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Default Extension="png" ContentType="image/png"/>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7.xml" ContentType="application/vnd.openxmlformats-officedocument.wordprocessingml.header+xml"/>
  <Override PartName="/word/footer4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9391"/>
        </w:rPr>
        <w:t>Inflation Report</w:t>
      </w:r>
    </w:p>
    <w:p>
      <w:pPr>
        <w:spacing w:before="711"/>
        <w:ind w:left="3810" w:right="0" w:firstLine="0"/>
        <w:jc w:val="left"/>
        <w:rPr>
          <w:b/>
          <w:sz w:val="40"/>
        </w:rPr>
      </w:pPr>
      <w:r>
        <w:rPr>
          <w:b/>
          <w:color w:val="009391"/>
          <w:sz w:val="40"/>
        </w:rPr>
        <w:t>November 2000</w:t>
      </w:r>
    </w:p>
    <w:p>
      <w:pPr>
        <w:pStyle w:val="BodyText"/>
        <w:rPr>
          <w:b/>
          <w:sz w:val="44"/>
        </w:rPr>
      </w:pPr>
    </w:p>
    <w:p>
      <w:pPr>
        <w:pStyle w:val="BodyText"/>
        <w:spacing w:line="242" w:lineRule="auto" w:before="303"/>
        <w:ind w:left="3809" w:right="1272"/>
      </w:pPr>
      <w:r>
        <w:rPr/>
        <w:t>The </w:t>
      </w:r>
      <w:r>
        <w:rPr>
          <w:i/>
        </w:rPr>
        <w:t>Inflation Report </w:t>
      </w:r>
      <w:r>
        <w:rPr/>
        <w:t>is produced quarterly by Bank staff under the guidance of the members of the Monetary Policy Committee. It serves two purposes. First,</w:t>
      </w:r>
    </w:p>
    <w:p>
      <w:pPr>
        <w:pStyle w:val="BodyText"/>
        <w:spacing w:before="4"/>
        <w:ind w:left="3809"/>
      </w:pPr>
      <w:r>
        <w:rPr/>
        <w:t>its preparation provides a comprehensive and</w:t>
      </w:r>
    </w:p>
    <w:p>
      <w:pPr>
        <w:pStyle w:val="BodyText"/>
        <w:spacing w:line="242" w:lineRule="auto" w:before="4"/>
        <w:ind w:left="3809" w:right="1272"/>
      </w:pPr>
      <w:r>
        <w:rPr/>
        <w:t>forward-looking framework for discussion among MPC members as an aid to our decision making. Second, its publication allows us to share our thinking and explain the reasons for our decisions to those whom they affect.</w:t>
      </w:r>
    </w:p>
    <w:p>
      <w:pPr>
        <w:pStyle w:val="BodyText"/>
        <w:spacing w:line="249" w:lineRule="auto" w:before="225"/>
        <w:ind w:left="3809" w:right="1272"/>
      </w:pPr>
      <w:r>
        <w:rPr/>
        <w:t>Although not every member will agree with every assumption on which our projections are based, the fan charts represent the MPC’s best collective judgment</w:t>
      </w:r>
    </w:p>
    <w:p>
      <w:pPr>
        <w:pStyle w:val="BodyText"/>
        <w:spacing w:line="249" w:lineRule="auto" w:before="3"/>
        <w:ind w:left="3809" w:right="1092"/>
      </w:pPr>
      <w:r>
        <w:rPr/>
        <w:t>about the most likely paths for inflation and output, and the uncertainties surrounding those central projections.</w:t>
      </w:r>
    </w:p>
    <w:p>
      <w:pPr>
        <w:pStyle w:val="BodyText"/>
        <w:rPr>
          <w:sz w:val="21"/>
        </w:rPr>
      </w:pPr>
    </w:p>
    <w:p>
      <w:pPr>
        <w:pStyle w:val="BodyText"/>
        <w:spacing w:line="249" w:lineRule="auto" w:before="1"/>
        <w:ind w:left="3809" w:right="1639"/>
      </w:pPr>
      <w:r>
        <w:rPr/>
        <w:t>This </w:t>
      </w:r>
      <w:r>
        <w:rPr>
          <w:i/>
        </w:rPr>
        <w:t>Report </w:t>
      </w:r>
      <w:r>
        <w:rPr/>
        <w:t>has been prepared and published by the Bank of England in accordance with section 18 of the Bank of England Act 1998.</w:t>
      </w:r>
    </w:p>
    <w:p>
      <w:pPr>
        <w:pStyle w:val="BodyText"/>
        <w:spacing w:before="3"/>
        <w:rPr>
          <w:sz w:val="25"/>
        </w:rPr>
      </w:pPr>
    </w:p>
    <w:p>
      <w:pPr>
        <w:pStyle w:val="Heading6"/>
        <w:ind w:left="3809"/>
        <w:rPr>
          <w:b w:val="0"/>
        </w:rPr>
      </w:pPr>
      <w:r>
        <w:rPr/>
        <w:t>The Monetary Policy Committee</w:t>
      </w:r>
      <w:r>
        <w:rPr>
          <w:b w:val="0"/>
        </w:rPr>
        <w:t>:</w:t>
      </w:r>
    </w:p>
    <w:p>
      <w:pPr>
        <w:pStyle w:val="BodyText"/>
        <w:spacing w:before="12"/>
        <w:ind w:left="3809"/>
      </w:pPr>
      <w:r>
        <w:rPr/>
        <w:t>Eddie George, Governor</w:t>
      </w:r>
    </w:p>
    <w:p>
      <w:pPr>
        <w:pStyle w:val="BodyText"/>
        <w:spacing w:line="249" w:lineRule="auto" w:before="12"/>
        <w:ind w:left="3809" w:right="215"/>
      </w:pPr>
      <w:r>
        <w:rPr/>
        <w:t>Mervyn King, Deputy Governor responsible for monetary policy David Clementi, Deputy Governor responsible for financial stability Christopher Allsopp</w:t>
      </w:r>
    </w:p>
    <w:p>
      <w:pPr>
        <w:pStyle w:val="BodyText"/>
        <w:spacing w:line="249" w:lineRule="auto" w:before="3"/>
        <w:ind w:left="3809" w:right="4984"/>
      </w:pPr>
      <w:r>
        <w:rPr/>
        <w:t>Charles Bean DeAnne Julius Stephen Nickell Ian Plenderleith Sushil Wadhwani</w:t>
      </w:r>
    </w:p>
    <w:p>
      <w:pPr>
        <w:pStyle w:val="BodyText"/>
        <w:rPr>
          <w:sz w:val="26"/>
        </w:rPr>
      </w:pPr>
    </w:p>
    <w:p>
      <w:pPr>
        <w:pStyle w:val="BodyText"/>
        <w:rPr>
          <w:sz w:val="26"/>
        </w:rPr>
      </w:pPr>
    </w:p>
    <w:p>
      <w:pPr>
        <w:pStyle w:val="BodyText"/>
        <w:rPr>
          <w:sz w:val="26"/>
        </w:rPr>
      </w:pPr>
    </w:p>
    <w:p>
      <w:pPr>
        <w:pStyle w:val="BodyText"/>
        <w:spacing w:before="10"/>
        <w:rPr>
          <w:sz w:val="25"/>
        </w:rPr>
      </w:pPr>
    </w:p>
    <w:p>
      <w:pPr>
        <w:spacing w:line="249" w:lineRule="auto" w:before="0"/>
        <w:ind w:left="3809" w:right="215" w:firstLine="0"/>
        <w:jc w:val="left"/>
        <w:rPr>
          <w:sz w:val="20"/>
        </w:rPr>
      </w:pPr>
      <w:r>
        <w:rPr>
          <w:sz w:val="20"/>
        </w:rPr>
        <w:t>The Overview of this </w:t>
      </w:r>
      <w:r>
        <w:rPr>
          <w:i/>
          <w:sz w:val="20"/>
        </w:rPr>
        <w:t>Inflation Report </w:t>
      </w:r>
      <w:r>
        <w:rPr>
          <w:sz w:val="20"/>
        </w:rPr>
        <w:t>is available on the Bank’s web site: </w:t>
      </w:r>
      <w:hyperlink r:id="rId5">
        <w:r>
          <w:rPr>
            <w:sz w:val="20"/>
          </w:rPr>
          <w:t>www.bankofengland.co.uk/inflationreport/infrep.htm</w:t>
        </w:r>
      </w:hyperlink>
      <w:r>
        <w:rPr>
          <w:sz w:val="20"/>
        </w:rPr>
        <w:t> The entire </w:t>
      </w:r>
      <w:r>
        <w:rPr>
          <w:i/>
          <w:sz w:val="20"/>
        </w:rPr>
        <w:t>Report </w:t>
      </w:r>
      <w:r>
        <w:rPr>
          <w:sz w:val="20"/>
        </w:rPr>
        <w:t>is available in PDF format on </w:t>
      </w:r>
      <w:hyperlink r:id="rId6">
        <w:r>
          <w:rPr>
            <w:sz w:val="20"/>
          </w:rPr>
          <w:t>www.bankofengland.co.uk/inflationreport/index.htm</w:t>
        </w:r>
      </w:hyperlink>
    </w:p>
    <w:p>
      <w:pPr>
        <w:pStyle w:val="BodyText"/>
        <w:rPr>
          <w:sz w:val="22"/>
        </w:rPr>
      </w:pPr>
    </w:p>
    <w:p>
      <w:pPr>
        <w:pStyle w:val="BodyText"/>
        <w:rPr>
          <w:sz w:val="22"/>
        </w:rPr>
      </w:pPr>
    </w:p>
    <w:p>
      <w:pPr>
        <w:spacing w:line="182" w:lineRule="exact" w:before="194"/>
        <w:ind w:left="3810" w:right="0" w:firstLine="0"/>
        <w:jc w:val="left"/>
        <w:rPr>
          <w:sz w:val="16"/>
        </w:rPr>
      </w:pPr>
      <w:r>
        <w:rPr>
          <w:sz w:val="16"/>
        </w:rPr>
        <w:t>Printed by Park Communications Ltd</w:t>
      </w:r>
    </w:p>
    <w:p>
      <w:pPr>
        <w:spacing w:line="235" w:lineRule="auto" w:before="1"/>
        <w:ind w:left="3810" w:right="5184" w:firstLine="0"/>
        <w:jc w:val="left"/>
        <w:rPr>
          <w:sz w:val="16"/>
        </w:rPr>
      </w:pPr>
      <w:r>
        <w:rPr>
          <w:sz w:val="16"/>
        </w:rPr>
        <w:t>© Bank of England 2000 ISBN 1 85730 192 7</w:t>
      </w:r>
    </w:p>
    <w:p>
      <w:pPr>
        <w:spacing w:line="180" w:lineRule="exact" w:before="0"/>
        <w:ind w:left="3810" w:right="0" w:firstLine="0"/>
        <w:jc w:val="left"/>
        <w:rPr>
          <w:sz w:val="16"/>
        </w:rPr>
      </w:pPr>
      <w:r>
        <w:rPr>
          <w:sz w:val="16"/>
        </w:rPr>
        <w:t>ISSN 1353–6737</w:t>
      </w:r>
    </w:p>
    <w:p>
      <w:pPr>
        <w:spacing w:after="0" w:line="180" w:lineRule="exact"/>
        <w:jc w:val="left"/>
        <w:rPr>
          <w:sz w:val="16"/>
        </w:rPr>
        <w:sectPr>
          <w:type w:val="continuous"/>
          <w:pgSz w:w="11900" w:h="16840"/>
          <w:pgMar w:top="1260" w:bottom="280" w:left="640" w:right="640"/>
        </w:sectPr>
      </w:pPr>
    </w:p>
    <w:p>
      <w:pPr>
        <w:pStyle w:val="BodyText"/>
        <w:spacing w:line="20" w:lineRule="exact"/>
        <w:ind w:left="158"/>
        <w:rPr>
          <w:sz w:val="2"/>
        </w:rPr>
      </w:pPr>
      <w:r>
        <w:rPr>
          <w:sz w:val="2"/>
        </w:rPr>
        <w:pict>
          <v:group style="width:516pt;height:.15pt;mso-position-horizontal-relative:char;mso-position-vertical-relative:line" coordorigin="0,0" coordsize="10320,3">
            <v:shape style="position:absolute;left:0;top:1;width:10320;height:2" coordorigin="0,1" coordsize="10320,0" path="m0,1l10320,1m0,1l10320,1e" filled="false" stroked="true" strokeweight=".125pt" strokecolor="#000000">
              <v:path arrowok="t"/>
              <v:stroke dashstyle="solid"/>
            </v:shape>
          </v:group>
        </w:pict>
      </w:r>
      <w:r>
        <w:rPr>
          <w:sz w:val="2"/>
        </w:rPr>
      </w:r>
    </w:p>
    <w:p>
      <w:pPr>
        <w:pStyle w:val="BodyText"/>
        <w:spacing w:before="11"/>
        <w:rPr>
          <w:sz w:val="28"/>
        </w:rPr>
      </w:pPr>
    </w:p>
    <w:p>
      <w:pPr>
        <w:spacing w:before="83"/>
        <w:ind w:left="1308" w:right="333" w:firstLine="0"/>
        <w:jc w:val="center"/>
        <w:rPr>
          <w:b/>
          <w:sz w:val="40"/>
        </w:rPr>
      </w:pPr>
      <w:bookmarkStart w:name="_bookmark0" w:id="1"/>
      <w:bookmarkEnd w:id="1"/>
      <w:r>
        <w:rPr/>
      </w:r>
      <w:r>
        <w:rPr>
          <w:b/>
          <w:color w:val="009391"/>
          <w:sz w:val="40"/>
        </w:rPr>
        <w:t>Overview</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0"/>
        </w:rPr>
      </w:pPr>
    </w:p>
    <w:p>
      <w:pPr>
        <w:pStyle w:val="BodyText"/>
        <w:spacing w:line="242" w:lineRule="auto" w:before="90"/>
        <w:ind w:left="4980" w:right="341"/>
      </w:pPr>
      <w:r>
        <w:rPr/>
        <w:t>The United Kingdom has continued to experience above-trend growth and low inflation. Output in the third quarter is provisionally estimated to have been 2.9% higher than a year ago, while RPIX inflation was 2.2% in the year to September, marginally below the 2</w:t>
      </w:r>
      <w:r>
        <w:rPr>
          <w:position w:val="8"/>
          <w:sz w:val="12"/>
        </w:rPr>
        <w:t>1</w:t>
      </w:r>
      <w:r>
        <w:rPr/>
        <w:t>/</w:t>
      </w:r>
      <w:r>
        <w:rPr>
          <w:sz w:val="12"/>
        </w:rPr>
        <w:t>2</w:t>
      </w:r>
      <w:r>
        <w:rPr/>
        <w:t>% target. World growth has been rapid, but is</w:t>
      </w:r>
    </w:p>
    <w:p>
      <w:pPr>
        <w:pStyle w:val="BodyText"/>
        <w:spacing w:line="242" w:lineRule="auto" w:before="7"/>
        <w:ind w:left="4980" w:right="116"/>
      </w:pPr>
      <w:r>
        <w:rPr/>
        <w:t>beginning to slow, and higher oil prices point to a further slight deterioration in the outlook for global activity and inflation. At home, the growth rate of final domestic demand picked up a little in the second quarter, though growth has eased since last year. Private consumption growth has been strong, but shows signs of slowing. The level of investment was little changed in the first half of the year. Export growth has been strong despite further appreciation of the exchange rate, but has been outpaced by import growth. Unemployment has continued to fall rapidly and the labour market appears tight. In spite of this, earnings growth has remained subdued. Allied to a pick-up in productivity growth this has ensured that labour costs have not been a recent source of inflationary pressures, while the strong exchange rate has helped contain imported inflation.</w:t>
      </w:r>
    </w:p>
    <w:p>
      <w:pPr>
        <w:pStyle w:val="BodyText"/>
        <w:spacing w:before="1"/>
        <w:rPr>
          <w:sz w:val="26"/>
        </w:rPr>
      </w:pPr>
    </w:p>
    <w:p>
      <w:pPr>
        <w:pStyle w:val="BodyText"/>
        <w:spacing w:line="242" w:lineRule="auto" w:before="1"/>
        <w:ind w:left="4980" w:right="161"/>
      </w:pPr>
      <w:r>
        <w:rPr/>
        <w:t>World output and trade have continued to grow strongly, underpinned by the robust performance of the US economy. However, there are now clear signs that US growth is slowing, with third-quarter growth only half that of Q2. Growth in the euro area has remained firm, although here too there are some signs of softening.</w:t>
      </w:r>
    </w:p>
    <w:p>
      <w:pPr>
        <w:pStyle w:val="BodyText"/>
        <w:spacing w:line="242" w:lineRule="auto" w:before="7"/>
        <w:ind w:left="4980" w:right="215"/>
      </w:pPr>
      <w:r>
        <w:rPr/>
        <w:t>Recovery seems under way in Japan. The emerging market economies have continued their recovery from the crisis of two years ago.</w:t>
      </w:r>
    </w:p>
    <w:p>
      <w:pPr>
        <w:pStyle w:val="BodyText"/>
        <w:spacing w:before="8"/>
      </w:pPr>
    </w:p>
    <w:p>
      <w:pPr>
        <w:pStyle w:val="BodyText"/>
        <w:spacing w:line="242" w:lineRule="auto"/>
        <w:ind w:left="4980" w:right="181"/>
      </w:pPr>
      <w:r>
        <w:rPr/>
        <w:t>The price of oil has increased further since the August </w:t>
      </w:r>
      <w:r>
        <w:rPr>
          <w:i/>
        </w:rPr>
        <w:t>Inflation Report</w:t>
      </w:r>
      <w:r>
        <w:rPr/>
        <w:t>, with futures prices up by $3–$4 per barrel. The MPC judges, like most observers, that the impact of this latest increase on global growth and inflation prospects should be modest. However, further sustained increases in oil prices could add to the downside risks to activity associated with a potential fall in financial asset prices. In the euro area the impact of higher energy prices on inflation has been exacerbated by additional depreciation of the euro and the ECB has raised official interest rates to 4.75% to combat inflationary pressures.</w:t>
      </w:r>
    </w:p>
    <w:p>
      <w:pPr>
        <w:spacing w:after="0" w:line="242" w:lineRule="auto"/>
        <w:sectPr>
          <w:footerReference w:type="default" r:id="rId7"/>
          <w:footerReference w:type="even" r:id="rId8"/>
          <w:pgSz w:w="11900" w:h="16840"/>
          <w:pgMar w:footer="612" w:header="0" w:top="800" w:bottom="800" w:left="640" w:right="640"/>
          <w:pgNumType w:start="1"/>
        </w:sectPr>
      </w:pPr>
    </w:p>
    <w:p>
      <w:pPr>
        <w:pStyle w:val="BodyText"/>
        <w:rPr>
          <w:sz w:val="20"/>
        </w:rPr>
      </w:pPr>
    </w:p>
    <w:p>
      <w:pPr>
        <w:pStyle w:val="BodyText"/>
        <w:spacing w:line="242" w:lineRule="auto" w:before="227"/>
        <w:ind w:left="4985" w:right="173"/>
      </w:pPr>
      <w:r>
        <w:rPr/>
        <w:t>Output</w:t>
      </w:r>
      <w:r>
        <w:rPr>
          <w:spacing w:val="-7"/>
        </w:rPr>
        <w:t> </w:t>
      </w:r>
      <w:r>
        <w:rPr/>
        <w:t>in</w:t>
      </w:r>
      <w:r>
        <w:rPr>
          <w:spacing w:val="-7"/>
        </w:rPr>
        <w:t> </w:t>
      </w:r>
      <w:r>
        <w:rPr/>
        <w:t>the</w:t>
      </w:r>
      <w:r>
        <w:rPr>
          <w:spacing w:val="-6"/>
        </w:rPr>
        <w:t> </w:t>
      </w:r>
      <w:r>
        <w:rPr/>
        <w:t>United</w:t>
      </w:r>
      <w:r>
        <w:rPr>
          <w:spacing w:val="-7"/>
        </w:rPr>
        <w:t> </w:t>
      </w:r>
      <w:r>
        <w:rPr/>
        <w:t>Kingdom</w:t>
      </w:r>
      <w:r>
        <w:rPr>
          <w:spacing w:val="-7"/>
        </w:rPr>
        <w:t> </w:t>
      </w:r>
      <w:r>
        <w:rPr/>
        <w:t>is</w:t>
      </w:r>
      <w:r>
        <w:rPr>
          <w:spacing w:val="-6"/>
        </w:rPr>
        <w:t> </w:t>
      </w:r>
      <w:r>
        <w:rPr/>
        <w:t>provisionally</w:t>
      </w:r>
      <w:r>
        <w:rPr>
          <w:spacing w:val="-7"/>
        </w:rPr>
        <w:t> </w:t>
      </w:r>
      <w:r>
        <w:rPr/>
        <w:t>estimated to </w:t>
      </w:r>
      <w:r>
        <w:rPr>
          <w:spacing w:val="-3"/>
        </w:rPr>
        <w:t>have </w:t>
      </w:r>
      <w:r>
        <w:rPr/>
        <w:t>risen by 0.7% in the third quarter compared with 0.9% in the previous </w:t>
      </w:r>
      <w:r>
        <w:rPr>
          <w:spacing w:val="-3"/>
        </w:rPr>
        <w:t>quarter.  </w:t>
      </w:r>
      <w:r>
        <w:rPr/>
        <w:t>Recent survey data are also consistent with growth slowing towards trend. The sectoral pattern of growth has been diverse. Energy output </w:t>
      </w:r>
      <w:r>
        <w:rPr>
          <w:spacing w:val="-3"/>
        </w:rPr>
        <w:t>grew </w:t>
      </w:r>
      <w:r>
        <w:rPr/>
        <w:t>strongly in the second quarter but has since eased. Manufacturing output growth has generally picked up, but has been concentrated in high-technology sectors. Growth in the service sector has remained robust, although surveys point to some easing in the coming</w:t>
      </w:r>
      <w:r>
        <w:rPr>
          <w:spacing w:val="-2"/>
        </w:rPr>
        <w:t> </w:t>
      </w:r>
      <w:r>
        <w:rPr/>
        <w:t>months.</w:t>
      </w:r>
    </w:p>
    <w:p>
      <w:pPr>
        <w:pStyle w:val="BodyText"/>
        <w:spacing w:before="6"/>
        <w:rPr>
          <w:sz w:val="25"/>
        </w:rPr>
      </w:pPr>
    </w:p>
    <w:p>
      <w:pPr>
        <w:pStyle w:val="BodyText"/>
        <w:spacing w:line="242" w:lineRule="auto"/>
        <w:ind w:left="4985" w:right="182"/>
      </w:pPr>
      <w:r>
        <w:rPr/>
        <w:t>The rate of growth of consumer spending was slightly higher in the second quarter than expected in the August </w:t>
      </w:r>
      <w:r>
        <w:rPr>
          <w:i/>
        </w:rPr>
        <w:t>Report</w:t>
      </w:r>
      <w:r>
        <w:rPr/>
        <w:t>, although in the first half of this year it was </w:t>
      </w:r>
      <w:r>
        <w:rPr>
          <w:spacing w:val="-3"/>
        </w:rPr>
        <w:t>down </w:t>
      </w:r>
      <w:r>
        <w:rPr/>
        <w:t>noticeably on the high rates experienced in 1999. Retail sales volumes were robust in the third quarter, </w:t>
      </w:r>
      <w:r>
        <w:rPr>
          <w:spacing w:val="-3"/>
        </w:rPr>
        <w:t>but </w:t>
      </w:r>
      <w:r>
        <w:rPr/>
        <w:t>moderating household income growth, cooling in the housing market, and broadly stable equity prices all point to further modest easing in consumption growth.</w:t>
      </w:r>
    </w:p>
    <w:p>
      <w:pPr>
        <w:pStyle w:val="BodyText"/>
        <w:spacing w:line="242" w:lineRule="auto" w:before="11"/>
        <w:ind w:left="4985" w:right="135"/>
      </w:pPr>
      <w:r>
        <w:rPr/>
        <w:t>Investment recovered in the second quarter, but only enough to reverse the fall in Q1. Nevertheless, the share of business investment in GDP remains historically high. Government spending rose strongly in Q2 and will continue to rise more quickly than in recent years in line with announced plans. On balance, the Pre-Budget Report is expected to have little net effect on growth and inflation, although the one-year freeze of fuel duties will temporarily slightly reduce RPIX inflation.</w:t>
      </w:r>
    </w:p>
    <w:p>
      <w:pPr>
        <w:pStyle w:val="BodyText"/>
        <w:spacing w:before="3"/>
        <w:rPr>
          <w:sz w:val="25"/>
        </w:rPr>
      </w:pPr>
    </w:p>
    <w:p>
      <w:pPr>
        <w:pStyle w:val="BodyText"/>
        <w:spacing w:line="242" w:lineRule="auto" w:before="1"/>
        <w:ind w:left="4985" w:right="200"/>
      </w:pPr>
      <w:r>
        <w:rPr/>
        <w:t>Exports </w:t>
      </w:r>
      <w:r>
        <w:rPr>
          <w:spacing w:val="-3"/>
        </w:rPr>
        <w:t>have </w:t>
      </w:r>
      <w:r>
        <w:rPr/>
        <w:t>continued to grow </w:t>
      </w:r>
      <w:r>
        <w:rPr>
          <w:spacing w:val="-3"/>
        </w:rPr>
        <w:t>quickly, </w:t>
      </w:r>
      <w:r>
        <w:rPr/>
        <w:t>despite the strength of sterling, on the back of the rapid growth in world output and trade. </w:t>
      </w:r>
      <w:r>
        <w:rPr>
          <w:spacing w:val="-4"/>
        </w:rPr>
        <w:t>However, </w:t>
      </w:r>
      <w:r>
        <w:rPr/>
        <w:t>imports </w:t>
      </w:r>
      <w:r>
        <w:rPr>
          <w:spacing w:val="-3"/>
        </w:rPr>
        <w:t>have </w:t>
      </w:r>
      <w:r>
        <w:rPr/>
        <w:t>grown </w:t>
      </w:r>
      <w:r>
        <w:rPr>
          <w:spacing w:val="-3"/>
        </w:rPr>
        <w:t>even </w:t>
      </w:r>
      <w:r>
        <w:rPr/>
        <w:t>more strongly and the net trade contribution to the growth of GDP has been </w:t>
      </w:r>
      <w:r>
        <w:rPr>
          <w:spacing w:val="-3"/>
        </w:rPr>
        <w:t>negative. </w:t>
      </w:r>
      <w:r>
        <w:rPr/>
        <w:t>The exchange rate has strengthened against the euro, but weakened against the </w:t>
      </w:r>
      <w:r>
        <w:rPr>
          <w:spacing w:val="-3"/>
        </w:rPr>
        <w:t>dollar. </w:t>
      </w:r>
      <w:r>
        <w:rPr/>
        <w:t>The </w:t>
      </w:r>
      <w:r>
        <w:rPr>
          <w:spacing w:val="-3"/>
        </w:rPr>
        <w:t>effective </w:t>
      </w:r>
      <w:r>
        <w:rPr/>
        <w:t>exchange rate index has been somewhat</w:t>
      </w:r>
      <w:r>
        <w:rPr>
          <w:spacing w:val="-6"/>
        </w:rPr>
        <w:t> </w:t>
      </w:r>
      <w:r>
        <w:rPr/>
        <w:t>higher</w:t>
      </w:r>
      <w:r>
        <w:rPr>
          <w:spacing w:val="-6"/>
        </w:rPr>
        <w:t> </w:t>
      </w:r>
      <w:r>
        <w:rPr/>
        <w:t>than</w:t>
      </w:r>
      <w:r>
        <w:rPr>
          <w:spacing w:val="-6"/>
        </w:rPr>
        <w:t> </w:t>
      </w:r>
      <w:r>
        <w:rPr/>
        <w:t>expected</w:t>
      </w:r>
      <w:r>
        <w:rPr>
          <w:spacing w:val="-5"/>
        </w:rPr>
        <w:t> </w:t>
      </w:r>
      <w:r>
        <w:rPr/>
        <w:t>at</w:t>
      </w:r>
      <w:r>
        <w:rPr>
          <w:spacing w:val="-6"/>
        </w:rPr>
        <w:t> </w:t>
      </w:r>
      <w:r>
        <w:rPr/>
        <w:t>the</w:t>
      </w:r>
      <w:r>
        <w:rPr>
          <w:spacing w:val="-6"/>
        </w:rPr>
        <w:t> </w:t>
      </w:r>
      <w:r>
        <w:rPr/>
        <w:t>time</w:t>
      </w:r>
      <w:r>
        <w:rPr>
          <w:spacing w:val="-5"/>
        </w:rPr>
        <w:t> </w:t>
      </w:r>
      <w:r>
        <w:rPr/>
        <w:t>of</w:t>
      </w:r>
      <w:r>
        <w:rPr>
          <w:spacing w:val="-6"/>
        </w:rPr>
        <w:t> </w:t>
      </w:r>
      <w:r>
        <w:rPr/>
        <w:t>the</w:t>
      </w:r>
      <w:r>
        <w:rPr>
          <w:spacing w:val="-18"/>
        </w:rPr>
        <w:t> </w:t>
      </w:r>
      <w:r>
        <w:rPr/>
        <w:t>August </w:t>
      </w:r>
      <w:r>
        <w:rPr>
          <w:i/>
        </w:rPr>
        <w:t>Report</w:t>
      </w:r>
      <w:r>
        <w:rPr/>
        <w:t>.</w:t>
      </w:r>
    </w:p>
    <w:p>
      <w:pPr>
        <w:pStyle w:val="BodyText"/>
        <w:spacing w:before="3"/>
        <w:rPr>
          <w:sz w:val="25"/>
        </w:rPr>
      </w:pPr>
    </w:p>
    <w:p>
      <w:pPr>
        <w:pStyle w:val="BodyText"/>
        <w:spacing w:line="242" w:lineRule="auto" w:before="1"/>
        <w:ind w:left="4985" w:right="247"/>
      </w:pPr>
      <w:r>
        <w:rPr/>
        <w:t>Money and credit continue to grow </w:t>
      </w:r>
      <w:r>
        <w:rPr>
          <w:spacing w:val="-3"/>
        </w:rPr>
        <w:t>strongly. </w:t>
      </w:r>
      <w:r>
        <w:rPr/>
        <w:t>Narrow money has accelerated, but has been distorted by the effects of the petrol crisis. Corporate borrowing has been</w:t>
      </w:r>
      <w:r>
        <w:rPr>
          <w:spacing w:val="-5"/>
        </w:rPr>
        <w:t> </w:t>
      </w:r>
      <w:r>
        <w:rPr/>
        <w:t>strong,</w:t>
      </w:r>
      <w:r>
        <w:rPr>
          <w:spacing w:val="-4"/>
        </w:rPr>
        <w:t> </w:t>
      </w:r>
      <w:r>
        <w:rPr/>
        <w:t>but</w:t>
      </w:r>
      <w:r>
        <w:rPr>
          <w:spacing w:val="-4"/>
        </w:rPr>
        <w:t> </w:t>
      </w:r>
      <w:r>
        <w:rPr/>
        <w:t>much</w:t>
      </w:r>
      <w:r>
        <w:rPr>
          <w:spacing w:val="-5"/>
        </w:rPr>
        <w:t> </w:t>
      </w:r>
      <w:r>
        <w:rPr/>
        <w:t>of</w:t>
      </w:r>
      <w:r>
        <w:rPr>
          <w:spacing w:val="-5"/>
        </w:rPr>
        <w:t> </w:t>
      </w:r>
      <w:r>
        <w:rPr/>
        <w:t>this</w:t>
      </w:r>
      <w:r>
        <w:rPr>
          <w:spacing w:val="-4"/>
        </w:rPr>
        <w:t> </w:t>
      </w:r>
      <w:r>
        <w:rPr/>
        <w:t>has</w:t>
      </w:r>
      <w:r>
        <w:rPr>
          <w:spacing w:val="-5"/>
        </w:rPr>
        <w:t> </w:t>
      </w:r>
      <w:r>
        <w:rPr/>
        <w:t>been</w:t>
      </w:r>
      <w:r>
        <w:rPr>
          <w:spacing w:val="-4"/>
        </w:rPr>
        <w:t> </w:t>
      </w:r>
      <w:r>
        <w:rPr/>
        <w:t>used</w:t>
      </w:r>
      <w:r>
        <w:rPr>
          <w:spacing w:val="-5"/>
        </w:rPr>
        <w:t> </w:t>
      </w:r>
      <w:r>
        <w:rPr/>
        <w:t>to</w:t>
      </w:r>
      <w:r>
        <w:rPr>
          <w:spacing w:val="-5"/>
        </w:rPr>
        <w:t> </w:t>
      </w:r>
      <w:r>
        <w:rPr/>
        <w:t>purchase financial assets—acquisitions of other companies, including overseas, and third-generation mobile telecommunications licences. Household borrowing remains strong, but growth has moderated</w:t>
      </w:r>
      <w:r>
        <w:rPr>
          <w:spacing w:val="-19"/>
        </w:rPr>
        <w:t> </w:t>
      </w:r>
      <w:r>
        <w:rPr>
          <w:spacing w:val="-3"/>
        </w:rPr>
        <w:t>slightly.</w:t>
      </w:r>
    </w:p>
    <w:p>
      <w:pPr>
        <w:pStyle w:val="BodyText"/>
        <w:spacing w:before="2"/>
        <w:rPr>
          <w:sz w:val="25"/>
        </w:rPr>
      </w:pPr>
    </w:p>
    <w:p>
      <w:pPr>
        <w:pStyle w:val="BodyText"/>
        <w:spacing w:line="242" w:lineRule="auto"/>
        <w:ind w:left="4985" w:right="341"/>
      </w:pPr>
      <w:r>
        <w:rPr/>
        <w:t>The </w:t>
      </w:r>
      <w:r>
        <w:rPr>
          <w:spacing w:val="-3"/>
        </w:rPr>
        <w:t>Bank’s </w:t>
      </w:r>
      <w:r>
        <w:rPr/>
        <w:t>official interest rate has remained at</w:t>
      </w:r>
      <w:r>
        <w:rPr>
          <w:spacing w:val="-42"/>
        </w:rPr>
        <w:t> </w:t>
      </w:r>
      <w:r>
        <w:rPr/>
        <w:t>6% since </w:t>
      </w:r>
      <w:r>
        <w:rPr>
          <w:spacing w:val="-3"/>
        </w:rPr>
        <w:t>February. </w:t>
      </w:r>
      <w:r>
        <w:rPr/>
        <w:t>The short-term yield curve,</w:t>
      </w:r>
      <w:r>
        <w:rPr>
          <w:spacing w:val="-23"/>
        </w:rPr>
        <w:t> </w:t>
      </w:r>
      <w:r>
        <w:rPr/>
        <w:t>which</w:t>
      </w:r>
    </w:p>
    <w:p>
      <w:pPr>
        <w:spacing w:after="0" w:line="242" w:lineRule="auto"/>
        <w:sectPr>
          <w:headerReference w:type="default" r:id="rId9"/>
          <w:pgSz w:w="11900" w:h="16840"/>
          <w:pgMar w:header="586" w:footer="612" w:top="780" w:bottom="780" w:left="640" w:right="640"/>
        </w:sectPr>
      </w:pPr>
    </w:p>
    <w:p>
      <w:pPr>
        <w:spacing w:before="82" w:after="12"/>
        <w:ind w:left="0" w:right="142" w:firstLine="0"/>
        <w:jc w:val="right"/>
        <w:rPr>
          <w:i/>
          <w:sz w:val="16"/>
        </w:rPr>
      </w:pPr>
      <w:r>
        <w:rPr>
          <w:i/>
          <w:sz w:val="16"/>
        </w:rPr>
        <w:t>Overview</w:t>
      </w: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i/>
          <w:sz w:val="20"/>
        </w:rPr>
      </w:pPr>
    </w:p>
    <w:p>
      <w:pPr>
        <w:pStyle w:val="BodyText"/>
        <w:spacing w:line="242" w:lineRule="auto" w:before="215"/>
        <w:ind w:left="4980" w:right="116"/>
      </w:pPr>
      <w:r>
        <w:rPr/>
        <w:t>provides a guide to market expectations of future official interest rates, has flattened out to around 6%. Long-term bond yields have been broadly stable and equity prices are roughly unchanged.</w:t>
      </w:r>
    </w:p>
    <w:p>
      <w:pPr>
        <w:pStyle w:val="BodyText"/>
        <w:spacing w:before="9"/>
      </w:pPr>
    </w:p>
    <w:p>
      <w:pPr>
        <w:pStyle w:val="BodyText"/>
        <w:spacing w:line="242" w:lineRule="auto" w:before="1"/>
        <w:ind w:left="4980" w:right="215"/>
      </w:pPr>
      <w:r>
        <w:rPr/>
        <w:t>Official data since the previous </w:t>
      </w:r>
      <w:r>
        <w:rPr>
          <w:i/>
        </w:rPr>
        <w:t>Report </w:t>
      </w:r>
      <w:r>
        <w:rPr/>
        <w:t>continue to paint a benign picture of developments in the labour market, with earnings decelerating slightly despite continued falls in unemployment. Employment on the LFS measure grew by 0.7% in the past six months and employment intentions remain strong, especially in the service sector. Unemployment has fallen sharply in recent months, with the LFS rate declining to 5.3%.</w:t>
      </w:r>
    </w:p>
    <w:p>
      <w:pPr>
        <w:pStyle w:val="BodyText"/>
        <w:spacing w:line="242" w:lineRule="auto" w:before="10"/>
        <w:ind w:left="4980"/>
      </w:pPr>
      <w:r>
        <w:rPr/>
        <w:t>Jobcentre vacancies have increased and exceed levels reached at the previous business cycle peak. Survey data also suggest that companies are experiencing difficulties recruiting skilled labour, a view that is confirmed by the Bank’s regional Agents.</w:t>
      </w:r>
    </w:p>
    <w:p>
      <w:pPr>
        <w:pStyle w:val="BodyText"/>
        <w:spacing w:before="10"/>
      </w:pPr>
    </w:p>
    <w:p>
      <w:pPr>
        <w:pStyle w:val="BodyText"/>
        <w:spacing w:line="242" w:lineRule="auto"/>
        <w:ind w:left="4980" w:right="141"/>
      </w:pPr>
      <w:r>
        <w:rPr/>
        <w:t>In spite of this tight labour market, the headline measure of average earnings growth has continued to moderate, from 4.6% in May to 3.9% in August. This recent weakness largely reflects lower bonus payments, with regular pay growth slowing much less. Wage settlements have been broadly stable at around 3.0%. Set against the background of low and stable consumer price inflation, this combination of a relatively tight labour market and stable earnings growth suggests that the sustainable level of unemployment may be lower than previously thought. The MPC will continue to monitor developments in this area closely.</w:t>
      </w:r>
    </w:p>
    <w:p>
      <w:pPr>
        <w:pStyle w:val="BodyText"/>
        <w:spacing w:before="8"/>
        <w:rPr>
          <w:sz w:val="25"/>
        </w:rPr>
      </w:pPr>
    </w:p>
    <w:p>
      <w:pPr>
        <w:pStyle w:val="BodyText"/>
        <w:spacing w:line="242" w:lineRule="auto"/>
        <w:ind w:left="4980" w:right="148"/>
      </w:pPr>
      <w:r>
        <w:rPr/>
        <w:t>Data for the second quarter indicate that the recovery in the</w:t>
      </w:r>
      <w:r>
        <w:rPr>
          <w:spacing w:val="-8"/>
        </w:rPr>
        <w:t> </w:t>
      </w:r>
      <w:r>
        <w:rPr/>
        <w:t>growth</w:t>
      </w:r>
      <w:r>
        <w:rPr>
          <w:spacing w:val="-7"/>
        </w:rPr>
        <w:t> </w:t>
      </w:r>
      <w:r>
        <w:rPr/>
        <w:t>of</w:t>
      </w:r>
      <w:r>
        <w:rPr>
          <w:spacing w:val="-7"/>
        </w:rPr>
        <w:t> </w:t>
      </w:r>
      <w:r>
        <w:rPr/>
        <w:t>labour</w:t>
      </w:r>
      <w:r>
        <w:rPr>
          <w:spacing w:val="-8"/>
        </w:rPr>
        <w:t> </w:t>
      </w:r>
      <w:r>
        <w:rPr/>
        <w:t>productivity—which</w:t>
      </w:r>
      <w:r>
        <w:rPr>
          <w:spacing w:val="-7"/>
        </w:rPr>
        <w:t> </w:t>
      </w:r>
      <w:r>
        <w:rPr/>
        <w:t>had</w:t>
      </w:r>
      <w:r>
        <w:rPr>
          <w:spacing w:val="-7"/>
        </w:rPr>
        <w:t> </w:t>
      </w:r>
      <w:r>
        <w:rPr/>
        <w:t>been</w:t>
      </w:r>
      <w:r>
        <w:rPr>
          <w:spacing w:val="-8"/>
        </w:rPr>
        <w:t> </w:t>
      </w:r>
      <w:r>
        <w:rPr/>
        <w:t>weak by historical standards during the previous four years— has continued, rising to slightly above its average </w:t>
      </w:r>
      <w:r>
        <w:rPr>
          <w:spacing w:val="-3"/>
        </w:rPr>
        <w:t>over </w:t>
      </w:r>
      <w:r>
        <w:rPr/>
        <w:t>the past 40 years. The combination of benign earnings growth and higher productivity meant that wage costs per unit of output in the second quarter were just 1.1% higher than a year earlier, the slowest growth in </w:t>
      </w:r>
      <w:r>
        <w:rPr>
          <w:spacing w:val="-3"/>
        </w:rPr>
        <w:t>over </w:t>
      </w:r>
      <w:r>
        <w:rPr>
          <w:spacing w:val="-4"/>
        </w:rPr>
        <w:t>five </w:t>
      </w:r>
      <w:r>
        <w:rPr/>
        <w:t>years. Import prices rose slightly in the second quarter, but the subsequent appreciation of sterling has kept the imported component of inflation in</w:t>
      </w:r>
      <w:r>
        <w:rPr>
          <w:spacing w:val="-11"/>
        </w:rPr>
        <w:t> </w:t>
      </w:r>
      <w:r>
        <w:rPr/>
        <w:t>check.</w:t>
      </w:r>
    </w:p>
    <w:p>
      <w:pPr>
        <w:pStyle w:val="BodyText"/>
        <w:spacing w:line="242" w:lineRule="auto" w:before="14"/>
        <w:ind w:left="4980" w:right="215"/>
      </w:pPr>
      <w:r>
        <w:rPr/>
        <w:t>Manufacturers’ output prices have risen less than costs suggesting that margins have been compressed. RPIX inflation dipped in August, but rose to 2.2% in September.</w:t>
      </w:r>
    </w:p>
    <w:p>
      <w:pPr>
        <w:pStyle w:val="BodyText"/>
        <w:spacing w:before="9"/>
      </w:pPr>
    </w:p>
    <w:p>
      <w:pPr>
        <w:pStyle w:val="BodyText"/>
        <w:spacing w:line="242" w:lineRule="auto"/>
        <w:ind w:left="4980"/>
      </w:pPr>
      <w:r>
        <w:rPr/>
        <w:t>The MPC’s projections have been prepared under the benchmark assumption that the official interest rate remains at 6% and with a starting-point for the effective</w:t>
      </w:r>
    </w:p>
    <w:p>
      <w:pPr>
        <w:spacing w:after="0" w:line="242" w:lineRule="auto"/>
        <w:sectPr>
          <w:headerReference w:type="even" r:id="rId10"/>
          <w:pgSz w:w="11900" w:h="16840"/>
          <w:pgMar w:header="0" w:footer="592" w:top="520" w:bottom="800" w:left="640" w:right="640"/>
        </w:sectPr>
      </w:pPr>
    </w:p>
    <w:p>
      <w:pPr>
        <w:pStyle w:val="BodyText"/>
        <w:rPr>
          <w:sz w:val="20"/>
        </w:rPr>
      </w:pPr>
    </w:p>
    <w:p>
      <w:pPr>
        <w:spacing w:after="0"/>
        <w:rPr>
          <w:sz w:val="20"/>
        </w:rPr>
        <w:sectPr>
          <w:headerReference w:type="even" r:id="rId11"/>
          <w:footerReference w:type="even" r:id="rId12"/>
          <w:pgSz w:w="11900" w:h="16840"/>
          <w:pgMar w:header="586" w:footer="592" w:top="780" w:bottom="780" w:left="640" w:right="640"/>
          <w:pgNumType w:start="4"/>
        </w:sectPr>
      </w:pPr>
    </w:p>
    <w:p>
      <w:pPr>
        <w:pStyle w:val="BodyText"/>
        <w:rPr>
          <w:sz w:val="21"/>
        </w:rPr>
      </w:pPr>
    </w:p>
    <w:p>
      <w:pPr>
        <w:spacing w:before="0"/>
        <w:ind w:left="205" w:right="0" w:firstLine="0"/>
        <w:jc w:val="left"/>
        <w:rPr>
          <w:b/>
          <w:sz w:val="20"/>
        </w:rPr>
      </w:pPr>
      <w:r>
        <w:rPr>
          <w:b/>
          <w:color w:val="0092C7"/>
          <w:sz w:val="20"/>
        </w:rPr>
        <w:t>Chart 1</w:t>
      </w:r>
    </w:p>
    <w:p>
      <w:pPr>
        <w:spacing w:line="249" w:lineRule="auto" w:before="10"/>
        <w:ind w:left="205" w:right="0" w:firstLine="0"/>
        <w:jc w:val="left"/>
        <w:rPr>
          <w:b/>
          <w:sz w:val="20"/>
        </w:rPr>
      </w:pPr>
      <w:r>
        <w:rPr>
          <w:b/>
          <w:color w:val="0092C7"/>
          <w:sz w:val="20"/>
        </w:rPr>
        <w:t>Current GDP projection based on constant nominal interest rates at 6%</w:t>
      </w:r>
    </w:p>
    <w:p>
      <w:pPr>
        <w:spacing w:before="139"/>
        <w:ind w:left="1087" w:right="0" w:firstLine="0"/>
        <w:jc w:val="left"/>
        <w:rPr>
          <w:sz w:val="12"/>
        </w:rPr>
      </w:pPr>
      <w:r>
        <w:rPr/>
        <w:drawing>
          <wp:anchor distT="0" distB="0" distL="0" distR="0" allowOverlap="1" layoutInCell="1" locked="0" behindDoc="1" simplePos="0" relativeHeight="480395264">
            <wp:simplePos x="0" y="0"/>
            <wp:positionH relativeFrom="page">
              <wp:posOffset>2457678</wp:posOffset>
            </wp:positionH>
            <wp:positionV relativeFrom="paragraph">
              <wp:posOffset>178937</wp:posOffset>
            </wp:positionV>
            <wp:extent cx="46215" cy="635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3" cstate="print"/>
                    <a:stretch>
                      <a:fillRect/>
                    </a:stretch>
                  </pic:blipFill>
                  <pic:spPr>
                    <a:xfrm>
                      <a:off x="0" y="0"/>
                      <a:ext cx="46215" cy="6350"/>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545172</wp:posOffset>
            </wp:positionH>
            <wp:positionV relativeFrom="paragraph">
              <wp:posOffset>181147</wp:posOffset>
            </wp:positionV>
            <wp:extent cx="46228" cy="6350"/>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4" cstate="print"/>
                    <a:stretch>
                      <a:fillRect/>
                    </a:stretch>
                  </pic:blipFill>
                  <pic:spPr>
                    <a:xfrm>
                      <a:off x="0" y="0"/>
                      <a:ext cx="46228" cy="6350"/>
                    </a:xfrm>
                    <a:prstGeom prst="rect">
                      <a:avLst/>
                    </a:prstGeom>
                  </pic:spPr>
                </pic:pic>
              </a:graphicData>
            </a:graphic>
          </wp:anchor>
        </w:drawing>
      </w:r>
      <w:r>
        <w:rPr>
          <w:sz w:val="12"/>
        </w:rPr>
        <w:t>Percentage increase in output on a year earlier </w:t>
      </w:r>
      <w:r>
        <w:rPr>
          <w:position w:val="-6"/>
          <w:sz w:val="12"/>
        </w:rPr>
        <w:t>6</w:t>
      </w:r>
    </w:p>
    <w:p>
      <w:pPr>
        <w:pStyle w:val="BodyText"/>
        <w:spacing w:before="6"/>
      </w:pPr>
    </w:p>
    <w:p>
      <w:pPr>
        <w:spacing w:before="0"/>
        <w:ind w:left="0" w:right="203" w:firstLine="0"/>
        <w:jc w:val="right"/>
        <w:rPr>
          <w:sz w:val="12"/>
        </w:rPr>
      </w:pPr>
      <w:r>
        <w:rPr/>
        <w:drawing>
          <wp:anchor distT="0" distB="0" distL="0" distR="0" allowOverlap="1" layoutInCell="1" locked="0" behindDoc="0" simplePos="0" relativeHeight="15731200">
            <wp:simplePos x="0" y="0"/>
            <wp:positionH relativeFrom="page">
              <wp:posOffset>2457678</wp:posOffset>
            </wp:positionH>
            <wp:positionV relativeFrom="paragraph">
              <wp:posOffset>44307</wp:posOffset>
            </wp:positionV>
            <wp:extent cx="46215" cy="6350"/>
            <wp:effectExtent l="0" t="0" r="0" b="0"/>
            <wp:wrapNone/>
            <wp:docPr id="5" name="image2.png"/>
            <wp:cNvGraphicFramePr>
              <a:graphicFrameLocks noChangeAspect="1"/>
            </wp:cNvGraphicFramePr>
            <a:graphic>
              <a:graphicData uri="http://schemas.openxmlformats.org/drawingml/2006/picture">
                <pic:pic>
                  <pic:nvPicPr>
                    <pic:cNvPr id="6" name="image2.png"/>
                    <pic:cNvPicPr/>
                  </pic:nvPicPr>
                  <pic:blipFill>
                    <a:blip r:embed="rId14" cstate="print"/>
                    <a:stretch>
                      <a:fillRect/>
                    </a:stretch>
                  </pic:blipFill>
                  <pic:spPr>
                    <a:xfrm>
                      <a:off x="0" y="0"/>
                      <a:ext cx="46215" cy="6350"/>
                    </a:xfrm>
                    <a:prstGeom prst="rect">
                      <a:avLst/>
                    </a:prstGeom>
                  </pic:spPr>
                </pic:pic>
              </a:graphicData>
            </a:graphic>
          </wp:anchor>
        </w:drawing>
      </w:r>
      <w:r>
        <w:rPr/>
        <w:drawing>
          <wp:anchor distT="0" distB="0" distL="0" distR="0" allowOverlap="1" layoutInCell="1" locked="0" behindDoc="0" simplePos="0" relativeHeight="15733248">
            <wp:simplePos x="0" y="0"/>
            <wp:positionH relativeFrom="page">
              <wp:posOffset>545172</wp:posOffset>
            </wp:positionH>
            <wp:positionV relativeFrom="paragraph">
              <wp:posOffset>46517</wp:posOffset>
            </wp:positionV>
            <wp:extent cx="46228" cy="635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13" cstate="print"/>
                    <a:stretch>
                      <a:fillRect/>
                    </a:stretch>
                  </pic:blipFill>
                  <pic:spPr>
                    <a:xfrm>
                      <a:off x="0" y="0"/>
                      <a:ext cx="46228" cy="6350"/>
                    </a:xfrm>
                    <a:prstGeom prst="rect">
                      <a:avLst/>
                    </a:prstGeom>
                  </pic:spPr>
                </pic:pic>
              </a:graphicData>
            </a:graphic>
          </wp:anchor>
        </w:drawing>
      </w:r>
      <w:r>
        <w:rPr>
          <w:sz w:val="12"/>
        </w:rPr>
        <w:t>5</w:t>
      </w:r>
    </w:p>
    <w:p>
      <w:pPr>
        <w:pStyle w:val="BodyText"/>
        <w:rPr>
          <w:sz w:val="12"/>
        </w:rPr>
      </w:pPr>
    </w:p>
    <w:p>
      <w:pPr>
        <w:pStyle w:val="BodyText"/>
        <w:spacing w:before="3"/>
        <w:rPr>
          <w:sz w:val="12"/>
        </w:rPr>
      </w:pPr>
    </w:p>
    <w:p>
      <w:pPr>
        <w:spacing w:before="0"/>
        <w:ind w:left="0" w:right="203" w:firstLine="0"/>
        <w:jc w:val="right"/>
        <w:rPr>
          <w:sz w:val="12"/>
        </w:rPr>
      </w:pPr>
      <w:r>
        <w:rPr/>
        <w:pict>
          <v:group style="position:absolute;margin-left:42.926998pt;margin-top:-1.865436pt;width:158.75pt;height:82.7pt;mso-position-horizontal-relative:page;mso-position-vertical-relative:paragraph;z-index:15732736" coordorigin="859,-37" coordsize="3175,1654">
            <v:shape style="position:absolute;left:858;top:-38;width:3085;height:1585" type="#_x0000_t75" stroked="false">
              <v:imagedata r:id="rId15" o:title=""/>
            </v:shape>
            <v:shape style="position:absolute;left:3923;top:1439;width:11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w10:wrap type="none"/>
          </v:group>
        </w:pict>
      </w:r>
      <w:r>
        <w:rPr>
          <w:sz w:val="12"/>
        </w:rPr>
        <w:t>4</w:t>
      </w:r>
    </w:p>
    <w:p>
      <w:pPr>
        <w:pStyle w:val="BodyText"/>
        <w:rPr>
          <w:sz w:val="12"/>
        </w:rPr>
      </w:pPr>
    </w:p>
    <w:p>
      <w:pPr>
        <w:pStyle w:val="BodyText"/>
        <w:spacing w:before="2"/>
        <w:rPr>
          <w:sz w:val="12"/>
        </w:rPr>
      </w:pPr>
    </w:p>
    <w:p>
      <w:pPr>
        <w:spacing w:before="1"/>
        <w:ind w:left="0" w:right="203" w:firstLine="0"/>
        <w:jc w:val="right"/>
        <w:rPr>
          <w:sz w:val="12"/>
        </w:rPr>
      </w:pPr>
      <w:r>
        <w:rPr>
          <w:sz w:val="12"/>
        </w:rPr>
        <w:t>3</w:t>
      </w:r>
    </w:p>
    <w:p>
      <w:pPr>
        <w:pStyle w:val="BodyText"/>
        <w:rPr>
          <w:sz w:val="12"/>
        </w:rPr>
      </w:pPr>
    </w:p>
    <w:p>
      <w:pPr>
        <w:pStyle w:val="BodyText"/>
        <w:spacing w:before="2"/>
        <w:rPr>
          <w:sz w:val="12"/>
        </w:rPr>
      </w:pPr>
    </w:p>
    <w:p>
      <w:pPr>
        <w:spacing w:before="1"/>
        <w:ind w:left="0" w:right="203" w:firstLine="0"/>
        <w:jc w:val="right"/>
        <w:rPr>
          <w:sz w:val="12"/>
        </w:rPr>
      </w:pPr>
      <w:r>
        <w:rPr>
          <w:sz w:val="12"/>
        </w:rPr>
        <w:t>2</w:t>
      </w:r>
    </w:p>
    <w:p>
      <w:pPr>
        <w:pStyle w:val="BodyText"/>
        <w:rPr>
          <w:sz w:val="12"/>
        </w:rPr>
      </w:pPr>
    </w:p>
    <w:p>
      <w:pPr>
        <w:pStyle w:val="BodyText"/>
        <w:spacing w:before="2"/>
        <w:rPr>
          <w:sz w:val="12"/>
        </w:rPr>
      </w:pPr>
    </w:p>
    <w:p>
      <w:pPr>
        <w:spacing w:before="1"/>
        <w:ind w:left="0" w:right="203" w:firstLine="0"/>
        <w:jc w:val="right"/>
        <w:rPr>
          <w:sz w:val="12"/>
        </w:rPr>
      </w:pPr>
      <w:r>
        <w:rPr>
          <w:sz w:val="12"/>
        </w:rPr>
        <w:t>1</w:t>
      </w:r>
    </w:p>
    <w:p>
      <w:pPr>
        <w:pStyle w:val="BodyText"/>
        <w:rPr>
          <w:sz w:val="12"/>
        </w:rPr>
      </w:pPr>
    </w:p>
    <w:p>
      <w:pPr>
        <w:pStyle w:val="BodyText"/>
        <w:spacing w:before="2"/>
        <w:rPr>
          <w:sz w:val="12"/>
        </w:rPr>
      </w:pPr>
    </w:p>
    <w:p>
      <w:pPr>
        <w:spacing w:before="0"/>
        <w:ind w:left="0" w:right="203" w:firstLine="0"/>
        <w:jc w:val="right"/>
        <w:rPr>
          <w:sz w:val="12"/>
        </w:rPr>
      </w:pPr>
      <w:r>
        <w:rPr/>
        <w:drawing>
          <wp:anchor distT="0" distB="0" distL="0" distR="0" allowOverlap="1" layoutInCell="1" locked="0" behindDoc="0" simplePos="0" relativeHeight="15730688">
            <wp:simplePos x="0" y="0"/>
            <wp:positionH relativeFrom="page">
              <wp:posOffset>545172</wp:posOffset>
            </wp:positionH>
            <wp:positionV relativeFrom="paragraph">
              <wp:posOffset>42161</wp:posOffset>
            </wp:positionV>
            <wp:extent cx="1958721" cy="9525"/>
            <wp:effectExtent l="0" t="0" r="0" b="0"/>
            <wp:wrapNone/>
            <wp:docPr id="9" name="image4.png"/>
            <wp:cNvGraphicFramePr>
              <a:graphicFrameLocks noChangeAspect="1"/>
            </wp:cNvGraphicFramePr>
            <a:graphic>
              <a:graphicData uri="http://schemas.openxmlformats.org/drawingml/2006/picture">
                <pic:pic>
                  <pic:nvPicPr>
                    <pic:cNvPr id="10" name="image4.png"/>
                    <pic:cNvPicPr/>
                  </pic:nvPicPr>
                  <pic:blipFill>
                    <a:blip r:embed="rId16" cstate="print"/>
                    <a:stretch>
                      <a:fillRect/>
                    </a:stretch>
                  </pic:blipFill>
                  <pic:spPr>
                    <a:xfrm>
                      <a:off x="0" y="0"/>
                      <a:ext cx="1958721" cy="9525"/>
                    </a:xfrm>
                    <a:prstGeom prst="rect">
                      <a:avLst/>
                    </a:prstGeom>
                  </pic:spPr>
                </pic:pic>
              </a:graphicData>
            </a:graphic>
          </wp:anchor>
        </w:drawing>
      </w:r>
      <w:r>
        <w:rPr>
          <w:sz w:val="12"/>
        </w:rPr>
        <w:t>0</w:t>
      </w:r>
    </w:p>
    <w:p>
      <w:pPr>
        <w:spacing w:before="45"/>
        <w:ind w:left="0" w:right="329" w:firstLine="0"/>
        <w:jc w:val="right"/>
        <w:rPr>
          <w:sz w:val="16"/>
        </w:rPr>
      </w:pPr>
      <w:r>
        <w:rPr/>
        <w:drawing>
          <wp:anchor distT="0" distB="0" distL="0" distR="0" allowOverlap="1" layoutInCell="1" locked="0" behindDoc="0" simplePos="0" relativeHeight="15730176">
            <wp:simplePos x="0" y="0"/>
            <wp:positionH relativeFrom="page">
              <wp:posOffset>545172</wp:posOffset>
            </wp:positionH>
            <wp:positionV relativeFrom="paragraph">
              <wp:posOffset>160055</wp:posOffset>
            </wp:positionV>
            <wp:extent cx="1958721" cy="69976"/>
            <wp:effectExtent l="0" t="0" r="0" b="0"/>
            <wp:wrapNone/>
            <wp:docPr id="11" name="image5.png"/>
            <wp:cNvGraphicFramePr>
              <a:graphicFrameLocks noChangeAspect="1"/>
            </wp:cNvGraphicFramePr>
            <a:graphic>
              <a:graphicData uri="http://schemas.openxmlformats.org/drawingml/2006/picture">
                <pic:pic>
                  <pic:nvPicPr>
                    <pic:cNvPr id="12" name="image5.png"/>
                    <pic:cNvPicPr/>
                  </pic:nvPicPr>
                  <pic:blipFill>
                    <a:blip r:embed="rId17" cstate="print"/>
                    <a:stretch>
                      <a:fillRect/>
                    </a:stretch>
                  </pic:blipFill>
                  <pic:spPr>
                    <a:xfrm>
                      <a:off x="0" y="0"/>
                      <a:ext cx="1958721" cy="69976"/>
                    </a:xfrm>
                    <a:prstGeom prst="rect">
                      <a:avLst/>
                    </a:prstGeom>
                  </pic:spPr>
                </pic:pic>
              </a:graphicData>
            </a:graphic>
          </wp:anchor>
        </w:drawing>
      </w:r>
      <w:r>
        <w:rPr>
          <w:sz w:val="16"/>
        </w:rPr>
        <w:t>–</w:t>
      </w:r>
    </w:p>
    <w:p>
      <w:pPr>
        <w:spacing w:line="122" w:lineRule="exact" w:before="50"/>
        <w:ind w:left="3439" w:right="0" w:firstLine="0"/>
        <w:jc w:val="left"/>
        <w:rPr>
          <w:sz w:val="12"/>
        </w:rPr>
      </w:pPr>
      <w:r>
        <w:rPr>
          <w:sz w:val="12"/>
        </w:rPr>
        <w:t>1</w:t>
      </w:r>
    </w:p>
    <w:p>
      <w:pPr>
        <w:tabs>
          <w:tab w:pos="910" w:val="left" w:leader="none"/>
          <w:tab w:pos="1330" w:val="left" w:leader="none"/>
          <w:tab w:pos="1755" w:val="left" w:leader="none"/>
          <w:tab w:pos="2105" w:val="left" w:leader="none"/>
          <w:tab w:pos="2580" w:val="left" w:leader="none"/>
          <w:tab w:pos="2990" w:val="left" w:leader="none"/>
        </w:tabs>
        <w:spacing w:line="122" w:lineRule="exact" w:before="0"/>
        <w:ind w:left="435" w:right="0" w:firstLine="0"/>
        <w:jc w:val="left"/>
        <w:rPr>
          <w:sz w:val="12"/>
        </w:rPr>
      </w:pPr>
      <w:r>
        <w:rPr>
          <w:sz w:val="12"/>
        </w:rPr>
        <w:t>1996</w:t>
        <w:tab/>
        <w:t>97</w:t>
        <w:tab/>
        <w:t>98</w:t>
        <w:tab/>
        <w:t>99</w:t>
        <w:tab/>
        <w:t>2000</w:t>
        <w:tab/>
        <w:t>01</w:t>
        <w:tab/>
        <w:t>02</w:t>
      </w:r>
    </w:p>
    <w:p>
      <w:pPr>
        <w:pStyle w:val="BodyText"/>
        <w:spacing w:before="3"/>
        <w:rPr>
          <w:sz w:val="13"/>
        </w:rPr>
      </w:pPr>
    </w:p>
    <w:p>
      <w:pPr>
        <w:spacing w:line="208" w:lineRule="auto" w:before="0"/>
        <w:ind w:left="195" w:right="181" w:firstLine="0"/>
        <w:jc w:val="left"/>
        <w:rPr>
          <w:sz w:val="12"/>
        </w:rPr>
      </w:pPr>
      <w:r>
        <w:rPr>
          <w:sz w:val="12"/>
        </w:rPr>
        <w:t>The fan chart depicting the probability distribution for output growth is rather like a contour map. At any given point during the forecast period, the depth of shading represents the height of the probability density function over a range of outcomes for output.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5"/>
        </w:rPr>
      </w:pPr>
    </w:p>
    <w:p>
      <w:pPr>
        <w:spacing w:before="0"/>
        <w:ind w:left="195" w:right="0" w:firstLine="0"/>
        <w:jc w:val="left"/>
        <w:rPr>
          <w:b/>
          <w:sz w:val="20"/>
        </w:rPr>
      </w:pPr>
      <w:r>
        <w:rPr>
          <w:b/>
          <w:color w:val="0092C7"/>
          <w:sz w:val="20"/>
        </w:rPr>
        <w:t>Chart 2</w:t>
      </w:r>
    </w:p>
    <w:p>
      <w:pPr>
        <w:spacing w:line="249" w:lineRule="auto" w:before="10"/>
        <w:ind w:left="195" w:right="13" w:firstLine="0"/>
        <w:jc w:val="left"/>
        <w:rPr>
          <w:b/>
          <w:sz w:val="20"/>
        </w:rPr>
      </w:pPr>
      <w:r>
        <w:rPr>
          <w:b/>
          <w:color w:val="0092C7"/>
          <w:sz w:val="20"/>
        </w:rPr>
        <w:t>Current RPIX inflation projection based on constant nominal interest rates at 6%</w:t>
      </w:r>
    </w:p>
    <w:p>
      <w:pPr>
        <w:spacing w:line="121" w:lineRule="exact" w:before="126"/>
        <w:ind w:left="1153" w:right="0" w:firstLine="0"/>
        <w:jc w:val="left"/>
        <w:rPr>
          <w:sz w:val="12"/>
        </w:rPr>
      </w:pPr>
      <w:r>
        <w:rPr>
          <w:sz w:val="12"/>
        </w:rPr>
        <w:t>Percentage increase in prices on a year earlier</w:t>
      </w:r>
    </w:p>
    <w:p>
      <w:pPr>
        <w:spacing w:line="121" w:lineRule="exact" w:before="0"/>
        <w:ind w:left="3449" w:right="0" w:firstLine="0"/>
        <w:jc w:val="left"/>
        <w:rPr>
          <w:sz w:val="12"/>
        </w:rPr>
      </w:pPr>
      <w:r>
        <w:rPr/>
        <w:drawing>
          <wp:anchor distT="0" distB="0" distL="0" distR="0" allowOverlap="1" layoutInCell="1" locked="0" behindDoc="0" simplePos="0" relativeHeight="15735296">
            <wp:simplePos x="0" y="0"/>
            <wp:positionH relativeFrom="page">
              <wp:posOffset>2476106</wp:posOffset>
            </wp:positionH>
            <wp:positionV relativeFrom="paragraph">
              <wp:posOffset>27887</wp:posOffset>
            </wp:positionV>
            <wp:extent cx="47840" cy="6350"/>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13" cstate="print"/>
                    <a:stretch>
                      <a:fillRect/>
                    </a:stretch>
                  </pic:blipFill>
                  <pic:spPr>
                    <a:xfrm>
                      <a:off x="0" y="0"/>
                      <a:ext cx="47840" cy="6350"/>
                    </a:xfrm>
                    <a:prstGeom prst="rect">
                      <a:avLst/>
                    </a:prstGeom>
                  </pic:spPr>
                </pic:pic>
              </a:graphicData>
            </a:graphic>
          </wp:anchor>
        </w:drawing>
      </w:r>
      <w:r>
        <w:rPr/>
        <w:drawing>
          <wp:anchor distT="0" distB="0" distL="0" distR="0" allowOverlap="1" layoutInCell="1" locked="0" behindDoc="0" simplePos="0" relativeHeight="15736832">
            <wp:simplePos x="0" y="0"/>
            <wp:positionH relativeFrom="page">
              <wp:posOffset>526592</wp:posOffset>
            </wp:positionH>
            <wp:positionV relativeFrom="paragraph">
              <wp:posOffset>27887</wp:posOffset>
            </wp:positionV>
            <wp:extent cx="47828" cy="635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13" cstate="print"/>
                    <a:stretch>
                      <a:fillRect/>
                    </a:stretch>
                  </pic:blipFill>
                  <pic:spPr>
                    <a:xfrm>
                      <a:off x="0" y="0"/>
                      <a:ext cx="47828" cy="6350"/>
                    </a:xfrm>
                    <a:prstGeom prst="rect">
                      <a:avLst/>
                    </a:prstGeom>
                  </pic:spPr>
                </pic:pic>
              </a:graphicData>
            </a:graphic>
          </wp:anchor>
        </w:drawing>
      </w:r>
      <w:r>
        <w:rPr>
          <w:sz w:val="12"/>
        </w:rPr>
        <w:t>5</w:t>
      </w:r>
    </w:p>
    <w:p>
      <w:pPr>
        <w:pStyle w:val="BodyText"/>
        <w:rPr>
          <w:sz w:val="12"/>
        </w:rPr>
      </w:pPr>
    </w:p>
    <w:p>
      <w:pPr>
        <w:pStyle w:val="BodyText"/>
        <w:rPr>
          <w:sz w:val="12"/>
        </w:rPr>
      </w:pPr>
    </w:p>
    <w:p>
      <w:pPr>
        <w:pStyle w:val="BodyText"/>
        <w:spacing w:before="9"/>
        <w:rPr>
          <w:sz w:val="16"/>
        </w:rPr>
      </w:pPr>
    </w:p>
    <w:p>
      <w:pPr>
        <w:spacing w:before="0"/>
        <w:ind w:left="0" w:right="193" w:firstLine="0"/>
        <w:jc w:val="right"/>
        <w:rPr>
          <w:sz w:val="12"/>
        </w:rPr>
      </w:pPr>
      <w:r>
        <w:rPr/>
        <w:pict>
          <v:group style="position:absolute;margin-left:41.464001pt;margin-top:3.040753pt;width:157.3pt;height:84.9pt;mso-position-horizontal-relative:page;mso-position-vertical-relative:paragraph;z-index:15736320" coordorigin="829,61" coordsize="3146,1698">
            <v:shape style="position:absolute;left:829;top:60;width:3146;height:1698" type="#_x0000_t75" stroked="false">
              <v:imagedata r:id="rId18" o:title=""/>
            </v:shape>
            <v:shape style="position:absolute;left:829;top:60;width:3146;height:1698"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6"/>
                      <w:rPr>
                        <w:sz w:val="11"/>
                      </w:rPr>
                    </w:pPr>
                  </w:p>
                  <w:p>
                    <w:pPr>
                      <w:tabs>
                        <w:tab w:pos="3146" w:val="left" w:leader="none"/>
                      </w:tabs>
                      <w:spacing w:before="1"/>
                      <w:ind w:left="116" w:right="-15" w:firstLine="0"/>
                      <w:jc w:val="left"/>
                      <w:rPr>
                        <w:sz w:val="12"/>
                      </w:rPr>
                    </w:pPr>
                    <w:r>
                      <w:rPr>
                        <w:sz w:val="12"/>
                        <w:u w:val="single"/>
                      </w:rPr>
                      <w:t> </w:t>
                      <w:tab/>
                    </w:r>
                  </w:p>
                </w:txbxContent>
              </v:textbox>
              <w10:wrap type="none"/>
            </v:shape>
            <w10:wrap type="none"/>
          </v:group>
        </w:pict>
      </w:r>
      <w:r>
        <w:rPr>
          <w:sz w:val="12"/>
        </w:rPr>
        <w:t>4</w:t>
      </w:r>
    </w:p>
    <w:p>
      <w:pPr>
        <w:pStyle w:val="BodyText"/>
        <w:spacing w:before="5"/>
        <w:rPr>
          <w:sz w:val="21"/>
        </w:rPr>
      </w:pPr>
      <w:r>
        <w:rPr/>
        <w:br w:type="column"/>
      </w:r>
      <w:r>
        <w:rPr>
          <w:sz w:val="21"/>
        </w:rPr>
      </w:r>
    </w:p>
    <w:p>
      <w:pPr>
        <w:pStyle w:val="BodyText"/>
        <w:spacing w:line="242" w:lineRule="auto"/>
        <w:ind w:left="189" w:right="29"/>
      </w:pPr>
      <w:r>
        <w:rPr/>
        <w:t>exchange rate profile of 107.5, this being the average value over the five working days</w:t>
      </w:r>
      <w:r>
        <w:rPr>
          <w:position w:val="5"/>
          <w:sz w:val="16"/>
        </w:rPr>
        <w:t>(1) </w:t>
      </w:r>
      <w:r>
        <w:rPr/>
        <w:t>to 8 November.</w:t>
      </w:r>
    </w:p>
    <w:p>
      <w:pPr>
        <w:pStyle w:val="BodyText"/>
        <w:spacing w:line="242" w:lineRule="auto" w:before="3"/>
        <w:ind w:left="189" w:right="159"/>
      </w:pPr>
      <w:r>
        <w:rPr/>
        <w:t>Chart 1 shows the </w:t>
      </w:r>
      <w:r>
        <w:rPr>
          <w:spacing w:val="-3"/>
        </w:rPr>
        <w:t>Committee’s </w:t>
      </w:r>
      <w:r>
        <w:rPr/>
        <w:t>assessment of the outlook for GDP growth. In the central projection, annual</w:t>
      </w:r>
      <w:r>
        <w:rPr>
          <w:spacing w:val="-7"/>
        </w:rPr>
        <w:t> </w:t>
      </w:r>
      <w:r>
        <w:rPr/>
        <w:t>growth</w:t>
      </w:r>
      <w:r>
        <w:rPr>
          <w:spacing w:val="-7"/>
        </w:rPr>
        <w:t> </w:t>
      </w:r>
      <w:r>
        <w:rPr/>
        <w:t>eases</w:t>
      </w:r>
      <w:r>
        <w:rPr>
          <w:spacing w:val="-8"/>
        </w:rPr>
        <w:t> </w:t>
      </w:r>
      <w:r>
        <w:rPr/>
        <w:t>towards</w:t>
      </w:r>
      <w:r>
        <w:rPr>
          <w:spacing w:val="-7"/>
        </w:rPr>
        <w:t> </w:t>
      </w:r>
      <w:r>
        <w:rPr/>
        <w:t>trend</w:t>
      </w:r>
      <w:r>
        <w:rPr>
          <w:spacing w:val="-7"/>
        </w:rPr>
        <w:t> </w:t>
      </w:r>
      <w:r>
        <w:rPr/>
        <w:t>next</w:t>
      </w:r>
      <w:r>
        <w:rPr>
          <w:spacing w:val="-7"/>
        </w:rPr>
        <w:t> </w:t>
      </w:r>
      <w:r>
        <w:rPr/>
        <w:t>year</w:t>
      </w:r>
      <w:r>
        <w:rPr>
          <w:spacing w:val="-7"/>
        </w:rPr>
        <w:t> </w:t>
      </w:r>
      <w:r>
        <w:rPr/>
        <w:t>and</w:t>
      </w:r>
      <w:r>
        <w:rPr>
          <w:spacing w:val="-7"/>
        </w:rPr>
        <w:t> </w:t>
      </w:r>
      <w:r>
        <w:rPr/>
        <w:t>remains there into 2002. This projection incorporates sufficient easing in the growth of </w:t>
      </w:r>
      <w:r>
        <w:rPr>
          <w:spacing w:val="-3"/>
        </w:rPr>
        <w:t>private </w:t>
      </w:r>
      <w:r>
        <w:rPr/>
        <w:t>final domestic demand to accommodate a firmer contribution from the public </w:t>
      </w:r>
      <w:r>
        <w:rPr>
          <w:spacing w:val="-3"/>
        </w:rPr>
        <w:t>sector. </w:t>
      </w:r>
      <w:r>
        <w:rPr/>
        <w:t>The overall growth projection for the second year of the forecast is slightly weaker than in the August </w:t>
      </w:r>
      <w:r>
        <w:rPr>
          <w:i/>
        </w:rPr>
        <w:t>Report</w:t>
      </w:r>
      <w:r>
        <w:rPr/>
        <w:t>.</w:t>
      </w:r>
    </w:p>
    <w:p>
      <w:pPr>
        <w:pStyle w:val="BodyText"/>
        <w:spacing w:before="4"/>
        <w:rPr>
          <w:sz w:val="25"/>
        </w:rPr>
      </w:pPr>
    </w:p>
    <w:p>
      <w:pPr>
        <w:pStyle w:val="BodyText"/>
        <w:spacing w:line="242" w:lineRule="auto"/>
        <w:ind w:left="189" w:right="168"/>
      </w:pPr>
      <w:r>
        <w:rPr/>
        <w:t>Chart 2 shows the corresponding projection for RPIX inflation. In the central projection inflation stays slightly below the target </w:t>
      </w:r>
      <w:r>
        <w:rPr>
          <w:spacing w:val="-3"/>
        </w:rPr>
        <w:t>level </w:t>
      </w:r>
      <w:r>
        <w:rPr/>
        <w:t>of 2</w:t>
      </w:r>
      <w:r>
        <w:rPr>
          <w:position w:val="8"/>
          <w:sz w:val="12"/>
        </w:rPr>
        <w:t>1</w:t>
      </w:r>
      <w:r>
        <w:rPr/>
        <w:t>/</w:t>
      </w:r>
      <w:r>
        <w:rPr>
          <w:sz w:val="12"/>
        </w:rPr>
        <w:t>2</w:t>
      </w:r>
      <w:r>
        <w:rPr/>
        <w:t>% during 2001, but thereafter edges up to around target at the two-year horizon. The outlook for inflation is also a little softer than in the August </w:t>
      </w:r>
      <w:r>
        <w:rPr>
          <w:i/>
        </w:rPr>
        <w:t>Report</w:t>
      </w:r>
      <w:r>
        <w:rPr/>
        <w:t>, with the effects of a firmer exchange rate and lower earnings growth more than offsetting the impact of higher energy</w:t>
      </w:r>
      <w:r>
        <w:rPr>
          <w:spacing w:val="-16"/>
        </w:rPr>
        <w:t> </w:t>
      </w:r>
      <w:r>
        <w:rPr/>
        <w:t>prices.</w:t>
      </w:r>
    </w:p>
    <w:p>
      <w:pPr>
        <w:pStyle w:val="BodyText"/>
        <w:spacing w:before="2"/>
        <w:rPr>
          <w:sz w:val="25"/>
        </w:rPr>
      </w:pPr>
    </w:p>
    <w:p>
      <w:pPr>
        <w:pStyle w:val="BodyText"/>
        <w:spacing w:line="242" w:lineRule="auto" w:before="1"/>
        <w:ind w:left="189" w:right="29"/>
      </w:pPr>
      <w:r>
        <w:rPr/>
        <w:t>As always, considerable uncertainties surround the projections for inflation and growth, and not every Committee member shares all the assumptions that underlie them. Some members prefer alternative assumptions about supply-side and labour market developments. In combination these could raise or lower the inflation profile by up to </w:t>
      </w:r>
      <w:r>
        <w:rPr>
          <w:position w:val="8"/>
          <w:sz w:val="12"/>
        </w:rPr>
        <w:t>1</w:t>
      </w:r>
      <w:r>
        <w:rPr/>
        <w:t>/</w:t>
      </w:r>
      <w:r>
        <w:rPr>
          <w:sz w:val="12"/>
        </w:rPr>
        <w:t>4</w:t>
      </w:r>
      <w:r>
        <w:rPr/>
        <w:t>% at the forecast horizon.</w:t>
      </w:r>
    </w:p>
    <w:p>
      <w:pPr>
        <w:spacing w:after="0" w:line="242" w:lineRule="auto"/>
        <w:sectPr>
          <w:type w:val="continuous"/>
          <w:pgSz w:w="11900" w:h="16840"/>
          <w:pgMar w:top="1260" w:bottom="280" w:left="640" w:right="640"/>
          <w:cols w:num="2" w:equalWidth="0">
            <w:col w:w="3706" w:space="1091"/>
            <w:col w:w="5823"/>
          </w:cols>
        </w:sectPr>
      </w:pPr>
    </w:p>
    <w:p>
      <w:pPr>
        <w:pStyle w:val="BodyText"/>
        <w:spacing w:before="3"/>
        <w:rPr>
          <w:sz w:val="17"/>
        </w:rPr>
      </w:pPr>
    </w:p>
    <w:p>
      <w:pPr>
        <w:spacing w:after="0"/>
        <w:rPr>
          <w:sz w:val="17"/>
        </w:rPr>
        <w:sectPr>
          <w:type w:val="continuous"/>
          <w:pgSz w:w="11900" w:h="16840"/>
          <w:pgMar w:top="1260" w:bottom="280" w:left="640" w:right="6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6"/>
        </w:rPr>
      </w:pPr>
    </w:p>
    <w:p>
      <w:pPr>
        <w:pStyle w:val="BodyText"/>
        <w:spacing w:line="20" w:lineRule="exact"/>
        <w:ind w:left="189"/>
        <w:rPr>
          <w:sz w:val="2"/>
        </w:rPr>
      </w:pPr>
      <w:r>
        <w:rPr>
          <w:sz w:val="2"/>
        </w:rPr>
        <w:drawing>
          <wp:inline distT="0" distB="0" distL="0" distR="0">
            <wp:extent cx="47349" cy="6286"/>
            <wp:effectExtent l="0" t="0" r="0" b="0"/>
            <wp:docPr id="17" name="image7.png"/>
            <wp:cNvGraphicFramePr>
              <a:graphicFrameLocks noChangeAspect="1"/>
            </wp:cNvGraphicFramePr>
            <a:graphic>
              <a:graphicData uri="http://schemas.openxmlformats.org/drawingml/2006/picture">
                <pic:pic>
                  <pic:nvPicPr>
                    <pic:cNvPr id="18" name="image7.png"/>
                    <pic:cNvPicPr/>
                  </pic:nvPicPr>
                  <pic:blipFill>
                    <a:blip r:embed="rId19" cstate="print"/>
                    <a:stretch>
                      <a:fillRect/>
                    </a:stretch>
                  </pic:blipFill>
                  <pic:spPr>
                    <a:xfrm>
                      <a:off x="0" y="0"/>
                      <a:ext cx="47349" cy="6286"/>
                    </a:xfrm>
                    <a:prstGeom prst="rect">
                      <a:avLst/>
                    </a:prstGeom>
                  </pic:spPr>
                </pic:pic>
              </a:graphicData>
            </a:graphic>
          </wp:inline>
        </w:drawing>
      </w:r>
      <w:r>
        <w:rPr>
          <w:sz w:val="2"/>
        </w:rPr>
      </w:r>
    </w:p>
    <w:p>
      <w:pPr>
        <w:pStyle w:val="BodyText"/>
        <w:rPr>
          <w:sz w:val="12"/>
        </w:rPr>
      </w:pPr>
    </w:p>
    <w:p>
      <w:pPr>
        <w:pStyle w:val="BodyText"/>
        <w:rPr>
          <w:sz w:val="12"/>
        </w:rPr>
      </w:pPr>
    </w:p>
    <w:p>
      <w:pPr>
        <w:pStyle w:val="BodyText"/>
        <w:rPr>
          <w:sz w:val="12"/>
        </w:rPr>
      </w:pPr>
    </w:p>
    <w:p>
      <w:pPr>
        <w:pStyle w:val="BodyText"/>
        <w:spacing w:before="8"/>
        <w:rPr>
          <w:sz w:val="16"/>
        </w:rPr>
      </w:pPr>
    </w:p>
    <w:p>
      <w:pPr>
        <w:tabs>
          <w:tab w:pos="895" w:val="left" w:leader="none"/>
          <w:tab w:pos="1338" w:val="left" w:leader="none"/>
          <w:tab w:pos="1764" w:val="left" w:leader="none"/>
          <w:tab w:pos="2140" w:val="left" w:leader="none"/>
          <w:tab w:pos="2630" w:val="left" w:leader="none"/>
          <w:tab w:pos="3052" w:val="left" w:leader="none"/>
        </w:tabs>
        <w:spacing w:before="0"/>
        <w:ind w:left="416" w:right="0" w:firstLine="0"/>
        <w:jc w:val="left"/>
        <w:rPr>
          <w:sz w:val="12"/>
        </w:rPr>
      </w:pPr>
      <w:r>
        <w:rPr>
          <w:sz w:val="12"/>
        </w:rPr>
        <w:t>1996</w:t>
        <w:tab/>
        <w:t>97</w:t>
        <w:tab/>
        <w:t>98</w:t>
        <w:tab/>
        <w:t>99</w:t>
        <w:tab/>
        <w:t>2000</w:t>
        <w:tab/>
        <w:t>01</w:t>
        <w:tab/>
      </w:r>
      <w:r>
        <w:rPr>
          <w:spacing w:val="-10"/>
          <w:sz w:val="12"/>
        </w:rPr>
        <w:t>02</w:t>
      </w:r>
    </w:p>
    <w:p>
      <w:pPr>
        <w:pStyle w:val="BodyText"/>
        <w:spacing w:before="11"/>
        <w:rPr>
          <w:sz w:val="15"/>
        </w:rPr>
      </w:pPr>
      <w:r>
        <w:rPr/>
        <w:br w:type="column"/>
      </w:r>
      <w:r>
        <w:rPr>
          <w:sz w:val="15"/>
        </w:rPr>
      </w:r>
    </w:p>
    <w:p>
      <w:pPr>
        <w:spacing w:before="0"/>
        <w:ind w:left="0" w:right="54" w:firstLine="0"/>
        <w:jc w:val="right"/>
        <w:rPr>
          <w:sz w:val="12"/>
        </w:rPr>
      </w:pPr>
      <w:r>
        <w:rPr>
          <w:sz w:val="12"/>
        </w:rPr>
        <w:t>3</w:t>
      </w:r>
    </w:p>
    <w:p>
      <w:pPr>
        <w:pStyle w:val="BodyText"/>
        <w:spacing w:before="1"/>
        <w:rPr>
          <w:sz w:val="12"/>
        </w:rPr>
      </w:pPr>
    </w:p>
    <w:p>
      <w:pPr>
        <w:spacing w:before="0"/>
        <w:ind w:left="0" w:right="38" w:firstLine="0"/>
        <w:jc w:val="right"/>
        <w:rPr>
          <w:sz w:val="12"/>
        </w:rPr>
      </w:pPr>
      <w:r>
        <w:rPr>
          <w:sz w:val="12"/>
        </w:rPr>
        <w:t>2.5</w:t>
      </w:r>
    </w:p>
    <w:p>
      <w:pPr>
        <w:pStyle w:val="BodyText"/>
        <w:spacing w:before="8"/>
        <w:rPr>
          <w:sz w:val="16"/>
        </w:rPr>
      </w:pPr>
    </w:p>
    <w:p>
      <w:pPr>
        <w:spacing w:before="0"/>
        <w:ind w:left="0" w:right="54" w:firstLine="0"/>
        <w:jc w:val="right"/>
        <w:rPr>
          <w:sz w:val="12"/>
        </w:rPr>
      </w:pPr>
      <w:r>
        <w:rPr>
          <w:sz w:val="12"/>
        </w:rPr>
        <w:t>2</w:t>
      </w:r>
    </w:p>
    <w:p>
      <w:pPr>
        <w:pStyle w:val="BodyText"/>
        <w:rPr>
          <w:sz w:val="12"/>
        </w:rPr>
      </w:pPr>
    </w:p>
    <w:p>
      <w:pPr>
        <w:pStyle w:val="BodyText"/>
        <w:rPr>
          <w:sz w:val="12"/>
        </w:rPr>
      </w:pPr>
    </w:p>
    <w:p>
      <w:pPr>
        <w:pStyle w:val="BodyText"/>
        <w:spacing w:before="9"/>
        <w:rPr>
          <w:sz w:val="16"/>
        </w:rPr>
      </w:pPr>
    </w:p>
    <w:p>
      <w:pPr>
        <w:spacing w:before="0"/>
        <w:ind w:left="0" w:right="54" w:firstLine="0"/>
        <w:jc w:val="right"/>
        <w:rPr>
          <w:sz w:val="12"/>
        </w:rPr>
      </w:pPr>
      <w:r>
        <w:rPr/>
        <w:drawing>
          <wp:anchor distT="0" distB="0" distL="0" distR="0" allowOverlap="1" layoutInCell="1" locked="0" behindDoc="0" simplePos="0" relativeHeight="15734784">
            <wp:simplePos x="0" y="0"/>
            <wp:positionH relativeFrom="page">
              <wp:posOffset>2476106</wp:posOffset>
            </wp:positionH>
            <wp:positionV relativeFrom="paragraph">
              <wp:posOffset>38625</wp:posOffset>
            </wp:positionV>
            <wp:extent cx="47840" cy="6350"/>
            <wp:effectExtent l="0" t="0" r="0" b="0"/>
            <wp:wrapNone/>
            <wp:docPr id="19" name="image7.png"/>
            <wp:cNvGraphicFramePr>
              <a:graphicFrameLocks noChangeAspect="1"/>
            </wp:cNvGraphicFramePr>
            <a:graphic>
              <a:graphicData uri="http://schemas.openxmlformats.org/drawingml/2006/picture">
                <pic:pic>
                  <pic:nvPicPr>
                    <pic:cNvPr id="20" name="image7.png"/>
                    <pic:cNvPicPr/>
                  </pic:nvPicPr>
                  <pic:blipFill>
                    <a:blip r:embed="rId19" cstate="print"/>
                    <a:stretch>
                      <a:fillRect/>
                    </a:stretch>
                  </pic:blipFill>
                  <pic:spPr>
                    <a:xfrm>
                      <a:off x="0" y="0"/>
                      <a:ext cx="47840" cy="6350"/>
                    </a:xfrm>
                    <a:prstGeom prst="rect">
                      <a:avLst/>
                    </a:prstGeom>
                  </pic:spPr>
                </pic:pic>
              </a:graphicData>
            </a:graphic>
          </wp:anchor>
        </w:drawing>
      </w:r>
      <w:r>
        <w:rPr>
          <w:sz w:val="12"/>
        </w:rPr>
        <w:t>1</w:t>
      </w:r>
    </w:p>
    <w:p>
      <w:pPr>
        <w:pStyle w:val="BodyText"/>
        <w:rPr>
          <w:sz w:val="12"/>
        </w:rPr>
      </w:pPr>
    </w:p>
    <w:p>
      <w:pPr>
        <w:pStyle w:val="BodyText"/>
        <w:rPr>
          <w:sz w:val="12"/>
        </w:rPr>
      </w:pPr>
    </w:p>
    <w:p>
      <w:pPr>
        <w:pStyle w:val="BodyText"/>
        <w:spacing w:before="8"/>
        <w:rPr>
          <w:sz w:val="16"/>
        </w:rPr>
      </w:pPr>
    </w:p>
    <w:p>
      <w:pPr>
        <w:spacing w:before="1"/>
        <w:ind w:left="0" w:right="54" w:firstLine="0"/>
        <w:jc w:val="right"/>
        <w:rPr>
          <w:sz w:val="12"/>
        </w:rPr>
      </w:pPr>
      <w:r>
        <w:rPr/>
        <w:drawing>
          <wp:anchor distT="0" distB="0" distL="0" distR="0" allowOverlap="1" layoutInCell="1" locked="0" behindDoc="0" simplePos="0" relativeHeight="15734272">
            <wp:simplePos x="0" y="0"/>
            <wp:positionH relativeFrom="page">
              <wp:posOffset>526592</wp:posOffset>
            </wp:positionH>
            <wp:positionV relativeFrom="paragraph">
              <wp:posOffset>-29291</wp:posOffset>
            </wp:positionV>
            <wp:extent cx="1997354" cy="74904"/>
            <wp:effectExtent l="0" t="0" r="0" b="0"/>
            <wp:wrapNone/>
            <wp:docPr id="21" name="image8.png"/>
            <wp:cNvGraphicFramePr>
              <a:graphicFrameLocks noChangeAspect="1"/>
            </wp:cNvGraphicFramePr>
            <a:graphic>
              <a:graphicData uri="http://schemas.openxmlformats.org/drawingml/2006/picture">
                <pic:pic>
                  <pic:nvPicPr>
                    <pic:cNvPr id="22" name="image8.png"/>
                    <pic:cNvPicPr/>
                  </pic:nvPicPr>
                  <pic:blipFill>
                    <a:blip r:embed="rId20" cstate="print"/>
                    <a:stretch>
                      <a:fillRect/>
                    </a:stretch>
                  </pic:blipFill>
                  <pic:spPr>
                    <a:xfrm>
                      <a:off x="0" y="0"/>
                      <a:ext cx="1997354" cy="74904"/>
                    </a:xfrm>
                    <a:prstGeom prst="rect">
                      <a:avLst/>
                    </a:prstGeom>
                  </pic:spPr>
                </pic:pic>
              </a:graphicData>
            </a:graphic>
          </wp:anchor>
        </w:drawing>
      </w:r>
      <w:r>
        <w:rPr>
          <w:sz w:val="12"/>
        </w:rPr>
        <w:t>0</w:t>
      </w:r>
    </w:p>
    <w:p>
      <w:pPr>
        <w:pStyle w:val="BodyText"/>
        <w:spacing w:line="242" w:lineRule="auto" w:before="90"/>
        <w:ind w:left="189" w:right="162"/>
      </w:pPr>
      <w:r>
        <w:rPr/>
        <w:br w:type="column"/>
      </w:r>
      <w:r>
        <w:rPr/>
        <w:t>The central projection is for steady growth at around the trend rate with inflation close to target. In the </w:t>
      </w:r>
      <w:r>
        <w:rPr>
          <w:spacing w:val="-3"/>
        </w:rPr>
        <w:t>Committee’s </w:t>
      </w:r>
      <w:r>
        <w:rPr/>
        <w:t>judgment, the risks to this projection are </w:t>
      </w:r>
      <w:r>
        <w:rPr>
          <w:spacing w:val="-3"/>
        </w:rPr>
        <w:t>evenly </w:t>
      </w:r>
      <w:r>
        <w:rPr/>
        <w:t>balanced. But doubts about the speed of the slowdown in the world </w:t>
      </w:r>
      <w:r>
        <w:rPr>
          <w:spacing w:val="-3"/>
        </w:rPr>
        <w:t>economy, </w:t>
      </w:r>
      <w:r>
        <w:rPr/>
        <w:t>the evolution of oil prices, the pace of the deceleration in </w:t>
      </w:r>
      <w:r>
        <w:rPr>
          <w:spacing w:val="-3"/>
        </w:rPr>
        <w:t>private </w:t>
      </w:r>
      <w:r>
        <w:rPr/>
        <w:t>sector demand and the likelihood of continued benign outcomes in the labour market </w:t>
      </w:r>
      <w:r>
        <w:rPr>
          <w:spacing w:val="-3"/>
        </w:rPr>
        <w:t>have </w:t>
      </w:r>
      <w:r>
        <w:rPr/>
        <w:t>made the</w:t>
      </w:r>
      <w:r>
        <w:rPr>
          <w:spacing w:val="-37"/>
        </w:rPr>
        <w:t> </w:t>
      </w:r>
      <w:r>
        <w:rPr/>
        <w:t>Committee</w:t>
      </w:r>
    </w:p>
    <w:p>
      <w:pPr>
        <w:spacing w:after="0" w:line="242" w:lineRule="auto"/>
        <w:sectPr>
          <w:type w:val="continuous"/>
          <w:pgSz w:w="11900" w:h="16840"/>
          <w:pgMar w:top="1260" w:bottom="280" w:left="640" w:right="640"/>
          <w:cols w:num="3" w:equalWidth="0">
            <w:col w:w="3173" w:space="40"/>
            <w:col w:w="354" w:space="1229"/>
            <w:col w:w="5824"/>
          </w:cols>
        </w:sectPr>
      </w:pPr>
    </w:p>
    <w:p>
      <w:pPr>
        <w:spacing w:line="208" w:lineRule="auto" w:before="60"/>
        <w:ind w:left="194" w:right="38" w:firstLine="0"/>
        <w:jc w:val="left"/>
        <w:rPr>
          <w:sz w:val="12"/>
        </w:rPr>
      </w:pPr>
      <w:r>
        <w:rPr>
          <w:sz w:val="12"/>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w:t>
      </w:r>
      <w:r>
        <w:rPr>
          <w:spacing w:val="-2"/>
          <w:sz w:val="12"/>
        </w:rPr>
        <w:t> </w:t>
      </w:r>
      <w:r>
        <w:rPr>
          <w:sz w:val="12"/>
        </w:rPr>
        <w:t>outcomes.</w:t>
      </w:r>
    </w:p>
    <w:p>
      <w:pPr>
        <w:pStyle w:val="BodyText"/>
        <w:spacing w:line="242" w:lineRule="auto" w:before="10"/>
        <w:ind w:left="194" w:right="216"/>
      </w:pPr>
      <w:r>
        <w:rPr/>
        <w:br w:type="column"/>
      </w:r>
      <w:r>
        <w:rPr/>
        <w:t>more uncertain about prospects than in August. As ever, the Committee’s evaluation of the evolving prospect for future inflation will determine whether further changes in policy are required in order to meet the target.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r>
        <w:rPr/>
        <w:pict>
          <v:shape style="position:absolute;margin-left:280.279999pt;margin-top:13.091594pt;width:276.75pt;height:.1pt;mso-position-horizontal-relative:page;mso-position-vertical-relative:paragraph;z-index:-15727616;mso-wrap-distance-left:0;mso-wrap-distance-right:0" coordorigin="5606,262" coordsize="5535,0" path="m5606,262l11140,262e" filled="false" stroked="true" strokeweight=".125pt" strokecolor="#000000">
            <v:path arrowok="t"/>
            <v:stroke dashstyle="solid"/>
            <w10:wrap type="topAndBottom"/>
          </v:shape>
        </w:pict>
      </w:r>
    </w:p>
    <w:p>
      <w:pPr>
        <w:pStyle w:val="ListParagraph"/>
        <w:numPr>
          <w:ilvl w:val="0"/>
          <w:numId w:val="1"/>
        </w:numPr>
        <w:tabs>
          <w:tab w:pos="435" w:val="left" w:leader="none"/>
        </w:tabs>
        <w:spacing w:line="208" w:lineRule="auto" w:before="0" w:after="0"/>
        <w:ind w:left="434" w:right="789" w:hanging="240"/>
        <w:jc w:val="left"/>
        <w:rPr>
          <w:sz w:val="16"/>
        </w:rPr>
      </w:pPr>
      <w:hyperlink w:history="true" w:anchor="_bookmark32">
        <w:r>
          <w:rPr>
            <w:sz w:val="16"/>
          </w:rPr>
          <w:t>Because</w:t>
        </w:r>
        <w:r>
          <w:rPr>
            <w:spacing w:val="-6"/>
            <w:sz w:val="16"/>
          </w:rPr>
          <w:t> </w:t>
        </w:r>
        <w:r>
          <w:rPr>
            <w:sz w:val="16"/>
          </w:rPr>
          <w:t>of</w:t>
        </w:r>
        <w:r>
          <w:rPr>
            <w:spacing w:val="-6"/>
            <w:sz w:val="16"/>
          </w:rPr>
          <w:t> </w:t>
        </w:r>
        <w:r>
          <w:rPr>
            <w:sz w:val="16"/>
          </w:rPr>
          <w:t>sharp</w:t>
        </w:r>
        <w:r>
          <w:rPr>
            <w:spacing w:val="-5"/>
            <w:sz w:val="16"/>
          </w:rPr>
          <w:t> </w:t>
        </w:r>
        <w:r>
          <w:rPr>
            <w:sz w:val="16"/>
          </w:rPr>
          <w:t>movements</w:t>
        </w:r>
        <w:r>
          <w:rPr>
            <w:spacing w:val="-6"/>
            <w:sz w:val="16"/>
          </w:rPr>
          <w:t> </w:t>
        </w:r>
        <w:r>
          <w:rPr>
            <w:sz w:val="16"/>
          </w:rPr>
          <w:t>in</w:t>
        </w:r>
        <w:r>
          <w:rPr>
            <w:spacing w:val="-5"/>
            <w:sz w:val="16"/>
          </w:rPr>
          <w:t> </w:t>
        </w:r>
        <w:r>
          <w:rPr>
            <w:sz w:val="16"/>
          </w:rPr>
          <w:t>the</w:t>
        </w:r>
        <w:r>
          <w:rPr>
            <w:spacing w:val="-6"/>
            <w:sz w:val="16"/>
          </w:rPr>
          <w:t> </w:t>
        </w:r>
        <w:r>
          <w:rPr>
            <w:sz w:val="16"/>
          </w:rPr>
          <w:t>exchange</w:t>
        </w:r>
        <w:r>
          <w:rPr>
            <w:spacing w:val="-5"/>
            <w:sz w:val="16"/>
          </w:rPr>
          <w:t> </w:t>
        </w:r>
        <w:r>
          <w:rPr>
            <w:sz w:val="16"/>
          </w:rPr>
          <w:t>rate</w:t>
        </w:r>
        <w:r>
          <w:rPr>
            <w:spacing w:val="-6"/>
            <w:sz w:val="16"/>
          </w:rPr>
          <w:t> </w:t>
        </w:r>
        <w:r>
          <w:rPr>
            <w:sz w:val="16"/>
          </w:rPr>
          <w:t>prior</w:t>
        </w:r>
        <w:r>
          <w:rPr>
            <w:spacing w:val="-6"/>
            <w:sz w:val="16"/>
          </w:rPr>
          <w:t> </w:t>
        </w:r>
        <w:r>
          <w:rPr>
            <w:sz w:val="16"/>
          </w:rPr>
          <w:t>to</w:t>
        </w:r>
        <w:r>
          <w:rPr>
            <w:spacing w:val="-5"/>
            <w:sz w:val="16"/>
          </w:rPr>
          <w:t> </w:t>
        </w:r>
        <w:r>
          <w:rPr>
            <w:sz w:val="16"/>
          </w:rPr>
          <w:t>its</w:t>
        </w:r>
        <w:r>
          <w:rPr>
            <w:spacing w:val="-6"/>
            <w:sz w:val="16"/>
          </w:rPr>
          <w:t> </w:t>
        </w:r>
        <w:r>
          <w:rPr>
            <w:sz w:val="16"/>
          </w:rPr>
          <w:t>November meeting, in this instance the MPC decided to base its projections on an average for asset prices over the previous </w:t>
        </w:r>
        <w:r>
          <w:rPr>
            <w:spacing w:val="-3"/>
            <w:sz w:val="16"/>
          </w:rPr>
          <w:t>five </w:t>
        </w:r>
        <w:r>
          <w:rPr>
            <w:sz w:val="16"/>
          </w:rPr>
          <w:t>working days rather than fifteen as in recent </w:t>
        </w:r>
        <w:r>
          <w:rPr>
            <w:i/>
            <w:sz w:val="16"/>
          </w:rPr>
          <w:t>Reports</w:t>
        </w:r>
        <w:r>
          <w:rPr>
            <w:sz w:val="16"/>
          </w:rPr>
          <w:t>. </w:t>
        </w:r>
        <w:r>
          <w:rPr>
            <w:color w:val="FF0000"/>
            <w:sz w:val="16"/>
          </w:rPr>
          <w:t>See pages 51–2 in Section</w:t>
        </w:r>
        <w:r>
          <w:rPr>
            <w:color w:val="FF0000"/>
            <w:spacing w:val="-21"/>
            <w:sz w:val="16"/>
          </w:rPr>
          <w:t> </w:t>
        </w:r>
        <w:r>
          <w:rPr>
            <w:color w:val="FF0000"/>
            <w:sz w:val="16"/>
          </w:rPr>
          <w:t>6</w:t>
        </w:r>
        <w:r>
          <w:rPr>
            <w:sz w:val="16"/>
          </w:rPr>
          <w:t>.</w:t>
        </w:r>
      </w:hyperlink>
    </w:p>
    <w:p>
      <w:pPr>
        <w:spacing w:after="0" w:line="208" w:lineRule="auto"/>
        <w:jc w:val="left"/>
        <w:rPr>
          <w:sz w:val="16"/>
        </w:rPr>
        <w:sectPr>
          <w:type w:val="continuous"/>
          <w:pgSz w:w="11900" w:h="16840"/>
          <w:pgMar w:top="1260" w:bottom="280" w:left="640" w:right="640"/>
          <w:cols w:num="2" w:equalWidth="0">
            <w:col w:w="3827" w:space="964"/>
            <w:col w:w="5829"/>
          </w:cols>
        </w:sectPr>
      </w:pPr>
    </w:p>
    <w:p>
      <w:pPr>
        <w:pStyle w:val="Heading4"/>
        <w:spacing w:before="58"/>
        <w:ind w:right="866"/>
        <w:jc w:val="center"/>
      </w:pPr>
      <w:r>
        <w:rPr>
          <w:color w:val="009391"/>
        </w:rPr>
        <w:t>Contents</w:t>
      </w:r>
    </w:p>
    <w:p>
      <w:pPr>
        <w:pStyle w:val="Heading6"/>
        <w:numPr>
          <w:ilvl w:val="1"/>
          <w:numId w:val="1"/>
        </w:numPr>
        <w:tabs>
          <w:tab w:pos="5374" w:val="left" w:leader="none"/>
          <w:tab w:pos="5375" w:val="left" w:leader="none"/>
          <w:tab w:pos="10274" w:val="right" w:leader="none"/>
        </w:tabs>
        <w:spacing w:line="240" w:lineRule="auto" w:before="596" w:after="0"/>
        <w:ind w:left="5374" w:right="0" w:hanging="381"/>
        <w:jc w:val="left"/>
        <w:rPr>
          <w:b w:val="0"/>
        </w:rPr>
      </w:pPr>
      <w:hyperlink w:history="true" w:anchor="_bookmark1">
        <w:r>
          <w:rPr>
            <w:color w:val="0092C7"/>
          </w:rPr>
          <w:t>Money and</w:t>
        </w:r>
        <w:r>
          <w:rPr>
            <w:color w:val="0092C7"/>
            <w:spacing w:val="-4"/>
          </w:rPr>
          <w:t> </w:t>
        </w:r>
        <w:r>
          <w:rPr>
            <w:color w:val="0092C7"/>
          </w:rPr>
          <w:t>financial</w:t>
        </w:r>
        <w:r>
          <w:rPr>
            <w:color w:val="0092C7"/>
            <w:spacing w:val="-2"/>
          </w:rPr>
          <w:t> </w:t>
        </w:r>
        <w:r>
          <w:rPr>
            <w:color w:val="0092C7"/>
          </w:rPr>
          <w:t>markets</w:t>
        </w:r>
      </w:hyperlink>
      <w:r>
        <w:rPr>
          <w:color w:val="0092C7"/>
        </w:rPr>
        <w:tab/>
      </w:r>
      <w:r>
        <w:rPr>
          <w:b w:val="0"/>
        </w:rPr>
        <w:t>3</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1">
        <w:r>
          <w:rPr/>
          <w:t>Money</w:t>
        </w:r>
        <w:r>
          <w:rPr>
            <w:spacing w:val="-2"/>
          </w:rPr>
          <w:t> </w:t>
        </w:r>
        <w:r>
          <w:rPr/>
          <w:t>and</w:t>
        </w:r>
        <w:r>
          <w:rPr>
            <w:spacing w:val="-1"/>
          </w:rPr>
          <w:t> </w:t>
        </w:r>
        <w:r>
          <w:rPr/>
          <w:t>credit</w:t>
        </w:r>
      </w:hyperlink>
      <w:r>
        <w:rPr/>
        <w:tab/>
      </w:r>
      <w:r>
        <w:rPr>
          <w:b w:val="0"/>
        </w:rPr>
        <w:t>3</w:t>
      </w:r>
    </w:p>
    <w:p>
      <w:pPr>
        <w:pStyle w:val="BodyText"/>
        <w:tabs>
          <w:tab w:pos="10274" w:val="right" w:leader="none"/>
        </w:tabs>
        <w:spacing w:before="44"/>
        <w:ind w:left="6234"/>
      </w:pPr>
      <w:hyperlink w:history="true" w:anchor="_bookmark1">
        <w:r>
          <w:rPr/>
          <w:t>Narrow</w:t>
        </w:r>
        <w:r>
          <w:rPr>
            <w:spacing w:val="-2"/>
          </w:rPr>
          <w:t> </w:t>
        </w:r>
        <w:r>
          <w:rPr/>
          <w:t>money</w:t>
        </w:r>
      </w:hyperlink>
      <w:r>
        <w:rPr/>
        <w:tab/>
        <w:t>3</w:t>
      </w:r>
    </w:p>
    <w:p>
      <w:pPr>
        <w:pStyle w:val="BodyText"/>
        <w:tabs>
          <w:tab w:pos="10274" w:val="right" w:leader="none"/>
        </w:tabs>
        <w:spacing w:before="44"/>
        <w:ind w:left="6234"/>
      </w:pPr>
      <w:hyperlink w:history="true" w:anchor="_bookmark1">
        <w:r>
          <w:rPr/>
          <w:t>Broad money</w:t>
        </w:r>
        <w:r>
          <w:rPr>
            <w:spacing w:val="-4"/>
          </w:rPr>
          <w:t> </w:t>
        </w:r>
        <w:r>
          <w:rPr/>
          <w:t>and</w:t>
        </w:r>
        <w:r>
          <w:rPr>
            <w:spacing w:val="-1"/>
          </w:rPr>
          <w:t> </w:t>
        </w:r>
        <w:r>
          <w:rPr/>
          <w:t>credit</w:t>
        </w:r>
      </w:hyperlink>
      <w:r>
        <w:rPr/>
        <w:tab/>
        <w:t>3</w:t>
      </w:r>
    </w:p>
    <w:p>
      <w:pPr>
        <w:pStyle w:val="BodyText"/>
        <w:tabs>
          <w:tab w:pos="10274" w:val="right" w:leader="none"/>
        </w:tabs>
        <w:spacing w:before="44"/>
        <w:ind w:left="6234"/>
      </w:pPr>
      <w:hyperlink w:history="true" w:anchor="_bookmark2">
        <w:r>
          <w:rPr/>
          <w:t>Household</w:t>
        </w:r>
        <w:r>
          <w:rPr>
            <w:spacing w:val="-2"/>
          </w:rPr>
          <w:t> </w:t>
        </w:r>
        <w:r>
          <w:rPr/>
          <w:t>sector</w:t>
        </w:r>
      </w:hyperlink>
      <w:r>
        <w:rPr/>
        <w:tab/>
        <w:t>4</w:t>
      </w:r>
    </w:p>
    <w:p>
      <w:pPr>
        <w:pStyle w:val="BodyText"/>
        <w:tabs>
          <w:tab w:pos="10274" w:val="right" w:leader="none"/>
        </w:tabs>
        <w:spacing w:before="44"/>
        <w:ind w:left="6234"/>
      </w:pPr>
      <w:hyperlink w:history="true" w:anchor="_bookmark3">
        <w:r>
          <w:rPr>
            <w:spacing w:val="-3"/>
          </w:rPr>
          <w:t>Private </w:t>
        </w:r>
        <w:r>
          <w:rPr/>
          <w:t>non-financial</w:t>
        </w:r>
        <w:r>
          <w:rPr>
            <w:spacing w:val="-3"/>
          </w:rPr>
          <w:t> </w:t>
        </w:r>
        <w:r>
          <w:rPr/>
          <w:t>corporations</w:t>
        </w:r>
      </w:hyperlink>
      <w:r>
        <w:rPr/>
        <w:tab/>
        <w:t>5</w:t>
      </w:r>
    </w:p>
    <w:p>
      <w:pPr>
        <w:pStyle w:val="BodyText"/>
        <w:tabs>
          <w:tab w:pos="10274" w:val="right" w:leader="none"/>
        </w:tabs>
        <w:spacing w:before="44"/>
        <w:ind w:left="6234"/>
      </w:pPr>
      <w:hyperlink w:history="true" w:anchor="_bookmark4">
        <w:r>
          <w:rPr/>
          <w:t>Other</w:t>
        </w:r>
        <w:r>
          <w:rPr>
            <w:spacing w:val="-3"/>
          </w:rPr>
          <w:t> </w:t>
        </w:r>
        <w:r>
          <w:rPr/>
          <w:t>financial</w:t>
        </w:r>
        <w:r>
          <w:rPr>
            <w:spacing w:val="-2"/>
          </w:rPr>
          <w:t> </w:t>
        </w:r>
        <w:r>
          <w:rPr/>
          <w:t>corporations</w:t>
        </w:r>
      </w:hyperlink>
      <w:r>
        <w:rPr/>
        <w:tab/>
        <w:t>7</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4">
        <w:r>
          <w:rPr/>
          <w:t>Interest rates and</w:t>
        </w:r>
        <w:r>
          <w:rPr>
            <w:spacing w:val="-7"/>
          </w:rPr>
          <w:t> </w:t>
        </w:r>
        <w:r>
          <w:rPr/>
          <w:t>asset</w:t>
        </w:r>
        <w:r>
          <w:rPr>
            <w:spacing w:val="-2"/>
          </w:rPr>
          <w:t> </w:t>
        </w:r>
        <w:r>
          <w:rPr/>
          <w:t>prices</w:t>
        </w:r>
      </w:hyperlink>
      <w:r>
        <w:rPr/>
        <w:tab/>
      </w:r>
      <w:r>
        <w:rPr>
          <w:b w:val="0"/>
        </w:rPr>
        <w:t>7</w:t>
      </w:r>
    </w:p>
    <w:p>
      <w:pPr>
        <w:pStyle w:val="BodyText"/>
        <w:tabs>
          <w:tab w:pos="10274" w:val="right" w:leader="none"/>
        </w:tabs>
        <w:spacing w:before="44"/>
        <w:ind w:left="6234"/>
      </w:pPr>
      <w:hyperlink w:history="true" w:anchor="_bookmark4">
        <w:r>
          <w:rPr/>
          <w:t>Short-term</w:t>
        </w:r>
        <w:r>
          <w:rPr>
            <w:spacing w:val="-2"/>
          </w:rPr>
          <w:t> </w:t>
        </w:r>
        <w:r>
          <w:rPr/>
          <w:t>interest</w:t>
        </w:r>
        <w:r>
          <w:rPr>
            <w:spacing w:val="-2"/>
          </w:rPr>
          <w:t> </w:t>
        </w:r>
        <w:r>
          <w:rPr/>
          <w:t>rates</w:t>
        </w:r>
      </w:hyperlink>
      <w:r>
        <w:rPr/>
        <w:tab/>
        <w:t>7</w:t>
      </w:r>
    </w:p>
    <w:p>
      <w:pPr>
        <w:pStyle w:val="BodyText"/>
        <w:tabs>
          <w:tab w:pos="10274" w:val="right" w:leader="none"/>
        </w:tabs>
        <w:spacing w:before="44"/>
        <w:ind w:left="6234"/>
      </w:pPr>
      <w:hyperlink w:history="true" w:anchor="_bookmark5">
        <w:r>
          <w:rPr/>
          <w:t>Household</w:t>
        </w:r>
        <w:r>
          <w:rPr>
            <w:spacing w:val="-3"/>
          </w:rPr>
          <w:t> </w:t>
        </w:r>
        <w:r>
          <w:rPr/>
          <w:t>borrowing</w:t>
        </w:r>
        <w:r>
          <w:rPr>
            <w:spacing w:val="-2"/>
          </w:rPr>
          <w:t> </w:t>
        </w:r>
        <w:r>
          <w:rPr/>
          <w:t>rates</w:t>
        </w:r>
      </w:hyperlink>
      <w:r>
        <w:rPr/>
        <w:tab/>
        <w:t>8</w:t>
      </w:r>
    </w:p>
    <w:p>
      <w:pPr>
        <w:pStyle w:val="BodyText"/>
        <w:tabs>
          <w:tab w:pos="10274" w:val="right" w:leader="none"/>
        </w:tabs>
        <w:spacing w:before="44"/>
        <w:ind w:left="6234"/>
      </w:pPr>
      <w:hyperlink w:history="true" w:anchor="_bookmark5">
        <w:r>
          <w:rPr/>
          <w:t>Corporate</w:t>
        </w:r>
        <w:r>
          <w:rPr>
            <w:spacing w:val="-2"/>
          </w:rPr>
          <w:t> </w:t>
        </w:r>
        <w:r>
          <w:rPr/>
          <w:t>borrowing</w:t>
        </w:r>
        <w:r>
          <w:rPr>
            <w:spacing w:val="-2"/>
          </w:rPr>
          <w:t> </w:t>
        </w:r>
        <w:r>
          <w:rPr/>
          <w:t>rates</w:t>
        </w:r>
      </w:hyperlink>
      <w:r>
        <w:rPr/>
        <w:tab/>
        <w:t>8</w:t>
      </w:r>
    </w:p>
    <w:p>
      <w:pPr>
        <w:pStyle w:val="BodyText"/>
        <w:tabs>
          <w:tab w:pos="10274" w:val="right" w:leader="none"/>
        </w:tabs>
        <w:spacing w:before="44"/>
        <w:ind w:left="6234"/>
      </w:pPr>
      <w:hyperlink w:history="true" w:anchor="_bookmark6">
        <w:r>
          <w:rPr/>
          <w:t>Real</w:t>
        </w:r>
        <w:r>
          <w:rPr>
            <w:spacing w:val="-2"/>
          </w:rPr>
          <w:t> </w:t>
        </w:r>
        <w:r>
          <w:rPr/>
          <w:t>interest</w:t>
        </w:r>
        <w:r>
          <w:rPr>
            <w:spacing w:val="-1"/>
          </w:rPr>
          <w:t> </w:t>
        </w:r>
        <w:r>
          <w:rPr/>
          <w:t>rates</w:t>
        </w:r>
      </w:hyperlink>
      <w:r>
        <w:rPr/>
        <w:tab/>
        <w:t>9</w:t>
      </w:r>
    </w:p>
    <w:p>
      <w:pPr>
        <w:pStyle w:val="BodyText"/>
        <w:tabs>
          <w:tab w:pos="10274" w:val="right" w:leader="none"/>
        </w:tabs>
        <w:spacing w:before="44"/>
        <w:ind w:left="6234"/>
      </w:pPr>
      <w:hyperlink w:history="true" w:anchor="_bookmark6">
        <w:r>
          <w:rPr/>
          <w:t>Equity</w:t>
        </w:r>
        <w:r>
          <w:rPr>
            <w:spacing w:val="-2"/>
          </w:rPr>
          <w:t> </w:t>
        </w:r>
        <w:r>
          <w:rPr/>
          <w:t>prices</w:t>
        </w:r>
      </w:hyperlink>
      <w:r>
        <w:rPr/>
        <w:tab/>
        <w:t>9</w:t>
      </w:r>
    </w:p>
    <w:p>
      <w:pPr>
        <w:pStyle w:val="BodyText"/>
        <w:tabs>
          <w:tab w:pos="10274" w:val="right" w:leader="none"/>
        </w:tabs>
        <w:spacing w:before="44"/>
        <w:ind w:left="6234"/>
      </w:pPr>
      <w:hyperlink w:history="true" w:anchor="_bookmark7">
        <w:r>
          <w:rPr/>
          <w:t>Property</w:t>
        </w:r>
        <w:r>
          <w:rPr>
            <w:spacing w:val="-2"/>
          </w:rPr>
          <w:t> </w:t>
        </w:r>
        <w:r>
          <w:rPr/>
          <w:t>prices</w:t>
        </w:r>
      </w:hyperlink>
      <w:r>
        <w:rPr/>
        <w:tab/>
        <w:t>10</w:t>
      </w:r>
    </w:p>
    <w:p>
      <w:pPr>
        <w:pStyle w:val="BodyText"/>
        <w:tabs>
          <w:tab w:pos="10274" w:val="right" w:leader="none"/>
        </w:tabs>
        <w:spacing w:before="44"/>
        <w:ind w:left="6234"/>
      </w:pPr>
      <w:hyperlink w:history="true" w:anchor="_bookmark8">
        <w:r>
          <w:rPr/>
          <w:t>Exchange</w:t>
        </w:r>
        <w:r>
          <w:rPr>
            <w:spacing w:val="-2"/>
          </w:rPr>
          <w:t> </w:t>
        </w:r>
        <w:r>
          <w:rPr/>
          <w:t>rates</w:t>
        </w:r>
      </w:hyperlink>
      <w:r>
        <w:rPr/>
        <w:tab/>
        <w:t>11</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9">
        <w:r>
          <w:rPr/>
          <w:t>Summary</w:t>
        </w:r>
      </w:hyperlink>
      <w:r>
        <w:rPr/>
        <w:tab/>
      </w:r>
      <w:r>
        <w:rPr>
          <w:b w:val="0"/>
        </w:rPr>
        <w:t>12</w:t>
      </w:r>
    </w:p>
    <w:p>
      <w:pPr>
        <w:pStyle w:val="Heading6"/>
        <w:numPr>
          <w:ilvl w:val="1"/>
          <w:numId w:val="1"/>
        </w:numPr>
        <w:tabs>
          <w:tab w:pos="5374" w:val="left" w:leader="none"/>
          <w:tab w:pos="5375" w:val="left" w:leader="none"/>
          <w:tab w:pos="10274" w:val="right" w:leader="none"/>
        </w:tabs>
        <w:spacing w:line="240" w:lineRule="auto" w:before="364" w:after="0"/>
        <w:ind w:left="5374" w:right="0" w:hanging="381"/>
        <w:jc w:val="left"/>
        <w:rPr>
          <w:b w:val="0"/>
        </w:rPr>
      </w:pPr>
      <w:hyperlink w:history="true" w:anchor="_bookmark10">
        <w:r>
          <w:rPr>
            <w:color w:val="0092C7"/>
          </w:rPr>
          <w:t>Demand</w:t>
        </w:r>
        <w:r>
          <w:rPr>
            <w:color w:val="0092C7"/>
            <w:spacing w:val="-2"/>
          </w:rPr>
          <w:t> </w:t>
        </w:r>
        <w:r>
          <w:rPr>
            <w:color w:val="0092C7"/>
          </w:rPr>
          <w:t>and</w:t>
        </w:r>
        <w:r>
          <w:rPr>
            <w:color w:val="0092C7"/>
            <w:spacing w:val="-1"/>
          </w:rPr>
          <w:t> </w:t>
        </w:r>
        <w:r>
          <w:rPr>
            <w:color w:val="0092C7"/>
          </w:rPr>
          <w:t>output</w:t>
        </w:r>
      </w:hyperlink>
      <w:r>
        <w:rPr>
          <w:color w:val="0092C7"/>
        </w:rPr>
        <w:tab/>
      </w:r>
      <w:r>
        <w:rPr>
          <w:b w:val="0"/>
        </w:rPr>
        <w:t>13</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10">
        <w:r>
          <w:rPr/>
          <w:t>External</w:t>
        </w:r>
        <w:r>
          <w:rPr>
            <w:spacing w:val="-2"/>
          </w:rPr>
          <w:t> </w:t>
        </w:r>
        <w:r>
          <w:rPr/>
          <w:t>demand</w:t>
        </w:r>
      </w:hyperlink>
      <w:r>
        <w:rPr/>
        <w:tab/>
      </w:r>
      <w:r>
        <w:rPr>
          <w:b w:val="0"/>
        </w:rPr>
        <w:t>13</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12">
        <w:r>
          <w:rPr/>
          <w:t>Domestic</w:t>
        </w:r>
        <w:r>
          <w:rPr>
            <w:spacing w:val="-2"/>
          </w:rPr>
          <w:t> </w:t>
        </w:r>
        <w:r>
          <w:rPr/>
          <w:t>demand</w:t>
        </w:r>
      </w:hyperlink>
      <w:r>
        <w:rPr/>
        <w:tab/>
      </w:r>
      <w:r>
        <w:rPr>
          <w:b w:val="0"/>
        </w:rPr>
        <w:t>16</w:t>
      </w:r>
    </w:p>
    <w:p>
      <w:pPr>
        <w:pStyle w:val="BodyText"/>
        <w:tabs>
          <w:tab w:pos="10274" w:val="right" w:leader="none"/>
        </w:tabs>
        <w:spacing w:before="44"/>
        <w:ind w:left="6234"/>
      </w:pPr>
      <w:hyperlink w:history="true" w:anchor="_bookmark13">
        <w:r>
          <w:rPr/>
          <w:t>Consumption</w:t>
        </w:r>
      </w:hyperlink>
      <w:r>
        <w:rPr/>
        <w:tab/>
        <w:t>17</w:t>
      </w:r>
    </w:p>
    <w:p>
      <w:pPr>
        <w:pStyle w:val="BodyText"/>
        <w:tabs>
          <w:tab w:pos="10274" w:val="right" w:leader="none"/>
        </w:tabs>
        <w:spacing w:before="44"/>
        <w:ind w:left="6234"/>
      </w:pPr>
      <w:hyperlink w:history="true" w:anchor="_bookmark14">
        <w:r>
          <w:rPr>
            <w:spacing w:val="-3"/>
          </w:rPr>
          <w:t>Investment</w:t>
        </w:r>
        <w:r>
          <w:rPr>
            <w:spacing w:val="-1"/>
          </w:rPr>
          <w:t> </w:t>
        </w:r>
        <w:r>
          <w:rPr/>
          <w:t>demand</w:t>
        </w:r>
      </w:hyperlink>
      <w:r>
        <w:rPr/>
        <w:tab/>
        <w:t>18</w:t>
      </w:r>
    </w:p>
    <w:p>
      <w:pPr>
        <w:pStyle w:val="BodyText"/>
        <w:tabs>
          <w:tab w:pos="10274" w:val="right" w:leader="none"/>
        </w:tabs>
        <w:spacing w:before="44"/>
        <w:ind w:left="6234"/>
      </w:pPr>
      <w:hyperlink w:history="true" w:anchor="_bookmark15">
        <w:r>
          <w:rPr/>
          <w:t>Public</w:t>
        </w:r>
        <w:r>
          <w:rPr>
            <w:spacing w:val="-2"/>
          </w:rPr>
          <w:t> </w:t>
        </w:r>
        <w:r>
          <w:rPr/>
          <w:t>sector</w:t>
        </w:r>
        <w:r>
          <w:rPr>
            <w:spacing w:val="-2"/>
          </w:rPr>
          <w:t> </w:t>
        </w:r>
        <w:r>
          <w:rPr/>
          <w:t>consumption</w:t>
        </w:r>
      </w:hyperlink>
      <w:r>
        <w:rPr/>
        <w:tab/>
        <w:t>20</w:t>
      </w:r>
    </w:p>
    <w:p>
      <w:pPr>
        <w:pStyle w:val="BodyText"/>
        <w:tabs>
          <w:tab w:pos="10274" w:val="right" w:leader="none"/>
        </w:tabs>
        <w:spacing w:before="44"/>
        <w:ind w:left="6234"/>
      </w:pPr>
      <w:hyperlink w:history="true" w:anchor="_bookmark15">
        <w:r>
          <w:rPr>
            <w:spacing w:val="-3"/>
          </w:rPr>
          <w:t>Inventories</w:t>
        </w:r>
      </w:hyperlink>
      <w:r>
        <w:rPr>
          <w:spacing w:val="-3"/>
        </w:rPr>
        <w:tab/>
      </w:r>
      <w:r>
        <w:rPr/>
        <w:t>20</w:t>
      </w:r>
    </w:p>
    <w:p>
      <w:pPr>
        <w:pStyle w:val="ListParagraph"/>
        <w:numPr>
          <w:ilvl w:val="2"/>
          <w:numId w:val="1"/>
        </w:numPr>
        <w:tabs>
          <w:tab w:pos="5934" w:val="left" w:leader="none"/>
          <w:tab w:pos="5935" w:val="left" w:leader="none"/>
          <w:tab w:pos="10274" w:val="right" w:leader="none"/>
        </w:tabs>
        <w:spacing w:line="240" w:lineRule="auto" w:before="24" w:after="0"/>
        <w:ind w:left="5934" w:right="0" w:hanging="561"/>
        <w:jc w:val="left"/>
        <w:rPr>
          <w:sz w:val="24"/>
        </w:rPr>
      </w:pPr>
      <w:hyperlink w:history="true" w:anchor="_bookmark16">
        <w:r>
          <w:rPr>
            <w:b/>
            <w:sz w:val="24"/>
          </w:rPr>
          <w:t>Output</w:t>
        </w:r>
      </w:hyperlink>
      <w:r>
        <w:rPr>
          <w:b/>
          <w:sz w:val="24"/>
        </w:rPr>
        <w:tab/>
      </w:r>
      <w:r>
        <w:rPr>
          <w:sz w:val="24"/>
        </w:rPr>
        <w:t>21</w:t>
      </w:r>
    </w:p>
    <w:p>
      <w:pPr>
        <w:pStyle w:val="Heading6"/>
        <w:numPr>
          <w:ilvl w:val="2"/>
          <w:numId w:val="1"/>
        </w:numPr>
        <w:tabs>
          <w:tab w:pos="5934" w:val="left" w:leader="none"/>
          <w:tab w:pos="5935" w:val="left" w:leader="none"/>
          <w:tab w:pos="10274" w:val="right" w:leader="none"/>
        </w:tabs>
        <w:spacing w:line="240" w:lineRule="auto" w:before="24" w:after="0"/>
        <w:ind w:left="5934" w:right="0" w:hanging="561"/>
        <w:jc w:val="left"/>
        <w:rPr>
          <w:b w:val="0"/>
        </w:rPr>
      </w:pPr>
      <w:hyperlink w:history="true" w:anchor="_bookmark18">
        <w:r>
          <w:rPr/>
          <w:t>Summary</w:t>
        </w:r>
      </w:hyperlink>
      <w:r>
        <w:rPr/>
        <w:tab/>
      </w:r>
      <w:r>
        <w:rPr>
          <w:b w:val="0"/>
        </w:rPr>
        <w:t>24</w:t>
      </w:r>
    </w:p>
    <w:p>
      <w:pPr>
        <w:tabs>
          <w:tab w:pos="6234" w:val="left" w:leader="none"/>
          <w:tab w:pos="10274" w:val="right" w:leader="none"/>
        </w:tabs>
        <w:spacing w:before="24"/>
        <w:ind w:left="5374" w:right="0" w:firstLine="0"/>
        <w:jc w:val="left"/>
        <w:rPr>
          <w:sz w:val="24"/>
        </w:rPr>
      </w:pPr>
      <w:r>
        <w:rPr>
          <w:i/>
          <w:sz w:val="24"/>
        </w:rPr>
        <w:t>Boxes:</w:t>
        <w:tab/>
      </w:r>
      <w:hyperlink w:history="true" w:anchor="_bookmark11">
        <w:r>
          <w:rPr>
            <w:i/>
            <w:sz w:val="24"/>
          </w:rPr>
          <w:t>Oil prices and</w:t>
        </w:r>
        <w:r>
          <w:rPr>
            <w:i/>
            <w:spacing w:val="-8"/>
            <w:sz w:val="24"/>
          </w:rPr>
          <w:t> </w:t>
        </w:r>
        <w:r>
          <w:rPr>
            <w:i/>
            <w:sz w:val="24"/>
          </w:rPr>
          <w:t>economic</w:t>
        </w:r>
        <w:r>
          <w:rPr>
            <w:i/>
            <w:spacing w:val="-2"/>
            <w:sz w:val="24"/>
          </w:rPr>
          <w:t> </w:t>
        </w:r>
        <w:r>
          <w:rPr>
            <w:i/>
            <w:sz w:val="24"/>
          </w:rPr>
          <w:t>activity</w:t>
        </w:r>
      </w:hyperlink>
      <w:r>
        <w:rPr>
          <w:i/>
          <w:sz w:val="24"/>
        </w:rPr>
        <w:tab/>
      </w:r>
      <w:r>
        <w:rPr>
          <w:sz w:val="24"/>
        </w:rPr>
        <w:t>15</w:t>
      </w:r>
    </w:p>
    <w:p>
      <w:pPr>
        <w:tabs>
          <w:tab w:pos="10274" w:val="right" w:leader="none"/>
        </w:tabs>
        <w:spacing w:before="24"/>
        <w:ind w:left="6234" w:right="0" w:firstLine="0"/>
        <w:jc w:val="left"/>
        <w:rPr>
          <w:sz w:val="24"/>
        </w:rPr>
      </w:pPr>
      <w:hyperlink w:history="true" w:anchor="_bookmark17">
        <w:r>
          <w:rPr>
            <w:i/>
            <w:sz w:val="24"/>
          </w:rPr>
          <w:t>Output and the weather</w:t>
        </w:r>
      </w:hyperlink>
      <w:r>
        <w:rPr>
          <w:i/>
          <w:sz w:val="24"/>
        </w:rPr>
        <w:tab/>
      </w:r>
      <w:r>
        <w:rPr>
          <w:sz w:val="24"/>
        </w:rPr>
        <w:t>22</w:t>
      </w:r>
    </w:p>
    <w:p>
      <w:pPr>
        <w:pStyle w:val="Heading6"/>
        <w:numPr>
          <w:ilvl w:val="1"/>
          <w:numId w:val="1"/>
        </w:numPr>
        <w:tabs>
          <w:tab w:pos="5374" w:val="left" w:leader="none"/>
          <w:tab w:pos="5375" w:val="left" w:leader="none"/>
          <w:tab w:pos="10274" w:val="right" w:leader="none"/>
        </w:tabs>
        <w:spacing w:line="240" w:lineRule="auto" w:before="324" w:after="0"/>
        <w:ind w:left="5374" w:right="0" w:hanging="381"/>
        <w:jc w:val="left"/>
        <w:rPr>
          <w:b w:val="0"/>
        </w:rPr>
      </w:pPr>
      <w:hyperlink w:history="true" w:anchor="_bookmark19">
        <w:r>
          <w:rPr>
            <w:color w:val="0092C7"/>
          </w:rPr>
          <w:t>The</w:t>
        </w:r>
        <w:r>
          <w:rPr>
            <w:color w:val="0092C7"/>
            <w:spacing w:val="-2"/>
          </w:rPr>
          <w:t> </w:t>
        </w:r>
        <w:r>
          <w:rPr>
            <w:color w:val="0092C7"/>
          </w:rPr>
          <w:t>labour</w:t>
        </w:r>
        <w:r>
          <w:rPr>
            <w:color w:val="0092C7"/>
            <w:spacing w:val="-1"/>
          </w:rPr>
          <w:t> </w:t>
        </w:r>
        <w:r>
          <w:rPr>
            <w:color w:val="0092C7"/>
          </w:rPr>
          <w:t>market</w:t>
        </w:r>
      </w:hyperlink>
      <w:r>
        <w:rPr>
          <w:color w:val="0092C7"/>
        </w:rPr>
        <w:tab/>
      </w:r>
      <w:r>
        <w:rPr>
          <w:b w:val="0"/>
        </w:rPr>
        <w:t>25</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19">
        <w:r>
          <w:rPr/>
          <w:t>Employment</w:t>
        </w:r>
        <w:r>
          <w:rPr>
            <w:spacing w:val="-3"/>
          </w:rPr>
          <w:t> </w:t>
        </w:r>
        <w:r>
          <w:rPr/>
          <w:t>and</w:t>
        </w:r>
        <w:r>
          <w:rPr>
            <w:spacing w:val="-3"/>
          </w:rPr>
          <w:t> </w:t>
        </w:r>
        <w:r>
          <w:rPr/>
          <w:t>unemployment</w:t>
        </w:r>
      </w:hyperlink>
      <w:r>
        <w:rPr/>
        <w:tab/>
      </w:r>
      <w:r>
        <w:rPr>
          <w:b w:val="0"/>
        </w:rPr>
        <w:t>25</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20">
        <w:r>
          <w:rPr/>
          <w:t>Labour</w:t>
        </w:r>
        <w:r>
          <w:rPr>
            <w:spacing w:val="-2"/>
          </w:rPr>
          <w:t> </w:t>
        </w:r>
        <w:r>
          <w:rPr/>
          <w:t>productivity</w:t>
        </w:r>
      </w:hyperlink>
      <w:r>
        <w:rPr/>
        <w:tab/>
      </w:r>
      <w:r>
        <w:rPr>
          <w:b w:val="0"/>
        </w:rPr>
        <w:t>29</w:t>
      </w:r>
    </w:p>
    <w:p>
      <w:pPr>
        <w:pStyle w:val="Heading6"/>
        <w:numPr>
          <w:ilvl w:val="2"/>
          <w:numId w:val="1"/>
        </w:numPr>
        <w:tabs>
          <w:tab w:pos="5934" w:val="left" w:leader="none"/>
          <w:tab w:pos="5935" w:val="left" w:leader="none"/>
        </w:tabs>
        <w:spacing w:line="240" w:lineRule="auto" w:before="44" w:after="0"/>
        <w:ind w:left="5934" w:right="0" w:hanging="561"/>
        <w:jc w:val="left"/>
      </w:pPr>
      <w:hyperlink w:history="true" w:anchor="_bookmark21">
        <w:r>
          <w:rPr/>
          <w:t>Earnings, settlements and</w:t>
        </w:r>
        <w:r>
          <w:rPr>
            <w:spacing w:val="-5"/>
          </w:rPr>
          <w:t> </w:t>
        </w:r>
        <w:r>
          <w:rPr/>
          <w:t>unit</w:t>
        </w:r>
      </w:hyperlink>
    </w:p>
    <w:p>
      <w:pPr>
        <w:pStyle w:val="Heading6"/>
        <w:tabs>
          <w:tab w:pos="10274" w:val="right" w:leader="none"/>
        </w:tabs>
        <w:spacing w:before="44"/>
        <w:ind w:left="5934"/>
        <w:rPr>
          <w:b w:val="0"/>
        </w:rPr>
      </w:pPr>
      <w:hyperlink w:history="true" w:anchor="_bookmark21">
        <w:r>
          <w:rPr/>
          <w:t>wage</w:t>
        </w:r>
        <w:r>
          <w:rPr>
            <w:spacing w:val="-2"/>
          </w:rPr>
          <w:t> </w:t>
        </w:r>
        <w:r>
          <w:rPr/>
          <w:t>costs</w:t>
        </w:r>
      </w:hyperlink>
      <w:r>
        <w:rPr/>
        <w:tab/>
      </w:r>
      <w:r>
        <w:rPr>
          <w:b w:val="0"/>
        </w:rPr>
        <w:t>31</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23">
        <w:r>
          <w:rPr/>
          <w:t>Summary</w:t>
        </w:r>
      </w:hyperlink>
      <w:r>
        <w:rPr/>
        <w:tab/>
      </w:r>
      <w:r>
        <w:rPr>
          <w:b w:val="0"/>
        </w:rPr>
        <w:t>36</w:t>
      </w:r>
    </w:p>
    <w:p>
      <w:pPr>
        <w:pStyle w:val="Heading6"/>
        <w:numPr>
          <w:ilvl w:val="1"/>
          <w:numId w:val="1"/>
        </w:numPr>
        <w:tabs>
          <w:tab w:pos="5374" w:val="left" w:leader="none"/>
          <w:tab w:pos="5375" w:val="left" w:leader="none"/>
          <w:tab w:pos="10274" w:val="right" w:leader="none"/>
        </w:tabs>
        <w:spacing w:line="240" w:lineRule="auto" w:before="364" w:after="0"/>
        <w:ind w:left="5374" w:right="0" w:hanging="381"/>
        <w:jc w:val="left"/>
        <w:rPr>
          <w:b w:val="0"/>
        </w:rPr>
      </w:pPr>
      <w:hyperlink w:history="true" w:anchor="_bookmark24">
        <w:r>
          <w:rPr>
            <w:color w:val="0092C7"/>
          </w:rPr>
          <w:t>Costs</w:t>
        </w:r>
        <w:r>
          <w:rPr>
            <w:color w:val="0092C7"/>
            <w:spacing w:val="-2"/>
          </w:rPr>
          <w:t> </w:t>
        </w:r>
        <w:r>
          <w:rPr>
            <w:color w:val="0092C7"/>
          </w:rPr>
          <w:t>and</w:t>
        </w:r>
        <w:r>
          <w:rPr>
            <w:color w:val="0092C7"/>
            <w:spacing w:val="-1"/>
          </w:rPr>
          <w:t> </w:t>
        </w:r>
        <w:r>
          <w:rPr>
            <w:color w:val="0092C7"/>
          </w:rPr>
          <w:t>prices</w:t>
        </w:r>
      </w:hyperlink>
      <w:r>
        <w:rPr>
          <w:color w:val="0092C7"/>
        </w:rPr>
        <w:tab/>
      </w:r>
      <w:r>
        <w:rPr>
          <w:b w:val="0"/>
        </w:rPr>
        <w:t>37</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24">
        <w:r>
          <w:rPr/>
          <w:t>Raw materials and</w:t>
        </w:r>
        <w:r>
          <w:rPr>
            <w:spacing w:val="-12"/>
          </w:rPr>
          <w:t> </w:t>
        </w:r>
        <w:r>
          <w:rPr/>
          <w:t>commodity</w:t>
        </w:r>
        <w:r>
          <w:rPr>
            <w:spacing w:val="-4"/>
          </w:rPr>
          <w:t> </w:t>
        </w:r>
        <w:r>
          <w:rPr/>
          <w:t>prices</w:t>
        </w:r>
      </w:hyperlink>
      <w:r>
        <w:rPr/>
        <w:tab/>
      </w:r>
      <w:r>
        <w:rPr>
          <w:b w:val="0"/>
        </w:rPr>
        <w:t>37</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25">
        <w:r>
          <w:rPr>
            <w:spacing w:val="-5"/>
          </w:rPr>
          <w:t>Trade </w:t>
        </w:r>
        <w:r>
          <w:rPr/>
          <w:t>prices and the</w:t>
        </w:r>
        <w:r>
          <w:rPr>
            <w:spacing w:val="-4"/>
          </w:rPr>
          <w:t> </w:t>
        </w:r>
        <w:r>
          <w:rPr/>
          <w:t>exchange</w:t>
        </w:r>
        <w:r>
          <w:rPr>
            <w:spacing w:val="-2"/>
          </w:rPr>
          <w:t> </w:t>
        </w:r>
        <w:r>
          <w:rPr/>
          <w:t>rate</w:t>
        </w:r>
      </w:hyperlink>
      <w:r>
        <w:rPr/>
        <w:tab/>
      </w:r>
      <w:r>
        <w:rPr>
          <w:b w:val="0"/>
        </w:rPr>
        <w:t>38</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26">
        <w:r>
          <w:rPr/>
          <w:t>Costs and prices</w:t>
        </w:r>
        <w:r>
          <w:rPr>
            <w:spacing w:val="-9"/>
          </w:rPr>
          <w:t> </w:t>
        </w:r>
        <w:r>
          <w:rPr/>
          <w:t>in</w:t>
        </w:r>
        <w:r>
          <w:rPr>
            <w:spacing w:val="-3"/>
          </w:rPr>
          <w:t> </w:t>
        </w:r>
        <w:r>
          <w:rPr/>
          <w:t>manufacturing</w:t>
        </w:r>
      </w:hyperlink>
      <w:r>
        <w:rPr/>
        <w:tab/>
      </w:r>
      <w:r>
        <w:rPr>
          <w:b w:val="0"/>
        </w:rPr>
        <w:t>39</w:t>
      </w:r>
    </w:p>
    <w:p>
      <w:pPr>
        <w:pStyle w:val="Heading6"/>
        <w:numPr>
          <w:ilvl w:val="2"/>
          <w:numId w:val="1"/>
        </w:numPr>
        <w:tabs>
          <w:tab w:pos="5934" w:val="left" w:leader="none"/>
          <w:tab w:pos="5935" w:val="left" w:leader="none"/>
          <w:tab w:pos="10274" w:val="right" w:leader="none"/>
        </w:tabs>
        <w:spacing w:line="240" w:lineRule="auto" w:before="44" w:after="0"/>
        <w:ind w:left="5934" w:right="0" w:hanging="561"/>
        <w:jc w:val="left"/>
        <w:rPr>
          <w:b w:val="0"/>
        </w:rPr>
      </w:pPr>
      <w:hyperlink w:history="true" w:anchor="_bookmark27">
        <w:r>
          <w:rPr/>
          <w:t>Costs and prices in the</w:t>
        </w:r>
        <w:r>
          <w:rPr>
            <w:spacing w:val="-17"/>
          </w:rPr>
          <w:t> </w:t>
        </w:r>
        <w:r>
          <w:rPr/>
          <w:t>service</w:t>
        </w:r>
        <w:r>
          <w:rPr>
            <w:spacing w:val="-3"/>
          </w:rPr>
          <w:t> </w:t>
        </w:r>
        <w:r>
          <w:rPr/>
          <w:t>sector</w:t>
        </w:r>
      </w:hyperlink>
      <w:r>
        <w:rPr/>
        <w:tab/>
      </w:r>
      <w:r>
        <w:rPr>
          <w:b w:val="0"/>
        </w:rPr>
        <w:t>40</w:t>
      </w:r>
    </w:p>
    <w:p>
      <w:pPr>
        <w:spacing w:after="0" w:line="240" w:lineRule="auto"/>
        <w:jc w:val="left"/>
        <w:sectPr>
          <w:headerReference w:type="even" r:id="rId21"/>
          <w:footerReference w:type="even" r:id="rId22"/>
          <w:pgSz w:w="11900" w:h="16840"/>
          <w:pgMar w:header="0" w:footer="0" w:top="1240" w:bottom="280" w:left="640" w:right="640"/>
        </w:sectPr>
      </w:pPr>
    </w:p>
    <w:p>
      <w:pPr>
        <w:pStyle w:val="Heading6"/>
        <w:numPr>
          <w:ilvl w:val="2"/>
          <w:numId w:val="1"/>
        </w:numPr>
        <w:tabs>
          <w:tab w:pos="5919" w:val="left" w:leader="none"/>
          <w:tab w:pos="5920" w:val="left" w:leader="none"/>
          <w:tab w:pos="10019" w:val="left" w:leader="none"/>
        </w:tabs>
        <w:spacing w:line="240" w:lineRule="auto" w:before="63" w:after="0"/>
        <w:ind w:left="5919" w:right="0" w:hanging="560"/>
        <w:jc w:val="left"/>
        <w:rPr>
          <w:b w:val="0"/>
        </w:rPr>
      </w:pPr>
      <w:hyperlink w:history="true" w:anchor="_bookmark28">
        <w:r>
          <w:rPr/>
          <w:t>Retail</w:t>
        </w:r>
        <w:r>
          <w:rPr>
            <w:spacing w:val="-5"/>
          </w:rPr>
          <w:t> </w:t>
        </w:r>
        <w:r>
          <w:rPr/>
          <w:t>prices</w:t>
        </w:r>
      </w:hyperlink>
      <w:r>
        <w:rPr/>
        <w:tab/>
      </w:r>
      <w:r>
        <w:rPr>
          <w:b w:val="0"/>
        </w:rPr>
        <w:t>41</w:t>
      </w:r>
    </w:p>
    <w:p>
      <w:pPr>
        <w:pStyle w:val="Heading6"/>
        <w:numPr>
          <w:ilvl w:val="2"/>
          <w:numId w:val="1"/>
        </w:numPr>
        <w:tabs>
          <w:tab w:pos="5919" w:val="left" w:leader="none"/>
          <w:tab w:pos="5920" w:val="left" w:leader="none"/>
          <w:tab w:pos="10019" w:val="left" w:leader="none"/>
        </w:tabs>
        <w:spacing w:line="240" w:lineRule="auto" w:before="44" w:after="0"/>
        <w:ind w:left="5919" w:right="0" w:hanging="560"/>
        <w:jc w:val="left"/>
        <w:rPr>
          <w:b w:val="0"/>
        </w:rPr>
      </w:pPr>
      <w:hyperlink w:history="true" w:anchor="_bookmark29">
        <w:r>
          <w:rPr/>
          <w:t>Other</w:t>
        </w:r>
        <w:r>
          <w:rPr>
            <w:spacing w:val="-5"/>
          </w:rPr>
          <w:t> </w:t>
        </w:r>
        <w:r>
          <w:rPr/>
          <w:t>price</w:t>
        </w:r>
        <w:r>
          <w:rPr>
            <w:spacing w:val="-4"/>
          </w:rPr>
          <w:t> </w:t>
        </w:r>
        <w:r>
          <w:rPr/>
          <w:t>indices</w:t>
        </w:r>
      </w:hyperlink>
      <w:r>
        <w:rPr/>
        <w:tab/>
      </w:r>
      <w:r>
        <w:rPr>
          <w:b w:val="0"/>
        </w:rPr>
        <w:t>42</w:t>
      </w:r>
    </w:p>
    <w:p>
      <w:pPr>
        <w:pStyle w:val="Heading6"/>
        <w:numPr>
          <w:ilvl w:val="2"/>
          <w:numId w:val="1"/>
        </w:numPr>
        <w:tabs>
          <w:tab w:pos="5919" w:val="left" w:leader="none"/>
          <w:tab w:pos="5920" w:val="left" w:leader="none"/>
          <w:tab w:pos="10019" w:val="left" w:leader="none"/>
        </w:tabs>
        <w:spacing w:line="240" w:lineRule="auto" w:before="44" w:after="0"/>
        <w:ind w:left="5919" w:right="0" w:hanging="560"/>
        <w:jc w:val="left"/>
        <w:rPr>
          <w:b w:val="0"/>
        </w:rPr>
      </w:pPr>
      <w:hyperlink w:history="true" w:anchor="_bookmark30">
        <w:r>
          <w:rPr/>
          <w:t>Summary</w:t>
        </w:r>
      </w:hyperlink>
      <w:r>
        <w:rPr/>
        <w:tab/>
      </w:r>
      <w:r>
        <w:rPr>
          <w:b w:val="0"/>
        </w:rPr>
        <w:t>44</w:t>
      </w:r>
    </w:p>
    <w:p>
      <w:pPr>
        <w:pStyle w:val="ListParagraph"/>
        <w:numPr>
          <w:ilvl w:val="1"/>
          <w:numId w:val="1"/>
        </w:numPr>
        <w:tabs>
          <w:tab w:pos="5359" w:val="left" w:leader="none"/>
          <w:tab w:pos="5360" w:val="left" w:leader="none"/>
          <w:tab w:pos="10019" w:val="left" w:leader="none"/>
        </w:tabs>
        <w:spacing w:line="240" w:lineRule="auto" w:before="364" w:after="0"/>
        <w:ind w:left="5360" w:right="0" w:hanging="380"/>
        <w:jc w:val="left"/>
        <w:rPr>
          <w:sz w:val="24"/>
        </w:rPr>
      </w:pPr>
      <w:hyperlink w:history="true" w:anchor="_bookmark38">
        <w:r>
          <w:rPr>
            <w:b/>
            <w:color w:val="0092C7"/>
            <w:sz w:val="24"/>
          </w:rPr>
          <w:t>Monetary policy since the</w:t>
        </w:r>
        <w:r>
          <w:rPr>
            <w:b/>
            <w:color w:val="0092C7"/>
            <w:spacing w:val="-26"/>
            <w:sz w:val="24"/>
          </w:rPr>
          <w:t> </w:t>
        </w:r>
        <w:r>
          <w:rPr>
            <w:b/>
            <w:color w:val="0092C7"/>
            <w:spacing w:val="-3"/>
            <w:sz w:val="24"/>
          </w:rPr>
          <w:t>August</w:t>
        </w:r>
        <w:r>
          <w:rPr>
            <w:b/>
            <w:color w:val="0092C7"/>
            <w:spacing w:val="-2"/>
            <w:sz w:val="24"/>
          </w:rPr>
          <w:t> </w:t>
        </w:r>
        <w:r>
          <w:rPr>
            <w:b/>
            <w:i/>
            <w:color w:val="0092C7"/>
            <w:sz w:val="24"/>
          </w:rPr>
          <w:t>Report</w:t>
        </w:r>
      </w:hyperlink>
      <w:r>
        <w:rPr>
          <w:b/>
          <w:i/>
          <w:color w:val="0092C7"/>
          <w:sz w:val="24"/>
        </w:rPr>
        <w:tab/>
      </w:r>
      <w:r>
        <w:rPr>
          <w:sz w:val="24"/>
        </w:rPr>
        <w:t>45</w:t>
      </w:r>
    </w:p>
    <w:p>
      <w:pPr>
        <w:pStyle w:val="Heading6"/>
        <w:numPr>
          <w:ilvl w:val="1"/>
          <w:numId w:val="1"/>
        </w:numPr>
        <w:tabs>
          <w:tab w:pos="5359" w:val="left" w:leader="none"/>
          <w:tab w:pos="5360" w:val="left" w:leader="none"/>
          <w:tab w:pos="10019" w:val="left" w:leader="none"/>
        </w:tabs>
        <w:spacing w:line="240" w:lineRule="auto" w:before="364" w:after="55"/>
        <w:ind w:left="5360" w:right="0" w:hanging="380"/>
        <w:jc w:val="left"/>
        <w:rPr>
          <w:b w:val="0"/>
        </w:rPr>
      </w:pPr>
      <w:hyperlink w:history="true" w:anchor="_bookmark31">
        <w:r>
          <w:rPr>
            <w:color w:val="0092C7"/>
          </w:rPr>
          <w:t>Prospects</w:t>
        </w:r>
        <w:r>
          <w:rPr>
            <w:color w:val="0092C7"/>
            <w:spacing w:val="-6"/>
          </w:rPr>
          <w:t> </w:t>
        </w:r>
        <w:r>
          <w:rPr>
            <w:color w:val="0092C7"/>
            <w:spacing w:val="-3"/>
          </w:rPr>
          <w:t>for</w:t>
        </w:r>
        <w:r>
          <w:rPr>
            <w:color w:val="0092C7"/>
            <w:spacing w:val="-5"/>
          </w:rPr>
          <w:t> </w:t>
        </w:r>
        <w:r>
          <w:rPr>
            <w:color w:val="0092C7"/>
          </w:rPr>
          <w:t>inflation</w:t>
        </w:r>
      </w:hyperlink>
      <w:r>
        <w:rPr>
          <w:color w:val="0092C7"/>
        </w:rPr>
        <w:tab/>
      </w:r>
      <w:r>
        <w:rPr>
          <w:b w:val="0"/>
        </w:rPr>
        <w:t>49</w:t>
      </w:r>
    </w:p>
    <w:tbl>
      <w:tblPr>
        <w:tblW w:w="0" w:type="auto"/>
        <w:jc w:val="left"/>
        <w:tblInd w:w="5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6"/>
        <w:gridCol w:w="3984"/>
        <w:gridCol w:w="459"/>
      </w:tblGrid>
      <w:tr>
        <w:trPr>
          <w:trHeight w:val="292" w:hRule="atLeast"/>
        </w:trPr>
        <w:tc>
          <w:tcPr>
            <w:tcW w:w="556" w:type="dxa"/>
          </w:tcPr>
          <w:p>
            <w:pPr>
              <w:pStyle w:val="TableParagraph"/>
              <w:spacing w:line="266" w:lineRule="exact"/>
              <w:ind w:left="50"/>
              <w:rPr>
                <w:b/>
                <w:sz w:val="24"/>
              </w:rPr>
            </w:pPr>
            <w:hyperlink w:history="true" w:anchor="_bookmark31">
              <w:r>
                <w:rPr>
                  <w:b/>
                  <w:sz w:val="24"/>
                </w:rPr>
                <w:t>6.1</w:t>
              </w:r>
            </w:hyperlink>
          </w:p>
        </w:tc>
        <w:tc>
          <w:tcPr>
            <w:tcW w:w="3984" w:type="dxa"/>
          </w:tcPr>
          <w:p>
            <w:pPr>
              <w:pStyle w:val="TableParagraph"/>
              <w:spacing w:line="266" w:lineRule="exact"/>
              <w:ind w:left="53"/>
              <w:rPr>
                <w:b/>
                <w:sz w:val="24"/>
              </w:rPr>
            </w:pPr>
            <w:hyperlink w:history="true" w:anchor="_bookmark31">
              <w:r>
                <w:rPr>
                  <w:b/>
                  <w:sz w:val="24"/>
                </w:rPr>
                <w:t>The inflation projection assumptions</w:t>
              </w:r>
            </w:hyperlink>
          </w:p>
        </w:tc>
        <w:tc>
          <w:tcPr>
            <w:tcW w:w="459" w:type="dxa"/>
          </w:tcPr>
          <w:p>
            <w:pPr>
              <w:pStyle w:val="TableParagraph"/>
              <w:spacing w:line="266" w:lineRule="exact"/>
              <w:ind w:right="48"/>
              <w:jc w:val="right"/>
              <w:rPr>
                <w:sz w:val="24"/>
              </w:rPr>
            </w:pPr>
            <w:r>
              <w:rPr>
                <w:sz w:val="24"/>
              </w:rPr>
              <w:t>49</w:t>
            </w:r>
          </w:p>
        </w:tc>
      </w:tr>
      <w:tr>
        <w:trPr>
          <w:trHeight w:val="319" w:hRule="atLeast"/>
        </w:trPr>
        <w:tc>
          <w:tcPr>
            <w:tcW w:w="556" w:type="dxa"/>
          </w:tcPr>
          <w:p>
            <w:pPr>
              <w:pStyle w:val="TableParagraph"/>
              <w:spacing w:line="240" w:lineRule="auto" w:before="17"/>
              <w:ind w:left="50"/>
              <w:rPr>
                <w:b/>
                <w:sz w:val="24"/>
              </w:rPr>
            </w:pPr>
            <w:hyperlink w:history="true" w:anchor="_bookmark33">
              <w:r>
                <w:rPr>
                  <w:b/>
                  <w:sz w:val="24"/>
                </w:rPr>
                <w:t>6.2</w:t>
              </w:r>
            </w:hyperlink>
          </w:p>
        </w:tc>
        <w:tc>
          <w:tcPr>
            <w:tcW w:w="3984" w:type="dxa"/>
          </w:tcPr>
          <w:p>
            <w:pPr>
              <w:pStyle w:val="TableParagraph"/>
              <w:spacing w:line="240" w:lineRule="auto" w:before="17"/>
              <w:ind w:left="53"/>
              <w:rPr>
                <w:b/>
                <w:sz w:val="24"/>
              </w:rPr>
            </w:pPr>
            <w:hyperlink w:history="true" w:anchor="_bookmark33">
              <w:r>
                <w:rPr>
                  <w:b/>
                  <w:sz w:val="24"/>
                </w:rPr>
                <w:t>The output and inflation projections</w:t>
              </w:r>
            </w:hyperlink>
          </w:p>
        </w:tc>
        <w:tc>
          <w:tcPr>
            <w:tcW w:w="459" w:type="dxa"/>
          </w:tcPr>
          <w:p>
            <w:pPr>
              <w:pStyle w:val="TableParagraph"/>
              <w:spacing w:line="240" w:lineRule="auto" w:before="17"/>
              <w:ind w:right="48"/>
              <w:jc w:val="right"/>
              <w:rPr>
                <w:sz w:val="24"/>
              </w:rPr>
            </w:pPr>
            <w:r>
              <w:rPr>
                <w:sz w:val="24"/>
              </w:rPr>
              <w:t>53</w:t>
            </w:r>
          </w:p>
        </w:tc>
      </w:tr>
      <w:tr>
        <w:trPr>
          <w:trHeight w:val="319" w:hRule="atLeast"/>
        </w:trPr>
        <w:tc>
          <w:tcPr>
            <w:tcW w:w="556" w:type="dxa"/>
          </w:tcPr>
          <w:p>
            <w:pPr>
              <w:pStyle w:val="TableParagraph"/>
              <w:spacing w:line="240" w:lineRule="auto" w:before="17"/>
              <w:ind w:left="50"/>
              <w:rPr>
                <w:b/>
                <w:sz w:val="24"/>
              </w:rPr>
            </w:pPr>
            <w:hyperlink w:history="true" w:anchor="_bookmark37">
              <w:r>
                <w:rPr>
                  <w:b/>
                  <w:sz w:val="24"/>
                </w:rPr>
                <w:t>6.3</w:t>
              </w:r>
            </w:hyperlink>
          </w:p>
        </w:tc>
        <w:tc>
          <w:tcPr>
            <w:tcW w:w="3984" w:type="dxa"/>
          </w:tcPr>
          <w:p>
            <w:pPr>
              <w:pStyle w:val="TableParagraph"/>
              <w:spacing w:line="240" w:lineRule="auto" w:before="17"/>
              <w:ind w:left="53"/>
              <w:rPr>
                <w:b/>
                <w:sz w:val="24"/>
              </w:rPr>
            </w:pPr>
            <w:hyperlink w:history="true" w:anchor="_bookmark37">
              <w:r>
                <w:rPr>
                  <w:b/>
                  <w:sz w:val="24"/>
                </w:rPr>
                <w:t>Other forecasts</w:t>
              </w:r>
            </w:hyperlink>
          </w:p>
        </w:tc>
        <w:tc>
          <w:tcPr>
            <w:tcW w:w="459" w:type="dxa"/>
          </w:tcPr>
          <w:p>
            <w:pPr>
              <w:pStyle w:val="TableParagraph"/>
              <w:spacing w:line="240" w:lineRule="auto" w:before="17"/>
              <w:ind w:right="48"/>
              <w:jc w:val="right"/>
              <w:rPr>
                <w:sz w:val="24"/>
              </w:rPr>
            </w:pPr>
            <w:r>
              <w:rPr>
                <w:sz w:val="24"/>
              </w:rPr>
              <w:t>68</w:t>
            </w:r>
          </w:p>
        </w:tc>
      </w:tr>
      <w:tr>
        <w:trPr>
          <w:trHeight w:val="292" w:hRule="atLeast"/>
        </w:trPr>
        <w:tc>
          <w:tcPr>
            <w:tcW w:w="556" w:type="dxa"/>
          </w:tcPr>
          <w:p>
            <w:pPr>
              <w:pStyle w:val="TableParagraph"/>
              <w:spacing w:line="256" w:lineRule="exact" w:before="17"/>
              <w:ind w:left="50"/>
              <w:rPr>
                <w:i/>
                <w:sz w:val="24"/>
              </w:rPr>
            </w:pPr>
            <w:hyperlink w:history="true" w:anchor="_bookmark36">
              <w:r>
                <w:rPr>
                  <w:i/>
                  <w:sz w:val="24"/>
                </w:rPr>
                <w:t>Box:</w:t>
              </w:r>
            </w:hyperlink>
          </w:p>
        </w:tc>
        <w:tc>
          <w:tcPr>
            <w:tcW w:w="3984" w:type="dxa"/>
          </w:tcPr>
          <w:p>
            <w:pPr>
              <w:pStyle w:val="TableParagraph"/>
              <w:spacing w:line="256" w:lineRule="exact" w:before="17"/>
              <w:ind w:left="353"/>
              <w:rPr>
                <w:i/>
                <w:sz w:val="24"/>
              </w:rPr>
            </w:pPr>
            <w:hyperlink w:history="true" w:anchor="_bookmark36">
              <w:r>
                <w:rPr>
                  <w:i/>
                  <w:sz w:val="24"/>
                </w:rPr>
                <w:t>The forecast and monetary policy</w:t>
              </w:r>
            </w:hyperlink>
          </w:p>
        </w:tc>
        <w:tc>
          <w:tcPr>
            <w:tcW w:w="459" w:type="dxa"/>
          </w:tcPr>
          <w:p>
            <w:pPr>
              <w:pStyle w:val="TableParagraph"/>
              <w:spacing w:line="256" w:lineRule="exact" w:before="17"/>
              <w:ind w:right="48"/>
              <w:jc w:val="right"/>
              <w:rPr>
                <w:sz w:val="24"/>
              </w:rPr>
            </w:pPr>
            <w:r>
              <w:rPr>
                <w:sz w:val="24"/>
              </w:rPr>
              <w:t>67</w:t>
            </w:r>
          </w:p>
        </w:tc>
      </w:tr>
    </w:tbl>
    <w:p>
      <w:pPr>
        <w:pStyle w:val="BodyText"/>
        <w:spacing w:before="10"/>
        <w:rPr>
          <w:sz w:val="29"/>
        </w:rPr>
      </w:pPr>
    </w:p>
    <w:p>
      <w:pPr>
        <w:pStyle w:val="Heading6"/>
        <w:tabs>
          <w:tab w:pos="10019" w:val="left" w:leader="none"/>
        </w:tabs>
        <w:rPr>
          <w:b w:val="0"/>
        </w:rPr>
      </w:pPr>
      <w:hyperlink w:history="true" w:anchor="_bookmark38">
        <w:r>
          <w:rPr>
            <w:color w:val="0092C7"/>
          </w:rPr>
          <w:t>Agents’ summary of</w:t>
        </w:r>
        <w:r>
          <w:rPr>
            <w:color w:val="0092C7"/>
            <w:spacing w:val="-36"/>
          </w:rPr>
          <w:t> </w:t>
        </w:r>
        <w:r>
          <w:rPr>
            <w:color w:val="0092C7"/>
          </w:rPr>
          <w:t>business</w:t>
        </w:r>
        <w:r>
          <w:rPr>
            <w:color w:val="0092C7"/>
            <w:spacing w:val="-6"/>
          </w:rPr>
          <w:t> </w:t>
        </w:r>
        <w:r>
          <w:rPr>
            <w:color w:val="0092C7"/>
          </w:rPr>
          <w:t>conditions</w:t>
        </w:r>
      </w:hyperlink>
      <w:r>
        <w:rPr>
          <w:color w:val="0092C7"/>
        </w:rPr>
        <w:tab/>
      </w:r>
      <w:r>
        <w:rPr>
          <w:b w:val="0"/>
        </w:rPr>
        <w:t>71</w:t>
      </w:r>
    </w:p>
    <w:p>
      <w:pPr>
        <w:pStyle w:val="Heading6"/>
        <w:tabs>
          <w:tab w:pos="10019" w:val="left" w:leader="none"/>
        </w:tabs>
        <w:spacing w:line="278" w:lineRule="auto" w:before="364"/>
        <w:ind w:left="5960" w:right="359" w:hanging="980"/>
        <w:rPr>
          <w:b w:val="0"/>
        </w:rPr>
      </w:pPr>
      <w:hyperlink w:history="true" w:anchor="_bookmark39">
        <w:r>
          <w:rPr>
            <w:color w:val="0092C7"/>
          </w:rPr>
          <w:t>Annex:  Minutes of the Monetary Policy Committee</w:t>
        </w:r>
      </w:hyperlink>
      <w:r>
        <w:rPr>
          <w:color w:val="0092C7"/>
        </w:rPr>
        <w:tab/>
      </w:r>
      <w:r>
        <w:rPr>
          <w:b w:val="0"/>
          <w:spacing w:val="-9"/>
        </w:rPr>
        <w:t>75</w:t>
      </w:r>
    </w:p>
    <w:p>
      <w:pPr>
        <w:pStyle w:val="Heading6"/>
        <w:tabs>
          <w:tab w:pos="10019" w:val="left" w:leader="none"/>
        </w:tabs>
        <w:spacing w:line="276" w:lineRule="exact"/>
        <w:ind w:left="5920"/>
        <w:rPr>
          <w:b w:val="0"/>
        </w:rPr>
      </w:pPr>
      <w:hyperlink w:history="true" w:anchor="_bookmark40">
        <w:r>
          <w:rPr>
            <w:spacing w:val="-3"/>
          </w:rPr>
          <w:t>August </w:t>
        </w:r>
        <w:r>
          <w:rPr/>
          <w:t>meeting</w:t>
        </w:r>
      </w:hyperlink>
      <w:r>
        <w:rPr/>
        <w:tab/>
      </w:r>
      <w:r>
        <w:rPr>
          <w:b w:val="0"/>
        </w:rPr>
        <w:t>77</w:t>
      </w:r>
    </w:p>
    <w:p>
      <w:pPr>
        <w:pStyle w:val="Heading6"/>
        <w:tabs>
          <w:tab w:pos="10019" w:val="left" w:leader="none"/>
        </w:tabs>
        <w:spacing w:before="44"/>
        <w:ind w:left="5920"/>
        <w:rPr>
          <w:b w:val="0"/>
        </w:rPr>
      </w:pPr>
      <w:hyperlink w:history="true" w:anchor="_bookmark41">
        <w:r>
          <w:rPr/>
          <w:t>September</w:t>
        </w:r>
        <w:r>
          <w:rPr>
            <w:spacing w:val="-6"/>
          </w:rPr>
          <w:t> </w:t>
        </w:r>
        <w:r>
          <w:rPr/>
          <w:t>meeting</w:t>
        </w:r>
      </w:hyperlink>
      <w:r>
        <w:rPr/>
        <w:tab/>
      </w:r>
      <w:r>
        <w:rPr>
          <w:b w:val="0"/>
        </w:rPr>
        <w:t>84</w:t>
      </w:r>
    </w:p>
    <w:p>
      <w:pPr>
        <w:pStyle w:val="Heading6"/>
        <w:tabs>
          <w:tab w:pos="10019" w:val="left" w:leader="none"/>
        </w:tabs>
        <w:spacing w:before="44"/>
        <w:ind w:left="5920"/>
        <w:rPr>
          <w:b w:val="0"/>
        </w:rPr>
      </w:pPr>
      <w:hyperlink w:history="true" w:anchor="_bookmark42">
        <w:r>
          <w:rPr/>
          <w:t>September</w:t>
        </w:r>
        <w:r>
          <w:rPr>
            <w:spacing w:val="-7"/>
          </w:rPr>
          <w:t> </w:t>
        </w:r>
        <w:r>
          <w:rPr/>
          <w:t>Press</w:t>
        </w:r>
        <w:r>
          <w:rPr>
            <w:spacing w:val="-6"/>
          </w:rPr>
          <w:t> </w:t>
        </w:r>
        <w:r>
          <w:rPr/>
          <w:t>Notice</w:t>
        </w:r>
      </w:hyperlink>
      <w:r>
        <w:rPr/>
        <w:tab/>
      </w:r>
      <w:r>
        <w:rPr>
          <w:b w:val="0"/>
        </w:rPr>
        <w:t>92</w:t>
      </w:r>
    </w:p>
    <w:p>
      <w:pPr>
        <w:pStyle w:val="Heading6"/>
        <w:tabs>
          <w:tab w:pos="10019" w:val="left" w:leader="none"/>
        </w:tabs>
        <w:spacing w:before="44"/>
        <w:ind w:left="5920"/>
        <w:rPr>
          <w:b w:val="0"/>
        </w:rPr>
      </w:pPr>
      <w:hyperlink w:history="true" w:anchor="_bookmark43">
        <w:r>
          <w:rPr/>
          <w:t>October</w:t>
        </w:r>
        <w:r>
          <w:rPr>
            <w:spacing w:val="-5"/>
          </w:rPr>
          <w:t> </w:t>
        </w:r>
        <w:r>
          <w:rPr/>
          <w:t>meeting</w:t>
        </w:r>
      </w:hyperlink>
      <w:r>
        <w:rPr/>
        <w:tab/>
      </w:r>
      <w:r>
        <w:rPr>
          <w:b w:val="0"/>
        </w:rPr>
        <w:t>93</w:t>
      </w:r>
    </w:p>
    <w:p>
      <w:pPr>
        <w:pStyle w:val="Heading6"/>
        <w:tabs>
          <w:tab w:pos="9899" w:val="left" w:leader="none"/>
        </w:tabs>
        <w:spacing w:before="44"/>
        <w:ind w:left="5920"/>
        <w:rPr>
          <w:b w:val="0"/>
        </w:rPr>
      </w:pPr>
      <w:hyperlink w:history="true" w:anchor="_bookmark44">
        <w:r>
          <w:rPr/>
          <w:t>October</w:t>
        </w:r>
        <w:r>
          <w:rPr>
            <w:spacing w:val="-6"/>
          </w:rPr>
          <w:t> </w:t>
        </w:r>
        <w:r>
          <w:rPr/>
          <w:t>Press</w:t>
        </w:r>
        <w:r>
          <w:rPr>
            <w:spacing w:val="-6"/>
          </w:rPr>
          <w:t> </w:t>
        </w:r>
        <w:r>
          <w:rPr/>
          <w:t>Notice</w:t>
        </w:r>
      </w:hyperlink>
      <w:r>
        <w:rPr/>
        <w:tab/>
      </w:r>
      <w:r>
        <w:rPr>
          <w:b w:val="0"/>
        </w:rPr>
        <w:t>101</w:t>
      </w:r>
    </w:p>
    <w:p>
      <w:pPr>
        <w:pStyle w:val="Heading6"/>
        <w:tabs>
          <w:tab w:pos="9899" w:val="left" w:leader="none"/>
        </w:tabs>
        <w:spacing w:before="44"/>
        <w:ind w:left="5920"/>
        <w:rPr>
          <w:b w:val="0"/>
        </w:rPr>
      </w:pPr>
      <w:hyperlink w:history="true" w:anchor="_bookmark44">
        <w:r>
          <w:rPr/>
          <w:t>November</w:t>
        </w:r>
        <w:r>
          <w:rPr>
            <w:spacing w:val="-7"/>
          </w:rPr>
          <w:t> </w:t>
        </w:r>
        <w:r>
          <w:rPr/>
          <w:t>Press</w:t>
        </w:r>
        <w:r>
          <w:rPr>
            <w:spacing w:val="-7"/>
          </w:rPr>
          <w:t> </w:t>
        </w:r>
        <w:r>
          <w:rPr/>
          <w:t>Notice</w:t>
        </w:r>
      </w:hyperlink>
      <w:r>
        <w:rPr/>
        <w:tab/>
      </w:r>
      <w:r>
        <w:rPr>
          <w:b w:val="0"/>
        </w:rPr>
        <w:t>101</w:t>
      </w:r>
    </w:p>
    <w:p>
      <w:pPr>
        <w:pStyle w:val="Heading6"/>
        <w:tabs>
          <w:tab w:pos="9899" w:val="left" w:leader="none"/>
        </w:tabs>
        <w:spacing w:before="364"/>
        <w:rPr>
          <w:b w:val="0"/>
        </w:rPr>
      </w:pPr>
      <w:hyperlink w:history="true" w:anchor="_bookmark45">
        <w:r>
          <w:rPr>
            <w:color w:val="0092C7"/>
          </w:rPr>
          <w:t>Glossary and</w:t>
        </w:r>
        <w:r>
          <w:rPr>
            <w:color w:val="0092C7"/>
            <w:spacing w:val="-13"/>
          </w:rPr>
          <w:t> </w:t>
        </w:r>
        <w:r>
          <w:rPr>
            <w:color w:val="0092C7"/>
          </w:rPr>
          <w:t>other</w:t>
        </w:r>
        <w:r>
          <w:rPr>
            <w:color w:val="0092C7"/>
            <w:spacing w:val="-7"/>
          </w:rPr>
          <w:t> </w:t>
        </w:r>
        <w:r>
          <w:rPr>
            <w:color w:val="0092C7"/>
          </w:rPr>
          <w:t>information</w:t>
        </w:r>
      </w:hyperlink>
      <w:r>
        <w:rPr>
          <w:color w:val="0092C7"/>
        </w:rPr>
        <w:tab/>
      </w:r>
      <w:r>
        <w:rPr>
          <w:b w:val="0"/>
        </w:rPr>
        <w:t>102</w:t>
      </w:r>
    </w:p>
    <w:p>
      <w:pPr>
        <w:pStyle w:val="BodyText"/>
        <w:rPr>
          <w:sz w:val="26"/>
        </w:rPr>
      </w:pPr>
    </w:p>
    <w:p>
      <w:pPr>
        <w:pStyle w:val="BodyText"/>
        <w:rPr>
          <w:sz w:val="26"/>
        </w:rPr>
      </w:pPr>
    </w:p>
    <w:p>
      <w:pPr>
        <w:pStyle w:val="BodyText"/>
        <w:spacing w:before="7"/>
        <w:rPr>
          <w:sz w:val="28"/>
        </w:rPr>
      </w:pPr>
    </w:p>
    <w:p>
      <w:pPr>
        <w:spacing w:before="0"/>
        <w:ind w:left="4980" w:right="0" w:firstLine="0"/>
        <w:jc w:val="left"/>
        <w:rPr>
          <w:b/>
          <w:sz w:val="28"/>
        </w:rPr>
      </w:pPr>
      <w:r>
        <w:rPr>
          <w:b/>
          <w:color w:val="009391"/>
          <w:sz w:val="28"/>
        </w:rPr>
        <w:t>Links to Quarterly Bulletin</w:t>
      </w:r>
    </w:p>
    <w:p>
      <w:pPr>
        <w:spacing w:before="216"/>
        <w:ind w:left="4980" w:right="0" w:firstLine="0"/>
        <w:jc w:val="left"/>
        <w:rPr>
          <w:b/>
          <w:sz w:val="24"/>
        </w:rPr>
      </w:pPr>
      <w:r>
        <w:rPr>
          <w:b/>
          <w:color w:val="0092C7"/>
          <w:sz w:val="24"/>
        </w:rPr>
        <w:t>Section 1</w:t>
      </w:r>
    </w:p>
    <w:p>
      <w:pPr>
        <w:pStyle w:val="BodyText"/>
        <w:spacing w:before="2"/>
        <w:rPr>
          <w:b/>
          <w:sz w:val="21"/>
        </w:rPr>
      </w:pPr>
    </w:p>
    <w:p>
      <w:pPr>
        <w:pStyle w:val="BodyText"/>
        <w:spacing w:line="278" w:lineRule="auto"/>
        <w:ind w:left="4980"/>
      </w:pPr>
      <w:r>
        <w:rPr/>
        <w:t>Inferring market interest rate expectations from money market rates</w:t>
      </w:r>
    </w:p>
    <w:p>
      <w:pPr>
        <w:pStyle w:val="BodyText"/>
        <w:spacing w:line="276" w:lineRule="exact"/>
        <w:ind w:left="4980"/>
      </w:pPr>
      <w:r>
        <w:rPr/>
        <w:t>Quarterly Bulletin, November 2000, pages 392–402.</w:t>
      </w:r>
    </w:p>
    <w:p>
      <w:pPr>
        <w:pStyle w:val="BodyText"/>
        <w:spacing w:before="8"/>
        <w:rPr>
          <w:sz w:val="31"/>
        </w:rPr>
      </w:pPr>
    </w:p>
    <w:p>
      <w:pPr>
        <w:pStyle w:val="BodyText"/>
        <w:ind w:left="4980"/>
      </w:pPr>
      <w:r>
        <w:rPr/>
        <w:t>Markets and operations</w:t>
      </w:r>
    </w:p>
    <w:p>
      <w:pPr>
        <w:pStyle w:val="BodyText"/>
        <w:spacing w:before="44"/>
        <w:ind w:left="4980"/>
      </w:pPr>
      <w:r>
        <w:rPr/>
        <w:t>Quarterly Bulletin, November 2000, pages 321–38.</w:t>
      </w:r>
    </w:p>
    <w:p>
      <w:pPr>
        <w:pStyle w:val="BodyText"/>
        <w:spacing w:before="7"/>
        <w:rPr>
          <w:sz w:val="31"/>
        </w:rPr>
      </w:pPr>
    </w:p>
    <w:p>
      <w:pPr>
        <w:pStyle w:val="Heading6"/>
      </w:pPr>
      <w:r>
        <w:rPr>
          <w:color w:val="0092C7"/>
        </w:rPr>
        <w:t>Section 2</w:t>
      </w:r>
    </w:p>
    <w:p>
      <w:pPr>
        <w:pStyle w:val="BodyText"/>
        <w:spacing w:before="3"/>
        <w:rPr>
          <w:b/>
          <w:sz w:val="21"/>
        </w:rPr>
      </w:pPr>
    </w:p>
    <w:p>
      <w:pPr>
        <w:pStyle w:val="BodyText"/>
        <w:ind w:left="4980"/>
      </w:pPr>
      <w:r>
        <w:rPr/>
        <w:t>The international environment</w:t>
      </w:r>
    </w:p>
    <w:p>
      <w:pPr>
        <w:pStyle w:val="BodyText"/>
        <w:spacing w:before="44"/>
        <w:ind w:left="4980"/>
      </w:pPr>
      <w:r>
        <w:rPr/>
        <w:t>Quarterly Bulletin, November 2000, pages 339–50.</w:t>
      </w:r>
    </w:p>
    <w:p>
      <w:pPr>
        <w:pStyle w:val="BodyText"/>
        <w:spacing w:before="7"/>
        <w:rPr>
          <w:sz w:val="31"/>
        </w:rPr>
      </w:pPr>
    </w:p>
    <w:p>
      <w:pPr>
        <w:pStyle w:val="Heading6"/>
      </w:pPr>
      <w:r>
        <w:rPr>
          <w:color w:val="0092C7"/>
        </w:rPr>
        <w:t>Section 6</w:t>
      </w:r>
    </w:p>
    <w:p>
      <w:pPr>
        <w:pStyle w:val="BodyText"/>
        <w:spacing w:before="3"/>
        <w:rPr>
          <w:b/>
          <w:sz w:val="21"/>
        </w:rPr>
      </w:pPr>
    </w:p>
    <w:p>
      <w:pPr>
        <w:pStyle w:val="BodyText"/>
        <w:spacing w:line="278" w:lineRule="auto"/>
        <w:ind w:left="4980"/>
      </w:pPr>
      <w:r>
        <w:rPr/>
        <w:t>Inferring market interest rate expectations from money market rates</w:t>
      </w:r>
    </w:p>
    <w:p>
      <w:pPr>
        <w:pStyle w:val="BodyText"/>
        <w:spacing w:line="276" w:lineRule="exact"/>
        <w:ind w:left="4980"/>
      </w:pPr>
      <w:r>
        <w:rPr/>
        <w:t>Quarterly Bulletin, November 2000, pages 392–402.</w:t>
      </w:r>
    </w:p>
    <w:p>
      <w:pPr>
        <w:spacing w:after="0" w:line="276" w:lineRule="exact"/>
        <w:sectPr>
          <w:headerReference w:type="default" r:id="rId23"/>
          <w:footerReference w:type="default" r:id="rId24"/>
          <w:pgSz w:w="11900" w:h="16840"/>
          <w:pgMar w:header="0" w:footer="0" w:top="72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pStyle w:val="BodyText"/>
        <w:spacing w:before="9"/>
        <w:rPr>
          <w:sz w:val="18"/>
        </w:rPr>
      </w:pPr>
      <w:r>
        <w:rPr/>
        <w:pict>
          <v:shape style="position:absolute;margin-left:40pt;margin-top:12.000977pt;width:516pt;height:48pt;mso-position-horizontal-relative:page;mso-position-vertical-relative:paragraph;z-index:-15719424;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Money and financial markets" w:id="2"/>
                  <w:bookmarkEnd w:id="2"/>
                  <w:r>
                    <w:rPr/>
                  </w:r>
                  <w:bookmarkStart w:name="Money and credit" w:id="3"/>
                  <w:bookmarkEnd w:id="3"/>
                  <w:r>
                    <w:rPr/>
                  </w:r>
                  <w:bookmarkStart w:name="Narrow money" w:id="4"/>
                  <w:bookmarkEnd w:id="4"/>
                  <w:r>
                    <w:rPr/>
                  </w:r>
                  <w:bookmarkStart w:name="Broad money and credit" w:id="5"/>
                  <w:bookmarkEnd w:id="5"/>
                  <w:r>
                    <w:rPr/>
                  </w:r>
                  <w:bookmarkStart w:name="_bookmark1" w:id="6"/>
                  <w:bookmarkEnd w:id="6"/>
                  <w:r>
                    <w:rPr/>
                  </w:r>
                  <w:r>
                    <w:rPr>
                      <w:b/>
                      <w:color w:val="009391"/>
                      <w:sz w:val="48"/>
                    </w:rPr>
                    <w:t>Money and</w:t>
                  </w:r>
                  <w:r>
                    <w:rPr>
                      <w:b/>
                      <w:color w:val="009391"/>
                      <w:spacing w:val="-3"/>
                      <w:sz w:val="48"/>
                    </w:rPr>
                    <w:t> financial</w:t>
                  </w:r>
                  <w:r>
                    <w:rPr>
                      <w:b/>
                      <w:color w:val="009391"/>
                      <w:spacing w:val="-1"/>
                      <w:sz w:val="48"/>
                    </w:rPr>
                    <w:t> </w:t>
                  </w:r>
                  <w:r>
                    <w:rPr>
                      <w:b/>
                      <w:color w:val="009391"/>
                      <w:sz w:val="48"/>
                    </w:rPr>
                    <w:t>markets</w:t>
                    <w:tab/>
                  </w:r>
                  <w:r>
                    <w:rPr>
                      <w:b/>
                      <w:color w:val="009391"/>
                      <w:sz w:val="72"/>
                    </w:rPr>
                    <w:t>1</w:t>
                  </w:r>
                </w:p>
              </w:txbxContent>
            </v:textbox>
            <v:fill type="solid"/>
            <w10:wrap type="topAndBottom"/>
          </v:shape>
        </w:pict>
      </w:r>
    </w:p>
    <w:p>
      <w:pPr>
        <w:pStyle w:val="BodyText"/>
        <w:rPr>
          <w:sz w:val="20"/>
        </w:rPr>
      </w:pPr>
    </w:p>
    <w:p>
      <w:pPr>
        <w:pStyle w:val="BodyText"/>
        <w:rPr>
          <w:sz w:val="20"/>
        </w:rPr>
      </w:pPr>
    </w:p>
    <w:p>
      <w:pPr>
        <w:spacing w:after="0"/>
        <w:rPr>
          <w:sz w:val="20"/>
        </w:rPr>
        <w:sectPr>
          <w:headerReference w:type="default" r:id="rId25"/>
          <w:footerReference w:type="default" r:id="rId26"/>
          <w:footerReference w:type="even" r:id="rId27"/>
          <w:pgSz w:w="11900" w:h="16840"/>
          <w:pgMar w:header="0" w:footer="612" w:top="800" w:bottom="800" w:left="640" w:right="640"/>
          <w:pgNumType w:start="3"/>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pPr>
    </w:p>
    <w:p>
      <w:pPr>
        <w:spacing w:before="0"/>
        <w:ind w:left="180" w:right="0" w:firstLine="0"/>
        <w:jc w:val="left"/>
        <w:rPr>
          <w:b/>
          <w:sz w:val="20"/>
        </w:rPr>
      </w:pPr>
      <w:r>
        <w:rPr>
          <w:b/>
          <w:color w:val="0092C7"/>
          <w:sz w:val="20"/>
        </w:rPr>
        <w:t>Table 1.A</w:t>
      </w:r>
    </w:p>
    <w:p>
      <w:pPr>
        <w:spacing w:line="249" w:lineRule="auto" w:before="10"/>
        <w:ind w:left="180" w:right="0" w:firstLine="0"/>
        <w:jc w:val="left"/>
        <w:rPr>
          <w:sz w:val="12"/>
        </w:rPr>
      </w:pPr>
      <w:r>
        <w:rPr>
          <w:b/>
          <w:color w:val="0092C7"/>
          <w:sz w:val="20"/>
        </w:rPr>
        <w:t>Growth rates of notes and coin, M4, and M4 lending</w:t>
      </w:r>
      <w:r>
        <w:rPr>
          <w:position w:val="4"/>
          <w:sz w:val="12"/>
        </w:rPr>
        <w:t>(a)</w:t>
      </w:r>
    </w:p>
    <w:p>
      <w:pPr>
        <w:spacing w:line="150" w:lineRule="exact" w:before="98"/>
        <w:ind w:left="180" w:right="0" w:firstLine="0"/>
        <w:jc w:val="left"/>
        <w:rPr>
          <w:sz w:val="14"/>
        </w:rPr>
      </w:pPr>
      <w:r>
        <w:rPr>
          <w:sz w:val="14"/>
        </w:rPr>
        <w:t>Per cent</w:t>
      </w:r>
    </w:p>
    <w:p>
      <w:pPr>
        <w:tabs>
          <w:tab w:pos="3219" w:val="left" w:leader="none"/>
        </w:tabs>
        <w:spacing w:line="150" w:lineRule="exact" w:before="0"/>
        <w:ind w:left="2202" w:right="0" w:firstLine="0"/>
        <w:jc w:val="left"/>
        <w:rPr>
          <w:sz w:val="14"/>
        </w:rPr>
      </w:pPr>
      <w:r>
        <w:rPr>
          <w:sz w:val="14"/>
          <w:u w:val="single"/>
        </w:rPr>
        <w:t>3</w:t>
      </w:r>
      <w:r>
        <w:rPr>
          <w:spacing w:val="-3"/>
          <w:sz w:val="14"/>
          <w:u w:val="single"/>
        </w:rPr>
        <w:t> </w:t>
      </w:r>
      <w:r>
        <w:rPr>
          <w:sz w:val="14"/>
          <w:u w:val="single"/>
        </w:rPr>
        <w:t>months</w:t>
      </w:r>
      <w:r>
        <w:rPr>
          <w:spacing w:val="-2"/>
          <w:sz w:val="14"/>
        </w:rPr>
        <w:t> </w:t>
      </w:r>
      <w:r>
        <w:rPr>
          <w:sz w:val="12"/>
        </w:rPr>
        <w:t>(b)</w:t>
        <w:tab/>
      </w:r>
      <w:r>
        <w:rPr>
          <w:spacing w:val="-54"/>
          <w:sz w:val="14"/>
        </w:rPr>
        <w:t>1</w:t>
      </w:r>
      <w:r>
        <w:rPr>
          <w:spacing w:val="16"/>
          <w:sz w:val="14"/>
        </w:rPr>
        <w:t> </w:t>
      </w:r>
      <w:r>
        <w:rPr>
          <w:sz w:val="14"/>
        </w:rPr>
        <w:t>2</w:t>
      </w:r>
      <w:r>
        <w:rPr>
          <w:spacing w:val="-2"/>
          <w:sz w:val="14"/>
        </w:rPr>
        <w:t> </w:t>
      </w:r>
      <w:r>
        <w:rPr>
          <w:sz w:val="14"/>
        </w:rPr>
        <w:t>months</w:t>
      </w:r>
    </w:p>
    <w:p>
      <w:pPr>
        <w:pStyle w:val="BodyText"/>
        <w:spacing w:before="9" w:after="1"/>
        <w:rPr>
          <w:sz w:val="10"/>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8"/>
        <w:gridCol w:w="1008"/>
        <w:gridCol w:w="872"/>
        <w:gridCol w:w="671"/>
      </w:tblGrid>
      <w:tr>
        <w:trPr>
          <w:trHeight w:val="147" w:hRule="atLeast"/>
        </w:trPr>
        <w:tc>
          <w:tcPr>
            <w:tcW w:w="2026" w:type="dxa"/>
            <w:gridSpan w:val="2"/>
          </w:tcPr>
          <w:p>
            <w:pPr>
              <w:pStyle w:val="TableParagraph"/>
              <w:spacing w:line="128" w:lineRule="exact"/>
              <w:ind w:left="50"/>
              <w:rPr>
                <w:sz w:val="14"/>
              </w:rPr>
            </w:pPr>
            <w:r>
              <w:rPr>
                <w:sz w:val="14"/>
              </w:rPr>
              <w:t>Notes and coin </w:t>
            </w:r>
            <w:r>
              <w:rPr>
                <w:sz w:val="12"/>
              </w:rPr>
              <w:t>(c) </w:t>
            </w:r>
            <w:r>
              <w:rPr>
                <w:sz w:val="14"/>
              </w:rPr>
              <w:t>2000 July</w:t>
            </w:r>
          </w:p>
        </w:tc>
        <w:tc>
          <w:tcPr>
            <w:tcW w:w="872" w:type="dxa"/>
          </w:tcPr>
          <w:p>
            <w:pPr>
              <w:pStyle w:val="TableParagraph"/>
              <w:spacing w:line="128" w:lineRule="exact"/>
              <w:ind w:left="319"/>
              <w:rPr>
                <w:sz w:val="14"/>
              </w:rPr>
            </w:pPr>
            <w:r>
              <w:rPr>
                <w:sz w:val="14"/>
              </w:rPr>
              <w:t>6.5</w:t>
            </w:r>
          </w:p>
        </w:tc>
        <w:tc>
          <w:tcPr>
            <w:tcW w:w="671" w:type="dxa"/>
          </w:tcPr>
          <w:p>
            <w:pPr>
              <w:pStyle w:val="TableParagraph"/>
              <w:spacing w:line="128" w:lineRule="exact"/>
              <w:ind w:right="51"/>
              <w:jc w:val="right"/>
              <w:rPr>
                <w:sz w:val="14"/>
              </w:rPr>
            </w:pPr>
            <w:r>
              <w:rPr>
                <w:sz w:val="14"/>
              </w:rPr>
              <w:t>7.1</w:t>
            </w:r>
          </w:p>
        </w:tc>
      </w:tr>
      <w:tr>
        <w:trPr>
          <w:trHeight w:val="140" w:hRule="atLeast"/>
        </w:trPr>
        <w:tc>
          <w:tcPr>
            <w:tcW w:w="2026" w:type="dxa"/>
            <w:gridSpan w:val="2"/>
          </w:tcPr>
          <w:p>
            <w:pPr>
              <w:pStyle w:val="TableParagraph"/>
              <w:ind w:right="257"/>
              <w:jc w:val="right"/>
              <w:rPr>
                <w:sz w:val="14"/>
              </w:rPr>
            </w:pPr>
            <w:r>
              <w:rPr>
                <w:sz w:val="14"/>
              </w:rPr>
              <w:t>Aug.</w:t>
            </w:r>
          </w:p>
        </w:tc>
        <w:tc>
          <w:tcPr>
            <w:tcW w:w="872" w:type="dxa"/>
          </w:tcPr>
          <w:p>
            <w:pPr>
              <w:pStyle w:val="TableParagraph"/>
              <w:ind w:left="319"/>
              <w:rPr>
                <w:sz w:val="14"/>
              </w:rPr>
            </w:pPr>
            <w:r>
              <w:rPr>
                <w:sz w:val="14"/>
              </w:rPr>
              <w:t>6.7</w:t>
            </w:r>
          </w:p>
        </w:tc>
        <w:tc>
          <w:tcPr>
            <w:tcW w:w="671" w:type="dxa"/>
          </w:tcPr>
          <w:p>
            <w:pPr>
              <w:pStyle w:val="TableParagraph"/>
              <w:ind w:right="51"/>
              <w:jc w:val="right"/>
              <w:rPr>
                <w:sz w:val="14"/>
              </w:rPr>
            </w:pPr>
            <w:r>
              <w:rPr>
                <w:sz w:val="14"/>
              </w:rPr>
              <w:t>6.9</w:t>
            </w:r>
          </w:p>
        </w:tc>
      </w:tr>
      <w:tr>
        <w:trPr>
          <w:trHeight w:val="140" w:hRule="atLeast"/>
        </w:trPr>
        <w:tc>
          <w:tcPr>
            <w:tcW w:w="2026" w:type="dxa"/>
            <w:gridSpan w:val="2"/>
          </w:tcPr>
          <w:p>
            <w:pPr>
              <w:pStyle w:val="TableParagraph"/>
              <w:ind w:right="250"/>
              <w:jc w:val="right"/>
              <w:rPr>
                <w:sz w:val="14"/>
              </w:rPr>
            </w:pPr>
            <w:r>
              <w:rPr>
                <w:sz w:val="14"/>
              </w:rPr>
              <w:t>Sept.</w:t>
            </w:r>
          </w:p>
        </w:tc>
        <w:tc>
          <w:tcPr>
            <w:tcW w:w="872" w:type="dxa"/>
          </w:tcPr>
          <w:p>
            <w:pPr>
              <w:pStyle w:val="TableParagraph"/>
              <w:ind w:left="249"/>
              <w:rPr>
                <w:sz w:val="14"/>
              </w:rPr>
            </w:pPr>
            <w:r>
              <w:rPr>
                <w:sz w:val="14"/>
              </w:rPr>
              <w:t>11.1</w:t>
            </w:r>
          </w:p>
        </w:tc>
        <w:tc>
          <w:tcPr>
            <w:tcW w:w="671" w:type="dxa"/>
          </w:tcPr>
          <w:p>
            <w:pPr>
              <w:pStyle w:val="TableParagraph"/>
              <w:ind w:right="51"/>
              <w:jc w:val="right"/>
              <w:rPr>
                <w:sz w:val="14"/>
              </w:rPr>
            </w:pPr>
            <w:r>
              <w:rPr>
                <w:sz w:val="14"/>
              </w:rPr>
              <w:t>8.8</w:t>
            </w:r>
          </w:p>
        </w:tc>
      </w:tr>
      <w:tr>
        <w:trPr>
          <w:trHeight w:val="147" w:hRule="atLeast"/>
        </w:trPr>
        <w:tc>
          <w:tcPr>
            <w:tcW w:w="2026" w:type="dxa"/>
            <w:gridSpan w:val="2"/>
          </w:tcPr>
          <w:p>
            <w:pPr>
              <w:pStyle w:val="TableParagraph"/>
              <w:spacing w:line="128" w:lineRule="exact"/>
              <w:ind w:right="296"/>
              <w:jc w:val="right"/>
              <w:rPr>
                <w:sz w:val="14"/>
              </w:rPr>
            </w:pPr>
            <w:r>
              <w:rPr>
                <w:sz w:val="14"/>
              </w:rPr>
              <w:t>Oct.</w:t>
            </w:r>
          </w:p>
        </w:tc>
        <w:tc>
          <w:tcPr>
            <w:tcW w:w="872" w:type="dxa"/>
          </w:tcPr>
          <w:p>
            <w:pPr>
              <w:pStyle w:val="TableParagraph"/>
              <w:spacing w:line="128" w:lineRule="exact"/>
              <w:ind w:left="319"/>
              <w:rPr>
                <w:sz w:val="14"/>
              </w:rPr>
            </w:pPr>
            <w:r>
              <w:rPr>
                <w:sz w:val="14"/>
              </w:rPr>
              <w:t>9.9</w:t>
            </w:r>
          </w:p>
        </w:tc>
        <w:tc>
          <w:tcPr>
            <w:tcW w:w="671" w:type="dxa"/>
          </w:tcPr>
          <w:p>
            <w:pPr>
              <w:pStyle w:val="TableParagraph"/>
              <w:spacing w:line="128" w:lineRule="exact"/>
              <w:ind w:right="51"/>
              <w:jc w:val="right"/>
              <w:rPr>
                <w:sz w:val="14"/>
              </w:rPr>
            </w:pPr>
            <w:r>
              <w:rPr>
                <w:sz w:val="14"/>
              </w:rPr>
              <w:t>8.0</w:t>
            </w:r>
          </w:p>
        </w:tc>
      </w:tr>
      <w:tr>
        <w:trPr>
          <w:trHeight w:val="272" w:hRule="atLeast"/>
        </w:trPr>
        <w:tc>
          <w:tcPr>
            <w:tcW w:w="1018" w:type="dxa"/>
          </w:tcPr>
          <w:p>
            <w:pPr>
              <w:pStyle w:val="TableParagraph"/>
              <w:spacing w:line="133" w:lineRule="exact" w:before="119"/>
              <w:ind w:left="50"/>
              <w:rPr>
                <w:sz w:val="14"/>
              </w:rPr>
            </w:pPr>
            <w:r>
              <w:rPr>
                <w:sz w:val="14"/>
              </w:rPr>
              <w:t>M4</w:t>
            </w:r>
          </w:p>
        </w:tc>
        <w:tc>
          <w:tcPr>
            <w:tcW w:w="1008" w:type="dxa"/>
          </w:tcPr>
          <w:p>
            <w:pPr>
              <w:pStyle w:val="TableParagraph"/>
              <w:spacing w:line="133" w:lineRule="exact" w:before="119"/>
              <w:ind w:right="362"/>
              <w:jc w:val="right"/>
              <w:rPr>
                <w:sz w:val="14"/>
              </w:rPr>
            </w:pPr>
            <w:r>
              <w:rPr>
                <w:sz w:val="14"/>
              </w:rPr>
              <w:t>1999 Q4</w:t>
            </w:r>
          </w:p>
        </w:tc>
        <w:tc>
          <w:tcPr>
            <w:tcW w:w="872" w:type="dxa"/>
          </w:tcPr>
          <w:p>
            <w:pPr>
              <w:pStyle w:val="TableParagraph"/>
              <w:spacing w:line="133" w:lineRule="exact" w:before="119"/>
              <w:ind w:left="319"/>
              <w:rPr>
                <w:sz w:val="14"/>
              </w:rPr>
            </w:pPr>
            <w:r>
              <w:rPr>
                <w:sz w:val="14"/>
              </w:rPr>
              <w:t>8.6</w:t>
            </w:r>
          </w:p>
        </w:tc>
        <w:tc>
          <w:tcPr>
            <w:tcW w:w="671" w:type="dxa"/>
          </w:tcPr>
          <w:p>
            <w:pPr>
              <w:pStyle w:val="TableParagraph"/>
              <w:spacing w:line="133" w:lineRule="exact" w:before="119"/>
              <w:ind w:right="51"/>
              <w:jc w:val="right"/>
              <w:rPr>
                <w:sz w:val="14"/>
              </w:rPr>
            </w:pPr>
            <w:r>
              <w:rPr>
                <w:sz w:val="14"/>
              </w:rPr>
              <w:t>4.1</w:t>
            </w:r>
          </w:p>
        </w:tc>
      </w:tr>
      <w:tr>
        <w:trPr>
          <w:trHeight w:val="140" w:hRule="atLeast"/>
        </w:trPr>
        <w:tc>
          <w:tcPr>
            <w:tcW w:w="1018" w:type="dxa"/>
          </w:tcPr>
          <w:p>
            <w:pPr>
              <w:pStyle w:val="TableParagraph"/>
              <w:spacing w:line="240" w:lineRule="auto"/>
              <w:rPr>
                <w:sz w:val="8"/>
              </w:rPr>
            </w:pPr>
          </w:p>
        </w:tc>
        <w:tc>
          <w:tcPr>
            <w:tcW w:w="1008" w:type="dxa"/>
          </w:tcPr>
          <w:p>
            <w:pPr>
              <w:pStyle w:val="TableParagraph"/>
              <w:ind w:right="362"/>
              <w:jc w:val="right"/>
              <w:rPr>
                <w:sz w:val="14"/>
              </w:rPr>
            </w:pPr>
            <w:r>
              <w:rPr>
                <w:sz w:val="14"/>
              </w:rPr>
              <w:t>2000 Q1</w:t>
            </w:r>
          </w:p>
        </w:tc>
        <w:tc>
          <w:tcPr>
            <w:tcW w:w="872" w:type="dxa"/>
          </w:tcPr>
          <w:p>
            <w:pPr>
              <w:pStyle w:val="TableParagraph"/>
              <w:ind w:left="319"/>
              <w:rPr>
                <w:sz w:val="14"/>
              </w:rPr>
            </w:pPr>
            <w:r>
              <w:rPr>
                <w:sz w:val="14"/>
              </w:rPr>
              <w:t>8.5</w:t>
            </w:r>
          </w:p>
        </w:tc>
        <w:tc>
          <w:tcPr>
            <w:tcW w:w="671" w:type="dxa"/>
          </w:tcPr>
          <w:p>
            <w:pPr>
              <w:pStyle w:val="TableParagraph"/>
              <w:ind w:right="51"/>
              <w:jc w:val="right"/>
              <w:rPr>
                <w:sz w:val="14"/>
              </w:rPr>
            </w:pPr>
            <w:r>
              <w:rPr>
                <w:sz w:val="14"/>
              </w:rPr>
              <w:t>5.3</w:t>
            </w:r>
          </w:p>
        </w:tc>
      </w:tr>
      <w:tr>
        <w:trPr>
          <w:trHeight w:val="140" w:hRule="atLeast"/>
        </w:trPr>
        <w:tc>
          <w:tcPr>
            <w:tcW w:w="1018" w:type="dxa"/>
          </w:tcPr>
          <w:p>
            <w:pPr>
              <w:pStyle w:val="TableParagraph"/>
              <w:spacing w:line="240" w:lineRule="auto"/>
              <w:rPr>
                <w:sz w:val="8"/>
              </w:rPr>
            </w:pPr>
          </w:p>
        </w:tc>
        <w:tc>
          <w:tcPr>
            <w:tcW w:w="1008" w:type="dxa"/>
          </w:tcPr>
          <w:p>
            <w:pPr>
              <w:pStyle w:val="TableParagraph"/>
              <w:ind w:right="362"/>
              <w:jc w:val="right"/>
              <w:rPr>
                <w:sz w:val="14"/>
              </w:rPr>
            </w:pPr>
            <w:r>
              <w:rPr>
                <w:sz w:val="14"/>
              </w:rPr>
              <w:t>Q2</w:t>
            </w:r>
          </w:p>
        </w:tc>
        <w:tc>
          <w:tcPr>
            <w:tcW w:w="872" w:type="dxa"/>
          </w:tcPr>
          <w:p>
            <w:pPr>
              <w:pStyle w:val="TableParagraph"/>
              <w:ind w:left="319"/>
              <w:rPr>
                <w:sz w:val="14"/>
              </w:rPr>
            </w:pPr>
            <w:r>
              <w:rPr>
                <w:sz w:val="14"/>
              </w:rPr>
              <w:t>8.6</w:t>
            </w:r>
          </w:p>
        </w:tc>
        <w:tc>
          <w:tcPr>
            <w:tcW w:w="671" w:type="dxa"/>
          </w:tcPr>
          <w:p>
            <w:pPr>
              <w:pStyle w:val="TableParagraph"/>
              <w:ind w:right="51"/>
              <w:jc w:val="right"/>
              <w:rPr>
                <w:sz w:val="14"/>
              </w:rPr>
            </w:pPr>
            <w:r>
              <w:rPr>
                <w:sz w:val="14"/>
              </w:rPr>
              <w:t>6.6</w:t>
            </w:r>
          </w:p>
        </w:tc>
      </w:tr>
      <w:tr>
        <w:trPr>
          <w:trHeight w:val="210" w:hRule="atLeast"/>
        </w:trPr>
        <w:tc>
          <w:tcPr>
            <w:tcW w:w="1018" w:type="dxa"/>
          </w:tcPr>
          <w:p>
            <w:pPr>
              <w:pStyle w:val="TableParagraph"/>
              <w:spacing w:line="240" w:lineRule="auto"/>
              <w:rPr>
                <w:sz w:val="14"/>
              </w:rPr>
            </w:pPr>
          </w:p>
        </w:tc>
        <w:tc>
          <w:tcPr>
            <w:tcW w:w="1008" w:type="dxa"/>
          </w:tcPr>
          <w:p>
            <w:pPr>
              <w:pStyle w:val="TableParagraph"/>
              <w:spacing w:line="148" w:lineRule="exact"/>
              <w:ind w:right="362"/>
              <w:jc w:val="right"/>
              <w:rPr>
                <w:sz w:val="14"/>
              </w:rPr>
            </w:pPr>
            <w:r>
              <w:rPr>
                <w:sz w:val="14"/>
              </w:rPr>
              <w:t>Q3</w:t>
            </w:r>
          </w:p>
        </w:tc>
        <w:tc>
          <w:tcPr>
            <w:tcW w:w="872" w:type="dxa"/>
          </w:tcPr>
          <w:p>
            <w:pPr>
              <w:pStyle w:val="TableParagraph"/>
              <w:spacing w:line="148" w:lineRule="exact"/>
              <w:ind w:left="249"/>
              <w:rPr>
                <w:sz w:val="14"/>
              </w:rPr>
            </w:pPr>
            <w:r>
              <w:rPr>
                <w:sz w:val="14"/>
              </w:rPr>
              <w:t>10.7</w:t>
            </w:r>
          </w:p>
        </w:tc>
        <w:tc>
          <w:tcPr>
            <w:tcW w:w="671" w:type="dxa"/>
          </w:tcPr>
          <w:p>
            <w:pPr>
              <w:pStyle w:val="TableParagraph"/>
              <w:spacing w:line="148" w:lineRule="exact"/>
              <w:ind w:right="51"/>
              <w:jc w:val="right"/>
              <w:rPr>
                <w:sz w:val="14"/>
              </w:rPr>
            </w:pPr>
            <w:r>
              <w:rPr>
                <w:sz w:val="14"/>
              </w:rPr>
              <w:t>9.1</w:t>
            </w:r>
          </w:p>
        </w:tc>
      </w:tr>
      <w:tr>
        <w:trPr>
          <w:trHeight w:val="210" w:hRule="atLeast"/>
        </w:trPr>
        <w:tc>
          <w:tcPr>
            <w:tcW w:w="1018" w:type="dxa"/>
          </w:tcPr>
          <w:p>
            <w:pPr>
              <w:pStyle w:val="TableParagraph"/>
              <w:spacing w:line="133" w:lineRule="exact" w:before="56"/>
              <w:ind w:left="50"/>
              <w:rPr>
                <w:sz w:val="12"/>
              </w:rPr>
            </w:pPr>
            <w:r>
              <w:rPr>
                <w:sz w:val="14"/>
              </w:rPr>
              <w:t>M4 lending (</w:t>
            </w:r>
            <w:r>
              <w:rPr>
                <w:sz w:val="12"/>
              </w:rPr>
              <w:t>d)</w:t>
            </w:r>
          </w:p>
        </w:tc>
        <w:tc>
          <w:tcPr>
            <w:tcW w:w="1008" w:type="dxa"/>
          </w:tcPr>
          <w:p>
            <w:pPr>
              <w:pStyle w:val="TableParagraph"/>
              <w:spacing w:line="133" w:lineRule="exact" w:before="56"/>
              <w:ind w:right="362"/>
              <w:jc w:val="right"/>
              <w:rPr>
                <w:sz w:val="14"/>
              </w:rPr>
            </w:pPr>
            <w:r>
              <w:rPr>
                <w:sz w:val="14"/>
              </w:rPr>
              <w:t>1999 Q4</w:t>
            </w:r>
          </w:p>
        </w:tc>
        <w:tc>
          <w:tcPr>
            <w:tcW w:w="872" w:type="dxa"/>
          </w:tcPr>
          <w:p>
            <w:pPr>
              <w:pStyle w:val="TableParagraph"/>
              <w:spacing w:line="133" w:lineRule="exact" w:before="56"/>
              <w:ind w:left="249"/>
              <w:rPr>
                <w:sz w:val="14"/>
              </w:rPr>
            </w:pPr>
            <w:r>
              <w:rPr>
                <w:sz w:val="14"/>
              </w:rPr>
              <w:t>12.9</w:t>
            </w:r>
          </w:p>
        </w:tc>
        <w:tc>
          <w:tcPr>
            <w:tcW w:w="671" w:type="dxa"/>
          </w:tcPr>
          <w:p>
            <w:pPr>
              <w:pStyle w:val="TableParagraph"/>
              <w:spacing w:line="133" w:lineRule="exact" w:before="56"/>
              <w:ind w:right="51"/>
              <w:jc w:val="right"/>
              <w:rPr>
                <w:sz w:val="14"/>
              </w:rPr>
            </w:pPr>
            <w:r>
              <w:rPr>
                <w:sz w:val="14"/>
              </w:rPr>
              <w:t>9.3</w:t>
            </w:r>
          </w:p>
        </w:tc>
      </w:tr>
      <w:tr>
        <w:trPr>
          <w:trHeight w:val="140" w:hRule="atLeast"/>
        </w:trPr>
        <w:tc>
          <w:tcPr>
            <w:tcW w:w="1018" w:type="dxa"/>
          </w:tcPr>
          <w:p>
            <w:pPr>
              <w:pStyle w:val="TableParagraph"/>
              <w:spacing w:line="240" w:lineRule="auto"/>
              <w:rPr>
                <w:sz w:val="8"/>
              </w:rPr>
            </w:pPr>
          </w:p>
        </w:tc>
        <w:tc>
          <w:tcPr>
            <w:tcW w:w="1008" w:type="dxa"/>
          </w:tcPr>
          <w:p>
            <w:pPr>
              <w:pStyle w:val="TableParagraph"/>
              <w:ind w:right="362"/>
              <w:jc w:val="right"/>
              <w:rPr>
                <w:sz w:val="14"/>
              </w:rPr>
            </w:pPr>
            <w:r>
              <w:rPr>
                <w:sz w:val="14"/>
              </w:rPr>
              <w:t>2000 Q1</w:t>
            </w:r>
          </w:p>
        </w:tc>
        <w:tc>
          <w:tcPr>
            <w:tcW w:w="872" w:type="dxa"/>
          </w:tcPr>
          <w:p>
            <w:pPr>
              <w:pStyle w:val="TableParagraph"/>
              <w:ind w:left="249"/>
              <w:rPr>
                <w:sz w:val="14"/>
              </w:rPr>
            </w:pPr>
            <w:r>
              <w:rPr>
                <w:sz w:val="14"/>
              </w:rPr>
              <w:t>13.1</w:t>
            </w:r>
          </w:p>
        </w:tc>
        <w:tc>
          <w:tcPr>
            <w:tcW w:w="671" w:type="dxa"/>
          </w:tcPr>
          <w:p>
            <w:pPr>
              <w:pStyle w:val="TableParagraph"/>
              <w:ind w:right="51"/>
              <w:jc w:val="right"/>
              <w:rPr>
                <w:sz w:val="14"/>
              </w:rPr>
            </w:pPr>
            <w:r>
              <w:rPr>
                <w:sz w:val="14"/>
              </w:rPr>
              <w:t>10.8</w:t>
            </w:r>
          </w:p>
        </w:tc>
      </w:tr>
      <w:tr>
        <w:trPr>
          <w:trHeight w:val="140" w:hRule="atLeast"/>
        </w:trPr>
        <w:tc>
          <w:tcPr>
            <w:tcW w:w="1018" w:type="dxa"/>
          </w:tcPr>
          <w:p>
            <w:pPr>
              <w:pStyle w:val="TableParagraph"/>
              <w:spacing w:line="240" w:lineRule="auto"/>
              <w:rPr>
                <w:sz w:val="8"/>
              </w:rPr>
            </w:pPr>
          </w:p>
        </w:tc>
        <w:tc>
          <w:tcPr>
            <w:tcW w:w="1008" w:type="dxa"/>
          </w:tcPr>
          <w:p>
            <w:pPr>
              <w:pStyle w:val="TableParagraph"/>
              <w:ind w:right="362"/>
              <w:jc w:val="right"/>
              <w:rPr>
                <w:sz w:val="14"/>
              </w:rPr>
            </w:pPr>
            <w:r>
              <w:rPr>
                <w:sz w:val="14"/>
              </w:rPr>
              <w:t>Q2</w:t>
            </w:r>
          </w:p>
        </w:tc>
        <w:tc>
          <w:tcPr>
            <w:tcW w:w="872" w:type="dxa"/>
          </w:tcPr>
          <w:p>
            <w:pPr>
              <w:pStyle w:val="TableParagraph"/>
              <w:ind w:left="249"/>
              <w:rPr>
                <w:sz w:val="14"/>
              </w:rPr>
            </w:pPr>
            <w:r>
              <w:rPr>
                <w:sz w:val="14"/>
              </w:rPr>
              <w:t>11.9</w:t>
            </w:r>
          </w:p>
        </w:tc>
        <w:tc>
          <w:tcPr>
            <w:tcW w:w="671" w:type="dxa"/>
          </w:tcPr>
          <w:p>
            <w:pPr>
              <w:pStyle w:val="TableParagraph"/>
              <w:ind w:right="51"/>
              <w:jc w:val="right"/>
              <w:rPr>
                <w:sz w:val="14"/>
              </w:rPr>
            </w:pPr>
            <w:r>
              <w:rPr>
                <w:sz w:val="14"/>
              </w:rPr>
              <w:t>11.5</w:t>
            </w:r>
          </w:p>
        </w:tc>
      </w:tr>
      <w:tr>
        <w:trPr>
          <w:trHeight w:val="147" w:hRule="atLeast"/>
        </w:trPr>
        <w:tc>
          <w:tcPr>
            <w:tcW w:w="1018" w:type="dxa"/>
          </w:tcPr>
          <w:p>
            <w:pPr>
              <w:pStyle w:val="TableParagraph"/>
              <w:spacing w:line="240" w:lineRule="auto"/>
              <w:rPr>
                <w:sz w:val="8"/>
              </w:rPr>
            </w:pPr>
          </w:p>
        </w:tc>
        <w:tc>
          <w:tcPr>
            <w:tcW w:w="1008" w:type="dxa"/>
          </w:tcPr>
          <w:p>
            <w:pPr>
              <w:pStyle w:val="TableParagraph"/>
              <w:spacing w:line="128" w:lineRule="exact"/>
              <w:ind w:right="362"/>
              <w:jc w:val="right"/>
              <w:rPr>
                <w:sz w:val="14"/>
              </w:rPr>
            </w:pPr>
            <w:r>
              <w:rPr>
                <w:sz w:val="14"/>
              </w:rPr>
              <w:t>Q3</w:t>
            </w:r>
          </w:p>
        </w:tc>
        <w:tc>
          <w:tcPr>
            <w:tcW w:w="872" w:type="dxa"/>
          </w:tcPr>
          <w:p>
            <w:pPr>
              <w:pStyle w:val="TableParagraph"/>
              <w:spacing w:line="128" w:lineRule="exact"/>
              <w:ind w:left="249"/>
              <w:rPr>
                <w:sz w:val="14"/>
              </w:rPr>
            </w:pPr>
            <w:r>
              <w:rPr>
                <w:sz w:val="14"/>
              </w:rPr>
              <w:t>15.3</w:t>
            </w:r>
          </w:p>
        </w:tc>
        <w:tc>
          <w:tcPr>
            <w:tcW w:w="671" w:type="dxa"/>
          </w:tcPr>
          <w:p>
            <w:pPr>
              <w:pStyle w:val="TableParagraph"/>
              <w:spacing w:line="128" w:lineRule="exact"/>
              <w:ind w:right="51"/>
              <w:jc w:val="right"/>
              <w:rPr>
                <w:sz w:val="14"/>
              </w:rPr>
            </w:pPr>
            <w:r>
              <w:rPr>
                <w:sz w:val="14"/>
              </w:rPr>
              <w:t>13.3</w:t>
            </w:r>
          </w:p>
        </w:tc>
      </w:tr>
    </w:tbl>
    <w:p>
      <w:pPr>
        <w:spacing w:before="117"/>
        <w:ind w:left="180" w:right="0" w:firstLine="0"/>
        <w:jc w:val="left"/>
        <w:rPr>
          <w:sz w:val="12"/>
        </w:rPr>
      </w:pPr>
      <w:r>
        <w:rPr>
          <w:sz w:val="12"/>
        </w:rPr>
        <w:t>Source: Bank of England.</w:t>
      </w:r>
    </w:p>
    <w:p>
      <w:pPr>
        <w:pStyle w:val="ListParagraph"/>
        <w:numPr>
          <w:ilvl w:val="0"/>
          <w:numId w:val="2"/>
        </w:numPr>
        <w:tabs>
          <w:tab w:pos="421" w:val="left" w:leader="none"/>
        </w:tabs>
        <w:spacing w:line="129" w:lineRule="exact" w:before="102" w:after="0"/>
        <w:ind w:left="420" w:right="0" w:hanging="241"/>
        <w:jc w:val="left"/>
        <w:rPr>
          <w:sz w:val="12"/>
        </w:rPr>
      </w:pPr>
      <w:r>
        <w:rPr>
          <w:sz w:val="12"/>
        </w:rPr>
        <w:t>Seasonally</w:t>
      </w:r>
      <w:r>
        <w:rPr>
          <w:spacing w:val="-2"/>
          <w:sz w:val="12"/>
        </w:rPr>
        <w:t> </w:t>
      </w:r>
      <w:r>
        <w:rPr>
          <w:sz w:val="12"/>
        </w:rPr>
        <w:t>adjusted.</w:t>
      </w:r>
    </w:p>
    <w:p>
      <w:pPr>
        <w:pStyle w:val="ListParagraph"/>
        <w:numPr>
          <w:ilvl w:val="0"/>
          <w:numId w:val="2"/>
        </w:numPr>
        <w:tabs>
          <w:tab w:pos="421" w:val="left" w:leader="none"/>
        </w:tabs>
        <w:spacing w:line="120" w:lineRule="exact" w:before="0" w:after="0"/>
        <w:ind w:left="420" w:right="0" w:hanging="241"/>
        <w:jc w:val="left"/>
        <w:rPr>
          <w:sz w:val="12"/>
        </w:rPr>
      </w:pPr>
      <w:r>
        <w:rPr>
          <w:sz w:val="12"/>
        </w:rPr>
        <w:t>Annualised.</w:t>
      </w:r>
    </w:p>
    <w:p>
      <w:pPr>
        <w:pStyle w:val="ListParagraph"/>
        <w:numPr>
          <w:ilvl w:val="0"/>
          <w:numId w:val="2"/>
        </w:numPr>
        <w:tabs>
          <w:tab w:pos="421" w:val="left" w:leader="none"/>
        </w:tabs>
        <w:spacing w:line="120" w:lineRule="exact" w:before="0" w:after="0"/>
        <w:ind w:left="420" w:right="0" w:hanging="241"/>
        <w:jc w:val="left"/>
        <w:rPr>
          <w:sz w:val="12"/>
        </w:rPr>
      </w:pPr>
      <w:r>
        <w:rPr>
          <w:sz w:val="12"/>
        </w:rPr>
        <w:t>Growth</w:t>
      </w:r>
      <w:r>
        <w:rPr>
          <w:spacing w:val="-5"/>
          <w:sz w:val="12"/>
        </w:rPr>
        <w:t> </w:t>
      </w:r>
      <w:r>
        <w:rPr>
          <w:sz w:val="12"/>
        </w:rPr>
        <w:t>rates</w:t>
      </w:r>
      <w:r>
        <w:rPr>
          <w:spacing w:val="-5"/>
          <w:sz w:val="12"/>
        </w:rPr>
        <w:t> </w:t>
      </w:r>
      <w:r>
        <w:rPr>
          <w:sz w:val="12"/>
        </w:rPr>
        <w:t>based</w:t>
      </w:r>
      <w:r>
        <w:rPr>
          <w:spacing w:val="-5"/>
          <w:sz w:val="12"/>
        </w:rPr>
        <w:t> </w:t>
      </w:r>
      <w:r>
        <w:rPr>
          <w:sz w:val="12"/>
        </w:rPr>
        <w:t>on</w:t>
      </w:r>
      <w:r>
        <w:rPr>
          <w:spacing w:val="-5"/>
          <w:sz w:val="12"/>
        </w:rPr>
        <w:t> </w:t>
      </w:r>
      <w:r>
        <w:rPr>
          <w:sz w:val="12"/>
        </w:rPr>
        <w:t>an</w:t>
      </w:r>
      <w:r>
        <w:rPr>
          <w:spacing w:val="-4"/>
          <w:sz w:val="12"/>
        </w:rPr>
        <w:t> </w:t>
      </w:r>
      <w:r>
        <w:rPr>
          <w:sz w:val="12"/>
        </w:rPr>
        <w:t>average</w:t>
      </w:r>
      <w:r>
        <w:rPr>
          <w:spacing w:val="-5"/>
          <w:sz w:val="12"/>
        </w:rPr>
        <w:t> </w:t>
      </w:r>
      <w:r>
        <w:rPr>
          <w:sz w:val="12"/>
        </w:rPr>
        <w:t>of</w:t>
      </w:r>
      <w:r>
        <w:rPr>
          <w:spacing w:val="-5"/>
          <w:sz w:val="12"/>
        </w:rPr>
        <w:t> </w:t>
      </w:r>
      <w:r>
        <w:rPr>
          <w:sz w:val="12"/>
        </w:rPr>
        <w:t>weekly</w:t>
      </w:r>
      <w:r>
        <w:rPr>
          <w:spacing w:val="-5"/>
          <w:sz w:val="12"/>
        </w:rPr>
        <w:t> </w:t>
      </w:r>
      <w:r>
        <w:rPr>
          <w:sz w:val="12"/>
        </w:rPr>
        <w:t>observations</w:t>
      </w:r>
      <w:r>
        <w:rPr>
          <w:spacing w:val="-5"/>
          <w:sz w:val="12"/>
        </w:rPr>
        <w:t> </w:t>
      </w:r>
      <w:r>
        <w:rPr>
          <w:sz w:val="12"/>
        </w:rPr>
        <w:t>in</w:t>
      </w:r>
      <w:r>
        <w:rPr>
          <w:spacing w:val="-4"/>
          <w:sz w:val="12"/>
        </w:rPr>
        <w:t> </w:t>
      </w:r>
      <w:r>
        <w:rPr>
          <w:sz w:val="12"/>
        </w:rPr>
        <w:t>the</w:t>
      </w:r>
      <w:r>
        <w:rPr>
          <w:spacing w:val="-5"/>
          <w:sz w:val="12"/>
        </w:rPr>
        <w:t> </w:t>
      </w:r>
      <w:r>
        <w:rPr>
          <w:sz w:val="12"/>
        </w:rPr>
        <w:t>month.</w:t>
      </w:r>
    </w:p>
    <w:p>
      <w:pPr>
        <w:pStyle w:val="ListParagraph"/>
        <w:numPr>
          <w:ilvl w:val="0"/>
          <w:numId w:val="2"/>
        </w:numPr>
        <w:tabs>
          <w:tab w:pos="421" w:val="left" w:leader="none"/>
        </w:tabs>
        <w:spacing w:line="129" w:lineRule="exact" w:before="0" w:after="0"/>
        <w:ind w:left="420" w:right="0" w:hanging="241"/>
        <w:jc w:val="left"/>
        <w:rPr>
          <w:sz w:val="12"/>
        </w:rPr>
      </w:pPr>
      <w:r>
        <w:rPr>
          <w:sz w:val="12"/>
        </w:rPr>
        <w:t>Excluding</w:t>
      </w:r>
      <w:r>
        <w:rPr>
          <w:spacing w:val="-2"/>
          <w:sz w:val="12"/>
        </w:rPr>
        <w:t> </w:t>
      </w:r>
      <w:r>
        <w:rPr>
          <w:sz w:val="12"/>
        </w:rPr>
        <w:t>securitisations.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1"/>
        </w:rPr>
      </w:pPr>
    </w:p>
    <w:p>
      <w:pPr>
        <w:spacing w:before="0"/>
        <w:ind w:left="180" w:right="0" w:firstLine="0"/>
        <w:jc w:val="left"/>
        <w:rPr>
          <w:b/>
          <w:sz w:val="20"/>
        </w:rPr>
      </w:pPr>
      <w:r>
        <w:rPr>
          <w:b/>
          <w:color w:val="0092C7"/>
          <w:sz w:val="20"/>
        </w:rPr>
        <w:t>Chart 1.1</w:t>
      </w:r>
    </w:p>
    <w:p>
      <w:pPr>
        <w:spacing w:line="249" w:lineRule="auto" w:before="11"/>
        <w:ind w:left="180" w:right="375" w:firstLine="0"/>
        <w:jc w:val="left"/>
        <w:rPr>
          <w:b/>
          <w:sz w:val="20"/>
        </w:rPr>
      </w:pPr>
      <w:r>
        <w:rPr>
          <w:b/>
          <w:color w:val="0092C7"/>
          <w:sz w:val="20"/>
        </w:rPr>
        <w:t>Notes and coin held by households as a percentage of households’ M4</w:t>
      </w:r>
    </w:p>
    <w:p>
      <w:pPr>
        <w:spacing w:line="118" w:lineRule="exact" w:before="85"/>
        <w:ind w:left="2927" w:right="0" w:firstLine="0"/>
        <w:jc w:val="left"/>
        <w:rPr>
          <w:sz w:val="12"/>
        </w:rPr>
      </w:pPr>
      <w:r>
        <w:rPr>
          <w:sz w:val="12"/>
        </w:rPr>
        <w:t>Per cent</w:t>
      </w:r>
    </w:p>
    <w:p>
      <w:pPr>
        <w:spacing w:line="118" w:lineRule="exact" w:before="0"/>
        <w:ind w:left="3340" w:right="0" w:firstLine="0"/>
        <w:jc w:val="left"/>
        <w:rPr>
          <w:sz w:val="12"/>
        </w:rPr>
      </w:pPr>
      <w:r>
        <w:rPr/>
        <w:pict>
          <v:group style="position:absolute;margin-left:40.709pt;margin-top:2.12609pt;width:157.2pt;height:113.9pt;mso-position-horizontal-relative:page;mso-position-vertical-relative:paragraph;z-index:15738368" coordorigin="814,43" coordsize="3144,2278">
            <v:shape style="position:absolute;left:968;top:117;width:1600;height:1610" coordorigin="969,117" coordsize="1600,1610" path="m969,117l991,185m991,185l1004,217m1004,217l1026,185m1026,185l1049,267m1049,267l1061,252m1061,252l1084,217m1084,217l1106,235m1106,235l1129,285m1129,285l1141,300m1141,300l1164,285m1164,285l1186,335m1186,335l1199,350m1199,350l1221,417m1221,417l1244,467m1244,467l1256,532m1256,532l1301,567m1301,567l1314,650m1314,650l1336,682m1336,682l1359,700m1359,700l1384,732m1384,732l1394,750m1394,750l1416,752m1416,750l1441,752m1441,750l1451,782m1451,782l1474,785m1474,782l1499,785m1499,782l1509,850m1509,850l1531,865m1531,865l1556,867m1556,865l1566,900m1566,900l1589,902m1589,900l1614,932m1614,932l1636,935m1636,932l1646,947m1646,947l1671,997m1671,997l1694,1015m1694,1015l1706,1082m1706,1082l1729,1147m1729,1147l1751,1165m1751,1165l1764,1130m1764,1130l1786,1147m1786,1147l1809,1150m1809,1147l1821,1082m1821,1082l1844,1130m1844,1130l1866,1135m1866,1130l1889,1097m1889,1097l1901,1130m1901,1130l1924,1082m1924,1082l1946,1047m1946,1047l1959,1050m1959,1047l1981,1082m1981,1082l2004,1085m2004,1082l2016,1047m2016,1047l2039,1015m2039,1015l2061,997m2061,997l2074,982m2074,982l2096,997m2096,997l2119,1015m2119,1015l2141,1017m2141,1015l2154,1065m2154,1065l2176,1097m2176,1097l2199,1197m2199,1197l2211,1230m2211,1230l2234,1280m2234,1280l2259,1347m2259,1347l2269,1362m2269,1362l2291,1447m2291,1447l2316,1450m2316,1447l2326,1462m2326,1462l2349,1562m2349,1562l2374,1612m2374,1612l2396,1615m2396,1612l2406,1630m2406,1630l2431,1632m2431,1630l2454,1612m2454,1612l2464,1680m2464,1680l2489,1662m2489,1662l2511,1695m2511,1695l2521,1712m2521,1712l2546,1715m2546,1712l2569,1727e" filled="false" stroked="true" strokeweight="1pt" strokecolor="#006caa">
              <v:path arrowok="t"/>
              <v:stroke dashstyle="solid"/>
            </v:shape>
            <v:line style="position:absolute" from="2574,1717" to="2574,1822" stroked="true" strokeweight="1.5pt" strokecolor="#006caa">
              <v:stroke dashstyle="solid"/>
            </v:line>
            <v:shape style="position:absolute;left:2578;top:1794;width:1233;height:515" coordorigin="2579,1795" coordsize="1233,515" path="m2579,1812l2604,1795m2604,1795l2626,1827m2626,1827l2636,1877m2636,1877l2661,1895m2661,1895l2684,1912m2684,1912l2706,1960m2706,1960l2719,1965m2719,1960l2741,1945m2741,1945l2764,2010m2764,2010l2776,2012m2776,2010l2799,2012m2799,2010l2821,2012m2821,2010l2834,1995m2834,1995l2856,2045m2856,2045l2879,2060m2879,2060l2891,2095m2891,2095l2914,2110m2914,2110l2936,2127m2936,2127l2959,2142m2959,2142l2971,2160m2971,2160l2994,2177m2994,2177l3016,2192m3016,2192l3029,2210m3029,2210l3051,2242m3051,2242l3074,2227m3074,2227l3086,2260m3086,2260l3109,2277m3109,2277l3131,2292m3131,2292l3144,2310m3144,2310l3166,2292m3166,2292l3189,2295m3189,2292l3214,2277m3214,2277l3224,2292m3224,2292l3246,2277m3246,2277l3271,2280m3271,2277l3281,2260m3281,2260l3304,2227m3304,2227l3329,2242m3329,2242l3339,2227m3339,2227l3364,2242m3364,2242l3386,2245m3386,2242l3396,2227m3396,2227l3421,2242m3421,2242l3444,2245m3444,2242l3466,2245m3466,2242l3479,2245m3479,2242l3501,2245m3501,2242l3524,2245m3524,2242l3536,2245m3536,2242l3559,2245m3559,2242l3581,2210m3581,2210l3594,2212m3594,2210l3616,2212m3616,2210l3639,2212m3639,2210l3651,2212m3651,2210l3674,2212m3674,2210l3696,2212m3696,2210l3719,2212m3719,2210l3731,2212m3731,2210l3754,2192m3754,2192l3776,2197m3776,2192l3789,2177m3789,2177l3811,2160e" filled="false" stroked="true" strokeweight="1pt" strokecolor="#006caa">
              <v:path arrowok="t"/>
              <v:stroke dashstyle="solid"/>
            </v:shape>
            <v:shape style="position:absolute;left:814;top:47;width:3144;height:2223" coordorigin="814,48" coordsize="3144,2223" path="m814,420l901,420m814,790l901,790m814,1160l901,1160m814,1530l901,1530m814,1900l901,1900m814,2270l901,2270m814,50l901,50m3871,417l3958,417m3871,787l3958,787m3871,1157l3958,1157m3871,1527l3958,1527m3871,1897l3958,1897m3871,2267l3958,2267m3871,48l3958,48e" filled="false" stroked="true" strokeweight=".5pt" strokecolor="#000000">
              <v:path arrowok="t"/>
              <v:stroke dashstyle="solid"/>
            </v:shape>
            <w10:wrap type="none"/>
          </v:group>
        </w:pict>
      </w:r>
      <w:r>
        <w:rPr>
          <w:sz w:val="12"/>
        </w:rPr>
        <w:t>16</w:t>
      </w:r>
    </w:p>
    <w:p>
      <w:pPr>
        <w:pStyle w:val="BodyText"/>
        <w:rPr>
          <w:sz w:val="12"/>
        </w:rPr>
      </w:pPr>
    </w:p>
    <w:p>
      <w:pPr>
        <w:spacing w:before="94"/>
        <w:ind w:left="0" w:right="418" w:firstLine="0"/>
        <w:jc w:val="right"/>
        <w:rPr>
          <w:sz w:val="12"/>
        </w:rPr>
      </w:pPr>
      <w:r>
        <w:rPr>
          <w:sz w:val="12"/>
        </w:rPr>
        <w:t>14</w:t>
      </w:r>
    </w:p>
    <w:p>
      <w:pPr>
        <w:pStyle w:val="BodyText"/>
        <w:rPr>
          <w:sz w:val="12"/>
        </w:rPr>
      </w:pPr>
    </w:p>
    <w:p>
      <w:pPr>
        <w:spacing w:before="93"/>
        <w:ind w:left="0" w:right="418" w:firstLine="0"/>
        <w:jc w:val="right"/>
        <w:rPr>
          <w:sz w:val="12"/>
        </w:rPr>
      </w:pPr>
      <w:r>
        <w:rPr>
          <w:sz w:val="12"/>
        </w:rPr>
        <w:t>12</w:t>
      </w:r>
    </w:p>
    <w:p>
      <w:pPr>
        <w:pStyle w:val="BodyText"/>
        <w:rPr>
          <w:sz w:val="12"/>
        </w:rPr>
      </w:pPr>
    </w:p>
    <w:p>
      <w:pPr>
        <w:spacing w:before="94"/>
        <w:ind w:left="0" w:right="418" w:firstLine="0"/>
        <w:jc w:val="right"/>
        <w:rPr>
          <w:sz w:val="12"/>
        </w:rPr>
      </w:pPr>
      <w:r>
        <w:rPr>
          <w:sz w:val="12"/>
        </w:rPr>
        <w:t>10</w:t>
      </w:r>
    </w:p>
    <w:p>
      <w:pPr>
        <w:pStyle w:val="BodyText"/>
        <w:rPr>
          <w:sz w:val="12"/>
        </w:rPr>
      </w:pPr>
    </w:p>
    <w:p>
      <w:pPr>
        <w:spacing w:before="93"/>
        <w:ind w:left="0" w:right="418" w:firstLine="0"/>
        <w:jc w:val="right"/>
        <w:rPr>
          <w:sz w:val="12"/>
        </w:rPr>
      </w:pPr>
      <w:r>
        <w:rPr>
          <w:sz w:val="12"/>
        </w:rPr>
        <w:t>8</w:t>
      </w:r>
    </w:p>
    <w:p>
      <w:pPr>
        <w:pStyle w:val="BodyText"/>
        <w:rPr>
          <w:sz w:val="12"/>
        </w:rPr>
      </w:pPr>
    </w:p>
    <w:p>
      <w:pPr>
        <w:spacing w:before="94"/>
        <w:ind w:left="0" w:right="418" w:firstLine="0"/>
        <w:jc w:val="right"/>
        <w:rPr>
          <w:sz w:val="12"/>
        </w:rPr>
      </w:pPr>
      <w:r>
        <w:rPr>
          <w:sz w:val="12"/>
        </w:rPr>
        <w:t>6</w:t>
      </w:r>
    </w:p>
    <w:p>
      <w:pPr>
        <w:pStyle w:val="BodyText"/>
        <w:rPr>
          <w:sz w:val="12"/>
        </w:rPr>
      </w:pPr>
    </w:p>
    <w:p>
      <w:pPr>
        <w:spacing w:before="93"/>
        <w:ind w:left="0" w:right="418" w:firstLine="0"/>
        <w:jc w:val="right"/>
        <w:rPr>
          <w:sz w:val="12"/>
        </w:rPr>
      </w:pPr>
      <w:r>
        <w:rPr>
          <w:sz w:val="12"/>
        </w:rPr>
        <w:t>4</w:t>
      </w:r>
    </w:p>
    <w:p>
      <w:pPr>
        <w:pStyle w:val="BodyText"/>
        <w:rPr>
          <w:sz w:val="12"/>
        </w:rPr>
      </w:pPr>
    </w:p>
    <w:p>
      <w:pPr>
        <w:spacing w:before="93"/>
        <w:ind w:left="0" w:right="418" w:firstLine="0"/>
        <w:jc w:val="right"/>
        <w:rPr>
          <w:sz w:val="12"/>
        </w:rPr>
      </w:pPr>
      <w:r>
        <w:rPr/>
        <w:pict>
          <v:line style="position:absolute;mso-position-horizontal-relative:page;mso-position-vertical-relative:paragraph;z-index:15738880" from="40.709pt,8.329559pt" to="45.042pt,8.329559pt" stroked="true" strokeweight=".5pt" strokecolor="#000000">
            <v:stroke dashstyle="solid"/>
            <w10:wrap type="none"/>
          </v:line>
        </w:pict>
      </w:r>
      <w:r>
        <w:rPr/>
        <w:pict>
          <v:line style="position:absolute;mso-position-horizontal-relative:page;mso-position-vertical-relative:paragraph;z-index:15739904" from="193.556pt,8.213559pt" to="197.888pt,8.213559pt" stroked="true" strokeweight=".5pt" strokecolor="#000000">
            <v:stroke dashstyle="solid"/>
            <w10:wrap type="none"/>
          </v:line>
        </w:pict>
      </w:r>
      <w:r>
        <w:rPr>
          <w:sz w:val="12"/>
        </w:rPr>
        <w:t>2</w:t>
      </w:r>
    </w:p>
    <w:p>
      <w:pPr>
        <w:pStyle w:val="BodyText"/>
        <w:rPr>
          <w:sz w:val="12"/>
        </w:rPr>
      </w:pPr>
    </w:p>
    <w:p>
      <w:pPr>
        <w:tabs>
          <w:tab w:pos="1833" w:val="left" w:leader="none"/>
          <w:tab w:pos="2467" w:val="left" w:leader="none"/>
        </w:tabs>
        <w:spacing w:before="90"/>
        <w:ind w:left="200" w:right="0" w:firstLine="0"/>
        <w:jc w:val="left"/>
        <w:rPr>
          <w:sz w:val="12"/>
        </w:rPr>
      </w:pPr>
      <w:r>
        <w:rPr/>
        <w:pict>
          <v:shape style="position:absolute;margin-left:40.709pt;margin-top:4.920358pt;width:157.2pt;height:3.5pt;mso-position-horizontal-relative:page;mso-position-vertical-relative:paragraph;z-index:-22913536" coordorigin="814,98" coordsize="3144,70" path="m814,168l901,168m3871,166l3958,166m972,166l3814,166m969,98l969,166m1203,125l1203,166m1437,125l1437,166m1671,125l1671,166m1906,98l1906,166m2140,125l2140,166m3076,125l3076,166m3623,125l3623,166m2608,125l2608,166m3388,125l3388,166m1047,125l1047,166m1281,98l1281,166m1515,125l1515,166m1750,125l1750,166m1984,125l1984,166m2218,98l2218,166m3154,98l3154,166m3701,125l3701,166m2686,125l2686,166m3466,98l3466,166m1125,125l1125,166m1359,125l1359,166m1593,98l1593,166m1828,125l1828,166m2062,125l2062,166m2296,125l2296,166m3232,125l3232,166m3779,98l3779,166m2764,125l2764,166m3544,125l3544,166m2374,125l2374,166m2842,98l2842,166m3310,125l3310,166m2452,125l2452,166m2920,125l2920,166m2530,98l2530,166m2998,125l2998,166e" filled="false" stroked="true" strokeweight=".5pt" strokecolor="#000000">
            <v:path arrowok="t"/>
            <v:stroke dashstyle="solid"/>
            <w10:wrap type="none"/>
          </v:shape>
        </w:pict>
      </w:r>
      <w:r>
        <w:rPr>
          <w:sz w:val="12"/>
        </w:rPr>
        <w:t>1964     68       72    </w:t>
      </w:r>
      <w:r>
        <w:rPr>
          <w:spacing w:val="20"/>
          <w:sz w:val="12"/>
        </w:rPr>
        <w:t> </w:t>
      </w:r>
      <w:r>
        <w:rPr>
          <w:sz w:val="12"/>
        </w:rPr>
        <w:t>76      80</w:t>
        <w:tab/>
        <w:t>84     </w:t>
      </w:r>
      <w:r>
        <w:rPr>
          <w:spacing w:val="10"/>
          <w:sz w:val="12"/>
        </w:rPr>
        <w:t> </w:t>
      </w:r>
      <w:r>
        <w:rPr>
          <w:sz w:val="12"/>
        </w:rPr>
        <w:t>88</w:t>
        <w:tab/>
        <w:t>92      96     2000   </w:t>
      </w:r>
      <w:r>
        <w:rPr>
          <w:spacing w:val="3"/>
          <w:sz w:val="12"/>
        </w:rPr>
        <w:t> </w:t>
      </w:r>
      <w:r>
        <w:rPr>
          <w:position w:val="9"/>
          <w:sz w:val="12"/>
        </w:rPr>
        <w:t>0</w:t>
      </w:r>
    </w:p>
    <w:p>
      <w:pPr>
        <w:spacing w:before="46"/>
        <w:ind w:left="180" w:right="0" w:firstLine="0"/>
        <w:jc w:val="left"/>
        <w:rPr>
          <w:sz w:val="12"/>
        </w:rPr>
      </w:pPr>
      <w:r>
        <w:rPr>
          <w:sz w:val="12"/>
        </w:rPr>
        <w:t>Source: Bank of England.</w:t>
      </w:r>
    </w:p>
    <w:p>
      <w:pPr>
        <w:pStyle w:val="BodyText"/>
        <w:spacing w:line="242" w:lineRule="auto" w:before="218"/>
        <w:ind w:left="180" w:right="321"/>
      </w:pPr>
      <w:r>
        <w:rPr/>
        <w:br w:type="column"/>
      </w:r>
      <w:r>
        <w:rPr/>
        <w:t>Narrow money growth remains robust. Deposit growth has picked up, mainly reflecting trends in the corporate sector, although household deposit growth also rose in 2000 Q3, boosted by the Scottish Widows windfall payouts. Aggregate lending growth has risen further, driven by more buoyant lending to corporations.</w:t>
      </w:r>
    </w:p>
    <w:p>
      <w:pPr>
        <w:pStyle w:val="BodyText"/>
        <w:spacing w:line="242" w:lineRule="auto" w:before="8"/>
        <w:ind w:left="180" w:right="321"/>
      </w:pPr>
      <w:r>
        <w:rPr/>
        <w:t>Household credit growth has moderated slightly, but remains strong.</w:t>
      </w:r>
    </w:p>
    <w:p>
      <w:pPr>
        <w:pStyle w:val="BodyText"/>
        <w:spacing w:line="242" w:lineRule="auto" w:before="222"/>
        <w:ind w:left="180" w:right="218"/>
      </w:pPr>
      <w:r>
        <w:rPr/>
        <w:t>The</w:t>
      </w:r>
      <w:r>
        <w:rPr>
          <w:spacing w:val="-6"/>
        </w:rPr>
        <w:t> </w:t>
      </w:r>
      <w:r>
        <w:rPr/>
        <w:t>Bank</w:t>
      </w:r>
      <w:r>
        <w:rPr>
          <w:spacing w:val="-6"/>
        </w:rPr>
        <w:t> </w:t>
      </w:r>
      <w:r>
        <w:rPr/>
        <w:t>of</w:t>
      </w:r>
      <w:r>
        <w:rPr>
          <w:spacing w:val="-6"/>
        </w:rPr>
        <w:t> </w:t>
      </w:r>
      <w:r>
        <w:rPr/>
        <w:t>England</w:t>
      </w:r>
      <w:r>
        <w:rPr>
          <w:spacing w:val="-6"/>
        </w:rPr>
        <w:t> </w:t>
      </w:r>
      <w:r>
        <w:rPr/>
        <w:t>official</w:t>
      </w:r>
      <w:r>
        <w:rPr>
          <w:spacing w:val="-5"/>
        </w:rPr>
        <w:t> </w:t>
      </w:r>
      <w:r>
        <w:rPr/>
        <w:t>interest</w:t>
      </w:r>
      <w:r>
        <w:rPr>
          <w:spacing w:val="-6"/>
        </w:rPr>
        <w:t> </w:t>
      </w:r>
      <w:r>
        <w:rPr/>
        <w:t>rate</w:t>
      </w:r>
      <w:r>
        <w:rPr>
          <w:spacing w:val="-6"/>
        </w:rPr>
        <w:t> </w:t>
      </w:r>
      <w:r>
        <w:rPr/>
        <w:t>remains</w:t>
      </w:r>
      <w:r>
        <w:rPr>
          <w:spacing w:val="-6"/>
        </w:rPr>
        <w:t> </w:t>
      </w:r>
      <w:r>
        <w:rPr/>
        <w:t>at</w:t>
      </w:r>
      <w:r>
        <w:rPr>
          <w:spacing w:val="-6"/>
        </w:rPr>
        <w:t> </w:t>
      </w:r>
      <w:r>
        <w:rPr/>
        <w:t>6% and was last changed in </w:t>
      </w:r>
      <w:r>
        <w:rPr>
          <w:spacing w:val="-3"/>
        </w:rPr>
        <w:t>February. </w:t>
      </w:r>
      <w:r>
        <w:rPr/>
        <w:t>The market has continued to revise down its expectations of the </w:t>
      </w:r>
      <w:r>
        <w:rPr>
          <w:spacing w:val="-3"/>
        </w:rPr>
        <w:t>level </w:t>
      </w:r>
      <w:r>
        <w:rPr/>
        <w:t>of future UK official interest rates. Since the August </w:t>
      </w:r>
      <w:r>
        <w:rPr>
          <w:i/>
        </w:rPr>
        <w:t>Report</w:t>
      </w:r>
      <w:r>
        <w:rPr/>
        <w:t>, official interest rates </w:t>
      </w:r>
      <w:r>
        <w:rPr>
          <w:spacing w:val="-3"/>
        </w:rPr>
        <w:t>have </w:t>
      </w:r>
      <w:r>
        <w:rPr/>
        <w:t>remained unchanged in the United States, but </w:t>
      </w:r>
      <w:r>
        <w:rPr>
          <w:spacing w:val="-3"/>
        </w:rPr>
        <w:t>have </w:t>
      </w:r>
      <w:r>
        <w:rPr/>
        <w:t>risen in the euro area by 50 basis points. The sterling </w:t>
      </w:r>
      <w:r>
        <w:rPr>
          <w:spacing w:val="-3"/>
        </w:rPr>
        <w:t>effective </w:t>
      </w:r>
      <w:r>
        <w:rPr/>
        <w:t>exchange rate has been higher than in the August central projection, with appreciation against the euro more than offsetting depreciation against the </w:t>
      </w:r>
      <w:r>
        <w:rPr>
          <w:spacing w:val="-3"/>
        </w:rPr>
        <w:t>dollar. </w:t>
      </w:r>
      <w:r>
        <w:rPr/>
        <w:t>Equity prices </w:t>
      </w:r>
      <w:r>
        <w:rPr>
          <w:spacing w:val="-3"/>
        </w:rPr>
        <w:t>have </w:t>
      </w:r>
      <w:r>
        <w:rPr/>
        <w:t>been a little weaker than projected in August, and house price inflation has</w:t>
      </w:r>
      <w:r>
        <w:rPr>
          <w:spacing w:val="-3"/>
        </w:rPr>
        <w:t> </w:t>
      </w:r>
      <w:r>
        <w:rPr/>
        <w:t>moderated.</w:t>
      </w:r>
    </w:p>
    <w:p>
      <w:pPr>
        <w:pStyle w:val="Heading4"/>
        <w:numPr>
          <w:ilvl w:val="1"/>
          <w:numId w:val="3"/>
        </w:numPr>
        <w:tabs>
          <w:tab w:pos="3349" w:val="left" w:leader="none"/>
          <w:tab w:pos="3350" w:val="left" w:leader="none"/>
          <w:tab w:pos="5659" w:val="left" w:leader="none"/>
        </w:tabs>
        <w:spacing w:line="240" w:lineRule="auto" w:before="218" w:after="0"/>
        <w:ind w:left="3349" w:right="0" w:hanging="3170"/>
        <w:jc w:val="left"/>
      </w:pPr>
      <w:r>
        <w:rPr>
          <w:color w:val="009391"/>
          <w:u w:val="thick" w:color="0092C7"/>
        </w:rPr>
        <w:t>Money and</w:t>
      </w:r>
      <w:r>
        <w:rPr>
          <w:color w:val="009391"/>
          <w:spacing w:val="-17"/>
          <w:u w:val="thick" w:color="0092C7"/>
        </w:rPr>
        <w:t> </w:t>
      </w:r>
      <w:r>
        <w:rPr>
          <w:color w:val="009391"/>
          <w:u w:val="thick" w:color="0092C7"/>
        </w:rPr>
        <w:t>credit</w:t>
        <w:tab/>
      </w:r>
    </w:p>
    <w:p>
      <w:pPr>
        <w:pStyle w:val="BodyText"/>
        <w:spacing w:before="11"/>
        <w:rPr>
          <w:b/>
          <w:sz w:val="23"/>
        </w:rPr>
      </w:pPr>
    </w:p>
    <w:p>
      <w:pPr>
        <w:spacing w:before="0"/>
        <w:ind w:left="180" w:right="0" w:firstLine="0"/>
        <w:jc w:val="left"/>
        <w:rPr>
          <w:i/>
          <w:sz w:val="24"/>
        </w:rPr>
      </w:pPr>
      <w:r>
        <w:rPr>
          <w:i/>
          <w:color w:val="009391"/>
          <w:sz w:val="24"/>
        </w:rPr>
        <w:t>Narrow money</w:t>
      </w:r>
    </w:p>
    <w:p>
      <w:pPr>
        <w:pStyle w:val="BodyText"/>
        <w:spacing w:line="242" w:lineRule="auto" w:before="144"/>
        <w:ind w:left="180" w:right="228"/>
      </w:pPr>
      <w:r>
        <w:rPr/>
        <w:t>Narrow money (M0) consists mainly of notes and coin in circulation held by the household sector, but also includes cash held by banks at branches and in ATMs. The petrol crisis in September led banks to hold higher than normal levels of notes as a precautionary measure, so annual growth in notes and coin picked up sharply in that month (see Table 1.A). Growth has fallen back subsequently as this effect has unwound, but the underlying rate remains high. Notes and coin have accounted for a relatively constant percentage of households’ broad money holdings (M4) since the</w:t>
      </w:r>
    </w:p>
    <w:p>
      <w:pPr>
        <w:pStyle w:val="BodyText"/>
        <w:spacing w:line="242" w:lineRule="auto" w:before="14"/>
        <w:ind w:left="180" w:right="397"/>
      </w:pPr>
      <w:r>
        <w:rPr/>
        <w:t>mid-1990s (see Chart 1.1). That contrasts with a trend decline over the preceding quarter-century, and may reflect the lower opportunity cost of holding money in non-interest bearing form in a low and stable inflation environment.</w:t>
      </w:r>
    </w:p>
    <w:p>
      <w:pPr>
        <w:pStyle w:val="BodyText"/>
        <w:spacing w:before="5"/>
        <w:rPr>
          <w:sz w:val="21"/>
        </w:rPr>
      </w:pPr>
    </w:p>
    <w:p>
      <w:pPr>
        <w:spacing w:before="0"/>
        <w:ind w:left="180" w:right="0" w:firstLine="0"/>
        <w:jc w:val="left"/>
        <w:rPr>
          <w:i/>
          <w:sz w:val="24"/>
        </w:rPr>
      </w:pPr>
      <w:r>
        <w:rPr>
          <w:i/>
          <w:color w:val="009391"/>
          <w:sz w:val="24"/>
        </w:rPr>
        <w:t>Broad money and credit</w:t>
      </w:r>
    </w:p>
    <w:p>
      <w:pPr>
        <w:pStyle w:val="BodyText"/>
        <w:spacing w:line="242" w:lineRule="auto" w:before="144"/>
        <w:ind w:left="180" w:right="168"/>
      </w:pPr>
      <w:r>
        <w:rPr/>
        <w:t>Annual growth in sterling deposits held by the UK private sector (M4) rose to 9.1% in 2000 Q3, from 6.6%</w:t>
      </w:r>
    </w:p>
    <w:p>
      <w:pPr>
        <w:spacing w:after="0" w:line="242" w:lineRule="auto"/>
        <w:sectPr>
          <w:type w:val="continuous"/>
          <w:pgSz w:w="11900" w:h="16840"/>
          <w:pgMar w:top="1260" w:bottom="280" w:left="640" w:right="640"/>
          <w:cols w:num="2" w:equalWidth="0">
            <w:col w:w="3882" w:space="918"/>
            <w:col w:w="5820"/>
          </w:cols>
        </w:sectPr>
      </w:pPr>
    </w:p>
    <w:p>
      <w:pPr>
        <w:pStyle w:val="BodyText"/>
        <w:rPr>
          <w:sz w:val="20"/>
        </w:rPr>
      </w:pPr>
    </w:p>
    <w:p>
      <w:pPr>
        <w:spacing w:after="0"/>
        <w:rPr>
          <w:sz w:val="20"/>
        </w:rPr>
        <w:sectPr>
          <w:headerReference w:type="default" r:id="rId28"/>
          <w:headerReference w:type="even" r:id="rId29"/>
          <w:pgSz w:w="11900" w:h="16840"/>
          <w:pgMar w:header="586" w:footer="612" w:top="780" w:bottom="780" w:left="640" w:right="640"/>
        </w:sectPr>
      </w:pPr>
    </w:p>
    <w:p>
      <w:pPr>
        <w:pStyle w:val="BodyText"/>
        <w:spacing w:before="3"/>
        <w:rPr>
          <w:sz w:val="22"/>
        </w:rPr>
      </w:pPr>
    </w:p>
    <w:p>
      <w:pPr>
        <w:spacing w:before="0"/>
        <w:ind w:left="180" w:right="0" w:firstLine="0"/>
        <w:jc w:val="left"/>
        <w:rPr>
          <w:b/>
          <w:sz w:val="20"/>
        </w:rPr>
      </w:pPr>
      <w:bookmarkStart w:name="Household sector" w:id="7"/>
      <w:bookmarkEnd w:id="7"/>
      <w:r>
        <w:rPr/>
      </w:r>
      <w:bookmarkStart w:name="_bookmark2" w:id="8"/>
      <w:bookmarkEnd w:id="8"/>
      <w:r>
        <w:rPr/>
      </w:r>
      <w:r>
        <w:rPr>
          <w:b/>
          <w:color w:val="0092C7"/>
          <w:sz w:val="20"/>
        </w:rPr>
        <w:t>Chart 1.2</w:t>
      </w:r>
    </w:p>
    <w:p>
      <w:pPr>
        <w:spacing w:line="249" w:lineRule="auto" w:before="10"/>
        <w:ind w:left="180" w:right="89" w:firstLine="0"/>
        <w:jc w:val="left"/>
        <w:rPr>
          <w:b/>
          <w:sz w:val="20"/>
        </w:rPr>
      </w:pPr>
      <w:r>
        <w:rPr>
          <w:b/>
          <w:color w:val="0092C7"/>
          <w:sz w:val="20"/>
        </w:rPr>
        <w:t>Growth in M4, M4 excluding OFCs, and nominal GDP</w:t>
      </w:r>
    </w:p>
    <w:p>
      <w:pPr>
        <w:spacing w:before="72"/>
        <w:ind w:left="1537" w:right="0" w:firstLine="0"/>
        <w:jc w:val="left"/>
        <w:rPr>
          <w:sz w:val="12"/>
        </w:rPr>
      </w:pPr>
      <w:r>
        <w:rPr/>
        <w:pict>
          <v:line style="position:absolute;mso-position-horizontal-relative:page;mso-position-vertical-relative:paragraph;z-index:15749120" from="40.669998pt,10.690202pt" to="45.002998pt,10.690202pt" stroked="true" strokeweight=".5pt" strokecolor="#000000">
            <v:stroke dashstyle="solid"/>
            <w10:wrap type="none"/>
          </v:line>
        </w:pict>
      </w:r>
      <w:r>
        <w:rPr>
          <w:sz w:val="12"/>
        </w:rPr>
        <w:t>Percentage changes on a year earli</w:t>
      </w:r>
      <w:r>
        <w:rPr>
          <w:sz w:val="12"/>
          <w:u w:val="single"/>
        </w:rPr>
        <w:t>er</w:t>
      </w:r>
      <w:r>
        <w:rPr>
          <w:spacing w:val="-3"/>
          <w:sz w:val="12"/>
        </w:rPr>
        <w:t> </w:t>
      </w:r>
      <w:r>
        <w:rPr>
          <w:position w:val="-5"/>
          <w:sz w:val="12"/>
        </w:rPr>
        <w:t>20</w:t>
      </w:r>
    </w:p>
    <w:p>
      <w:pPr>
        <w:spacing w:before="148"/>
        <w:ind w:left="0" w:right="968" w:firstLine="0"/>
        <w:jc w:val="right"/>
        <w:rPr>
          <w:sz w:val="12"/>
        </w:rPr>
      </w:pPr>
      <w:r>
        <w:rPr/>
        <w:pict>
          <v:group style="position:absolute;margin-left:40.669998pt;margin-top:11.295344pt;width:147.7pt;height:108.35pt;mso-position-horizontal-relative:page;mso-position-vertical-relative:paragraph;z-index:15747584" coordorigin="813,226" coordsize="2954,2167">
            <v:shape style="position:absolute;left:972;top:517;width:1268;height:1803" coordorigin="972,518" coordsize="1268,1803" path="m972,565l1030,518m1030,518l1097,705m1097,705l1155,550m1155,550l1210,675m1210,675l1280,768m1280,768l1335,1000m1335,1000l1392,1358m1392,1358l1460,1483m1460,1483l1517,1560m1517,1560l1572,1668m1572,1668l1640,1683m1640,1683l1697,1808m1697,1808l1765,1978m1765,1978l1822,2088m1822,2088l1880,2213m1880,2213l1947,2305m1947,2305l2002,2320m2002,2320l2060,2290m2060,2290l2127,2213m2127,2213l2185,2073m2185,2073l2240,2165e" filled="false" stroked="true" strokeweight="1pt" strokecolor="#006caa">
              <v:path arrowok="t"/>
              <v:stroke dashstyle="solid"/>
            </v:shape>
            <v:line style="position:absolute" from="2230,2166" to="2320,2166" stroked="true" strokeweight="1.125pt" strokecolor="#006caa">
              <v:stroke dashstyle="solid"/>
            </v:line>
            <v:shape style="position:absolute;left:2309;top:1715;width:655;height:513" coordorigin="2310,1715" coordsize="655,513" path="m2310,2165l2365,2228m2365,2228l2422,2180m2422,2180l2490,2088m2490,2088l2547,1963m2547,1963l2602,1793m2602,1793l2670,1823m2670,1823l2727,1760m2727,1760l2785,1823m2785,1823l2852,1870m2852,1870l2910,1760m2910,1760l2965,1715e" filled="false" stroked="true" strokeweight="1pt" strokecolor="#006caa">
              <v:path arrowok="t"/>
              <v:stroke dashstyle="solid"/>
            </v:shape>
            <v:shape style="position:absolute;left:2954;top:1716;width:145;height:2" coordorigin="2955,1716" coordsize="145,0" path="m2955,1716l3042,1716m3022,1716l3100,1716e" filled="false" stroked="true" strokeweight="1.125pt" strokecolor="#006caa">
              <v:path arrowok="t"/>
              <v:stroke dashstyle="solid"/>
            </v:shape>
            <v:shape style="position:absolute;left:3089;top:1715;width:668;height:403" coordorigin="3090,1715" coordsize="668,403" path="m3090,1715l3157,1933m3157,1933l3215,2025m3215,2025l3270,1995m3270,1995l3340,2025m3340,2025l3395,1870m3395,1870l3452,1885m3452,1885l3520,2010m3520,2010l3577,1948m3577,1948l3632,2118m3632,2118l3700,1948m3700,1948l3757,1715e" filled="false" stroked="true" strokeweight="1pt" strokecolor="#006caa">
              <v:path arrowok="t"/>
              <v:stroke dashstyle="solid"/>
            </v:shape>
            <v:shape style="position:absolute;left:972;top:240;width:2060;height:2143" coordorigin="972,240" coordsize="2060,2143" path="m972,318l1030,240m1030,240l1097,395m1097,395l1155,240m1155,240l1210,285m1210,285l1280,395m1280,395l1335,720m1335,720l1392,1108m1392,1108l1460,1450m1460,1450l1517,1730m1517,1730l1572,1885m1572,1885l1640,1963m1640,1963l1697,2025m1697,2025l1765,2103m1765,2103l1822,2133m1822,2133l1880,2290m1880,2290l1947,2335m1947,2335l2002,2383m2002,2383l2060,2335m2060,2335l2127,2150m2127,2150l2185,1995m2185,1995l2240,2025m2240,2025l2310,2088m2310,2088l2365,2150m2365,2150l2422,2025m2422,2025l2490,1823m2490,1823l2547,1620m2547,1620l2602,1405m2602,1405l2670,1420m2670,1420l2727,1405m2727,1405l2785,1388m2785,1388l2852,1435m2852,1435l2910,1233m2910,1233l2965,1140m2965,1140l3032,1125e" filled="false" stroked="true" strokeweight="1pt" strokecolor="#de0035">
              <v:path arrowok="t"/>
              <v:stroke dashstyle="solid"/>
            </v:shape>
            <v:line style="position:absolute" from="3022,1126" to="3100,1126" stroked="true" strokeweight="1.125pt" strokecolor="#de0035">
              <v:stroke dashstyle="solid"/>
            </v:line>
            <v:shape style="position:absolute;left:3089;top:1125;width:668;height:1243" coordorigin="3090,1125" coordsize="668,1243" path="m3090,1125l3157,1388m3157,1388l3215,1450m3215,1450l3270,1435m3270,1435l3340,1620m3340,1620l3395,1808m3395,1808l3452,2025m3452,2025l3520,2368m3520,2368l3577,2228m3577,2228l3632,2055m3632,2055l3700,1870m3700,1870l3757,1513e" filled="false" stroked="true" strokeweight="1pt" strokecolor="#de0035">
              <v:path arrowok="t"/>
              <v:stroke dashstyle="solid"/>
            </v:shape>
            <v:shape style="position:absolute;left:972;top:1202;width:1938;height:1180" coordorigin="972,1203" coordsize="1938,1180" path="m972,1203l1030,1325m1030,1325l1097,1483m1097,1483l1155,1638m1155,1638l1210,1590m1210,1590l1280,1388m1280,1388l1335,1560m1335,1560l1392,1918m1392,1918l1460,1948m1460,1948l1517,2195m1517,2195l1572,2213m1572,2213l1640,1978m1640,1978l1697,2133m1697,2133l1765,2165m1765,2165l1822,2258m1822,2258l1880,2383m1880,2383l1947,2243m1947,2243l2002,2213m2002,2213l2060,1978m2060,1978l2127,1885m2127,1885l2185,1948m2185,1948l2240,1933m2240,1933l2310,2025m2310,2025l2365,1918m2365,1918l2422,1978m2422,1978l2490,1995m2490,1995l2547,2055m2547,2055l2602,2165m2602,2165l2670,2010m2670,2010l2727,1995m2727,1995l2785,1918m2785,1918l2852,1948m2852,1948l2910,1918e" filled="false" stroked="true" strokeweight="1pt" strokecolor="#008360">
              <v:path arrowok="t"/>
              <v:stroke dashstyle="solid"/>
            </v:shape>
            <v:line style="position:absolute" from="2900,1919" to="2975,1919" stroked="true" strokeweight="1.125pt" strokecolor="#008360">
              <v:stroke dashstyle="solid"/>
            </v:line>
            <v:shape style="position:absolute;left:2964;top:1807;width:735;height:420" coordorigin="2965,1808" coordsize="735,420" path="m2965,1918l3032,1885m3032,1885l3090,1808m3090,1808l3157,1948m3157,1948l3215,1918m3215,1918l3270,1978m3270,1978l3395,2228m3395,2228l3452,2180m3452,2180l3520,2103m3520,2103l3577,2055m3577,2055l3632,1995m3632,1995l3700,2088e" filled="false" stroked="true" strokeweight="1pt" strokecolor="#008360">
              <v:path arrowok="t"/>
              <v:stroke dashstyle="solid"/>
            </v:shape>
            <v:shape style="position:absolute;left:813;top:230;width:1080;height:2014" coordorigin="813,231" coordsize="1080,2014" path="m813,231l900,231m813,519l900,519m813,806l900,806m813,1094l900,1094m813,1382l900,1382m813,1669l900,1669m813,1957l900,1957m813,2245l900,2245m1893,1111l1681,1594e" filled="false" stroked="true" strokeweight=".5pt" strokecolor="#000000">
              <v:path arrowok="t"/>
              <v:stroke dashstyle="solid"/>
            </v:shape>
            <v:shape style="position:absolute;left:1653;top:1568;width:58;height:88" coordorigin="1654,1569" coordsize="58,88" path="m1665,1569l1658,1637,1654,1656,1659,1649,1711,1589,1665,1569xe" filled="true" fillcolor="#000000" stroked="false">
              <v:path arrowok="t"/>
              <v:fill type="solid"/>
            </v:shape>
            <v:shape style="position:absolute;left:1292;top:257;width:187;height:133" type="#_x0000_t202" filled="false" stroked="false">
              <v:textbox inset="0,0,0,0">
                <w:txbxContent>
                  <w:p>
                    <w:pPr>
                      <w:spacing w:line="133" w:lineRule="exact" w:before="0"/>
                      <w:ind w:left="0" w:right="0" w:firstLine="0"/>
                      <w:jc w:val="left"/>
                      <w:rPr>
                        <w:sz w:val="12"/>
                      </w:rPr>
                    </w:pPr>
                    <w:r>
                      <w:rPr>
                        <w:sz w:val="12"/>
                      </w:rPr>
                      <w:t>M4</w:t>
                    </w:r>
                  </w:p>
                </w:txbxContent>
              </v:textbox>
              <w10:wrap type="none"/>
            </v:shape>
            <v:shape style="position:absolute;left:1652;top:974;width:1001;height:134" type="#_x0000_t202" filled="false" stroked="false">
              <v:textbox inset="0,0,0,0">
                <w:txbxContent>
                  <w:p>
                    <w:pPr>
                      <w:spacing w:line="133" w:lineRule="exact" w:before="0"/>
                      <w:ind w:left="0" w:right="0" w:firstLine="0"/>
                      <w:jc w:val="left"/>
                      <w:rPr>
                        <w:sz w:val="12"/>
                      </w:rPr>
                    </w:pPr>
                    <w:r>
                      <w:rPr>
                        <w:sz w:val="12"/>
                      </w:rPr>
                      <w:t>M4 excluding OFCs</w:t>
                    </w:r>
                  </w:p>
                </w:txbxContent>
              </v:textbox>
              <w10:wrap type="none"/>
            </v:shape>
            <v:shape style="position:absolute;left:2609;top:2165;width:710;height:134" type="#_x0000_t202" filled="false" stroked="false">
              <v:textbox inset="0,0,0,0">
                <w:txbxContent>
                  <w:p>
                    <w:pPr>
                      <w:spacing w:line="133" w:lineRule="exact" w:before="0"/>
                      <w:ind w:left="0" w:right="0" w:firstLine="0"/>
                      <w:jc w:val="left"/>
                      <w:rPr>
                        <w:sz w:val="12"/>
                      </w:rPr>
                    </w:pPr>
                    <w:r>
                      <w:rPr>
                        <w:sz w:val="12"/>
                      </w:rPr>
                      <w:t>Nominal GDP</w:t>
                    </w:r>
                  </w:p>
                </w:txbxContent>
              </v:textbox>
              <w10:wrap type="none"/>
            </v:shape>
            <w10:wrap type="none"/>
          </v:group>
        </w:pict>
      </w:r>
      <w:r>
        <w:rPr/>
        <w:pict>
          <v:line style="position:absolute;mso-position-horizontal-relative:page;mso-position-vertical-relative:paragraph;z-index:15750144" from="192.011993pt,11.545344pt" to="196.345993pt,11.545344pt" stroked="true" strokeweight=".5pt" strokecolor="#000000">
            <v:stroke dashstyle="solid"/>
            <w10:wrap type="none"/>
          </v:line>
        </w:pict>
      </w:r>
      <w:r>
        <w:rPr>
          <w:sz w:val="12"/>
        </w:rPr>
        <w:t>18</w:t>
      </w:r>
    </w:p>
    <w:p>
      <w:pPr>
        <w:pStyle w:val="BodyText"/>
        <w:rPr>
          <w:sz w:val="13"/>
        </w:rPr>
      </w:pPr>
    </w:p>
    <w:p>
      <w:pPr>
        <w:spacing w:before="0"/>
        <w:ind w:left="0" w:right="968" w:firstLine="0"/>
        <w:jc w:val="right"/>
        <w:rPr>
          <w:sz w:val="12"/>
        </w:rPr>
      </w:pPr>
      <w:r>
        <w:rPr/>
        <w:pict>
          <v:line style="position:absolute;mso-position-horizontal-relative:page;mso-position-vertical-relative:paragraph;z-index:15750656" from="192.011993pt,4.168161pt" to="196.345993pt,4.168161pt" stroked="true" strokeweight=".5pt" strokecolor="#000000">
            <v:stroke dashstyle="solid"/>
            <w10:wrap type="none"/>
          </v:line>
        </w:pict>
      </w:r>
      <w:r>
        <w:rPr>
          <w:sz w:val="12"/>
        </w:rPr>
        <w:t>16</w:t>
      </w:r>
    </w:p>
    <w:p>
      <w:pPr>
        <w:pStyle w:val="BodyText"/>
        <w:rPr>
          <w:sz w:val="13"/>
        </w:rPr>
      </w:pPr>
    </w:p>
    <w:p>
      <w:pPr>
        <w:spacing w:before="0"/>
        <w:ind w:left="0" w:right="968" w:firstLine="0"/>
        <w:jc w:val="right"/>
        <w:rPr>
          <w:sz w:val="12"/>
        </w:rPr>
      </w:pPr>
      <w:r>
        <w:rPr/>
        <w:pict>
          <v:line style="position:absolute;mso-position-horizontal-relative:page;mso-position-vertical-relative:paragraph;z-index:15751168" from="192.011993pt,4.189369pt" to="196.345993pt,4.189369pt" stroked="true" strokeweight=".5pt" strokecolor="#000000">
            <v:stroke dashstyle="solid"/>
            <w10:wrap type="none"/>
          </v:line>
        </w:pict>
      </w:r>
      <w:r>
        <w:rPr>
          <w:sz w:val="12"/>
        </w:rPr>
        <w:t>14</w:t>
      </w:r>
    </w:p>
    <w:p>
      <w:pPr>
        <w:pStyle w:val="BodyText"/>
        <w:spacing w:before="11"/>
        <w:rPr>
          <w:sz w:val="12"/>
        </w:rPr>
      </w:pPr>
    </w:p>
    <w:p>
      <w:pPr>
        <w:spacing w:before="0"/>
        <w:ind w:left="0" w:right="968" w:firstLine="0"/>
        <w:jc w:val="right"/>
        <w:rPr>
          <w:sz w:val="12"/>
        </w:rPr>
      </w:pPr>
      <w:r>
        <w:rPr/>
        <w:pict>
          <v:line style="position:absolute;mso-position-horizontal-relative:page;mso-position-vertical-relative:paragraph;z-index:15751680" from="192.011993pt,4.211576pt" to="196.345993pt,4.211576pt" stroked="true" strokeweight=".5pt" strokecolor="#000000">
            <v:stroke dashstyle="solid"/>
            <w10:wrap type="none"/>
          </v:line>
        </w:pict>
      </w:r>
      <w:r>
        <w:rPr>
          <w:sz w:val="12"/>
        </w:rPr>
        <w:t>12</w:t>
      </w:r>
    </w:p>
    <w:p>
      <w:pPr>
        <w:pStyle w:val="BodyText"/>
        <w:rPr>
          <w:sz w:val="13"/>
        </w:rPr>
      </w:pPr>
    </w:p>
    <w:p>
      <w:pPr>
        <w:spacing w:before="0"/>
        <w:ind w:left="0" w:right="968" w:firstLine="0"/>
        <w:jc w:val="right"/>
        <w:rPr>
          <w:sz w:val="12"/>
        </w:rPr>
      </w:pPr>
      <w:r>
        <w:rPr/>
        <w:pict>
          <v:line style="position:absolute;mso-position-horizontal-relative:page;mso-position-vertical-relative:paragraph;z-index:15752192" from="192.011993pt,4.232783pt" to="196.345993pt,4.232783pt" stroked="true" strokeweight=".5pt" strokecolor="#000000">
            <v:stroke dashstyle="solid"/>
            <w10:wrap type="none"/>
          </v:line>
        </w:pict>
      </w:r>
      <w:r>
        <w:rPr>
          <w:sz w:val="12"/>
        </w:rPr>
        <w:t>10</w:t>
      </w:r>
    </w:p>
    <w:p>
      <w:pPr>
        <w:pStyle w:val="BodyText"/>
        <w:spacing w:before="11"/>
        <w:rPr>
          <w:sz w:val="12"/>
        </w:rPr>
      </w:pPr>
    </w:p>
    <w:p>
      <w:pPr>
        <w:spacing w:before="0"/>
        <w:ind w:left="0" w:right="968" w:firstLine="0"/>
        <w:jc w:val="right"/>
        <w:rPr>
          <w:sz w:val="12"/>
        </w:rPr>
      </w:pPr>
      <w:r>
        <w:rPr/>
        <w:pict>
          <v:line style="position:absolute;mso-position-horizontal-relative:page;mso-position-vertical-relative:paragraph;z-index:15752704" from="192.011993pt,4.255539pt" to="196.345993pt,4.255539pt" stroked="true" strokeweight=".5pt" strokecolor="#000000">
            <v:stroke dashstyle="solid"/>
            <w10:wrap type="none"/>
          </v:line>
        </w:pict>
      </w:r>
      <w:r>
        <w:rPr>
          <w:sz w:val="12"/>
        </w:rPr>
        <w:t>8</w:t>
      </w:r>
    </w:p>
    <w:p>
      <w:pPr>
        <w:pStyle w:val="BodyText"/>
        <w:rPr>
          <w:sz w:val="13"/>
        </w:rPr>
      </w:pPr>
    </w:p>
    <w:p>
      <w:pPr>
        <w:spacing w:before="0"/>
        <w:ind w:left="0" w:right="968" w:firstLine="0"/>
        <w:jc w:val="right"/>
        <w:rPr>
          <w:sz w:val="12"/>
        </w:rPr>
      </w:pPr>
      <w:r>
        <w:rPr/>
        <w:pict>
          <v:line style="position:absolute;mso-position-horizontal-relative:page;mso-position-vertical-relative:paragraph;z-index:15753216" from="192.011993pt,4.277136pt" to="196.345993pt,4.277136pt" stroked="true" strokeweight=".5pt" strokecolor="#000000">
            <v:stroke dashstyle="solid"/>
            <w10:wrap type="none"/>
          </v:line>
        </w:pict>
      </w:r>
      <w:r>
        <w:rPr>
          <w:sz w:val="12"/>
        </w:rPr>
        <w:t>6</w:t>
      </w:r>
    </w:p>
    <w:p>
      <w:pPr>
        <w:pStyle w:val="BodyText"/>
        <w:spacing w:before="11"/>
        <w:rPr>
          <w:sz w:val="12"/>
        </w:rPr>
      </w:pPr>
    </w:p>
    <w:p>
      <w:pPr>
        <w:spacing w:before="0"/>
        <w:ind w:left="0" w:right="968" w:firstLine="0"/>
        <w:jc w:val="right"/>
        <w:rPr>
          <w:sz w:val="12"/>
        </w:rPr>
      </w:pPr>
      <w:r>
        <w:rPr/>
        <w:pict>
          <v:line style="position:absolute;mso-position-horizontal-relative:page;mso-position-vertical-relative:paragraph;z-index:15754240" from="192.011993pt,4.298953pt" to="196.345993pt,4.298953pt" stroked="true" strokeweight=".5pt" strokecolor="#000000">
            <v:stroke dashstyle="solid"/>
            <w10:wrap type="none"/>
          </v:line>
        </w:pict>
      </w:r>
      <w:r>
        <w:rPr>
          <w:sz w:val="12"/>
        </w:rPr>
        <w:t>4</w:t>
      </w:r>
    </w:p>
    <w:p>
      <w:pPr>
        <w:pStyle w:val="BodyText"/>
        <w:rPr>
          <w:sz w:val="13"/>
        </w:rPr>
      </w:pPr>
    </w:p>
    <w:p>
      <w:pPr>
        <w:spacing w:before="0"/>
        <w:ind w:left="0" w:right="968" w:firstLine="0"/>
        <w:jc w:val="right"/>
        <w:rPr>
          <w:sz w:val="12"/>
        </w:rPr>
      </w:pPr>
      <w:r>
        <w:rPr/>
        <w:pict>
          <v:line style="position:absolute;mso-position-horizontal-relative:page;mso-position-vertical-relative:paragraph;z-index:15748096" from="40.669998pt,4.31977pt" to="45.002998pt,4.31977pt" stroked="true" strokeweight=".5pt" strokecolor="#000000">
            <v:stroke dashstyle="solid"/>
            <w10:wrap type="none"/>
          </v:line>
        </w:pict>
      </w:r>
      <w:r>
        <w:rPr/>
        <w:pict>
          <v:line style="position:absolute;mso-position-horizontal-relative:page;mso-position-vertical-relative:paragraph;z-index:15753728" from="192.011993pt,4.31977pt" to="196.345993pt,4.31977pt" stroked="true" strokeweight=".5pt" strokecolor="#000000">
            <v:stroke dashstyle="solid"/>
            <w10:wrap type="none"/>
          </v:line>
        </w:pict>
      </w:r>
      <w:r>
        <w:rPr>
          <w:sz w:val="12"/>
        </w:rPr>
        <w:t>2</w:t>
      </w:r>
    </w:p>
    <w:p>
      <w:pPr>
        <w:pStyle w:val="BodyText"/>
        <w:spacing w:before="11"/>
        <w:rPr>
          <w:sz w:val="12"/>
        </w:rPr>
      </w:pPr>
    </w:p>
    <w:p>
      <w:pPr>
        <w:spacing w:line="124" w:lineRule="exact" w:before="0"/>
        <w:ind w:left="3374" w:right="0" w:firstLine="0"/>
        <w:jc w:val="left"/>
        <w:rPr>
          <w:sz w:val="12"/>
        </w:rPr>
      </w:pPr>
      <w:r>
        <w:rPr/>
        <w:pict>
          <v:line style="position:absolute;mso-position-horizontal-relative:page;mso-position-vertical-relative:paragraph;z-index:15748608" from="40.669998pt,4.342588pt" to="45.002998pt,4.342588pt" stroked="true" strokeweight=".5pt" strokecolor="#000000">
            <v:stroke dashstyle="solid"/>
            <w10:wrap type="none"/>
          </v:line>
        </w:pict>
      </w:r>
      <w:r>
        <w:rPr/>
        <w:pict>
          <v:shape style="position:absolute;margin-left:48.762001pt;margin-top:.989588pt;width:139.450pt;height:3.4pt;mso-position-horizontal-relative:page;mso-position-vertical-relative:paragraph;z-index:15749632" coordorigin="975,20" coordsize="2789,68" path="m978,87l3763,87m975,20l975,87m1217,20l1217,87m1458,20l1458,87m1700,20l1700,87m1941,20l1941,87m2424,20l2424,87m3149,20l3149,87m3632,20l3632,87m2183,20l2183,87m2666,20l2666,87m2908,20l2908,87m3391,20l3391,87e" filled="false" stroked="true" strokeweight=".5pt" strokecolor="#000000">
            <v:path arrowok="t"/>
            <v:stroke dashstyle="solid"/>
            <w10:wrap type="none"/>
          </v:shape>
        </w:pict>
      </w:r>
      <w:r>
        <w:rPr/>
        <w:pict>
          <v:line style="position:absolute;mso-position-horizontal-relative:page;mso-position-vertical-relative:paragraph;z-index:15754752" from="192.011993pt,4.342588pt" to="196.345993pt,4.342588pt" stroked="true" strokeweight=".5pt" strokecolor="#000000">
            <v:stroke dashstyle="solid"/>
            <w10:wrap type="none"/>
          </v:line>
        </w:pict>
      </w:r>
      <w:r>
        <w:rPr>
          <w:sz w:val="12"/>
        </w:rPr>
        <w:t>0</w:t>
      </w:r>
    </w:p>
    <w:p>
      <w:pPr>
        <w:spacing w:line="124" w:lineRule="exact" w:before="0"/>
        <w:ind w:left="319" w:right="0" w:firstLine="0"/>
        <w:jc w:val="left"/>
        <w:rPr>
          <w:sz w:val="12"/>
        </w:rPr>
      </w:pPr>
      <w:r>
        <w:rPr>
          <w:sz w:val="12"/>
        </w:rPr>
        <w:t>1989 90 91 92 93 94 95 96 97 98 99 2000</w:t>
      </w:r>
    </w:p>
    <w:p>
      <w:pPr>
        <w:pStyle w:val="BodyText"/>
        <w:spacing w:before="6"/>
        <w:rPr>
          <w:sz w:val="9"/>
        </w:rPr>
      </w:pPr>
    </w:p>
    <w:p>
      <w:pPr>
        <w:spacing w:before="1"/>
        <w:ind w:left="180" w:right="0" w:firstLine="0"/>
        <w:jc w:val="left"/>
        <w:rPr>
          <w:sz w:val="12"/>
        </w:rPr>
      </w:pPr>
      <w:r>
        <w:rPr>
          <w:sz w:val="12"/>
        </w:rPr>
        <w:t>Sources: ONS and Bank of England.</w:t>
      </w:r>
    </w:p>
    <w:p>
      <w:pPr>
        <w:pStyle w:val="BodyText"/>
        <w:rPr>
          <w:sz w:val="12"/>
        </w:rPr>
      </w:pPr>
    </w:p>
    <w:p>
      <w:pPr>
        <w:pStyle w:val="BodyText"/>
        <w:rPr>
          <w:sz w:val="12"/>
        </w:rPr>
      </w:pPr>
    </w:p>
    <w:p>
      <w:pPr>
        <w:pStyle w:val="BodyText"/>
        <w:rPr>
          <w:sz w:val="12"/>
        </w:rPr>
      </w:pPr>
    </w:p>
    <w:p>
      <w:pPr>
        <w:pStyle w:val="BodyText"/>
        <w:spacing w:before="8"/>
        <w:rPr>
          <w:sz w:val="14"/>
        </w:rPr>
      </w:pPr>
    </w:p>
    <w:p>
      <w:pPr>
        <w:spacing w:before="0"/>
        <w:ind w:left="180" w:right="0" w:firstLine="0"/>
        <w:jc w:val="left"/>
        <w:rPr>
          <w:b/>
          <w:sz w:val="20"/>
        </w:rPr>
      </w:pPr>
      <w:r>
        <w:rPr>
          <w:b/>
          <w:color w:val="0092C7"/>
          <w:sz w:val="20"/>
        </w:rPr>
        <w:t>Chart 1.3</w:t>
      </w:r>
    </w:p>
    <w:p>
      <w:pPr>
        <w:spacing w:before="10"/>
        <w:ind w:left="180" w:right="0" w:firstLine="0"/>
        <w:jc w:val="left"/>
        <w:rPr>
          <w:b/>
          <w:sz w:val="20"/>
        </w:rPr>
      </w:pPr>
      <w:r>
        <w:rPr>
          <w:b/>
          <w:color w:val="0092C7"/>
          <w:sz w:val="20"/>
        </w:rPr>
        <w:t>Growth in M4 lending</w:t>
      </w:r>
    </w:p>
    <w:p>
      <w:pPr>
        <w:spacing w:line="115" w:lineRule="exact" w:before="78"/>
        <w:ind w:left="1617" w:right="0" w:firstLine="0"/>
        <w:jc w:val="left"/>
        <w:rPr>
          <w:sz w:val="12"/>
        </w:rPr>
      </w:pPr>
      <w:r>
        <w:rPr>
          <w:sz w:val="12"/>
        </w:rPr>
        <w:t>Percentage changes on a year earlier</w:t>
      </w:r>
    </w:p>
    <w:p>
      <w:pPr>
        <w:spacing w:line="115" w:lineRule="exact" w:before="0"/>
        <w:ind w:left="3395" w:right="0" w:firstLine="0"/>
        <w:jc w:val="left"/>
        <w:rPr>
          <w:sz w:val="12"/>
        </w:rPr>
      </w:pPr>
      <w:r>
        <w:rPr/>
        <w:pict>
          <v:group style="position:absolute;margin-left:40.958pt;margin-top:10.189972pt;width:167.8pt;height:120.85pt;mso-position-horizontal-relative:page;mso-position-vertical-relative:paragraph;z-index:-22908928" coordorigin="819,204" coordsize="3356,2417">
            <v:shape style="position:absolute;left:976;top:2296;width:3030;height:2" coordorigin="977,2296" coordsize="3030,0" path="m3920,2296l4007,2296m977,2296l3857,2296e" filled="false" stroked="true" strokeweight=".5pt" strokecolor="#000000">
              <v:path arrowok="t"/>
              <v:stroke dashstyle="solid"/>
            </v:shape>
            <v:shape style="position:absolute;left:977;top:753;width:940;height:1283" coordorigin="978,754" coordsize="940,1283" path="m978,754l1035,846m1035,846l1105,879m1105,879l1163,924m1163,924l1233,971m1233,971l1290,1079m1290,1079l1348,1279m1348,1279l1418,1404m1418,1404l1475,1571m1475,1571l1545,1711m1545,1711l1603,1789m1603,1789l1663,1881m1663,1881l1730,1959m1730,1959l1790,1944m1790,1944l1848,1989m1848,1989l1918,2036e" filled="false" stroked="true" strokeweight="1pt" strokecolor="#f6bd61">
              <v:path arrowok="t"/>
              <v:stroke dashstyle="solid"/>
            </v:shape>
            <v:line style="position:absolute" from="1908,2038" to="1985,2038" stroked="true" strokeweight="1.125pt" strokecolor="#f6bd61">
              <v:stroke dashstyle="solid"/>
            </v:line>
            <v:shape style="position:absolute;left:1975;top:2036;width:128;height:45" coordorigin="1975,2036" coordsize="128,45" path="m1975,2036l2043,2081m2043,2081l2103,2051e" filled="false" stroked="true" strokeweight="1pt" strokecolor="#f6bd61">
              <v:path arrowok="t"/>
              <v:stroke dashstyle="solid"/>
            </v:shape>
            <v:shape style="position:absolute;left:2092;top:2052;width:205;height:2" coordorigin="2093,2053" coordsize="205,0" path="m2093,2053l2170,2053m2150,2053l2240,2053m2220,2053l2298,2053e" filled="false" stroked="true" strokeweight="1.125pt" strokecolor="#f6bd61">
              <v:path arrowok="t"/>
              <v:stroke dashstyle="solid"/>
            </v:shape>
            <v:shape style="position:absolute;left:2287;top:1726;width:383;height:325" coordorigin="2288,1726" coordsize="383,325" path="m2288,2051l2358,2019m2358,2019l2415,1944m2415,1944l2473,1834m2473,1834l2543,1789m2543,1789l2600,1759m2600,1759l2670,1726e" filled="false" stroked="true" strokeweight="1pt" strokecolor="#f6bd61">
              <v:path arrowok="t"/>
              <v:stroke dashstyle="solid"/>
            </v:shape>
            <v:line style="position:absolute" from="2660,1728" to="2738,1728" stroked="true" strokeweight="1.125pt" strokecolor="#f6bd61">
              <v:stroke dashstyle="solid"/>
            </v:line>
            <v:shape style="position:absolute;left:2727;top:1448;width:1123;height:385" coordorigin="2728,1449" coordsize="1123,385" path="m2728,1726l2785,1696m2785,1696l2855,1681m2855,1681l2913,1726m2913,1726l2983,1711m2983,1711l3040,1681m3040,1681l3098,1726m3098,1726l3168,1696m3168,1696l3225,1741m3225,1741l3283,1789m3283,1789l3353,1711m3353,1711l3410,1789m3410,1789l3480,1819m3480,1819l3538,1789m3538,1789l3595,1834m3595,1834l3665,1696m3665,1696l3723,1604m3723,1604l3793,1556m3793,1556l3850,1449e" filled="false" stroked="true" strokeweight="1pt" strokecolor="#f6bd61">
              <v:path arrowok="t"/>
              <v:stroke dashstyle="solid"/>
            </v:shape>
            <v:shape style="position:absolute;left:977;top:213;width:1183;height:2315" coordorigin="978,214" coordsize="1183,2315" path="m978,384l1035,431m1035,431l1105,214m1105,214l1163,369m1163,369l1233,524m1233,524l1290,769m1290,769l1348,1264m1348,1264l1418,1434m1418,1434l1475,1634m1475,1634l1545,1974m1545,1974l1603,2081m1603,2081l1663,2236m1663,2236l1730,2374m1730,2374l1790,2266m1790,2266l1848,2281m1848,2281l1918,2299m1918,2299l1975,2344m1975,2344l2043,2406m2043,2406l2103,2436m2103,2436l2160,2529e" filled="false" stroked="true" strokeweight="1pt" strokecolor="#835335">
              <v:path arrowok="t"/>
              <v:stroke dashstyle="solid"/>
            </v:shape>
            <v:line style="position:absolute" from="2150,2530" to="2240,2530" stroked="true" strokeweight="1.125pt" strokecolor="#835335">
              <v:stroke dashstyle="solid"/>
            </v:line>
            <v:shape style="position:absolute;left:2230;top:1171;width:1620;height:1420" coordorigin="2230,1171" coordsize="1620,1420" path="m2230,2529l2288,2591m2288,2591l2358,2529m2358,2529l2415,2359m2415,2359l2473,2004m2473,2004l2543,1789m2543,1789l2600,1619m2600,1619l2670,1419m2670,1419l2728,1434m2728,1434l2785,1326m2785,1326l2855,1341m2855,1341l2913,1449m2913,1449l2983,1759m2983,1759l3040,1819m3040,1819l3098,1944m3098,1944l3168,2066m3168,2066l3225,1926m3225,1926l3283,1959m3283,1959l3353,1911m3353,1911l3410,1866m3410,1866l3480,1944m3480,1944l3538,1989m3538,1989l3595,2004m3595,2004l3665,1911m3665,1911l3723,1726m3723,1726l3793,1449m3793,1449l3850,1171e" filled="false" stroked="true" strokeweight="1pt" strokecolor="#835335">
              <v:path arrowok="t"/>
              <v:stroke dashstyle="solid"/>
            </v:shape>
            <v:shape style="position:absolute;left:977;top:923;width:1065;height:1065" coordorigin="978,924" coordsize="1065,1065" path="m978,924l1035,1031m1035,1031l1105,1171m1105,1171l1163,1186m1163,1186l1233,1234m1233,1234l1290,1294m1290,1294l1348,1371m1348,1371l1418,1464m1418,1464l1475,1589m1475,1589l1545,1649m1545,1649l1603,1711m1603,1711l1663,1759m1663,1759l1730,1804m1730,1804l1790,1851m1790,1851l1848,1881m1848,1881l1918,1926m1918,1926l1975,1974m1975,1974l2043,1989e" filled="false" stroked="true" strokeweight="1pt" strokecolor="#00a2a0">
              <v:path arrowok="t"/>
              <v:stroke dashstyle="solid"/>
            </v:shape>
            <v:line style="position:absolute" from="2033,1990" to="2113,1990" stroked="true" strokeweight="1.125pt" strokecolor="#00a2a0">
              <v:stroke dashstyle="solid"/>
            </v:line>
            <v:shape style="position:absolute;left:2102;top:1896;width:255;height:93" coordorigin="2103,1896" coordsize="255,93" path="m2103,1989l2160,1959m2160,1959l2230,1944m2230,1944l2288,1911m2288,1911l2358,1896e" filled="false" stroked="true" strokeweight="1pt" strokecolor="#00a2a0">
              <v:path arrowok="t"/>
              <v:stroke dashstyle="solid"/>
            </v:shape>
            <v:line style="position:absolute" from="2348,1898" to="2425,1898" stroked="true" strokeweight="1.125pt" strokecolor="#00a2a0">
              <v:stroke dashstyle="solid"/>
            </v:line>
            <v:shape style="position:absolute;left:2415;top:1881;width:185;height:30" coordorigin="2415,1881" coordsize="185,30" path="m2415,1896l2473,1881m2473,1881l2543,1896m2543,1896l2600,1911e" filled="false" stroked="true" strokeweight="1pt" strokecolor="#00a2a0">
              <v:path arrowok="t"/>
              <v:stroke dashstyle="solid"/>
            </v:shape>
            <v:line style="position:absolute" from="2590,1913" to="2680,1913" stroked="true" strokeweight="1.125pt" strokecolor="#00a2a0">
              <v:stroke dashstyle="solid"/>
            </v:line>
            <v:shape style="position:absolute;left:2670;top:1833;width:313;height:93" coordorigin="2670,1834" coordsize="313,93" path="m2670,1911l2728,1926m2728,1926l2785,1911m2785,1911l2855,1881m2855,1881l2913,1866m2913,1866l2983,1834e" filled="false" stroked="true" strokeweight="1pt" strokecolor="#00a2a0">
              <v:path arrowok="t"/>
              <v:stroke dashstyle="solid"/>
            </v:shape>
            <v:line style="position:absolute" from="2973,1835" to="3050,1835" stroked="true" strokeweight="1.125pt" strokecolor="#00a2a0">
              <v:stroke dashstyle="solid"/>
            </v:line>
            <v:line style="position:absolute" from="3040,1834" to="3098,1851" stroked="true" strokeweight="1pt" strokecolor="#00a2a0">
              <v:stroke dashstyle="solid"/>
            </v:line>
            <v:shape style="position:absolute;left:3087;top:1852;width:205;height:2" coordorigin="3088,1853" coordsize="205,0" path="m3088,1853l3178,1853m3158,1853l3235,1853m3215,1853l3293,1853e" filled="false" stroked="true" strokeweight="1.125pt" strokecolor="#00a2a0">
              <v:path arrowok="t"/>
              <v:stroke dashstyle="solid"/>
            </v:shape>
            <v:line style="position:absolute" from="3283,1851" to="3353,1819" stroked="true" strokeweight="1pt" strokecolor="#00a2a0">
              <v:stroke dashstyle="solid"/>
            </v:line>
            <v:line style="position:absolute" from="3343,1820" to="3420,1820" stroked="true" strokeweight="1.125pt" strokecolor="#00a2a0">
              <v:stroke dashstyle="solid"/>
            </v:line>
            <v:shape style="position:absolute;left:3410;top:1633;width:440;height:185" coordorigin="3410,1634" coordsize="440,185" path="m3410,1819l3480,1789m3480,1789l3538,1774m3538,1774l3595,1726m3595,1726l3665,1681m3665,1681l3723,1649m3723,1649l3793,1634m3793,1634l3850,1649e" filled="false" stroked="true" strokeweight="1pt" strokecolor="#00a2a0">
              <v:path arrowok="t"/>
              <v:stroke dashstyle="solid"/>
            </v:shape>
            <v:line style="position:absolute" from="3310,1160" to="3223,1627" stroked="true" strokeweight=".5pt" strokecolor="#000000">
              <v:stroke dashstyle="solid"/>
            </v:line>
            <v:shape style="position:absolute;left:3201;top:1605;width:50;height:88" coordorigin="3202,1606" coordsize="50,88" path="m3202,1606l3211,1674,3211,1685,3211,1694,3214,1685,3251,1615,3202,1606xe" filled="true" fillcolor="#000000" stroked="false">
              <v:path arrowok="t"/>
              <v:fill type="solid"/>
            </v:shape>
            <v:shape style="position:absolute;left:819;top:382;width:3188;height:2233" coordorigin="819,383" coordsize="3188,2233" path="m819,383l906,383m819,702l906,702m819,1020l906,1020m819,1339l906,1339m819,1658l906,1658m819,1977l906,1977m819,2615l906,2615m819,2296l906,2296m3920,383l4007,383m3920,702l4007,702m3920,1020l4007,1020m3920,1339l4007,1339m3920,1658l4007,1658m3920,1977l4007,1977m3920,2615l4007,2615e" filled="false" stroked="true" strokeweight=".5pt" strokecolor="#000000">
              <v:path arrowok="t"/>
              <v:stroke dashstyle="solid"/>
            </v:shape>
            <v:shape style="position:absolute;left:4035;top:300;width:140;height:133" type="#_x0000_t202" filled="false" stroked="false">
              <v:textbox inset="0,0,0,0">
                <w:txbxContent>
                  <w:p>
                    <w:pPr>
                      <w:spacing w:line="133" w:lineRule="exact" w:before="0"/>
                      <w:ind w:left="0" w:right="0" w:firstLine="0"/>
                      <w:jc w:val="left"/>
                      <w:rPr>
                        <w:sz w:val="12"/>
                      </w:rPr>
                    </w:pPr>
                    <w:r>
                      <w:rPr>
                        <w:sz w:val="12"/>
                      </w:rPr>
                      <w:t>30</w:t>
                    </w:r>
                  </w:p>
                </w:txbxContent>
              </v:textbox>
              <w10:wrap type="none"/>
            </v:shape>
            <v:shape style="position:absolute;left:1274;top:473;width:1077;height:134" type="#_x0000_t202" filled="false" stroked="false">
              <v:textbox inset="0,0,0,0">
                <w:txbxContent>
                  <w:p>
                    <w:pPr>
                      <w:spacing w:line="133" w:lineRule="exact" w:before="0"/>
                      <w:ind w:left="0" w:right="0" w:firstLine="0"/>
                      <w:jc w:val="left"/>
                      <w:rPr>
                        <w:sz w:val="12"/>
                      </w:rPr>
                    </w:pPr>
                    <w:r>
                      <w:rPr>
                        <w:sz w:val="12"/>
                      </w:rPr>
                      <w:t>M4 lending to PNFCs</w:t>
                    </w:r>
                  </w:p>
                </w:txbxContent>
              </v:textbox>
              <w10:wrap type="none"/>
            </v:shape>
            <v:shape style="position:absolute;left:3103;top:619;width:1072;height:771" type="#_x0000_t202" filled="false" stroked="false">
              <v:textbox inset="0,0,0,0">
                <w:txbxContent>
                  <w:p>
                    <w:pPr>
                      <w:spacing w:line="133" w:lineRule="exact" w:before="0"/>
                      <w:ind w:left="931" w:right="0" w:firstLine="0"/>
                      <w:jc w:val="left"/>
                      <w:rPr>
                        <w:sz w:val="12"/>
                      </w:rPr>
                    </w:pPr>
                    <w:r>
                      <w:rPr>
                        <w:sz w:val="12"/>
                      </w:rPr>
                      <w:t>25</w:t>
                    </w:r>
                  </w:p>
                  <w:p>
                    <w:pPr>
                      <w:spacing w:line="240" w:lineRule="auto" w:before="8"/>
                      <w:rPr>
                        <w:sz w:val="15"/>
                      </w:rPr>
                    </w:pPr>
                  </w:p>
                  <w:p>
                    <w:pPr>
                      <w:spacing w:line="114" w:lineRule="exact" w:before="0"/>
                      <w:ind w:left="931" w:right="0" w:firstLine="0"/>
                      <w:jc w:val="left"/>
                      <w:rPr>
                        <w:sz w:val="12"/>
                      </w:rPr>
                    </w:pPr>
                    <w:r>
                      <w:rPr>
                        <w:sz w:val="12"/>
                      </w:rPr>
                      <w:t>20</w:t>
                    </w:r>
                  </w:p>
                  <w:p>
                    <w:pPr>
                      <w:spacing w:line="114" w:lineRule="exact" w:before="0"/>
                      <w:ind w:left="0" w:right="0" w:firstLine="0"/>
                      <w:jc w:val="left"/>
                      <w:rPr>
                        <w:sz w:val="12"/>
                      </w:rPr>
                    </w:pPr>
                    <w:r>
                      <w:rPr>
                        <w:sz w:val="12"/>
                      </w:rPr>
                      <w:t>M4 lending</w:t>
                    </w:r>
                  </w:p>
                  <w:p>
                    <w:pPr>
                      <w:spacing w:before="90"/>
                      <w:ind w:left="931" w:right="0" w:firstLine="0"/>
                      <w:jc w:val="left"/>
                      <w:rPr>
                        <w:sz w:val="12"/>
                      </w:rPr>
                    </w:pPr>
                    <w:r>
                      <w:rPr>
                        <w:sz w:val="12"/>
                      </w:rPr>
                      <w:t>15</w:t>
                    </w:r>
                  </w:p>
                </w:txbxContent>
              </v:textbox>
              <w10:wrap type="none"/>
            </v:shape>
            <v:shape style="position:absolute;left:1684;top:1555;width:700;height:254" type="#_x0000_t202" filled="false" stroked="false">
              <v:textbox inset="0,0,0,0">
                <w:txbxContent>
                  <w:p>
                    <w:pPr>
                      <w:spacing w:line="208" w:lineRule="auto" w:before="9"/>
                      <w:ind w:left="60" w:right="0" w:hanging="60"/>
                      <w:jc w:val="left"/>
                      <w:rPr>
                        <w:sz w:val="12"/>
                      </w:rPr>
                    </w:pPr>
                    <w:r>
                      <w:rPr>
                        <w:sz w:val="12"/>
                      </w:rPr>
                      <w:t>M4 lending to households</w:t>
                    </w:r>
                  </w:p>
                </w:txbxContent>
              </v:textbox>
              <w10:wrap type="none"/>
            </v:shape>
            <v:shape style="position:absolute;left:4035;top:1576;width:140;height:133" type="#_x0000_t202" filled="false" stroked="false">
              <v:textbox inset="0,0,0,0">
                <w:txbxContent>
                  <w:p>
                    <w:pPr>
                      <w:spacing w:line="133" w:lineRule="exact" w:before="0"/>
                      <w:ind w:left="0" w:right="0" w:firstLine="0"/>
                      <w:jc w:val="left"/>
                      <w:rPr>
                        <w:sz w:val="12"/>
                      </w:rPr>
                    </w:pPr>
                    <w:r>
                      <w:rPr>
                        <w:sz w:val="12"/>
                      </w:rPr>
                      <w:t>10</w:t>
                    </w:r>
                  </w:p>
                </w:txbxContent>
              </v:textbox>
              <w10:wrap type="none"/>
            </v:shape>
            <v:shape style="position:absolute;left:3988;top:2054;width:117;height:388" type="#_x0000_t202" filled="false" stroked="false">
              <v:textbox inset="0,0,0,0">
                <w:txbxContent>
                  <w:p>
                    <w:pPr>
                      <w:spacing w:line="177" w:lineRule="exact" w:before="0"/>
                      <w:ind w:left="0" w:right="0" w:firstLine="0"/>
                      <w:jc w:val="left"/>
                      <w:rPr>
                        <w:sz w:val="16"/>
                      </w:rPr>
                    </w:pPr>
                    <w:r>
                      <w:rPr>
                        <w:sz w:val="16"/>
                      </w:rPr>
                      <w:t>+</w:t>
                    </w:r>
                  </w:p>
                  <w:p>
                    <w:pPr>
                      <w:spacing w:before="26"/>
                      <w:ind w:left="16" w:right="0" w:firstLine="0"/>
                      <w:jc w:val="left"/>
                      <w:rPr>
                        <w:sz w:val="16"/>
                      </w:rPr>
                    </w:pPr>
                    <w:r>
                      <w:rPr>
                        <w:sz w:val="16"/>
                      </w:rPr>
                      <w:t>_</w:t>
                    </w:r>
                  </w:p>
                </w:txbxContent>
              </v:textbox>
              <w10:wrap type="none"/>
            </v:shape>
            <w10:wrap type="none"/>
          </v:group>
        </w:pict>
      </w:r>
      <w:r>
        <w:rPr/>
        <w:pict>
          <v:line style="position:absolute;mso-position-horizontal-relative:page;mso-position-vertical-relative:paragraph;z-index:15745024" from="40.958pt,3.189972pt" to="45.292pt,3.189972pt" stroked="true" strokeweight=".5pt" strokecolor="#000000">
            <v:stroke dashstyle="solid"/>
            <w10:wrap type="none"/>
          </v:line>
        </w:pict>
      </w:r>
      <w:r>
        <w:rPr/>
        <w:pict>
          <v:line style="position:absolute;mso-position-horizontal-relative:page;mso-position-vertical-relative:paragraph;z-index:15745536" from="196.001007pt,3.188972pt" to="200.333007pt,3.188972pt" stroked="true" strokeweight=".5pt" strokecolor="#000000">
            <v:stroke dashstyle="solid"/>
            <w10:wrap type="none"/>
          </v:line>
        </w:pict>
      </w:r>
      <w:r>
        <w:rPr>
          <w:sz w:val="12"/>
        </w:rPr>
        <w:t>35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0"/>
        </w:rPr>
      </w:pPr>
    </w:p>
    <w:p>
      <w:pPr>
        <w:spacing w:before="0"/>
        <w:ind w:left="0" w:right="887" w:firstLine="0"/>
        <w:jc w:val="right"/>
        <w:rPr>
          <w:sz w:val="12"/>
        </w:rPr>
      </w:pPr>
      <w:r>
        <w:rPr>
          <w:sz w:val="12"/>
        </w:rPr>
        <w:t>5</w:t>
      </w:r>
    </w:p>
    <w:p>
      <w:pPr>
        <w:pStyle w:val="BodyText"/>
        <w:spacing w:before="9"/>
        <w:rPr>
          <w:sz w:val="15"/>
        </w:rPr>
      </w:pPr>
    </w:p>
    <w:p>
      <w:pPr>
        <w:spacing w:before="0"/>
        <w:ind w:left="0" w:right="887" w:firstLine="0"/>
        <w:jc w:val="right"/>
        <w:rPr>
          <w:sz w:val="12"/>
        </w:rPr>
      </w:pPr>
      <w:r>
        <w:rPr>
          <w:sz w:val="12"/>
        </w:rPr>
        <w:t>0</w:t>
      </w:r>
    </w:p>
    <w:p>
      <w:pPr>
        <w:pStyle w:val="BodyText"/>
        <w:spacing w:before="8"/>
        <w:rPr>
          <w:sz w:val="15"/>
        </w:rPr>
      </w:pPr>
    </w:p>
    <w:p>
      <w:pPr>
        <w:spacing w:before="0"/>
        <w:ind w:left="0" w:right="887" w:firstLine="0"/>
        <w:jc w:val="right"/>
        <w:rPr>
          <w:sz w:val="12"/>
        </w:rPr>
      </w:pPr>
      <w:r>
        <w:rPr>
          <w:sz w:val="12"/>
        </w:rPr>
        <w:t>5</w:t>
      </w:r>
    </w:p>
    <w:p>
      <w:pPr>
        <w:pStyle w:val="BodyText"/>
        <w:spacing w:before="9"/>
        <w:rPr>
          <w:sz w:val="15"/>
        </w:rPr>
      </w:pPr>
    </w:p>
    <w:p>
      <w:pPr>
        <w:spacing w:line="119" w:lineRule="exact" w:before="0"/>
        <w:ind w:left="3395" w:right="0" w:firstLine="0"/>
        <w:jc w:val="left"/>
        <w:rPr>
          <w:sz w:val="12"/>
        </w:rPr>
      </w:pPr>
      <w:r>
        <w:rPr/>
        <w:pict>
          <v:shape style="position:absolute;margin-left:40.958pt;margin-top:.98856pt;width:159.4pt;height:3.4pt;mso-position-horizontal-relative:page;mso-position-vertical-relative:paragraph;z-index:15744512" coordorigin="819,20" coordsize="3188,68" path="m819,87l906,87m3920,87l4007,87m983,87l3863,87m981,20l981,87m1230,20l1230,87m1479,20l1479,87m1729,20l1729,87m1978,20l1978,87m2227,20l2227,87m3224,20l3224,87m3723,20l3723,87m2726,20l2726,87m3473,20l3473,87m2975,20l2975,87m2476,20l2476,87e" filled="false" stroked="true" strokeweight=".5pt" strokecolor="#000000">
            <v:path arrowok="t"/>
            <v:stroke dashstyle="solid"/>
            <w10:wrap type="none"/>
          </v:shape>
        </w:pict>
      </w:r>
      <w:r>
        <w:rPr>
          <w:sz w:val="12"/>
        </w:rPr>
        <w:t>10</w:t>
      </w:r>
    </w:p>
    <w:p>
      <w:pPr>
        <w:spacing w:line="119" w:lineRule="exact" w:before="0"/>
        <w:ind w:left="320" w:right="0" w:firstLine="0"/>
        <w:jc w:val="left"/>
        <w:rPr>
          <w:sz w:val="12"/>
        </w:rPr>
      </w:pPr>
      <w:r>
        <w:rPr>
          <w:sz w:val="12"/>
        </w:rPr>
        <w:t>1989 90 91 92 93 94 95 96 97 98 99 2000</w:t>
      </w:r>
    </w:p>
    <w:p>
      <w:pPr>
        <w:spacing w:before="70"/>
        <w:ind w:left="180" w:right="0" w:firstLine="0"/>
        <w:jc w:val="left"/>
        <w:rPr>
          <w:sz w:val="12"/>
        </w:rPr>
      </w:pPr>
      <w:r>
        <w:rPr>
          <w:sz w:val="12"/>
        </w:rPr>
        <w:t>Sources: ONS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7"/>
        </w:rPr>
      </w:pPr>
    </w:p>
    <w:p>
      <w:pPr>
        <w:spacing w:before="1"/>
        <w:ind w:left="180" w:right="0" w:firstLine="0"/>
        <w:jc w:val="left"/>
        <w:rPr>
          <w:b/>
          <w:sz w:val="20"/>
        </w:rPr>
      </w:pPr>
      <w:r>
        <w:rPr>
          <w:b/>
          <w:color w:val="0092C7"/>
          <w:sz w:val="20"/>
        </w:rPr>
        <w:t>Table 1.B</w:t>
      </w:r>
    </w:p>
    <w:p>
      <w:pPr>
        <w:spacing w:before="10"/>
        <w:ind w:left="180" w:right="0" w:firstLine="0"/>
        <w:jc w:val="left"/>
        <w:rPr>
          <w:b/>
          <w:sz w:val="20"/>
        </w:rPr>
      </w:pPr>
      <w:r>
        <w:rPr>
          <w:b/>
          <w:color w:val="0092C7"/>
          <w:sz w:val="20"/>
        </w:rPr>
        <w:t>Accounting for the M4 lending-M4 gap</w:t>
      </w:r>
    </w:p>
    <w:p>
      <w:pPr>
        <w:spacing w:before="106"/>
        <w:ind w:left="180" w:right="0" w:firstLine="0"/>
        <w:jc w:val="left"/>
        <w:rPr>
          <w:sz w:val="14"/>
        </w:rPr>
      </w:pPr>
      <w:r>
        <w:rPr>
          <w:sz w:val="14"/>
        </w:rPr>
        <w:t>Average monthly flows, £ billions</w:t>
      </w:r>
    </w:p>
    <w:p>
      <w:pPr>
        <w:tabs>
          <w:tab w:pos="4364" w:val="left" w:leader="none"/>
        </w:tabs>
        <w:spacing w:before="119"/>
        <w:ind w:left="2825" w:right="0" w:firstLine="0"/>
        <w:jc w:val="left"/>
        <w:rPr>
          <w:sz w:val="14"/>
        </w:rPr>
      </w:pPr>
      <w:r>
        <w:rPr>
          <w:sz w:val="14"/>
          <w:u w:val="single"/>
        </w:rPr>
        <w:t>Fiscal</w:t>
      </w:r>
      <w:r>
        <w:rPr>
          <w:spacing w:val="-9"/>
          <w:sz w:val="14"/>
          <w:u w:val="single"/>
        </w:rPr>
        <w:t> </w:t>
      </w:r>
      <w:r>
        <w:rPr>
          <w:sz w:val="14"/>
          <w:u w:val="single"/>
        </w:rPr>
        <w:t>year</w:t>
        <w:tab/>
      </w:r>
    </w:p>
    <w:p>
      <w:pPr>
        <w:pStyle w:val="BodyText"/>
        <w:spacing w:before="1"/>
        <w:rPr>
          <w:sz w:val="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49"/>
        <w:gridCol w:w="730"/>
        <w:gridCol w:w="901"/>
      </w:tblGrid>
      <w:tr>
        <w:trPr>
          <w:trHeight w:val="217" w:hRule="atLeast"/>
        </w:trPr>
        <w:tc>
          <w:tcPr>
            <w:tcW w:w="2649" w:type="dxa"/>
          </w:tcPr>
          <w:p>
            <w:pPr>
              <w:pStyle w:val="TableParagraph"/>
              <w:spacing w:line="240" w:lineRule="auto"/>
              <w:rPr>
                <w:sz w:val="14"/>
              </w:rPr>
            </w:pPr>
          </w:p>
        </w:tc>
        <w:tc>
          <w:tcPr>
            <w:tcW w:w="730" w:type="dxa"/>
          </w:tcPr>
          <w:p>
            <w:pPr>
              <w:pStyle w:val="TableParagraph"/>
              <w:spacing w:line="155" w:lineRule="exact"/>
              <w:ind w:left="28" w:right="203"/>
              <w:jc w:val="center"/>
              <w:rPr>
                <w:sz w:val="14"/>
              </w:rPr>
            </w:pPr>
            <w:r>
              <w:rPr>
                <w:sz w:val="14"/>
                <w:u w:val="single"/>
              </w:rPr>
              <w:t>1999/00</w:t>
            </w:r>
          </w:p>
        </w:tc>
        <w:tc>
          <w:tcPr>
            <w:tcW w:w="901" w:type="dxa"/>
          </w:tcPr>
          <w:p>
            <w:pPr>
              <w:pStyle w:val="TableParagraph"/>
              <w:spacing w:line="155" w:lineRule="exact"/>
              <w:ind w:left="203" w:right="30"/>
              <w:jc w:val="center"/>
              <w:rPr>
                <w:sz w:val="12"/>
              </w:rPr>
            </w:pPr>
            <w:r>
              <w:rPr>
                <w:sz w:val="14"/>
                <w:u w:val="single"/>
              </w:rPr>
              <w:t>2000/01 </w:t>
            </w:r>
            <w:r>
              <w:rPr>
                <w:sz w:val="12"/>
                <w:u w:val="single"/>
              </w:rPr>
              <w:t>(a)</w:t>
            </w:r>
          </w:p>
        </w:tc>
      </w:tr>
      <w:tr>
        <w:trPr>
          <w:trHeight w:val="280" w:hRule="atLeast"/>
        </w:trPr>
        <w:tc>
          <w:tcPr>
            <w:tcW w:w="2649" w:type="dxa"/>
          </w:tcPr>
          <w:p>
            <w:pPr>
              <w:pStyle w:val="TableParagraph"/>
              <w:spacing w:line="240" w:lineRule="auto" w:before="56"/>
              <w:ind w:left="50"/>
              <w:rPr>
                <w:sz w:val="12"/>
              </w:rPr>
            </w:pPr>
            <w:r>
              <w:rPr>
                <w:sz w:val="14"/>
              </w:rPr>
              <w:t>M4 lending-M4 </w:t>
            </w:r>
            <w:r>
              <w:rPr>
                <w:sz w:val="12"/>
              </w:rPr>
              <w:t>(b)</w:t>
            </w:r>
          </w:p>
        </w:tc>
        <w:tc>
          <w:tcPr>
            <w:tcW w:w="730" w:type="dxa"/>
          </w:tcPr>
          <w:p>
            <w:pPr>
              <w:pStyle w:val="TableParagraph"/>
              <w:spacing w:line="240" w:lineRule="auto" w:before="56"/>
              <w:ind w:left="28" w:right="170"/>
              <w:jc w:val="center"/>
              <w:rPr>
                <w:sz w:val="14"/>
              </w:rPr>
            </w:pPr>
            <w:r>
              <w:rPr>
                <w:sz w:val="14"/>
              </w:rPr>
              <w:t>4.3</w:t>
            </w:r>
          </w:p>
        </w:tc>
        <w:tc>
          <w:tcPr>
            <w:tcW w:w="901" w:type="dxa"/>
          </w:tcPr>
          <w:p>
            <w:pPr>
              <w:pStyle w:val="TableParagraph"/>
              <w:spacing w:line="240" w:lineRule="auto" w:before="56"/>
              <w:ind w:left="203" w:right="17"/>
              <w:jc w:val="center"/>
              <w:rPr>
                <w:sz w:val="14"/>
              </w:rPr>
            </w:pPr>
            <w:r>
              <w:rPr>
                <w:sz w:val="14"/>
              </w:rPr>
              <w:t>3.5</w:t>
            </w:r>
          </w:p>
        </w:tc>
      </w:tr>
      <w:tr>
        <w:trPr>
          <w:trHeight w:val="350" w:hRule="atLeast"/>
        </w:trPr>
        <w:tc>
          <w:tcPr>
            <w:tcW w:w="2649" w:type="dxa"/>
          </w:tcPr>
          <w:p>
            <w:pPr>
              <w:pStyle w:val="TableParagraph"/>
              <w:spacing w:line="150" w:lineRule="exact" w:before="56"/>
              <w:ind w:left="50"/>
              <w:rPr>
                <w:i/>
                <w:sz w:val="14"/>
              </w:rPr>
            </w:pPr>
            <w:r>
              <w:rPr>
                <w:i/>
                <w:sz w:val="14"/>
              </w:rPr>
              <w:t>Accounted for by:</w:t>
            </w:r>
          </w:p>
          <w:p>
            <w:pPr>
              <w:pStyle w:val="TableParagraph"/>
              <w:spacing w:line="123" w:lineRule="exact"/>
              <w:ind w:left="120"/>
              <w:rPr>
                <w:sz w:val="14"/>
              </w:rPr>
            </w:pPr>
            <w:r>
              <w:rPr>
                <w:sz w:val="14"/>
              </w:rPr>
              <w:t>Net non-resident deposits</w:t>
            </w:r>
          </w:p>
        </w:tc>
        <w:tc>
          <w:tcPr>
            <w:tcW w:w="730" w:type="dxa"/>
          </w:tcPr>
          <w:p>
            <w:pPr>
              <w:pStyle w:val="TableParagraph"/>
              <w:spacing w:line="240" w:lineRule="auto" w:before="1"/>
              <w:rPr>
                <w:sz w:val="17"/>
              </w:rPr>
            </w:pPr>
          </w:p>
          <w:p>
            <w:pPr>
              <w:pStyle w:val="TableParagraph"/>
              <w:spacing w:line="133" w:lineRule="exact"/>
              <w:ind w:left="28" w:right="170"/>
              <w:jc w:val="center"/>
              <w:rPr>
                <w:sz w:val="14"/>
              </w:rPr>
            </w:pPr>
            <w:r>
              <w:rPr>
                <w:sz w:val="14"/>
              </w:rPr>
              <w:t>2.9</w:t>
            </w:r>
          </w:p>
        </w:tc>
        <w:tc>
          <w:tcPr>
            <w:tcW w:w="901" w:type="dxa"/>
          </w:tcPr>
          <w:p>
            <w:pPr>
              <w:pStyle w:val="TableParagraph"/>
              <w:spacing w:line="240" w:lineRule="auto" w:before="1"/>
              <w:rPr>
                <w:sz w:val="17"/>
              </w:rPr>
            </w:pPr>
          </w:p>
          <w:p>
            <w:pPr>
              <w:pStyle w:val="TableParagraph"/>
              <w:spacing w:line="133" w:lineRule="exact"/>
              <w:ind w:left="169" w:right="30"/>
              <w:jc w:val="center"/>
              <w:rPr>
                <w:sz w:val="14"/>
              </w:rPr>
            </w:pPr>
            <w:r>
              <w:rPr>
                <w:sz w:val="14"/>
              </w:rPr>
              <w:t>-3.4</w:t>
            </w:r>
          </w:p>
        </w:tc>
      </w:tr>
      <w:tr>
        <w:trPr>
          <w:trHeight w:val="140" w:hRule="atLeast"/>
        </w:trPr>
        <w:tc>
          <w:tcPr>
            <w:tcW w:w="2649" w:type="dxa"/>
          </w:tcPr>
          <w:p>
            <w:pPr>
              <w:pStyle w:val="TableParagraph"/>
              <w:ind w:left="120"/>
              <w:rPr>
                <w:sz w:val="14"/>
              </w:rPr>
            </w:pPr>
            <w:r>
              <w:rPr>
                <w:sz w:val="14"/>
              </w:rPr>
              <w:t>Net public sector deposits</w:t>
            </w:r>
          </w:p>
        </w:tc>
        <w:tc>
          <w:tcPr>
            <w:tcW w:w="730" w:type="dxa"/>
          </w:tcPr>
          <w:p>
            <w:pPr>
              <w:pStyle w:val="TableParagraph"/>
              <w:ind w:left="28" w:right="170"/>
              <w:jc w:val="center"/>
              <w:rPr>
                <w:sz w:val="14"/>
              </w:rPr>
            </w:pPr>
            <w:r>
              <w:rPr>
                <w:sz w:val="14"/>
              </w:rPr>
              <w:t>0.7</w:t>
            </w:r>
          </w:p>
        </w:tc>
        <w:tc>
          <w:tcPr>
            <w:tcW w:w="901" w:type="dxa"/>
          </w:tcPr>
          <w:p>
            <w:pPr>
              <w:pStyle w:val="TableParagraph"/>
              <w:ind w:left="203" w:right="18"/>
              <w:jc w:val="center"/>
              <w:rPr>
                <w:sz w:val="14"/>
              </w:rPr>
            </w:pPr>
            <w:r>
              <w:rPr>
                <w:sz w:val="14"/>
              </w:rPr>
              <w:t>3.5</w:t>
            </w:r>
          </w:p>
        </w:tc>
      </w:tr>
      <w:tr>
        <w:trPr>
          <w:trHeight w:val="140" w:hRule="atLeast"/>
        </w:trPr>
        <w:tc>
          <w:tcPr>
            <w:tcW w:w="2649" w:type="dxa"/>
          </w:tcPr>
          <w:p>
            <w:pPr>
              <w:pStyle w:val="TableParagraph"/>
              <w:ind w:left="120"/>
              <w:rPr>
                <w:sz w:val="14"/>
              </w:rPr>
            </w:pPr>
            <w:r>
              <w:rPr>
                <w:sz w:val="14"/>
              </w:rPr>
              <w:t>Net private sector foreign currency deposits</w:t>
            </w:r>
          </w:p>
        </w:tc>
        <w:tc>
          <w:tcPr>
            <w:tcW w:w="730" w:type="dxa"/>
          </w:tcPr>
          <w:p>
            <w:pPr>
              <w:pStyle w:val="TableParagraph"/>
              <w:ind w:left="14" w:right="203"/>
              <w:jc w:val="center"/>
              <w:rPr>
                <w:sz w:val="14"/>
              </w:rPr>
            </w:pPr>
            <w:r>
              <w:rPr>
                <w:sz w:val="14"/>
              </w:rPr>
              <w:t>-0.6</w:t>
            </w:r>
          </w:p>
        </w:tc>
        <w:tc>
          <w:tcPr>
            <w:tcW w:w="901" w:type="dxa"/>
          </w:tcPr>
          <w:p>
            <w:pPr>
              <w:pStyle w:val="TableParagraph"/>
              <w:ind w:left="203" w:right="18"/>
              <w:jc w:val="center"/>
              <w:rPr>
                <w:sz w:val="14"/>
              </w:rPr>
            </w:pPr>
            <w:r>
              <w:rPr>
                <w:sz w:val="14"/>
              </w:rPr>
              <w:t>0.5</w:t>
            </w:r>
          </w:p>
        </w:tc>
      </w:tr>
      <w:tr>
        <w:trPr>
          <w:trHeight w:val="208" w:hRule="atLeast"/>
        </w:trPr>
        <w:tc>
          <w:tcPr>
            <w:tcW w:w="2649" w:type="dxa"/>
          </w:tcPr>
          <w:p>
            <w:pPr>
              <w:pStyle w:val="TableParagraph"/>
              <w:spacing w:line="148" w:lineRule="exact"/>
              <w:ind w:left="120"/>
              <w:rPr>
                <w:sz w:val="12"/>
              </w:rPr>
            </w:pPr>
            <w:r>
              <w:rPr>
                <w:sz w:val="14"/>
              </w:rPr>
              <w:t>Other </w:t>
            </w:r>
            <w:r>
              <w:rPr>
                <w:sz w:val="12"/>
              </w:rPr>
              <w:t>(c)</w:t>
            </w:r>
          </w:p>
        </w:tc>
        <w:tc>
          <w:tcPr>
            <w:tcW w:w="730" w:type="dxa"/>
          </w:tcPr>
          <w:p>
            <w:pPr>
              <w:pStyle w:val="TableParagraph"/>
              <w:spacing w:line="148" w:lineRule="exact"/>
              <w:ind w:left="28" w:right="170"/>
              <w:jc w:val="center"/>
              <w:rPr>
                <w:sz w:val="14"/>
              </w:rPr>
            </w:pPr>
            <w:r>
              <w:rPr>
                <w:sz w:val="14"/>
              </w:rPr>
              <w:t>1.2</w:t>
            </w:r>
          </w:p>
        </w:tc>
        <w:tc>
          <w:tcPr>
            <w:tcW w:w="901" w:type="dxa"/>
          </w:tcPr>
          <w:p>
            <w:pPr>
              <w:pStyle w:val="TableParagraph"/>
              <w:spacing w:line="148" w:lineRule="exact"/>
              <w:ind w:left="203" w:right="17"/>
              <w:jc w:val="center"/>
              <w:rPr>
                <w:sz w:val="14"/>
              </w:rPr>
            </w:pPr>
            <w:r>
              <w:rPr>
                <w:sz w:val="14"/>
              </w:rPr>
              <w:t>3.0</w:t>
            </w:r>
          </w:p>
        </w:tc>
      </w:tr>
      <w:tr>
        <w:trPr>
          <w:trHeight w:val="247" w:hRule="atLeast"/>
        </w:trPr>
        <w:tc>
          <w:tcPr>
            <w:tcW w:w="2649" w:type="dxa"/>
          </w:tcPr>
          <w:p>
            <w:pPr>
              <w:pStyle w:val="TableParagraph"/>
              <w:spacing w:line="240" w:lineRule="auto" w:before="56"/>
              <w:ind w:left="50"/>
              <w:rPr>
                <w:sz w:val="12"/>
              </w:rPr>
            </w:pPr>
            <w:r>
              <w:rPr>
                <w:sz w:val="12"/>
              </w:rPr>
              <w:t>Note: Columns do not sum due to rounding.</w:t>
            </w:r>
          </w:p>
        </w:tc>
        <w:tc>
          <w:tcPr>
            <w:tcW w:w="730" w:type="dxa"/>
          </w:tcPr>
          <w:p>
            <w:pPr>
              <w:pStyle w:val="TableParagraph"/>
              <w:spacing w:line="240" w:lineRule="auto"/>
              <w:rPr>
                <w:sz w:val="18"/>
              </w:rPr>
            </w:pPr>
          </w:p>
        </w:tc>
        <w:tc>
          <w:tcPr>
            <w:tcW w:w="901" w:type="dxa"/>
          </w:tcPr>
          <w:p>
            <w:pPr>
              <w:pStyle w:val="TableParagraph"/>
              <w:spacing w:line="240" w:lineRule="auto"/>
              <w:rPr>
                <w:sz w:val="18"/>
              </w:rPr>
            </w:pPr>
          </w:p>
        </w:tc>
      </w:tr>
      <w:tr>
        <w:trPr>
          <w:trHeight w:val="240" w:hRule="atLeast"/>
        </w:trPr>
        <w:tc>
          <w:tcPr>
            <w:tcW w:w="2649" w:type="dxa"/>
          </w:tcPr>
          <w:p>
            <w:pPr>
              <w:pStyle w:val="TableParagraph"/>
              <w:spacing w:line="240" w:lineRule="auto" w:before="48"/>
              <w:ind w:left="50"/>
              <w:rPr>
                <w:sz w:val="12"/>
              </w:rPr>
            </w:pPr>
            <w:r>
              <w:rPr>
                <w:sz w:val="12"/>
              </w:rPr>
              <w:t>Source: Bank of England.</w:t>
            </w:r>
          </w:p>
        </w:tc>
        <w:tc>
          <w:tcPr>
            <w:tcW w:w="730" w:type="dxa"/>
          </w:tcPr>
          <w:p>
            <w:pPr>
              <w:pStyle w:val="TableParagraph"/>
              <w:spacing w:line="240" w:lineRule="auto"/>
              <w:rPr>
                <w:sz w:val="16"/>
              </w:rPr>
            </w:pPr>
          </w:p>
        </w:tc>
        <w:tc>
          <w:tcPr>
            <w:tcW w:w="901" w:type="dxa"/>
          </w:tcPr>
          <w:p>
            <w:pPr>
              <w:pStyle w:val="TableParagraph"/>
              <w:spacing w:line="240" w:lineRule="auto"/>
              <w:rPr>
                <w:sz w:val="16"/>
              </w:rPr>
            </w:pPr>
          </w:p>
        </w:tc>
      </w:tr>
      <w:tr>
        <w:trPr>
          <w:trHeight w:val="426" w:hRule="atLeast"/>
        </w:trPr>
        <w:tc>
          <w:tcPr>
            <w:tcW w:w="2649" w:type="dxa"/>
          </w:tcPr>
          <w:p>
            <w:pPr>
              <w:pStyle w:val="TableParagraph"/>
              <w:numPr>
                <w:ilvl w:val="0"/>
                <w:numId w:val="4"/>
              </w:numPr>
              <w:tabs>
                <w:tab w:pos="291" w:val="left" w:leader="none"/>
              </w:tabs>
              <w:spacing w:line="129" w:lineRule="exact" w:before="48" w:after="0"/>
              <w:ind w:left="290" w:right="0" w:hanging="241"/>
              <w:jc w:val="left"/>
              <w:rPr>
                <w:sz w:val="12"/>
              </w:rPr>
            </w:pPr>
            <w:r>
              <w:rPr>
                <w:sz w:val="12"/>
              </w:rPr>
              <w:t>April to September</w:t>
            </w:r>
            <w:r>
              <w:rPr>
                <w:spacing w:val="-5"/>
                <w:sz w:val="12"/>
              </w:rPr>
              <w:t> </w:t>
            </w:r>
            <w:r>
              <w:rPr>
                <w:sz w:val="12"/>
              </w:rPr>
              <w:t>2000.</w:t>
            </w:r>
          </w:p>
          <w:p>
            <w:pPr>
              <w:pStyle w:val="TableParagraph"/>
              <w:numPr>
                <w:ilvl w:val="0"/>
                <w:numId w:val="4"/>
              </w:numPr>
              <w:tabs>
                <w:tab w:pos="291" w:val="left" w:leader="none"/>
              </w:tabs>
              <w:spacing w:line="120" w:lineRule="exact" w:before="0" w:after="0"/>
              <w:ind w:left="290" w:right="0" w:hanging="241"/>
              <w:jc w:val="left"/>
              <w:rPr>
                <w:sz w:val="12"/>
              </w:rPr>
            </w:pPr>
            <w:r>
              <w:rPr>
                <w:sz w:val="12"/>
              </w:rPr>
              <w:t>Includes</w:t>
            </w:r>
            <w:r>
              <w:rPr>
                <w:spacing w:val="-6"/>
                <w:sz w:val="12"/>
              </w:rPr>
              <w:t> </w:t>
            </w:r>
            <w:r>
              <w:rPr>
                <w:sz w:val="12"/>
              </w:rPr>
              <w:t>securitisations</w:t>
            </w:r>
            <w:r>
              <w:rPr>
                <w:spacing w:val="-6"/>
                <w:sz w:val="12"/>
              </w:rPr>
              <w:t> </w:t>
            </w:r>
            <w:r>
              <w:rPr>
                <w:sz w:val="12"/>
              </w:rPr>
              <w:t>and</w:t>
            </w:r>
            <w:r>
              <w:rPr>
                <w:spacing w:val="-6"/>
                <w:sz w:val="12"/>
              </w:rPr>
              <w:t> </w:t>
            </w:r>
            <w:r>
              <w:rPr>
                <w:sz w:val="12"/>
              </w:rPr>
              <w:t>other</w:t>
            </w:r>
            <w:r>
              <w:rPr>
                <w:spacing w:val="-6"/>
                <w:sz w:val="12"/>
              </w:rPr>
              <w:t> </w:t>
            </w:r>
            <w:r>
              <w:rPr>
                <w:sz w:val="12"/>
              </w:rPr>
              <w:t>loan</w:t>
            </w:r>
            <w:r>
              <w:rPr>
                <w:spacing w:val="-6"/>
                <w:sz w:val="12"/>
              </w:rPr>
              <w:t> </w:t>
            </w:r>
            <w:r>
              <w:rPr>
                <w:sz w:val="12"/>
              </w:rPr>
              <w:t>transfers.</w:t>
            </w:r>
          </w:p>
          <w:p>
            <w:pPr>
              <w:pStyle w:val="TableParagraph"/>
              <w:numPr>
                <w:ilvl w:val="0"/>
                <w:numId w:val="4"/>
              </w:numPr>
              <w:tabs>
                <w:tab w:pos="291" w:val="left" w:leader="none"/>
              </w:tabs>
              <w:spacing w:line="109" w:lineRule="exact" w:before="0" w:after="0"/>
              <w:ind w:left="290" w:right="0" w:hanging="241"/>
              <w:jc w:val="left"/>
              <w:rPr>
                <w:sz w:val="12"/>
              </w:rPr>
            </w:pPr>
            <w:r>
              <w:rPr>
                <w:sz w:val="12"/>
              </w:rPr>
              <w:t>Includes banks’ capital and</w:t>
            </w:r>
            <w:r>
              <w:rPr>
                <w:spacing w:val="-17"/>
                <w:sz w:val="12"/>
              </w:rPr>
              <w:t> </w:t>
            </w:r>
            <w:r>
              <w:rPr>
                <w:sz w:val="12"/>
              </w:rPr>
              <w:t>reserves.</w:t>
            </w:r>
          </w:p>
        </w:tc>
        <w:tc>
          <w:tcPr>
            <w:tcW w:w="730" w:type="dxa"/>
          </w:tcPr>
          <w:p>
            <w:pPr>
              <w:pStyle w:val="TableParagraph"/>
              <w:spacing w:line="240" w:lineRule="auto"/>
              <w:rPr>
                <w:sz w:val="20"/>
              </w:rPr>
            </w:pPr>
          </w:p>
        </w:tc>
        <w:tc>
          <w:tcPr>
            <w:tcW w:w="901" w:type="dxa"/>
          </w:tcPr>
          <w:p>
            <w:pPr>
              <w:pStyle w:val="TableParagraph"/>
              <w:spacing w:line="240" w:lineRule="auto"/>
              <w:rPr>
                <w:sz w:val="20"/>
              </w:rPr>
            </w:pPr>
          </w:p>
        </w:tc>
      </w:tr>
    </w:tbl>
    <w:p>
      <w:pPr>
        <w:pStyle w:val="BodyText"/>
        <w:spacing w:before="5"/>
        <w:rPr>
          <w:sz w:val="21"/>
        </w:rPr>
      </w:pPr>
      <w:r>
        <w:rPr/>
        <w:br w:type="column"/>
      </w:r>
      <w:r>
        <w:rPr>
          <w:sz w:val="21"/>
        </w:rPr>
      </w:r>
    </w:p>
    <w:p>
      <w:pPr>
        <w:pStyle w:val="BodyText"/>
        <w:spacing w:line="242" w:lineRule="auto"/>
        <w:ind w:left="180" w:right="218"/>
      </w:pPr>
      <w:r>
        <w:rPr/>
        <w:t>in the previous quarter (see Table 1.A). Other financial corporations’ (OFCs) deposits rose sharply. But growth in M4 excluding OFCs, which tends to be more closely related to aggregate spending on goods and services in the economy, has also increased to its highest level for two years (see Chart 1.2). That points to continued relatively firm growth in nominal GDP in the near term.</w:t>
      </w:r>
    </w:p>
    <w:p>
      <w:pPr>
        <w:pStyle w:val="BodyText"/>
        <w:spacing w:before="2"/>
        <w:rPr>
          <w:sz w:val="25"/>
        </w:rPr>
      </w:pPr>
    </w:p>
    <w:p>
      <w:pPr>
        <w:pStyle w:val="BodyText"/>
        <w:spacing w:line="242" w:lineRule="auto"/>
        <w:ind w:left="180" w:right="168"/>
      </w:pPr>
      <w:r>
        <w:rPr/>
        <w:t>UK bank and building society sterling lending</w:t>
      </w:r>
      <w:r>
        <w:rPr>
          <w:position w:val="5"/>
          <w:sz w:val="16"/>
        </w:rPr>
        <w:t>(1) </w:t>
      </w:r>
      <w:r>
        <w:rPr/>
        <w:t>to the UK private sector (M4 lending) rose by 13.3% in the year to 2000 Q3, the highest growth rate since 1990 (see Chart 1.3). Lending to OFCs rose most sharply, but annual growth in lending to private non-financial corporations (PNFCs) continues to pick up. Household credit growth remains strong.</w:t>
      </w:r>
    </w:p>
    <w:p>
      <w:pPr>
        <w:pStyle w:val="BodyText"/>
        <w:spacing w:before="1"/>
        <w:rPr>
          <w:sz w:val="25"/>
        </w:rPr>
      </w:pPr>
    </w:p>
    <w:p>
      <w:pPr>
        <w:pStyle w:val="BodyText"/>
        <w:spacing w:line="242" w:lineRule="auto"/>
        <w:ind w:left="180" w:right="135"/>
      </w:pPr>
      <w:r>
        <w:rPr/>
        <w:t>The flow of M4 lending continues to exceed that of sterling deposits placed with UK banks and building societies by the UK private sector. During much of 1999 this gap was accounted for by rising net deposits from overseas. More recently the gap has been accounted for by other sources (see Table 1.B), in particular by higher net public sector deposits. These partly reflect government receipts from the sale of third-generation mobile telecommunications licences.</w:t>
      </w:r>
    </w:p>
    <w:p>
      <w:pPr>
        <w:pStyle w:val="BodyText"/>
        <w:spacing w:before="9"/>
        <w:rPr>
          <w:sz w:val="28"/>
        </w:rPr>
      </w:pPr>
    </w:p>
    <w:p>
      <w:pPr>
        <w:spacing w:before="1"/>
        <w:ind w:left="180" w:right="0" w:firstLine="0"/>
        <w:jc w:val="left"/>
        <w:rPr>
          <w:i/>
          <w:sz w:val="24"/>
        </w:rPr>
      </w:pPr>
      <w:r>
        <w:rPr>
          <w:i/>
          <w:color w:val="009391"/>
          <w:sz w:val="24"/>
        </w:rPr>
        <w:t>Household sector</w:t>
      </w:r>
    </w:p>
    <w:p>
      <w:pPr>
        <w:pStyle w:val="BodyText"/>
        <w:spacing w:line="242" w:lineRule="auto" w:before="164"/>
        <w:ind w:left="180" w:right="321"/>
      </w:pPr>
      <w:r>
        <w:rPr/>
        <w:t>Households’ M4 deposits grew by 6.3% in the year to 2000 Q3, a higher rate than in the previous quarter.</w:t>
      </w:r>
    </w:p>
    <w:p>
      <w:pPr>
        <w:pStyle w:val="BodyText"/>
        <w:spacing w:line="242" w:lineRule="auto" w:before="2"/>
        <w:ind w:left="180" w:right="218"/>
      </w:pPr>
      <w:r>
        <w:rPr/>
        <w:t>Deposits in 2000 Q3 are likely to have been boosted by windfall payments of £5.8 billion to Scottish Widows policyholders in August. The windfall is smaller than those resulting from the demutualisations of building societies in 1997–98, which were worth £37 billion in total.</w:t>
      </w:r>
    </w:p>
    <w:p>
      <w:pPr>
        <w:pStyle w:val="BodyText"/>
        <w:rPr>
          <w:sz w:val="25"/>
        </w:rPr>
      </w:pPr>
    </w:p>
    <w:p>
      <w:pPr>
        <w:pStyle w:val="BodyText"/>
        <w:spacing w:line="242" w:lineRule="auto"/>
        <w:ind w:left="180" w:right="207"/>
      </w:pPr>
      <w:r>
        <w:rPr/>
        <w:t>The relationship between an increase in deposits and consumer spending will partly depend on the liquidity characteristics of those deposits. Divisia is a measure of money holdings that weights each component by a measure of its liquidity and hence the likelihood that it will be used for consumer spending. Chart 1.4 shows that on average there has been a positive relationship between growth in household Divisia and nominal consumption. Growth in household Divisia picked up in 2000 Q3 but remains below rates seen during 1999, and nominal consumption growth has moderated since the end of 1999.</w:t>
      </w:r>
    </w:p>
    <w:p>
      <w:pPr>
        <w:spacing w:after="0" w:line="242" w:lineRule="auto"/>
        <w:sectPr>
          <w:type w:val="continuous"/>
          <w:pgSz w:w="11900" w:h="16840"/>
          <w:pgMar w:top="1260" w:bottom="280" w:left="640" w:right="640"/>
          <w:cols w:num="2" w:equalWidth="0">
            <w:col w:w="4405" w:space="395"/>
            <w:col w:w="5820"/>
          </w:cols>
        </w:sectPr>
      </w:pPr>
    </w:p>
    <w:p>
      <w:pPr>
        <w:pStyle w:val="BodyText"/>
        <w:rPr>
          <w:sz w:val="20"/>
        </w:rPr>
      </w:pPr>
    </w:p>
    <w:p>
      <w:pPr>
        <w:pStyle w:val="BodyText"/>
        <w:spacing w:before="3"/>
        <w:rPr>
          <w:sz w:val="11"/>
        </w:rPr>
      </w:pPr>
    </w:p>
    <w:p>
      <w:pPr>
        <w:pStyle w:val="BodyText"/>
        <w:spacing w:line="20" w:lineRule="exact"/>
        <w:ind w:left="4942"/>
        <w:rPr>
          <w:sz w:val="2"/>
        </w:rPr>
      </w:pPr>
      <w:r>
        <w:rPr>
          <w:sz w:val="2"/>
        </w:rPr>
        <w:pict>
          <v:group style="width:276.55pt;height:.15pt;mso-position-horizontal-relative:char;mso-position-vertical-relative:line" coordorigin="0,0" coordsize="5531,3">
            <v:line style="position:absolute" from="0,1" to="5531,1" stroked="true" strokeweight=".125pt" strokecolor="#000000">
              <v:stroke dashstyle="solid"/>
            </v:line>
          </v:group>
        </w:pict>
      </w:r>
      <w:r>
        <w:rPr>
          <w:sz w:val="2"/>
        </w:rPr>
      </w:r>
    </w:p>
    <w:p>
      <w:pPr>
        <w:pStyle w:val="ListParagraph"/>
        <w:numPr>
          <w:ilvl w:val="2"/>
          <w:numId w:val="3"/>
        </w:numPr>
        <w:tabs>
          <w:tab w:pos="5220" w:val="left" w:leader="none"/>
        </w:tabs>
        <w:spacing w:line="208" w:lineRule="auto" w:before="34" w:after="0"/>
        <w:ind w:left="5219" w:right="820" w:hanging="240"/>
        <w:jc w:val="left"/>
        <w:rPr>
          <w:sz w:val="16"/>
        </w:rPr>
      </w:pPr>
      <w:r>
        <w:rPr>
          <w:sz w:val="16"/>
        </w:rPr>
        <w:t>Unless</w:t>
      </w:r>
      <w:r>
        <w:rPr>
          <w:spacing w:val="-6"/>
          <w:sz w:val="16"/>
        </w:rPr>
        <w:t> </w:t>
      </w:r>
      <w:r>
        <w:rPr>
          <w:sz w:val="16"/>
        </w:rPr>
        <w:t>otherwise</w:t>
      </w:r>
      <w:r>
        <w:rPr>
          <w:spacing w:val="-6"/>
          <w:sz w:val="16"/>
        </w:rPr>
        <w:t> </w:t>
      </w:r>
      <w:r>
        <w:rPr>
          <w:sz w:val="16"/>
        </w:rPr>
        <w:t>stated,</w:t>
      </w:r>
      <w:r>
        <w:rPr>
          <w:spacing w:val="-4"/>
          <w:sz w:val="16"/>
        </w:rPr>
        <w:t> </w:t>
      </w:r>
      <w:r>
        <w:rPr>
          <w:sz w:val="16"/>
        </w:rPr>
        <w:t>all</w:t>
      </w:r>
      <w:r>
        <w:rPr>
          <w:spacing w:val="-6"/>
          <w:sz w:val="16"/>
        </w:rPr>
        <w:t> </w:t>
      </w:r>
      <w:r>
        <w:rPr>
          <w:sz w:val="16"/>
        </w:rPr>
        <w:t>M4</w:t>
      </w:r>
      <w:r>
        <w:rPr>
          <w:spacing w:val="-5"/>
          <w:sz w:val="16"/>
        </w:rPr>
        <w:t> </w:t>
      </w:r>
      <w:r>
        <w:rPr>
          <w:sz w:val="16"/>
        </w:rPr>
        <w:t>lending</w:t>
      </w:r>
      <w:r>
        <w:rPr>
          <w:spacing w:val="-6"/>
          <w:sz w:val="16"/>
        </w:rPr>
        <w:t> </w:t>
      </w:r>
      <w:r>
        <w:rPr>
          <w:sz w:val="16"/>
        </w:rPr>
        <w:t>data</w:t>
      </w:r>
      <w:r>
        <w:rPr>
          <w:spacing w:val="-6"/>
          <w:sz w:val="16"/>
        </w:rPr>
        <w:t> </w:t>
      </w:r>
      <w:r>
        <w:rPr>
          <w:sz w:val="16"/>
        </w:rPr>
        <w:t>discussed</w:t>
      </w:r>
      <w:r>
        <w:rPr>
          <w:spacing w:val="-5"/>
          <w:sz w:val="16"/>
        </w:rPr>
        <w:t> </w:t>
      </w:r>
      <w:r>
        <w:rPr>
          <w:sz w:val="16"/>
        </w:rPr>
        <w:t>here</w:t>
      </w:r>
      <w:r>
        <w:rPr>
          <w:spacing w:val="-6"/>
          <w:sz w:val="16"/>
        </w:rPr>
        <w:t> </w:t>
      </w:r>
      <w:r>
        <w:rPr>
          <w:sz w:val="16"/>
        </w:rPr>
        <w:t>exclude</w:t>
      </w:r>
      <w:r>
        <w:rPr>
          <w:spacing w:val="-5"/>
          <w:sz w:val="16"/>
        </w:rPr>
        <w:t> </w:t>
      </w:r>
      <w:r>
        <w:rPr>
          <w:sz w:val="16"/>
        </w:rPr>
        <w:t>the effects of securitisations and other loan</w:t>
      </w:r>
      <w:r>
        <w:rPr>
          <w:spacing w:val="-12"/>
          <w:sz w:val="16"/>
        </w:rPr>
        <w:t> </w:t>
      </w:r>
      <w:r>
        <w:rPr>
          <w:sz w:val="16"/>
        </w:rPr>
        <w:t>transfers.</w:t>
      </w:r>
    </w:p>
    <w:p>
      <w:pPr>
        <w:spacing w:after="0" w:line="208" w:lineRule="auto"/>
        <w:jc w:val="left"/>
        <w:rPr>
          <w:sz w:val="16"/>
        </w:rPr>
        <w:sectPr>
          <w:type w:val="continuous"/>
          <w:pgSz w:w="11900" w:h="16840"/>
          <w:pgMar w:top="1260" w:bottom="280" w:left="640" w:right="640"/>
        </w:sectPr>
      </w:pPr>
    </w:p>
    <w:p>
      <w:pPr>
        <w:pStyle w:val="BodyText"/>
        <w:rPr>
          <w:sz w:val="20"/>
        </w:rPr>
      </w:pPr>
    </w:p>
    <w:p>
      <w:pPr>
        <w:spacing w:after="0"/>
        <w:rPr>
          <w:sz w:val="20"/>
        </w:rPr>
        <w:sectPr>
          <w:footerReference w:type="default" r:id="rId30"/>
          <w:footerReference w:type="even" r:id="rId31"/>
          <w:pgSz w:w="11900" w:h="16840"/>
          <w:pgMar w:footer="612" w:header="586" w:top="800" w:bottom="800" w:left="640" w:right="640"/>
          <w:pgNumType w:start="5"/>
        </w:sectPr>
      </w:pPr>
    </w:p>
    <w:p>
      <w:pPr>
        <w:pStyle w:val="BodyText"/>
        <w:rPr>
          <w:sz w:val="21"/>
        </w:rPr>
      </w:pPr>
    </w:p>
    <w:p>
      <w:pPr>
        <w:spacing w:before="0"/>
        <w:ind w:left="185" w:right="0" w:firstLine="0"/>
        <w:jc w:val="left"/>
        <w:rPr>
          <w:b/>
          <w:sz w:val="20"/>
        </w:rPr>
      </w:pPr>
      <w:bookmarkStart w:name="Private non-financial corporations" w:id="9"/>
      <w:bookmarkEnd w:id="9"/>
      <w:r>
        <w:rPr/>
      </w:r>
      <w:bookmarkStart w:name="_bookmark3" w:id="10"/>
      <w:bookmarkEnd w:id="10"/>
      <w:r>
        <w:rPr/>
      </w:r>
      <w:r>
        <w:rPr>
          <w:b/>
          <w:color w:val="0092C7"/>
          <w:sz w:val="20"/>
        </w:rPr>
        <w:t>Chart 1.4</w:t>
      </w:r>
    </w:p>
    <w:p>
      <w:pPr>
        <w:spacing w:before="10"/>
        <w:ind w:left="185" w:right="0" w:firstLine="0"/>
        <w:jc w:val="left"/>
        <w:rPr>
          <w:b/>
          <w:sz w:val="20"/>
        </w:rPr>
      </w:pPr>
      <w:r>
        <w:rPr>
          <w:b/>
          <w:color w:val="0092C7"/>
          <w:sz w:val="20"/>
        </w:rPr>
        <w:t>Household Divisia and consumption</w:t>
      </w:r>
    </w:p>
    <w:p>
      <w:pPr>
        <w:spacing w:line="121" w:lineRule="exact" w:before="74"/>
        <w:ind w:left="1615" w:right="0" w:firstLine="0"/>
        <w:jc w:val="left"/>
        <w:rPr>
          <w:sz w:val="12"/>
        </w:rPr>
      </w:pPr>
      <w:r>
        <w:rPr>
          <w:sz w:val="12"/>
        </w:rPr>
        <w:t>Percentage changes on a year earlier</w:t>
      </w:r>
    </w:p>
    <w:p>
      <w:pPr>
        <w:spacing w:line="121" w:lineRule="exact" w:before="0"/>
        <w:ind w:left="3408" w:right="0" w:firstLine="0"/>
        <w:jc w:val="left"/>
        <w:rPr>
          <w:sz w:val="12"/>
        </w:rPr>
      </w:pPr>
      <w:r>
        <w:rPr/>
        <w:pict>
          <v:group style="position:absolute;margin-left:40.882pt;margin-top:10.719604pt;width:159.35pt;height:135pt;mso-position-horizontal-relative:page;mso-position-vertical-relative:paragraph;z-index:15772160" coordorigin="818,214" coordsize="3187,2700">
            <v:line style="position:absolute" from="996,2064" to="996,2442" stroked="true" strokeweight="2.75pt" strokecolor="#835335">
              <v:stroke dashstyle="solid"/>
            </v:line>
            <v:shape style="position:absolute;left:1029;top:1284;width:33;height:800" coordorigin="1029,1284" coordsize="33,800" path="m1029,1624l1029,2084m1062,1284l1062,1644e" filled="false" stroked="true" strokeweight="2.625pt" strokecolor="#835335">
              <v:path arrowok="t"/>
              <v:stroke dashstyle="solid"/>
            </v:shape>
            <v:line style="position:absolute" from="1089,944" to="1089,1304" stroked="true" strokeweight="2.125pt" strokecolor="#835335">
              <v:stroke dashstyle="solid"/>
            </v:line>
            <v:shape style="position:absolute;left:1100;top:531;width:168;height:423" coordorigin="1101,532" coordsize="168,423" path="m1101,954l1136,937m1136,937l1168,717m1168,717l1203,632m1203,632l1236,614m1236,614l1268,532e" filled="false" stroked="true" strokeweight="1pt" strokecolor="#835335">
              <v:path arrowok="t"/>
              <v:stroke dashstyle="solid"/>
            </v:shape>
            <v:line style="position:absolute" from="1279,522" to="1279,914" stroked="true" strokeweight="2.125pt" strokecolor="#835335">
              <v:stroke dashstyle="solid"/>
            </v:line>
            <v:line style="position:absolute" from="1291,904" to="1326,937" stroked="true" strokeweight="1pt" strokecolor="#835335">
              <v:stroke dashstyle="solid"/>
            </v:line>
            <v:line style="position:absolute" from="1342,927" to="1342,1322" stroked="true" strokeweight="2.625pt" strokecolor="#835335">
              <v:stroke dashstyle="solid"/>
            </v:line>
            <v:shape style="position:absolute;left:1358;top:1311;width:225;height:578" coordorigin="1358,1312" coordsize="225,578" path="m1358,1312l1393,1549m1393,1549l1426,1464m1426,1464l1458,1634m1458,1634l1493,1684m1493,1684l1516,1687m1516,1684l1548,1837m1548,1837l1583,1889e" filled="false" stroked="true" strokeweight="1pt" strokecolor="#835335">
              <v:path arrowok="t"/>
              <v:stroke dashstyle="solid"/>
            </v:shape>
            <v:line style="position:absolute" from="1599,1539" to="1599,1899" stroked="true" strokeweight="2.625pt" strokecolor="#835335">
              <v:stroke dashstyle="solid"/>
            </v:line>
            <v:shape style="position:absolute;left:1615;top:1549;width:68;height:358" coordorigin="1616,1549" coordsize="68,358" path="m1616,1549l1651,1737m1651,1737l1683,1907e" filled="false" stroked="true" strokeweight="1pt" strokecolor="#835335">
              <v:path arrowok="t"/>
              <v:stroke dashstyle="solid"/>
            </v:shape>
            <v:line style="position:absolute" from="1694,1897" to="1694,2169" stroked="true" strokeweight="2.125pt" strokecolor="#835335">
              <v:stroke dashstyle="solid"/>
            </v:line>
            <v:line style="position:absolute" from="1722,2149" to="1722,2662" stroked="true" strokeweight="2.625pt" strokecolor="#835335">
              <v:stroke dashstyle="solid"/>
            </v:line>
            <v:shape style="position:absolute;left:1738;top:1989;width:225;height:663" coordorigin="1738,1989" coordsize="225,663" path="m1738,2652l1773,2517m1773,2517l1806,2397m1806,2397l1841,2159m1841,2159l1873,1989m1873,1989l1896,2109m1896,2109l1928,2042m1928,2042l1963,1989e" filled="false" stroked="true" strokeweight="1pt" strokecolor="#835335">
              <v:path arrowok="t"/>
              <v:stroke dashstyle="solid"/>
            </v:shape>
            <v:line style="position:absolute" from="1979,1624" to="1979,1999" stroked="true" strokeweight="2.625pt" strokecolor="#835335">
              <v:stroke dashstyle="solid"/>
            </v:line>
            <v:shape style="position:absolute;left:1995;top:1396;width:68;height:238" coordorigin="1996,1397" coordsize="68,238" path="m1996,1634l2031,1397m2031,1397l2063,1482e" filled="false" stroked="true" strokeweight="1pt" strokecolor="#835335">
              <v:path arrowok="t"/>
              <v:stroke dashstyle="solid"/>
            </v:shape>
            <v:line style="position:absolute" from="2053,1483" to="2106,1483" stroked="true" strokeweight="1.125pt" strokecolor="#835335">
              <v:stroke dashstyle="solid"/>
            </v:line>
            <v:line style="position:absolute" from="2107,1472" to="2107,1779" stroked="true" strokeweight="2.125pt" strokecolor="#835335">
              <v:stroke dashstyle="solid"/>
            </v:line>
            <v:shape style="position:absolute;left:2118;top:1531;width:103;height:238" coordorigin="2118,1532" coordsize="103,238" path="m2118,1769l2153,1719m2153,1719l2186,1667m2186,1667l2221,1532e" filled="false" stroked="true" strokeweight="1pt" strokecolor="#835335">
              <v:path arrowok="t"/>
              <v:stroke dashstyle="solid"/>
            </v:shape>
            <v:line style="position:absolute" from="2237,1114" to="2237,1542" stroked="true" strokeweight="2.625pt" strokecolor="#835335">
              <v:stroke dashstyle="solid"/>
            </v:line>
            <v:shape style="position:absolute;left:2253;top:631;width:55;height:510" coordorigin="2253,632" coordsize="55,510" path="m2253,1124l2286,1142m2286,1142l2308,632e" filled="false" stroked="true" strokeweight="1pt" strokecolor="#835335">
              <v:path arrowok="t"/>
              <v:stroke dashstyle="solid"/>
            </v:shape>
            <v:shape style="position:absolute;left:2298;top:621;width:245;height:495" type="#_x0000_t75" stroked="false">
              <v:imagedata r:id="rId32" o:title=""/>
            </v:shape>
            <v:line style="position:absolute" from="2549,1097" to="2549,1609" stroked="true" strokeweight="2.625pt" strokecolor="#835335">
              <v:stroke dashstyle="solid"/>
            </v:line>
            <v:line style="position:absolute" from="2583,1589" to="2583,1967" stroked="true" strokeweight="2.75pt" strokecolor="#835335">
              <v:stroke dashstyle="solid"/>
            </v:line>
            <v:shape style="position:absolute;left:2600;top:1854;width:760;height:1003" coordorigin="2601,1854" coordsize="760,1003" path="m2601,1957l2668,2414m2668,2414l2701,2467m2701,2467l2723,2652m2723,2652l2756,2634m2756,2634l2791,2687m2791,2687l2823,2719m2823,2719l2858,2634m2858,2634l2891,2857m2891,2857l2923,2839m2923,2839l2946,2789m2946,2789l2981,2772m2981,2772l3013,2619m3013,2619l3048,2737m3048,2737l3081,2719m3081,2719l3113,2754m3113,2754l3136,2687m3136,2687l3171,2449m3171,2449l3203,2297m3203,2297l3238,2127m3238,2127l3271,1889m3271,1889l3306,1854m3306,1854l3326,1922m3326,1922l3361,1974e" filled="false" stroked="true" strokeweight="1pt" strokecolor="#835335">
              <v:path arrowok="t"/>
              <v:stroke dashstyle="solid"/>
            </v:shape>
            <v:line style="position:absolute" from="3351,1976" to="3403,1976" stroked="true" strokeweight="1.125pt" strokecolor="#835335">
              <v:stroke dashstyle="solid"/>
            </v:line>
            <v:line style="position:absolute" from="3393,1974" to="3428,1957" stroked="true" strokeweight="1pt" strokecolor="#835335">
              <v:stroke dashstyle="solid"/>
            </v:line>
            <v:line style="position:absolute" from="3418,1958" to="3471,1958" stroked="true" strokeweight="1.125pt" strokecolor="#835335">
              <v:stroke dashstyle="solid"/>
            </v:line>
            <v:shape style="position:absolute;left:3460;top:1889;width:90;height:305" coordorigin="3461,1889" coordsize="90,305" path="m3461,1957l3496,1889m3496,1889l3528,2159m3528,2159l3551,2194e" filled="false" stroked="true" strokeweight="1pt" strokecolor="#835335">
              <v:path arrowok="t"/>
              <v:stroke dashstyle="solid"/>
            </v:shape>
            <v:line style="position:absolute" from="3541,2196" to="3593,2196" stroked="true" strokeweight="1.125pt" strokecolor="#835335">
              <v:stroke dashstyle="solid"/>
            </v:line>
            <v:shape style="position:absolute;left:3583;top:2126;width:258;height:203" coordorigin="3583,2127" coordsize="258,203" path="m3583,2194l3618,2212m3618,2212l3651,2127m3651,2127l3686,2144m3686,2144l3718,2194m3718,2194l3741,2159m3741,2159l3773,2262m3773,2262l3808,2329m3808,2329l3841,2262e" filled="false" stroked="true" strokeweight="1pt" strokecolor="#835335">
              <v:path arrowok="t"/>
              <v:stroke dashstyle="solid"/>
            </v:shape>
            <v:shape style="position:absolute;left:978;top:564;width:190;height:815" coordorigin="978,564" coordsize="190,815" path="m978,1092l1013,1209m1013,1209l1046,1092m1046,1092l1101,1379m1101,1379l1136,564m1136,564l1168,819e" filled="false" stroked="true" strokeweight="1pt" strokecolor="#de8508">
              <v:path arrowok="t"/>
              <v:stroke dashstyle="solid"/>
            </v:shape>
            <v:line style="position:absolute" from="1186,367" to="1186,829" stroked="true" strokeweight="2.75pt" strokecolor="#de8508">
              <v:stroke dashstyle="solid"/>
            </v:line>
            <v:shape style="position:absolute;left:1203;top:224;width:88;height:985" coordorigin="1203,224" coordsize="88,985" path="m1203,377l1236,224m1236,224l1268,1209m1268,1209l1291,1124e" filled="false" stroked="true" strokeweight="1pt" strokecolor="#de8508">
              <v:path arrowok="t"/>
              <v:stroke dashstyle="solid"/>
            </v:shape>
            <v:line style="position:absolute" from="1308,1114" to="1308,1627" stroked="true" strokeweight="2.75pt" strokecolor="#de8508">
              <v:stroke dashstyle="solid"/>
            </v:line>
            <v:shape style="position:absolute;left:1325;top:1549;width:325;height:358" coordorigin="1326,1549" coordsize="325,358" path="m1326,1617l1358,1787m1358,1787l1393,1584m1393,1584l1426,1684m1426,1684l1458,1549m1458,1549l1493,1804m1493,1804l1516,1907m1516,1907l1548,1822m1548,1822l1583,1769m1583,1769l1616,1719m1616,1719l1651,1702e" filled="false" stroked="true" strokeweight="1pt" strokecolor="#de8508">
              <v:path arrowok="t"/>
              <v:stroke dashstyle="solid"/>
            </v:shape>
            <v:line style="position:absolute" from="1641,1703" to="1693,1703" stroked="true" strokeweight="1.125pt" strokecolor="#de8508">
              <v:stroke dashstyle="solid"/>
            </v:line>
            <v:line style="position:absolute" from="1694,1692" to="1694,1984" stroked="true" strokeweight="2.125pt" strokecolor="#de8508">
              <v:stroke dashstyle="solid"/>
            </v:line>
            <v:shape style="position:absolute;left:1705;top:1956;width:68;height:85" coordorigin="1706,1957" coordsize="68,85" path="m1706,1974l1738,2042m1738,2042l1773,1957e" filled="false" stroked="true" strokeweight="1pt" strokecolor="#de8508">
              <v:path arrowok="t"/>
              <v:stroke dashstyle="solid"/>
            </v:shape>
            <v:line style="position:absolute" from="1789,1947" to="1789,2307" stroked="true" strokeweight="2.625pt" strokecolor="#de8508">
              <v:stroke dashstyle="solid"/>
            </v:line>
            <v:shape style="position:absolute;left:1805;top:1329;width:605;height:968" coordorigin="1806,1329" coordsize="605,968" path="m1806,2297l1841,2074m1841,2074l1873,1939m1873,1939l1896,1989m1896,1989l1928,1702m1928,1702l1963,1769m1963,1769l1996,1719m1996,1719l2031,1549m2031,1549l2063,1652m2063,1652l2096,1752m2096,1752l2118,1787m2118,1787l2153,1939m2153,1939l2186,1822m2186,1822l2221,1599m2221,1599l2253,1499m2253,1499l2286,1447m2286,1447l2308,1329m2308,1329l2343,1447m2343,1447l2376,1634m2376,1634l2411,1652e" filled="false" stroked="true" strokeweight="1pt" strokecolor="#de8508">
              <v:path arrowok="t"/>
              <v:stroke dashstyle="solid"/>
            </v:shape>
            <v:line style="position:absolute" from="2427,1642" to="2427,1984" stroked="true" strokeweight="2.625pt" strokecolor="#de8508">
              <v:stroke dashstyle="solid"/>
            </v:line>
            <v:shape style="position:absolute;left:2443;top:1871;width:280;height:408" coordorigin="2443,1872" coordsize="280,408" path="m2443,1974l2478,1922m2478,1922l2511,1939m2511,1939l2533,1872m2533,1872l2566,1889m2566,1889l2601,2024m2601,2024l2633,2144m2633,2144l2668,2279m2668,2279l2701,2194m2701,2194l2723,2279e" filled="false" stroked="true" strokeweight="1pt" strokecolor="#de8508">
              <v:path arrowok="t"/>
              <v:stroke dashstyle="solid"/>
            </v:shape>
            <v:line style="position:absolute" from="2713,2281" to="2766,2281" stroked="true" strokeweight="1.125pt" strokecolor="#de8508">
              <v:stroke dashstyle="solid"/>
            </v:line>
            <v:shape style="position:absolute;left:2755;top:2074;width:515;height:323" coordorigin="2756,2074" coordsize="515,323" path="m2756,2279l2791,2262m2791,2262l2823,2364m2823,2364l2858,2347m2858,2347l2891,2244m2891,2244l2923,2229m2923,2229l2946,2109m2946,2109l2981,2074m2981,2074l3013,2177m3013,2177l3048,2297m3048,2297l3081,2397m3081,2397l3113,2382m3113,2382l3136,2384m3136,2382l3171,2364m3171,2364l3203,2382m3203,2382l3238,2364m3238,2364l3271,2159e" filled="false" stroked="true" strokeweight="1pt" strokecolor="#de8508">
              <v:path arrowok="t"/>
              <v:stroke dashstyle="solid"/>
            </v:shape>
            <v:line style="position:absolute" from="3261,2161" to="3316,2161" stroked="true" strokeweight="1.125pt" strokecolor="#de8508">
              <v:stroke dashstyle="solid"/>
            </v:line>
            <v:shape style="position:absolute;left:3305;top:2074;width:155;height:138" coordorigin="3306,2074" coordsize="155,138" path="m3306,2159l3326,2092m3326,2092l3361,2074m3361,2074l3393,2212m3393,2212l3428,2177m3428,2177l3461,2127e" filled="false" stroked="true" strokeweight="1pt" strokecolor="#de8508">
              <v:path arrowok="t"/>
              <v:stroke dashstyle="solid"/>
            </v:shape>
            <v:line style="position:absolute" from="3451,2128" to="3506,2128" stroked="true" strokeweight="1.125pt" strokecolor="#de8508">
              <v:stroke dashstyle="solid"/>
            </v:line>
            <v:shape style="position:absolute;left:3495;top:2109;width:155;height:120" coordorigin="3496,2109" coordsize="155,120" path="m3496,2127l3528,2109m3528,2109l3551,2112m3551,2109l3583,2194m3583,2194l3618,2229m3618,2229l3651,2194e" filled="false" stroked="true" strokeweight="1pt" strokecolor="#de8508">
              <v:path arrowok="t"/>
              <v:stroke dashstyle="solid"/>
            </v:shape>
            <v:shape style="position:absolute;left:3640;top:2195;width:88;height:2" coordorigin="3641,2196" coordsize="88,0" path="m3641,2196l3696,2196m3676,2196l3728,2196e" filled="false" stroked="true" strokeweight="1.125pt" strokecolor="#de8508">
              <v:path arrowok="t"/>
              <v:stroke dashstyle="solid"/>
            </v:shape>
            <v:shape style="position:absolute;left:3718;top:2126;width:90;height:203" coordorigin="3718,2127" coordsize="90,203" path="m3718,2194l3741,2127m3741,2127l3773,2262m3773,2262l3808,2329e" filled="false" stroked="true" strokeweight="1pt" strokecolor="#de8508">
              <v:path arrowok="t"/>
              <v:stroke dashstyle="solid"/>
            </v:shape>
            <v:shape style="position:absolute;left:817;top:627;width:3187;height:2282" coordorigin="818,627" coordsize="3187,2282" path="m818,627l904,627m818,1198l904,1198m818,2339l904,2339m818,1768l904,1768m818,2909l904,2909m3918,627l4004,627m3918,1198l4004,1198m3918,2339l4004,2339m3918,1768l4004,1768m3918,2909l4004,2909m973,2909l3844,2909m978,2842l978,2909m1232,2842l1232,2909m1487,2842l1487,2909m1741,2842l1741,2909m1995,2842l1995,2909m2504,2842l2504,2909m3267,2842l3267,2909m3776,2842l3776,2909m2250,2842l2250,2909m3013,2842l3013,2909m2758,2842l2758,2909m3521,2842l3521,2909e" filled="false" stroked="true" strokeweight=".5pt" strokecolor="#000000">
              <v:path arrowok="t"/>
              <v:stroke dashstyle="solid"/>
            </v:shape>
            <v:shape style="position:absolute;left:1290;top:219;width:1090;height:134" type="#_x0000_t202" filled="false" stroked="false">
              <v:textbox inset="0,0,0,0">
                <w:txbxContent>
                  <w:p>
                    <w:pPr>
                      <w:spacing w:line="133" w:lineRule="exact" w:before="0"/>
                      <w:ind w:left="0" w:right="0" w:firstLine="0"/>
                      <w:jc w:val="left"/>
                      <w:rPr>
                        <w:sz w:val="12"/>
                      </w:rPr>
                    </w:pPr>
                    <w:r>
                      <w:rPr>
                        <w:sz w:val="12"/>
                      </w:rPr>
                      <w:t>Nominal consumption</w:t>
                    </w:r>
                  </w:p>
                </w:txbxContent>
              </v:textbox>
              <w10:wrap type="none"/>
            </v:shape>
            <v:shape style="position:absolute;left:2353;top:593;width:917;height:134" type="#_x0000_t202" filled="false" stroked="false">
              <v:textbox inset="0,0,0,0">
                <w:txbxContent>
                  <w:p>
                    <w:pPr>
                      <w:spacing w:line="133" w:lineRule="exact" w:before="0"/>
                      <w:ind w:left="0" w:right="0" w:firstLine="0"/>
                      <w:jc w:val="left"/>
                      <w:rPr>
                        <w:sz w:val="12"/>
                      </w:rPr>
                    </w:pPr>
                    <w:r>
                      <w:rPr>
                        <w:sz w:val="12"/>
                      </w:rPr>
                      <w:t>Household Divisia</w:t>
                    </w:r>
                  </w:p>
                </w:txbxContent>
              </v:textbox>
              <w10:wrap type="none"/>
            </v:shape>
            <w10:wrap type="none"/>
          </v:group>
        </w:pict>
      </w:r>
      <w:r>
        <w:rPr/>
        <w:pict>
          <v:line style="position:absolute;mso-position-horizontal-relative:page;mso-position-vertical-relative:paragraph;z-index:15772672" from="40.882pt,2.844604pt" to="45.215pt,2.844604pt" stroked="true" strokeweight=".5pt" strokecolor="#000000">
            <v:stroke dashstyle="solid"/>
            <w10:wrap type="none"/>
          </v:line>
        </w:pict>
      </w:r>
      <w:r>
        <w:rPr/>
        <w:pict>
          <v:line style="position:absolute;mso-position-horizontal-relative:page;mso-position-vertical-relative:paragraph;z-index:15773184" from="195.889999pt,2.844604pt" to="200.221999pt,2.844604pt" stroked="true" strokeweight=".5pt" strokecolor="#000000">
            <v:stroke dashstyle="solid"/>
            <w10:wrap type="none"/>
          </v:line>
        </w:pict>
      </w:r>
      <w:r>
        <w:rPr>
          <w:sz w:val="12"/>
        </w:rPr>
        <w:t>25</w:t>
      </w:r>
    </w:p>
    <w:p>
      <w:pPr>
        <w:pStyle w:val="BodyText"/>
        <w:rPr>
          <w:sz w:val="12"/>
        </w:rPr>
      </w:pPr>
    </w:p>
    <w:p>
      <w:pPr>
        <w:pStyle w:val="BodyText"/>
        <w:rPr>
          <w:sz w:val="12"/>
        </w:rPr>
      </w:pPr>
    </w:p>
    <w:p>
      <w:pPr>
        <w:pStyle w:val="BodyText"/>
        <w:spacing w:before="7"/>
        <w:rPr>
          <w:sz w:val="13"/>
        </w:rPr>
      </w:pPr>
    </w:p>
    <w:p>
      <w:pPr>
        <w:spacing w:before="0"/>
        <w:ind w:left="0" w:right="38" w:firstLine="0"/>
        <w:jc w:val="right"/>
        <w:rPr>
          <w:sz w:val="12"/>
        </w:rPr>
      </w:pPr>
      <w:r>
        <w:rPr>
          <w:sz w:val="12"/>
        </w:rPr>
        <w:t>20</w:t>
      </w:r>
    </w:p>
    <w:p>
      <w:pPr>
        <w:pStyle w:val="BodyText"/>
        <w:rPr>
          <w:sz w:val="12"/>
        </w:rPr>
      </w:pPr>
    </w:p>
    <w:p>
      <w:pPr>
        <w:pStyle w:val="BodyText"/>
        <w:rPr>
          <w:sz w:val="12"/>
        </w:rPr>
      </w:pPr>
    </w:p>
    <w:p>
      <w:pPr>
        <w:pStyle w:val="BodyText"/>
        <w:spacing w:before="7"/>
        <w:rPr>
          <w:sz w:val="13"/>
        </w:rPr>
      </w:pPr>
    </w:p>
    <w:p>
      <w:pPr>
        <w:spacing w:before="1"/>
        <w:ind w:left="0" w:right="38" w:firstLine="0"/>
        <w:jc w:val="right"/>
        <w:rPr>
          <w:sz w:val="12"/>
        </w:rPr>
      </w:pPr>
      <w:r>
        <w:rPr>
          <w:sz w:val="12"/>
        </w:rPr>
        <w:t>15</w:t>
      </w:r>
    </w:p>
    <w:p>
      <w:pPr>
        <w:pStyle w:val="BodyText"/>
        <w:rPr>
          <w:sz w:val="12"/>
        </w:rPr>
      </w:pPr>
    </w:p>
    <w:p>
      <w:pPr>
        <w:pStyle w:val="BodyText"/>
        <w:rPr>
          <w:sz w:val="12"/>
        </w:rPr>
      </w:pPr>
    </w:p>
    <w:p>
      <w:pPr>
        <w:pStyle w:val="BodyText"/>
        <w:spacing w:before="6"/>
        <w:rPr>
          <w:sz w:val="13"/>
        </w:rPr>
      </w:pPr>
    </w:p>
    <w:p>
      <w:pPr>
        <w:spacing w:before="1"/>
        <w:ind w:left="0" w:right="38" w:firstLine="0"/>
        <w:jc w:val="right"/>
        <w:rPr>
          <w:sz w:val="12"/>
        </w:rPr>
      </w:pPr>
      <w:r>
        <w:rPr>
          <w:sz w:val="12"/>
        </w:rPr>
        <w:t>10</w:t>
      </w:r>
    </w:p>
    <w:p>
      <w:pPr>
        <w:pStyle w:val="BodyText"/>
        <w:rPr>
          <w:sz w:val="12"/>
        </w:rPr>
      </w:pPr>
    </w:p>
    <w:p>
      <w:pPr>
        <w:pStyle w:val="BodyText"/>
        <w:rPr>
          <w:sz w:val="12"/>
        </w:rPr>
      </w:pPr>
    </w:p>
    <w:p>
      <w:pPr>
        <w:pStyle w:val="BodyText"/>
        <w:spacing w:before="6"/>
        <w:rPr>
          <w:sz w:val="13"/>
        </w:rPr>
      </w:pPr>
    </w:p>
    <w:p>
      <w:pPr>
        <w:spacing w:before="1"/>
        <w:ind w:left="0" w:right="38" w:firstLine="0"/>
        <w:jc w:val="right"/>
        <w:rPr>
          <w:sz w:val="12"/>
        </w:rPr>
      </w:pPr>
      <w:r>
        <w:rPr>
          <w:sz w:val="12"/>
        </w:rPr>
        <w:t>5</w:t>
      </w:r>
    </w:p>
    <w:p>
      <w:pPr>
        <w:pStyle w:val="BodyText"/>
        <w:rPr>
          <w:sz w:val="12"/>
        </w:rPr>
      </w:pPr>
    </w:p>
    <w:p>
      <w:pPr>
        <w:pStyle w:val="BodyText"/>
        <w:rPr>
          <w:sz w:val="12"/>
        </w:rPr>
      </w:pPr>
    </w:p>
    <w:p>
      <w:pPr>
        <w:pStyle w:val="BodyText"/>
        <w:spacing w:before="6"/>
        <w:rPr>
          <w:sz w:val="13"/>
        </w:rPr>
      </w:pPr>
    </w:p>
    <w:p>
      <w:pPr>
        <w:spacing w:line="117" w:lineRule="exact" w:before="1"/>
        <w:ind w:left="3468" w:right="0" w:firstLine="0"/>
        <w:jc w:val="left"/>
        <w:rPr>
          <w:sz w:val="12"/>
        </w:rPr>
      </w:pPr>
      <w:r>
        <w:rPr>
          <w:sz w:val="12"/>
        </w:rPr>
        <w:t>0</w:t>
      </w:r>
    </w:p>
    <w:p>
      <w:pPr>
        <w:spacing w:line="117" w:lineRule="exact" w:before="0"/>
        <w:ind w:left="209" w:right="0" w:firstLine="0"/>
        <w:jc w:val="left"/>
        <w:rPr>
          <w:sz w:val="12"/>
        </w:rPr>
      </w:pPr>
      <w:r>
        <w:rPr>
          <w:sz w:val="12"/>
        </w:rPr>
        <w:t>1978 80 82 84 86 88 90 92 94 96 98 2000</w:t>
      </w:r>
    </w:p>
    <w:p>
      <w:pPr>
        <w:spacing w:before="85"/>
        <w:ind w:left="185" w:right="0" w:firstLine="0"/>
        <w:jc w:val="left"/>
        <w:rPr>
          <w:sz w:val="12"/>
        </w:rPr>
      </w:pPr>
      <w:r>
        <w:rPr>
          <w:sz w:val="12"/>
        </w:rPr>
        <w:t>Sources: ONS and Bank of England.</w:t>
      </w:r>
    </w:p>
    <w:p>
      <w:pPr>
        <w:pStyle w:val="BodyText"/>
        <w:spacing w:before="7"/>
        <w:rPr>
          <w:sz w:val="11"/>
        </w:rPr>
      </w:pPr>
    </w:p>
    <w:p>
      <w:pPr>
        <w:spacing w:before="0"/>
        <w:ind w:left="205" w:right="0" w:firstLine="0"/>
        <w:jc w:val="left"/>
        <w:rPr>
          <w:b/>
          <w:sz w:val="20"/>
        </w:rPr>
      </w:pPr>
      <w:r>
        <w:rPr>
          <w:b/>
          <w:color w:val="0092C7"/>
          <w:sz w:val="20"/>
        </w:rPr>
        <w:t>Chart 1.5</w:t>
      </w:r>
    </w:p>
    <w:p>
      <w:pPr>
        <w:spacing w:line="249" w:lineRule="auto" w:before="10"/>
        <w:ind w:left="205" w:right="0" w:firstLine="0"/>
        <w:jc w:val="left"/>
        <w:rPr>
          <w:b/>
          <w:sz w:val="20"/>
        </w:rPr>
      </w:pPr>
      <w:r>
        <w:rPr>
          <w:b/>
          <w:color w:val="0092C7"/>
          <w:sz w:val="20"/>
        </w:rPr>
        <w:t>Total lending for consumption and household spending intentions</w:t>
      </w:r>
    </w:p>
    <w:p>
      <w:pPr>
        <w:pStyle w:val="BodyText"/>
        <w:spacing w:line="242" w:lineRule="auto" w:before="232"/>
        <w:ind w:left="185" w:right="183"/>
      </w:pPr>
      <w:r>
        <w:rPr/>
        <w:br w:type="column"/>
      </w:r>
      <w:r>
        <w:rPr/>
        <w:t>Annual growth in total net lending to individuals (by banks, building societies and other specialist lenders) has slowed slightly from 9.8% in 2000 Q2, to 9.3% in 2000 Q3.  Annual growth in unsecured lending has fallen from 13.8% in 2000 Q2 to 12.7% in 2000 Q3. Consumption may also be funded by lending secured against housing wealth. Bank estimates suggest that the portion of secured lending not accounted for by </w:t>
      </w:r>
      <w:r>
        <w:rPr>
          <w:spacing w:val="-3"/>
        </w:rPr>
        <w:t>investment </w:t>
      </w:r>
      <w:r>
        <w:rPr/>
        <w:t>in housing, termed mortgage equity withdrawal (MEW), picked up in 2000 Q2, raising total estimated borrowing available for consumption (see Chart 1.5). MEW is particularly likely to be used for purchases</w:t>
      </w:r>
      <w:r>
        <w:rPr>
          <w:spacing w:val="-7"/>
        </w:rPr>
        <w:t> </w:t>
      </w:r>
      <w:r>
        <w:rPr/>
        <w:t>of</w:t>
      </w:r>
      <w:r>
        <w:rPr>
          <w:spacing w:val="-7"/>
        </w:rPr>
        <w:t> </w:t>
      </w:r>
      <w:r>
        <w:rPr/>
        <w:t>high-value</w:t>
      </w:r>
      <w:r>
        <w:rPr>
          <w:spacing w:val="-7"/>
        </w:rPr>
        <w:t> </w:t>
      </w:r>
      <w:r>
        <w:rPr/>
        <w:t>consumer</w:t>
      </w:r>
      <w:r>
        <w:rPr>
          <w:spacing w:val="-7"/>
        </w:rPr>
        <w:t> </w:t>
      </w:r>
      <w:r>
        <w:rPr/>
        <w:t>durables,</w:t>
      </w:r>
      <w:r>
        <w:rPr>
          <w:spacing w:val="-5"/>
        </w:rPr>
        <w:t> </w:t>
      </w:r>
      <w:r>
        <w:rPr/>
        <w:t>and</w:t>
      </w:r>
      <w:r>
        <w:rPr>
          <w:spacing w:val="-7"/>
        </w:rPr>
        <w:t> </w:t>
      </w:r>
      <w:r>
        <w:rPr/>
        <w:t>the</w:t>
      </w:r>
      <w:r>
        <w:rPr>
          <w:spacing w:val="-7"/>
        </w:rPr>
        <w:t> </w:t>
      </w:r>
      <w:r>
        <w:rPr/>
        <w:t>GfK survey</w:t>
      </w:r>
      <w:r>
        <w:rPr>
          <w:spacing w:val="-9"/>
        </w:rPr>
        <w:t> </w:t>
      </w:r>
      <w:r>
        <w:rPr/>
        <w:t>indicates</w:t>
      </w:r>
      <w:r>
        <w:rPr>
          <w:spacing w:val="-8"/>
        </w:rPr>
        <w:t> </w:t>
      </w:r>
      <w:r>
        <w:rPr/>
        <w:t>that</w:t>
      </w:r>
      <w:r>
        <w:rPr>
          <w:spacing w:val="-8"/>
        </w:rPr>
        <w:t> </w:t>
      </w:r>
      <w:r>
        <w:rPr/>
        <w:t>households’</w:t>
      </w:r>
      <w:r>
        <w:rPr>
          <w:spacing w:val="-24"/>
        </w:rPr>
        <w:t> </w:t>
      </w:r>
      <w:r>
        <w:rPr/>
        <w:t>spending</w:t>
      </w:r>
      <w:r>
        <w:rPr>
          <w:spacing w:val="-8"/>
        </w:rPr>
        <w:t> </w:t>
      </w:r>
      <w:r>
        <w:rPr/>
        <w:t>intentions</w:t>
      </w:r>
      <w:r>
        <w:rPr>
          <w:spacing w:val="-8"/>
        </w:rPr>
        <w:t> </w:t>
      </w:r>
      <w:r>
        <w:rPr/>
        <w:t>for major purchases remain relatively robust, despite a downturn since the beginning of the year in their confidence in the general economic</w:t>
      </w:r>
      <w:r>
        <w:rPr>
          <w:spacing w:val="-13"/>
        </w:rPr>
        <w:t> </w:t>
      </w:r>
      <w:r>
        <w:rPr/>
        <w:t>situation.</w:t>
      </w:r>
    </w:p>
    <w:p>
      <w:pPr>
        <w:spacing w:after="0" w:line="242" w:lineRule="auto"/>
        <w:sectPr>
          <w:type w:val="continuous"/>
          <w:pgSz w:w="11900" w:h="16840"/>
          <w:pgMar w:top="1260" w:bottom="280" w:left="640" w:right="640"/>
          <w:cols w:num="2" w:equalWidth="0">
            <w:col w:w="3569" w:space="1231"/>
            <w:col w:w="5820"/>
          </w:cols>
        </w:sectPr>
      </w:pPr>
    </w:p>
    <w:p>
      <w:pPr>
        <w:spacing w:before="119"/>
        <w:ind w:left="204" w:right="0" w:firstLine="0"/>
        <w:jc w:val="left"/>
        <w:rPr>
          <w:sz w:val="12"/>
        </w:rPr>
      </w:pPr>
      <w:r>
        <w:rPr>
          <w:position w:val="-7"/>
          <w:sz w:val="12"/>
        </w:rPr>
        <w:t>14</w:t>
      </w:r>
      <w:r>
        <w:rPr>
          <w:sz w:val="12"/>
        </w:rPr>
        <w:t> </w:t>
      </w:r>
      <w:r>
        <w:rPr>
          <w:sz w:val="12"/>
          <w:u w:val="single"/>
        </w:rPr>
        <w:t>P</w:t>
      </w:r>
      <w:r>
        <w:rPr>
          <w:sz w:val="12"/>
        </w:rPr>
        <w:t>ercentage of disposable income</w:t>
      </w:r>
    </w:p>
    <w:p>
      <w:pPr>
        <w:pStyle w:val="BodyText"/>
        <w:rPr>
          <w:sz w:val="19"/>
        </w:rPr>
      </w:pPr>
    </w:p>
    <w:p>
      <w:pPr>
        <w:spacing w:before="0"/>
        <w:ind w:left="204" w:right="0" w:firstLine="0"/>
        <w:jc w:val="left"/>
        <w:rPr>
          <w:sz w:val="12"/>
        </w:rPr>
      </w:pPr>
      <w:r>
        <w:rPr/>
        <w:pict>
          <v:line style="position:absolute;mso-position-horizontal-relative:page;mso-position-vertical-relative:paragraph;z-index:15762432" from="50.754002pt,4.231164pt" to="55.087002pt,4.231164pt" stroked="true" strokeweight=".5pt" strokecolor="#000000">
            <v:stroke dashstyle="solid"/>
            <w10:wrap type="none"/>
          </v:line>
        </w:pict>
      </w:r>
      <w:r>
        <w:rPr>
          <w:sz w:val="12"/>
        </w:rPr>
        <w:t>12</w:t>
      </w:r>
    </w:p>
    <w:p>
      <w:pPr>
        <w:spacing w:line="208" w:lineRule="auto" w:before="16"/>
        <w:ind w:left="849" w:right="38" w:hanging="60"/>
        <w:jc w:val="left"/>
        <w:rPr>
          <w:sz w:val="12"/>
        </w:rPr>
      </w:pPr>
      <w:r>
        <w:rPr/>
        <w:pict>
          <v:group style="position:absolute;margin-left:50.754002pt;margin-top:7.616367pt;width:156.7pt;height:102.4pt;mso-position-horizontal-relative:page;mso-position-vertical-relative:paragraph;z-index:-22891008" coordorigin="1015,152" coordsize="3134,2048">
            <v:shape style="position:absolute;left:1145;top:162;width:573;height:970" coordorigin="1146,162" coordsize="573,970" path="m1146,867l1193,850m1193,850l1253,832m1253,832l1301,497m1301,497l1361,480m1361,480l1408,570m1408,570l1456,162m1456,162l1516,992m1516,992l1563,1132m1563,1132l1623,1010m1623,1010l1671,957m1671,957l1718,902e" filled="false" stroked="true" strokeweight="1pt" strokecolor="#9ed01a">
              <v:path arrowok="t"/>
              <v:stroke dashstyle="solid"/>
            </v:shape>
            <v:line style="position:absolute" from="1708,904" to="1788,904" stroked="true" strokeweight="1.125pt" strokecolor="#9ed01a">
              <v:stroke dashstyle="solid"/>
            </v:line>
            <v:shape style="position:absolute;left:1778;top:902;width:475;height:953" coordorigin="1778,902" coordsize="475,953" path="m1778,902l1826,1062m1826,1062l1886,1272m1886,1272l1933,1202m1933,1202l1991,1345m1991,1345l2041,1415m2041,1415l2088,1555m2088,1555l2148,1660m2148,1660l2196,1680m2196,1680l2253,1855e" filled="false" stroked="true" strokeweight="1pt" strokecolor="#9ed01a">
              <v:path arrowok="t"/>
              <v:stroke dashstyle="solid"/>
            </v:shape>
            <v:line style="position:absolute" from="2243,1856" to="2313,1856" stroked="true" strokeweight="1.125pt" strokecolor="#9ed01a">
              <v:stroke dashstyle="solid"/>
            </v:line>
            <v:shape style="position:absolute;left:2303;top:1679;width:940;height:510" coordorigin="2303,1680" coordsize="940,510" path="m2303,1855l2351,2190m2351,2190l2408,1977m2408,1977l2458,2012m2458,2012l2516,1942m2516,1942l2563,1767m2563,1767l2613,1942m2613,1942l2671,1732m2671,1732l2718,1837m2718,1837l2778,1872m2778,1872l2826,1890m2826,1890l2873,2030m2873,2030l2933,1977m2933,1977l2981,1925m2981,1925l3041,1907m3041,1907l3088,1837m3088,1837l3136,1802m3136,1802l3196,1767m3196,1767l3243,1680e" filled="false" stroked="true" strokeweight="1pt" strokecolor="#9ed01a">
              <v:path arrowok="t"/>
              <v:stroke dashstyle="solid"/>
            </v:shape>
            <v:line style="position:absolute" from="3233,1681" to="3313,1681" stroked="true" strokeweight="1.125pt" strokecolor="#9ed01a">
              <v:stroke dashstyle="solid"/>
            </v:line>
            <v:shape style="position:absolute;left:3303;top:1554;width:310;height:230" coordorigin="3303,1555" coordsize="310,230" path="m3303,1680l3351,1785m3351,1785l3411,1680m3411,1680l3458,1660m3458,1660l3506,1680m3506,1680l3566,1555m3566,1555l3613,1660e" filled="false" stroked="true" strokeweight="1pt" strokecolor="#9ed01a">
              <v:path arrowok="t"/>
              <v:stroke dashstyle="solid"/>
            </v:shape>
            <v:line style="position:absolute" from="3603,1661" to="3683,1661" stroked="true" strokeweight="1.125pt" strokecolor="#9ed01a">
              <v:stroke dashstyle="solid"/>
            </v:line>
            <v:shape style="position:absolute;left:3673;top:1254;width:263;height:405" coordorigin="3673,1255" coordsize="263,405" path="m3673,1660l3721,1432m3721,1432l3768,1255m3768,1255l3828,1310m3828,1310l3876,1432m3876,1432l3936,1290e" filled="false" stroked="true" strokeweight="1pt" strokecolor="#9ed01a">
              <v:path arrowok="t"/>
              <v:stroke dashstyle="solid"/>
            </v:shape>
            <v:shape style="position:absolute;left:1360;top:304;width:2623;height:1815" coordorigin="1361,305" coordsize="2623,1815" path="m1361,815l1408,552m1408,552l1456,780m1456,780l1516,1010m1516,1010l1563,1115m1563,1115l1623,957m1623,957l1671,992m1671,992l1718,1185m1718,1185l1778,1397m1778,1397l1826,1590m1826,1590l1886,1397m1886,1397l1933,1415m1933,1415l1991,1697m1991,1697l2041,1345m2041,1345l2088,1467m2088,1467l2148,1362m2148,1362l2196,1625m2196,1625l2253,1345m2253,1345l2303,1715m2303,1715l2351,2120m2351,2120l2408,1785m2408,1785l2458,1467m2458,1467l2516,1362m2516,1362l2563,1625m2563,1625l2613,1572m2613,1572l2671,1590m2671,1590l2718,1397m2718,1397l2778,1715m2778,1715l2826,1502m2826,1502l2873,1572m2873,1572l2933,1485m2933,1485l2981,1502m2981,1502l3041,1310m3041,1310l3088,1185m3088,1185l3136,1010m3136,1010l3196,975m3196,975l3243,922m3243,922l3303,867m3303,867l3351,692m3351,692l3411,727m3411,727l3458,922m3458,922l3506,940m3506,940l3566,902m3566,902l3613,1045m3613,1045l3673,885m3673,885l3721,780m3721,780l3768,570m3768,570l3828,552m3828,552l3876,305m3876,305l3936,552m3936,552l3983,497e" filled="false" stroked="true" strokeweight="1pt" strokecolor="#006caa">
              <v:path arrowok="t"/>
              <v:stroke dashstyle="solid"/>
            </v:shape>
            <v:shape style="position:absolute;left:1015;top:305;width:3134;height:1796" coordorigin="1015,306" coordsize="3134,1796" path="m1015,2101l1102,2101m1015,306l1102,306m1015,665l1102,665m1015,1024l1102,1024m1015,1383l1102,1383m1015,1742l1102,1742m4062,306l4149,306m4062,665l4149,665m4062,1024l4149,1024m4062,1383l4149,1383m4062,2101l4149,2101m4062,1742l4149,1742e" filled="false" stroked="true" strokeweight=".5pt" strokecolor="#000000">
              <v:path arrowok="t"/>
              <v:stroke dashstyle="solid"/>
            </v:shape>
            <v:line style="position:absolute" from="1147,2101" to="3970,2101" stroked="true" strokeweight=".5pt" strokecolor="#000000">
              <v:stroke dashstyle="solid"/>
            </v:line>
            <w10:wrap type="none"/>
          </v:group>
        </w:pict>
      </w:r>
      <w:r>
        <w:rPr>
          <w:sz w:val="12"/>
        </w:rPr>
        <w:t>Unsecured lending and MEW (left-hand scale)</w:t>
      </w:r>
    </w:p>
    <w:p>
      <w:pPr>
        <w:spacing w:before="119"/>
        <w:ind w:left="204" w:right="0" w:firstLine="0"/>
        <w:jc w:val="left"/>
        <w:rPr>
          <w:sz w:val="12"/>
        </w:rPr>
      </w:pPr>
      <w:r>
        <w:rPr/>
        <w:br w:type="column"/>
      </w:r>
      <w:r>
        <w:rPr>
          <w:sz w:val="12"/>
        </w:rPr>
        <w:t>Percentage balan</w:t>
      </w:r>
      <w:r>
        <w:rPr>
          <w:sz w:val="12"/>
          <w:u w:val="single"/>
        </w:rPr>
        <w:t>ce</w:t>
      </w:r>
      <w:r>
        <w:rPr>
          <w:sz w:val="12"/>
        </w:rPr>
        <w:t> </w:t>
      </w:r>
      <w:r>
        <w:rPr>
          <w:position w:val="-7"/>
          <w:sz w:val="12"/>
        </w:rPr>
        <w:t>8</w:t>
      </w:r>
    </w:p>
    <w:p>
      <w:pPr>
        <w:pStyle w:val="BodyText"/>
        <w:spacing w:before="5"/>
        <w:rPr>
          <w:sz w:val="19"/>
        </w:rPr>
      </w:pPr>
    </w:p>
    <w:p>
      <w:pPr>
        <w:spacing w:before="0"/>
        <w:ind w:left="0" w:right="38" w:firstLine="0"/>
        <w:jc w:val="right"/>
        <w:rPr>
          <w:sz w:val="12"/>
        </w:rPr>
      </w:pPr>
      <w:r>
        <w:rPr/>
        <w:pict>
          <v:line style="position:absolute;mso-position-horizontal-relative:page;mso-position-vertical-relative:paragraph;z-index:15763456" from="203.104004pt,4.002649pt" to="207.436004pt,4.002649pt" stroked="true" strokeweight=".5pt" strokecolor="#000000">
            <v:stroke dashstyle="solid"/>
            <w10:wrap type="none"/>
          </v:line>
        </w:pict>
      </w:r>
      <w:r>
        <w:rPr>
          <w:sz w:val="12"/>
        </w:rPr>
        <w:t>4</w:t>
      </w:r>
    </w:p>
    <w:p>
      <w:pPr>
        <w:spacing w:line="156" w:lineRule="exact" w:before="65"/>
        <w:ind w:left="0" w:right="116" w:firstLine="0"/>
        <w:jc w:val="right"/>
        <w:rPr>
          <w:sz w:val="16"/>
        </w:rPr>
      </w:pPr>
      <w:r>
        <w:rPr>
          <w:sz w:val="16"/>
        </w:rPr>
        <w:t>+</w:t>
      </w:r>
    </w:p>
    <w:p>
      <w:pPr>
        <w:pStyle w:val="BodyText"/>
        <w:spacing w:line="280" w:lineRule="atLeast" w:before="198"/>
        <w:ind w:left="204" w:right="116"/>
      </w:pPr>
      <w:r>
        <w:rPr/>
        <w:br w:type="column"/>
      </w:r>
      <w:r>
        <w:rPr/>
        <w:t>Chart 1.6 shows that MEW has become positive again following a period in which home-owners rebuilt the level of equity in their houses. It is likely that MEW</w:t>
      </w:r>
    </w:p>
    <w:p>
      <w:pPr>
        <w:spacing w:after="0" w:line="280" w:lineRule="atLeast"/>
        <w:sectPr>
          <w:type w:val="continuous"/>
          <w:pgSz w:w="11900" w:h="16840"/>
          <w:pgMar w:top="1260" w:bottom="280" w:left="640" w:right="640"/>
          <w:cols w:num="3" w:equalWidth="0">
            <w:col w:w="2260" w:space="122"/>
            <w:col w:w="1330" w:space="1069"/>
            <w:col w:w="5839"/>
          </w:cols>
        </w:sectPr>
      </w:pPr>
    </w:p>
    <w:p>
      <w:pPr>
        <w:tabs>
          <w:tab w:pos="3508" w:val="left" w:leader="none"/>
        </w:tabs>
        <w:spacing w:line="-9" w:lineRule="auto" w:before="0"/>
        <w:ind w:left="204" w:right="0" w:firstLine="0"/>
        <w:jc w:val="left"/>
        <w:rPr>
          <w:sz w:val="12"/>
        </w:rPr>
      </w:pPr>
      <w:r>
        <w:rPr>
          <w:sz w:val="12"/>
        </w:rPr>
        <w:t>10</w:t>
        <w:tab/>
      </w:r>
      <w:r>
        <w:rPr>
          <w:position w:val="-5"/>
          <w:sz w:val="16"/>
        </w:rPr>
        <w:t>_</w:t>
      </w:r>
      <w:r>
        <w:rPr>
          <w:spacing w:val="-17"/>
          <w:position w:val="-5"/>
          <w:sz w:val="16"/>
        </w:rPr>
        <w:t> </w:t>
      </w:r>
      <w:r>
        <w:rPr>
          <w:sz w:val="12"/>
        </w:rPr>
        <w:t>0</w:t>
      </w:r>
    </w:p>
    <w:p>
      <w:pPr>
        <w:spacing w:line="124" w:lineRule="exact" w:before="112"/>
        <w:ind w:left="1730" w:right="0" w:firstLine="0"/>
        <w:jc w:val="left"/>
        <w:rPr>
          <w:sz w:val="12"/>
        </w:rPr>
      </w:pPr>
      <w:r>
        <w:rPr>
          <w:sz w:val="12"/>
        </w:rPr>
        <w:t>Household spending</w:t>
      </w:r>
    </w:p>
    <w:p>
      <w:pPr>
        <w:tabs>
          <w:tab w:pos="1790" w:val="left" w:leader="none"/>
          <w:tab w:pos="3671" w:val="right" w:leader="none"/>
        </w:tabs>
        <w:spacing w:line="125" w:lineRule="exact" w:before="0"/>
        <w:ind w:left="264" w:right="0" w:firstLine="0"/>
        <w:jc w:val="left"/>
        <w:rPr>
          <w:sz w:val="12"/>
        </w:rPr>
      </w:pPr>
      <w:r>
        <w:rPr>
          <w:position w:val="1"/>
          <w:sz w:val="12"/>
        </w:rPr>
        <w:t>8</w:t>
        <w:tab/>
      </w:r>
      <w:r>
        <w:rPr>
          <w:sz w:val="12"/>
        </w:rPr>
        <w:t>intentions (a)</w:t>
        <w:tab/>
      </w:r>
      <w:r>
        <w:rPr>
          <w:position w:val="1"/>
          <w:sz w:val="12"/>
        </w:rPr>
        <w:t>4</w:t>
      </w:r>
    </w:p>
    <w:p>
      <w:pPr>
        <w:spacing w:line="129" w:lineRule="exact" w:before="0"/>
        <w:ind w:left="1790" w:right="0" w:firstLine="0"/>
        <w:jc w:val="left"/>
        <w:rPr>
          <w:sz w:val="12"/>
        </w:rPr>
      </w:pPr>
      <w:r>
        <w:rPr>
          <w:sz w:val="12"/>
        </w:rPr>
        <w:t>(right-hand scale)</w:t>
      </w:r>
    </w:p>
    <w:p>
      <w:pPr>
        <w:tabs>
          <w:tab w:pos="3611" w:val="left" w:leader="none"/>
        </w:tabs>
        <w:spacing w:before="93"/>
        <w:ind w:left="264" w:right="0" w:firstLine="0"/>
        <w:jc w:val="left"/>
        <w:rPr>
          <w:sz w:val="12"/>
        </w:rPr>
      </w:pPr>
      <w:r>
        <w:rPr>
          <w:sz w:val="12"/>
        </w:rPr>
        <w:t>6</w:t>
        <w:tab/>
        <w:t>8</w:t>
      </w:r>
    </w:p>
    <w:p>
      <w:pPr>
        <w:pStyle w:val="BodyText"/>
        <w:spacing w:before="2"/>
        <w:rPr>
          <w:sz w:val="19"/>
        </w:rPr>
      </w:pPr>
    </w:p>
    <w:p>
      <w:pPr>
        <w:tabs>
          <w:tab w:pos="3551" w:val="left" w:leader="none"/>
        </w:tabs>
        <w:spacing w:before="0"/>
        <w:ind w:left="264" w:right="0" w:firstLine="0"/>
        <w:jc w:val="left"/>
        <w:rPr>
          <w:sz w:val="12"/>
        </w:rPr>
      </w:pPr>
      <w:r>
        <w:rPr>
          <w:sz w:val="12"/>
        </w:rPr>
        <w:t>4</w:t>
        <w:tab/>
        <w:t>12</w:t>
      </w:r>
    </w:p>
    <w:p>
      <w:pPr>
        <w:pStyle w:val="BodyText"/>
        <w:spacing w:before="2"/>
        <w:rPr>
          <w:sz w:val="19"/>
        </w:rPr>
      </w:pPr>
    </w:p>
    <w:p>
      <w:pPr>
        <w:tabs>
          <w:tab w:pos="3551" w:val="left" w:leader="none"/>
        </w:tabs>
        <w:spacing w:before="1"/>
        <w:ind w:left="264" w:right="0" w:firstLine="0"/>
        <w:jc w:val="left"/>
        <w:rPr>
          <w:sz w:val="12"/>
        </w:rPr>
      </w:pPr>
      <w:r>
        <w:rPr>
          <w:sz w:val="12"/>
        </w:rPr>
        <w:t>2</w:t>
        <w:tab/>
        <w:t>16</w:t>
      </w:r>
    </w:p>
    <w:p>
      <w:pPr>
        <w:spacing w:line="177" w:lineRule="exact" w:before="49"/>
        <w:ind w:left="317" w:right="0" w:firstLine="0"/>
        <w:jc w:val="left"/>
        <w:rPr>
          <w:sz w:val="16"/>
        </w:rPr>
      </w:pPr>
      <w:r>
        <w:rPr>
          <w:sz w:val="16"/>
        </w:rPr>
        <w:t>+</w:t>
      </w:r>
    </w:p>
    <w:p>
      <w:pPr>
        <w:tabs>
          <w:tab w:pos="3551" w:val="left" w:leader="none"/>
        </w:tabs>
        <w:spacing w:line="168" w:lineRule="auto" w:before="23"/>
        <w:ind w:left="264" w:right="0" w:firstLine="0"/>
        <w:jc w:val="left"/>
        <w:rPr>
          <w:sz w:val="12"/>
        </w:rPr>
      </w:pPr>
      <w:r>
        <w:rPr>
          <w:sz w:val="12"/>
        </w:rPr>
        <w:t>0</w:t>
      </w:r>
      <w:r>
        <w:rPr>
          <w:position w:val="-4"/>
          <w:sz w:val="16"/>
        </w:rPr>
        <w:t>_</w:t>
        <w:tab/>
      </w:r>
      <w:r>
        <w:rPr>
          <w:sz w:val="12"/>
        </w:rPr>
        <w:t>20</w:t>
      </w:r>
    </w:p>
    <w:p>
      <w:pPr>
        <w:pStyle w:val="BodyText"/>
        <w:spacing w:before="2"/>
        <w:rPr>
          <w:sz w:val="16"/>
        </w:rPr>
      </w:pPr>
    </w:p>
    <w:p>
      <w:pPr>
        <w:tabs>
          <w:tab w:pos="3378" w:val="left" w:leader="none"/>
        </w:tabs>
        <w:spacing w:line="118" w:lineRule="exact" w:before="0"/>
        <w:ind w:left="90" w:right="0" w:firstLine="0"/>
        <w:jc w:val="center"/>
        <w:rPr>
          <w:sz w:val="12"/>
        </w:rPr>
      </w:pPr>
      <w:r>
        <w:rPr/>
        <w:pict>
          <v:shape style="position:absolute;margin-left:50.754002pt;margin-top:.758248pt;width:148.5pt;height:3.4pt;mso-position-horizontal-relative:page;mso-position-vertical-relative:paragraph;z-index:-22889984" coordorigin="1015,15" coordsize="2970,68" path="m1015,82l1102,82m1163,82l3985,82m1161,15l1161,82m1370,15l1370,82m1787,15l1787,82m2205,15l2205,82m2623,15l2623,82m3040,15l3040,82m3458,15l3458,82m3876,15l3876,82m3249,15l3249,82m3667,15l3667,82m1578,15l1578,82m1996,15l1996,82m2414,15l2414,82m2831,15l2831,82e" filled="false" stroked="true" strokeweight=".5pt" strokecolor="#000000">
            <v:path arrowok="t"/>
            <v:stroke dashstyle="solid"/>
            <w10:wrap type="none"/>
          </v:shape>
        </w:pict>
      </w:r>
      <w:r>
        <w:rPr/>
        <w:pict>
          <v:line style="position:absolute;mso-position-horizontal-relative:page;mso-position-vertical-relative:paragraph;z-index:15763968" from="203.104004pt,4.113248pt" to="207.436004pt,4.113248pt" stroked="true" strokeweight=".5pt" strokecolor="#000000">
            <v:stroke dashstyle="solid"/>
            <w10:wrap type="none"/>
          </v:line>
        </w:pict>
      </w:r>
      <w:r>
        <w:rPr>
          <w:sz w:val="12"/>
        </w:rPr>
        <w:t>2</w:t>
        <w:tab/>
        <w:t>24</w:t>
      </w:r>
    </w:p>
    <w:p>
      <w:pPr>
        <w:spacing w:line="118" w:lineRule="exact" w:before="0"/>
        <w:ind w:left="126" w:right="0" w:firstLine="0"/>
        <w:jc w:val="center"/>
        <w:rPr>
          <w:sz w:val="12"/>
        </w:rPr>
      </w:pPr>
      <w:r>
        <w:rPr>
          <w:sz w:val="12"/>
        </w:rPr>
        <w:t>1987 88 89 90 91 92 93 94 95 96 97 98 99 2000</w:t>
      </w:r>
    </w:p>
    <w:p>
      <w:pPr>
        <w:spacing w:before="75"/>
        <w:ind w:left="205" w:right="0" w:firstLine="0"/>
        <w:jc w:val="left"/>
        <w:rPr>
          <w:sz w:val="12"/>
        </w:rPr>
      </w:pPr>
      <w:r>
        <w:rPr>
          <w:sz w:val="12"/>
        </w:rPr>
        <w:t>Sources: ONS, Bank of England and GfK.</w:t>
      </w:r>
    </w:p>
    <w:p>
      <w:pPr>
        <w:pStyle w:val="BodyText"/>
        <w:spacing w:before="1"/>
        <w:rPr>
          <w:sz w:val="10"/>
        </w:rPr>
      </w:pPr>
    </w:p>
    <w:p>
      <w:pPr>
        <w:spacing w:line="208" w:lineRule="auto" w:before="0"/>
        <w:ind w:left="445" w:right="45" w:hanging="240"/>
        <w:jc w:val="left"/>
        <w:rPr>
          <w:sz w:val="12"/>
        </w:rPr>
      </w:pPr>
      <w:r>
        <w:rPr>
          <w:sz w:val="12"/>
        </w:rPr>
        <w:t>(a)  Percentage balance of responses to the question:  ‘Over the next twelve</w:t>
      </w:r>
      <w:r>
        <w:rPr>
          <w:spacing w:val="-5"/>
          <w:sz w:val="12"/>
        </w:rPr>
        <w:t> </w:t>
      </w:r>
      <w:r>
        <w:rPr>
          <w:sz w:val="12"/>
        </w:rPr>
        <w:t>months</w:t>
      </w:r>
      <w:r>
        <w:rPr>
          <w:spacing w:val="-4"/>
          <w:sz w:val="12"/>
        </w:rPr>
        <w:t> </w:t>
      </w:r>
      <w:r>
        <w:rPr>
          <w:sz w:val="12"/>
        </w:rPr>
        <w:t>how</w:t>
      </w:r>
      <w:r>
        <w:rPr>
          <w:spacing w:val="-4"/>
          <w:sz w:val="12"/>
        </w:rPr>
        <w:t> </w:t>
      </w:r>
      <w:r>
        <w:rPr>
          <w:sz w:val="12"/>
        </w:rPr>
        <w:t>do</w:t>
      </w:r>
      <w:r>
        <w:rPr>
          <w:spacing w:val="-5"/>
          <w:sz w:val="12"/>
        </w:rPr>
        <w:t> </w:t>
      </w:r>
      <w:r>
        <w:rPr>
          <w:sz w:val="12"/>
        </w:rPr>
        <w:t>you</w:t>
      </w:r>
      <w:r>
        <w:rPr>
          <w:spacing w:val="-4"/>
          <w:sz w:val="12"/>
        </w:rPr>
        <w:t> </w:t>
      </w:r>
      <w:r>
        <w:rPr>
          <w:sz w:val="12"/>
        </w:rPr>
        <w:t>think</w:t>
      </w:r>
      <w:r>
        <w:rPr>
          <w:spacing w:val="-4"/>
          <w:sz w:val="12"/>
        </w:rPr>
        <w:t> </w:t>
      </w:r>
      <w:r>
        <w:rPr>
          <w:sz w:val="12"/>
        </w:rPr>
        <w:t>the</w:t>
      </w:r>
      <w:r>
        <w:rPr>
          <w:spacing w:val="-4"/>
          <w:sz w:val="12"/>
        </w:rPr>
        <w:t> </w:t>
      </w:r>
      <w:r>
        <w:rPr>
          <w:sz w:val="12"/>
        </w:rPr>
        <w:t>amount</w:t>
      </w:r>
      <w:r>
        <w:rPr>
          <w:spacing w:val="-5"/>
          <w:sz w:val="12"/>
        </w:rPr>
        <w:t> </w:t>
      </w:r>
      <w:r>
        <w:rPr>
          <w:sz w:val="12"/>
        </w:rPr>
        <w:t>of</w:t>
      </w:r>
      <w:r>
        <w:rPr>
          <w:spacing w:val="-4"/>
          <w:sz w:val="12"/>
        </w:rPr>
        <w:t> </w:t>
      </w:r>
      <w:r>
        <w:rPr>
          <w:sz w:val="12"/>
        </w:rPr>
        <w:t>money</w:t>
      </w:r>
      <w:r>
        <w:rPr>
          <w:spacing w:val="-4"/>
          <w:sz w:val="12"/>
        </w:rPr>
        <w:t> </w:t>
      </w:r>
      <w:r>
        <w:rPr>
          <w:sz w:val="12"/>
        </w:rPr>
        <w:t>you</w:t>
      </w:r>
      <w:r>
        <w:rPr>
          <w:spacing w:val="-4"/>
          <w:sz w:val="12"/>
        </w:rPr>
        <w:t> </w:t>
      </w:r>
      <w:r>
        <w:rPr>
          <w:sz w:val="12"/>
        </w:rPr>
        <w:t>will</w:t>
      </w:r>
      <w:r>
        <w:rPr>
          <w:spacing w:val="-5"/>
          <w:sz w:val="12"/>
        </w:rPr>
        <w:t> </w:t>
      </w:r>
      <w:r>
        <w:rPr>
          <w:sz w:val="12"/>
        </w:rPr>
        <w:t>spend on major purchases will compare with what you spent over the last twelve months:</w:t>
      </w:r>
      <w:r>
        <w:rPr>
          <w:spacing w:val="27"/>
          <w:sz w:val="12"/>
        </w:rPr>
        <w:t> </w:t>
      </w:r>
      <w:r>
        <w:rPr>
          <w:sz w:val="12"/>
        </w:rPr>
        <w:t>up/same/down?’</w:t>
      </w:r>
    </w:p>
    <w:p>
      <w:pPr>
        <w:pStyle w:val="BodyText"/>
        <w:rPr>
          <w:sz w:val="14"/>
        </w:rPr>
      </w:pPr>
    </w:p>
    <w:p>
      <w:pPr>
        <w:spacing w:before="0"/>
        <w:ind w:left="185" w:right="0" w:firstLine="0"/>
        <w:jc w:val="left"/>
        <w:rPr>
          <w:b/>
          <w:sz w:val="20"/>
        </w:rPr>
      </w:pPr>
      <w:r>
        <w:rPr>
          <w:b/>
          <w:color w:val="0092C7"/>
          <w:sz w:val="20"/>
        </w:rPr>
        <w:t>Chart 1.6</w:t>
      </w:r>
    </w:p>
    <w:p>
      <w:pPr>
        <w:spacing w:line="249" w:lineRule="auto" w:before="10"/>
        <w:ind w:left="185" w:right="506" w:firstLine="0"/>
        <w:jc w:val="left"/>
        <w:rPr>
          <w:b/>
          <w:sz w:val="20"/>
        </w:rPr>
      </w:pPr>
      <w:r>
        <w:rPr>
          <w:b/>
          <w:color w:val="0092C7"/>
          <w:sz w:val="20"/>
        </w:rPr>
        <w:t>Mortgage equity withdrawal and the housing equity</w:t>
      </w:r>
      <w:r>
        <w:rPr>
          <w:position w:val="4"/>
          <w:sz w:val="12"/>
        </w:rPr>
        <w:t>(a) </w:t>
      </w:r>
      <w:r>
        <w:rPr>
          <w:b/>
          <w:color w:val="0092C7"/>
          <w:sz w:val="20"/>
        </w:rPr>
        <w:t>ratio</w:t>
      </w:r>
    </w:p>
    <w:p>
      <w:pPr>
        <w:pStyle w:val="BodyText"/>
        <w:spacing w:line="242" w:lineRule="auto" w:before="4"/>
        <w:ind w:left="185" w:right="186"/>
      </w:pPr>
      <w:r>
        <w:rPr/>
        <w:br w:type="column"/>
      </w:r>
      <w:r>
        <w:rPr/>
        <w:t>will continue to support consumption. </w:t>
      </w:r>
      <w:r>
        <w:rPr>
          <w:spacing w:val="-3"/>
        </w:rPr>
        <w:t>Moreover, </w:t>
      </w:r>
      <w:r>
        <w:rPr/>
        <w:t>recent innovations in mortgage products </w:t>
      </w:r>
      <w:r>
        <w:rPr>
          <w:spacing w:val="-3"/>
        </w:rPr>
        <w:t>have </w:t>
      </w:r>
      <w:r>
        <w:rPr/>
        <w:t>reduced the </w:t>
      </w:r>
      <w:r>
        <w:rPr>
          <w:spacing w:val="-3"/>
        </w:rPr>
        <w:t>fixed </w:t>
      </w:r>
      <w:r>
        <w:rPr/>
        <w:t>and</w:t>
      </w:r>
      <w:r>
        <w:rPr>
          <w:spacing w:val="-8"/>
        </w:rPr>
        <w:t> </w:t>
      </w:r>
      <w:r>
        <w:rPr/>
        <w:t>marginal</w:t>
      </w:r>
      <w:r>
        <w:rPr>
          <w:spacing w:val="-8"/>
        </w:rPr>
        <w:t> </w:t>
      </w:r>
      <w:r>
        <w:rPr/>
        <w:t>costs</w:t>
      </w:r>
      <w:r>
        <w:rPr>
          <w:spacing w:val="-8"/>
        </w:rPr>
        <w:t> </w:t>
      </w:r>
      <w:r>
        <w:rPr/>
        <w:t>to</w:t>
      </w:r>
      <w:r>
        <w:rPr>
          <w:spacing w:val="-8"/>
        </w:rPr>
        <w:t> </w:t>
      </w:r>
      <w:r>
        <w:rPr/>
        <w:t>home-owners</w:t>
      </w:r>
      <w:r>
        <w:rPr>
          <w:spacing w:val="-8"/>
        </w:rPr>
        <w:t> </w:t>
      </w:r>
      <w:r>
        <w:rPr/>
        <w:t>of</w:t>
      </w:r>
      <w:r>
        <w:rPr>
          <w:spacing w:val="-8"/>
        </w:rPr>
        <w:t> </w:t>
      </w:r>
      <w:r>
        <w:rPr/>
        <w:t>borrowing</w:t>
      </w:r>
      <w:r>
        <w:rPr>
          <w:spacing w:val="-8"/>
        </w:rPr>
        <w:t> </w:t>
      </w:r>
      <w:r>
        <w:rPr/>
        <w:t>against their housing equity to fund consumption. That may lead to some increase in aggregate borrowing for consumption, as secured borrowing tends to carry a lower interest rate than unsecured borrowing. Annual growth in net lending secured against dwellings remained strong in 2000 Q3, at 8.5%, but has fallen slightly from 8.8% in the previous</w:t>
      </w:r>
      <w:r>
        <w:rPr>
          <w:spacing w:val="-11"/>
        </w:rPr>
        <w:t> </w:t>
      </w:r>
      <w:r>
        <w:rPr>
          <w:spacing w:val="-3"/>
        </w:rPr>
        <w:t>quarter.</w:t>
      </w:r>
    </w:p>
    <w:p>
      <w:pPr>
        <w:pStyle w:val="BodyText"/>
        <w:spacing w:before="2"/>
        <w:rPr>
          <w:sz w:val="27"/>
        </w:rPr>
      </w:pPr>
    </w:p>
    <w:p>
      <w:pPr>
        <w:spacing w:before="1"/>
        <w:ind w:left="185" w:right="0" w:firstLine="0"/>
        <w:jc w:val="left"/>
        <w:rPr>
          <w:i/>
          <w:sz w:val="24"/>
        </w:rPr>
      </w:pPr>
      <w:r>
        <w:rPr>
          <w:i/>
          <w:color w:val="009391"/>
          <w:sz w:val="24"/>
        </w:rPr>
        <w:t>Private non-financial corporations</w:t>
      </w:r>
    </w:p>
    <w:p>
      <w:pPr>
        <w:pStyle w:val="BodyText"/>
        <w:spacing w:line="242" w:lineRule="auto" w:before="144"/>
        <w:ind w:left="185" w:right="168"/>
      </w:pPr>
      <w:r>
        <w:rPr/>
        <w:t>Annual growth in private non-financial corporations’ (PNFCs) M4 deposits rose sharply to 13.4% in 2000 Q3,</w:t>
      </w:r>
    </w:p>
    <w:p>
      <w:pPr>
        <w:spacing w:after="0" w:line="242" w:lineRule="auto"/>
        <w:sectPr>
          <w:type w:val="continuous"/>
          <w:pgSz w:w="11900" w:h="16840"/>
          <w:pgMar w:top="1260" w:bottom="280" w:left="640" w:right="640"/>
          <w:cols w:num="2" w:equalWidth="0">
            <w:col w:w="3845" w:space="955"/>
            <w:col w:w="5820"/>
          </w:cols>
        </w:sectPr>
      </w:pPr>
    </w:p>
    <w:p>
      <w:pPr>
        <w:spacing w:before="34"/>
        <w:ind w:left="175" w:right="0" w:firstLine="0"/>
        <w:jc w:val="left"/>
        <w:rPr>
          <w:sz w:val="12"/>
        </w:rPr>
      </w:pPr>
      <w:r>
        <w:rPr>
          <w:sz w:val="12"/>
        </w:rPr>
        <w:t>0.9</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1"/>
        </w:rPr>
      </w:pPr>
    </w:p>
    <w:p>
      <w:pPr>
        <w:spacing w:line="100" w:lineRule="exact" w:before="0"/>
        <w:ind w:left="175" w:right="0" w:firstLine="0"/>
        <w:jc w:val="left"/>
        <w:rPr>
          <w:sz w:val="12"/>
        </w:rPr>
      </w:pPr>
      <w:r>
        <w:rPr>
          <w:sz w:val="12"/>
        </w:rPr>
        <w:t>0.3</w:t>
      </w:r>
    </w:p>
    <w:p>
      <w:pPr>
        <w:spacing w:line="77" w:lineRule="exact" w:before="0"/>
        <w:ind w:left="-17" w:right="0" w:firstLine="0"/>
        <w:jc w:val="left"/>
        <w:rPr>
          <w:sz w:val="12"/>
        </w:rPr>
      </w:pPr>
      <w:r>
        <w:rPr/>
        <w:br w:type="column"/>
      </w:r>
      <w:r>
        <w:rPr>
          <w:sz w:val="12"/>
        </w:rPr>
        <w:t>Percentage</w:t>
      </w:r>
    </w:p>
    <w:p>
      <w:pPr>
        <w:pStyle w:val="BodyText"/>
        <w:spacing w:before="11"/>
        <w:rPr>
          <w:sz w:val="2"/>
        </w:rPr>
      </w:pPr>
    </w:p>
    <w:p>
      <w:pPr>
        <w:pStyle w:val="BodyText"/>
        <w:spacing w:line="20" w:lineRule="exact"/>
        <w:ind w:left="-2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line="56" w:lineRule="exact" w:before="0"/>
        <w:ind w:left="175" w:right="0" w:firstLine="0"/>
        <w:jc w:val="left"/>
        <w:rPr>
          <w:sz w:val="12"/>
        </w:rPr>
      </w:pPr>
      <w:r>
        <w:rPr/>
        <w:br w:type="column"/>
      </w:r>
      <w:r>
        <w:rPr>
          <w:sz w:val="12"/>
        </w:rPr>
        <w:t>Percentage</w:t>
      </w:r>
    </w:p>
    <w:p>
      <w:pPr>
        <w:spacing w:line="117" w:lineRule="exact" w:before="0"/>
        <w:ind w:left="723" w:right="0" w:firstLine="0"/>
        <w:jc w:val="left"/>
        <w:rPr>
          <w:sz w:val="12"/>
        </w:rPr>
      </w:pPr>
      <w:r>
        <w:rPr/>
        <w:pict>
          <v:group style="position:absolute;margin-left:40.775799pt;margin-top:8.648010pt;width:173.5pt;height:129.5500pt;mso-position-horizontal-relative:page;mso-position-vertical-relative:paragraph;z-index:-22883840" coordorigin="816,173" coordsize="3470,2591">
            <v:shape style="position:absolute;left:1140;top:1335;width:90;height:63" coordorigin="1141,1335" coordsize="90,63" path="m1141,1335l1186,1380m1186,1380l1231,1398e" filled="false" stroked="true" strokeweight="1pt" strokecolor="#c0a2c7">
              <v:path arrowok="t"/>
              <v:stroke dashstyle="solid"/>
            </v:shape>
            <v:line style="position:absolute" from="1221,1399" to="1286,1399" stroked="true" strokeweight="1.125pt" strokecolor="#c0a2c7">
              <v:stroke dashstyle="solid"/>
            </v:line>
            <v:shape style="position:absolute;left:1275;top:1397;width:233;height:75" coordorigin="1276,1398" coordsize="233,75" path="m1276,1398l1331,1413m1331,1413l1421,1473m1421,1473l1466,1458m1466,1458l1508,1428e" filled="false" stroked="true" strokeweight="1pt" strokecolor="#c0a2c7">
              <v:path arrowok="t"/>
              <v:stroke dashstyle="solid"/>
            </v:shape>
            <v:line style="position:absolute" from="1498,1429" to="1563,1429" stroked="true" strokeweight="1.125pt" strokecolor="#c0a2c7">
              <v:stroke dashstyle="solid"/>
            </v:line>
            <v:shape style="position:absolute;left:1553;top:1042;width:280;height:385" coordorigin="1553,1043" coordsize="280,385" path="m1553,1428l1598,1398m1598,1398l1643,1335m1643,1335l1698,1305m1698,1305l1743,1198m1743,1198l1788,1105m1788,1105l1833,1043e" filled="false" stroked="true" strokeweight="1pt" strokecolor="#c0a2c7">
              <v:path arrowok="t"/>
              <v:stroke dashstyle="solid"/>
            </v:shape>
            <v:line style="position:absolute" from="1823,1044" to="1888,1044" stroked="true" strokeweight="1.125pt" strokecolor="#c0a2c7">
              <v:stroke dashstyle="solid"/>
            </v:line>
            <v:shape style="position:absolute;left:1878;top:1042;width:2075;height:1690" coordorigin="1878,1043" coordsize="2075,1690" path="m1878,1043l1923,1058m1923,1058l1966,1105m1966,1105l2011,1213m2011,1213l2068,1335m2068,1335l2111,1413m2111,1413l2156,1473m2156,1473l2201,1565m2201,1565l2246,1643m2246,1643l2291,1705m2291,1705l2336,1750m2336,1750l2391,1828m2391,1828l2436,1965m2436,1965l2481,2088m2481,2088l2526,2195m2526,2195l2571,2228m2571,2228l2613,2258m2613,2258l2658,2273m2658,2273l2703,2318m2703,2318l2758,2350m2758,2350l2803,2380m2803,2380l2848,2425m2848,2425l2893,2488m2893,2488l2938,2565m2938,2565l2983,2610m2983,2610l3028,2658m3028,2658l3083,2718m3083,2718l3128,2733m3128,2733l3173,2718m3173,2718l3216,2688m3216,2688l3261,2610m3261,2610l3306,2565m3306,2565l3351,2550m3351,2550l3396,2488m3396,2488l3451,2458m3451,2458l3496,2443m3496,2443l3541,2318m3541,2318l3586,2180m3586,2180l3631,2135m3631,2135l3676,2150m3676,2150l3718,2103m3718,2103l3763,2028m3763,2028l3821,1965m3821,1965l3863,1920m3863,1920l3908,1843m3908,1843l3953,1795e" filled="false" stroked="true" strokeweight="1pt" strokecolor="#c0a2c7">
              <v:path arrowok="t"/>
              <v:stroke dashstyle="solid"/>
            </v:shape>
            <v:shape style="position:absolute;left:1140;top:182;width:325;height:923" coordorigin="1141,183" coordsize="325,923" path="m1141,783l1186,1105m1186,1105l1231,813m1231,813l1276,735m1276,735l1331,675m1331,675l1376,260m1376,260l1421,183m1421,183l1466,320e" filled="false" stroked="true" strokeweight="1pt" strokecolor="#0092c6">
              <v:path arrowok="t"/>
              <v:stroke dashstyle="solid"/>
            </v:shape>
            <v:line style="position:absolute" from="1487,310" to="1487,808" stroked="true" strokeweight="3.125pt" strokecolor="#0092c6">
              <v:stroke dashstyle="solid"/>
            </v:line>
            <v:shape style="position:absolute;left:1498;top:387;width:300;height:528" type="#_x0000_t75" stroked="false">
              <v:imagedata r:id="rId33" o:title=""/>
            </v:shape>
            <v:shape style="position:absolute;left:1788;top:397;width:738;height:1460" coordorigin="1788,398" coordsize="738,1460" path="m1788,398l1833,1320m1833,1320l1878,1580m1878,1580l1923,1458m1923,1458l1966,1273m1966,1273l2011,1073m2011,1073l2068,1028m2068,1028l2111,1120m2111,1120l2156,1365m2156,1365l2201,1243m2201,1243l2246,1305m2246,1305l2291,1428m2291,1428l2336,1520m2336,1520l2391,1688m2391,1688l2436,1643m2436,1643l2481,1843m2481,1843l2526,1858e" filled="false" stroked="true" strokeweight="1pt" strokecolor="#0092c6">
              <v:path arrowok="t"/>
              <v:stroke dashstyle="solid"/>
            </v:shape>
            <v:line style="position:absolute" from="2548,1848" to="2548,2498" stroked="true" strokeweight="3.25pt" strokecolor="#0092c6">
              <v:stroke dashstyle="solid"/>
            </v:line>
            <v:shape style="position:absolute;left:2570;top:1902;width:458;height:785" coordorigin="2571,1903" coordsize="458,785" path="m2571,2488l2613,2150m2613,2150l2658,2288m2658,2288l2703,2228m2703,2228l2758,1903m2758,1903l2803,2258m2803,2258l2848,2010m2848,2010l2893,2165m2893,2165l2938,2318m2938,2318l2983,2443m2983,2443l3028,2688e" filled="false" stroked="true" strokeweight="1pt" strokecolor="#0092c6">
              <v:path arrowok="t"/>
              <v:stroke dashstyle="solid"/>
            </v:shape>
            <v:line style="position:absolute" from="3018,2689" to="3093,2689" stroked="true" strokeweight="1.125pt" strokecolor="#0092c6">
              <v:stroke dashstyle="solid"/>
            </v:line>
            <v:shape style="position:absolute;left:3083;top:2150;width:313;height:538" coordorigin="3083,2150" coordsize="313,538" path="m3083,2688l3128,2658m3128,2658l3173,2533m3173,2533l3216,2488m3216,2488l3261,2688m3261,2688l3306,2410m3306,2410l3351,2150m3351,2150l3396,2258e" filled="false" stroked="true" strokeweight="1pt" strokecolor="#0092c6">
              <v:path arrowok="t"/>
              <v:stroke dashstyle="solid"/>
            </v:shape>
            <v:line style="position:absolute" from="3386,2259" to="3461,2259" stroked="true" strokeweight="1.125pt" strokecolor="#0092c6">
              <v:stroke dashstyle="solid"/>
            </v:line>
            <v:line style="position:absolute" from="3451,2258" to="3496,2335" stroked="true" strokeweight="1pt" strokecolor="#0092c6">
              <v:stroke dashstyle="solid"/>
            </v:line>
            <v:line style="position:absolute" from="3486,2337" to="3551,2337" stroked="true" strokeweight="1.125pt" strokecolor="#0092c6">
              <v:stroke dashstyle="solid"/>
            </v:line>
            <v:shape style="position:absolute;left:3540;top:2165;width:178;height:170" coordorigin="3541,2165" coordsize="178,170" path="m3541,2335l3586,2318m3586,2318l3631,2165m3631,2165l3676,2195m3676,2195l3718,2243e" filled="false" stroked="true" strokeweight="1pt" strokecolor="#0092c6">
              <v:path arrowok="t"/>
              <v:stroke dashstyle="solid"/>
            </v:shape>
            <v:line style="position:absolute" from="3741,1803" to="3741,2253" stroked="true" strokeweight="3.25pt" strokecolor="#0092c6">
              <v:stroke dashstyle="solid"/>
            </v:line>
            <v:shape style="position:absolute;left:3763;top:1580;width:190;height:293" coordorigin="3763,1580" coordsize="190,293" path="m3763,1813l3821,1580m3821,1580l3863,1658m3863,1658l3908,1873m3908,1873l3953,1673e" filled="false" stroked="true" strokeweight="1pt" strokecolor="#0092c6">
              <v:path arrowok="t"/>
              <v:stroke dashstyle="solid"/>
            </v:shape>
            <v:shape style="position:absolute;left:988;top:301;width:2952;height:2409" coordorigin="989,301" coordsize="2952,2409" path="m989,2228l1075,2228m989,542l1075,542m989,1024l1075,1024m989,1505l1075,1505m989,1987l1075,1987m989,2710l1075,2710m989,2469l1075,2469m989,783l1075,783m989,1265l1075,1265m989,1746l1075,1746m989,301l1075,301m1135,2228l3940,2228e" filled="false" stroked="true" strokeweight=".5pt" strokecolor="#000000">
              <v:path arrowok="t"/>
              <v:stroke dashstyle="solid"/>
            </v:shape>
            <v:shape style="position:absolute;left:815;top:224;width:170;height:133" type="#_x0000_t202" filled="false" stroked="false">
              <v:textbox inset="0,0,0,0">
                <w:txbxContent>
                  <w:p>
                    <w:pPr>
                      <w:spacing w:line="133" w:lineRule="exact" w:before="0"/>
                      <w:ind w:left="0" w:right="0" w:firstLine="0"/>
                      <w:jc w:val="left"/>
                      <w:rPr>
                        <w:sz w:val="12"/>
                      </w:rPr>
                    </w:pPr>
                    <w:r>
                      <w:rPr>
                        <w:sz w:val="12"/>
                      </w:rPr>
                      <w:t>0.8</w:t>
                    </w:r>
                  </w:p>
                </w:txbxContent>
              </v:textbox>
              <w10:wrap type="none"/>
            </v:shape>
            <v:shape style="position:absolute;left:4144;top:224;width:140;height:133" type="#_x0000_t202" filled="false" stroked="false">
              <v:textbox inset="0,0,0,0">
                <w:txbxContent>
                  <w:p>
                    <w:pPr>
                      <w:spacing w:line="133" w:lineRule="exact" w:before="0"/>
                      <w:ind w:left="0" w:right="0" w:firstLine="0"/>
                      <w:jc w:val="left"/>
                      <w:rPr>
                        <w:sz w:val="12"/>
                      </w:rPr>
                    </w:pPr>
                    <w:r>
                      <w:rPr>
                        <w:sz w:val="12"/>
                      </w:rPr>
                      <w:t>88</w:t>
                    </w:r>
                  </w:p>
                </w:txbxContent>
              </v:textbox>
              <w10:wrap type="none"/>
            </v:shape>
            <v:shape style="position:absolute;left:815;top:464;width:170;height:1337" type="#_x0000_t202" filled="false" stroked="false">
              <v:textbox inset="0,0,0,0">
                <w:txbxContent>
                  <w:p>
                    <w:pPr>
                      <w:spacing w:line="133" w:lineRule="exact" w:before="0"/>
                      <w:ind w:left="0" w:right="0" w:firstLine="0"/>
                      <w:jc w:val="left"/>
                      <w:rPr>
                        <w:sz w:val="12"/>
                      </w:rPr>
                    </w:pPr>
                    <w:r>
                      <w:rPr>
                        <w:sz w:val="12"/>
                      </w:rPr>
                      <w:t>0.7</w:t>
                    </w:r>
                  </w:p>
                  <w:p>
                    <w:pPr>
                      <w:spacing w:before="102"/>
                      <w:ind w:left="0" w:right="0" w:firstLine="0"/>
                      <w:jc w:val="left"/>
                      <w:rPr>
                        <w:sz w:val="12"/>
                      </w:rPr>
                    </w:pPr>
                    <w:r>
                      <w:rPr>
                        <w:sz w:val="12"/>
                      </w:rPr>
                      <w:t>0.6</w:t>
                    </w:r>
                  </w:p>
                  <w:p>
                    <w:pPr>
                      <w:spacing w:before="103"/>
                      <w:ind w:left="0" w:right="0" w:firstLine="0"/>
                      <w:jc w:val="left"/>
                      <w:rPr>
                        <w:sz w:val="12"/>
                      </w:rPr>
                    </w:pPr>
                    <w:r>
                      <w:rPr>
                        <w:sz w:val="12"/>
                      </w:rPr>
                      <w:t>0.5</w:t>
                    </w:r>
                  </w:p>
                  <w:p>
                    <w:pPr>
                      <w:spacing w:before="103"/>
                      <w:ind w:left="0" w:right="0" w:firstLine="0"/>
                      <w:jc w:val="left"/>
                      <w:rPr>
                        <w:sz w:val="12"/>
                      </w:rPr>
                    </w:pPr>
                    <w:r>
                      <w:rPr>
                        <w:sz w:val="12"/>
                      </w:rPr>
                      <w:t>0.4</w:t>
                    </w:r>
                  </w:p>
                  <w:p>
                    <w:pPr>
                      <w:spacing w:before="102"/>
                      <w:ind w:left="0" w:right="0" w:firstLine="0"/>
                      <w:jc w:val="left"/>
                      <w:rPr>
                        <w:sz w:val="12"/>
                      </w:rPr>
                    </w:pPr>
                    <w:r>
                      <w:rPr>
                        <w:sz w:val="12"/>
                      </w:rPr>
                      <w:t>0.3</w:t>
                    </w:r>
                  </w:p>
                  <w:p>
                    <w:pPr>
                      <w:spacing w:before="103"/>
                      <w:ind w:left="0" w:right="0" w:firstLine="0"/>
                      <w:jc w:val="left"/>
                      <w:rPr>
                        <w:sz w:val="12"/>
                      </w:rPr>
                    </w:pPr>
                    <w:r>
                      <w:rPr>
                        <w:sz w:val="12"/>
                      </w:rPr>
                      <w:t>0.2</w:t>
                    </w:r>
                  </w:p>
                </w:txbxContent>
              </v:textbox>
              <w10:wrap type="none"/>
            </v:shape>
            <v:shape style="position:absolute;left:1854;top:498;width:1523;height:374" type="#_x0000_t202" filled="false" stroked="false">
              <v:textbox inset="0,0,0,0">
                <w:txbxContent>
                  <w:p>
                    <w:pPr>
                      <w:spacing w:line="208" w:lineRule="auto" w:before="9"/>
                      <w:ind w:left="60" w:right="0" w:hanging="60"/>
                      <w:jc w:val="left"/>
                      <w:rPr>
                        <w:sz w:val="12"/>
                      </w:rPr>
                    </w:pPr>
                    <w:r>
                      <w:rPr>
                        <w:sz w:val="12"/>
                      </w:rPr>
                      <w:t>MEW per quarter/market </w:t>
                    </w:r>
                    <w:r>
                      <w:rPr>
                        <w:spacing w:val="-4"/>
                        <w:sz w:val="12"/>
                      </w:rPr>
                      <w:t>value </w:t>
                    </w:r>
                    <w:r>
                      <w:rPr>
                        <w:sz w:val="12"/>
                      </w:rPr>
                      <w:t>of housing stock</w:t>
                    </w:r>
                  </w:p>
                  <w:p>
                    <w:pPr>
                      <w:spacing w:line="123" w:lineRule="exact" w:before="0"/>
                      <w:ind w:left="60" w:right="0" w:firstLine="0"/>
                      <w:jc w:val="left"/>
                      <w:rPr>
                        <w:sz w:val="12"/>
                      </w:rPr>
                    </w:pPr>
                    <w:r>
                      <w:rPr>
                        <w:sz w:val="12"/>
                      </w:rPr>
                      <w:t>(left-hand scale)</w:t>
                    </w:r>
                  </w:p>
                </w:txbxContent>
              </v:textbox>
              <w10:wrap type="none"/>
            </v:shape>
            <v:shape style="position:absolute;left:815;top:1908;width:170;height:133" type="#_x0000_t202" filled="false" stroked="false">
              <v:textbox inset="0,0,0,0">
                <w:txbxContent>
                  <w:p>
                    <w:pPr>
                      <w:spacing w:line="133" w:lineRule="exact" w:before="0"/>
                      <w:ind w:left="0" w:right="0" w:firstLine="0"/>
                      <w:jc w:val="left"/>
                      <w:rPr>
                        <w:sz w:val="12"/>
                      </w:rPr>
                    </w:pPr>
                    <w:r>
                      <w:rPr>
                        <w:sz w:val="12"/>
                      </w:rPr>
                      <w:t>0.1</w:t>
                    </w:r>
                  </w:p>
                </w:txbxContent>
              </v:textbox>
              <w10:wrap type="none"/>
            </v:shape>
            <v:shape style="position:absolute;left:933;top:2000;width:11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v:shape style="position:absolute;left:1227;top:1739;width:1164;height:374" type="#_x0000_t202" filled="false" stroked="false">
              <v:textbox inset="0,0,0,0">
                <w:txbxContent>
                  <w:p>
                    <w:pPr>
                      <w:spacing w:line="208" w:lineRule="auto" w:before="9"/>
                      <w:ind w:left="60" w:right="18" w:hanging="60"/>
                      <w:jc w:val="left"/>
                      <w:rPr>
                        <w:sz w:val="12"/>
                      </w:rPr>
                    </w:pPr>
                    <w:r>
                      <w:rPr>
                        <w:sz w:val="12"/>
                      </w:rPr>
                      <w:t>Housing equity/market value of housing stock (right-hand scale)</w:t>
                    </w:r>
                  </w:p>
                </w:txbxContent>
              </v:textbox>
              <w10:wrap type="none"/>
            </v:shape>
            <v:shape style="position:absolute;left:815;top:2149;width:224;height:615" type="#_x0000_t202" filled="false" stroked="false">
              <v:textbox inset="0,0,0,0">
                <w:txbxContent>
                  <w:p>
                    <w:pPr>
                      <w:spacing w:line="170" w:lineRule="auto" w:before="20"/>
                      <w:ind w:left="0" w:right="0" w:firstLine="0"/>
                      <w:jc w:val="left"/>
                      <w:rPr>
                        <w:sz w:val="16"/>
                      </w:rPr>
                    </w:pPr>
                    <w:r>
                      <w:rPr>
                        <w:spacing w:val="-7"/>
                        <w:sz w:val="12"/>
                      </w:rPr>
                      <w:t>0.0</w:t>
                    </w:r>
                    <w:r>
                      <w:rPr>
                        <w:spacing w:val="-7"/>
                        <w:position w:val="-5"/>
                        <w:sz w:val="16"/>
                      </w:rPr>
                      <w:t>_</w:t>
                    </w:r>
                  </w:p>
                  <w:p>
                    <w:pPr>
                      <w:spacing w:before="60"/>
                      <w:ind w:left="0" w:right="0" w:firstLine="0"/>
                      <w:jc w:val="left"/>
                      <w:rPr>
                        <w:sz w:val="12"/>
                      </w:rPr>
                    </w:pPr>
                    <w:r>
                      <w:rPr>
                        <w:sz w:val="12"/>
                      </w:rPr>
                      <w:t>0.1</w:t>
                    </w:r>
                  </w:p>
                  <w:p>
                    <w:pPr>
                      <w:spacing w:before="103"/>
                      <w:ind w:left="0" w:right="0" w:firstLine="0"/>
                      <w:jc w:val="left"/>
                      <w:rPr>
                        <w:sz w:val="12"/>
                      </w:rPr>
                    </w:pPr>
                    <w:r>
                      <w:rPr>
                        <w:sz w:val="12"/>
                      </w:rPr>
                      <w:t>0.2</w:t>
                    </w:r>
                  </w:p>
                </w:txbxContent>
              </v:textbox>
              <w10:wrap type="none"/>
            </v:shape>
            <v:shape style="position:absolute;left:4144;top:464;width:140;height:2299" type="#_x0000_t202" filled="false" stroked="false">
              <v:textbox inset="0,0,0,0">
                <w:txbxContent>
                  <w:p>
                    <w:pPr>
                      <w:spacing w:line="133" w:lineRule="exact" w:before="0"/>
                      <w:ind w:left="0" w:right="0" w:firstLine="0"/>
                      <w:jc w:val="left"/>
                      <w:rPr>
                        <w:sz w:val="12"/>
                      </w:rPr>
                    </w:pPr>
                    <w:r>
                      <w:rPr>
                        <w:sz w:val="12"/>
                      </w:rPr>
                      <w:t>86</w:t>
                    </w:r>
                  </w:p>
                  <w:p>
                    <w:pPr>
                      <w:spacing w:before="102"/>
                      <w:ind w:left="0" w:right="0" w:firstLine="0"/>
                      <w:jc w:val="left"/>
                      <w:rPr>
                        <w:sz w:val="12"/>
                      </w:rPr>
                    </w:pPr>
                    <w:r>
                      <w:rPr>
                        <w:sz w:val="12"/>
                      </w:rPr>
                      <w:t>84</w:t>
                    </w:r>
                  </w:p>
                  <w:p>
                    <w:pPr>
                      <w:spacing w:before="103"/>
                      <w:ind w:left="0" w:right="0" w:firstLine="0"/>
                      <w:jc w:val="left"/>
                      <w:rPr>
                        <w:sz w:val="12"/>
                      </w:rPr>
                    </w:pPr>
                    <w:r>
                      <w:rPr>
                        <w:sz w:val="12"/>
                      </w:rPr>
                      <w:t>82</w:t>
                    </w:r>
                  </w:p>
                  <w:p>
                    <w:pPr>
                      <w:spacing w:before="103"/>
                      <w:ind w:left="0" w:right="0" w:firstLine="0"/>
                      <w:jc w:val="left"/>
                      <w:rPr>
                        <w:sz w:val="12"/>
                      </w:rPr>
                    </w:pPr>
                    <w:r>
                      <w:rPr>
                        <w:sz w:val="12"/>
                      </w:rPr>
                      <w:t>80</w:t>
                    </w:r>
                  </w:p>
                  <w:p>
                    <w:pPr>
                      <w:spacing w:before="102"/>
                      <w:ind w:left="0" w:right="0" w:firstLine="0"/>
                      <w:jc w:val="left"/>
                      <w:rPr>
                        <w:sz w:val="12"/>
                      </w:rPr>
                    </w:pPr>
                    <w:r>
                      <w:rPr>
                        <w:sz w:val="12"/>
                      </w:rPr>
                      <w:t>78</w:t>
                    </w:r>
                  </w:p>
                  <w:p>
                    <w:pPr>
                      <w:spacing w:before="103"/>
                      <w:ind w:left="0" w:right="0" w:firstLine="0"/>
                      <w:jc w:val="left"/>
                      <w:rPr>
                        <w:sz w:val="12"/>
                      </w:rPr>
                    </w:pPr>
                    <w:r>
                      <w:rPr>
                        <w:sz w:val="12"/>
                      </w:rPr>
                      <w:t>76</w:t>
                    </w:r>
                  </w:p>
                  <w:p>
                    <w:pPr>
                      <w:spacing w:before="103"/>
                      <w:ind w:left="0" w:right="0" w:firstLine="0"/>
                      <w:jc w:val="left"/>
                      <w:rPr>
                        <w:sz w:val="12"/>
                      </w:rPr>
                    </w:pPr>
                    <w:r>
                      <w:rPr>
                        <w:sz w:val="12"/>
                      </w:rPr>
                      <w:t>74</w:t>
                    </w:r>
                  </w:p>
                  <w:p>
                    <w:pPr>
                      <w:spacing w:before="102"/>
                      <w:ind w:left="0" w:right="0" w:firstLine="0"/>
                      <w:jc w:val="left"/>
                      <w:rPr>
                        <w:sz w:val="12"/>
                      </w:rPr>
                    </w:pPr>
                    <w:r>
                      <w:rPr>
                        <w:sz w:val="12"/>
                      </w:rPr>
                      <w:t>72</w:t>
                    </w:r>
                  </w:p>
                  <w:p>
                    <w:pPr>
                      <w:spacing w:before="103"/>
                      <w:ind w:left="0" w:right="0" w:firstLine="0"/>
                      <w:jc w:val="left"/>
                      <w:rPr>
                        <w:sz w:val="12"/>
                      </w:rPr>
                    </w:pPr>
                    <w:r>
                      <w:rPr>
                        <w:sz w:val="12"/>
                      </w:rPr>
                      <w:t>70</w:t>
                    </w:r>
                  </w:p>
                  <w:p>
                    <w:pPr>
                      <w:spacing w:before="102"/>
                      <w:ind w:left="0" w:right="0" w:firstLine="0"/>
                      <w:jc w:val="left"/>
                      <w:rPr>
                        <w:sz w:val="12"/>
                      </w:rPr>
                    </w:pPr>
                    <w:r>
                      <w:rPr>
                        <w:sz w:val="12"/>
                      </w:rPr>
                      <w:t>68</w:t>
                    </w:r>
                  </w:p>
                </w:txbxContent>
              </v:textbox>
              <w10:wrap type="none"/>
            </v:shape>
            <w10:wrap type="none"/>
          </v:group>
        </w:pict>
      </w:r>
      <w:r>
        <w:rPr/>
        <w:pict>
          <v:line style="position:absolute;mso-position-horizontal-relative:page;mso-position-vertical-relative:paragraph;z-index:15770624" from="201.845993pt,2.99001pt" to="206.177993pt,2.99001pt" stroked="true" strokeweight=".5pt" strokecolor="#000000">
            <v:stroke dashstyle="solid"/>
            <w10:wrap type="none"/>
          </v:line>
        </w:pict>
      </w:r>
      <w:r>
        <w:rPr>
          <w:sz w:val="12"/>
        </w:rPr>
        <w:t>90</w:t>
      </w:r>
    </w:p>
    <w:p>
      <w:pPr>
        <w:pStyle w:val="BodyText"/>
        <w:spacing w:before="2"/>
        <w:rPr>
          <w:sz w:val="12"/>
        </w:rPr>
      </w:pPr>
      <w:r>
        <w:rPr/>
        <w:pict>
          <v:shape style="position:absolute;margin-left:201.845993pt;margin-top:9.200536pt;width:4.350pt;height:.1pt;mso-position-horizontal-relative:page;mso-position-vertical-relative:paragraph;z-index:-15701504;mso-wrap-distance-left:0;mso-wrap-distance-right:0" coordorigin="4037,184" coordsize="87,0" path="m4037,184l4124,184e" filled="false" stroked="true" strokeweight=".5pt" strokecolor="#000000">
            <v:path arrowok="t"/>
            <v:stroke dashstyle="solid"/>
            <w10:wrap type="topAndBottom"/>
          </v:shape>
        </w:pict>
      </w:r>
      <w:r>
        <w:rPr/>
        <w:pict>
          <v:shape style="position:absolute;margin-left:201.845993pt;margin-top:21.242535pt;width:4.350pt;height:.1pt;mso-position-horizontal-relative:page;mso-position-vertical-relative:paragraph;z-index:-15700992;mso-wrap-distance-left:0;mso-wrap-distance-right:0" coordorigin="4037,425" coordsize="87,0" path="m4037,425l4124,425e" filled="false" stroked="true" strokeweight=".5pt" strokecolor="#000000">
            <v:path arrowok="t"/>
            <v:stroke dashstyle="solid"/>
            <w10:wrap type="topAndBottom"/>
          </v:shape>
        </w:pict>
      </w:r>
      <w:r>
        <w:rPr/>
        <w:pict>
          <v:shape style="position:absolute;margin-left:201.845993pt;margin-top:33.284534pt;width:4.350pt;height:.1pt;mso-position-horizontal-relative:page;mso-position-vertical-relative:paragraph;z-index:-15700480;mso-wrap-distance-left:0;mso-wrap-distance-right:0" coordorigin="4037,666" coordsize="87,0" path="m4037,666l4124,666e" filled="false" stroked="true" strokeweight=".5pt" strokecolor="#000000">
            <v:path arrowok="t"/>
            <v:stroke dashstyle="solid"/>
            <w10:wrap type="topAndBottom"/>
          </v:shape>
        </w:pict>
      </w:r>
      <w:r>
        <w:rPr/>
        <w:pict>
          <v:shape style="position:absolute;margin-left:201.845993pt;margin-top:45.325535pt;width:4.350pt;height:.1pt;mso-position-horizontal-relative:page;mso-position-vertical-relative:paragraph;z-index:-15699968;mso-wrap-distance-left:0;mso-wrap-distance-right:0" coordorigin="4037,907" coordsize="87,0" path="m4037,907l4124,907e" filled="false" stroked="true" strokeweight=".5pt" strokecolor="#000000">
            <v:path arrowok="t"/>
            <v:stroke dashstyle="solid"/>
            <w10:wrap type="topAndBottom"/>
          </v:shape>
        </w:pict>
      </w:r>
      <w:r>
        <w:rPr/>
        <w:pict>
          <v:shape style="position:absolute;margin-left:201.845993pt;margin-top:57.367535pt;width:4.350pt;height:.1pt;mso-position-horizontal-relative:page;mso-position-vertical-relative:paragraph;z-index:-15699456;mso-wrap-distance-left:0;mso-wrap-distance-right:0" coordorigin="4037,1147" coordsize="87,0" path="m4037,1147l4124,1147e" filled="false" stroked="true" strokeweight=".5pt" strokecolor="#000000">
            <v:path arrowok="t"/>
            <v:stroke dashstyle="solid"/>
            <w10:wrap type="topAndBottom"/>
          </v:shape>
        </w:pict>
      </w:r>
      <w:r>
        <w:rPr/>
        <w:pict>
          <v:shape style="position:absolute;margin-left:201.845993pt;margin-top:69.409538pt;width:4.350pt;height:.1pt;mso-position-horizontal-relative:page;mso-position-vertical-relative:paragraph;z-index:-15698944;mso-wrap-distance-left:0;mso-wrap-distance-right:0" coordorigin="4037,1388" coordsize="87,0" path="m4037,1388l4124,1388e" filled="false" stroked="true" strokeweight=".5pt" strokecolor="#000000">
            <v:path arrowok="t"/>
            <v:stroke dashstyle="solid"/>
            <w10:wrap type="topAndBottom"/>
          </v:shape>
        </w:pict>
      </w:r>
      <w:r>
        <w:rPr/>
        <w:pict>
          <v:shape style="position:absolute;margin-left:201.845993pt;margin-top:81.450539pt;width:4.350pt;height:.1pt;mso-position-horizontal-relative:page;mso-position-vertical-relative:paragraph;z-index:-15698432;mso-wrap-distance-left:0;mso-wrap-distance-right:0" coordorigin="4037,1629" coordsize="87,0" path="m4037,1629l4124,1629e" filled="false" stroked="true" strokeweight=".5pt" strokecolor="#000000">
            <v:path arrowok="t"/>
            <v:stroke dashstyle="solid"/>
            <w10:wrap type="topAndBottom"/>
          </v:shape>
        </w:pict>
      </w:r>
      <w:r>
        <w:rPr/>
        <w:pict>
          <v:shape style="position:absolute;margin-left:201.845993pt;margin-top:93.493538pt;width:4.350pt;height:.1pt;mso-position-horizontal-relative:page;mso-position-vertical-relative:paragraph;z-index:-15697920;mso-wrap-distance-left:0;mso-wrap-distance-right:0" coordorigin="4037,1870" coordsize="87,0" path="m4037,1870l4124,1870e" filled="false" stroked="true" strokeweight=".5pt" strokecolor="#000000">
            <v:path arrowok="t"/>
            <v:stroke dashstyle="solid"/>
            <w10:wrap type="topAndBottom"/>
          </v:shape>
        </w:pict>
      </w:r>
      <w:r>
        <w:rPr/>
        <w:pict>
          <v:shape style="position:absolute;margin-left:201.845993pt;margin-top:105.534538pt;width:4.350pt;height:.1pt;mso-position-horizontal-relative:page;mso-position-vertical-relative:paragraph;z-index:-15697408;mso-wrap-distance-left:0;mso-wrap-distance-right:0" coordorigin="4037,2111" coordsize="87,0" path="m4037,2111l4124,2111e" filled="false" stroked="true" strokeweight=".5pt" strokecolor="#000000">
            <v:path arrowok="t"/>
            <v:stroke dashstyle="solid"/>
            <w10:wrap type="topAndBottom"/>
          </v:shape>
        </w:pict>
      </w:r>
      <w:r>
        <w:rPr/>
        <w:pict>
          <v:shape style="position:absolute;margin-left:201.845993pt;margin-top:117.576538pt;width:4.350pt;height:.1pt;mso-position-horizontal-relative:page;mso-position-vertical-relative:paragraph;z-index:-15696896;mso-wrap-distance-left:0;mso-wrap-distance-right:0" coordorigin="4037,2352" coordsize="87,0" path="m4037,2352l4124,2352e" filled="false" stroked="true" strokeweight=".5pt" strokecolor="#000000">
            <v:path arrowok="t"/>
            <v:stroke dashstyle="solid"/>
            <w10:wrap type="topAndBottom"/>
          </v:shape>
        </w:pict>
      </w:r>
      <w:r>
        <w:rPr/>
        <w:pict>
          <v:shape style="position:absolute;margin-left:201.845993pt;margin-top:129.617538pt;width:4.350pt;height:.1pt;mso-position-horizontal-relative:page;mso-position-vertical-relative:paragraph;z-index:-15696384;mso-wrap-distance-left:0;mso-wrap-distance-right:0" coordorigin="4037,2592" coordsize="87,0" path="m4037,2592l4124,2592e" filled="false" stroked="true" strokeweight=".5pt" strokecolor="#000000">
            <v:path arrowok="t"/>
            <v:stroke dashstyle="solid"/>
            <w10:wrap type="topAndBottom"/>
          </v:shape>
        </w:pict>
      </w:r>
    </w:p>
    <w:p>
      <w:pPr>
        <w:pStyle w:val="BodyText"/>
        <w:spacing w:before="1"/>
        <w:rPr>
          <w:sz w:val="14"/>
        </w:rPr>
      </w:pPr>
    </w:p>
    <w:p>
      <w:pPr>
        <w:pStyle w:val="BodyText"/>
        <w:spacing w:before="1"/>
        <w:rPr>
          <w:sz w:val="14"/>
        </w:rPr>
      </w:pPr>
    </w:p>
    <w:p>
      <w:pPr>
        <w:pStyle w:val="BodyText"/>
        <w:spacing w:before="1"/>
        <w:rPr>
          <w:sz w:val="14"/>
        </w:rPr>
      </w:pPr>
    </w:p>
    <w:p>
      <w:pPr>
        <w:pStyle w:val="BodyText"/>
        <w:spacing w:before="1"/>
        <w:rPr>
          <w:sz w:val="14"/>
        </w:rPr>
      </w:pPr>
    </w:p>
    <w:p>
      <w:pPr>
        <w:pStyle w:val="BodyText"/>
        <w:spacing w:before="1"/>
        <w:rPr>
          <w:sz w:val="14"/>
        </w:rPr>
      </w:pPr>
    </w:p>
    <w:p>
      <w:pPr>
        <w:pStyle w:val="BodyText"/>
        <w:spacing w:before="1"/>
        <w:rPr>
          <w:sz w:val="14"/>
        </w:rPr>
      </w:pPr>
    </w:p>
    <w:p>
      <w:pPr>
        <w:pStyle w:val="BodyText"/>
        <w:spacing w:before="1"/>
        <w:rPr>
          <w:sz w:val="14"/>
        </w:rPr>
      </w:pPr>
    </w:p>
    <w:p>
      <w:pPr>
        <w:pStyle w:val="BodyText"/>
        <w:spacing w:before="1"/>
        <w:rPr>
          <w:sz w:val="14"/>
        </w:rPr>
      </w:pPr>
    </w:p>
    <w:p>
      <w:pPr>
        <w:pStyle w:val="BodyText"/>
        <w:spacing w:before="1"/>
        <w:rPr>
          <w:sz w:val="14"/>
        </w:rPr>
      </w:pPr>
    </w:p>
    <w:p>
      <w:pPr>
        <w:pStyle w:val="BodyText"/>
        <w:spacing w:before="1"/>
        <w:rPr>
          <w:sz w:val="14"/>
        </w:rPr>
      </w:pPr>
    </w:p>
    <w:p>
      <w:pPr>
        <w:pStyle w:val="BodyText"/>
        <w:spacing w:before="8"/>
        <w:rPr>
          <w:sz w:val="10"/>
        </w:rPr>
      </w:pPr>
    </w:p>
    <w:p>
      <w:pPr>
        <w:spacing w:line="100" w:lineRule="exact" w:before="0"/>
        <w:ind w:left="723" w:right="0" w:firstLine="0"/>
        <w:jc w:val="left"/>
        <w:rPr>
          <w:sz w:val="12"/>
        </w:rPr>
      </w:pPr>
      <w:r>
        <w:rPr/>
        <w:pict>
          <v:shape style="position:absolute;margin-left:49.439999pt;margin-top:.86456pt;width:147.950pt;height:3.4pt;mso-position-horizontal-relative:page;mso-position-vertical-relative:paragraph;z-index:15769600" coordorigin="989,17" coordsize="2959,68" path="m989,84l1075,84m1141,84l3948,84m1138,17l1138,84m1323,17l1323,84m1508,17l1508,84m1877,17l1877,84m2431,17l2431,84m3170,17l3170,84m3723,17l3723,84m3908,17l3908,84m2800,17l2800,84m3354,17l3354,84m1692,17l1692,84m2246,17l2246,84m2985,17l2985,84m3539,17l3539,84m2062,17l2062,84m2616,17l2616,84e" filled="false" stroked="true" strokeweight=".5pt" strokecolor="#000000">
            <v:path arrowok="t"/>
            <v:stroke dashstyle="solid"/>
            <w10:wrap type="none"/>
          </v:shape>
        </w:pict>
      </w:r>
      <w:r>
        <w:rPr/>
        <w:pict>
          <v:line style="position:absolute;mso-position-horizontal-relative:page;mso-position-vertical-relative:paragraph;z-index:15770112" from="201.845993pt,4.18456pt" to="206.177993pt,4.18456pt" stroked="true" strokeweight=".5pt" strokecolor="#000000">
            <v:stroke dashstyle="solid"/>
            <w10:wrap type="none"/>
          </v:line>
        </w:pict>
      </w:r>
      <w:r>
        <w:rPr>
          <w:sz w:val="12"/>
        </w:rPr>
        <w:t>66</w:t>
      </w:r>
    </w:p>
    <w:p>
      <w:pPr>
        <w:pStyle w:val="BodyText"/>
        <w:spacing w:line="242" w:lineRule="auto" w:before="2"/>
        <w:ind w:left="175" w:right="155"/>
      </w:pPr>
      <w:r>
        <w:rPr/>
        <w:br w:type="column"/>
      </w:r>
      <w:r>
        <w:rPr/>
        <w:t>from 8.8% in Q2. The strength of deposits could be related to the recent high </w:t>
      </w:r>
      <w:r>
        <w:rPr>
          <w:spacing w:val="-3"/>
        </w:rPr>
        <w:t>level </w:t>
      </w:r>
      <w:r>
        <w:rPr/>
        <w:t>of mergers and acquisitions (M&amp;A) </w:t>
      </w:r>
      <w:r>
        <w:rPr>
          <w:spacing w:val="-4"/>
        </w:rPr>
        <w:t>activity, </w:t>
      </w:r>
      <w:r>
        <w:rPr/>
        <w:t>if funds raised from sales of subsidiaries </w:t>
      </w:r>
      <w:r>
        <w:rPr>
          <w:spacing w:val="-3"/>
        </w:rPr>
        <w:t>have </w:t>
      </w:r>
      <w:r>
        <w:rPr/>
        <w:t>been placed on deposit </w:t>
      </w:r>
      <w:r>
        <w:rPr>
          <w:spacing w:val="-3"/>
        </w:rPr>
        <w:t>temporarily. </w:t>
      </w:r>
      <w:r>
        <w:rPr/>
        <w:t>In addition deposits may </w:t>
      </w:r>
      <w:r>
        <w:rPr>
          <w:spacing w:val="-3"/>
        </w:rPr>
        <w:t>have </w:t>
      </w:r>
      <w:r>
        <w:rPr/>
        <w:t>been boosted earlier in the year</w:t>
      </w:r>
      <w:r>
        <w:rPr>
          <w:spacing w:val="-7"/>
        </w:rPr>
        <w:t> </w:t>
      </w:r>
      <w:r>
        <w:rPr/>
        <w:t>by</w:t>
      </w:r>
      <w:r>
        <w:rPr>
          <w:spacing w:val="-7"/>
        </w:rPr>
        <w:t> </w:t>
      </w:r>
      <w:r>
        <w:rPr/>
        <w:t>greater</w:t>
      </w:r>
      <w:r>
        <w:rPr>
          <w:spacing w:val="-7"/>
        </w:rPr>
        <w:t> </w:t>
      </w:r>
      <w:r>
        <w:rPr/>
        <w:t>repatriation</w:t>
      </w:r>
      <w:r>
        <w:rPr>
          <w:spacing w:val="-7"/>
        </w:rPr>
        <w:t> </w:t>
      </w:r>
      <w:r>
        <w:rPr/>
        <w:t>of</w:t>
      </w:r>
      <w:r>
        <w:rPr>
          <w:spacing w:val="-6"/>
        </w:rPr>
        <w:t> </w:t>
      </w:r>
      <w:r>
        <w:rPr/>
        <w:t>overseas</w:t>
      </w:r>
      <w:r>
        <w:rPr>
          <w:spacing w:val="-7"/>
        </w:rPr>
        <w:t> </w:t>
      </w:r>
      <w:r>
        <w:rPr/>
        <w:t>profits</w:t>
      </w:r>
      <w:r>
        <w:rPr>
          <w:spacing w:val="-7"/>
        </w:rPr>
        <w:t> </w:t>
      </w:r>
      <w:r>
        <w:rPr/>
        <w:t>by</w:t>
      </w:r>
      <w:r>
        <w:rPr>
          <w:spacing w:val="-7"/>
        </w:rPr>
        <w:t> </w:t>
      </w:r>
      <w:r>
        <w:rPr/>
        <w:t>PNFCs ahead of tax changes.</w:t>
      </w:r>
      <w:r>
        <w:rPr>
          <w:position w:val="5"/>
          <w:sz w:val="16"/>
        </w:rPr>
        <w:t>(1) </w:t>
      </w:r>
      <w:r>
        <w:rPr/>
        <w:t>The extent to which companies are willing to hold additional deposits rather than use them to increase expenditure on other financial or real assets, or to reduce indebtedness, may depend on their existing liquidity position. Chart 1.7 indicates that</w:t>
      </w:r>
      <w:r>
        <w:rPr>
          <w:spacing w:val="-32"/>
        </w:rPr>
        <w:t> </w:t>
      </w:r>
      <w:r>
        <w:rPr/>
        <w:t>in</w:t>
      </w:r>
    </w:p>
    <w:p>
      <w:pPr>
        <w:spacing w:after="0" w:line="242" w:lineRule="auto"/>
        <w:sectPr>
          <w:type w:val="continuous"/>
          <w:pgSz w:w="11900" w:h="16840"/>
          <w:pgMar w:top="1260" w:bottom="280" w:left="640" w:right="640"/>
          <w:cols w:num="4" w:equalWidth="0">
            <w:col w:w="326" w:space="40"/>
            <w:col w:w="550" w:space="1865"/>
            <w:col w:w="884" w:space="1145"/>
            <w:col w:w="5810"/>
          </w:cols>
        </w:sectPr>
      </w:pPr>
    </w:p>
    <w:p>
      <w:pPr>
        <w:tabs>
          <w:tab w:pos="905" w:val="left" w:leader="none"/>
          <w:tab w:pos="1273" w:val="left" w:leader="none"/>
          <w:tab w:pos="1640" w:val="left" w:leader="none"/>
          <w:tab w:pos="2010" w:val="left" w:leader="none"/>
          <w:tab w:pos="2378" w:val="left" w:leader="none"/>
          <w:tab w:pos="2745" w:val="left" w:leader="none"/>
          <w:tab w:pos="3115" w:val="left" w:leader="none"/>
        </w:tabs>
        <w:spacing w:line="86" w:lineRule="exact" w:before="0"/>
        <w:ind w:left="455" w:right="0" w:firstLine="0"/>
        <w:jc w:val="left"/>
        <w:rPr>
          <w:sz w:val="12"/>
        </w:rPr>
      </w:pPr>
      <w:r>
        <w:rPr>
          <w:sz w:val="12"/>
        </w:rPr>
        <w:t>1985</w:t>
        <w:tab/>
        <w:t>87</w:t>
        <w:tab/>
        <w:t>89</w:t>
        <w:tab/>
        <w:t>91</w:t>
        <w:tab/>
        <w:t>93</w:t>
        <w:tab/>
        <w:t>95</w:t>
        <w:tab/>
        <w:t>97</w:t>
        <w:tab/>
        <w:t>99</w:t>
      </w:r>
    </w:p>
    <w:p>
      <w:pPr>
        <w:spacing w:before="56"/>
        <w:ind w:left="185" w:right="0" w:firstLine="0"/>
        <w:jc w:val="left"/>
        <w:rPr>
          <w:sz w:val="12"/>
        </w:rPr>
      </w:pPr>
      <w:r>
        <w:rPr>
          <w:sz w:val="12"/>
        </w:rPr>
        <w:t>Sources: ONS and Bank of England.</w:t>
      </w:r>
    </w:p>
    <w:p>
      <w:pPr>
        <w:pStyle w:val="BodyText"/>
        <w:spacing w:before="1"/>
        <w:rPr>
          <w:sz w:val="10"/>
        </w:rPr>
      </w:pPr>
    </w:p>
    <w:p>
      <w:pPr>
        <w:pStyle w:val="ListParagraph"/>
        <w:numPr>
          <w:ilvl w:val="0"/>
          <w:numId w:val="5"/>
        </w:numPr>
        <w:tabs>
          <w:tab w:pos="426" w:val="left" w:leader="none"/>
        </w:tabs>
        <w:spacing w:line="208" w:lineRule="auto" w:before="0" w:after="0"/>
        <w:ind w:left="425" w:right="38" w:hanging="240"/>
        <w:jc w:val="left"/>
        <w:rPr>
          <w:sz w:val="12"/>
        </w:rPr>
      </w:pPr>
      <w:r>
        <w:rPr>
          <w:sz w:val="12"/>
        </w:rPr>
        <w:t>Housing</w:t>
      </w:r>
      <w:r>
        <w:rPr>
          <w:spacing w:val="-5"/>
          <w:sz w:val="12"/>
        </w:rPr>
        <w:t> </w:t>
      </w:r>
      <w:r>
        <w:rPr>
          <w:sz w:val="12"/>
        </w:rPr>
        <w:t>equity</w:t>
      </w:r>
      <w:r>
        <w:rPr>
          <w:spacing w:val="-5"/>
          <w:sz w:val="12"/>
        </w:rPr>
        <w:t> </w:t>
      </w:r>
      <w:r>
        <w:rPr>
          <w:sz w:val="12"/>
        </w:rPr>
        <w:t>is</w:t>
      </w:r>
      <w:r>
        <w:rPr>
          <w:spacing w:val="-5"/>
          <w:sz w:val="12"/>
        </w:rPr>
        <w:t> </w:t>
      </w:r>
      <w:r>
        <w:rPr>
          <w:sz w:val="12"/>
        </w:rPr>
        <w:t>defined</w:t>
      </w:r>
      <w:r>
        <w:rPr>
          <w:spacing w:val="-5"/>
          <w:sz w:val="12"/>
        </w:rPr>
        <w:t> </w:t>
      </w:r>
      <w:r>
        <w:rPr>
          <w:sz w:val="12"/>
        </w:rPr>
        <w:t>as</w:t>
      </w:r>
      <w:r>
        <w:rPr>
          <w:spacing w:val="-4"/>
          <w:sz w:val="12"/>
        </w:rPr>
        <w:t> </w:t>
      </w:r>
      <w:r>
        <w:rPr>
          <w:sz w:val="12"/>
        </w:rPr>
        <w:t>the</w:t>
      </w:r>
      <w:r>
        <w:rPr>
          <w:spacing w:val="-5"/>
          <w:sz w:val="12"/>
        </w:rPr>
        <w:t> </w:t>
      </w:r>
      <w:r>
        <w:rPr>
          <w:sz w:val="12"/>
        </w:rPr>
        <w:t>market</w:t>
      </w:r>
      <w:r>
        <w:rPr>
          <w:spacing w:val="-5"/>
          <w:sz w:val="12"/>
        </w:rPr>
        <w:t> </w:t>
      </w:r>
      <w:r>
        <w:rPr>
          <w:sz w:val="12"/>
        </w:rPr>
        <w:t>value</w:t>
      </w:r>
      <w:r>
        <w:rPr>
          <w:spacing w:val="-5"/>
          <w:sz w:val="12"/>
        </w:rPr>
        <w:t> </w:t>
      </w:r>
      <w:r>
        <w:rPr>
          <w:sz w:val="12"/>
        </w:rPr>
        <w:t>of</w:t>
      </w:r>
      <w:r>
        <w:rPr>
          <w:spacing w:val="-5"/>
          <w:sz w:val="12"/>
        </w:rPr>
        <w:t> </w:t>
      </w:r>
      <w:r>
        <w:rPr>
          <w:sz w:val="12"/>
        </w:rPr>
        <w:t>the</w:t>
      </w:r>
      <w:r>
        <w:rPr>
          <w:spacing w:val="-4"/>
          <w:sz w:val="12"/>
        </w:rPr>
        <w:t> </w:t>
      </w:r>
      <w:r>
        <w:rPr>
          <w:sz w:val="12"/>
        </w:rPr>
        <w:t>housing</w:t>
      </w:r>
      <w:r>
        <w:rPr>
          <w:spacing w:val="-5"/>
          <w:sz w:val="12"/>
        </w:rPr>
        <w:t> </w:t>
      </w:r>
      <w:r>
        <w:rPr>
          <w:sz w:val="12"/>
        </w:rPr>
        <w:t>stock minus the value of debt secured on</w:t>
      </w:r>
      <w:r>
        <w:rPr>
          <w:spacing w:val="-12"/>
          <w:sz w:val="12"/>
        </w:rPr>
        <w:t> </w:t>
      </w:r>
      <w:r>
        <w:rPr>
          <w:sz w:val="12"/>
        </w:rPr>
        <w:t>houses.</w:t>
      </w:r>
    </w:p>
    <w:p>
      <w:pPr>
        <w:pStyle w:val="BodyText"/>
        <w:spacing w:before="14"/>
        <w:ind w:left="185"/>
      </w:pPr>
      <w:r>
        <w:rPr/>
        <w:br w:type="column"/>
      </w:r>
      <w:r>
        <w:rPr/>
        <w:t>aggregate liquidity is now at a relatively high level.</w:t>
      </w:r>
    </w:p>
    <w:p>
      <w:pPr>
        <w:pStyle w:val="BodyText"/>
        <w:spacing w:before="1"/>
        <w:rPr>
          <w:sz w:val="29"/>
        </w:rPr>
      </w:pPr>
      <w:r>
        <w:rPr/>
        <w:pict>
          <v:shape style="position:absolute;margin-left:279.359985pt;margin-top:18.781313pt;width:276.55pt;height:.1pt;mso-position-horizontal-relative:page;mso-position-vertical-relative:paragraph;z-index:-15695872;mso-wrap-distance-left:0;mso-wrap-distance-right:0" coordorigin="5587,376" coordsize="5531,0" path="m5587,376l11118,376e" filled="false" stroked="true" strokeweight=".125pt" strokecolor="#000000">
            <v:path arrowok="t"/>
            <v:stroke dashstyle="solid"/>
            <w10:wrap type="topAndBottom"/>
          </v:shape>
        </w:pict>
      </w:r>
    </w:p>
    <w:p>
      <w:pPr>
        <w:pStyle w:val="ListParagraph"/>
        <w:numPr>
          <w:ilvl w:val="1"/>
          <w:numId w:val="5"/>
        </w:numPr>
        <w:tabs>
          <w:tab w:pos="426" w:val="left" w:leader="none"/>
        </w:tabs>
        <w:spacing w:line="208" w:lineRule="auto" w:before="15" w:after="0"/>
        <w:ind w:left="425" w:right="867" w:hanging="240"/>
        <w:jc w:val="left"/>
        <w:rPr>
          <w:sz w:val="16"/>
        </w:rPr>
      </w:pPr>
      <w:r>
        <w:rPr>
          <w:sz w:val="16"/>
        </w:rPr>
        <w:t>In the March 2000 Budget it was announced that the tax treatment of profits repatriated from overseas subsidiaries by UK companies would change</w:t>
      </w:r>
      <w:r>
        <w:rPr>
          <w:spacing w:val="-6"/>
          <w:sz w:val="16"/>
        </w:rPr>
        <w:t> </w:t>
      </w:r>
      <w:r>
        <w:rPr>
          <w:sz w:val="16"/>
        </w:rPr>
        <w:t>from</w:t>
      </w:r>
      <w:r>
        <w:rPr>
          <w:spacing w:val="-5"/>
          <w:sz w:val="16"/>
        </w:rPr>
        <w:t> </w:t>
      </w:r>
      <w:r>
        <w:rPr>
          <w:sz w:val="16"/>
        </w:rPr>
        <w:t>1</w:t>
      </w:r>
      <w:r>
        <w:rPr>
          <w:spacing w:val="-5"/>
          <w:sz w:val="16"/>
        </w:rPr>
        <w:t> </w:t>
      </w:r>
      <w:r>
        <w:rPr>
          <w:sz w:val="16"/>
        </w:rPr>
        <w:t>July</w:t>
      </w:r>
      <w:r>
        <w:rPr>
          <w:spacing w:val="-5"/>
          <w:sz w:val="16"/>
        </w:rPr>
        <w:t> </w:t>
      </w:r>
      <w:r>
        <w:rPr>
          <w:sz w:val="16"/>
        </w:rPr>
        <w:t>2000,</w:t>
      </w:r>
      <w:r>
        <w:rPr>
          <w:spacing w:val="-4"/>
          <w:sz w:val="16"/>
        </w:rPr>
        <w:t> </w:t>
      </w:r>
      <w:r>
        <w:rPr>
          <w:sz w:val="16"/>
        </w:rPr>
        <w:t>although</w:t>
      </w:r>
      <w:r>
        <w:rPr>
          <w:spacing w:val="-5"/>
          <w:sz w:val="16"/>
        </w:rPr>
        <w:t> </w:t>
      </w:r>
      <w:r>
        <w:rPr>
          <w:sz w:val="16"/>
        </w:rPr>
        <w:t>implementation</w:t>
      </w:r>
      <w:r>
        <w:rPr>
          <w:spacing w:val="-5"/>
          <w:sz w:val="16"/>
        </w:rPr>
        <w:t> </w:t>
      </w:r>
      <w:r>
        <w:rPr>
          <w:sz w:val="16"/>
        </w:rPr>
        <w:t>of</w:t>
      </w:r>
      <w:r>
        <w:rPr>
          <w:spacing w:val="-5"/>
          <w:sz w:val="16"/>
        </w:rPr>
        <w:t> </w:t>
      </w:r>
      <w:r>
        <w:rPr>
          <w:sz w:val="16"/>
        </w:rPr>
        <w:t>the</w:t>
      </w:r>
      <w:r>
        <w:rPr>
          <w:spacing w:val="-5"/>
          <w:sz w:val="16"/>
        </w:rPr>
        <w:t> </w:t>
      </w:r>
      <w:r>
        <w:rPr>
          <w:sz w:val="16"/>
        </w:rPr>
        <w:t>changes</w:t>
      </w:r>
      <w:r>
        <w:rPr>
          <w:spacing w:val="-6"/>
          <w:sz w:val="16"/>
        </w:rPr>
        <w:t> </w:t>
      </w:r>
      <w:r>
        <w:rPr>
          <w:sz w:val="16"/>
        </w:rPr>
        <w:t>was subsequently delayed until next</w:t>
      </w:r>
      <w:r>
        <w:rPr>
          <w:spacing w:val="-6"/>
          <w:sz w:val="16"/>
        </w:rPr>
        <w:t> </w:t>
      </w:r>
      <w:r>
        <w:rPr>
          <w:spacing w:val="-3"/>
          <w:sz w:val="16"/>
        </w:rPr>
        <w:t>year.</w:t>
      </w:r>
    </w:p>
    <w:p>
      <w:pPr>
        <w:spacing w:after="0" w:line="208" w:lineRule="auto"/>
        <w:jc w:val="left"/>
        <w:rPr>
          <w:sz w:val="16"/>
        </w:rPr>
        <w:sectPr>
          <w:type w:val="continuous"/>
          <w:pgSz w:w="11900" w:h="16840"/>
          <w:pgMar w:top="1260" w:bottom="280" w:left="640" w:right="640"/>
          <w:cols w:num="2" w:equalWidth="0">
            <w:col w:w="3655" w:space="1145"/>
            <w:col w:w="5820"/>
          </w:cols>
        </w:sectPr>
      </w:pPr>
    </w:p>
    <w:p>
      <w:pPr>
        <w:pStyle w:val="BodyText"/>
        <w:rPr>
          <w:sz w:val="20"/>
        </w:rPr>
      </w:pPr>
    </w:p>
    <w:p>
      <w:pPr>
        <w:spacing w:after="0"/>
        <w:rPr>
          <w:sz w:val="20"/>
        </w:rPr>
        <w:sectPr>
          <w:headerReference w:type="default" r:id="rId34"/>
          <w:headerReference w:type="even" r:id="rId35"/>
          <w:pgSz w:w="11900" w:h="16840"/>
          <w:pgMar w:header="586" w:footer="612" w:top="780" w:bottom="780" w:left="640" w:right="640"/>
        </w:sectPr>
      </w:pPr>
    </w:p>
    <w:p>
      <w:pPr>
        <w:pStyle w:val="BodyText"/>
        <w:spacing w:before="1"/>
        <w:rPr>
          <w:sz w:val="23"/>
        </w:rPr>
      </w:pPr>
    </w:p>
    <w:p>
      <w:pPr>
        <w:spacing w:before="0"/>
        <w:ind w:left="180" w:right="0" w:firstLine="0"/>
        <w:jc w:val="left"/>
        <w:rPr>
          <w:b/>
          <w:sz w:val="20"/>
        </w:rPr>
      </w:pPr>
      <w:r>
        <w:rPr>
          <w:b/>
          <w:color w:val="0092C7"/>
          <w:sz w:val="20"/>
        </w:rPr>
        <w:t>Chart 1.7</w:t>
      </w:r>
    </w:p>
    <w:p>
      <w:pPr>
        <w:spacing w:before="10"/>
        <w:ind w:left="180" w:right="0" w:firstLine="0"/>
        <w:jc w:val="left"/>
        <w:rPr>
          <w:sz w:val="12"/>
        </w:rPr>
      </w:pPr>
      <w:r>
        <w:rPr>
          <w:b/>
          <w:color w:val="0092C7"/>
          <w:sz w:val="20"/>
        </w:rPr>
        <w:t>Liquidity of PNFCs</w:t>
      </w:r>
      <w:r>
        <w:rPr>
          <w:position w:val="4"/>
          <w:sz w:val="12"/>
        </w:rPr>
        <w:t>(a)</w:t>
      </w:r>
    </w:p>
    <w:p>
      <w:pPr>
        <w:pStyle w:val="BodyText"/>
        <w:spacing w:after="39"/>
        <w:rPr>
          <w:sz w:val="19"/>
        </w:rPr>
      </w:pPr>
    </w:p>
    <w:p>
      <w:pPr>
        <w:pStyle w:val="BodyText"/>
        <w:spacing w:line="20" w:lineRule="exact"/>
        <w:ind w:left="167"/>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2"/>
        </w:rPr>
      </w:pPr>
      <w:r>
        <w:rPr/>
        <w:br w:type="column"/>
      </w:r>
      <w:r>
        <w:rPr>
          <w:sz w:val="22"/>
        </w:rPr>
      </w:r>
    </w:p>
    <w:p>
      <w:pPr>
        <w:pStyle w:val="BodyText"/>
        <w:rPr>
          <w:sz w:val="22"/>
        </w:rPr>
      </w:pPr>
    </w:p>
    <w:p>
      <w:pPr>
        <w:pStyle w:val="BodyText"/>
        <w:rPr>
          <w:sz w:val="28"/>
        </w:rPr>
      </w:pPr>
    </w:p>
    <w:p>
      <w:pPr>
        <w:spacing w:before="0"/>
        <w:ind w:left="180" w:right="0" w:firstLine="0"/>
        <w:jc w:val="left"/>
        <w:rPr>
          <w:sz w:val="12"/>
        </w:rPr>
      </w:pPr>
      <w:r>
        <w:rPr>
          <w:sz w:val="12"/>
        </w:rPr>
        <w:t>Per cent</w:t>
      </w:r>
      <w:r>
        <w:rPr>
          <w:spacing w:val="16"/>
          <w:sz w:val="12"/>
        </w:rPr>
        <w:t> </w:t>
      </w:r>
      <w:r>
        <w:rPr>
          <w:position w:val="-8"/>
          <w:sz w:val="12"/>
        </w:rPr>
        <w:t>40</w:t>
      </w:r>
    </w:p>
    <w:p>
      <w:pPr>
        <w:pStyle w:val="BodyText"/>
        <w:rPr>
          <w:sz w:val="22"/>
        </w:rPr>
      </w:pPr>
    </w:p>
    <w:p>
      <w:pPr>
        <w:pStyle w:val="BodyText"/>
        <w:rPr>
          <w:sz w:val="22"/>
        </w:rPr>
      </w:pPr>
    </w:p>
    <w:p>
      <w:pPr>
        <w:pStyle w:val="BodyText"/>
        <w:spacing w:before="5"/>
        <w:rPr>
          <w:sz w:val="26"/>
        </w:rPr>
      </w:pPr>
    </w:p>
    <w:p>
      <w:pPr>
        <w:spacing w:before="0"/>
        <w:ind w:left="616" w:right="0" w:firstLine="0"/>
        <w:jc w:val="left"/>
        <w:rPr>
          <w:sz w:val="12"/>
        </w:rPr>
      </w:pPr>
      <w:r>
        <w:rPr/>
        <w:pict>
          <v:group style="position:absolute;margin-left:40.625999pt;margin-top:-19.282024pt;width:157.75pt;height:78.9pt;mso-position-horizontal-relative:page;mso-position-vertical-relative:paragraph;z-index:15775232" coordorigin="813,-386" coordsize="3155,1578">
            <v:shape style="position:absolute;left:955;top:-21;width:158;height:245" coordorigin="955,-21" coordsize="158,245" path="m955,224l1010,149m1010,149l1067,-21m1067,-21l1112,39e" filled="false" stroked="true" strokeweight="1pt" strokecolor="#835335">
              <v:path arrowok="t"/>
              <v:stroke dashstyle="solid"/>
            </v:shape>
            <v:line style="position:absolute" from="1141,29" to="1141,604" stroked="true" strokeweight="3.875pt" strokecolor="#835335">
              <v:stroke dashstyle="solid"/>
            </v:line>
            <v:shape style="position:absolute;left:1170;top:131;width:1345;height:1050" coordorigin="1170,132" coordsize="1345,1050" path="m1170,594l1225,749m1225,749l1283,687m1283,687l1328,904m1328,904l1385,1164m1385,1164l1440,842m1440,842l1498,1104m1498,1104l1555,842m1555,842l1600,1042m1600,1042l1655,964m1655,964l1713,764m1713,764l1768,919m1768,919l1815,1182m1815,1182l1870,842m1870,842l1928,934m1928,934l1983,857m1983,857l2030,982m2030,982l2085,904m2085,904l2143,842m2143,842l2198,982m2198,982l2255,997m2255,997l2300,842m2300,842l2358,687m2358,687l2413,472m2413,472l2470,487m2470,487l2515,132e" filled="false" stroked="true" strokeweight="1pt" strokecolor="#835335">
              <v:path arrowok="t"/>
              <v:stroke dashstyle="solid"/>
            </v:shape>
            <v:line style="position:absolute" from="2505,133" to="2583,133" stroked="true" strokeweight="1.125pt" strokecolor="#835335">
              <v:stroke dashstyle="solid"/>
            </v:line>
            <v:shape style="position:absolute;left:2572;top:-376;width:915;height:940" coordorigin="2573,-376" coordsize="915,940" path="m2573,132l2628,39m2628,39l2685,242m2685,242l2743,394m2743,394l2788,564m2788,564l2843,302m2843,302l2900,349m2900,349l2955,224m2955,224l3003,209m3003,209l3058,-36m3058,-36l3115,-143m3115,-143l3170,-221m3170,-221l3218,-161m3218,-161l3273,-221m3273,-221l3330,-298m3330,-298l3385,-376m3385,-376l3443,-313m3443,-313l3488,-161e" filled="false" stroked="true" strokeweight="1pt" strokecolor="#835335">
              <v:path arrowok="t"/>
              <v:stroke dashstyle="solid"/>
            </v:shape>
            <v:line style="position:absolute" from="3477,-159" to="3555,-159" stroked="true" strokeweight="1.125pt" strokecolor="#835335">
              <v:stroke dashstyle="solid"/>
            </v:line>
            <v:shape style="position:absolute;left:3545;top:-221;width:270;height:353" coordorigin="3545,-221" coordsize="270,353" path="m3545,-161l3600,132m3600,132l3657,117m3657,117l3702,-53m3702,-53l3760,-21m3760,-21l3815,-221e" filled="false" stroked="true" strokeweight="1pt" strokecolor="#835335">
              <v:path arrowok="t"/>
              <v:stroke dashstyle="solid"/>
            </v:shape>
            <v:shape style="position:absolute;left:812;top:82;width:3155;height:953" coordorigin="813,83" coordsize="3155,953" path="m813,83l899,83m813,1034l899,1034m3880,85l3967,85m3880,1036l3967,1036e" filled="false" stroked="true" strokeweight=".5pt" strokecolor="#000000">
              <v:path arrowok="t"/>
              <v:stroke dashstyle="solid"/>
            </v:shape>
            <w10:wrap type="none"/>
          </v:group>
        </w:pict>
      </w:r>
      <w:r>
        <w:rPr>
          <w:sz w:val="12"/>
        </w:rPr>
        <w:t>35</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0"/>
        </w:rPr>
      </w:pPr>
    </w:p>
    <w:p>
      <w:pPr>
        <w:spacing w:before="0"/>
        <w:ind w:left="616" w:right="0" w:firstLine="0"/>
        <w:jc w:val="left"/>
        <w:rPr>
          <w:sz w:val="12"/>
        </w:rPr>
      </w:pPr>
      <w:r>
        <w:rPr>
          <w:sz w:val="12"/>
        </w:rPr>
        <w:t>30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0"/>
        </w:rPr>
      </w:pPr>
    </w:p>
    <w:p>
      <w:pPr>
        <w:spacing w:line="121" w:lineRule="exact" w:before="0"/>
        <w:ind w:left="616" w:right="0" w:firstLine="0"/>
        <w:jc w:val="left"/>
        <w:rPr>
          <w:sz w:val="12"/>
        </w:rPr>
      </w:pPr>
      <w:r>
        <w:rPr/>
        <w:pict>
          <v:group style="position:absolute;margin-left:40.625999pt;margin-top:3.967549pt;width:158.8pt;height:7.1pt;mso-position-horizontal-relative:page;mso-position-vertical-relative:paragraph;z-index:-22877184" coordorigin="813,79" coordsize="3176,142">
            <v:shape style="position:absolute;left:812;top:84;width:3171;height:132" coordorigin="813,84" coordsize="3171,132" path="m813,84l899,84m813,216l1208,216m3604,216l3967,216m957,216l3817,216m954,149l954,216m1386,149l1386,216m1818,149l1818,216m2250,149l2250,216m2682,149l2682,216m3114,149l3114,216m3546,149l3546,216m3762,149l3762,216m2898,149l2898,216m3330,149l3330,216m1170,149l1170,216m1602,149l1602,216m2034,149l2034,216m2466,149l2466,216m3880,86l3967,86m3963,89l3963,116,3943,132,3983,146,3943,166,3983,183,3959,193,3959,216e" filled="false" stroked="true" strokeweight=".5pt" strokecolor="#000000">
              <v:path arrowok="t"/>
              <v:stroke dashstyle="solid"/>
            </v:shape>
            <v:shape style="position:absolute;left:872;top:87;width:40;height:127" coordorigin="872,87" coordsize="40,127" path="m892,87l892,114,872,130,912,144,872,164,912,181,889,191,889,214e" filled="false" stroked="true" strokeweight=".5pt" strokecolor="#000000">
              <v:path arrowok="t"/>
              <v:stroke dashstyle="solid"/>
            </v:shape>
            <w10:wrap type="none"/>
          </v:group>
        </w:pict>
      </w:r>
      <w:r>
        <w:rPr>
          <w:sz w:val="12"/>
        </w:rPr>
        <w:t>25</w:t>
      </w:r>
    </w:p>
    <w:p>
      <w:pPr>
        <w:pStyle w:val="BodyText"/>
        <w:spacing w:before="7"/>
        <w:rPr>
          <w:sz w:val="20"/>
        </w:rPr>
      </w:pPr>
      <w:r>
        <w:rPr/>
        <w:br w:type="column"/>
      </w:r>
      <w:r>
        <w:rPr>
          <w:sz w:val="20"/>
        </w:rPr>
      </w:r>
    </w:p>
    <w:p>
      <w:pPr>
        <w:pStyle w:val="BodyText"/>
        <w:spacing w:line="242" w:lineRule="auto"/>
        <w:ind w:left="180" w:right="321"/>
      </w:pPr>
      <w:r>
        <w:rPr/>
        <w:t>PNFCs’ M4 borrowing has risen further, taking the annual rate of increase to 17.5%. PNFCs have also raised substantial funds from UK capital markets in recent quarters (see Chart 1.8). For some time PNFCs’ capital expenditure has exceeded their internal sources of finance or saving, the deficit being met by external finance. But since 1999 Q3 the financial deficit has been broadly constant whereas the amount of external finance raised in the United Kingdom has increased sharply. The divergence is because of higher expenditure on financial assets: in particular, acquisitions of other companies, some overseas, and mobile telecommunications licences. The</w:t>
      </w:r>
    </w:p>
    <w:p>
      <w:pPr>
        <w:spacing w:after="0" w:line="242" w:lineRule="auto"/>
        <w:sectPr>
          <w:type w:val="continuous"/>
          <w:pgSz w:w="11900" w:h="16840"/>
          <w:pgMar w:top="1260" w:bottom="280" w:left="640" w:right="640"/>
          <w:cols w:num="3" w:equalWidth="0">
            <w:col w:w="2031" w:space="726"/>
            <w:col w:w="777" w:space="1266"/>
            <w:col w:w="5820"/>
          </w:cols>
        </w:sectPr>
      </w:pPr>
    </w:p>
    <w:p>
      <w:pPr>
        <w:tabs>
          <w:tab w:pos="798" w:val="left" w:leader="none"/>
          <w:tab w:pos="1226" w:val="left" w:leader="none"/>
          <w:tab w:pos="1668" w:val="left" w:leader="none"/>
          <w:tab w:pos="2098" w:val="left" w:leader="none"/>
          <w:tab w:pos="2528" w:val="left" w:leader="none"/>
          <w:tab w:pos="2958" w:val="left" w:leader="none"/>
          <w:tab w:pos="3433" w:val="left" w:leader="none"/>
        </w:tabs>
        <w:spacing w:before="16"/>
        <w:ind w:left="287" w:right="0" w:firstLine="0"/>
        <w:jc w:val="left"/>
        <w:rPr>
          <w:sz w:val="12"/>
        </w:rPr>
      </w:pPr>
      <w:r>
        <w:rPr>
          <w:sz w:val="12"/>
        </w:rPr>
        <w:t>1987</w:t>
        <w:tab/>
        <w:t>89</w:t>
        <w:tab/>
        <w:t>91</w:t>
        <w:tab/>
        <w:t>93</w:t>
        <w:tab/>
        <w:t>95</w:t>
        <w:tab/>
        <w:t>97</w:t>
        <w:tab/>
        <w:t>99</w:t>
        <w:tab/>
      </w:r>
      <w:r>
        <w:rPr>
          <w:position w:val="9"/>
          <w:sz w:val="12"/>
        </w:rPr>
        <w:t>0</w:t>
      </w:r>
    </w:p>
    <w:p>
      <w:pPr>
        <w:spacing w:before="74"/>
        <w:ind w:left="180" w:right="0" w:firstLine="0"/>
        <w:jc w:val="left"/>
        <w:rPr>
          <w:sz w:val="12"/>
        </w:rPr>
      </w:pPr>
      <w:r>
        <w:rPr>
          <w:sz w:val="12"/>
        </w:rPr>
        <w:t>Sources: ONS and Bank of England.</w:t>
      </w:r>
    </w:p>
    <w:p>
      <w:pPr>
        <w:pStyle w:val="BodyText"/>
        <w:spacing w:before="1"/>
        <w:rPr>
          <w:sz w:val="10"/>
        </w:rPr>
      </w:pPr>
    </w:p>
    <w:p>
      <w:pPr>
        <w:pStyle w:val="ListParagraph"/>
        <w:numPr>
          <w:ilvl w:val="2"/>
          <w:numId w:val="5"/>
        </w:numPr>
        <w:tabs>
          <w:tab w:pos="421" w:val="left" w:leader="none"/>
        </w:tabs>
        <w:spacing w:line="208" w:lineRule="auto" w:before="0" w:after="0"/>
        <w:ind w:left="420" w:right="547" w:hanging="240"/>
        <w:jc w:val="left"/>
        <w:rPr>
          <w:sz w:val="12"/>
        </w:rPr>
      </w:pPr>
      <w:r>
        <w:rPr>
          <w:sz w:val="12"/>
        </w:rPr>
        <w:t>Defined</w:t>
      </w:r>
      <w:r>
        <w:rPr>
          <w:spacing w:val="-5"/>
          <w:sz w:val="12"/>
        </w:rPr>
        <w:t> </w:t>
      </w:r>
      <w:r>
        <w:rPr>
          <w:sz w:val="12"/>
        </w:rPr>
        <w:t>as</w:t>
      </w:r>
      <w:r>
        <w:rPr>
          <w:spacing w:val="-4"/>
          <w:sz w:val="12"/>
        </w:rPr>
        <w:t> </w:t>
      </w:r>
      <w:r>
        <w:rPr>
          <w:sz w:val="12"/>
        </w:rPr>
        <w:t>the</w:t>
      </w:r>
      <w:r>
        <w:rPr>
          <w:spacing w:val="-4"/>
          <w:sz w:val="12"/>
        </w:rPr>
        <w:t> </w:t>
      </w:r>
      <w:r>
        <w:rPr>
          <w:sz w:val="12"/>
        </w:rPr>
        <w:t>ratio</w:t>
      </w:r>
      <w:r>
        <w:rPr>
          <w:spacing w:val="-4"/>
          <w:sz w:val="12"/>
        </w:rPr>
        <w:t> </w:t>
      </w:r>
      <w:r>
        <w:rPr>
          <w:sz w:val="12"/>
        </w:rPr>
        <w:t>of</w:t>
      </w:r>
      <w:r>
        <w:rPr>
          <w:spacing w:val="-4"/>
          <w:sz w:val="12"/>
        </w:rPr>
        <w:t> </w:t>
      </w:r>
      <w:r>
        <w:rPr>
          <w:sz w:val="12"/>
        </w:rPr>
        <w:t>deposits</w:t>
      </w:r>
      <w:r>
        <w:rPr>
          <w:spacing w:val="-4"/>
          <w:sz w:val="12"/>
        </w:rPr>
        <w:t> </w:t>
      </w:r>
      <w:r>
        <w:rPr>
          <w:sz w:val="12"/>
        </w:rPr>
        <w:t>to</w:t>
      </w:r>
      <w:r>
        <w:rPr>
          <w:spacing w:val="-4"/>
          <w:sz w:val="12"/>
        </w:rPr>
        <w:t> </w:t>
      </w:r>
      <w:r>
        <w:rPr>
          <w:sz w:val="12"/>
        </w:rPr>
        <w:t>the</w:t>
      </w:r>
      <w:r>
        <w:rPr>
          <w:spacing w:val="-4"/>
          <w:sz w:val="12"/>
        </w:rPr>
        <w:t> </w:t>
      </w:r>
      <w:r>
        <w:rPr>
          <w:sz w:val="12"/>
        </w:rPr>
        <w:t>sum</w:t>
      </w:r>
      <w:r>
        <w:rPr>
          <w:spacing w:val="-4"/>
          <w:sz w:val="12"/>
        </w:rPr>
        <w:t> </w:t>
      </w:r>
      <w:r>
        <w:rPr>
          <w:sz w:val="12"/>
        </w:rPr>
        <w:t>of</w:t>
      </w:r>
      <w:r>
        <w:rPr>
          <w:spacing w:val="-4"/>
          <w:sz w:val="12"/>
        </w:rPr>
        <w:t> </w:t>
      </w:r>
      <w:r>
        <w:rPr>
          <w:sz w:val="12"/>
        </w:rPr>
        <w:t>bank</w:t>
      </w:r>
      <w:r>
        <w:rPr>
          <w:spacing w:val="-4"/>
          <w:sz w:val="12"/>
        </w:rPr>
        <w:t> </w:t>
      </w:r>
      <w:r>
        <w:rPr>
          <w:sz w:val="12"/>
        </w:rPr>
        <w:t>loans,</w:t>
      </w:r>
      <w:r>
        <w:rPr>
          <w:spacing w:val="-3"/>
          <w:sz w:val="12"/>
        </w:rPr>
        <w:t> </w:t>
      </w:r>
      <w:r>
        <w:rPr>
          <w:sz w:val="12"/>
        </w:rPr>
        <w:t>bonds issued and trade</w:t>
      </w:r>
      <w:r>
        <w:rPr>
          <w:spacing w:val="-4"/>
          <w:sz w:val="12"/>
        </w:rPr>
        <w:t> </w:t>
      </w:r>
      <w:r>
        <w:rPr>
          <w:sz w:val="12"/>
        </w:rPr>
        <w:t>debt.</w:t>
      </w:r>
    </w:p>
    <w:p>
      <w:pPr>
        <w:pStyle w:val="BodyText"/>
        <w:spacing w:before="7"/>
        <w:rPr>
          <w:sz w:val="16"/>
        </w:rPr>
      </w:pPr>
    </w:p>
    <w:p>
      <w:pPr>
        <w:spacing w:before="0"/>
        <w:ind w:left="180" w:right="0" w:firstLine="0"/>
        <w:jc w:val="left"/>
        <w:rPr>
          <w:b/>
          <w:sz w:val="20"/>
        </w:rPr>
      </w:pPr>
      <w:r>
        <w:rPr>
          <w:b/>
          <w:color w:val="0092C7"/>
          <w:sz w:val="20"/>
        </w:rPr>
        <w:t>Chart 1.8</w:t>
      </w:r>
    </w:p>
    <w:p>
      <w:pPr>
        <w:spacing w:before="10"/>
        <w:ind w:left="180" w:right="0" w:firstLine="0"/>
        <w:jc w:val="left"/>
        <w:rPr>
          <w:sz w:val="12"/>
        </w:rPr>
      </w:pPr>
      <w:r>
        <w:rPr>
          <w:b/>
          <w:color w:val="0092C7"/>
          <w:sz w:val="20"/>
        </w:rPr>
        <w:t>PNFCs’ borrowing and the financial deficit</w:t>
      </w:r>
      <w:r>
        <w:rPr>
          <w:position w:val="4"/>
          <w:sz w:val="12"/>
        </w:rPr>
        <w:t>(a)</w:t>
      </w:r>
    </w:p>
    <w:p>
      <w:pPr>
        <w:spacing w:before="77"/>
        <w:ind w:left="2803" w:right="0" w:firstLine="0"/>
        <w:jc w:val="left"/>
        <w:rPr>
          <w:sz w:val="12"/>
        </w:rPr>
      </w:pPr>
      <w:r>
        <w:rPr/>
        <w:pict>
          <v:line style="position:absolute;mso-position-horizontal-relative:page;mso-position-vertical-relative:paragraph;z-index:15779840" from="40.395pt,11.495576pt" to="44.728pt,11.495576pt" stroked="true" strokeweight=".5pt" strokecolor="#000000">
            <v:stroke dashstyle="solid"/>
            <w10:wrap type="none"/>
          </v:line>
        </w:pict>
      </w:r>
      <w:r>
        <w:rPr>
          <w:sz w:val="12"/>
        </w:rPr>
        <w:t>£ billio</w:t>
      </w:r>
      <w:r>
        <w:rPr>
          <w:sz w:val="12"/>
          <w:u w:val="single"/>
        </w:rPr>
        <w:t>ns</w:t>
      </w:r>
      <w:r>
        <w:rPr>
          <w:spacing w:val="-4"/>
          <w:sz w:val="12"/>
        </w:rPr>
        <w:t> </w:t>
      </w:r>
      <w:r>
        <w:rPr>
          <w:position w:val="-6"/>
          <w:sz w:val="12"/>
        </w:rPr>
        <w:t>18</w:t>
      </w:r>
    </w:p>
    <w:p>
      <w:pPr>
        <w:spacing w:before="123"/>
        <w:ind w:left="0" w:right="614" w:firstLine="0"/>
        <w:jc w:val="right"/>
        <w:rPr>
          <w:sz w:val="12"/>
        </w:rPr>
      </w:pPr>
      <w:r>
        <w:rPr/>
        <w:pict>
          <v:group style="position:absolute;margin-left:40.395pt;margin-top:4.093977pt;width:154.3pt;height:136.65pt;mso-position-horizontal-relative:page;mso-position-vertical-relative:paragraph;z-index:15777792" coordorigin="808,82" coordsize="3086,2733">
            <v:shape style="position:absolute;left:965;top:336;width:558;height:410" type="#_x0000_t75" stroked="false">
              <v:imagedata r:id="rId36" o:title=""/>
            </v:shape>
            <v:shape style="position:absolute;left:1512;top:721;width:708;height:1200" coordorigin="1513,722" coordsize="708,1200" path="m1513,722l1565,1172m1565,1172l1628,1292m1628,1292l1683,1532m1683,1532l1735,1637m1735,1637l1788,1622m1788,1622l1840,1682m1840,1682l1893,1667m1893,1667l1945,1682m1945,1682l2008,1742m2008,1742l2113,1922m2113,1922l2168,1877m2168,1877l2220,1802e" filled="false" stroked="true" strokeweight="1pt" strokecolor="#008360">
              <v:path arrowok="t"/>
              <v:stroke dashstyle="solid"/>
            </v:shape>
            <v:line style="position:absolute" from="2210,1803" to="2283,1803" stroked="true" strokeweight="1.125pt" strokecolor="#008360">
              <v:stroke dashstyle="solid"/>
            </v:line>
            <v:shape style="position:absolute;left:2272;top:91;width:1465;height:1830" coordorigin="2273,92" coordsize="1465,1830" path="m2273,1802l2325,1817m2325,1817l2388,1847m2388,1847l2440,1922m2440,1922l2493,1832m2493,1832l2545,1532m2545,1532l2598,1562m2598,1562l2653,1412m2653,1412l2705,1232m2705,1232l2768,1277m2768,1277l2820,1187m2820,1187l2873,1202m2873,1202l2925,1292m2925,1292l2978,1442m2978,1442l3030,1427m3030,1427l3083,1367m3083,1367l3148,1397m3148,1397l3200,1217m3200,1217l3253,1232m3253,1232l3305,1187m3305,1187l3358,1112m3358,1112l3410,1097m3410,1097l3463,767m3463,767l3528,752m3528,752l3580,557m3580,557l3633,392m3633,392l3685,377m3685,377l3738,92e" filled="false" stroked="true" strokeweight="1pt" strokecolor="#008360">
              <v:path arrowok="t"/>
              <v:stroke dashstyle="solid"/>
            </v:shape>
            <v:shape style="position:absolute;left:975;top:1366;width:970;height:945" coordorigin="975,1367" coordsize="970,945" path="m975,2282l1028,2312m1028,2312l1133,2192m1133,2192l1185,2057m1185,2057l1250,1967m1250,1967l1303,1877m1303,1877l1355,1652m1355,1652l1408,1607m1408,1607l1513,1367m1513,1367l1565,1442m1565,1442l1628,1517m1628,1517l1683,1577m1683,1577l1735,1817m1735,1817l1788,1967m1788,1967l1893,2057m1893,2057l1945,2087e" filled="false" stroked="true" strokeweight="1pt" strokecolor="#9ed01a">
              <v:path arrowok="t"/>
              <v:stroke dashstyle="solid"/>
            </v:shape>
            <v:line style="position:absolute" from="1935,2088" to="2018,2088" stroked="true" strokeweight="1.125pt" strokecolor="#9ed01a">
              <v:stroke dashstyle="solid"/>
            </v:line>
            <v:shape style="position:absolute;left:2007;top:1561;width:1678;height:1125" coordorigin="2008,1562" coordsize="1678,1125" path="m2008,2087l2060,2072m2060,2072l2113,2192m2113,2192l2168,2177m2168,2177l2325,2537m2325,2537l2388,2657m2388,2657l2440,2642m2440,2642l2493,2687m2493,2687l2545,2627m2545,2627l2598,2477m2598,2477l2653,2357m2653,2357l2705,2267m2705,2267l2768,2207m2768,2207l2820,2342m2820,2342l2978,2432m2978,2432l3030,2237m3030,2237l3083,2282m3083,2282l3148,2102m3148,2102l3200,1982m3200,1982l3253,2072m3253,2072l3305,2027m3305,2027l3358,2102m3358,2102l3410,2237m3410,2237l3463,1877m3463,1877l3528,1787m3528,1787l3580,1727m3580,1727l3633,1562m3633,1562l3685,1802e" filled="false" stroked="true" strokeweight="1pt" strokecolor="#9ed01a">
              <v:path arrowok="t"/>
              <v:stroke dashstyle="solid"/>
            </v:shape>
            <v:line style="position:absolute" from="1001,1732" to="1001,2292" stroked="true" strokeweight="3.625pt" strokecolor="#de0035">
              <v:stroke dashstyle="solid"/>
            </v:line>
            <v:shape style="position:absolute;left:1027;top:1486;width:158;height:255" coordorigin="1028,1487" coordsize="158,255" path="m1028,1742l1080,1637m1080,1637l1133,1577m1133,1577l1185,1487e" filled="false" stroked="true" strokeweight="1pt" strokecolor="#de0035">
              <v:path arrowok="t"/>
              <v:stroke dashstyle="solid"/>
            </v:shape>
            <v:line style="position:absolute" from="1175,1488" to="1260,1488" stroked="true" strokeweight="1.125pt" strokecolor="#de0035">
              <v:stroke dashstyle="solid"/>
            </v:line>
            <v:shape style="position:absolute;left:1250;top:1306;width:105;height:180" coordorigin="1250,1307" coordsize="105,180" path="m1250,1487l1303,1442m1303,1442l1355,1307e" filled="false" stroked="true" strokeweight="1pt" strokecolor="#de0035">
              <v:path arrowok="t"/>
              <v:stroke dashstyle="solid"/>
            </v:shape>
            <v:line style="position:absolute" from="1345,1308" to="1418,1308" stroked="true" strokeweight="1.125pt" strokecolor="#de0035">
              <v:stroke dashstyle="solid"/>
            </v:line>
            <v:shape style="position:absolute;left:1407;top:1306;width:600;height:1035" coordorigin="1408,1307" coordsize="600,1035" path="m1408,1307l1460,1337m1460,1337l1513,1412m1513,1412l1565,1637m1565,1637l1628,1727m1628,1727l1683,1832m1683,1832l1735,2057m1735,2057l1788,2132m1788,2132l1840,2252m1840,2252l1893,2342m1893,2342l1945,2267m1945,2267l2008,2282e" filled="false" stroked="true" strokeweight="1pt" strokecolor="#de0035">
              <v:path arrowok="t"/>
              <v:stroke dashstyle="solid"/>
            </v:shape>
            <v:line style="position:absolute" from="1998,2283" to="2070,2283" stroked="true" strokeweight="1.125pt" strokecolor="#de0035">
              <v:stroke dashstyle="solid"/>
            </v:line>
            <v:shape style="position:absolute;left:2060;top:1711;width:645;height:780" coordorigin="2060,1712" coordsize="645,780" path="m2060,2282l2113,2327m2113,2327l2168,2372m2168,2372l2220,2387m2220,2387l2273,2462m2273,2462l2325,2447m2325,2447l2388,2492m2388,2492l2440,2447m2440,2447l2493,2327m2493,2327l2545,2087m2545,2087l2598,1967m2598,1967l2653,1847m2653,1847l2705,1712e" filled="false" stroked="true" strokeweight="1pt" strokecolor="#de0035">
              <v:path arrowok="t"/>
              <v:stroke dashstyle="solid"/>
            </v:shape>
            <v:line style="position:absolute" from="2695,1713" to="2778,1713" stroked="true" strokeweight="1.125pt" strokecolor="#de0035">
              <v:stroke dashstyle="solid"/>
            </v:line>
            <v:line style="position:absolute" from="2768,1712" to="2820,1622" stroked="true" strokeweight="1pt" strokecolor="#de0035">
              <v:stroke dashstyle="solid"/>
            </v:line>
            <v:line style="position:absolute" from="2810,1623" to="2883,1623" stroked="true" strokeweight="1.125pt" strokecolor="#de0035">
              <v:stroke dashstyle="solid"/>
            </v:line>
            <v:shape style="position:absolute;left:2872;top:1171;width:865;height:930" coordorigin="2873,1172" coordsize="865,930" path="m2873,1622l2925,1667m2925,1667l2978,1877m2978,1877l3030,1922m3030,1922l3083,2012m3083,2012l3148,2102m3148,2102l3200,1967m3200,1967l3253,1997m3253,1997l3305,1937m3305,1937l3358,1892m3358,1892l3410,1952m3410,1952l3463,1997m3463,1997l3528,2012m3528,2012l3580,1922m3580,1922l3633,1727m3633,1727l3685,1457m3685,1457l3738,1172e" filled="false" stroked="true" strokeweight="1pt" strokecolor="#de0035">
              <v:path arrowok="t"/>
              <v:stroke dashstyle="solid"/>
            </v:shape>
            <v:shape style="position:absolute;left:807;top:199;width:3086;height:2610" coordorigin="808,200" coordsize="3086,2610" path="m808,2809l895,2809m965,2804l3737,2804m963,2737l963,2804m1180,2737l1180,2804m1614,2737l1614,2804m2048,2737l2048,2804m2482,2737l2482,2804m2916,2737l2916,2804m3350,2737l3350,2804m2699,2737l2699,2804m3133,2737l3133,2804m3568,2737l3568,2804m1397,2737l1397,2804m1831,2737l1831,2804m2265,2737l2265,2804m808,2028l895,2028m808,465l895,465m808,986l895,986m808,1507l895,1507m808,2549l895,2549m808,205l895,205m3807,2283l3893,2283m3807,721l3893,721m3807,1242l3893,1242m3807,1763l3893,1763m3807,2804l3893,2804m3807,2023l3893,2023m3807,460l3893,460m3807,981l3893,981m3807,1502l3893,1502m3807,2544l3893,2544m3807,200l3893,200e" filled="false" stroked="true" strokeweight=".5pt" strokecolor="#000000">
              <v:path arrowok="t"/>
              <v:stroke dashstyle="solid"/>
            </v:shape>
            <v:line style="position:absolute" from="1237,288" to="1237,1361" stroked="true" strokeweight=".5pt" strokecolor="#000000">
              <v:stroke dashstyle="solid"/>
            </v:line>
            <v:shape style="position:absolute;left:1211;top:1344;width:51;height:85" coordorigin="1211,1344" coordsize="51,85" path="m1262,1344l1211,1344,1218,1360,1222,1372,1237,1429,1238,1420,1240,1410,1243,1398,1247,1385,1251,1374,1262,1344xe" filled="true" fillcolor="#000000" stroked="false">
              <v:path arrowok="t"/>
              <v:fill type="solid"/>
            </v:shape>
            <v:line style="position:absolute" from="808,2288" to="895,2288" stroked="true" strokeweight=".5pt" strokecolor="#000000">
              <v:stroke dashstyle="solid"/>
            </v:line>
            <v:line style="position:absolute" from="957,2283" to="3737,2283" stroked="true" strokeweight=".5pt" strokecolor="#000000">
              <v:stroke dashstyle="solid"/>
            </v:line>
            <v:shape style="position:absolute;left:1140;top:137;width:717;height:134" type="#_x0000_t202" filled="false" stroked="false">
              <v:textbox inset="0,0,0,0">
                <w:txbxContent>
                  <w:p>
                    <w:pPr>
                      <w:spacing w:line="133" w:lineRule="exact" w:before="0"/>
                      <w:ind w:left="0" w:right="0" w:firstLine="0"/>
                      <w:jc w:val="left"/>
                      <w:rPr>
                        <w:sz w:val="12"/>
                      </w:rPr>
                    </w:pPr>
                    <w:r>
                      <w:rPr>
                        <w:sz w:val="12"/>
                      </w:rPr>
                      <w:t>M4 borrowing</w:t>
                    </w:r>
                  </w:p>
                </w:txbxContent>
              </v:textbox>
              <w10:wrap type="none"/>
            </v:shape>
            <v:shape style="position:absolute;left:2609;top:780;width:823;height:254" type="#_x0000_t202" filled="false" stroked="false">
              <v:textbox inset="0,0,0,0">
                <w:txbxContent>
                  <w:p>
                    <w:pPr>
                      <w:spacing w:line="208" w:lineRule="auto" w:before="9"/>
                      <w:ind w:left="60" w:right="0" w:hanging="60"/>
                      <w:jc w:val="left"/>
                      <w:rPr>
                        <w:sz w:val="12"/>
                      </w:rPr>
                    </w:pPr>
                    <w:r>
                      <w:rPr>
                        <w:sz w:val="12"/>
                      </w:rPr>
                      <w:t>Broader external finance (b)</w:t>
                    </w:r>
                  </w:p>
                </w:txbxContent>
              </v:textbox>
              <w10:wrap type="none"/>
            </v:shape>
            <v:shape style="position:absolute;left:1127;top:2528;width:1194;height:134" type="#_x0000_t202" filled="false" stroked="false">
              <v:textbox inset="0,0,0,0">
                <w:txbxContent>
                  <w:p>
                    <w:pPr>
                      <w:spacing w:line="133" w:lineRule="exact" w:before="0"/>
                      <w:ind w:left="0" w:right="0" w:firstLine="0"/>
                      <w:jc w:val="left"/>
                      <w:rPr>
                        <w:sz w:val="12"/>
                      </w:rPr>
                    </w:pPr>
                    <w:r>
                      <w:rPr>
                        <w:sz w:val="12"/>
                      </w:rPr>
                      <w:t>PNFCs’ financial deficit</w:t>
                    </w:r>
                  </w:p>
                </w:txbxContent>
              </v:textbox>
              <w10:wrap type="none"/>
            </v:shape>
            <w10:wrap type="none"/>
          </v:group>
        </w:pict>
      </w:r>
      <w:r>
        <w:rPr>
          <w:sz w:val="12"/>
        </w:rPr>
        <w:t>16</w:t>
      </w:r>
    </w:p>
    <w:p>
      <w:pPr>
        <w:pStyle w:val="BodyText"/>
        <w:spacing w:before="7"/>
        <w:rPr>
          <w:sz w:val="10"/>
        </w:rPr>
      </w:pPr>
    </w:p>
    <w:p>
      <w:pPr>
        <w:spacing w:before="1"/>
        <w:ind w:left="0" w:right="614" w:firstLine="0"/>
        <w:jc w:val="right"/>
        <w:rPr>
          <w:sz w:val="12"/>
        </w:rPr>
      </w:pPr>
      <w:r>
        <w:rPr>
          <w:sz w:val="12"/>
        </w:rPr>
        <w:t>14</w:t>
      </w:r>
    </w:p>
    <w:p>
      <w:pPr>
        <w:pStyle w:val="BodyText"/>
        <w:spacing w:before="7"/>
        <w:rPr>
          <w:sz w:val="10"/>
        </w:rPr>
      </w:pPr>
    </w:p>
    <w:p>
      <w:pPr>
        <w:spacing w:before="0"/>
        <w:ind w:left="0" w:right="614" w:firstLine="0"/>
        <w:jc w:val="right"/>
        <w:rPr>
          <w:sz w:val="12"/>
        </w:rPr>
      </w:pPr>
      <w:r>
        <w:rPr/>
        <w:pict>
          <v:line style="position:absolute;mso-position-horizontal-relative:page;mso-position-vertical-relative:paragraph;z-index:15778304" from="40.395pt,4.092177pt" to="44.728pt,4.092177pt" stroked="true" strokeweight=".5pt" strokecolor="#000000">
            <v:stroke dashstyle="solid"/>
            <w10:wrap type="none"/>
          </v:line>
        </w:pict>
      </w:r>
      <w:r>
        <w:rPr>
          <w:sz w:val="12"/>
        </w:rPr>
        <w:t>12</w:t>
      </w:r>
    </w:p>
    <w:p>
      <w:pPr>
        <w:pStyle w:val="BodyText"/>
        <w:spacing w:before="7"/>
        <w:rPr>
          <w:sz w:val="10"/>
        </w:rPr>
      </w:pPr>
    </w:p>
    <w:p>
      <w:pPr>
        <w:spacing w:before="1"/>
        <w:ind w:left="0" w:right="614" w:firstLine="0"/>
        <w:jc w:val="right"/>
        <w:rPr>
          <w:sz w:val="12"/>
        </w:rPr>
      </w:pPr>
      <w:r>
        <w:rPr>
          <w:sz w:val="12"/>
        </w:rPr>
        <w:t>10</w:t>
      </w:r>
    </w:p>
    <w:p>
      <w:pPr>
        <w:pStyle w:val="BodyText"/>
        <w:spacing w:before="7"/>
        <w:rPr>
          <w:sz w:val="10"/>
        </w:rPr>
      </w:pPr>
    </w:p>
    <w:p>
      <w:pPr>
        <w:spacing w:before="0"/>
        <w:ind w:left="0" w:right="614" w:firstLine="0"/>
        <w:jc w:val="right"/>
        <w:rPr>
          <w:sz w:val="12"/>
        </w:rPr>
      </w:pPr>
      <w:r>
        <w:rPr/>
        <w:pict>
          <v:line style="position:absolute;mso-position-horizontal-relative:page;mso-position-vertical-relative:paragraph;z-index:15778816" from="40.395pt,4.092767pt" to="44.728pt,4.092767pt" stroked="true" strokeweight=".5pt" strokecolor="#000000">
            <v:stroke dashstyle="solid"/>
            <w10:wrap type="none"/>
          </v:line>
        </w:pict>
      </w:r>
      <w:r>
        <w:rPr>
          <w:sz w:val="12"/>
        </w:rPr>
        <w:t>8</w:t>
      </w:r>
    </w:p>
    <w:p>
      <w:pPr>
        <w:pStyle w:val="BodyText"/>
        <w:spacing w:before="7"/>
        <w:rPr>
          <w:sz w:val="10"/>
        </w:rPr>
      </w:pPr>
    </w:p>
    <w:p>
      <w:pPr>
        <w:spacing w:before="0"/>
        <w:ind w:left="0" w:right="614" w:firstLine="0"/>
        <w:jc w:val="right"/>
        <w:rPr>
          <w:sz w:val="12"/>
        </w:rPr>
      </w:pPr>
      <w:r>
        <w:rPr>
          <w:sz w:val="12"/>
        </w:rPr>
        <w:t>6</w:t>
      </w:r>
    </w:p>
    <w:p>
      <w:pPr>
        <w:pStyle w:val="BodyText"/>
        <w:spacing w:before="8"/>
        <w:rPr>
          <w:sz w:val="10"/>
        </w:rPr>
      </w:pPr>
    </w:p>
    <w:p>
      <w:pPr>
        <w:spacing w:before="0"/>
        <w:ind w:left="0" w:right="614" w:firstLine="0"/>
        <w:jc w:val="right"/>
        <w:rPr>
          <w:sz w:val="12"/>
        </w:rPr>
      </w:pPr>
      <w:r>
        <w:rPr/>
        <w:pict>
          <v:line style="position:absolute;mso-position-horizontal-relative:page;mso-position-vertical-relative:paragraph;z-index:15779328" from="40.395pt,4.092357pt" to="44.728pt,4.092357pt" stroked="true" strokeweight=".5pt" strokecolor="#000000">
            <v:stroke dashstyle="solid"/>
            <w10:wrap type="none"/>
          </v:line>
        </w:pict>
      </w:r>
      <w:r>
        <w:rPr>
          <w:sz w:val="12"/>
        </w:rPr>
        <w:t>4</w:t>
      </w:r>
    </w:p>
    <w:p>
      <w:pPr>
        <w:pStyle w:val="BodyText"/>
        <w:spacing w:before="7"/>
        <w:rPr>
          <w:sz w:val="10"/>
        </w:rPr>
      </w:pPr>
    </w:p>
    <w:p>
      <w:pPr>
        <w:spacing w:line="115" w:lineRule="exact" w:before="0"/>
        <w:ind w:left="3339" w:right="0" w:firstLine="0"/>
        <w:jc w:val="left"/>
        <w:rPr>
          <w:sz w:val="12"/>
        </w:rPr>
      </w:pPr>
      <w:r>
        <w:rPr>
          <w:sz w:val="12"/>
        </w:rPr>
        <w:t>2</w:t>
      </w:r>
    </w:p>
    <w:p>
      <w:pPr>
        <w:spacing w:line="153" w:lineRule="exact" w:before="0"/>
        <w:ind w:left="3238" w:right="0" w:firstLine="0"/>
        <w:jc w:val="left"/>
        <w:rPr>
          <w:sz w:val="16"/>
        </w:rPr>
      </w:pPr>
      <w:r>
        <w:rPr>
          <w:sz w:val="16"/>
        </w:rPr>
        <w:t>+</w:t>
      </w:r>
    </w:p>
    <w:p>
      <w:pPr>
        <w:spacing w:line="168" w:lineRule="auto" w:before="23"/>
        <w:ind w:left="3243" w:right="0" w:firstLine="0"/>
        <w:jc w:val="left"/>
        <w:rPr>
          <w:sz w:val="12"/>
        </w:rPr>
      </w:pPr>
      <w:r>
        <w:rPr>
          <w:position w:val="-4"/>
          <w:sz w:val="16"/>
        </w:rPr>
        <w:t>_</w:t>
      </w:r>
      <w:r>
        <w:rPr>
          <w:spacing w:val="-25"/>
          <w:position w:val="-4"/>
          <w:sz w:val="16"/>
        </w:rPr>
        <w:t> </w:t>
      </w:r>
      <w:r>
        <w:rPr>
          <w:sz w:val="12"/>
        </w:rPr>
        <w:t>0</w:t>
      </w:r>
    </w:p>
    <w:p>
      <w:pPr>
        <w:spacing w:before="89"/>
        <w:ind w:left="0" w:right="614" w:firstLine="0"/>
        <w:jc w:val="right"/>
        <w:rPr>
          <w:sz w:val="12"/>
        </w:rPr>
      </w:pPr>
      <w:r>
        <w:rPr>
          <w:sz w:val="12"/>
        </w:rPr>
        <w:t>2</w:t>
      </w:r>
    </w:p>
    <w:p>
      <w:pPr>
        <w:pStyle w:val="BodyText"/>
        <w:spacing w:before="7"/>
        <w:rPr>
          <w:sz w:val="10"/>
        </w:rPr>
      </w:pPr>
    </w:p>
    <w:p>
      <w:pPr>
        <w:spacing w:line="116" w:lineRule="exact" w:before="0"/>
        <w:ind w:left="3339" w:right="0" w:firstLine="0"/>
        <w:jc w:val="left"/>
        <w:rPr>
          <w:sz w:val="12"/>
        </w:rPr>
      </w:pPr>
      <w:r>
        <w:rPr>
          <w:sz w:val="12"/>
        </w:rPr>
        <w:t>4</w:t>
      </w:r>
    </w:p>
    <w:p>
      <w:pPr>
        <w:spacing w:line="116" w:lineRule="exact" w:before="0"/>
        <w:ind w:left="288" w:right="0" w:firstLine="0"/>
        <w:jc w:val="left"/>
        <w:rPr>
          <w:sz w:val="12"/>
        </w:rPr>
      </w:pPr>
      <w:r>
        <w:rPr>
          <w:sz w:val="12"/>
        </w:rPr>
        <w:t>1988 89 90 91 92 93 94 95 96 97 98 99 2000</w:t>
      </w:r>
    </w:p>
    <w:p>
      <w:pPr>
        <w:spacing w:before="105"/>
        <w:ind w:left="180" w:right="0" w:firstLine="0"/>
        <w:jc w:val="left"/>
        <w:rPr>
          <w:sz w:val="12"/>
        </w:rPr>
      </w:pPr>
      <w:r>
        <w:rPr>
          <w:sz w:val="12"/>
        </w:rPr>
        <w:t>Sources: ONS and Bank of England.</w:t>
      </w:r>
    </w:p>
    <w:p>
      <w:pPr>
        <w:pStyle w:val="ListParagraph"/>
        <w:numPr>
          <w:ilvl w:val="0"/>
          <w:numId w:val="6"/>
        </w:numPr>
        <w:tabs>
          <w:tab w:pos="421" w:val="left" w:leader="none"/>
        </w:tabs>
        <w:spacing w:line="129" w:lineRule="exact" w:before="102" w:after="0"/>
        <w:ind w:left="420" w:right="0" w:hanging="241"/>
        <w:jc w:val="left"/>
        <w:rPr>
          <w:sz w:val="12"/>
        </w:rPr>
      </w:pPr>
      <w:r>
        <w:rPr>
          <w:sz w:val="12"/>
        </w:rPr>
        <w:t>Four-quarter moving</w:t>
      </w:r>
      <w:r>
        <w:rPr>
          <w:spacing w:val="-3"/>
          <w:sz w:val="12"/>
        </w:rPr>
        <w:t> </w:t>
      </w:r>
      <w:r>
        <w:rPr>
          <w:sz w:val="12"/>
        </w:rPr>
        <w:t>averages.</w:t>
      </w:r>
    </w:p>
    <w:p>
      <w:pPr>
        <w:pStyle w:val="ListParagraph"/>
        <w:numPr>
          <w:ilvl w:val="0"/>
          <w:numId w:val="6"/>
        </w:numPr>
        <w:tabs>
          <w:tab w:pos="421" w:val="left" w:leader="none"/>
        </w:tabs>
        <w:spacing w:line="208" w:lineRule="auto" w:before="6" w:after="0"/>
        <w:ind w:left="420" w:right="450" w:hanging="240"/>
        <w:jc w:val="left"/>
        <w:rPr>
          <w:sz w:val="12"/>
        </w:rPr>
      </w:pPr>
      <w:r>
        <w:rPr>
          <w:sz w:val="12"/>
        </w:rPr>
        <w:t>M4</w:t>
      </w:r>
      <w:r>
        <w:rPr>
          <w:spacing w:val="-7"/>
          <w:sz w:val="12"/>
        </w:rPr>
        <w:t> </w:t>
      </w:r>
      <w:r>
        <w:rPr>
          <w:sz w:val="12"/>
        </w:rPr>
        <w:t>borrowing</w:t>
      </w:r>
      <w:r>
        <w:rPr>
          <w:spacing w:val="-6"/>
          <w:sz w:val="12"/>
        </w:rPr>
        <w:t> </w:t>
      </w:r>
      <w:r>
        <w:rPr>
          <w:sz w:val="12"/>
        </w:rPr>
        <w:t>plus</w:t>
      </w:r>
      <w:r>
        <w:rPr>
          <w:spacing w:val="-6"/>
          <w:sz w:val="12"/>
        </w:rPr>
        <w:t> </w:t>
      </w:r>
      <w:r>
        <w:rPr>
          <w:sz w:val="12"/>
        </w:rPr>
        <w:t>capital</w:t>
      </w:r>
      <w:r>
        <w:rPr>
          <w:spacing w:val="-7"/>
          <w:sz w:val="12"/>
        </w:rPr>
        <w:t> </w:t>
      </w:r>
      <w:r>
        <w:rPr>
          <w:sz w:val="12"/>
        </w:rPr>
        <w:t>issues</w:t>
      </w:r>
      <w:r>
        <w:rPr>
          <w:spacing w:val="-6"/>
          <w:sz w:val="12"/>
        </w:rPr>
        <w:t> </w:t>
      </w:r>
      <w:r>
        <w:rPr>
          <w:sz w:val="12"/>
        </w:rPr>
        <w:t>and</w:t>
      </w:r>
      <w:r>
        <w:rPr>
          <w:spacing w:val="-6"/>
          <w:sz w:val="12"/>
        </w:rPr>
        <w:t> </w:t>
      </w:r>
      <w:r>
        <w:rPr>
          <w:sz w:val="12"/>
        </w:rPr>
        <w:t>foreign</w:t>
      </w:r>
      <w:r>
        <w:rPr>
          <w:spacing w:val="-6"/>
          <w:sz w:val="12"/>
        </w:rPr>
        <w:t> </w:t>
      </w:r>
      <w:r>
        <w:rPr>
          <w:sz w:val="12"/>
        </w:rPr>
        <w:t>currency</w:t>
      </w:r>
      <w:r>
        <w:rPr>
          <w:spacing w:val="-7"/>
          <w:sz w:val="12"/>
        </w:rPr>
        <w:t> </w:t>
      </w:r>
      <w:r>
        <w:rPr>
          <w:sz w:val="12"/>
        </w:rPr>
        <w:t>borrowing from UK banks and building</w:t>
      </w:r>
      <w:r>
        <w:rPr>
          <w:spacing w:val="-8"/>
          <w:sz w:val="12"/>
        </w:rPr>
        <w:t> </w:t>
      </w:r>
      <w:r>
        <w:rPr>
          <w:sz w:val="12"/>
        </w:rPr>
        <w:t>societies.</w:t>
      </w:r>
    </w:p>
    <w:p>
      <w:pPr>
        <w:pStyle w:val="BodyText"/>
        <w:rPr>
          <w:sz w:val="12"/>
        </w:rPr>
      </w:pPr>
    </w:p>
    <w:p>
      <w:pPr>
        <w:spacing w:before="84"/>
        <w:ind w:left="180" w:right="0" w:firstLine="0"/>
        <w:jc w:val="left"/>
        <w:rPr>
          <w:b/>
          <w:sz w:val="20"/>
        </w:rPr>
      </w:pPr>
      <w:r>
        <w:rPr>
          <w:b/>
          <w:color w:val="0092C7"/>
          <w:sz w:val="20"/>
        </w:rPr>
        <w:t>Chart 1.9</w:t>
      </w:r>
    </w:p>
    <w:p>
      <w:pPr>
        <w:spacing w:line="249" w:lineRule="auto" w:before="10"/>
        <w:ind w:left="180" w:right="284" w:firstLine="0"/>
        <w:jc w:val="left"/>
        <w:rPr>
          <w:sz w:val="12"/>
        </w:rPr>
      </w:pPr>
      <w:r>
        <w:rPr/>
        <w:pict>
          <v:group style="position:absolute;margin-left:40.958pt;margin-top:27.832926pt;width:162.75pt;height:165pt;mso-position-horizontal-relative:page;mso-position-vertical-relative:paragraph;z-index:-22868992" coordorigin="819,557" coordsize="3255,3300">
            <v:rect style="position:absolute;left:1090;top:3443;width:170;height:408" filled="true" fillcolor="#610e7a" stroked="false">
              <v:fill type="solid"/>
            </v:rect>
            <v:rect style="position:absolute;left:1090;top:3443;width:170;height:408" filled="false" stroked="true" strokeweight=".5pt" strokecolor="#000000">
              <v:stroke dashstyle="solid"/>
            </v:rect>
            <v:rect style="position:absolute;left:1502;top:2600;width:183;height:1250" filled="true" fillcolor="#610e7a" stroked="false">
              <v:fill type="solid"/>
            </v:rect>
            <v:rect style="position:absolute;left:1502;top:2600;width:183;height:1250" filled="false" stroked="true" strokeweight=".5pt" strokecolor="#000000">
              <v:stroke dashstyle="solid"/>
            </v:rect>
            <v:rect style="position:absolute;left:1925;top:2180;width:173;height:1670" filled="true" fillcolor="#610e7a" stroked="false">
              <v:fill type="solid"/>
            </v:rect>
            <v:rect style="position:absolute;left:1925;top:2180;width:173;height:1670" filled="false" stroked="true" strokeweight=".5pt" strokecolor="#000000">
              <v:stroke dashstyle="solid"/>
            </v:rect>
            <v:rect style="position:absolute;left:2337;top:3238;width:183;height:613" filled="true" fillcolor="#be869b" stroked="false">
              <v:fill type="solid"/>
            </v:rect>
            <v:rect style="position:absolute;left:2337;top:3238;width:183;height:613" filled="false" stroked="true" strokeweight=".5pt" strokecolor="#000000">
              <v:stroke dashstyle="solid"/>
            </v:rect>
            <v:rect style="position:absolute;left:2760;top:3500;width:173;height:350" filled="true" fillcolor="#be869b" stroked="false">
              <v:fill type="solid"/>
            </v:rect>
            <v:rect style="position:absolute;left:2760;top:3500;width:173;height:350" filled="false" stroked="true" strokeweight=".5pt" strokecolor="#000000">
              <v:stroke dashstyle="solid"/>
            </v:rect>
            <v:rect style="position:absolute;left:3172;top:2558;width:183;height:1293" filled="true" fillcolor="#be869b" stroked="false">
              <v:fill type="solid"/>
            </v:rect>
            <v:rect style="position:absolute;left:3172;top:2558;width:183;height:1293" filled="false" stroked="true" strokeweight=".5pt" strokecolor="#000000">
              <v:stroke dashstyle="solid"/>
            </v:rect>
            <v:rect style="position:absolute;left:3595;top:2558;width:173;height:1293" filled="true" fillcolor="#be869b" stroked="false">
              <v:fill type="solid"/>
            </v:rect>
            <v:rect style="position:absolute;left:3595;top:2558;width:173;height:1293" filled="false" stroked="true" strokeweight=".5pt" strokecolor="#000000">
              <v:stroke dashstyle="solid"/>
            </v:rect>
            <v:shape style="position:absolute;left:819;top:2212;width:3235;height:1639" coordorigin="819,2212" coordsize="3235,1639" path="m970,3851l3897,3851m968,3784l968,3851m1387,3784l1387,3851m1806,3784l1806,3851m2225,3784l2225,3851m2645,3784l2645,3851m3064,3784l3064,3851m3483,3784l3483,3851m3902,3784l3902,3851m819,2212l906,2212m819,2622l906,2622m819,3441l906,3441m819,3032l906,3032m819,3851l906,3851m3967,2212l4053,2212m3967,2622l4053,2622m3967,3441l4053,3441m3967,3032l4053,3032m3967,3851l4053,3851e" filled="false" stroked="true" strokeweight=".5pt" strokecolor="#000000">
              <v:path arrowok="t"/>
              <v:stroke dashstyle="solid"/>
            </v:shape>
            <v:line style="position:absolute" from="2225,978" to="2225,3845" stroked="true" strokeweight=".5pt" strokecolor="#000000">
              <v:stroke dashstyle="dash"/>
            </v:line>
            <v:line style="position:absolute" from="819,983" to="906,983" stroked="true" strokeweight=".5pt" strokecolor="#000000">
              <v:stroke dashstyle="solid"/>
            </v:line>
            <v:shape style="position:absolute;left:819;top:556;width:184;height:360" type="#_x0000_t75" stroked="false">
              <v:imagedata r:id="rId37" o:title=""/>
            </v:shape>
            <v:shape style="position:absolute;left:1052;top:574;width:400;height:320" type="#_x0000_t202" filled="false" stroked="false">
              <v:textbox inset="0,0,0,0">
                <w:txbxContent>
                  <w:p>
                    <w:pPr>
                      <w:spacing w:line="133" w:lineRule="exact" w:before="0"/>
                      <w:ind w:left="0" w:right="0" w:firstLine="0"/>
                      <w:jc w:val="left"/>
                      <w:rPr>
                        <w:sz w:val="12"/>
                      </w:rPr>
                    </w:pPr>
                    <w:r>
                      <w:rPr>
                        <w:sz w:val="12"/>
                      </w:rPr>
                      <w:t>Sources</w:t>
                    </w:r>
                  </w:p>
                  <w:p>
                    <w:pPr>
                      <w:spacing w:before="48"/>
                      <w:ind w:left="0" w:right="0" w:firstLine="0"/>
                      <w:jc w:val="left"/>
                      <w:rPr>
                        <w:sz w:val="12"/>
                      </w:rPr>
                    </w:pPr>
                    <w:r>
                      <w:rPr>
                        <w:sz w:val="12"/>
                      </w:rPr>
                      <w:t>Uses</w:t>
                    </w:r>
                  </w:p>
                </w:txbxContent>
              </v:textbox>
              <w10:wrap type="none"/>
            </v:shape>
            <v:shape style="position:absolute;left:3603;top:818;width:471;height:133" type="#_x0000_t202" filled="false" stroked="false">
              <v:textbox inset="0,0,0,0">
                <w:txbxContent>
                  <w:p>
                    <w:pPr>
                      <w:spacing w:line="133" w:lineRule="exact" w:before="0"/>
                      <w:ind w:left="0" w:right="0" w:firstLine="0"/>
                      <w:jc w:val="left"/>
                      <w:rPr>
                        <w:sz w:val="12"/>
                      </w:rPr>
                    </w:pPr>
                    <w:r>
                      <w:rPr>
                        <w:sz w:val="12"/>
                      </w:rPr>
                      <w:t>£ billions</w:t>
                    </w:r>
                  </w:p>
                </w:txbxContent>
              </v:textbox>
              <w10:wrap type="none"/>
            </v:shape>
            <v:shape style="position:absolute;left:1325;top:1701;width:904;height:868" type="#_x0000_t202" filled="false" stroked="false">
              <v:textbox inset="0,0,0,0">
                <w:txbxContent>
                  <w:p>
                    <w:pPr>
                      <w:spacing w:line="216" w:lineRule="auto" w:before="8"/>
                      <w:ind w:left="433" w:right="17" w:firstLine="0"/>
                      <w:jc w:val="left"/>
                      <w:rPr>
                        <w:sz w:val="10"/>
                      </w:rPr>
                    </w:pPr>
                    <w:r>
                      <w:rPr>
                        <w:sz w:val="10"/>
                      </w:rPr>
                      <w:t>Borrowing </w:t>
                    </w:r>
                    <w:r>
                      <w:rPr>
                        <w:w w:val="105"/>
                        <w:sz w:val="10"/>
                      </w:rPr>
                      <w:t>from overseas</w:t>
                    </w:r>
                  </w:p>
                  <w:p>
                    <w:pPr>
                      <w:spacing w:line="216" w:lineRule="auto" w:before="7"/>
                      <w:ind w:left="0" w:right="17" w:firstLine="0"/>
                      <w:jc w:val="left"/>
                      <w:rPr>
                        <w:sz w:val="10"/>
                      </w:rPr>
                    </w:pPr>
                    <w:r>
                      <w:rPr>
                        <w:w w:val="105"/>
                        <w:sz w:val="10"/>
                      </w:rPr>
                      <w:t>External </w:t>
                    </w:r>
                    <w:r>
                      <w:rPr>
                        <w:w w:val="105"/>
                        <w:position w:val="2"/>
                        <w:sz w:val="10"/>
                      </w:rPr>
                      <w:t>MFIs (c) </w:t>
                    </w:r>
                    <w:r>
                      <w:rPr>
                        <w:w w:val="105"/>
                        <w:sz w:val="10"/>
                      </w:rPr>
                      <w:t>finance</w:t>
                    </w:r>
                  </w:p>
                  <w:p>
                    <w:pPr>
                      <w:spacing w:line="216" w:lineRule="auto" w:before="1"/>
                      <w:ind w:left="0" w:right="437" w:firstLine="0"/>
                      <w:jc w:val="left"/>
                      <w:rPr>
                        <w:sz w:val="10"/>
                      </w:rPr>
                    </w:pPr>
                    <w:r>
                      <w:rPr>
                        <w:w w:val="105"/>
                        <w:sz w:val="10"/>
                      </w:rPr>
                      <w:t>raised in the United Kingdom</w:t>
                    </w:r>
                  </w:p>
                </w:txbxContent>
              </v:textbox>
              <w10:wrap type="none"/>
            </v:shape>
            <v:shape style="position:absolute;left:3137;top:2091;width:738;height:429" type="#_x0000_t202" filled="false" stroked="false">
              <v:textbox inset="0,0,0,0">
                <w:txbxContent>
                  <w:p>
                    <w:pPr>
                      <w:spacing w:line="109" w:lineRule="exact" w:before="0"/>
                      <w:ind w:left="382" w:right="0" w:firstLine="0"/>
                      <w:jc w:val="left"/>
                      <w:rPr>
                        <w:sz w:val="10"/>
                      </w:rPr>
                    </w:pPr>
                    <w:r>
                      <w:rPr>
                        <w:w w:val="105"/>
                        <w:sz w:val="10"/>
                      </w:rPr>
                      <w:t>3G</w:t>
                    </w:r>
                    <w:r>
                      <w:rPr>
                        <w:spacing w:val="-3"/>
                        <w:w w:val="105"/>
                        <w:sz w:val="10"/>
                      </w:rPr>
                      <w:t> </w:t>
                    </w:r>
                    <w:r>
                      <w:rPr>
                        <w:w w:val="105"/>
                        <w:sz w:val="10"/>
                      </w:rPr>
                      <w:t>(d)</w:t>
                    </w:r>
                  </w:p>
                  <w:p>
                    <w:pPr>
                      <w:spacing w:line="216" w:lineRule="auto" w:before="4"/>
                      <w:ind w:left="382" w:right="58" w:firstLine="0"/>
                      <w:jc w:val="left"/>
                      <w:rPr>
                        <w:sz w:val="10"/>
                      </w:rPr>
                    </w:pPr>
                    <w:r>
                      <w:rPr>
                        <w:sz w:val="10"/>
                      </w:rPr>
                      <w:t>mobile </w:t>
                    </w:r>
                    <w:r>
                      <w:rPr>
                        <w:w w:val="105"/>
                        <w:sz w:val="10"/>
                      </w:rPr>
                      <w:t>phone</w:t>
                    </w:r>
                  </w:p>
                  <w:p>
                    <w:pPr>
                      <w:spacing w:line="108" w:lineRule="exact" w:before="0"/>
                      <w:ind w:left="0" w:right="0" w:firstLine="0"/>
                      <w:jc w:val="left"/>
                      <w:rPr>
                        <w:sz w:val="10"/>
                      </w:rPr>
                    </w:pPr>
                    <w:r>
                      <w:rPr>
                        <w:w w:val="105"/>
                        <w:sz w:val="10"/>
                      </w:rPr>
                      <w:t>M&amp;A licences</w:t>
                    </w:r>
                  </w:p>
                </w:txbxContent>
              </v:textbox>
              <w10:wrap type="none"/>
            </v:shape>
            <v:shape style="position:absolute;left:2247;top:2977;width:511;height:220" type="#_x0000_t202" filled="false" stroked="false">
              <v:textbox inset="0,0,0,0">
                <w:txbxContent>
                  <w:p>
                    <w:pPr>
                      <w:spacing w:line="216" w:lineRule="auto" w:before="8"/>
                      <w:ind w:left="0" w:right="0" w:firstLine="0"/>
                      <w:jc w:val="left"/>
                      <w:rPr>
                        <w:sz w:val="10"/>
                      </w:rPr>
                    </w:pPr>
                    <w:r>
                      <w:rPr>
                        <w:w w:val="105"/>
                        <w:sz w:val="10"/>
                      </w:rPr>
                      <w:t>Capital </w:t>
                    </w:r>
                    <w:r>
                      <w:rPr>
                        <w:sz w:val="10"/>
                      </w:rPr>
                      <w:t>expenditure</w:t>
                    </w:r>
                  </w:p>
                </w:txbxContent>
              </v:textbox>
              <w10:wrap type="none"/>
            </v:shape>
            <v:shape style="position:absolute;left:1028;top:3298;width:309;height:116" type="#_x0000_t202" filled="false" stroked="false">
              <v:textbox inset="0,0,0,0">
                <w:txbxContent>
                  <w:p>
                    <w:pPr>
                      <w:spacing w:line="114" w:lineRule="exact" w:before="0"/>
                      <w:ind w:left="0" w:right="0" w:firstLine="0"/>
                      <w:jc w:val="left"/>
                      <w:rPr>
                        <w:sz w:val="10"/>
                      </w:rPr>
                    </w:pPr>
                    <w:r>
                      <w:rPr>
                        <w:w w:val="105"/>
                        <w:sz w:val="10"/>
                      </w:rPr>
                      <w:t>Saving</w:t>
                    </w:r>
                  </w:p>
                </w:txbxContent>
              </v:textbox>
              <w10:wrap type="none"/>
            </v:shape>
            <v:shape style="position:absolute;left:2667;top:3237;width:361;height:220" type="#_x0000_t202" filled="false" stroked="false">
              <v:textbox inset="0,0,0,0">
                <w:txbxContent>
                  <w:p>
                    <w:pPr>
                      <w:spacing w:line="109" w:lineRule="exact" w:before="0"/>
                      <w:ind w:left="0" w:right="0" w:firstLine="0"/>
                      <w:jc w:val="left"/>
                      <w:rPr>
                        <w:sz w:val="10"/>
                      </w:rPr>
                    </w:pPr>
                    <w:r>
                      <w:rPr>
                        <w:w w:val="105"/>
                        <w:sz w:val="10"/>
                      </w:rPr>
                      <w:t>M4</w:t>
                    </w:r>
                  </w:p>
                  <w:p>
                    <w:pPr>
                      <w:spacing w:line="109" w:lineRule="exact" w:before="0"/>
                      <w:ind w:left="0" w:right="0" w:firstLine="0"/>
                      <w:jc w:val="left"/>
                      <w:rPr>
                        <w:sz w:val="10"/>
                      </w:rPr>
                    </w:pPr>
                    <w:r>
                      <w:rPr>
                        <w:w w:val="105"/>
                        <w:sz w:val="10"/>
                      </w:rPr>
                      <w:t>deposits</w:t>
                    </w:r>
                  </w:p>
                </w:txbxContent>
              </v:textbox>
              <w10:wrap type="none"/>
            </v:shape>
            <w10:wrap type="none"/>
          </v:group>
        </w:pict>
      </w:r>
      <w:r>
        <w:rPr>
          <w:b/>
          <w:color w:val="0092C7"/>
          <w:sz w:val="20"/>
        </w:rPr>
        <w:t>Changes in PNFCs’ main sources and uses of funds</w:t>
      </w:r>
      <w:r>
        <w:rPr>
          <w:position w:val="4"/>
          <w:sz w:val="12"/>
        </w:rPr>
        <w:t>(a)(b)</w:t>
      </w:r>
    </w:p>
    <w:p>
      <w:pPr>
        <w:pStyle w:val="BodyText"/>
        <w:rPr>
          <w:sz w:val="22"/>
        </w:rPr>
      </w:pPr>
    </w:p>
    <w:p>
      <w:pPr>
        <w:spacing w:before="163"/>
        <w:ind w:left="0" w:right="448" w:firstLine="0"/>
        <w:jc w:val="right"/>
        <w:rPr>
          <w:sz w:val="12"/>
        </w:rPr>
      </w:pPr>
      <w:r>
        <w:rPr/>
        <w:pict>
          <v:line style="position:absolute;mso-position-horizontal-relative:page;mso-position-vertical-relative:paragraph;z-index:15785472" from="198.334pt,12.116363pt" to="202.666pt,12.116363pt" stroked="true" strokeweight=".5pt" strokecolor="#000000">
            <v:stroke dashstyle="solid"/>
            <w10:wrap type="none"/>
          </v:line>
        </w:pict>
      </w:r>
      <w:r>
        <w:rPr>
          <w:sz w:val="12"/>
        </w:rPr>
        <w:t>28</w:t>
      </w:r>
    </w:p>
    <w:p>
      <w:pPr>
        <w:pStyle w:val="BodyText"/>
        <w:spacing w:line="242" w:lineRule="auto"/>
        <w:ind w:left="180" w:right="256"/>
      </w:pPr>
      <w:r>
        <w:rPr/>
        <w:br w:type="column"/>
      </w:r>
      <w:r>
        <w:rPr/>
        <w:t>telecommunications sector accounted for about half of the total external finance raised in the United Kingdom by PNFCs during 2000 Q3. There was a similar divergence between external finance raised and the financial deficit in the late 1980s, a time when M&amp;A expenditure was also high. In fact, as Chart 1.9 illustrates, the increase in expenditure on financial assets, combined with the increase in expenditure on real assets, has substantially exceeded internal and external finance raised in the United Kingdom. So borrowing from overseas has increased.</w:t>
      </w:r>
    </w:p>
    <w:p>
      <w:pPr>
        <w:pStyle w:val="BodyText"/>
        <w:spacing w:before="5"/>
        <w:rPr>
          <w:sz w:val="26"/>
        </w:rPr>
      </w:pPr>
    </w:p>
    <w:p>
      <w:pPr>
        <w:pStyle w:val="BodyText"/>
        <w:spacing w:line="242" w:lineRule="auto"/>
        <w:ind w:left="180" w:right="135"/>
      </w:pPr>
      <w:r>
        <w:rPr/>
        <w:t>The increase in borrowing by corporates has raised the ratio of their net debt stock to post-tax profits to levels reached in the early 1990s (see Chart 1.10). But the market valuation of future profits relative to current profits has increased significantly since then. So capital gearing, measured in market value terms, is still relatively benign. The relatively high ratio of market valuations to current corporate profits may reflect an expectation of faster growth in real profits than in the past, or a lower discount rate. Future profits may be discounted at a lower rate because of a decline in the risk premium that investors require for holding shares in companies rather than risk-free assets.</w:t>
      </w:r>
    </w:p>
    <w:p>
      <w:pPr>
        <w:spacing w:after="0" w:line="242" w:lineRule="auto"/>
        <w:sectPr>
          <w:type w:val="continuous"/>
          <w:pgSz w:w="11900" w:h="16840"/>
          <w:pgMar w:top="1260" w:bottom="280" w:left="640" w:right="640"/>
          <w:cols w:num="2" w:equalWidth="0">
            <w:col w:w="4017" w:space="783"/>
            <w:col w:w="5820"/>
          </w:cols>
        </w:sectPr>
      </w:pPr>
    </w:p>
    <w:p>
      <w:pPr>
        <w:pStyle w:val="BodyText"/>
        <w:spacing w:before="10"/>
        <w:rPr>
          <w:sz w:val="9"/>
        </w:rPr>
      </w:pPr>
    </w:p>
    <w:p>
      <w:pPr>
        <w:spacing w:after="0"/>
        <w:rPr>
          <w:sz w:val="9"/>
        </w:rPr>
        <w:sectPr>
          <w:type w:val="continuous"/>
          <w:pgSz w:w="11900" w:h="16840"/>
          <w:pgMar w:top="1260" w:bottom="280" w:left="640" w:right="640"/>
        </w:sectPr>
      </w:pPr>
    </w:p>
    <w:p>
      <w:pPr>
        <w:pStyle w:val="BodyText"/>
        <w:spacing w:before="8"/>
        <w:rPr>
          <w:sz w:val="14"/>
        </w:rPr>
      </w:pPr>
    </w:p>
    <w:p>
      <w:pPr>
        <w:pStyle w:val="BodyText"/>
        <w:spacing w:line="20" w:lineRule="exact"/>
        <w:ind w:left="174"/>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5"/>
        <w:rPr>
          <w:sz w:val="10"/>
        </w:rPr>
      </w:pPr>
      <w:r>
        <w:rPr/>
        <w:pict>
          <v:shape style="position:absolute;margin-left:40.958pt;margin-top:8.232977pt;width:4.350pt;height:.1pt;mso-position-horizontal-relative:page;mso-position-vertical-relative:paragraph;z-index:-15682560;mso-wrap-distance-left:0;mso-wrap-distance-right:0" coordorigin="819,165" coordsize="87,0" path="m819,165l906,165e" filled="false" stroked="true" strokeweight=".5pt" strokecolor="#000000">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6"/>
        </w:rPr>
      </w:pPr>
    </w:p>
    <w:p>
      <w:pPr>
        <w:spacing w:before="0"/>
        <w:ind w:left="180" w:right="0" w:firstLine="0"/>
        <w:jc w:val="left"/>
        <w:rPr>
          <w:sz w:val="12"/>
        </w:rPr>
      </w:pPr>
      <w:r>
        <w:rPr>
          <w:sz w:val="12"/>
        </w:rPr>
        <w:t>Sources: ONS and Bank of England.</w:t>
      </w:r>
    </w:p>
    <w:p>
      <w:pPr>
        <w:spacing w:line="123" w:lineRule="exact" w:before="95"/>
        <w:ind w:left="180" w:right="0" w:firstLine="0"/>
        <w:jc w:val="left"/>
        <w:rPr>
          <w:sz w:val="12"/>
        </w:rPr>
      </w:pPr>
      <w:r>
        <w:rPr/>
        <w:br w:type="column"/>
      </w:r>
      <w:r>
        <w:rPr>
          <w:sz w:val="12"/>
        </w:rPr>
        <w:t>24</w:t>
      </w:r>
    </w:p>
    <w:p>
      <w:pPr>
        <w:pStyle w:val="BodyText"/>
        <w:spacing w:line="261" w:lineRule="exact"/>
        <w:ind w:left="1714"/>
      </w:pPr>
      <w:r>
        <w:rPr/>
        <w:pict>
          <v:line style="position:absolute;mso-position-horizontal-relative:page;mso-position-vertical-relative:paragraph;z-index:15784448" from="198.334pt,-2.184961pt" to="202.666pt,-2.184961pt" stroked="true" strokeweight=".5pt" strokecolor="#000000">
            <v:stroke dashstyle="solid"/>
            <w10:wrap type="none"/>
          </v:line>
        </w:pict>
      </w:r>
      <w:r>
        <w:rPr/>
        <w:t>While corporate liquidity currently seems strong,</w:t>
      </w:r>
    </w:p>
    <w:p>
      <w:pPr>
        <w:pStyle w:val="BodyText"/>
        <w:tabs>
          <w:tab w:pos="1713" w:val="left" w:leader="none"/>
        </w:tabs>
        <w:spacing w:before="4"/>
        <w:ind w:left="180"/>
      </w:pPr>
      <w:r>
        <w:rPr/>
        <w:pict>
          <v:line style="position:absolute;mso-position-horizontal-relative:page;mso-position-vertical-relative:paragraph;z-index:15784960" from="198.334pt,5.244925pt" to="202.666pt,5.244925pt" stroked="true" strokeweight=".5pt" strokecolor="#000000">
            <v:stroke dashstyle="solid"/>
            <w10:wrap type="none"/>
          </v:line>
        </w:pict>
      </w:r>
      <w:r>
        <w:rPr>
          <w:position w:val="9"/>
          <w:sz w:val="12"/>
        </w:rPr>
        <w:t>20</w:t>
        <w:tab/>
      </w:r>
      <w:r>
        <w:rPr/>
        <w:t>the sharp increase in indebtedness may</w:t>
      </w:r>
      <w:r>
        <w:rPr>
          <w:spacing w:val="-14"/>
        </w:rPr>
        <w:t> </w:t>
      </w:r>
      <w:r>
        <w:rPr/>
        <w:t>embody</w:t>
      </w:r>
    </w:p>
    <w:p>
      <w:pPr>
        <w:pStyle w:val="BodyText"/>
        <w:tabs>
          <w:tab w:pos="1713" w:val="left" w:leader="none"/>
        </w:tabs>
        <w:spacing w:line="232" w:lineRule="auto" w:before="10"/>
        <w:ind w:left="1714" w:right="217" w:hanging="1535"/>
      </w:pPr>
      <w:r>
        <w:rPr>
          <w:position w:val="-3"/>
          <w:sz w:val="12"/>
        </w:rPr>
        <w:t>16</w:t>
        <w:tab/>
      </w:r>
      <w:r>
        <w:rPr/>
        <w:t>relatively optimistic assumptions on the part of borrowers</w:t>
      </w:r>
      <w:r>
        <w:rPr>
          <w:spacing w:val="-8"/>
        </w:rPr>
        <w:t> </w:t>
      </w:r>
      <w:r>
        <w:rPr/>
        <w:t>and</w:t>
      </w:r>
      <w:r>
        <w:rPr>
          <w:spacing w:val="-7"/>
        </w:rPr>
        <w:t> </w:t>
      </w:r>
      <w:r>
        <w:rPr/>
        <w:t>lenders</w:t>
      </w:r>
      <w:r>
        <w:rPr>
          <w:spacing w:val="-7"/>
        </w:rPr>
        <w:t> </w:t>
      </w:r>
      <w:r>
        <w:rPr/>
        <w:t>about</w:t>
      </w:r>
      <w:r>
        <w:rPr>
          <w:spacing w:val="-7"/>
        </w:rPr>
        <w:t> </w:t>
      </w:r>
      <w:r>
        <w:rPr/>
        <w:t>growth</w:t>
      </w:r>
      <w:r>
        <w:rPr>
          <w:spacing w:val="-7"/>
        </w:rPr>
        <w:t> </w:t>
      </w:r>
      <w:r>
        <w:rPr/>
        <w:t>in</w:t>
      </w:r>
      <w:r>
        <w:rPr>
          <w:spacing w:val="-7"/>
        </w:rPr>
        <w:t> </w:t>
      </w:r>
      <w:r>
        <w:rPr/>
        <w:t>future</w:t>
      </w:r>
      <w:r>
        <w:rPr>
          <w:spacing w:val="-8"/>
        </w:rPr>
        <w:t> </w:t>
      </w:r>
      <w:r>
        <w:rPr/>
        <w:t>profits</w:t>
      </w:r>
      <w:r>
        <w:rPr>
          <w:spacing w:val="-7"/>
        </w:rPr>
        <w:t> </w:t>
      </w:r>
      <w:r>
        <w:rPr/>
        <w:t>and</w:t>
      </w:r>
    </w:p>
    <w:p>
      <w:pPr>
        <w:pStyle w:val="BodyText"/>
        <w:tabs>
          <w:tab w:pos="1713" w:val="left" w:leader="none"/>
        </w:tabs>
        <w:spacing w:before="5"/>
        <w:ind w:left="180"/>
      </w:pPr>
      <w:r>
        <w:rPr>
          <w:position w:val="11"/>
          <w:sz w:val="12"/>
        </w:rPr>
        <w:t>12</w:t>
        <w:tab/>
      </w:r>
      <w:r>
        <w:rPr/>
        <w:t>the degree of risk in the corporate </w:t>
      </w:r>
      <w:r>
        <w:rPr>
          <w:spacing w:val="-3"/>
        </w:rPr>
        <w:t>sector.</w:t>
      </w:r>
      <w:r>
        <w:rPr>
          <w:spacing w:val="32"/>
        </w:rPr>
        <w:t> </w:t>
      </w:r>
      <w:r>
        <w:rPr/>
        <w:t>Expectations</w:t>
      </w:r>
    </w:p>
    <w:p>
      <w:pPr>
        <w:pStyle w:val="BodyText"/>
        <w:tabs>
          <w:tab w:pos="1713" w:val="left" w:leader="none"/>
        </w:tabs>
        <w:spacing w:line="244" w:lineRule="auto" w:before="2"/>
        <w:ind w:left="1714" w:right="489" w:hanging="1475"/>
      </w:pPr>
      <w:r>
        <w:rPr>
          <w:sz w:val="12"/>
        </w:rPr>
        <w:t>8</w:t>
        <w:tab/>
      </w:r>
      <w:r>
        <w:rPr>
          <w:position w:val="2"/>
        </w:rPr>
        <w:t>about future </w:t>
      </w:r>
      <w:r>
        <w:rPr>
          <w:spacing w:val="-3"/>
          <w:position w:val="2"/>
        </w:rPr>
        <w:t>profitability, </w:t>
      </w:r>
      <w:r>
        <w:rPr>
          <w:position w:val="2"/>
        </w:rPr>
        <w:t>and hence the market </w:t>
      </w:r>
      <w:r>
        <w:rPr/>
        <w:t>valuations that support current </w:t>
      </w:r>
      <w:r>
        <w:rPr>
          <w:spacing w:val="-3"/>
        </w:rPr>
        <w:t>levels </w:t>
      </w:r>
      <w:r>
        <w:rPr/>
        <w:t>of</w:t>
      </w:r>
      <w:r>
        <w:rPr>
          <w:spacing w:val="-37"/>
        </w:rPr>
        <w:t> </w:t>
      </w:r>
      <w:r>
        <w:rPr/>
        <w:t>indebtedness,</w:t>
      </w:r>
    </w:p>
    <w:p>
      <w:pPr>
        <w:pStyle w:val="BodyText"/>
        <w:tabs>
          <w:tab w:pos="1713" w:val="left" w:leader="none"/>
        </w:tabs>
        <w:spacing w:line="275" w:lineRule="exact"/>
        <w:ind w:left="240"/>
      </w:pPr>
      <w:r>
        <w:rPr>
          <w:position w:val="13"/>
          <w:sz w:val="12"/>
        </w:rPr>
        <w:t>4</w:t>
        <w:tab/>
      </w:r>
      <w:r>
        <w:rPr/>
        <w:t>may be subject to sudden adjustments. Indeed, there</w:t>
      </w:r>
      <w:r>
        <w:rPr>
          <w:spacing w:val="-33"/>
        </w:rPr>
        <w:t> </w:t>
      </w:r>
      <w:r>
        <w:rPr/>
        <w:t>are</w:t>
      </w:r>
    </w:p>
    <w:p>
      <w:pPr>
        <w:pStyle w:val="BodyText"/>
        <w:tabs>
          <w:tab w:pos="1713" w:val="left" w:leader="none"/>
        </w:tabs>
        <w:spacing w:line="242" w:lineRule="auto" w:before="4"/>
        <w:ind w:left="1714" w:right="343" w:hanging="1475"/>
      </w:pPr>
      <w:r>
        <w:rPr>
          <w:sz w:val="12"/>
        </w:rPr>
        <w:t>0</w:t>
        <w:tab/>
      </w:r>
      <w:r>
        <w:rPr/>
        <w:t>some indications that perceptions about future profitability </w:t>
      </w:r>
      <w:r>
        <w:rPr>
          <w:spacing w:val="-3"/>
        </w:rPr>
        <w:t>have </w:t>
      </w:r>
      <w:r>
        <w:rPr/>
        <w:t>moderated </w:t>
      </w:r>
      <w:r>
        <w:rPr>
          <w:spacing w:val="-3"/>
        </w:rPr>
        <w:t>recently, </w:t>
      </w:r>
      <w:r>
        <w:rPr/>
        <w:t>and equity</w:t>
      </w:r>
      <w:r>
        <w:rPr>
          <w:spacing w:val="-27"/>
        </w:rPr>
        <w:t> </w:t>
      </w:r>
      <w:r>
        <w:rPr/>
        <w:t>prices</w:t>
      </w:r>
    </w:p>
    <w:p>
      <w:pPr>
        <w:spacing w:after="0" w:line="242" w:lineRule="auto"/>
        <w:sectPr>
          <w:type w:val="continuous"/>
          <w:pgSz w:w="11900" w:h="16840"/>
          <w:pgMar w:top="1260" w:bottom="280" w:left="640" w:right="640"/>
          <w:cols w:num="2" w:equalWidth="0">
            <w:col w:w="2010" w:space="1256"/>
            <w:col w:w="7354"/>
          </w:cols>
        </w:sectPr>
      </w:pPr>
    </w:p>
    <w:p>
      <w:pPr>
        <w:pStyle w:val="ListParagraph"/>
        <w:numPr>
          <w:ilvl w:val="0"/>
          <w:numId w:val="7"/>
        </w:numPr>
        <w:tabs>
          <w:tab w:pos="421" w:val="left" w:leader="none"/>
        </w:tabs>
        <w:spacing w:line="111" w:lineRule="exact" w:before="0" w:after="0"/>
        <w:ind w:left="420" w:right="0" w:hanging="241"/>
        <w:jc w:val="left"/>
        <w:rPr>
          <w:sz w:val="12"/>
        </w:rPr>
      </w:pPr>
      <w:r>
        <w:rPr>
          <w:sz w:val="12"/>
        </w:rPr>
        <w:t>Excludes equity-financed M&amp;A</w:t>
      </w:r>
      <w:r>
        <w:rPr>
          <w:spacing w:val="-5"/>
          <w:sz w:val="12"/>
        </w:rPr>
        <w:t> </w:t>
      </w:r>
      <w:r>
        <w:rPr>
          <w:sz w:val="12"/>
        </w:rPr>
        <w:t>deals.</w:t>
      </w:r>
    </w:p>
    <w:p>
      <w:pPr>
        <w:pStyle w:val="ListParagraph"/>
        <w:numPr>
          <w:ilvl w:val="0"/>
          <w:numId w:val="7"/>
        </w:numPr>
        <w:tabs>
          <w:tab w:pos="421" w:val="left" w:leader="none"/>
        </w:tabs>
        <w:spacing w:line="120" w:lineRule="exact" w:before="0" w:after="0"/>
        <w:ind w:left="420" w:right="0" w:hanging="241"/>
        <w:jc w:val="left"/>
        <w:rPr>
          <w:sz w:val="12"/>
        </w:rPr>
      </w:pPr>
      <w:r>
        <w:rPr>
          <w:sz w:val="12"/>
        </w:rPr>
        <w:t>Four</w:t>
      </w:r>
      <w:r>
        <w:rPr>
          <w:spacing w:val="-5"/>
          <w:sz w:val="12"/>
        </w:rPr>
        <w:t> </w:t>
      </w:r>
      <w:r>
        <w:rPr>
          <w:sz w:val="12"/>
        </w:rPr>
        <w:t>quarters</w:t>
      </w:r>
      <w:r>
        <w:rPr>
          <w:spacing w:val="-5"/>
          <w:sz w:val="12"/>
        </w:rPr>
        <w:t> </w:t>
      </w:r>
      <w:r>
        <w:rPr>
          <w:sz w:val="12"/>
        </w:rPr>
        <w:t>to</w:t>
      </w:r>
      <w:r>
        <w:rPr>
          <w:spacing w:val="-5"/>
          <w:sz w:val="12"/>
        </w:rPr>
        <w:t> </w:t>
      </w:r>
      <w:r>
        <w:rPr>
          <w:sz w:val="12"/>
        </w:rPr>
        <w:t>2000</w:t>
      </w:r>
      <w:r>
        <w:rPr>
          <w:spacing w:val="-5"/>
          <w:sz w:val="12"/>
        </w:rPr>
        <w:t> </w:t>
      </w:r>
      <w:r>
        <w:rPr>
          <w:sz w:val="12"/>
        </w:rPr>
        <w:t>Q2</w:t>
      </w:r>
      <w:r>
        <w:rPr>
          <w:spacing w:val="-5"/>
          <w:sz w:val="12"/>
        </w:rPr>
        <w:t> </w:t>
      </w:r>
      <w:r>
        <w:rPr>
          <w:sz w:val="12"/>
        </w:rPr>
        <w:t>compared</w:t>
      </w:r>
      <w:r>
        <w:rPr>
          <w:spacing w:val="-5"/>
          <w:sz w:val="12"/>
        </w:rPr>
        <w:t> </w:t>
      </w:r>
      <w:r>
        <w:rPr>
          <w:sz w:val="12"/>
        </w:rPr>
        <w:t>with</w:t>
      </w:r>
      <w:r>
        <w:rPr>
          <w:spacing w:val="-5"/>
          <w:sz w:val="12"/>
        </w:rPr>
        <w:t> </w:t>
      </w:r>
      <w:r>
        <w:rPr>
          <w:sz w:val="12"/>
        </w:rPr>
        <w:t>previous</w:t>
      </w:r>
      <w:r>
        <w:rPr>
          <w:spacing w:val="-5"/>
          <w:sz w:val="12"/>
        </w:rPr>
        <w:t> </w:t>
      </w:r>
      <w:r>
        <w:rPr>
          <w:sz w:val="12"/>
        </w:rPr>
        <w:t>four</w:t>
      </w:r>
      <w:r>
        <w:rPr>
          <w:spacing w:val="-5"/>
          <w:sz w:val="12"/>
        </w:rPr>
        <w:t> </w:t>
      </w:r>
      <w:r>
        <w:rPr>
          <w:sz w:val="12"/>
        </w:rPr>
        <w:t>quarters.</w:t>
      </w:r>
    </w:p>
    <w:p>
      <w:pPr>
        <w:pStyle w:val="ListParagraph"/>
        <w:numPr>
          <w:ilvl w:val="0"/>
          <w:numId w:val="7"/>
        </w:numPr>
        <w:tabs>
          <w:tab w:pos="421" w:val="left" w:leader="none"/>
        </w:tabs>
        <w:spacing w:line="120" w:lineRule="exact" w:before="0" w:after="0"/>
        <w:ind w:left="420" w:right="0" w:hanging="241"/>
        <w:jc w:val="left"/>
        <w:rPr>
          <w:sz w:val="12"/>
        </w:rPr>
      </w:pPr>
      <w:r>
        <w:rPr>
          <w:sz w:val="12"/>
        </w:rPr>
        <w:t>Monetary and financial</w:t>
      </w:r>
      <w:r>
        <w:rPr>
          <w:spacing w:val="-5"/>
          <w:sz w:val="12"/>
        </w:rPr>
        <w:t> </w:t>
      </w:r>
      <w:r>
        <w:rPr>
          <w:sz w:val="12"/>
        </w:rPr>
        <w:t>institutions.</w:t>
      </w:r>
    </w:p>
    <w:p>
      <w:pPr>
        <w:pStyle w:val="ListParagraph"/>
        <w:numPr>
          <w:ilvl w:val="0"/>
          <w:numId w:val="7"/>
        </w:numPr>
        <w:tabs>
          <w:tab w:pos="421" w:val="left" w:leader="none"/>
        </w:tabs>
        <w:spacing w:line="129" w:lineRule="exact" w:before="0" w:after="0"/>
        <w:ind w:left="420" w:right="0" w:hanging="241"/>
        <w:jc w:val="left"/>
        <w:rPr>
          <w:sz w:val="12"/>
        </w:rPr>
      </w:pPr>
      <w:r>
        <w:rPr>
          <w:sz w:val="12"/>
        </w:rPr>
        <w:t>Third-generation.</w:t>
      </w:r>
    </w:p>
    <w:p>
      <w:pPr>
        <w:pStyle w:val="BodyText"/>
        <w:spacing w:before="3"/>
        <w:ind w:left="180"/>
      </w:pPr>
      <w:r>
        <w:rPr/>
        <w:br w:type="column"/>
      </w:r>
      <w:r>
        <w:rPr/>
        <w:t>have been slightly weaker than projected in the August</w:t>
      </w:r>
    </w:p>
    <w:p>
      <w:pPr>
        <w:spacing w:before="4"/>
        <w:ind w:left="180" w:right="0" w:firstLine="0"/>
        <w:jc w:val="left"/>
        <w:rPr>
          <w:sz w:val="24"/>
        </w:rPr>
      </w:pPr>
      <w:r>
        <w:rPr>
          <w:i/>
          <w:sz w:val="24"/>
        </w:rPr>
        <w:t>Report</w:t>
      </w:r>
      <w:r>
        <w:rPr>
          <w:sz w:val="24"/>
        </w:rPr>
        <w:t>.</w:t>
      </w:r>
    </w:p>
    <w:p>
      <w:pPr>
        <w:spacing w:after="0"/>
        <w:jc w:val="left"/>
        <w:rPr>
          <w:sz w:val="24"/>
        </w:rPr>
        <w:sectPr>
          <w:type w:val="continuous"/>
          <w:pgSz w:w="11900" w:h="16840"/>
          <w:pgMar w:top="1260" w:bottom="280" w:left="640" w:right="640"/>
          <w:cols w:num="2" w:equalWidth="0">
            <w:col w:w="3534" w:space="1266"/>
            <w:col w:w="5820"/>
          </w:cols>
        </w:sectPr>
      </w:pPr>
    </w:p>
    <w:p>
      <w:pPr>
        <w:pStyle w:val="BodyText"/>
        <w:rPr>
          <w:sz w:val="20"/>
        </w:rPr>
      </w:pPr>
    </w:p>
    <w:p>
      <w:pPr>
        <w:spacing w:after="0"/>
        <w:rPr>
          <w:sz w:val="20"/>
        </w:rPr>
        <w:sectPr>
          <w:pgSz w:w="11900" w:h="16840"/>
          <w:pgMar w:header="601" w:footer="592" w:top="800" w:bottom="800" w:left="640" w:right="640"/>
        </w:sectPr>
      </w:pPr>
    </w:p>
    <w:p>
      <w:pPr>
        <w:pStyle w:val="BodyText"/>
        <w:spacing w:before="7"/>
        <w:rPr>
          <w:sz w:val="21"/>
        </w:rPr>
      </w:pPr>
    </w:p>
    <w:p>
      <w:pPr>
        <w:spacing w:before="1"/>
        <w:ind w:left="185" w:right="0" w:firstLine="0"/>
        <w:jc w:val="left"/>
        <w:rPr>
          <w:b/>
          <w:sz w:val="20"/>
        </w:rPr>
      </w:pPr>
      <w:bookmarkStart w:name="Other financial corporations" w:id="11"/>
      <w:bookmarkEnd w:id="11"/>
      <w:r>
        <w:rPr/>
      </w:r>
      <w:bookmarkStart w:name="Interest rates and asset prices" w:id="12"/>
      <w:bookmarkEnd w:id="12"/>
      <w:r>
        <w:rPr/>
      </w:r>
      <w:bookmarkStart w:name="Short-term interest rates" w:id="13"/>
      <w:bookmarkEnd w:id="13"/>
      <w:r>
        <w:rPr/>
      </w:r>
      <w:bookmarkStart w:name="_bookmark4" w:id="14"/>
      <w:bookmarkEnd w:id="14"/>
      <w:r>
        <w:rPr/>
      </w:r>
      <w:r>
        <w:rPr>
          <w:b/>
          <w:color w:val="0092C7"/>
          <w:sz w:val="20"/>
        </w:rPr>
        <w:t>Chart 1.10</w:t>
      </w:r>
    </w:p>
    <w:p>
      <w:pPr>
        <w:spacing w:before="10"/>
        <w:ind w:left="185" w:right="0" w:firstLine="0"/>
        <w:jc w:val="left"/>
        <w:rPr>
          <w:b/>
          <w:sz w:val="20"/>
        </w:rPr>
      </w:pPr>
      <w:r>
        <w:rPr>
          <w:b/>
          <w:color w:val="0092C7"/>
          <w:sz w:val="20"/>
        </w:rPr>
        <w:t>Measures of PNFCs’ gearing</w:t>
      </w:r>
    </w:p>
    <w:p>
      <w:pPr>
        <w:pStyle w:val="BodyText"/>
        <w:spacing w:before="3" w:after="39"/>
        <w:rPr>
          <w:b/>
          <w:sz w:val="18"/>
        </w:rPr>
      </w:pPr>
    </w:p>
    <w:p>
      <w:pPr>
        <w:pStyle w:val="BodyText"/>
        <w:spacing w:line="20" w:lineRule="exact"/>
        <w:ind w:left="180"/>
        <w:rPr>
          <w:sz w:val="2"/>
        </w:rPr>
      </w:pPr>
      <w:r>
        <w:rPr>
          <w:sz w:val="2"/>
        </w:rPr>
        <w:drawing>
          <wp:inline distT="0" distB="0" distL="0" distR="0">
            <wp:extent cx="54478" cy="6286"/>
            <wp:effectExtent l="0" t="0" r="0" b="0"/>
            <wp:docPr id="23" name="image13.png"/>
            <wp:cNvGraphicFramePr>
              <a:graphicFrameLocks noChangeAspect="1"/>
            </wp:cNvGraphicFramePr>
            <a:graphic>
              <a:graphicData uri="http://schemas.openxmlformats.org/drawingml/2006/picture">
                <pic:pic>
                  <pic:nvPicPr>
                    <pic:cNvPr id="24" name="image13.png"/>
                    <pic:cNvPicPr/>
                  </pic:nvPicPr>
                  <pic:blipFill>
                    <a:blip r:embed="rId38" cstate="print"/>
                    <a:stretch>
                      <a:fillRect/>
                    </a:stretch>
                  </pic:blipFill>
                  <pic:spPr>
                    <a:xfrm>
                      <a:off x="0" y="0"/>
                      <a:ext cx="54478" cy="6286"/>
                    </a:xfrm>
                    <a:prstGeom prst="rect">
                      <a:avLst/>
                    </a:prstGeom>
                  </pic:spPr>
                </pic:pic>
              </a:graphicData>
            </a:graphic>
          </wp:inline>
        </w:drawing>
      </w:r>
      <w:r>
        <w:rPr>
          <w:sz w:val="2"/>
        </w:rPr>
      </w:r>
    </w:p>
    <w:p>
      <w:pPr>
        <w:pStyle w:val="BodyText"/>
        <w:rPr>
          <w:b/>
          <w:sz w:val="12"/>
        </w:rPr>
      </w:pPr>
      <w:r>
        <w:rPr/>
        <w:br w:type="column"/>
      </w:r>
      <w:r>
        <w:rPr>
          <w:b/>
          <w:sz w:val="12"/>
        </w:rPr>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0"/>
        </w:rPr>
      </w:pPr>
    </w:p>
    <w:p>
      <w:pPr>
        <w:spacing w:line="115" w:lineRule="exact" w:before="0"/>
        <w:ind w:left="180" w:right="0" w:firstLine="0"/>
        <w:jc w:val="left"/>
        <w:rPr>
          <w:sz w:val="12"/>
        </w:rPr>
      </w:pPr>
      <w:r>
        <w:rPr>
          <w:sz w:val="12"/>
        </w:rPr>
        <w:t>Per cent</w:t>
      </w:r>
    </w:p>
    <w:p>
      <w:pPr>
        <w:spacing w:line="115" w:lineRule="exact" w:before="0"/>
        <w:ind w:left="605" w:right="0" w:firstLine="0"/>
        <w:jc w:val="left"/>
        <w:rPr>
          <w:sz w:val="12"/>
        </w:rPr>
      </w:pPr>
      <w:r>
        <w:rPr/>
        <w:drawing>
          <wp:anchor distT="0" distB="0" distL="0" distR="0" allowOverlap="1" layoutInCell="1" locked="0" behindDoc="0" simplePos="0" relativeHeight="15793664">
            <wp:simplePos x="0" y="0"/>
            <wp:positionH relativeFrom="page">
              <wp:posOffset>2485237</wp:posOffset>
            </wp:positionH>
            <wp:positionV relativeFrom="paragraph">
              <wp:posOffset>29657</wp:posOffset>
            </wp:positionV>
            <wp:extent cx="55016" cy="6350"/>
            <wp:effectExtent l="0" t="0" r="0" b="0"/>
            <wp:wrapNone/>
            <wp:docPr id="25" name="image14.png"/>
            <wp:cNvGraphicFramePr>
              <a:graphicFrameLocks noChangeAspect="1"/>
            </wp:cNvGraphicFramePr>
            <a:graphic>
              <a:graphicData uri="http://schemas.openxmlformats.org/drawingml/2006/picture">
                <pic:pic>
                  <pic:nvPicPr>
                    <pic:cNvPr id="26" name="image14.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50</w:t>
      </w:r>
    </w:p>
    <w:p>
      <w:pPr>
        <w:pStyle w:val="BodyText"/>
        <w:rPr>
          <w:sz w:val="12"/>
        </w:rPr>
      </w:pPr>
    </w:p>
    <w:p>
      <w:pPr>
        <w:pStyle w:val="BodyText"/>
        <w:rPr>
          <w:sz w:val="12"/>
        </w:rPr>
      </w:pPr>
    </w:p>
    <w:p>
      <w:pPr>
        <w:pStyle w:val="BodyText"/>
        <w:spacing w:before="8"/>
        <w:rPr>
          <w:sz w:val="14"/>
        </w:rPr>
      </w:pPr>
    </w:p>
    <w:p>
      <w:pPr>
        <w:spacing w:before="0"/>
        <w:ind w:left="0" w:right="38" w:firstLine="0"/>
        <w:jc w:val="right"/>
        <w:rPr>
          <w:sz w:val="12"/>
        </w:rPr>
      </w:pPr>
      <w:r>
        <w:rPr/>
        <w:pict>
          <v:group style="position:absolute;margin-left:41.011002pt;margin-top:-8.658442pt;width:159.050pt;height:129.5500pt;mso-position-horizontal-relative:page;mso-position-vertical-relative:paragraph;z-index:15793152" coordorigin="820,-173" coordsize="3181,2591">
            <v:shape style="position:absolute;left:820;top:-174;width:3181;height:2589" type="#_x0000_t75" stroked="false">
              <v:imagedata r:id="rId40" o:title=""/>
            </v:shape>
            <v:shape style="position:absolute;left:820;top:2406;width:87;height:10" type="#_x0000_t75" stroked="false">
              <v:imagedata r:id="rId38" o:title=""/>
            </v:shape>
            <v:shape style="position:absolute;left:2577;top:-41;width:910;height:374" type="#_x0000_t202" filled="false" stroked="false">
              <v:textbox inset="0,0,0,0">
                <w:txbxContent>
                  <w:p>
                    <w:pPr>
                      <w:spacing w:line="208" w:lineRule="auto" w:before="9"/>
                      <w:ind w:left="60" w:right="18" w:hanging="60"/>
                      <w:jc w:val="left"/>
                      <w:rPr>
                        <w:sz w:val="12"/>
                      </w:rPr>
                    </w:pPr>
                    <w:r>
                      <w:rPr>
                        <w:sz w:val="12"/>
                      </w:rPr>
                      <w:t>Market value of PNFCs/post-tax operating surplus</w:t>
                    </w:r>
                  </w:p>
                </w:txbxContent>
              </v:textbox>
              <w10:wrap type="none"/>
            </v:shape>
            <v:shape style="position:absolute;left:1056;top:703;width:887;height:374" type="#_x0000_t202" filled="false" stroked="false">
              <v:textbox inset="0,0,0,0">
                <w:txbxContent>
                  <w:p>
                    <w:pPr>
                      <w:spacing w:line="208" w:lineRule="auto" w:before="9"/>
                      <w:ind w:left="60" w:right="0" w:hanging="60"/>
                      <w:jc w:val="left"/>
                      <w:rPr>
                        <w:sz w:val="12"/>
                      </w:rPr>
                    </w:pPr>
                    <w:r>
                      <w:rPr>
                        <w:sz w:val="12"/>
                      </w:rPr>
                      <w:t>Capital gearing (net debt/market value of PNFCs)</w:t>
                    </w:r>
                  </w:p>
                </w:txbxContent>
              </v:textbox>
              <w10:wrap type="none"/>
            </v:shape>
            <v:shape style="position:absolute;left:2620;top:1730;width:1061;height:254" type="#_x0000_t202" filled="false" stroked="false">
              <v:textbox inset="0,0,0,0">
                <w:txbxContent>
                  <w:p>
                    <w:pPr>
                      <w:spacing w:line="124" w:lineRule="exact" w:before="0"/>
                      <w:ind w:left="0" w:right="78" w:firstLine="0"/>
                      <w:jc w:val="right"/>
                      <w:rPr>
                        <w:sz w:val="12"/>
                      </w:rPr>
                    </w:pPr>
                    <w:r>
                      <w:rPr>
                        <w:sz w:val="12"/>
                      </w:rPr>
                      <w:t>Net debt/post-tax</w:t>
                    </w:r>
                  </w:p>
                  <w:p>
                    <w:pPr>
                      <w:spacing w:line="129" w:lineRule="exact" w:before="0"/>
                      <w:ind w:left="0" w:right="18" w:firstLine="0"/>
                      <w:jc w:val="right"/>
                      <w:rPr>
                        <w:sz w:val="12"/>
                      </w:rPr>
                    </w:pPr>
                    <w:r>
                      <w:rPr>
                        <w:sz w:val="12"/>
                        <w:u w:val="thick" w:color="835335"/>
                      </w:rPr>
                      <w:t>       o</w:t>
                    </w:r>
                    <w:r>
                      <w:rPr>
                        <w:sz w:val="12"/>
                      </w:rPr>
                      <w:t>perating</w:t>
                    </w:r>
                    <w:r>
                      <w:rPr>
                        <w:spacing w:val="3"/>
                        <w:sz w:val="12"/>
                      </w:rPr>
                      <w:t> </w:t>
                    </w:r>
                    <w:r>
                      <w:rPr>
                        <w:spacing w:val="-3"/>
                        <w:sz w:val="12"/>
                      </w:rPr>
                      <w:t>surplus</w:t>
                    </w:r>
                  </w:p>
                </w:txbxContent>
              </v:textbox>
              <w10:wrap type="none"/>
            </v:shape>
            <w10:wrap type="none"/>
          </v:group>
        </w:pict>
      </w:r>
      <w:r>
        <w:rPr>
          <w:sz w:val="12"/>
        </w:rPr>
        <w:t>40</w:t>
      </w:r>
    </w:p>
    <w:p>
      <w:pPr>
        <w:pStyle w:val="BodyText"/>
        <w:rPr>
          <w:sz w:val="12"/>
        </w:rPr>
      </w:pPr>
    </w:p>
    <w:p>
      <w:pPr>
        <w:pStyle w:val="BodyText"/>
        <w:rPr>
          <w:sz w:val="12"/>
        </w:rPr>
      </w:pPr>
    </w:p>
    <w:p>
      <w:pPr>
        <w:pStyle w:val="BodyText"/>
        <w:spacing w:before="7"/>
        <w:rPr>
          <w:sz w:val="14"/>
        </w:rPr>
      </w:pPr>
    </w:p>
    <w:p>
      <w:pPr>
        <w:spacing w:before="1"/>
        <w:ind w:left="0" w:right="38" w:firstLine="0"/>
        <w:jc w:val="right"/>
        <w:rPr>
          <w:sz w:val="12"/>
        </w:rPr>
      </w:pPr>
      <w:r>
        <w:rPr>
          <w:sz w:val="12"/>
        </w:rPr>
        <w:t>30</w:t>
      </w:r>
    </w:p>
    <w:p>
      <w:pPr>
        <w:pStyle w:val="BodyText"/>
        <w:rPr>
          <w:sz w:val="12"/>
        </w:rPr>
      </w:pPr>
    </w:p>
    <w:p>
      <w:pPr>
        <w:pStyle w:val="BodyText"/>
        <w:rPr>
          <w:sz w:val="12"/>
        </w:rPr>
      </w:pPr>
    </w:p>
    <w:p>
      <w:pPr>
        <w:pStyle w:val="BodyText"/>
        <w:spacing w:before="7"/>
        <w:rPr>
          <w:sz w:val="14"/>
        </w:rPr>
      </w:pPr>
    </w:p>
    <w:p>
      <w:pPr>
        <w:spacing w:before="0"/>
        <w:ind w:left="0" w:right="38" w:firstLine="0"/>
        <w:jc w:val="right"/>
        <w:rPr>
          <w:sz w:val="12"/>
        </w:rPr>
      </w:pPr>
      <w:r>
        <w:rPr>
          <w:sz w:val="12"/>
        </w:rPr>
        <w:t>20</w:t>
      </w:r>
    </w:p>
    <w:p>
      <w:pPr>
        <w:pStyle w:val="BodyText"/>
        <w:rPr>
          <w:sz w:val="12"/>
        </w:rPr>
      </w:pPr>
    </w:p>
    <w:p>
      <w:pPr>
        <w:pStyle w:val="BodyText"/>
        <w:rPr>
          <w:sz w:val="12"/>
        </w:rPr>
      </w:pPr>
    </w:p>
    <w:p>
      <w:pPr>
        <w:pStyle w:val="BodyText"/>
        <w:spacing w:before="7"/>
        <w:rPr>
          <w:sz w:val="14"/>
        </w:rPr>
      </w:pPr>
    </w:p>
    <w:p>
      <w:pPr>
        <w:spacing w:before="1"/>
        <w:ind w:left="0" w:right="38" w:firstLine="0"/>
        <w:jc w:val="right"/>
        <w:rPr>
          <w:sz w:val="12"/>
        </w:rPr>
      </w:pPr>
      <w:r>
        <w:rPr>
          <w:sz w:val="12"/>
        </w:rPr>
        <w:t>10</w:t>
      </w:r>
    </w:p>
    <w:p>
      <w:pPr>
        <w:pStyle w:val="BodyText"/>
        <w:rPr>
          <w:sz w:val="21"/>
        </w:rPr>
      </w:pPr>
      <w:r>
        <w:rPr/>
        <w:br w:type="column"/>
      </w:r>
      <w:r>
        <w:rPr>
          <w:sz w:val="21"/>
        </w:rPr>
      </w:r>
    </w:p>
    <w:p>
      <w:pPr>
        <w:spacing w:before="1"/>
        <w:ind w:left="180" w:right="0" w:firstLine="0"/>
        <w:jc w:val="left"/>
        <w:rPr>
          <w:i/>
          <w:sz w:val="24"/>
        </w:rPr>
      </w:pPr>
      <w:r>
        <w:rPr>
          <w:i/>
          <w:color w:val="009391"/>
          <w:sz w:val="24"/>
        </w:rPr>
        <w:t>Other financial corporations</w:t>
      </w:r>
    </w:p>
    <w:p>
      <w:pPr>
        <w:pStyle w:val="BodyText"/>
        <w:spacing w:line="242" w:lineRule="auto" w:before="164"/>
        <w:ind w:left="180" w:right="163"/>
      </w:pPr>
      <w:r>
        <w:rPr/>
        <w:t>OFCs’ deposits have risen further, taking the annual growth rate to 14% in 2000 Q3. The OFC sector comprises institutional investors such as insurance companies and pension funds (ICPFs), and other financial institutions such as securities dealers. An increase in deposits held by institutional investors has accounted for around half of the increase in OFCs’ deposits over the past year.</w:t>
      </w:r>
      <w:r>
        <w:rPr>
          <w:position w:val="5"/>
          <w:sz w:val="16"/>
        </w:rPr>
        <w:t>(1) </w:t>
      </w:r>
      <w:r>
        <w:rPr/>
        <w:t>Institutional investors’ desired money holdings are likely to vary with the overall market value of their portfolios and the expected rate of return on money relative to other assets.</w:t>
      </w:r>
    </w:p>
    <w:p>
      <w:pPr>
        <w:spacing w:after="0" w:line="242" w:lineRule="auto"/>
        <w:sectPr>
          <w:type w:val="continuous"/>
          <w:pgSz w:w="11900" w:h="16840"/>
          <w:pgMar w:top="1260" w:bottom="280" w:left="640" w:right="640"/>
          <w:cols w:num="3" w:equalWidth="0">
            <w:col w:w="2668" w:space="123"/>
            <w:col w:w="766" w:space="1248"/>
            <w:col w:w="5815"/>
          </w:cols>
        </w:sectPr>
      </w:pPr>
    </w:p>
    <w:p>
      <w:pPr>
        <w:spacing w:line="119" w:lineRule="exact" w:before="60"/>
        <w:ind w:left="3455" w:right="0" w:firstLine="0"/>
        <w:jc w:val="left"/>
        <w:rPr>
          <w:sz w:val="12"/>
        </w:rPr>
      </w:pPr>
      <w:r>
        <w:rPr>
          <w:sz w:val="12"/>
        </w:rPr>
        <w:t>0</w:t>
      </w:r>
    </w:p>
    <w:p>
      <w:pPr>
        <w:spacing w:line="119" w:lineRule="exact" w:before="0"/>
        <w:ind w:left="245" w:right="0" w:firstLine="0"/>
        <w:jc w:val="left"/>
        <w:rPr>
          <w:sz w:val="12"/>
        </w:rPr>
      </w:pPr>
      <w:r>
        <w:rPr>
          <w:sz w:val="12"/>
        </w:rPr>
        <w:t>1976 78 80 82 84 86 88 90 92 94 96 98 2000</w:t>
      </w:r>
    </w:p>
    <w:p>
      <w:pPr>
        <w:spacing w:before="54"/>
        <w:ind w:left="180" w:right="0" w:firstLine="0"/>
        <w:jc w:val="left"/>
        <w:rPr>
          <w:sz w:val="12"/>
        </w:rPr>
      </w:pPr>
      <w:r>
        <w:rPr>
          <w:sz w:val="12"/>
        </w:rPr>
        <w:t>Sources: ONS and Bank of England.</w:t>
      </w:r>
    </w:p>
    <w:p>
      <w:pPr>
        <w:pStyle w:val="BodyText"/>
        <w:rPr>
          <w:sz w:val="12"/>
        </w:rPr>
      </w:pPr>
    </w:p>
    <w:p>
      <w:pPr>
        <w:pStyle w:val="BodyText"/>
        <w:rPr>
          <w:sz w:val="12"/>
        </w:rPr>
      </w:pPr>
    </w:p>
    <w:p>
      <w:pPr>
        <w:spacing w:before="87"/>
        <w:ind w:left="185" w:right="0" w:firstLine="0"/>
        <w:jc w:val="left"/>
        <w:rPr>
          <w:b/>
          <w:sz w:val="20"/>
        </w:rPr>
      </w:pPr>
      <w:r>
        <w:rPr>
          <w:b/>
          <w:color w:val="0092C7"/>
          <w:sz w:val="20"/>
        </w:rPr>
        <w:t>Chart 1.11</w:t>
      </w:r>
    </w:p>
    <w:p>
      <w:pPr>
        <w:spacing w:line="249" w:lineRule="auto" w:before="10"/>
        <w:ind w:left="185" w:right="16" w:firstLine="0"/>
        <w:jc w:val="left"/>
        <w:rPr>
          <w:b/>
          <w:sz w:val="20"/>
        </w:rPr>
      </w:pPr>
      <w:r>
        <w:rPr>
          <w:b/>
          <w:color w:val="0092C7"/>
          <w:sz w:val="20"/>
        </w:rPr>
        <w:t>Money as a share of UK insurance company and pension funds’ (ICPFs) assets</w:t>
      </w:r>
    </w:p>
    <w:p>
      <w:pPr>
        <w:spacing w:line="115" w:lineRule="exact" w:before="70"/>
        <w:ind w:left="0" w:right="606" w:firstLine="0"/>
        <w:jc w:val="right"/>
        <w:rPr>
          <w:sz w:val="12"/>
        </w:rPr>
      </w:pPr>
      <w:r>
        <w:rPr>
          <w:sz w:val="12"/>
        </w:rPr>
        <w:t>Per cent</w:t>
      </w:r>
    </w:p>
    <w:p>
      <w:pPr>
        <w:spacing w:line="115" w:lineRule="exact" w:before="0"/>
        <w:ind w:left="0" w:right="506" w:firstLine="0"/>
        <w:jc w:val="right"/>
        <w:rPr>
          <w:sz w:val="12"/>
        </w:rPr>
      </w:pPr>
      <w:r>
        <w:rPr/>
        <w:drawing>
          <wp:anchor distT="0" distB="0" distL="0" distR="0" allowOverlap="1" layoutInCell="1" locked="0" behindDoc="0" simplePos="0" relativeHeight="15789568">
            <wp:simplePos x="0" y="0"/>
            <wp:positionH relativeFrom="page">
              <wp:posOffset>521830</wp:posOffset>
            </wp:positionH>
            <wp:positionV relativeFrom="paragraph">
              <wp:posOffset>30776</wp:posOffset>
            </wp:positionV>
            <wp:extent cx="55029" cy="6350"/>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39"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791104">
            <wp:simplePos x="0" y="0"/>
            <wp:positionH relativeFrom="page">
              <wp:posOffset>2494026</wp:posOffset>
            </wp:positionH>
            <wp:positionV relativeFrom="paragraph">
              <wp:posOffset>30776</wp:posOffset>
            </wp:positionV>
            <wp:extent cx="55041" cy="6350"/>
            <wp:effectExtent l="0" t="0" r="0" b="0"/>
            <wp:wrapNone/>
            <wp:docPr id="29" name="image14.png"/>
            <wp:cNvGraphicFramePr>
              <a:graphicFrameLocks noChangeAspect="1"/>
            </wp:cNvGraphicFramePr>
            <a:graphic>
              <a:graphicData uri="http://schemas.openxmlformats.org/drawingml/2006/picture">
                <pic:pic>
                  <pic:nvPicPr>
                    <pic:cNvPr id="30"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9</w:t>
      </w:r>
    </w:p>
    <w:p>
      <w:pPr>
        <w:spacing w:line="124" w:lineRule="exact" w:before="73"/>
        <w:ind w:left="1121" w:right="0" w:firstLine="0"/>
        <w:jc w:val="left"/>
        <w:rPr>
          <w:sz w:val="12"/>
        </w:rPr>
      </w:pPr>
      <w:r>
        <w:rPr>
          <w:sz w:val="12"/>
        </w:rPr>
        <w:t>Currency, deposits and CDs (a)</w:t>
      </w:r>
    </w:p>
    <w:p>
      <w:pPr>
        <w:tabs>
          <w:tab w:pos="3473" w:val="right" w:leader="none"/>
        </w:tabs>
        <w:spacing w:line="125" w:lineRule="exact" w:before="0"/>
        <w:ind w:left="1181" w:right="0" w:firstLine="0"/>
        <w:jc w:val="left"/>
        <w:rPr>
          <w:sz w:val="12"/>
        </w:rPr>
      </w:pPr>
      <w:r>
        <w:rPr/>
        <w:drawing>
          <wp:anchor distT="0" distB="0" distL="0" distR="0" allowOverlap="1" layoutInCell="1" locked="0" behindDoc="1" simplePos="0" relativeHeight="480452096">
            <wp:simplePos x="0" y="0"/>
            <wp:positionH relativeFrom="page">
              <wp:posOffset>521830</wp:posOffset>
            </wp:positionH>
            <wp:positionV relativeFrom="paragraph">
              <wp:posOffset>17320</wp:posOffset>
            </wp:positionV>
            <wp:extent cx="2027237" cy="1162977"/>
            <wp:effectExtent l="0" t="0" r="0" b="0"/>
            <wp:wrapNone/>
            <wp:docPr id="31" name="image16.png"/>
            <wp:cNvGraphicFramePr>
              <a:graphicFrameLocks noChangeAspect="1"/>
            </wp:cNvGraphicFramePr>
            <a:graphic>
              <a:graphicData uri="http://schemas.openxmlformats.org/drawingml/2006/picture">
                <pic:pic>
                  <pic:nvPicPr>
                    <pic:cNvPr id="32" name="image16.png"/>
                    <pic:cNvPicPr/>
                  </pic:nvPicPr>
                  <pic:blipFill>
                    <a:blip r:embed="rId41" cstate="print"/>
                    <a:stretch>
                      <a:fillRect/>
                    </a:stretch>
                  </pic:blipFill>
                  <pic:spPr>
                    <a:xfrm>
                      <a:off x="0" y="0"/>
                      <a:ext cx="2027237" cy="1162977"/>
                    </a:xfrm>
                    <a:prstGeom prst="rect">
                      <a:avLst/>
                    </a:prstGeom>
                  </pic:spPr>
                </pic:pic>
              </a:graphicData>
            </a:graphic>
          </wp:anchor>
        </w:drawing>
      </w:r>
      <w:r>
        <w:rPr>
          <w:sz w:val="12"/>
        </w:rPr>
        <w:t>as a share</w:t>
      </w:r>
      <w:r>
        <w:rPr>
          <w:spacing w:val="-1"/>
          <w:sz w:val="12"/>
        </w:rPr>
        <w:t> </w:t>
      </w:r>
      <w:r>
        <w:rPr>
          <w:sz w:val="12"/>
        </w:rPr>
        <w:t>of  ICPFs’</w:t>
        <w:tab/>
      </w:r>
      <w:r>
        <w:rPr>
          <w:position w:val="1"/>
          <w:sz w:val="12"/>
        </w:rPr>
        <w:t>8</w:t>
      </w:r>
    </w:p>
    <w:p>
      <w:pPr>
        <w:spacing w:line="129" w:lineRule="exact" w:before="0"/>
        <w:ind w:left="1181" w:right="0" w:firstLine="0"/>
        <w:jc w:val="left"/>
        <w:rPr>
          <w:sz w:val="12"/>
        </w:rPr>
      </w:pPr>
      <w:r>
        <w:rPr>
          <w:sz w:val="12"/>
        </w:rPr>
        <w:t>financial assets</w:t>
      </w:r>
    </w:p>
    <w:p>
      <w:pPr>
        <w:spacing w:before="57"/>
        <w:ind w:left="3413" w:right="0" w:firstLine="0"/>
        <w:jc w:val="left"/>
        <w:rPr>
          <w:sz w:val="12"/>
        </w:rPr>
      </w:pPr>
      <w:r>
        <w:rPr>
          <w:sz w:val="12"/>
        </w:rPr>
        <w:t>7</w:t>
      </w:r>
    </w:p>
    <w:p>
      <w:pPr>
        <w:pStyle w:val="BodyText"/>
        <w:spacing w:before="1"/>
        <w:rPr>
          <w:sz w:val="16"/>
        </w:rPr>
      </w:pPr>
    </w:p>
    <w:p>
      <w:pPr>
        <w:spacing w:before="0"/>
        <w:ind w:left="3413" w:right="0" w:firstLine="0"/>
        <w:jc w:val="left"/>
        <w:rPr>
          <w:sz w:val="12"/>
        </w:rPr>
      </w:pPr>
      <w:r>
        <w:rPr>
          <w:sz w:val="12"/>
        </w:rPr>
        <w:t>6</w:t>
      </w:r>
    </w:p>
    <w:p>
      <w:pPr>
        <w:pStyle w:val="BodyText"/>
        <w:spacing w:line="242" w:lineRule="auto" w:before="14"/>
        <w:ind w:left="180" w:right="75"/>
      </w:pPr>
      <w:r>
        <w:rPr/>
        <w:br w:type="column"/>
      </w:r>
      <w:r>
        <w:rPr/>
        <w:t>Chart 1.11 shows that towards the end of 1999, the share of money in ICPFs’ total financial assets had fallen to a relatively low level. Recent growth in ICPFs’ deposits may therefore be associated with a desire to re-balance their portfolios. Growth in lending to OFCs has also increased. In 2000 Q3 there was a significant effect on lending to OFCs from the purchase by Lloyds TSB of Scottish Widows.</w:t>
      </w:r>
    </w:p>
    <w:p>
      <w:pPr>
        <w:pStyle w:val="BodyText"/>
        <w:spacing w:before="5"/>
        <w:rPr>
          <w:sz w:val="25"/>
        </w:rPr>
      </w:pPr>
    </w:p>
    <w:p>
      <w:pPr>
        <w:pStyle w:val="Heading4"/>
        <w:numPr>
          <w:ilvl w:val="1"/>
          <w:numId w:val="3"/>
        </w:numPr>
        <w:tabs>
          <w:tab w:pos="1920" w:val="left" w:leader="none"/>
          <w:tab w:pos="1921" w:val="left" w:leader="none"/>
        </w:tabs>
        <w:spacing w:line="240" w:lineRule="auto" w:before="0" w:after="0"/>
        <w:ind w:left="1920" w:right="0" w:hanging="1741"/>
        <w:jc w:val="left"/>
      </w:pPr>
      <w:r>
        <w:rPr>
          <w:color w:val="009391"/>
          <w:u w:val="thick" w:color="0092C7"/>
        </w:rPr>
        <w:t>Interest rates and asset</w:t>
      </w:r>
      <w:r>
        <w:rPr>
          <w:color w:val="009391"/>
          <w:spacing w:val="-15"/>
          <w:u w:val="thick" w:color="0092C7"/>
        </w:rPr>
        <w:t> </w:t>
      </w:r>
      <w:r>
        <w:rPr>
          <w:color w:val="009391"/>
          <w:u w:val="thick" w:color="0092C7"/>
        </w:rPr>
        <w:t>prices</w:t>
      </w:r>
      <w:r>
        <w:rPr>
          <w:color w:val="009391"/>
          <w:spacing w:val="-10"/>
          <w:u w:val="thick" w:color="0092C7"/>
        </w:rPr>
        <w:t> </w:t>
      </w:r>
    </w:p>
    <w:p>
      <w:pPr>
        <w:spacing w:after="0" w:line="240" w:lineRule="auto"/>
        <w:jc w:val="left"/>
        <w:sectPr>
          <w:type w:val="continuous"/>
          <w:pgSz w:w="11900" w:h="16840"/>
          <w:pgMar w:top="1260" w:bottom="280" w:left="640" w:right="640"/>
          <w:cols w:num="2" w:equalWidth="0">
            <w:col w:w="3983" w:space="822"/>
            <w:col w:w="5815"/>
          </w:cols>
        </w:sect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spacing w:before="93"/>
        <w:ind w:left="680" w:right="0" w:firstLine="0"/>
        <w:jc w:val="left"/>
        <w:rPr>
          <w:sz w:val="12"/>
        </w:rPr>
      </w:pPr>
      <w:r>
        <w:rPr>
          <w:sz w:val="12"/>
        </w:rPr>
        <w:t>Sample average</w:t>
      </w:r>
    </w:p>
    <w:p>
      <w:pPr>
        <w:pStyle w:val="BodyText"/>
        <w:spacing w:line="20" w:lineRule="exact"/>
        <w:ind w:left="181"/>
        <w:rPr>
          <w:sz w:val="2"/>
        </w:rPr>
      </w:pPr>
      <w:r>
        <w:rPr>
          <w:sz w:val="2"/>
        </w:rPr>
        <w:drawing>
          <wp:inline distT="0" distB="0" distL="0" distR="0">
            <wp:extent cx="54478" cy="6286"/>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42" cstate="print"/>
                    <a:stretch>
                      <a:fillRect/>
                    </a:stretch>
                  </pic:blipFill>
                  <pic:spPr>
                    <a:xfrm>
                      <a:off x="0" y="0"/>
                      <a:ext cx="54478" cy="6286"/>
                    </a:xfrm>
                    <a:prstGeom prst="rect">
                      <a:avLst/>
                    </a:prstGeom>
                  </pic:spPr>
                </pic:pic>
              </a:graphicData>
            </a:graphic>
          </wp:inline>
        </w:drawing>
      </w:r>
      <w:r>
        <w:rPr>
          <w:sz w:val="2"/>
        </w:rPr>
      </w:r>
    </w:p>
    <w:p>
      <w:pPr>
        <w:pStyle w:val="BodyText"/>
        <w:spacing w:before="1"/>
      </w:pPr>
      <w:r>
        <w:rPr/>
        <w:drawing>
          <wp:anchor distT="0" distB="0" distL="0" distR="0" allowOverlap="1" layoutInCell="1" locked="0" behindDoc="0" simplePos="0" relativeHeight="112">
            <wp:simplePos x="0" y="0"/>
            <wp:positionH relativeFrom="page">
              <wp:posOffset>521830</wp:posOffset>
            </wp:positionH>
            <wp:positionV relativeFrom="paragraph">
              <wp:posOffset>200995</wp:posOffset>
            </wp:positionV>
            <wp:extent cx="55304" cy="6381"/>
            <wp:effectExtent l="0" t="0" r="0" b="0"/>
            <wp:wrapTopAndBottom/>
            <wp:docPr id="35" name="image14.png"/>
            <wp:cNvGraphicFramePr>
              <a:graphicFrameLocks noChangeAspect="1"/>
            </wp:cNvGraphicFramePr>
            <a:graphic>
              <a:graphicData uri="http://schemas.openxmlformats.org/drawingml/2006/picture">
                <pic:pic>
                  <pic:nvPicPr>
                    <pic:cNvPr id="36" name="image14.png"/>
                    <pic:cNvPicPr/>
                  </pic:nvPicPr>
                  <pic:blipFill>
                    <a:blip r:embed="rId39" cstate="print"/>
                    <a:stretch>
                      <a:fillRect/>
                    </a:stretch>
                  </pic:blipFill>
                  <pic:spPr>
                    <a:xfrm>
                      <a:off x="0" y="0"/>
                      <a:ext cx="55304" cy="6381"/>
                    </a:xfrm>
                    <a:prstGeom prst="rect">
                      <a:avLst/>
                    </a:prstGeom>
                  </pic:spPr>
                </pic:pic>
              </a:graphicData>
            </a:graphic>
          </wp:anchor>
        </w:drawing>
      </w:r>
    </w:p>
    <w:p>
      <w:pPr>
        <w:pStyle w:val="BodyText"/>
        <w:spacing w:before="6"/>
        <w:rPr>
          <w:sz w:val="14"/>
        </w:rPr>
      </w:pPr>
      <w:r>
        <w:rPr/>
        <w:br w:type="column"/>
      </w:r>
      <w:r>
        <w:rPr>
          <w:sz w:val="14"/>
        </w:rPr>
      </w:r>
    </w:p>
    <w:p>
      <w:pPr>
        <w:spacing w:before="0"/>
        <w:ind w:left="0" w:right="38" w:firstLine="0"/>
        <w:jc w:val="right"/>
        <w:rPr>
          <w:sz w:val="12"/>
        </w:rPr>
      </w:pPr>
      <w:r>
        <w:rPr>
          <w:sz w:val="12"/>
        </w:rPr>
        <w:t>5</w:t>
      </w:r>
    </w:p>
    <w:p>
      <w:pPr>
        <w:pStyle w:val="BodyText"/>
        <w:spacing w:before="1"/>
        <w:rPr>
          <w:sz w:val="16"/>
        </w:rPr>
      </w:pPr>
    </w:p>
    <w:p>
      <w:pPr>
        <w:spacing w:before="0"/>
        <w:ind w:left="0" w:right="38" w:firstLine="0"/>
        <w:jc w:val="right"/>
        <w:rPr>
          <w:sz w:val="12"/>
        </w:rPr>
      </w:pPr>
      <w:r>
        <w:rPr>
          <w:sz w:val="12"/>
        </w:rPr>
        <w:t>4</w:t>
      </w:r>
    </w:p>
    <w:p>
      <w:pPr>
        <w:pStyle w:val="BodyText"/>
        <w:spacing w:before="10"/>
        <w:rPr>
          <w:sz w:val="13"/>
        </w:rPr>
      </w:pPr>
    </w:p>
    <w:p>
      <w:pPr>
        <w:spacing w:line="153" w:lineRule="auto" w:before="0"/>
        <w:ind w:left="241" w:right="0" w:hanging="60"/>
        <w:jc w:val="left"/>
        <w:rPr>
          <w:sz w:val="12"/>
        </w:rPr>
      </w:pPr>
      <w:r>
        <w:rPr>
          <w:sz w:val="12"/>
        </w:rPr>
        <w:t>Cash as a percentage of UK </w:t>
      </w:r>
      <w:r>
        <w:rPr>
          <w:position w:val="-4"/>
          <w:sz w:val="12"/>
        </w:rPr>
        <w:t>3 </w:t>
      </w:r>
      <w:r>
        <w:rPr>
          <w:sz w:val="12"/>
        </w:rPr>
        <w:t>pension funds’ assets (b)</w:t>
      </w:r>
    </w:p>
    <w:p>
      <w:pPr>
        <w:pStyle w:val="BodyText"/>
        <w:spacing w:before="7"/>
        <w:rPr>
          <w:sz w:val="10"/>
        </w:rPr>
      </w:pPr>
    </w:p>
    <w:p>
      <w:pPr>
        <w:spacing w:before="0"/>
        <w:ind w:left="0" w:right="38" w:firstLine="0"/>
        <w:jc w:val="right"/>
        <w:rPr>
          <w:sz w:val="12"/>
        </w:rPr>
      </w:pPr>
      <w:r>
        <w:rPr/>
        <w:drawing>
          <wp:anchor distT="0" distB="0" distL="0" distR="0" allowOverlap="1" layoutInCell="1" locked="0" behindDoc="0" simplePos="0" relativeHeight="15790592">
            <wp:simplePos x="0" y="0"/>
            <wp:positionH relativeFrom="page">
              <wp:posOffset>2494026</wp:posOffset>
            </wp:positionH>
            <wp:positionV relativeFrom="paragraph">
              <wp:posOffset>46867</wp:posOffset>
            </wp:positionV>
            <wp:extent cx="55041" cy="6350"/>
            <wp:effectExtent l="0" t="0" r="0" b="0"/>
            <wp:wrapNone/>
            <wp:docPr id="37" name="image17.png"/>
            <wp:cNvGraphicFramePr>
              <a:graphicFrameLocks noChangeAspect="1"/>
            </wp:cNvGraphicFramePr>
            <a:graphic>
              <a:graphicData uri="http://schemas.openxmlformats.org/drawingml/2006/picture">
                <pic:pic>
                  <pic:nvPicPr>
                    <pic:cNvPr id="38" name="image17.png"/>
                    <pic:cNvPicPr/>
                  </pic:nvPicPr>
                  <pic:blipFill>
                    <a:blip r:embed="rId42" cstate="print"/>
                    <a:stretch>
                      <a:fillRect/>
                    </a:stretch>
                  </pic:blipFill>
                  <pic:spPr>
                    <a:xfrm>
                      <a:off x="0" y="0"/>
                      <a:ext cx="55041" cy="6350"/>
                    </a:xfrm>
                    <a:prstGeom prst="rect">
                      <a:avLst/>
                    </a:prstGeom>
                  </pic:spPr>
                </pic:pic>
              </a:graphicData>
            </a:graphic>
          </wp:anchor>
        </w:drawing>
      </w:r>
      <w:r>
        <w:rPr>
          <w:sz w:val="12"/>
        </w:rPr>
        <w:t>2</w:t>
      </w:r>
    </w:p>
    <w:p>
      <w:pPr>
        <w:pStyle w:val="BodyText"/>
        <w:spacing w:before="1"/>
        <w:rPr>
          <w:sz w:val="16"/>
        </w:rPr>
      </w:pPr>
    </w:p>
    <w:p>
      <w:pPr>
        <w:spacing w:before="0"/>
        <w:ind w:left="0" w:right="38" w:firstLine="0"/>
        <w:jc w:val="right"/>
        <w:rPr>
          <w:sz w:val="12"/>
        </w:rPr>
      </w:pPr>
      <w:r>
        <w:rPr/>
        <w:drawing>
          <wp:anchor distT="0" distB="0" distL="0" distR="0" allowOverlap="1" layoutInCell="1" locked="0" behindDoc="0" simplePos="0" relativeHeight="15790080">
            <wp:simplePos x="0" y="0"/>
            <wp:positionH relativeFrom="page">
              <wp:posOffset>2494026</wp:posOffset>
            </wp:positionH>
            <wp:positionV relativeFrom="paragraph">
              <wp:posOffset>47030</wp:posOffset>
            </wp:positionV>
            <wp:extent cx="55041" cy="6350"/>
            <wp:effectExtent l="0" t="0" r="0" b="0"/>
            <wp:wrapNone/>
            <wp:docPr id="39" name="image14.png"/>
            <wp:cNvGraphicFramePr>
              <a:graphicFrameLocks noChangeAspect="1"/>
            </wp:cNvGraphicFramePr>
            <a:graphic>
              <a:graphicData uri="http://schemas.openxmlformats.org/drawingml/2006/picture">
                <pic:pic>
                  <pic:nvPicPr>
                    <pic:cNvPr id="40"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w:t>
      </w:r>
    </w:p>
    <w:p>
      <w:pPr>
        <w:pStyle w:val="BodyText"/>
        <w:spacing w:before="1"/>
        <w:rPr>
          <w:sz w:val="16"/>
        </w:rPr>
      </w:pPr>
    </w:p>
    <w:p>
      <w:pPr>
        <w:spacing w:line="63" w:lineRule="exact" w:before="0"/>
        <w:ind w:left="0" w:right="38" w:firstLine="0"/>
        <w:jc w:val="right"/>
        <w:rPr>
          <w:sz w:val="12"/>
        </w:rPr>
      </w:pPr>
      <w:r>
        <w:rPr/>
        <w:drawing>
          <wp:anchor distT="0" distB="0" distL="0" distR="0" allowOverlap="1" layoutInCell="1" locked="0" behindDoc="0" simplePos="0" relativeHeight="15789056">
            <wp:simplePos x="0" y="0"/>
            <wp:positionH relativeFrom="page">
              <wp:posOffset>521830</wp:posOffset>
            </wp:positionH>
            <wp:positionV relativeFrom="paragraph">
              <wp:posOffset>7804</wp:posOffset>
            </wp:positionV>
            <wp:extent cx="2027237" cy="45758"/>
            <wp:effectExtent l="0" t="0" r="0" b="0"/>
            <wp:wrapNone/>
            <wp:docPr id="41" name="image18.png"/>
            <wp:cNvGraphicFramePr>
              <a:graphicFrameLocks noChangeAspect="1"/>
            </wp:cNvGraphicFramePr>
            <a:graphic>
              <a:graphicData uri="http://schemas.openxmlformats.org/drawingml/2006/picture">
                <pic:pic>
                  <pic:nvPicPr>
                    <pic:cNvPr id="42" name="image18.png"/>
                    <pic:cNvPicPr/>
                  </pic:nvPicPr>
                  <pic:blipFill>
                    <a:blip r:embed="rId43" cstate="print"/>
                    <a:stretch>
                      <a:fillRect/>
                    </a:stretch>
                  </pic:blipFill>
                  <pic:spPr>
                    <a:xfrm>
                      <a:off x="0" y="0"/>
                      <a:ext cx="2027237" cy="45758"/>
                    </a:xfrm>
                    <a:prstGeom prst="rect">
                      <a:avLst/>
                    </a:prstGeom>
                  </pic:spPr>
                </pic:pic>
              </a:graphicData>
            </a:graphic>
          </wp:anchor>
        </w:drawing>
      </w:r>
      <w:r>
        <w:rPr>
          <w:sz w:val="12"/>
        </w:rPr>
        <w:t>0</w:t>
      </w:r>
    </w:p>
    <w:p>
      <w:pPr>
        <w:pStyle w:val="BodyText"/>
        <w:spacing w:before="11"/>
        <w:rPr>
          <w:sz w:val="23"/>
        </w:rPr>
      </w:pPr>
      <w:r>
        <w:rPr/>
        <w:br w:type="column"/>
      </w:r>
      <w:r>
        <w:rPr>
          <w:sz w:val="23"/>
        </w:rPr>
      </w:r>
    </w:p>
    <w:p>
      <w:pPr>
        <w:spacing w:before="0"/>
        <w:ind w:left="181" w:right="0" w:firstLine="0"/>
        <w:jc w:val="left"/>
        <w:rPr>
          <w:i/>
          <w:sz w:val="24"/>
        </w:rPr>
      </w:pPr>
      <w:r>
        <w:rPr>
          <w:i/>
          <w:color w:val="009391"/>
          <w:sz w:val="24"/>
        </w:rPr>
        <w:t>Short-term interest rates</w:t>
      </w:r>
    </w:p>
    <w:p>
      <w:pPr>
        <w:pStyle w:val="BodyText"/>
        <w:spacing w:line="242" w:lineRule="auto" w:before="164"/>
        <w:ind w:left="181" w:right="129" w:hanging="1"/>
      </w:pPr>
      <w:r>
        <w:rPr/>
        <w:t>The Bank of England’s official rate remains at 6.0%, unchanged from its level at the time of the August </w:t>
      </w:r>
      <w:r>
        <w:rPr>
          <w:i/>
        </w:rPr>
        <w:t>Report</w:t>
      </w:r>
      <w:r>
        <w:rPr/>
        <w:t>. The official rate has not changed since February 2000. The official federal funds rate in the United States</w:t>
      </w:r>
    </w:p>
    <w:p>
      <w:pPr>
        <w:spacing w:after="0" w:line="242" w:lineRule="auto"/>
        <w:sectPr>
          <w:type w:val="continuous"/>
          <w:pgSz w:w="11900" w:h="16840"/>
          <w:pgMar w:top="1260" w:bottom="280" w:left="640" w:right="640"/>
          <w:cols w:num="3" w:equalWidth="0">
            <w:col w:w="1484" w:space="246"/>
            <w:col w:w="1785" w:space="1289"/>
            <w:col w:w="5816"/>
          </w:cols>
        </w:sectPr>
      </w:pPr>
    </w:p>
    <w:p>
      <w:pPr>
        <w:spacing w:before="29"/>
        <w:ind w:left="0" w:right="63" w:firstLine="0"/>
        <w:jc w:val="right"/>
        <w:rPr>
          <w:sz w:val="12"/>
        </w:rPr>
      </w:pPr>
      <w:r>
        <w:rPr>
          <w:sz w:val="12"/>
        </w:rPr>
        <w:t>1987 88 89 90 91 92 93 94 95 96 97 98 99 2000</w:t>
      </w:r>
    </w:p>
    <w:p>
      <w:pPr>
        <w:spacing w:before="74"/>
        <w:ind w:left="185" w:right="0" w:firstLine="0"/>
        <w:jc w:val="left"/>
        <w:rPr>
          <w:sz w:val="12"/>
        </w:rPr>
      </w:pPr>
      <w:r>
        <w:rPr>
          <w:sz w:val="12"/>
        </w:rPr>
        <w:t>Sources: ONS and Merrill Lynch.</w:t>
      </w:r>
    </w:p>
    <w:p>
      <w:pPr>
        <w:pStyle w:val="ListParagraph"/>
        <w:numPr>
          <w:ilvl w:val="0"/>
          <w:numId w:val="8"/>
        </w:numPr>
        <w:tabs>
          <w:tab w:pos="426" w:val="left" w:leader="none"/>
        </w:tabs>
        <w:spacing w:line="129" w:lineRule="exact" w:before="102" w:after="0"/>
        <w:ind w:left="425" w:right="0" w:hanging="241"/>
        <w:jc w:val="left"/>
        <w:rPr>
          <w:sz w:val="12"/>
        </w:rPr>
      </w:pPr>
      <w:r>
        <w:rPr>
          <w:sz w:val="12"/>
        </w:rPr>
        <w:t>Certificates of</w:t>
      </w:r>
      <w:r>
        <w:rPr>
          <w:spacing w:val="-3"/>
          <w:sz w:val="12"/>
        </w:rPr>
        <w:t> </w:t>
      </w:r>
      <w:r>
        <w:rPr>
          <w:sz w:val="12"/>
        </w:rPr>
        <w:t>deposit.</w:t>
      </w:r>
    </w:p>
    <w:p>
      <w:pPr>
        <w:pStyle w:val="ListParagraph"/>
        <w:numPr>
          <w:ilvl w:val="0"/>
          <w:numId w:val="8"/>
        </w:numPr>
        <w:tabs>
          <w:tab w:pos="426" w:val="left" w:leader="none"/>
        </w:tabs>
        <w:spacing w:line="129" w:lineRule="exact" w:before="0" w:after="0"/>
        <w:ind w:left="425" w:right="0" w:hanging="241"/>
        <w:jc w:val="left"/>
        <w:rPr>
          <w:sz w:val="12"/>
        </w:rPr>
      </w:pPr>
      <w:r>
        <w:rPr>
          <w:sz w:val="12"/>
        </w:rPr>
        <w:t>Merrill Lynch Fund Manager</w:t>
      </w:r>
      <w:r>
        <w:rPr>
          <w:spacing w:val="-6"/>
          <w:sz w:val="12"/>
        </w:rPr>
        <w:t> </w:t>
      </w:r>
      <w:r>
        <w:rPr>
          <w:spacing w:val="-3"/>
          <w:sz w:val="12"/>
        </w:rPr>
        <w:t>Survey.</w:t>
      </w:r>
    </w:p>
    <w:p>
      <w:pPr>
        <w:pStyle w:val="BodyText"/>
        <w:rPr>
          <w:sz w:val="12"/>
        </w:rPr>
      </w:pPr>
    </w:p>
    <w:p>
      <w:pPr>
        <w:pStyle w:val="BodyText"/>
        <w:spacing w:before="8"/>
        <w:rPr>
          <w:sz w:val="17"/>
        </w:rPr>
      </w:pPr>
    </w:p>
    <w:p>
      <w:pPr>
        <w:spacing w:before="0"/>
        <w:ind w:left="185" w:right="0" w:firstLine="0"/>
        <w:jc w:val="left"/>
        <w:rPr>
          <w:b/>
          <w:sz w:val="20"/>
        </w:rPr>
      </w:pPr>
      <w:r>
        <w:rPr>
          <w:b/>
          <w:color w:val="0092C7"/>
          <w:sz w:val="20"/>
        </w:rPr>
        <w:t>Chart 1.12</w:t>
      </w:r>
    </w:p>
    <w:p>
      <w:pPr>
        <w:spacing w:line="249" w:lineRule="auto" w:before="10"/>
        <w:ind w:left="185" w:right="0" w:firstLine="0"/>
        <w:jc w:val="left"/>
        <w:rPr>
          <w:sz w:val="12"/>
        </w:rPr>
      </w:pPr>
      <w:r>
        <w:rPr>
          <w:b/>
          <w:color w:val="0092C7"/>
          <w:sz w:val="20"/>
        </w:rPr>
        <w:t>Bank’s repo rate and two-week rates expected in one and two years’ time</w:t>
      </w:r>
      <w:r>
        <w:rPr>
          <w:position w:val="4"/>
          <w:sz w:val="12"/>
        </w:rPr>
        <w:t>(a)</w:t>
      </w:r>
    </w:p>
    <w:p>
      <w:pPr>
        <w:spacing w:before="65"/>
        <w:ind w:left="0" w:right="0" w:firstLine="0"/>
        <w:jc w:val="right"/>
        <w:rPr>
          <w:sz w:val="12"/>
        </w:rPr>
      </w:pPr>
      <w:r>
        <w:rPr>
          <w:sz w:val="12"/>
        </w:rPr>
        <w:t>Per cent</w:t>
      </w:r>
    </w:p>
    <w:p>
      <w:pPr>
        <w:pStyle w:val="BodyText"/>
        <w:spacing w:before="6"/>
        <w:rPr>
          <w:sz w:val="2"/>
        </w:rPr>
      </w:pPr>
    </w:p>
    <w:p>
      <w:pPr>
        <w:tabs>
          <w:tab w:pos="3339" w:val="left" w:leader="none"/>
        </w:tabs>
        <w:spacing w:line="20" w:lineRule="exact"/>
        <w:ind w:left="181" w:right="-44" w:firstLine="0"/>
        <w:rPr>
          <w:sz w:val="2"/>
        </w:rPr>
      </w:pPr>
      <w:r>
        <w:rPr>
          <w:sz w:val="2"/>
        </w:rPr>
        <w:drawing>
          <wp:inline distT="0" distB="0" distL="0" distR="0">
            <wp:extent cx="55304" cy="6381"/>
            <wp:effectExtent l="0" t="0" r="0" b="0"/>
            <wp:docPr id="43" name="image14.png"/>
            <wp:cNvGraphicFramePr>
              <a:graphicFrameLocks noChangeAspect="1"/>
            </wp:cNvGraphicFramePr>
            <a:graphic>
              <a:graphicData uri="http://schemas.openxmlformats.org/drawingml/2006/picture">
                <pic:pic>
                  <pic:nvPicPr>
                    <pic:cNvPr id="44" name="image14.png"/>
                    <pic:cNvPicPr/>
                  </pic:nvPicPr>
                  <pic:blipFill>
                    <a:blip r:embed="rId39" cstate="print"/>
                    <a:stretch>
                      <a:fillRect/>
                    </a:stretch>
                  </pic:blipFill>
                  <pic:spPr>
                    <a:xfrm>
                      <a:off x="0" y="0"/>
                      <a:ext cx="55304" cy="6381"/>
                    </a:xfrm>
                    <a:prstGeom prst="rect">
                      <a:avLst/>
                    </a:prstGeom>
                  </pic:spPr>
                </pic:pic>
              </a:graphicData>
            </a:graphic>
          </wp:inline>
        </w:drawing>
      </w:r>
      <w:r>
        <w:rPr>
          <w:sz w:val="2"/>
        </w:rPr>
      </w:r>
      <w:r>
        <w:rPr>
          <w:sz w:val="2"/>
        </w:rPr>
        <w:tab/>
      </w:r>
      <w:r>
        <w:rPr>
          <w:sz w:val="2"/>
        </w:rPr>
        <w:drawing>
          <wp:inline distT="0" distB="0" distL="0" distR="0">
            <wp:extent cx="55291" cy="6381"/>
            <wp:effectExtent l="0" t="0" r="0" b="0"/>
            <wp:docPr id="45" name="image14.png"/>
            <wp:cNvGraphicFramePr>
              <a:graphicFrameLocks noChangeAspect="1"/>
            </wp:cNvGraphicFramePr>
            <a:graphic>
              <a:graphicData uri="http://schemas.openxmlformats.org/drawingml/2006/picture">
                <pic:pic>
                  <pic:nvPicPr>
                    <pic:cNvPr id="46" name="image14.png"/>
                    <pic:cNvPicPr/>
                  </pic:nvPicPr>
                  <pic:blipFill>
                    <a:blip r:embed="rId39" cstate="print"/>
                    <a:stretch>
                      <a:fillRect/>
                    </a:stretch>
                  </pic:blipFill>
                  <pic:spPr>
                    <a:xfrm>
                      <a:off x="0" y="0"/>
                      <a:ext cx="55291" cy="6381"/>
                    </a:xfrm>
                    <a:prstGeom prst="rect">
                      <a:avLst/>
                    </a:prstGeom>
                  </pic:spPr>
                </pic:pic>
              </a:graphicData>
            </a:graphic>
          </wp:inline>
        </w:drawing>
      </w:r>
      <w:r>
        <w:rPr>
          <w:sz w:val="2"/>
        </w:rPr>
      </w:r>
    </w:p>
    <w:p>
      <w:pPr>
        <w:pStyle w:val="BodyText"/>
        <w:rPr>
          <w:sz w:val="12"/>
        </w:rPr>
      </w:pPr>
    </w:p>
    <w:p>
      <w:pPr>
        <w:spacing w:before="80"/>
        <w:ind w:left="1143" w:right="1451" w:firstLine="0"/>
        <w:jc w:val="center"/>
        <w:rPr>
          <w:sz w:val="12"/>
        </w:rPr>
      </w:pPr>
      <w:r>
        <w:rPr/>
        <w:pict>
          <v:group style="position:absolute;margin-left:41.082001pt;margin-top:9.504898pt;width:163.2pt;height:134pt;mso-position-horizontal-relative:page;mso-position-vertical-relative:paragraph;z-index:15788032" coordorigin="822,190" coordsize="3264,2680">
            <v:shape style="position:absolute;left:821;top:190;width:3264;height:2680" type="#_x0000_t75" stroked="false">
              <v:imagedata r:id="rId44" o:title=""/>
            </v:shape>
            <v:shape style="position:absolute;left:821;top:203;width:87;height:10" type="#_x0000_t75" stroked="false">
              <v:imagedata r:id="rId42" o:title=""/>
            </v:shape>
            <v:shape style="position:absolute;left:821;top:565;width:87;height:10" type="#_x0000_t75" stroked="false">
              <v:imagedata r:id="rId42" o:title=""/>
            </v:shape>
            <v:shape style="position:absolute;left:821;top:926;width:87;height:10" type="#_x0000_t75" stroked="false">
              <v:imagedata r:id="rId39" o:title=""/>
            </v:shape>
            <v:shape style="position:absolute;left:821;top:1287;width:87;height:10" type="#_x0000_t75" stroked="false">
              <v:imagedata r:id="rId39" o:title=""/>
            </v:shape>
            <v:shape style="position:absolute;left:821;top:1648;width:87;height:10" type="#_x0000_t75" stroked="false">
              <v:imagedata r:id="rId39" o:title=""/>
            </v:shape>
            <v:shape style="position:absolute;left:821;top:2371;width:87;height:10" type="#_x0000_t75" stroked="false">
              <v:imagedata r:id="rId42" o:title=""/>
            </v:shape>
            <v:shape style="position:absolute;left:821;top:2010;width:87;height:10" type="#_x0000_t75" stroked="false">
              <v:imagedata r:id="rId39" o:title=""/>
            </v:shape>
            <v:shape style="position:absolute;left:3979;top:203;width:87;height:10" type="#_x0000_t75" stroked="false">
              <v:imagedata r:id="rId42" o:title=""/>
            </v:shape>
            <v:shape style="position:absolute;left:3979;top:565;width:87;height:10" type="#_x0000_t75" stroked="false">
              <v:imagedata r:id="rId42" o:title=""/>
            </v:shape>
            <v:shape style="position:absolute;left:3979;top:926;width:87;height:10" type="#_x0000_t75" stroked="false">
              <v:imagedata r:id="rId39" o:title=""/>
            </v:shape>
            <v:shape style="position:absolute;left:3979;top:1287;width:87;height:10" type="#_x0000_t75" stroked="false">
              <v:imagedata r:id="rId39" o:title=""/>
            </v:shape>
            <v:shape style="position:absolute;left:3979;top:1648;width:87;height:10" type="#_x0000_t75" stroked="false">
              <v:imagedata r:id="rId39" o:title=""/>
            </v:shape>
            <v:shape style="position:absolute;left:3979;top:2371;width:87;height:10" type="#_x0000_t75" stroked="false">
              <v:imagedata r:id="rId42" o:title=""/>
            </v:shape>
            <v:shape style="position:absolute;left:3979;top:2010;width:87;height:10" type="#_x0000_t75" stroked="false">
              <v:imagedata r:id="rId39" o:title=""/>
            </v:shape>
            <v:shape style="position:absolute;left:2715;top:322;width:1200;height:254" type="#_x0000_t202" filled="false" stroked="false">
              <v:textbox inset="0,0,0,0">
                <w:txbxContent>
                  <w:p>
                    <w:pPr>
                      <w:spacing w:line="208" w:lineRule="auto" w:before="9"/>
                      <w:ind w:left="60" w:right="0" w:hanging="60"/>
                      <w:jc w:val="left"/>
                      <w:rPr>
                        <w:sz w:val="12"/>
                      </w:rPr>
                    </w:pPr>
                    <w:r>
                      <w:rPr>
                        <w:sz w:val="12"/>
                      </w:rPr>
                      <w:t>Two-week rate expected in one year’s time</w:t>
                    </w:r>
                  </w:p>
                </w:txbxContent>
              </v:textbox>
              <w10:wrap type="none"/>
            </v:shape>
            <v:shape style="position:absolute;left:2181;top:2424;width:1200;height:254" type="#_x0000_t202" filled="false" stroked="false">
              <v:textbox inset="0,0,0,0">
                <w:txbxContent>
                  <w:p>
                    <w:pPr>
                      <w:spacing w:line="208" w:lineRule="auto" w:before="9"/>
                      <w:ind w:left="60" w:right="0" w:hanging="60"/>
                      <w:jc w:val="left"/>
                      <w:rPr>
                        <w:sz w:val="12"/>
                      </w:rPr>
                    </w:pPr>
                    <w:r>
                      <w:rPr>
                        <w:sz w:val="12"/>
                      </w:rPr>
                      <w:t>Two-week rate expected in two years’ time</w:t>
                    </w:r>
                  </w:p>
                </w:txbxContent>
              </v:textbox>
              <w10:wrap type="none"/>
            </v:shape>
            <w10:wrap type="none"/>
          </v:group>
        </w:pict>
      </w:r>
      <w:r>
        <w:rPr>
          <w:sz w:val="12"/>
        </w:rPr>
        <w:t>Bank’s repo rate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6"/>
        </w:rPr>
      </w:pPr>
    </w:p>
    <w:p>
      <w:pPr>
        <w:spacing w:before="0"/>
        <w:ind w:left="269" w:right="0" w:firstLine="0"/>
        <w:jc w:val="left"/>
        <w:rPr>
          <w:sz w:val="12"/>
        </w:rPr>
      </w:pPr>
      <w:r>
        <w:rPr>
          <w:sz w:val="12"/>
        </w:rPr>
        <w:t>Jan. April July Oct. Jan. April July Oct. Jan. April July Oct.</w:t>
      </w:r>
    </w:p>
    <w:p>
      <w:pPr>
        <w:tabs>
          <w:tab w:pos="1881" w:val="left" w:leader="none"/>
          <w:tab w:pos="2843" w:val="left" w:leader="none"/>
        </w:tabs>
        <w:spacing w:before="51"/>
        <w:ind w:left="719" w:right="0" w:firstLine="0"/>
        <w:jc w:val="left"/>
        <w:rPr>
          <w:sz w:val="12"/>
        </w:rPr>
      </w:pPr>
      <w:r>
        <w:rPr>
          <w:sz w:val="12"/>
        </w:rPr>
        <w:t>1998</w:t>
        <w:tab/>
        <w:t>99</w:t>
        <w:tab/>
        <w:t>2000</w:t>
      </w:r>
    </w:p>
    <w:p>
      <w:pPr>
        <w:spacing w:before="42"/>
        <w:ind w:left="199" w:right="0" w:firstLine="0"/>
        <w:jc w:val="left"/>
        <w:rPr>
          <w:sz w:val="12"/>
        </w:rPr>
      </w:pPr>
      <w:r>
        <w:rPr>
          <w:sz w:val="12"/>
        </w:rPr>
        <w:t>Source: Bank of England.</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4"/>
        </w:rPr>
      </w:pPr>
    </w:p>
    <w:p>
      <w:pPr>
        <w:spacing w:before="0"/>
        <w:ind w:left="2" w:right="0" w:firstLine="0"/>
        <w:jc w:val="left"/>
        <w:rPr>
          <w:sz w:val="12"/>
        </w:rPr>
      </w:pPr>
      <w:r>
        <w:rPr>
          <w:sz w:val="12"/>
        </w:rPr>
        <w:t>8.0</w:t>
      </w:r>
    </w:p>
    <w:p>
      <w:pPr>
        <w:pStyle w:val="BodyText"/>
        <w:rPr>
          <w:sz w:val="12"/>
        </w:rPr>
      </w:pPr>
    </w:p>
    <w:p>
      <w:pPr>
        <w:spacing w:before="85"/>
        <w:ind w:left="2" w:right="0" w:firstLine="0"/>
        <w:jc w:val="left"/>
        <w:rPr>
          <w:sz w:val="12"/>
        </w:rPr>
      </w:pPr>
      <w:r>
        <w:rPr>
          <w:sz w:val="12"/>
        </w:rPr>
        <w:t>7.5</w:t>
      </w:r>
    </w:p>
    <w:p>
      <w:pPr>
        <w:pStyle w:val="BodyText"/>
        <w:rPr>
          <w:sz w:val="12"/>
        </w:rPr>
      </w:pPr>
    </w:p>
    <w:p>
      <w:pPr>
        <w:spacing w:before="85"/>
        <w:ind w:left="2" w:right="0" w:firstLine="0"/>
        <w:jc w:val="left"/>
        <w:rPr>
          <w:sz w:val="12"/>
        </w:rPr>
      </w:pPr>
      <w:r>
        <w:rPr>
          <w:sz w:val="12"/>
        </w:rPr>
        <w:t>7.0</w:t>
      </w:r>
    </w:p>
    <w:p>
      <w:pPr>
        <w:pStyle w:val="BodyText"/>
        <w:rPr>
          <w:sz w:val="12"/>
        </w:rPr>
      </w:pPr>
    </w:p>
    <w:p>
      <w:pPr>
        <w:spacing w:before="85"/>
        <w:ind w:left="2" w:right="0" w:firstLine="0"/>
        <w:jc w:val="left"/>
        <w:rPr>
          <w:sz w:val="12"/>
        </w:rPr>
      </w:pPr>
      <w:r>
        <w:rPr>
          <w:sz w:val="12"/>
        </w:rPr>
        <w:t>6.5</w:t>
      </w:r>
    </w:p>
    <w:p>
      <w:pPr>
        <w:pStyle w:val="BodyText"/>
        <w:rPr>
          <w:sz w:val="12"/>
        </w:rPr>
      </w:pPr>
    </w:p>
    <w:p>
      <w:pPr>
        <w:spacing w:before="85"/>
        <w:ind w:left="2" w:right="0" w:firstLine="0"/>
        <w:jc w:val="left"/>
        <w:rPr>
          <w:sz w:val="12"/>
        </w:rPr>
      </w:pPr>
      <w:r>
        <w:rPr>
          <w:sz w:val="12"/>
        </w:rPr>
        <w:t>6.0</w:t>
      </w:r>
    </w:p>
    <w:p>
      <w:pPr>
        <w:pStyle w:val="BodyText"/>
        <w:rPr>
          <w:sz w:val="12"/>
        </w:rPr>
      </w:pPr>
    </w:p>
    <w:p>
      <w:pPr>
        <w:spacing w:before="85"/>
        <w:ind w:left="2" w:right="0" w:firstLine="0"/>
        <w:jc w:val="left"/>
        <w:rPr>
          <w:sz w:val="12"/>
        </w:rPr>
      </w:pPr>
      <w:r>
        <w:rPr>
          <w:sz w:val="12"/>
        </w:rPr>
        <w:t>5.5</w:t>
      </w:r>
    </w:p>
    <w:p>
      <w:pPr>
        <w:pStyle w:val="BodyText"/>
        <w:rPr>
          <w:sz w:val="12"/>
        </w:rPr>
      </w:pPr>
    </w:p>
    <w:p>
      <w:pPr>
        <w:spacing w:before="85"/>
        <w:ind w:left="2" w:right="0" w:firstLine="0"/>
        <w:jc w:val="left"/>
        <w:rPr>
          <w:sz w:val="12"/>
        </w:rPr>
      </w:pPr>
      <w:r>
        <w:rPr>
          <w:sz w:val="12"/>
        </w:rPr>
        <w:t>5.0</w:t>
      </w:r>
    </w:p>
    <w:p>
      <w:pPr>
        <w:pStyle w:val="BodyText"/>
        <w:rPr>
          <w:sz w:val="12"/>
        </w:rPr>
      </w:pPr>
    </w:p>
    <w:p>
      <w:pPr>
        <w:spacing w:before="85"/>
        <w:ind w:left="2" w:right="0" w:firstLine="0"/>
        <w:jc w:val="left"/>
        <w:rPr>
          <w:sz w:val="12"/>
        </w:rPr>
      </w:pPr>
      <w:r>
        <w:rPr>
          <w:sz w:val="12"/>
        </w:rPr>
        <w:t>4.5</w:t>
      </w:r>
    </w:p>
    <w:p>
      <w:pPr>
        <w:pStyle w:val="BodyText"/>
        <w:rPr>
          <w:sz w:val="12"/>
        </w:rPr>
      </w:pPr>
    </w:p>
    <w:p>
      <w:pPr>
        <w:spacing w:line="129" w:lineRule="exact" w:before="85"/>
        <w:ind w:left="2" w:right="0" w:firstLine="0"/>
        <w:jc w:val="left"/>
        <w:rPr>
          <w:sz w:val="12"/>
        </w:rPr>
      </w:pPr>
      <w:r>
        <w:rPr>
          <w:sz w:val="12"/>
        </w:rPr>
        <w:t>4.0</w:t>
      </w:r>
    </w:p>
    <w:p>
      <w:pPr>
        <w:spacing w:line="129" w:lineRule="exact" w:before="0"/>
        <w:ind w:left="2" w:right="0" w:firstLine="0"/>
        <w:jc w:val="left"/>
        <w:rPr>
          <w:sz w:val="12"/>
        </w:rPr>
      </w:pPr>
      <w:r>
        <w:rPr>
          <w:sz w:val="12"/>
        </w:rPr>
        <w:t>0.0</w:t>
      </w:r>
    </w:p>
    <w:p>
      <w:pPr>
        <w:pStyle w:val="BodyText"/>
        <w:spacing w:line="242" w:lineRule="auto"/>
        <w:ind w:left="181" w:right="129"/>
      </w:pPr>
      <w:r>
        <w:rPr/>
        <w:br w:type="column"/>
      </w:r>
      <w:r>
        <w:rPr/>
        <w:t>has also remained unchanged since the August </w:t>
      </w:r>
      <w:r>
        <w:rPr>
          <w:i/>
        </w:rPr>
        <w:t>Report</w:t>
      </w:r>
      <w:r>
        <w:rPr/>
        <w:t>, at 6.5%, but the European Central Bank has increased its official rate by 50 basis points to 4.75%. Market expectations about the level of future official UK rates have declined further since the August </w:t>
      </w:r>
      <w:r>
        <w:rPr>
          <w:i/>
        </w:rPr>
        <w:t>Report</w:t>
      </w:r>
      <w:r>
        <w:rPr/>
        <w:t>. There are several ways of measuring market expectations of future official interest rates.</w:t>
      </w:r>
      <w:r>
        <w:rPr>
          <w:position w:val="5"/>
          <w:sz w:val="16"/>
        </w:rPr>
        <w:t>(2) </w:t>
      </w:r>
      <w:r>
        <w:rPr/>
        <w:t>The Bank performs the vast majority of its monetary operations via two-week sale and repurchase (repo) agreements. Chart 1.12 shows estimates of two-week interest rates expected to</w:t>
      </w:r>
    </w:p>
    <w:p>
      <w:pPr>
        <w:pStyle w:val="BodyText"/>
        <w:spacing w:line="242" w:lineRule="auto" w:before="3"/>
        <w:ind w:left="181" w:right="170"/>
      </w:pPr>
      <w:r>
        <w:rPr/>
        <w:t>prevail one and two years from now, as implied by the prices of government bonds and gilt repo rates. Official interest rate expectations measured in this way have fallen since the beginning of the year. And Chart 1.13 indicates that official interest rates are expected to remain close to their current level over the next year.</w:t>
      </w:r>
    </w:p>
    <w:p>
      <w:pPr>
        <w:pStyle w:val="BodyText"/>
        <w:spacing w:line="242" w:lineRule="auto" w:before="7"/>
        <w:ind w:left="181"/>
      </w:pPr>
      <w:r>
        <w:rPr/>
        <w:t>That is true of expectations derived from rates on commercial bank liabilities (also shown in the chart), the</w:t>
      </w:r>
    </w:p>
    <w:p>
      <w:pPr>
        <w:pStyle w:val="BodyText"/>
        <w:spacing w:before="9"/>
        <w:rPr>
          <w:sz w:val="19"/>
        </w:rPr>
      </w:pPr>
      <w:r>
        <w:rPr/>
        <w:pict>
          <v:shape style="position:absolute;margin-left:279.730011pt;margin-top:13.462893pt;width:276.55pt;height:.1pt;mso-position-horizontal-relative:page;mso-position-vertical-relative:paragraph;z-index:-15670784;mso-wrap-distance-left:0;mso-wrap-distance-right:0" coordorigin="5595,269" coordsize="5531,0" path="m5595,269l11126,269e" filled="false" stroked="true" strokeweight=".125pt" strokecolor="#000000">
            <v:path arrowok="t"/>
            <v:stroke dashstyle="solid"/>
            <w10:wrap type="topAndBottom"/>
          </v:shape>
        </w:pict>
      </w:r>
    </w:p>
    <w:p>
      <w:pPr>
        <w:pStyle w:val="ListParagraph"/>
        <w:numPr>
          <w:ilvl w:val="0"/>
          <w:numId w:val="9"/>
        </w:numPr>
        <w:tabs>
          <w:tab w:pos="422" w:val="left" w:leader="none"/>
        </w:tabs>
        <w:spacing w:line="208" w:lineRule="auto" w:before="13" w:after="0"/>
        <w:ind w:left="421" w:right="886" w:hanging="240"/>
        <w:jc w:val="left"/>
        <w:rPr>
          <w:sz w:val="16"/>
        </w:rPr>
      </w:pPr>
      <w:r>
        <w:rPr>
          <w:sz w:val="16"/>
        </w:rPr>
        <w:t>Institutional</w:t>
      </w:r>
      <w:r>
        <w:rPr>
          <w:spacing w:val="-8"/>
          <w:sz w:val="16"/>
        </w:rPr>
        <w:t> </w:t>
      </w:r>
      <w:r>
        <w:rPr>
          <w:sz w:val="16"/>
        </w:rPr>
        <w:t>investors</w:t>
      </w:r>
      <w:r>
        <w:rPr>
          <w:spacing w:val="-8"/>
          <w:sz w:val="16"/>
        </w:rPr>
        <w:t> </w:t>
      </w:r>
      <w:r>
        <w:rPr>
          <w:sz w:val="16"/>
        </w:rPr>
        <w:t>are</w:t>
      </w:r>
      <w:r>
        <w:rPr>
          <w:spacing w:val="-8"/>
          <w:sz w:val="16"/>
        </w:rPr>
        <w:t> </w:t>
      </w:r>
      <w:r>
        <w:rPr>
          <w:sz w:val="16"/>
        </w:rPr>
        <w:t>defined</w:t>
      </w:r>
      <w:r>
        <w:rPr>
          <w:spacing w:val="-8"/>
          <w:sz w:val="16"/>
        </w:rPr>
        <w:t> </w:t>
      </w:r>
      <w:r>
        <w:rPr>
          <w:sz w:val="16"/>
        </w:rPr>
        <w:t>as</w:t>
      </w:r>
      <w:r>
        <w:rPr>
          <w:spacing w:val="-8"/>
          <w:sz w:val="16"/>
        </w:rPr>
        <w:t> </w:t>
      </w:r>
      <w:r>
        <w:rPr>
          <w:sz w:val="16"/>
        </w:rPr>
        <w:t>ICPFs,</w:t>
      </w:r>
      <w:r>
        <w:rPr>
          <w:spacing w:val="-7"/>
          <w:sz w:val="16"/>
        </w:rPr>
        <w:t> </w:t>
      </w:r>
      <w:r>
        <w:rPr>
          <w:sz w:val="16"/>
        </w:rPr>
        <w:t>investment</w:t>
      </w:r>
      <w:r>
        <w:rPr>
          <w:spacing w:val="-8"/>
          <w:sz w:val="16"/>
        </w:rPr>
        <w:t> </w:t>
      </w:r>
      <w:r>
        <w:rPr>
          <w:sz w:val="16"/>
        </w:rPr>
        <w:t>and</w:t>
      </w:r>
      <w:r>
        <w:rPr>
          <w:spacing w:val="-8"/>
          <w:sz w:val="16"/>
        </w:rPr>
        <w:t> </w:t>
      </w:r>
      <w:r>
        <w:rPr>
          <w:sz w:val="16"/>
        </w:rPr>
        <w:t>unit</w:t>
      </w:r>
      <w:r>
        <w:rPr>
          <w:spacing w:val="-8"/>
          <w:sz w:val="16"/>
        </w:rPr>
        <w:t> </w:t>
      </w:r>
      <w:r>
        <w:rPr>
          <w:sz w:val="16"/>
        </w:rPr>
        <w:t>trusts, money</w:t>
      </w:r>
      <w:r>
        <w:rPr>
          <w:spacing w:val="-5"/>
          <w:sz w:val="16"/>
        </w:rPr>
        <w:t> </w:t>
      </w:r>
      <w:r>
        <w:rPr>
          <w:sz w:val="16"/>
        </w:rPr>
        <w:t>market</w:t>
      </w:r>
      <w:r>
        <w:rPr>
          <w:spacing w:val="-4"/>
          <w:sz w:val="16"/>
        </w:rPr>
        <w:t> </w:t>
      </w:r>
      <w:r>
        <w:rPr>
          <w:sz w:val="16"/>
        </w:rPr>
        <w:t>mutual</w:t>
      </w:r>
      <w:r>
        <w:rPr>
          <w:spacing w:val="-4"/>
          <w:sz w:val="16"/>
        </w:rPr>
        <w:t> </w:t>
      </w:r>
      <w:r>
        <w:rPr>
          <w:sz w:val="16"/>
        </w:rPr>
        <w:t>funds,</w:t>
      </w:r>
      <w:r>
        <w:rPr>
          <w:spacing w:val="-3"/>
          <w:sz w:val="16"/>
        </w:rPr>
        <w:t> </w:t>
      </w:r>
      <w:r>
        <w:rPr>
          <w:sz w:val="16"/>
        </w:rPr>
        <w:t>and</w:t>
      </w:r>
      <w:r>
        <w:rPr>
          <w:spacing w:val="-4"/>
          <w:sz w:val="16"/>
        </w:rPr>
        <w:t> </w:t>
      </w:r>
      <w:r>
        <w:rPr>
          <w:sz w:val="16"/>
        </w:rPr>
        <w:t>institutions</w:t>
      </w:r>
      <w:r>
        <w:rPr>
          <w:spacing w:val="-5"/>
          <w:sz w:val="16"/>
        </w:rPr>
        <w:t> </w:t>
      </w:r>
      <w:r>
        <w:rPr>
          <w:sz w:val="16"/>
        </w:rPr>
        <w:t>engaged</w:t>
      </w:r>
      <w:r>
        <w:rPr>
          <w:spacing w:val="-4"/>
          <w:sz w:val="16"/>
        </w:rPr>
        <w:t> </w:t>
      </w:r>
      <w:r>
        <w:rPr>
          <w:sz w:val="16"/>
        </w:rPr>
        <w:t>in</w:t>
      </w:r>
      <w:r>
        <w:rPr>
          <w:spacing w:val="-4"/>
          <w:sz w:val="16"/>
        </w:rPr>
        <w:t> </w:t>
      </w:r>
      <w:r>
        <w:rPr>
          <w:sz w:val="16"/>
        </w:rPr>
        <w:t>other</w:t>
      </w:r>
      <w:r>
        <w:rPr>
          <w:spacing w:val="-4"/>
          <w:sz w:val="16"/>
        </w:rPr>
        <w:t> </w:t>
      </w:r>
      <w:r>
        <w:rPr>
          <w:sz w:val="16"/>
        </w:rPr>
        <w:t>fund</w:t>
      </w:r>
    </w:p>
    <w:p>
      <w:pPr>
        <w:spacing w:after="0" w:line="208" w:lineRule="auto"/>
        <w:jc w:val="left"/>
        <w:rPr>
          <w:sz w:val="16"/>
        </w:rPr>
        <w:sectPr>
          <w:type w:val="continuous"/>
          <w:pgSz w:w="11900" w:h="16840"/>
          <w:pgMar w:top="1260" w:bottom="280" w:left="640" w:right="640"/>
          <w:cols w:num="3" w:equalWidth="0">
            <w:col w:w="3427" w:space="40"/>
            <w:col w:w="193" w:space="1144"/>
            <w:col w:w="5816"/>
          </w:cols>
        </w:sectPr>
      </w:pPr>
    </w:p>
    <w:p>
      <w:pPr>
        <w:pStyle w:val="ListParagraph"/>
        <w:numPr>
          <w:ilvl w:val="1"/>
          <w:numId w:val="9"/>
        </w:numPr>
        <w:tabs>
          <w:tab w:pos="441" w:val="left" w:leader="none"/>
        </w:tabs>
        <w:spacing w:line="208" w:lineRule="auto" w:before="41" w:after="0"/>
        <w:ind w:left="439" w:right="38" w:hanging="240"/>
        <w:jc w:val="left"/>
        <w:rPr>
          <w:sz w:val="12"/>
        </w:rPr>
      </w:pPr>
      <w:r>
        <w:rPr>
          <w:sz w:val="12"/>
        </w:rPr>
        <w:t>Forward rates are derived from GC repo rates and gilts, adjusted upwards</w:t>
      </w:r>
      <w:r>
        <w:rPr>
          <w:spacing w:val="-6"/>
          <w:sz w:val="12"/>
        </w:rPr>
        <w:t> </w:t>
      </w:r>
      <w:r>
        <w:rPr>
          <w:sz w:val="12"/>
        </w:rPr>
        <w:t>by</w:t>
      </w:r>
      <w:r>
        <w:rPr>
          <w:spacing w:val="-5"/>
          <w:sz w:val="12"/>
        </w:rPr>
        <w:t> </w:t>
      </w:r>
      <w:r>
        <w:rPr>
          <w:sz w:val="12"/>
        </w:rPr>
        <w:t>15</w:t>
      </w:r>
      <w:r>
        <w:rPr>
          <w:spacing w:val="-5"/>
          <w:sz w:val="12"/>
        </w:rPr>
        <w:t> </w:t>
      </w:r>
      <w:r>
        <w:rPr>
          <w:sz w:val="12"/>
        </w:rPr>
        <w:t>basis</w:t>
      </w:r>
      <w:r>
        <w:rPr>
          <w:spacing w:val="-5"/>
          <w:sz w:val="12"/>
        </w:rPr>
        <w:t> </w:t>
      </w:r>
      <w:r>
        <w:rPr>
          <w:sz w:val="12"/>
        </w:rPr>
        <w:t>points</w:t>
      </w:r>
      <w:r>
        <w:rPr>
          <w:spacing w:val="-6"/>
          <w:sz w:val="12"/>
        </w:rPr>
        <w:t> </w:t>
      </w:r>
      <w:r>
        <w:rPr>
          <w:sz w:val="12"/>
        </w:rPr>
        <w:t>to</w:t>
      </w:r>
      <w:r>
        <w:rPr>
          <w:spacing w:val="-5"/>
          <w:sz w:val="12"/>
        </w:rPr>
        <w:t> </w:t>
      </w:r>
      <w:r>
        <w:rPr>
          <w:sz w:val="12"/>
        </w:rPr>
        <w:t>reflect</w:t>
      </w:r>
      <w:r>
        <w:rPr>
          <w:spacing w:val="-5"/>
          <w:sz w:val="12"/>
        </w:rPr>
        <w:t> </w:t>
      </w:r>
      <w:r>
        <w:rPr>
          <w:sz w:val="12"/>
        </w:rPr>
        <w:t>the</w:t>
      </w:r>
      <w:r>
        <w:rPr>
          <w:spacing w:val="-5"/>
          <w:sz w:val="12"/>
        </w:rPr>
        <w:t> </w:t>
      </w:r>
      <w:r>
        <w:rPr>
          <w:sz w:val="12"/>
        </w:rPr>
        <w:t>average</w:t>
      </w:r>
      <w:r>
        <w:rPr>
          <w:spacing w:val="-6"/>
          <w:sz w:val="12"/>
        </w:rPr>
        <w:t> </w:t>
      </w:r>
      <w:r>
        <w:rPr>
          <w:sz w:val="12"/>
        </w:rPr>
        <w:t>historical</w:t>
      </w:r>
      <w:r>
        <w:rPr>
          <w:spacing w:val="-5"/>
          <w:sz w:val="12"/>
        </w:rPr>
        <w:t> </w:t>
      </w:r>
      <w:r>
        <w:rPr>
          <w:sz w:val="12"/>
        </w:rPr>
        <w:t>spread between the GC repo rate and the Bank’s repo</w:t>
      </w:r>
      <w:r>
        <w:rPr>
          <w:spacing w:val="-19"/>
          <w:sz w:val="12"/>
        </w:rPr>
        <w:t> </w:t>
      </w:r>
      <w:r>
        <w:rPr>
          <w:sz w:val="12"/>
        </w:rPr>
        <w:t>rate.</w:t>
      </w:r>
    </w:p>
    <w:p>
      <w:pPr>
        <w:spacing w:line="153" w:lineRule="exact" w:before="0"/>
        <w:ind w:left="439" w:right="0" w:firstLine="0"/>
        <w:jc w:val="left"/>
        <w:rPr>
          <w:sz w:val="16"/>
        </w:rPr>
      </w:pPr>
      <w:r>
        <w:rPr/>
        <w:br w:type="column"/>
      </w:r>
      <w:r>
        <w:rPr>
          <w:sz w:val="16"/>
        </w:rPr>
        <w:t>management activities.</w:t>
      </w:r>
    </w:p>
    <w:p>
      <w:pPr>
        <w:pStyle w:val="ListParagraph"/>
        <w:numPr>
          <w:ilvl w:val="0"/>
          <w:numId w:val="9"/>
        </w:numPr>
        <w:tabs>
          <w:tab w:pos="441" w:val="left" w:leader="none"/>
        </w:tabs>
        <w:spacing w:line="208" w:lineRule="auto" w:before="7" w:after="0"/>
        <w:ind w:left="440" w:right="910" w:hanging="241"/>
        <w:jc w:val="left"/>
        <w:rPr>
          <w:sz w:val="16"/>
        </w:rPr>
      </w:pPr>
      <w:r>
        <w:rPr>
          <w:color w:val="FF0000"/>
          <w:sz w:val="16"/>
        </w:rPr>
        <w:t>Discussed</w:t>
      </w:r>
      <w:r>
        <w:rPr>
          <w:color w:val="FF0000"/>
          <w:spacing w:val="-5"/>
          <w:sz w:val="16"/>
        </w:rPr>
        <w:t> </w:t>
      </w:r>
      <w:r>
        <w:rPr>
          <w:color w:val="FF0000"/>
          <w:sz w:val="16"/>
        </w:rPr>
        <w:t>in</w:t>
      </w:r>
      <w:r>
        <w:rPr>
          <w:color w:val="FF0000"/>
          <w:spacing w:val="-4"/>
          <w:sz w:val="16"/>
        </w:rPr>
        <w:t> </w:t>
      </w:r>
      <w:r>
        <w:rPr>
          <w:color w:val="FF0000"/>
          <w:sz w:val="16"/>
        </w:rPr>
        <w:t>the</w:t>
      </w:r>
      <w:r>
        <w:rPr>
          <w:color w:val="FF0000"/>
          <w:spacing w:val="-5"/>
          <w:sz w:val="16"/>
        </w:rPr>
        <w:t> </w:t>
      </w:r>
      <w:r>
        <w:rPr>
          <w:color w:val="FF0000"/>
          <w:sz w:val="16"/>
        </w:rPr>
        <w:t>article</w:t>
      </w:r>
      <w:r>
        <w:rPr>
          <w:color w:val="FF0000"/>
          <w:spacing w:val="-4"/>
          <w:sz w:val="16"/>
        </w:rPr>
        <w:t> </w:t>
      </w:r>
      <w:r>
        <w:rPr>
          <w:color w:val="FF0000"/>
          <w:sz w:val="16"/>
        </w:rPr>
        <w:t>on</w:t>
      </w:r>
      <w:r>
        <w:rPr>
          <w:color w:val="FF0000"/>
          <w:spacing w:val="-5"/>
          <w:sz w:val="16"/>
        </w:rPr>
        <w:t> </w:t>
      </w:r>
      <w:r>
        <w:rPr>
          <w:color w:val="FF0000"/>
          <w:sz w:val="16"/>
        </w:rPr>
        <w:t>pages</w:t>
      </w:r>
      <w:r>
        <w:rPr>
          <w:color w:val="FF0000"/>
          <w:spacing w:val="-4"/>
          <w:sz w:val="16"/>
        </w:rPr>
        <w:t> </w:t>
      </w:r>
      <w:r>
        <w:rPr>
          <w:color w:val="FF0000"/>
          <w:sz w:val="16"/>
        </w:rPr>
        <w:t>392–402</w:t>
      </w:r>
      <w:r>
        <w:rPr>
          <w:color w:val="FF0000"/>
          <w:spacing w:val="-4"/>
          <w:sz w:val="16"/>
        </w:rPr>
        <w:t> </w:t>
      </w:r>
      <w:r>
        <w:rPr>
          <w:color w:val="FF0000"/>
          <w:sz w:val="16"/>
        </w:rPr>
        <w:t>of</w:t>
      </w:r>
      <w:r>
        <w:rPr>
          <w:color w:val="FF0000"/>
          <w:spacing w:val="-4"/>
          <w:sz w:val="16"/>
        </w:rPr>
        <w:t> </w:t>
      </w:r>
      <w:r>
        <w:rPr>
          <w:color w:val="FF0000"/>
          <w:sz w:val="16"/>
        </w:rPr>
        <w:t>the</w:t>
      </w:r>
      <w:r>
        <w:rPr>
          <w:color w:val="FF0000"/>
          <w:spacing w:val="-3"/>
          <w:sz w:val="16"/>
        </w:rPr>
        <w:t> </w:t>
      </w:r>
      <w:r>
        <w:rPr>
          <w:color w:val="FF0000"/>
          <w:sz w:val="16"/>
        </w:rPr>
        <w:t>November</w:t>
      </w:r>
      <w:r>
        <w:rPr>
          <w:color w:val="FF0000"/>
          <w:spacing w:val="-5"/>
          <w:sz w:val="16"/>
        </w:rPr>
        <w:t> </w:t>
      </w:r>
      <w:r>
        <w:rPr>
          <w:i/>
          <w:color w:val="FF0000"/>
          <w:sz w:val="16"/>
        </w:rPr>
        <w:t>Quarterly </w:t>
      </w:r>
      <w:r>
        <w:rPr>
          <w:i/>
          <w:color w:val="FF0000"/>
          <w:sz w:val="16"/>
        </w:rPr>
        <w:t>Bulletin</w:t>
      </w:r>
      <w:r>
        <w:rPr>
          <w:sz w:val="16"/>
        </w:rPr>
        <w:t>.</w:t>
      </w:r>
    </w:p>
    <w:p>
      <w:pPr>
        <w:spacing w:after="0" w:line="208" w:lineRule="auto"/>
        <w:jc w:val="left"/>
        <w:rPr>
          <w:sz w:val="16"/>
        </w:rPr>
        <w:sectPr>
          <w:type w:val="continuous"/>
          <w:pgSz w:w="11900" w:h="16840"/>
          <w:pgMar w:top="1260" w:bottom="280" w:left="640" w:right="640"/>
          <w:cols w:num="2" w:equalWidth="0">
            <w:col w:w="3633" w:space="1152"/>
            <w:col w:w="5835"/>
          </w:cols>
        </w:sectPr>
      </w:pPr>
    </w:p>
    <w:p>
      <w:pPr>
        <w:pStyle w:val="BodyText"/>
        <w:rPr>
          <w:sz w:val="20"/>
        </w:rPr>
      </w:pPr>
    </w:p>
    <w:p>
      <w:pPr>
        <w:spacing w:after="0"/>
        <w:rPr>
          <w:sz w:val="20"/>
        </w:rPr>
        <w:sectPr>
          <w:headerReference w:type="even" r:id="rId45"/>
          <w:headerReference w:type="default" r:id="rId46"/>
          <w:footerReference w:type="even" r:id="rId47"/>
          <w:footerReference w:type="default" r:id="rId48"/>
          <w:pgSz w:w="11900" w:h="16840"/>
          <w:pgMar w:header="586" w:footer="592" w:top="780" w:bottom="780" w:left="640" w:right="640"/>
          <w:pgNumType w:start="8"/>
        </w:sectPr>
      </w:pPr>
    </w:p>
    <w:p>
      <w:pPr>
        <w:pStyle w:val="BodyText"/>
        <w:spacing w:before="11"/>
        <w:rPr>
          <w:sz w:val="22"/>
        </w:rPr>
      </w:pPr>
    </w:p>
    <w:p>
      <w:pPr>
        <w:spacing w:before="0"/>
        <w:ind w:left="180" w:right="0" w:firstLine="0"/>
        <w:jc w:val="left"/>
        <w:rPr>
          <w:b/>
          <w:sz w:val="20"/>
        </w:rPr>
      </w:pPr>
      <w:bookmarkStart w:name="Household borrowing rates" w:id="15"/>
      <w:bookmarkEnd w:id="15"/>
      <w:r>
        <w:rPr/>
      </w:r>
      <w:bookmarkStart w:name="Corporate borrowing rates" w:id="16"/>
      <w:bookmarkEnd w:id="16"/>
      <w:r>
        <w:rPr/>
      </w:r>
      <w:bookmarkStart w:name="_bookmark5" w:id="17"/>
      <w:bookmarkEnd w:id="17"/>
      <w:r>
        <w:rPr/>
      </w:r>
      <w:r>
        <w:rPr>
          <w:b/>
          <w:color w:val="0092C7"/>
          <w:sz w:val="20"/>
        </w:rPr>
        <w:t>Chart 1.13</w:t>
      </w:r>
    </w:p>
    <w:p>
      <w:pPr>
        <w:spacing w:before="10"/>
        <w:ind w:left="180" w:right="0" w:firstLine="0"/>
        <w:jc w:val="left"/>
        <w:rPr>
          <w:sz w:val="12"/>
        </w:rPr>
      </w:pPr>
      <w:r>
        <w:rPr>
          <w:b/>
          <w:color w:val="0092C7"/>
          <w:sz w:val="20"/>
        </w:rPr>
        <w:t>Two-week forward rates</w:t>
      </w:r>
      <w:r>
        <w:rPr>
          <w:position w:val="4"/>
          <w:sz w:val="12"/>
        </w:rPr>
        <w:t>(a)</w:t>
      </w:r>
    </w:p>
    <w:p>
      <w:pPr>
        <w:pStyle w:val="BodyText"/>
        <w:spacing w:before="3" w:after="40"/>
        <w:rPr>
          <w:sz w:val="16"/>
        </w:rPr>
      </w:pPr>
    </w:p>
    <w:p>
      <w:pPr>
        <w:pStyle w:val="BodyText"/>
        <w:spacing w:line="20" w:lineRule="exact"/>
        <w:ind w:left="176"/>
        <w:rPr>
          <w:sz w:val="2"/>
        </w:rPr>
      </w:pPr>
      <w:r>
        <w:rPr>
          <w:sz w:val="2"/>
        </w:rPr>
        <w:drawing>
          <wp:inline distT="0" distB="0" distL="0" distR="0">
            <wp:extent cx="54478" cy="6286"/>
            <wp:effectExtent l="0" t="0" r="0" b="0"/>
            <wp:docPr id="47" name="image17.png"/>
            <wp:cNvGraphicFramePr>
              <a:graphicFrameLocks noChangeAspect="1"/>
            </wp:cNvGraphicFramePr>
            <a:graphic>
              <a:graphicData uri="http://schemas.openxmlformats.org/drawingml/2006/picture">
                <pic:pic>
                  <pic:nvPicPr>
                    <pic:cNvPr id="48" name="image17.png"/>
                    <pic:cNvPicPr/>
                  </pic:nvPicPr>
                  <pic:blipFill>
                    <a:blip r:embed="rId42" cstate="print"/>
                    <a:stretch>
                      <a:fillRect/>
                    </a:stretch>
                  </pic:blipFill>
                  <pic:spPr>
                    <a:xfrm>
                      <a:off x="0" y="0"/>
                      <a:ext cx="54478" cy="6286"/>
                    </a:xfrm>
                    <a:prstGeom prst="rect">
                      <a:avLst/>
                    </a:prstGeom>
                  </pic:spPr>
                </pic:pic>
              </a:graphicData>
            </a:graphic>
          </wp:inline>
        </w:drawing>
      </w:r>
      <w:r>
        <w:rPr>
          <w:sz w:val="2"/>
        </w:rPr>
      </w:r>
    </w:p>
    <w:p>
      <w:pPr>
        <w:pStyle w:val="BodyText"/>
        <w:rPr>
          <w:sz w:val="20"/>
        </w:rPr>
      </w:pPr>
      <w:r>
        <w:rPr/>
        <w:br w:type="column"/>
      </w:r>
      <w:r>
        <w:rPr>
          <w:sz w:val="20"/>
        </w:rPr>
      </w:r>
    </w:p>
    <w:p>
      <w:pPr>
        <w:pStyle w:val="BodyText"/>
        <w:rPr>
          <w:sz w:val="20"/>
        </w:rPr>
      </w:pPr>
    </w:p>
    <w:p>
      <w:pPr>
        <w:pStyle w:val="BodyText"/>
        <w:rPr>
          <w:sz w:val="20"/>
        </w:rPr>
      </w:pPr>
    </w:p>
    <w:p>
      <w:pPr>
        <w:spacing w:before="128"/>
        <w:ind w:left="176" w:right="0" w:firstLine="0"/>
        <w:jc w:val="left"/>
        <w:rPr>
          <w:sz w:val="12"/>
        </w:rPr>
      </w:pPr>
      <w:r>
        <w:rPr>
          <w:sz w:val="12"/>
        </w:rPr>
        <w:t>Per ce</w:t>
      </w:r>
      <w:r>
        <w:rPr>
          <w:sz w:val="12"/>
          <w:u w:val="single"/>
        </w:rPr>
        <w:t>n</w:t>
      </w:r>
      <w:r>
        <w:rPr>
          <w:sz w:val="12"/>
        </w:rPr>
        <w:t>t</w:t>
      </w:r>
      <w:r>
        <w:rPr>
          <w:spacing w:val="18"/>
          <w:sz w:val="12"/>
        </w:rPr>
        <w:t> </w:t>
      </w:r>
      <w:r>
        <w:rPr>
          <w:position w:val="-7"/>
          <w:sz w:val="12"/>
        </w:rPr>
        <w:t>8.0</w:t>
      </w:r>
    </w:p>
    <w:p>
      <w:pPr>
        <w:pStyle w:val="BodyText"/>
      </w:pPr>
    </w:p>
    <w:p>
      <w:pPr>
        <w:spacing w:before="0"/>
        <w:ind w:left="0" w:right="38" w:firstLine="0"/>
        <w:jc w:val="right"/>
        <w:rPr>
          <w:sz w:val="12"/>
        </w:rPr>
      </w:pPr>
      <w:r>
        <w:rPr/>
        <w:pict>
          <v:group style="position:absolute;margin-left:40.838001pt;margin-top:-7.134454pt;width:153.85pt;height:122.2pt;mso-position-horizontal-relative:page;mso-position-vertical-relative:paragraph;z-index:15795712" coordorigin="817,-143" coordsize="3077,2444">
            <v:shape style="position:absolute;left:816;top:-37;width:3077;height:2338" type="#_x0000_t75" stroked="false">
              <v:imagedata r:id="rId49" o:title=""/>
            </v:shape>
            <v:shape style="position:absolute;left:1499;top:-143;width:997;height:254" type="#_x0000_t202" filled="false" stroked="false">
              <v:textbox inset="0,0,0,0">
                <w:txbxContent>
                  <w:p>
                    <w:pPr>
                      <w:spacing w:line="208" w:lineRule="auto" w:before="9"/>
                      <w:ind w:left="60" w:right="0" w:hanging="60"/>
                      <w:jc w:val="left"/>
                      <w:rPr>
                        <w:sz w:val="12"/>
                      </w:rPr>
                    </w:pPr>
                    <w:r>
                      <w:rPr>
                        <w:sz w:val="12"/>
                      </w:rPr>
                      <w:t>Historical two-week GC repo rate</w:t>
                    </w:r>
                  </w:p>
                </w:txbxContent>
              </v:textbox>
              <w10:wrap type="none"/>
            </v:shape>
            <v:shape style="position:absolute;left:2869;top:652;width:790;height:374" type="#_x0000_t202" filled="false" stroked="false">
              <v:textbox inset="0,0,0,0">
                <w:txbxContent>
                  <w:p>
                    <w:pPr>
                      <w:spacing w:line="208" w:lineRule="auto" w:before="9"/>
                      <w:ind w:left="60" w:right="0" w:hanging="60"/>
                      <w:jc w:val="left"/>
                      <w:rPr>
                        <w:sz w:val="12"/>
                      </w:rPr>
                    </w:pPr>
                    <w:r>
                      <w:rPr>
                        <w:sz w:val="12"/>
                      </w:rPr>
                      <w:t>Forward rates derived from bank liabilities</w:t>
                    </w:r>
                  </w:p>
                </w:txbxContent>
              </v:textbox>
              <w10:wrap type="none"/>
            </v:shape>
            <v:shape style="position:absolute;left:2804;top:1812;width:900;height:374" type="#_x0000_t202" filled="false" stroked="false">
              <v:textbox inset="0,0,0,0">
                <w:txbxContent>
                  <w:p>
                    <w:pPr>
                      <w:spacing w:line="208" w:lineRule="auto" w:before="9"/>
                      <w:ind w:left="60" w:right="0" w:hanging="60"/>
                      <w:jc w:val="left"/>
                      <w:rPr>
                        <w:sz w:val="12"/>
                      </w:rPr>
                    </w:pPr>
                    <w:r>
                      <w:rPr>
                        <w:sz w:val="12"/>
                      </w:rPr>
                      <w:t>Forward rates derived from GC repos and gilts</w:t>
                    </w:r>
                  </w:p>
                </w:txbxContent>
              </v:textbox>
              <w10:wrap type="none"/>
            </v:shape>
            <w10:wrap type="none"/>
          </v:group>
        </w:pict>
      </w:r>
      <w:r>
        <w:rPr>
          <w:sz w:val="12"/>
        </w:rPr>
        <w:t>7.5</w:t>
      </w:r>
    </w:p>
    <w:p>
      <w:pPr>
        <w:pStyle w:val="BodyText"/>
        <w:rPr>
          <w:sz w:val="12"/>
        </w:rPr>
      </w:pPr>
    </w:p>
    <w:p>
      <w:pPr>
        <w:pStyle w:val="BodyText"/>
        <w:spacing w:before="3"/>
        <w:rPr>
          <w:sz w:val="12"/>
        </w:rPr>
      </w:pPr>
    </w:p>
    <w:p>
      <w:pPr>
        <w:spacing w:before="0"/>
        <w:ind w:left="0" w:right="38" w:firstLine="0"/>
        <w:jc w:val="right"/>
        <w:rPr>
          <w:sz w:val="12"/>
        </w:rPr>
      </w:pPr>
      <w:r>
        <w:rPr>
          <w:sz w:val="12"/>
        </w:rPr>
        <w:t>7.0</w:t>
      </w:r>
    </w:p>
    <w:p>
      <w:pPr>
        <w:pStyle w:val="BodyText"/>
        <w:rPr>
          <w:sz w:val="12"/>
        </w:rPr>
      </w:pPr>
    </w:p>
    <w:p>
      <w:pPr>
        <w:pStyle w:val="BodyText"/>
        <w:spacing w:before="4"/>
        <w:rPr>
          <w:sz w:val="12"/>
        </w:rPr>
      </w:pPr>
    </w:p>
    <w:p>
      <w:pPr>
        <w:spacing w:before="0"/>
        <w:ind w:left="0" w:right="38" w:firstLine="0"/>
        <w:jc w:val="right"/>
        <w:rPr>
          <w:sz w:val="12"/>
        </w:rPr>
      </w:pPr>
      <w:r>
        <w:rPr>
          <w:sz w:val="12"/>
        </w:rPr>
        <w:t>6.5</w:t>
      </w:r>
    </w:p>
    <w:p>
      <w:pPr>
        <w:pStyle w:val="BodyText"/>
        <w:rPr>
          <w:sz w:val="12"/>
        </w:rPr>
      </w:pPr>
    </w:p>
    <w:p>
      <w:pPr>
        <w:pStyle w:val="BodyText"/>
        <w:spacing w:before="3"/>
        <w:rPr>
          <w:sz w:val="12"/>
        </w:rPr>
      </w:pPr>
    </w:p>
    <w:p>
      <w:pPr>
        <w:spacing w:before="1"/>
        <w:ind w:left="0" w:right="38" w:firstLine="0"/>
        <w:jc w:val="right"/>
        <w:rPr>
          <w:sz w:val="12"/>
        </w:rPr>
      </w:pPr>
      <w:r>
        <w:rPr>
          <w:sz w:val="12"/>
        </w:rPr>
        <w:t>6.0</w:t>
      </w:r>
    </w:p>
    <w:p>
      <w:pPr>
        <w:pStyle w:val="BodyText"/>
        <w:spacing w:before="7"/>
        <w:rPr>
          <w:sz w:val="20"/>
        </w:rPr>
      </w:pPr>
      <w:r>
        <w:rPr/>
        <w:br w:type="column"/>
      </w:r>
      <w:r>
        <w:rPr>
          <w:sz w:val="20"/>
        </w:rPr>
      </w:r>
    </w:p>
    <w:p>
      <w:pPr>
        <w:pStyle w:val="BodyText"/>
        <w:spacing w:line="242" w:lineRule="auto"/>
        <w:ind w:left="176" w:right="250"/>
      </w:pPr>
      <w:r>
        <w:rPr/>
        <w:t>Reuters survey of economists and the survey of outside forecasts conducted for this </w:t>
      </w:r>
      <w:r>
        <w:rPr>
          <w:i/>
        </w:rPr>
        <w:t>Report </w:t>
      </w:r>
      <w:hyperlink w:history="true" w:anchor="_bookmark37">
        <w:r>
          <w:rPr/>
          <w:t>(</w:t>
        </w:r>
        <w:r>
          <w:rPr>
            <w:color w:val="FF0000"/>
          </w:rPr>
          <w:t>see Section 6.3</w:t>
        </w:r>
        <w:r>
          <w:rPr/>
          <w:t>).</w:t>
        </w:r>
      </w:hyperlink>
    </w:p>
    <w:p>
      <w:pPr>
        <w:pStyle w:val="BodyText"/>
        <w:spacing w:line="242" w:lineRule="auto" w:before="2"/>
        <w:ind w:left="176" w:right="250"/>
      </w:pPr>
      <w:r>
        <w:rPr/>
        <w:t>Options on short sterling futures contracts imply that market uncertainty about the level of future short-term interest rates has generally declined since the beginning of the year (see Chart 1.14). And they suggest that investors now assess the balance of risks around their short-term interest rate expectations to lie on the downside.</w:t>
      </w:r>
    </w:p>
    <w:p>
      <w:pPr>
        <w:spacing w:after="0" w:line="242" w:lineRule="auto"/>
        <w:sectPr>
          <w:type w:val="continuous"/>
          <w:pgSz w:w="11900" w:h="16840"/>
          <w:pgMar w:top="1260" w:bottom="280" w:left="640" w:right="640"/>
          <w:cols w:num="3" w:equalWidth="0">
            <w:col w:w="2431" w:space="256"/>
            <w:col w:w="806" w:space="1310"/>
            <w:col w:w="5817"/>
          </w:cols>
        </w:sectPr>
      </w:pPr>
    </w:p>
    <w:p>
      <w:pPr>
        <w:pStyle w:val="BodyText"/>
        <w:spacing w:before="1"/>
        <w:rPr>
          <w:sz w:val="12"/>
        </w:rPr>
      </w:pPr>
    </w:p>
    <w:p>
      <w:pPr>
        <w:spacing w:after="0"/>
        <w:rPr>
          <w:sz w:val="12"/>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6"/>
        </w:rPr>
      </w:pPr>
    </w:p>
    <w:p>
      <w:pPr>
        <w:tabs>
          <w:tab w:pos="1362" w:val="left" w:leader="none"/>
        </w:tabs>
        <w:spacing w:line="50" w:lineRule="exact" w:before="0"/>
        <w:ind w:left="593" w:right="0" w:firstLine="0"/>
        <w:jc w:val="left"/>
        <w:rPr>
          <w:sz w:val="12"/>
        </w:rPr>
      </w:pPr>
      <w:r>
        <w:rPr>
          <w:sz w:val="12"/>
        </w:rPr>
        <w:t>1998</w:t>
        <w:tab/>
      </w:r>
      <w:r>
        <w:rPr>
          <w:spacing w:val="-1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6"/>
        </w:rPr>
      </w:pPr>
    </w:p>
    <w:p>
      <w:pPr>
        <w:tabs>
          <w:tab w:pos="1292" w:val="left" w:leader="none"/>
        </w:tabs>
        <w:spacing w:line="50" w:lineRule="exact" w:before="0"/>
        <w:ind w:left="491" w:right="0" w:firstLine="0"/>
        <w:jc w:val="left"/>
        <w:rPr>
          <w:sz w:val="12"/>
        </w:rPr>
      </w:pPr>
      <w:r>
        <w:rPr>
          <w:sz w:val="12"/>
        </w:rPr>
        <w:t>2000</w:t>
        <w:tab/>
      </w:r>
      <w:r>
        <w:rPr>
          <w:spacing w:val="-10"/>
          <w:sz w:val="12"/>
        </w:rPr>
        <w:t>01</w:t>
      </w:r>
    </w:p>
    <w:p>
      <w:pPr>
        <w:spacing w:before="95"/>
        <w:ind w:left="326" w:right="0" w:firstLine="0"/>
        <w:jc w:val="left"/>
        <w:rPr>
          <w:sz w:val="12"/>
        </w:rPr>
      </w:pPr>
      <w:r>
        <w:rPr/>
        <w:br w:type="column"/>
      </w:r>
      <w:r>
        <w:rPr>
          <w:sz w:val="12"/>
        </w:rPr>
        <w:t>5.5</w:t>
      </w:r>
    </w:p>
    <w:p>
      <w:pPr>
        <w:pStyle w:val="BodyText"/>
        <w:rPr>
          <w:sz w:val="12"/>
        </w:rPr>
      </w:pPr>
    </w:p>
    <w:p>
      <w:pPr>
        <w:pStyle w:val="BodyText"/>
        <w:spacing w:before="4"/>
        <w:rPr>
          <w:sz w:val="12"/>
        </w:rPr>
      </w:pPr>
    </w:p>
    <w:p>
      <w:pPr>
        <w:spacing w:before="0"/>
        <w:ind w:left="326" w:right="0" w:firstLine="0"/>
        <w:jc w:val="left"/>
        <w:rPr>
          <w:sz w:val="12"/>
        </w:rPr>
      </w:pPr>
      <w:r>
        <w:rPr>
          <w:sz w:val="12"/>
        </w:rPr>
        <w:t>5.0</w:t>
      </w:r>
    </w:p>
    <w:p>
      <w:pPr>
        <w:pStyle w:val="BodyText"/>
        <w:rPr>
          <w:sz w:val="12"/>
        </w:rPr>
      </w:pPr>
    </w:p>
    <w:p>
      <w:pPr>
        <w:pStyle w:val="BodyText"/>
        <w:spacing w:before="3"/>
        <w:rPr>
          <w:sz w:val="12"/>
        </w:rPr>
      </w:pPr>
    </w:p>
    <w:p>
      <w:pPr>
        <w:spacing w:before="0"/>
        <w:ind w:left="326" w:right="0" w:firstLine="0"/>
        <w:jc w:val="left"/>
        <w:rPr>
          <w:sz w:val="12"/>
        </w:rPr>
      </w:pPr>
      <w:r>
        <w:rPr/>
        <w:drawing>
          <wp:anchor distT="0" distB="0" distL="0" distR="0" allowOverlap="1" layoutInCell="1" locked="0" behindDoc="0" simplePos="0" relativeHeight="15796224">
            <wp:simplePos x="0" y="0"/>
            <wp:positionH relativeFrom="page">
              <wp:posOffset>518642</wp:posOffset>
            </wp:positionH>
            <wp:positionV relativeFrom="paragraph">
              <wp:posOffset>46056</wp:posOffset>
            </wp:positionV>
            <wp:extent cx="1967865" cy="87439"/>
            <wp:effectExtent l="0" t="0" r="0" b="0"/>
            <wp:wrapNone/>
            <wp:docPr id="49" name="image21.png"/>
            <wp:cNvGraphicFramePr>
              <a:graphicFrameLocks noChangeAspect="1"/>
            </wp:cNvGraphicFramePr>
            <a:graphic>
              <a:graphicData uri="http://schemas.openxmlformats.org/drawingml/2006/picture">
                <pic:pic>
                  <pic:nvPicPr>
                    <pic:cNvPr id="50" name="image21.png"/>
                    <pic:cNvPicPr/>
                  </pic:nvPicPr>
                  <pic:blipFill>
                    <a:blip r:embed="rId50" cstate="print"/>
                    <a:stretch>
                      <a:fillRect/>
                    </a:stretch>
                  </pic:blipFill>
                  <pic:spPr>
                    <a:xfrm>
                      <a:off x="0" y="0"/>
                      <a:ext cx="1967865" cy="87439"/>
                    </a:xfrm>
                    <a:prstGeom prst="rect">
                      <a:avLst/>
                    </a:prstGeom>
                  </pic:spPr>
                </pic:pic>
              </a:graphicData>
            </a:graphic>
          </wp:anchor>
        </w:drawing>
      </w:r>
      <w:r>
        <w:rPr>
          <w:sz w:val="12"/>
        </w:rPr>
        <w:t>4.5</w:t>
      </w:r>
    </w:p>
    <w:p>
      <w:pPr>
        <w:spacing w:line="124" w:lineRule="exact" w:before="9"/>
        <w:ind w:left="326" w:right="0" w:firstLine="0"/>
        <w:jc w:val="left"/>
        <w:rPr>
          <w:sz w:val="12"/>
        </w:rPr>
      </w:pPr>
      <w:r>
        <w:rPr>
          <w:sz w:val="12"/>
        </w:rPr>
        <w:t>0.0</w:t>
      </w:r>
    </w:p>
    <w:p>
      <w:pPr>
        <w:spacing w:before="190"/>
        <w:ind w:left="593" w:right="0" w:firstLine="0"/>
        <w:jc w:val="left"/>
        <w:rPr>
          <w:i/>
          <w:sz w:val="24"/>
        </w:rPr>
      </w:pPr>
      <w:r>
        <w:rPr/>
        <w:br w:type="column"/>
      </w:r>
      <w:r>
        <w:rPr>
          <w:i/>
          <w:color w:val="009391"/>
          <w:sz w:val="24"/>
        </w:rPr>
        <w:t>Household borrowing rates</w:t>
      </w:r>
    </w:p>
    <w:p>
      <w:pPr>
        <w:pStyle w:val="BodyText"/>
        <w:spacing w:line="242" w:lineRule="auto" w:before="164"/>
        <w:ind w:left="593"/>
      </w:pPr>
      <w:r>
        <w:rPr/>
        <w:t>Interest rates charged on household borrowing have changed little in recent months. The picture remains one</w:t>
      </w:r>
    </w:p>
    <w:p>
      <w:pPr>
        <w:spacing w:after="0" w:line="242" w:lineRule="auto"/>
        <w:sectPr>
          <w:type w:val="continuous"/>
          <w:pgSz w:w="11900" w:h="16840"/>
          <w:pgMar w:top="1260" w:bottom="280" w:left="640" w:right="640"/>
          <w:cols w:num="4" w:equalWidth="0">
            <w:col w:w="1483" w:space="40"/>
            <w:col w:w="1413" w:space="39"/>
            <w:col w:w="517" w:space="895"/>
            <w:col w:w="6233"/>
          </w:cols>
        </w:sectPr>
      </w:pPr>
    </w:p>
    <w:p>
      <w:pPr>
        <w:pStyle w:val="BodyText"/>
        <w:spacing w:before="2"/>
        <w:rPr>
          <w:sz w:val="11"/>
        </w:rPr>
      </w:pPr>
    </w:p>
    <w:p>
      <w:pPr>
        <w:spacing w:before="0"/>
        <w:ind w:left="179" w:right="0" w:firstLine="0"/>
        <w:jc w:val="left"/>
        <w:rPr>
          <w:sz w:val="12"/>
        </w:rPr>
      </w:pPr>
      <w:r>
        <w:rPr>
          <w:sz w:val="12"/>
        </w:rPr>
        <w:t>Source: Bank of England.</w:t>
      </w:r>
    </w:p>
    <w:p>
      <w:pPr>
        <w:pStyle w:val="BodyText"/>
        <w:spacing w:before="1"/>
        <w:rPr>
          <w:sz w:val="10"/>
        </w:rPr>
      </w:pPr>
    </w:p>
    <w:p>
      <w:pPr>
        <w:spacing w:line="208" w:lineRule="auto" w:before="0"/>
        <w:ind w:left="419" w:right="224" w:hanging="240"/>
        <w:jc w:val="left"/>
        <w:rPr>
          <w:sz w:val="12"/>
        </w:rPr>
      </w:pPr>
      <w:r>
        <w:rPr>
          <w:sz w:val="12"/>
        </w:rPr>
        <w:t>(a) Historical GC repo rates and GC repo/gilt forward rates have been adjusted upwards by 15 basis points to reflect the average historical spread between the GC repo rate and the Bank’s repo rate. The forward rates derived from bank liabilities, which contain credit risk, have been adjusted downwards by 20 basis points.</w:t>
      </w:r>
    </w:p>
    <w:p>
      <w:pPr>
        <w:pStyle w:val="BodyText"/>
        <w:rPr>
          <w:sz w:val="12"/>
        </w:rPr>
      </w:pPr>
    </w:p>
    <w:p>
      <w:pPr>
        <w:spacing w:before="101"/>
        <w:ind w:left="180" w:right="0" w:firstLine="0"/>
        <w:jc w:val="left"/>
        <w:rPr>
          <w:b/>
          <w:sz w:val="20"/>
        </w:rPr>
      </w:pPr>
      <w:r>
        <w:rPr>
          <w:b/>
          <w:color w:val="0092C7"/>
          <w:sz w:val="20"/>
        </w:rPr>
        <w:t>Chart 1.14</w:t>
      </w:r>
    </w:p>
    <w:p>
      <w:pPr>
        <w:spacing w:line="249" w:lineRule="auto" w:before="10"/>
        <w:ind w:left="180" w:right="5" w:firstLine="0"/>
        <w:jc w:val="left"/>
        <w:rPr>
          <w:b/>
          <w:sz w:val="20"/>
        </w:rPr>
      </w:pPr>
      <w:r>
        <w:rPr>
          <w:b/>
          <w:color w:val="0092C7"/>
          <w:sz w:val="20"/>
        </w:rPr>
        <w:t>Distribution of three-month interbank rates in six months’ time implied by options prices</w:t>
      </w:r>
    </w:p>
    <w:p>
      <w:pPr>
        <w:spacing w:before="117"/>
        <w:ind w:left="2911" w:right="0" w:firstLine="0"/>
        <w:jc w:val="left"/>
        <w:rPr>
          <w:sz w:val="12"/>
        </w:rPr>
      </w:pPr>
      <w:r>
        <w:rPr/>
        <w:drawing>
          <wp:anchor distT="0" distB="0" distL="0" distR="0" allowOverlap="1" layoutInCell="1" locked="0" behindDoc="0" simplePos="0" relativeHeight="15798272">
            <wp:simplePos x="0" y="0"/>
            <wp:positionH relativeFrom="page">
              <wp:posOffset>518299</wp:posOffset>
            </wp:positionH>
            <wp:positionV relativeFrom="paragraph">
              <wp:posOffset>160738</wp:posOffset>
            </wp:positionV>
            <wp:extent cx="55041" cy="6350"/>
            <wp:effectExtent l="0" t="0" r="0" b="0"/>
            <wp:wrapNone/>
            <wp:docPr id="51" name="image14.png"/>
            <wp:cNvGraphicFramePr>
              <a:graphicFrameLocks noChangeAspect="1"/>
            </wp:cNvGraphicFramePr>
            <a:graphic>
              <a:graphicData uri="http://schemas.openxmlformats.org/drawingml/2006/picture">
                <pic:pic>
                  <pic:nvPicPr>
                    <pic:cNvPr id="52"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Per ce</w:t>
      </w:r>
      <w:r>
        <w:rPr>
          <w:sz w:val="12"/>
          <w:u w:val="single"/>
        </w:rPr>
        <w:t>n</w:t>
      </w:r>
      <w:r>
        <w:rPr>
          <w:sz w:val="12"/>
        </w:rPr>
        <w:t>t</w:t>
      </w:r>
      <w:r>
        <w:rPr>
          <w:spacing w:val="11"/>
          <w:sz w:val="12"/>
        </w:rPr>
        <w:t> </w:t>
      </w:r>
      <w:r>
        <w:rPr>
          <w:position w:val="-6"/>
          <w:sz w:val="12"/>
        </w:rPr>
        <w:t>1.2</w:t>
      </w:r>
    </w:p>
    <w:p>
      <w:pPr>
        <w:pStyle w:val="BodyText"/>
        <w:spacing w:before="3"/>
        <w:rPr>
          <w:sz w:val="16"/>
        </w:rPr>
      </w:pPr>
    </w:p>
    <w:p>
      <w:pPr>
        <w:spacing w:before="1"/>
        <w:ind w:left="0" w:right="526" w:firstLine="0"/>
        <w:jc w:val="right"/>
        <w:rPr>
          <w:sz w:val="12"/>
        </w:rPr>
      </w:pPr>
      <w:r>
        <w:rPr/>
        <w:pict>
          <v:group style="position:absolute;margin-left:40.811001pt;margin-top:-4.178022pt;width:156.3pt;height:124.9pt;mso-position-horizontal-relative:page;mso-position-vertical-relative:paragraph;z-index:15797760" coordorigin="816,-84" coordsize="3126,2498">
            <v:shape style="position:absolute;left:816;top:-84;width:3126;height:2498" type="#_x0000_t75" stroked="false">
              <v:imagedata r:id="rId51" o:title=""/>
            </v:shape>
            <v:shape style="position:absolute;left:1913;top:-38;width:1087;height:134" type="#_x0000_t202" filled="false" stroked="false">
              <v:textbox inset="0,0,0,0">
                <w:txbxContent>
                  <w:p>
                    <w:pPr>
                      <w:spacing w:line="133" w:lineRule="exact" w:before="0"/>
                      <w:ind w:left="0" w:right="0" w:firstLine="0"/>
                      <w:jc w:val="left"/>
                      <w:rPr>
                        <w:sz w:val="12"/>
                      </w:rPr>
                    </w:pPr>
                    <w:r>
                      <w:rPr>
                        <w:sz w:val="12"/>
                      </w:rPr>
                      <w:t>Standard deviation (a)</w:t>
                    </w:r>
                  </w:p>
                </w:txbxContent>
              </v:textbox>
              <w10:wrap type="none"/>
            </v:shape>
            <v:shape style="position:absolute;left:1981;top:1405;width:664;height:134" type="#_x0000_t202" filled="false" stroked="false">
              <v:textbox inset="0,0,0,0">
                <w:txbxContent>
                  <w:p>
                    <w:pPr>
                      <w:spacing w:line="133" w:lineRule="exact" w:before="0"/>
                      <w:ind w:left="0" w:right="0" w:firstLine="0"/>
                      <w:jc w:val="left"/>
                      <w:rPr>
                        <w:sz w:val="12"/>
                      </w:rPr>
                    </w:pPr>
                    <w:r>
                      <w:rPr>
                        <w:sz w:val="12"/>
                      </w:rPr>
                      <w:t>Skewness (b)</w:t>
                    </w:r>
                  </w:p>
                </w:txbxContent>
              </v:textbox>
              <w10:wrap type="none"/>
            </v:shape>
            <w10:wrap type="none"/>
          </v:group>
        </w:pict>
      </w:r>
      <w:r>
        <w:rPr>
          <w:sz w:val="12"/>
        </w:rPr>
        <w:t>1.0</w:t>
      </w:r>
    </w:p>
    <w:p>
      <w:pPr>
        <w:pStyle w:val="BodyText"/>
        <w:spacing w:before="1"/>
        <w:rPr>
          <w:sz w:val="16"/>
        </w:rPr>
      </w:pPr>
    </w:p>
    <w:p>
      <w:pPr>
        <w:spacing w:before="1"/>
        <w:ind w:left="0" w:right="526" w:firstLine="0"/>
        <w:jc w:val="right"/>
        <w:rPr>
          <w:sz w:val="12"/>
        </w:rPr>
      </w:pPr>
      <w:r>
        <w:rPr>
          <w:sz w:val="12"/>
        </w:rPr>
        <w:t>0.8</w:t>
      </w:r>
    </w:p>
    <w:p>
      <w:pPr>
        <w:pStyle w:val="BodyText"/>
        <w:spacing w:before="1"/>
        <w:rPr>
          <w:sz w:val="16"/>
        </w:rPr>
      </w:pPr>
    </w:p>
    <w:p>
      <w:pPr>
        <w:spacing w:before="0"/>
        <w:ind w:left="0" w:right="526" w:firstLine="0"/>
        <w:jc w:val="right"/>
        <w:rPr>
          <w:sz w:val="12"/>
        </w:rPr>
      </w:pPr>
      <w:r>
        <w:rPr>
          <w:sz w:val="12"/>
        </w:rPr>
        <w:t>0.6</w:t>
      </w:r>
    </w:p>
    <w:p>
      <w:pPr>
        <w:pStyle w:val="BodyText"/>
        <w:spacing w:before="2"/>
        <w:rPr>
          <w:sz w:val="16"/>
        </w:rPr>
      </w:pPr>
    </w:p>
    <w:p>
      <w:pPr>
        <w:spacing w:before="0"/>
        <w:ind w:left="0" w:right="526" w:firstLine="0"/>
        <w:jc w:val="right"/>
        <w:rPr>
          <w:sz w:val="12"/>
        </w:rPr>
      </w:pPr>
      <w:r>
        <w:rPr>
          <w:sz w:val="12"/>
        </w:rPr>
        <w:t>0.4</w:t>
      </w:r>
    </w:p>
    <w:p>
      <w:pPr>
        <w:pStyle w:val="BodyText"/>
        <w:spacing w:before="2"/>
        <w:rPr>
          <w:sz w:val="16"/>
        </w:rPr>
      </w:pPr>
    </w:p>
    <w:p>
      <w:pPr>
        <w:spacing w:line="135" w:lineRule="exact" w:before="0"/>
        <w:ind w:left="3342" w:right="0" w:firstLine="0"/>
        <w:jc w:val="left"/>
        <w:rPr>
          <w:sz w:val="12"/>
        </w:rPr>
      </w:pPr>
      <w:r>
        <w:rPr>
          <w:sz w:val="12"/>
        </w:rPr>
        <w:t>0.2</w:t>
      </w:r>
    </w:p>
    <w:p>
      <w:pPr>
        <w:spacing w:line="181" w:lineRule="exact" w:before="0"/>
        <w:ind w:left="3289" w:right="0" w:firstLine="0"/>
        <w:jc w:val="left"/>
        <w:rPr>
          <w:sz w:val="16"/>
        </w:rPr>
      </w:pPr>
      <w:r>
        <w:rPr>
          <w:sz w:val="16"/>
        </w:rPr>
        <w:t>+</w:t>
      </w:r>
    </w:p>
    <w:p>
      <w:pPr>
        <w:spacing w:before="9"/>
        <w:ind w:left="3294" w:right="0" w:firstLine="0"/>
        <w:jc w:val="left"/>
        <w:rPr>
          <w:sz w:val="12"/>
        </w:rPr>
      </w:pPr>
      <w:r>
        <w:rPr>
          <w:spacing w:val="-8"/>
          <w:position w:val="-6"/>
          <w:sz w:val="16"/>
        </w:rPr>
        <w:t>_</w:t>
      </w:r>
      <w:r>
        <w:rPr>
          <w:spacing w:val="-8"/>
          <w:sz w:val="12"/>
        </w:rPr>
        <w:t>0.0</w:t>
      </w:r>
    </w:p>
    <w:p>
      <w:pPr>
        <w:spacing w:before="107"/>
        <w:ind w:left="0" w:right="526" w:firstLine="0"/>
        <w:jc w:val="right"/>
        <w:rPr>
          <w:sz w:val="12"/>
        </w:rPr>
      </w:pPr>
      <w:r>
        <w:rPr>
          <w:sz w:val="12"/>
        </w:rPr>
        <w:t>0.2</w:t>
      </w:r>
    </w:p>
    <w:p>
      <w:pPr>
        <w:pStyle w:val="BodyText"/>
        <w:spacing w:before="2"/>
        <w:rPr>
          <w:sz w:val="16"/>
        </w:rPr>
      </w:pPr>
    </w:p>
    <w:p>
      <w:pPr>
        <w:spacing w:before="0"/>
        <w:ind w:left="0" w:right="526" w:firstLine="0"/>
        <w:jc w:val="right"/>
        <w:rPr>
          <w:sz w:val="12"/>
        </w:rPr>
      </w:pPr>
      <w:r>
        <w:rPr>
          <w:sz w:val="12"/>
        </w:rPr>
        <w:t>0.4</w:t>
      </w:r>
    </w:p>
    <w:p>
      <w:pPr>
        <w:pStyle w:val="BodyText"/>
        <w:spacing w:line="242" w:lineRule="auto"/>
        <w:ind w:left="176" w:right="161"/>
      </w:pPr>
      <w:r>
        <w:rPr/>
        <w:br w:type="column"/>
      </w:r>
      <w:r>
        <w:rPr/>
        <w:t>of limited pass-through to secured borrowing rates from past increases in the repo rate (see Table 1.C). That is partly because fixed mortgage rates have declined since the repo rate was last changed in February, as expectations about future short-term interest rates have fallen. There may also have been an increase in the degree of competition among lenders over the past year, reducing the spread between mortgage rates and the repo rate. Unsecured borrowing rates have fallen relative to a year ago. But unsecured rates are typically significantly higher than secured borrowing rates. So the marginal cost of financing consumption will vary significantly depending on whether marginal funds are obtained on a secured or unsecured basis. Flexible mortgage products launched recently have reduced the fixed and marginal costs of borrowing for consumption on a secured basis by withdrawing housing equity. And the increase in house prices in recent years has raised the level of</w:t>
      </w:r>
    </w:p>
    <w:p>
      <w:pPr>
        <w:spacing w:after="0" w:line="242" w:lineRule="auto"/>
        <w:sectPr>
          <w:type w:val="continuous"/>
          <w:pgSz w:w="11900" w:h="16840"/>
          <w:pgMar w:top="1260" w:bottom="280" w:left="640" w:right="640"/>
          <w:cols w:num="2" w:equalWidth="0">
            <w:col w:w="4022" w:space="782"/>
            <w:col w:w="5816"/>
          </w:cols>
        </w:sectPr>
      </w:pPr>
    </w:p>
    <w:p>
      <w:pPr>
        <w:spacing w:line="120" w:lineRule="exact"/>
        <w:ind w:left="176" w:right="-29" w:firstLine="0"/>
        <w:rPr>
          <w:sz w:val="12"/>
        </w:rPr>
      </w:pPr>
      <w:r>
        <w:rPr>
          <w:position w:val="-1"/>
          <w:sz w:val="2"/>
        </w:rPr>
        <w:drawing>
          <wp:inline distT="0" distB="0" distL="0" distR="0">
            <wp:extent cx="55317" cy="6381"/>
            <wp:effectExtent l="0" t="0" r="0" b="0"/>
            <wp:docPr id="53" name="image14.png"/>
            <wp:cNvGraphicFramePr>
              <a:graphicFrameLocks noChangeAspect="1"/>
            </wp:cNvGraphicFramePr>
            <a:graphic>
              <a:graphicData uri="http://schemas.openxmlformats.org/drawingml/2006/picture">
                <pic:pic>
                  <pic:nvPicPr>
                    <pic:cNvPr id="54" name="image14.png"/>
                    <pic:cNvPicPr/>
                  </pic:nvPicPr>
                  <pic:blipFill>
                    <a:blip r:embed="rId39" cstate="print"/>
                    <a:stretch>
                      <a:fillRect/>
                    </a:stretch>
                  </pic:blipFill>
                  <pic:spPr>
                    <a:xfrm>
                      <a:off x="0" y="0"/>
                      <a:ext cx="55317" cy="6381"/>
                    </a:xfrm>
                    <a:prstGeom prst="rect">
                      <a:avLst/>
                    </a:prstGeom>
                  </pic:spPr>
                </pic:pic>
              </a:graphicData>
            </a:graphic>
          </wp:inline>
        </w:drawing>
      </w:r>
      <w:r>
        <w:rPr>
          <w:position w:val="-1"/>
          <w:sz w:val="2"/>
        </w:rPr>
      </w:r>
      <w:r>
        <w:rPr>
          <w:spacing w:val="41"/>
          <w:position w:val="-1"/>
          <w:sz w:val="12"/>
        </w:rPr>
        <w:t> </w:t>
      </w:r>
      <w:r>
        <w:rPr>
          <w:spacing w:val="41"/>
          <w:position w:val="-1"/>
          <w:sz w:val="12"/>
        </w:rPr>
        <w:drawing>
          <wp:inline distT="0" distB="0" distL="0" distR="0">
            <wp:extent cx="1769742" cy="76200"/>
            <wp:effectExtent l="0" t="0" r="0" b="0"/>
            <wp:docPr id="55" name="image23.png"/>
            <wp:cNvGraphicFramePr>
              <a:graphicFrameLocks noChangeAspect="1"/>
            </wp:cNvGraphicFramePr>
            <a:graphic>
              <a:graphicData uri="http://schemas.openxmlformats.org/drawingml/2006/picture">
                <pic:pic>
                  <pic:nvPicPr>
                    <pic:cNvPr id="56" name="image23.png"/>
                    <pic:cNvPicPr/>
                  </pic:nvPicPr>
                  <pic:blipFill>
                    <a:blip r:embed="rId52" cstate="print"/>
                    <a:stretch>
                      <a:fillRect/>
                    </a:stretch>
                  </pic:blipFill>
                  <pic:spPr>
                    <a:xfrm>
                      <a:off x="0" y="0"/>
                      <a:ext cx="1769742" cy="76200"/>
                    </a:xfrm>
                    <a:prstGeom prst="rect">
                      <a:avLst/>
                    </a:prstGeom>
                  </pic:spPr>
                </pic:pic>
              </a:graphicData>
            </a:graphic>
          </wp:inline>
        </w:drawing>
      </w:r>
      <w:r>
        <w:rPr>
          <w:spacing w:val="41"/>
          <w:position w:val="-1"/>
          <w:sz w:val="12"/>
        </w:rPr>
      </w:r>
    </w:p>
    <w:p>
      <w:pPr>
        <w:spacing w:before="0"/>
        <w:ind w:left="268" w:right="0" w:firstLine="0"/>
        <w:jc w:val="left"/>
        <w:rPr>
          <w:sz w:val="12"/>
        </w:rPr>
      </w:pPr>
      <w:r>
        <w:rPr/>
        <w:drawing>
          <wp:anchor distT="0" distB="0" distL="0" distR="0" allowOverlap="1" layoutInCell="1" locked="0" behindDoc="0" simplePos="0" relativeHeight="15798784">
            <wp:simplePos x="0" y="0"/>
            <wp:positionH relativeFrom="page">
              <wp:posOffset>2447709</wp:posOffset>
            </wp:positionH>
            <wp:positionV relativeFrom="paragraph">
              <wp:posOffset>-5214</wp:posOffset>
            </wp:positionV>
            <wp:extent cx="55016" cy="6350"/>
            <wp:effectExtent l="0" t="0" r="0" b="0"/>
            <wp:wrapNone/>
            <wp:docPr id="57" name="image24.png"/>
            <wp:cNvGraphicFramePr>
              <a:graphicFrameLocks noChangeAspect="1"/>
            </wp:cNvGraphicFramePr>
            <a:graphic>
              <a:graphicData uri="http://schemas.openxmlformats.org/drawingml/2006/picture">
                <pic:pic>
                  <pic:nvPicPr>
                    <pic:cNvPr id="58" name="image24.png"/>
                    <pic:cNvPicPr/>
                  </pic:nvPicPr>
                  <pic:blipFill>
                    <a:blip r:embed="rId53" cstate="print"/>
                    <a:stretch>
                      <a:fillRect/>
                    </a:stretch>
                  </pic:blipFill>
                  <pic:spPr>
                    <a:xfrm>
                      <a:off x="0" y="0"/>
                      <a:ext cx="55016" cy="6350"/>
                    </a:xfrm>
                    <a:prstGeom prst="rect">
                      <a:avLst/>
                    </a:prstGeom>
                  </pic:spPr>
                </pic:pic>
              </a:graphicData>
            </a:graphic>
          </wp:anchor>
        </w:drawing>
      </w:r>
      <w:r>
        <w:rPr>
          <w:sz w:val="12"/>
        </w:rPr>
        <w:t>Jan. April July Oct. Jan. April July Oct.</w:t>
      </w:r>
    </w:p>
    <w:p>
      <w:pPr>
        <w:tabs>
          <w:tab w:pos="2393" w:val="left" w:leader="none"/>
        </w:tabs>
        <w:spacing w:before="29"/>
        <w:ind w:left="869" w:right="0" w:firstLine="0"/>
        <w:jc w:val="left"/>
        <w:rPr>
          <w:sz w:val="12"/>
        </w:rPr>
      </w:pPr>
      <w:r>
        <w:rPr>
          <w:sz w:val="12"/>
        </w:rPr>
        <w:t>1999</w:t>
        <w:tab/>
        <w:t>2000</w:t>
      </w:r>
    </w:p>
    <w:p>
      <w:pPr>
        <w:spacing w:line="87" w:lineRule="exact" w:before="86"/>
        <w:ind w:left="179" w:right="0" w:firstLine="0"/>
        <w:jc w:val="left"/>
        <w:rPr>
          <w:sz w:val="12"/>
        </w:rPr>
      </w:pPr>
      <w:r>
        <w:rPr>
          <w:sz w:val="12"/>
        </w:rPr>
        <w:t>Sources: LIFFE and Bank of England.</w:t>
      </w:r>
    </w:p>
    <w:p>
      <w:pPr>
        <w:spacing w:before="26"/>
        <w:ind w:left="161" w:right="0" w:firstLine="0"/>
        <w:jc w:val="left"/>
        <w:rPr>
          <w:sz w:val="12"/>
        </w:rPr>
      </w:pPr>
      <w:r>
        <w:rPr/>
        <w:br w:type="column"/>
      </w:r>
      <w:r>
        <w:rPr>
          <w:sz w:val="12"/>
        </w:rPr>
        <w:t>0.6</w:t>
      </w:r>
    </w:p>
    <w:p>
      <w:pPr>
        <w:pStyle w:val="BodyText"/>
        <w:spacing w:line="242" w:lineRule="auto" w:before="12"/>
        <w:ind w:left="176"/>
      </w:pPr>
      <w:r>
        <w:rPr/>
        <w:br w:type="column"/>
      </w:r>
      <w:r>
        <w:rPr/>
        <w:t>housing equity. While these new mortgage products probably account for less than 10% of the total mortgage</w:t>
      </w:r>
    </w:p>
    <w:p>
      <w:pPr>
        <w:spacing w:after="0" w:line="242" w:lineRule="auto"/>
        <w:sectPr>
          <w:type w:val="continuous"/>
          <w:pgSz w:w="11900" w:h="16840"/>
          <w:pgMar w:top="1260" w:bottom="280" w:left="640" w:right="640"/>
          <w:cols w:num="3" w:equalWidth="0">
            <w:col w:w="3142" w:space="40"/>
            <w:col w:w="352" w:space="1270"/>
            <w:col w:w="5816"/>
          </w:cols>
        </w:sectPr>
      </w:pPr>
    </w:p>
    <w:p>
      <w:pPr>
        <w:pStyle w:val="BodyText"/>
        <w:spacing w:before="6"/>
        <w:rPr>
          <w:sz w:val="14"/>
        </w:rPr>
      </w:pPr>
    </w:p>
    <w:p>
      <w:pPr>
        <w:pStyle w:val="ListParagraph"/>
        <w:numPr>
          <w:ilvl w:val="0"/>
          <w:numId w:val="10"/>
        </w:numPr>
        <w:tabs>
          <w:tab w:pos="420" w:val="left" w:leader="none"/>
        </w:tabs>
        <w:spacing w:line="208" w:lineRule="auto" w:before="1" w:after="0"/>
        <w:ind w:left="419" w:right="778" w:hanging="240"/>
        <w:jc w:val="left"/>
        <w:rPr>
          <w:sz w:val="12"/>
        </w:rPr>
      </w:pPr>
      <w:r>
        <w:rPr>
          <w:sz w:val="12"/>
        </w:rPr>
        <w:t>A</w:t>
      </w:r>
      <w:r>
        <w:rPr>
          <w:spacing w:val="-6"/>
          <w:sz w:val="12"/>
        </w:rPr>
        <w:t> </w:t>
      </w:r>
      <w:r>
        <w:rPr>
          <w:sz w:val="12"/>
        </w:rPr>
        <w:t>measure</w:t>
      </w:r>
      <w:r>
        <w:rPr>
          <w:spacing w:val="-5"/>
          <w:sz w:val="12"/>
        </w:rPr>
        <w:t> </w:t>
      </w:r>
      <w:r>
        <w:rPr>
          <w:sz w:val="12"/>
        </w:rPr>
        <w:t>of</w:t>
      </w:r>
      <w:r>
        <w:rPr>
          <w:spacing w:val="-5"/>
          <w:sz w:val="12"/>
        </w:rPr>
        <w:t> </w:t>
      </w:r>
      <w:r>
        <w:rPr>
          <w:sz w:val="12"/>
        </w:rPr>
        <w:t>the</w:t>
      </w:r>
      <w:r>
        <w:rPr>
          <w:spacing w:val="-6"/>
          <w:sz w:val="12"/>
        </w:rPr>
        <w:t> </w:t>
      </w:r>
      <w:r>
        <w:rPr>
          <w:sz w:val="12"/>
        </w:rPr>
        <w:t>dispersion</w:t>
      </w:r>
      <w:r>
        <w:rPr>
          <w:spacing w:val="-5"/>
          <w:sz w:val="12"/>
        </w:rPr>
        <w:t> </w:t>
      </w:r>
      <w:r>
        <w:rPr>
          <w:sz w:val="12"/>
        </w:rPr>
        <w:t>of</w:t>
      </w:r>
      <w:r>
        <w:rPr>
          <w:spacing w:val="-5"/>
          <w:sz w:val="12"/>
        </w:rPr>
        <w:t> </w:t>
      </w:r>
      <w:r>
        <w:rPr>
          <w:sz w:val="12"/>
        </w:rPr>
        <w:t>views</w:t>
      </w:r>
      <w:r>
        <w:rPr>
          <w:spacing w:val="-6"/>
          <w:sz w:val="12"/>
        </w:rPr>
        <w:t> </w:t>
      </w:r>
      <w:r>
        <w:rPr>
          <w:sz w:val="12"/>
        </w:rPr>
        <w:t>about</w:t>
      </w:r>
      <w:r>
        <w:rPr>
          <w:spacing w:val="-5"/>
          <w:sz w:val="12"/>
        </w:rPr>
        <w:t> </w:t>
      </w:r>
      <w:r>
        <w:rPr>
          <w:sz w:val="12"/>
        </w:rPr>
        <w:t>three-month</w:t>
      </w:r>
      <w:r>
        <w:rPr>
          <w:spacing w:val="-5"/>
          <w:sz w:val="12"/>
        </w:rPr>
        <w:t> </w:t>
      </w:r>
      <w:r>
        <w:rPr>
          <w:sz w:val="12"/>
        </w:rPr>
        <w:t>forward interest rates at a constant six-month</w:t>
      </w:r>
      <w:r>
        <w:rPr>
          <w:spacing w:val="-12"/>
          <w:sz w:val="12"/>
        </w:rPr>
        <w:t> </w:t>
      </w:r>
      <w:r>
        <w:rPr>
          <w:sz w:val="12"/>
        </w:rPr>
        <w:t>horizon.</w:t>
      </w:r>
    </w:p>
    <w:p>
      <w:pPr>
        <w:pStyle w:val="ListParagraph"/>
        <w:numPr>
          <w:ilvl w:val="0"/>
          <w:numId w:val="10"/>
        </w:numPr>
        <w:tabs>
          <w:tab w:pos="420" w:val="left" w:leader="none"/>
        </w:tabs>
        <w:spacing w:line="208" w:lineRule="auto" w:before="0" w:after="0"/>
        <w:ind w:left="419" w:right="609" w:hanging="240"/>
        <w:jc w:val="left"/>
        <w:rPr>
          <w:sz w:val="12"/>
        </w:rPr>
      </w:pPr>
      <w:r>
        <w:rPr>
          <w:sz w:val="12"/>
        </w:rPr>
        <w:t>A measure of the balance of risks between large upward and downward movements in interest rates. A positive number indicates that the balance of risks are on the upside of forward rates. For a description of the techniques used to derive these statistics see Clews, R, Panigirtzoglou, N and Proudman, J, ‘Recent developments in extracting information from options prices’, </w:t>
      </w:r>
      <w:r>
        <w:rPr>
          <w:i/>
          <w:sz w:val="12"/>
        </w:rPr>
        <w:t>Bank </w:t>
      </w:r>
      <w:r>
        <w:rPr>
          <w:i/>
          <w:sz w:val="12"/>
        </w:rPr>
        <w:t>of England Quarterly Bulletin</w:t>
      </w:r>
      <w:r>
        <w:rPr>
          <w:sz w:val="12"/>
        </w:rPr>
        <w:t>, February 2000, pages</w:t>
      </w:r>
      <w:r>
        <w:rPr>
          <w:spacing w:val="-12"/>
          <w:sz w:val="12"/>
        </w:rPr>
        <w:t> </w:t>
      </w:r>
      <w:r>
        <w:rPr>
          <w:sz w:val="12"/>
        </w:rPr>
        <w:t>50–57.</w:t>
      </w:r>
    </w:p>
    <w:p>
      <w:pPr>
        <w:pStyle w:val="BodyText"/>
        <w:rPr>
          <w:sz w:val="12"/>
        </w:rPr>
      </w:pPr>
    </w:p>
    <w:p>
      <w:pPr>
        <w:spacing w:before="82"/>
        <w:ind w:left="180" w:right="0" w:firstLine="0"/>
        <w:jc w:val="left"/>
        <w:rPr>
          <w:b/>
          <w:sz w:val="20"/>
        </w:rPr>
      </w:pPr>
      <w:r>
        <w:rPr>
          <w:b/>
          <w:color w:val="0092C7"/>
          <w:sz w:val="20"/>
        </w:rPr>
        <w:t>Table 1.C</w:t>
      </w:r>
    </w:p>
    <w:p>
      <w:pPr>
        <w:spacing w:before="10"/>
        <w:ind w:left="180" w:right="0" w:firstLine="0"/>
        <w:jc w:val="left"/>
        <w:rPr>
          <w:b/>
          <w:sz w:val="20"/>
        </w:rPr>
      </w:pPr>
      <w:r>
        <w:rPr>
          <w:b/>
          <w:color w:val="0092C7"/>
          <w:sz w:val="20"/>
        </w:rPr>
        <w:t>Changes in household borrowing rates</w:t>
      </w:r>
    </w:p>
    <w:p>
      <w:pPr>
        <w:spacing w:line="150" w:lineRule="exact" w:before="106"/>
        <w:ind w:left="180" w:right="0" w:firstLine="0"/>
        <w:jc w:val="left"/>
        <w:rPr>
          <w:sz w:val="14"/>
        </w:rPr>
      </w:pPr>
      <w:r>
        <w:rPr>
          <w:sz w:val="14"/>
        </w:rPr>
        <w:t>Basis points</w:t>
      </w:r>
    </w:p>
    <w:p>
      <w:pPr>
        <w:tabs>
          <w:tab w:pos="3514" w:val="left" w:leader="none"/>
        </w:tabs>
        <w:spacing w:line="208" w:lineRule="auto" w:before="7"/>
        <w:ind w:left="2358" w:right="38" w:firstLine="0"/>
        <w:jc w:val="left"/>
        <w:rPr>
          <w:sz w:val="14"/>
        </w:rPr>
      </w:pPr>
      <w:r>
        <w:rPr>
          <w:sz w:val="14"/>
        </w:rPr>
        <w:t>Change</w:t>
      </w:r>
      <w:r>
        <w:rPr>
          <w:spacing w:val="-4"/>
          <w:sz w:val="14"/>
        </w:rPr>
        <w:t> </w:t>
      </w:r>
      <w:r>
        <w:rPr>
          <w:sz w:val="14"/>
        </w:rPr>
        <w:t>since</w:t>
        <w:tab/>
        <w:t>Change since March</w:t>
      </w:r>
      <w:r>
        <w:rPr>
          <w:spacing w:val="-4"/>
          <w:sz w:val="14"/>
        </w:rPr>
        <w:t> </w:t>
      </w:r>
      <w:r>
        <w:rPr>
          <w:sz w:val="14"/>
        </w:rPr>
        <w:t>2000</w:t>
      </w:r>
      <w:r>
        <w:rPr>
          <w:spacing w:val="-2"/>
          <w:sz w:val="14"/>
        </w:rPr>
        <w:t> </w:t>
      </w:r>
      <w:r>
        <w:rPr>
          <w:sz w:val="12"/>
        </w:rPr>
        <w:t>(a)</w:t>
        <w:tab/>
      </w:r>
      <w:r>
        <w:rPr>
          <w:sz w:val="14"/>
        </w:rPr>
        <w:t>August 1999</w:t>
      </w: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5"/>
        <w:gridCol w:w="855"/>
        <w:gridCol w:w="308"/>
        <w:gridCol w:w="791"/>
      </w:tblGrid>
      <w:tr>
        <w:trPr>
          <w:trHeight w:val="252" w:hRule="atLeast"/>
        </w:trPr>
        <w:tc>
          <w:tcPr>
            <w:tcW w:w="2225" w:type="dxa"/>
          </w:tcPr>
          <w:p>
            <w:pPr>
              <w:pStyle w:val="TableParagraph"/>
              <w:spacing w:line="133" w:lineRule="exact" w:before="98"/>
              <w:ind w:left="50"/>
              <w:rPr>
                <w:i/>
                <w:sz w:val="14"/>
              </w:rPr>
            </w:pPr>
            <w:r>
              <w:rPr>
                <w:i/>
                <w:sz w:val="14"/>
              </w:rPr>
              <w:t>Bank’s repo rate</w:t>
            </w:r>
          </w:p>
        </w:tc>
        <w:tc>
          <w:tcPr>
            <w:tcW w:w="855" w:type="dxa"/>
            <w:tcBorders>
              <w:top w:val="single" w:sz="2" w:space="0" w:color="000000"/>
            </w:tcBorders>
          </w:tcPr>
          <w:p>
            <w:pPr>
              <w:pStyle w:val="TableParagraph"/>
              <w:spacing w:line="133" w:lineRule="exact" w:before="98"/>
              <w:ind w:right="361"/>
              <w:jc w:val="right"/>
              <w:rPr>
                <w:i/>
                <w:sz w:val="14"/>
              </w:rPr>
            </w:pPr>
            <w:r>
              <w:rPr>
                <w:i/>
                <w:sz w:val="14"/>
              </w:rPr>
              <w:t>0</w:t>
            </w:r>
          </w:p>
        </w:tc>
        <w:tc>
          <w:tcPr>
            <w:tcW w:w="308" w:type="dxa"/>
          </w:tcPr>
          <w:p>
            <w:pPr>
              <w:pStyle w:val="TableParagraph"/>
              <w:spacing w:line="240" w:lineRule="auto"/>
              <w:rPr>
                <w:sz w:val="18"/>
              </w:rPr>
            </w:pPr>
          </w:p>
        </w:tc>
        <w:tc>
          <w:tcPr>
            <w:tcW w:w="791" w:type="dxa"/>
            <w:tcBorders>
              <w:top w:val="single" w:sz="2" w:space="0" w:color="000000"/>
            </w:tcBorders>
          </w:tcPr>
          <w:p>
            <w:pPr>
              <w:pStyle w:val="TableParagraph"/>
              <w:spacing w:line="133" w:lineRule="exact" w:before="98"/>
              <w:ind w:left="245"/>
              <w:rPr>
                <w:i/>
                <w:sz w:val="14"/>
              </w:rPr>
            </w:pPr>
            <w:r>
              <w:rPr>
                <w:i/>
                <w:sz w:val="14"/>
              </w:rPr>
              <w:t>100</w:t>
            </w:r>
          </w:p>
        </w:tc>
      </w:tr>
      <w:tr>
        <w:trPr>
          <w:trHeight w:val="140" w:hRule="atLeast"/>
        </w:trPr>
        <w:tc>
          <w:tcPr>
            <w:tcW w:w="2225" w:type="dxa"/>
          </w:tcPr>
          <w:p>
            <w:pPr>
              <w:pStyle w:val="TableParagraph"/>
              <w:ind w:left="50"/>
              <w:rPr>
                <w:sz w:val="12"/>
              </w:rPr>
            </w:pPr>
            <w:r>
              <w:rPr>
                <w:sz w:val="14"/>
              </w:rPr>
              <w:t>Average unsecured </w:t>
            </w:r>
            <w:r>
              <w:rPr>
                <w:sz w:val="12"/>
              </w:rPr>
              <w:t>(b)</w:t>
            </w:r>
          </w:p>
        </w:tc>
        <w:tc>
          <w:tcPr>
            <w:tcW w:w="855" w:type="dxa"/>
          </w:tcPr>
          <w:p>
            <w:pPr>
              <w:pStyle w:val="TableParagraph"/>
              <w:ind w:right="361"/>
              <w:jc w:val="right"/>
              <w:rPr>
                <w:sz w:val="14"/>
              </w:rPr>
            </w:pPr>
            <w:r>
              <w:rPr>
                <w:sz w:val="14"/>
              </w:rPr>
              <w:t>-12</w:t>
            </w:r>
          </w:p>
        </w:tc>
        <w:tc>
          <w:tcPr>
            <w:tcW w:w="308" w:type="dxa"/>
          </w:tcPr>
          <w:p>
            <w:pPr>
              <w:pStyle w:val="TableParagraph"/>
              <w:spacing w:line="240" w:lineRule="auto"/>
              <w:rPr>
                <w:sz w:val="8"/>
              </w:rPr>
            </w:pPr>
          </w:p>
        </w:tc>
        <w:tc>
          <w:tcPr>
            <w:tcW w:w="791" w:type="dxa"/>
          </w:tcPr>
          <w:p>
            <w:pPr>
              <w:pStyle w:val="TableParagraph"/>
              <w:ind w:left="268"/>
              <w:rPr>
                <w:sz w:val="14"/>
              </w:rPr>
            </w:pPr>
            <w:r>
              <w:rPr>
                <w:sz w:val="14"/>
              </w:rPr>
              <w:t>-28</w:t>
            </w:r>
          </w:p>
        </w:tc>
      </w:tr>
      <w:tr>
        <w:trPr>
          <w:trHeight w:val="140" w:hRule="atLeast"/>
        </w:trPr>
        <w:tc>
          <w:tcPr>
            <w:tcW w:w="2225" w:type="dxa"/>
          </w:tcPr>
          <w:p>
            <w:pPr>
              <w:pStyle w:val="TableParagraph"/>
              <w:ind w:left="50"/>
              <w:rPr>
                <w:sz w:val="12"/>
              </w:rPr>
            </w:pPr>
            <w:r>
              <w:rPr>
                <w:sz w:val="14"/>
              </w:rPr>
              <w:t>Standard variable mortgage rate </w:t>
            </w:r>
            <w:r>
              <w:rPr>
                <w:sz w:val="12"/>
              </w:rPr>
              <w:t>(c)</w:t>
            </w:r>
          </w:p>
        </w:tc>
        <w:tc>
          <w:tcPr>
            <w:tcW w:w="855" w:type="dxa"/>
          </w:tcPr>
          <w:p>
            <w:pPr>
              <w:pStyle w:val="TableParagraph"/>
              <w:ind w:right="361"/>
              <w:jc w:val="right"/>
              <w:rPr>
                <w:sz w:val="14"/>
              </w:rPr>
            </w:pPr>
            <w:r>
              <w:rPr>
                <w:sz w:val="14"/>
              </w:rPr>
              <w:t>-3</w:t>
            </w:r>
          </w:p>
        </w:tc>
        <w:tc>
          <w:tcPr>
            <w:tcW w:w="308" w:type="dxa"/>
          </w:tcPr>
          <w:p>
            <w:pPr>
              <w:pStyle w:val="TableParagraph"/>
              <w:spacing w:line="240" w:lineRule="auto"/>
              <w:rPr>
                <w:sz w:val="8"/>
              </w:rPr>
            </w:pPr>
          </w:p>
        </w:tc>
        <w:tc>
          <w:tcPr>
            <w:tcW w:w="791" w:type="dxa"/>
          </w:tcPr>
          <w:p>
            <w:pPr>
              <w:pStyle w:val="TableParagraph"/>
              <w:ind w:left="315"/>
              <w:rPr>
                <w:sz w:val="14"/>
              </w:rPr>
            </w:pPr>
            <w:r>
              <w:rPr>
                <w:sz w:val="14"/>
              </w:rPr>
              <w:t>88</w:t>
            </w:r>
          </w:p>
        </w:tc>
      </w:tr>
      <w:tr>
        <w:trPr>
          <w:trHeight w:val="140" w:hRule="atLeast"/>
        </w:trPr>
        <w:tc>
          <w:tcPr>
            <w:tcW w:w="2225" w:type="dxa"/>
          </w:tcPr>
          <w:p>
            <w:pPr>
              <w:pStyle w:val="TableParagraph"/>
              <w:ind w:left="50"/>
              <w:rPr>
                <w:sz w:val="12"/>
              </w:rPr>
            </w:pPr>
            <w:r>
              <w:rPr>
                <w:sz w:val="14"/>
              </w:rPr>
              <w:t>Two-year discounted mortgage rate </w:t>
            </w:r>
            <w:r>
              <w:rPr>
                <w:sz w:val="12"/>
              </w:rPr>
              <w:t>(c)</w:t>
            </w:r>
          </w:p>
        </w:tc>
        <w:tc>
          <w:tcPr>
            <w:tcW w:w="855" w:type="dxa"/>
          </w:tcPr>
          <w:p>
            <w:pPr>
              <w:pStyle w:val="TableParagraph"/>
              <w:ind w:right="361"/>
              <w:jc w:val="right"/>
              <w:rPr>
                <w:sz w:val="14"/>
              </w:rPr>
            </w:pPr>
            <w:r>
              <w:rPr>
                <w:sz w:val="14"/>
              </w:rPr>
              <w:t>15</w:t>
            </w:r>
          </w:p>
        </w:tc>
        <w:tc>
          <w:tcPr>
            <w:tcW w:w="308" w:type="dxa"/>
          </w:tcPr>
          <w:p>
            <w:pPr>
              <w:pStyle w:val="TableParagraph"/>
              <w:spacing w:line="240" w:lineRule="auto"/>
              <w:rPr>
                <w:sz w:val="8"/>
              </w:rPr>
            </w:pPr>
          </w:p>
        </w:tc>
        <w:tc>
          <w:tcPr>
            <w:tcW w:w="791" w:type="dxa"/>
          </w:tcPr>
          <w:p>
            <w:pPr>
              <w:pStyle w:val="TableParagraph"/>
              <w:ind w:left="315"/>
              <w:rPr>
                <w:sz w:val="14"/>
              </w:rPr>
            </w:pPr>
            <w:r>
              <w:rPr>
                <w:sz w:val="14"/>
              </w:rPr>
              <w:t>56</w:t>
            </w:r>
          </w:p>
        </w:tc>
      </w:tr>
      <w:tr>
        <w:trPr>
          <w:trHeight w:val="140" w:hRule="atLeast"/>
        </w:trPr>
        <w:tc>
          <w:tcPr>
            <w:tcW w:w="2225" w:type="dxa"/>
          </w:tcPr>
          <w:p>
            <w:pPr>
              <w:pStyle w:val="TableParagraph"/>
              <w:ind w:left="50"/>
              <w:rPr>
                <w:sz w:val="12"/>
              </w:rPr>
            </w:pPr>
            <w:r>
              <w:rPr>
                <w:sz w:val="14"/>
              </w:rPr>
              <w:t>Two-year fixed mortgage rate </w:t>
            </w:r>
            <w:r>
              <w:rPr>
                <w:sz w:val="12"/>
              </w:rPr>
              <w:t>(c)</w:t>
            </w:r>
          </w:p>
        </w:tc>
        <w:tc>
          <w:tcPr>
            <w:tcW w:w="855" w:type="dxa"/>
          </w:tcPr>
          <w:p>
            <w:pPr>
              <w:pStyle w:val="TableParagraph"/>
              <w:ind w:right="361"/>
              <w:jc w:val="right"/>
              <w:rPr>
                <w:sz w:val="14"/>
              </w:rPr>
            </w:pPr>
            <w:r>
              <w:rPr>
                <w:sz w:val="14"/>
              </w:rPr>
              <w:t>-19</w:t>
            </w:r>
          </w:p>
        </w:tc>
        <w:tc>
          <w:tcPr>
            <w:tcW w:w="308" w:type="dxa"/>
          </w:tcPr>
          <w:p>
            <w:pPr>
              <w:pStyle w:val="TableParagraph"/>
              <w:spacing w:line="240" w:lineRule="auto"/>
              <w:rPr>
                <w:sz w:val="8"/>
              </w:rPr>
            </w:pPr>
          </w:p>
        </w:tc>
        <w:tc>
          <w:tcPr>
            <w:tcW w:w="791" w:type="dxa"/>
          </w:tcPr>
          <w:p>
            <w:pPr>
              <w:pStyle w:val="TableParagraph"/>
              <w:ind w:left="315"/>
              <w:rPr>
                <w:sz w:val="14"/>
              </w:rPr>
            </w:pPr>
            <w:r>
              <w:rPr>
                <w:sz w:val="14"/>
              </w:rPr>
              <w:t>20</w:t>
            </w:r>
          </w:p>
        </w:tc>
      </w:tr>
      <w:tr>
        <w:trPr>
          <w:trHeight w:val="403" w:hRule="atLeast"/>
        </w:trPr>
        <w:tc>
          <w:tcPr>
            <w:tcW w:w="2225" w:type="dxa"/>
          </w:tcPr>
          <w:p>
            <w:pPr>
              <w:pStyle w:val="TableParagraph"/>
              <w:spacing w:line="148" w:lineRule="exact"/>
              <w:ind w:left="50"/>
              <w:rPr>
                <w:sz w:val="12"/>
              </w:rPr>
            </w:pPr>
            <w:r>
              <w:rPr>
                <w:sz w:val="14"/>
              </w:rPr>
              <w:t>Average secured </w:t>
            </w:r>
            <w:r>
              <w:rPr>
                <w:sz w:val="12"/>
              </w:rPr>
              <w:t>(b)</w:t>
            </w:r>
          </w:p>
          <w:p>
            <w:pPr>
              <w:pStyle w:val="TableParagraph"/>
              <w:spacing w:line="118" w:lineRule="exact" w:before="117"/>
              <w:ind w:left="50"/>
              <w:rPr>
                <w:sz w:val="12"/>
              </w:rPr>
            </w:pPr>
            <w:r>
              <w:rPr>
                <w:sz w:val="12"/>
              </w:rPr>
              <w:t>Sources: Bank of England and Moneyfacts.</w:t>
            </w:r>
          </w:p>
        </w:tc>
        <w:tc>
          <w:tcPr>
            <w:tcW w:w="855" w:type="dxa"/>
          </w:tcPr>
          <w:p>
            <w:pPr>
              <w:pStyle w:val="TableParagraph"/>
              <w:spacing w:line="148" w:lineRule="exact"/>
              <w:ind w:right="361"/>
              <w:jc w:val="right"/>
              <w:rPr>
                <w:sz w:val="14"/>
              </w:rPr>
            </w:pPr>
            <w:r>
              <w:rPr>
                <w:sz w:val="14"/>
              </w:rPr>
              <w:t>-1</w:t>
            </w:r>
          </w:p>
        </w:tc>
        <w:tc>
          <w:tcPr>
            <w:tcW w:w="308" w:type="dxa"/>
          </w:tcPr>
          <w:p>
            <w:pPr>
              <w:pStyle w:val="TableParagraph"/>
              <w:spacing w:line="240" w:lineRule="auto"/>
              <w:rPr>
                <w:sz w:val="18"/>
              </w:rPr>
            </w:pPr>
          </w:p>
        </w:tc>
        <w:tc>
          <w:tcPr>
            <w:tcW w:w="791" w:type="dxa"/>
          </w:tcPr>
          <w:p>
            <w:pPr>
              <w:pStyle w:val="TableParagraph"/>
              <w:spacing w:line="148" w:lineRule="exact"/>
              <w:ind w:left="315"/>
              <w:rPr>
                <w:sz w:val="14"/>
              </w:rPr>
            </w:pPr>
            <w:r>
              <w:rPr>
                <w:sz w:val="14"/>
              </w:rPr>
              <w:t>49</w:t>
            </w:r>
          </w:p>
        </w:tc>
      </w:tr>
    </w:tbl>
    <w:p>
      <w:pPr>
        <w:pStyle w:val="ListParagraph"/>
        <w:numPr>
          <w:ilvl w:val="0"/>
          <w:numId w:val="11"/>
        </w:numPr>
        <w:tabs>
          <w:tab w:pos="421" w:val="left" w:leader="none"/>
        </w:tabs>
        <w:spacing w:line="208" w:lineRule="auto" w:before="138" w:after="0"/>
        <w:ind w:left="420" w:right="454" w:hanging="240"/>
        <w:jc w:val="left"/>
        <w:rPr>
          <w:sz w:val="12"/>
        </w:rPr>
      </w:pPr>
      <w:r>
        <w:rPr>
          <w:sz w:val="12"/>
        </w:rPr>
        <w:t>Some</w:t>
      </w:r>
      <w:r>
        <w:rPr>
          <w:spacing w:val="-6"/>
          <w:sz w:val="12"/>
        </w:rPr>
        <w:t> </w:t>
      </w:r>
      <w:r>
        <w:rPr>
          <w:sz w:val="12"/>
        </w:rPr>
        <w:t>rate</w:t>
      </w:r>
      <w:r>
        <w:rPr>
          <w:spacing w:val="-5"/>
          <w:sz w:val="12"/>
        </w:rPr>
        <w:t> </w:t>
      </w:r>
      <w:r>
        <w:rPr>
          <w:sz w:val="12"/>
        </w:rPr>
        <w:t>increases</w:t>
      </w:r>
      <w:r>
        <w:rPr>
          <w:spacing w:val="-5"/>
          <w:sz w:val="12"/>
        </w:rPr>
        <w:t> </w:t>
      </w:r>
      <w:r>
        <w:rPr>
          <w:sz w:val="12"/>
        </w:rPr>
        <w:t>announced</w:t>
      </w:r>
      <w:r>
        <w:rPr>
          <w:spacing w:val="-5"/>
          <w:sz w:val="12"/>
        </w:rPr>
        <w:t> </w:t>
      </w:r>
      <w:r>
        <w:rPr>
          <w:sz w:val="12"/>
        </w:rPr>
        <w:t>in</w:t>
      </w:r>
      <w:r>
        <w:rPr>
          <w:spacing w:val="-6"/>
          <w:sz w:val="12"/>
        </w:rPr>
        <w:t> </w:t>
      </w:r>
      <w:r>
        <w:rPr>
          <w:sz w:val="12"/>
        </w:rPr>
        <w:t>February</w:t>
      </w:r>
      <w:r>
        <w:rPr>
          <w:spacing w:val="-5"/>
          <w:sz w:val="12"/>
        </w:rPr>
        <w:t> </w:t>
      </w:r>
      <w:r>
        <w:rPr>
          <w:sz w:val="12"/>
        </w:rPr>
        <w:t>following</w:t>
      </w:r>
      <w:r>
        <w:rPr>
          <w:spacing w:val="-5"/>
          <w:sz w:val="12"/>
        </w:rPr>
        <w:t> </w:t>
      </w:r>
      <w:r>
        <w:rPr>
          <w:sz w:val="12"/>
        </w:rPr>
        <w:t>the</w:t>
      </w:r>
      <w:r>
        <w:rPr>
          <w:spacing w:val="-5"/>
          <w:sz w:val="12"/>
        </w:rPr>
        <w:t> </w:t>
      </w:r>
      <w:r>
        <w:rPr>
          <w:sz w:val="12"/>
        </w:rPr>
        <w:t>change</w:t>
      </w:r>
      <w:r>
        <w:rPr>
          <w:spacing w:val="-6"/>
          <w:sz w:val="12"/>
        </w:rPr>
        <w:t> </w:t>
      </w:r>
      <w:r>
        <w:rPr>
          <w:sz w:val="12"/>
        </w:rPr>
        <w:t>in</w:t>
      </w:r>
      <w:r>
        <w:rPr>
          <w:spacing w:val="-5"/>
          <w:sz w:val="12"/>
        </w:rPr>
        <w:t> </w:t>
      </w:r>
      <w:r>
        <w:rPr>
          <w:sz w:val="12"/>
        </w:rPr>
        <w:t>the repo rate did not take effect until</w:t>
      </w:r>
      <w:r>
        <w:rPr>
          <w:spacing w:val="-11"/>
          <w:sz w:val="12"/>
        </w:rPr>
        <w:t> </w:t>
      </w:r>
      <w:r>
        <w:rPr>
          <w:sz w:val="12"/>
        </w:rPr>
        <w:t>March.</w:t>
      </w:r>
    </w:p>
    <w:p>
      <w:pPr>
        <w:pStyle w:val="ListParagraph"/>
        <w:numPr>
          <w:ilvl w:val="0"/>
          <w:numId w:val="11"/>
        </w:numPr>
        <w:tabs>
          <w:tab w:pos="421" w:val="left" w:leader="none"/>
        </w:tabs>
        <w:spacing w:line="208" w:lineRule="auto" w:before="0" w:after="0"/>
        <w:ind w:left="420" w:right="315" w:hanging="240"/>
        <w:jc w:val="left"/>
        <w:rPr>
          <w:sz w:val="12"/>
        </w:rPr>
      </w:pPr>
      <w:r>
        <w:rPr>
          <w:sz w:val="12"/>
        </w:rPr>
        <w:t>Difference between monthly estimates for September 2000, March 2000, and August 1999. The rates are averages across new and existing loans by banks.</w:t>
      </w:r>
    </w:p>
    <w:p>
      <w:pPr>
        <w:pStyle w:val="BodyText"/>
        <w:spacing w:line="242" w:lineRule="auto"/>
        <w:ind w:left="179" w:right="321"/>
      </w:pPr>
      <w:r>
        <w:rPr/>
        <w:br w:type="column"/>
      </w:r>
      <w:r>
        <w:rPr/>
        <w:t>stock at present, their use is growing rapidly. So there may have been a reduction in the marginal cost of financing consumption for some home-owners.</w:t>
      </w:r>
    </w:p>
    <w:p>
      <w:pPr>
        <w:pStyle w:val="BodyText"/>
        <w:spacing w:before="3"/>
        <w:rPr>
          <w:sz w:val="27"/>
        </w:rPr>
      </w:pPr>
    </w:p>
    <w:p>
      <w:pPr>
        <w:spacing w:before="0"/>
        <w:ind w:left="179" w:right="0" w:firstLine="0"/>
        <w:jc w:val="left"/>
        <w:rPr>
          <w:i/>
          <w:sz w:val="24"/>
        </w:rPr>
      </w:pPr>
      <w:r>
        <w:rPr>
          <w:i/>
          <w:color w:val="009391"/>
          <w:sz w:val="24"/>
        </w:rPr>
        <w:t>Corporate borrowing rates</w:t>
      </w:r>
    </w:p>
    <w:p>
      <w:pPr>
        <w:pStyle w:val="BodyText"/>
        <w:spacing w:line="242" w:lineRule="auto" w:before="164"/>
        <w:ind w:left="179" w:right="180"/>
      </w:pPr>
      <w:r>
        <w:rPr/>
        <w:t>The cost of debt to companies depends on perceptions about the creditworthiness of the borrower as well as default-free rates on government debt.  Earlier in the year there had been an increase in the spread of corporate bond yields </w:t>
      </w:r>
      <w:r>
        <w:rPr>
          <w:spacing w:val="-3"/>
        </w:rPr>
        <w:t>over </w:t>
      </w:r>
      <w:r>
        <w:rPr/>
        <w:t>government yields at long maturities (see Chart 1.15). But government bond yields at longer maturities may </w:t>
      </w:r>
      <w:r>
        <w:rPr>
          <w:spacing w:val="-3"/>
        </w:rPr>
        <w:t>have </w:t>
      </w:r>
      <w:r>
        <w:rPr/>
        <w:t>been reduced by a combination of lower issuance and increased demand linked to pension fund solvency requirements (the Minimum Funding Requirement, MFR).</w:t>
      </w:r>
      <w:r>
        <w:rPr>
          <w:position w:val="5"/>
          <w:sz w:val="16"/>
        </w:rPr>
        <w:t>(1) </w:t>
      </w:r>
      <w:r>
        <w:rPr/>
        <w:t>So it</w:t>
      </w:r>
      <w:r>
        <w:rPr>
          <w:spacing w:val="-22"/>
        </w:rPr>
        <w:t> </w:t>
      </w:r>
      <w:r>
        <w:rPr/>
        <w:t>was</w:t>
      </w:r>
    </w:p>
    <w:p>
      <w:pPr>
        <w:spacing w:after="0" w:line="242" w:lineRule="auto"/>
        <w:sectPr>
          <w:type w:val="continuous"/>
          <w:pgSz w:w="11900" w:h="16840"/>
          <w:pgMar w:top="1260" w:bottom="280" w:left="640" w:right="640"/>
          <w:cols w:num="2" w:equalWidth="0">
            <w:col w:w="4305" w:space="495"/>
            <w:col w:w="5820"/>
          </w:cols>
        </w:sectPr>
      </w:pPr>
    </w:p>
    <w:p>
      <w:pPr>
        <w:pStyle w:val="ListParagraph"/>
        <w:numPr>
          <w:ilvl w:val="0"/>
          <w:numId w:val="11"/>
        </w:numPr>
        <w:tabs>
          <w:tab w:pos="421" w:val="left" w:leader="none"/>
          <w:tab w:pos="4948" w:val="left" w:leader="none"/>
          <w:tab w:pos="10479" w:val="left" w:leader="none"/>
        </w:tabs>
        <w:spacing w:line="111" w:lineRule="exact" w:before="0" w:after="0"/>
        <w:ind w:left="420" w:right="0" w:hanging="241"/>
        <w:jc w:val="left"/>
        <w:rPr>
          <w:sz w:val="12"/>
        </w:rPr>
      </w:pPr>
      <w:r>
        <w:rPr>
          <w:sz w:val="12"/>
        </w:rPr>
        <w:t>Difference</w:t>
      </w:r>
      <w:r>
        <w:rPr>
          <w:spacing w:val="-8"/>
          <w:sz w:val="12"/>
        </w:rPr>
        <w:t> </w:t>
      </w:r>
      <w:r>
        <w:rPr>
          <w:sz w:val="12"/>
        </w:rPr>
        <w:t>between</w:t>
      </w:r>
      <w:r>
        <w:rPr>
          <w:spacing w:val="-7"/>
          <w:sz w:val="12"/>
        </w:rPr>
        <w:t> </w:t>
      </w:r>
      <w:r>
        <w:rPr>
          <w:sz w:val="12"/>
        </w:rPr>
        <w:t>monthly</w:t>
      </w:r>
      <w:r>
        <w:rPr>
          <w:spacing w:val="-8"/>
          <w:sz w:val="12"/>
        </w:rPr>
        <w:t> </w:t>
      </w:r>
      <w:r>
        <w:rPr>
          <w:sz w:val="12"/>
        </w:rPr>
        <w:t>estimates</w:t>
      </w:r>
      <w:r>
        <w:rPr>
          <w:spacing w:val="-7"/>
          <w:sz w:val="12"/>
        </w:rPr>
        <w:t> </w:t>
      </w:r>
      <w:r>
        <w:rPr>
          <w:sz w:val="12"/>
        </w:rPr>
        <w:t>for</w:t>
      </w:r>
      <w:r>
        <w:rPr>
          <w:spacing w:val="-7"/>
          <w:sz w:val="12"/>
        </w:rPr>
        <w:t> </w:t>
      </w:r>
      <w:r>
        <w:rPr>
          <w:sz w:val="12"/>
        </w:rPr>
        <w:t>October</w:t>
      </w:r>
      <w:r>
        <w:rPr>
          <w:spacing w:val="-8"/>
          <w:sz w:val="12"/>
        </w:rPr>
        <w:t> </w:t>
      </w:r>
      <w:r>
        <w:rPr>
          <w:sz w:val="12"/>
        </w:rPr>
        <w:t>2000,</w:t>
      </w:r>
      <w:r>
        <w:rPr>
          <w:spacing w:val="-6"/>
          <w:sz w:val="12"/>
        </w:rPr>
        <w:t> </w:t>
      </w:r>
      <w:r>
        <w:rPr>
          <w:sz w:val="12"/>
        </w:rPr>
        <w:t>March</w:t>
      </w:r>
      <w:r>
        <w:rPr>
          <w:spacing w:val="-7"/>
          <w:sz w:val="12"/>
        </w:rPr>
        <w:t> </w:t>
      </w:r>
      <w:r>
        <w:rPr>
          <w:sz w:val="12"/>
        </w:rPr>
        <w:t>2000,</w:t>
        <w:tab/>
      </w:r>
      <w:r>
        <w:rPr>
          <w:sz w:val="12"/>
          <w:u w:val="single"/>
        </w:rPr>
        <w:t> </w:t>
        <w:tab/>
      </w:r>
    </w:p>
    <w:p>
      <w:pPr>
        <w:spacing w:after="0" w:line="111" w:lineRule="exact"/>
        <w:jc w:val="left"/>
        <w:rPr>
          <w:sz w:val="12"/>
        </w:rPr>
        <w:sectPr>
          <w:type w:val="continuous"/>
          <w:pgSz w:w="11900" w:h="16840"/>
          <w:pgMar w:top="1260" w:bottom="280" w:left="640" w:right="640"/>
        </w:sectPr>
      </w:pPr>
    </w:p>
    <w:p>
      <w:pPr>
        <w:spacing w:line="208" w:lineRule="auto" w:before="9"/>
        <w:ind w:left="420" w:right="37" w:firstLine="0"/>
        <w:jc w:val="left"/>
        <w:rPr>
          <w:sz w:val="12"/>
        </w:rPr>
      </w:pPr>
      <w:r>
        <w:rPr>
          <w:sz w:val="12"/>
        </w:rPr>
        <w:t>and August 1999. Rates are for new loans by banks and building societies without redemption penalties.</w:t>
      </w:r>
    </w:p>
    <w:p>
      <w:pPr>
        <w:pStyle w:val="ListParagraph"/>
        <w:numPr>
          <w:ilvl w:val="1"/>
          <w:numId w:val="11"/>
        </w:numPr>
        <w:tabs>
          <w:tab w:pos="661" w:val="left" w:leader="none"/>
        </w:tabs>
        <w:spacing w:line="208" w:lineRule="auto" w:before="48" w:after="0"/>
        <w:ind w:left="660" w:right="1101" w:hanging="240"/>
        <w:jc w:val="left"/>
        <w:rPr>
          <w:sz w:val="16"/>
        </w:rPr>
      </w:pPr>
      <w:r>
        <w:rPr>
          <w:spacing w:val="-1"/>
          <w:sz w:val="16"/>
        </w:rPr>
        <w:br w:type="column"/>
      </w:r>
      <w:r>
        <w:rPr>
          <w:sz w:val="16"/>
        </w:rPr>
        <w:t>This</w:t>
      </w:r>
      <w:r>
        <w:rPr>
          <w:spacing w:val="-5"/>
          <w:sz w:val="16"/>
        </w:rPr>
        <w:t> </w:t>
      </w:r>
      <w:r>
        <w:rPr>
          <w:sz w:val="16"/>
        </w:rPr>
        <w:t>requires</w:t>
      </w:r>
      <w:r>
        <w:rPr>
          <w:spacing w:val="-5"/>
          <w:sz w:val="16"/>
        </w:rPr>
        <w:t> </w:t>
      </w:r>
      <w:r>
        <w:rPr>
          <w:sz w:val="16"/>
        </w:rPr>
        <w:t>pensions</w:t>
      </w:r>
      <w:r>
        <w:rPr>
          <w:spacing w:val="-5"/>
          <w:sz w:val="16"/>
        </w:rPr>
        <w:t> </w:t>
      </w:r>
      <w:r>
        <w:rPr>
          <w:sz w:val="16"/>
        </w:rPr>
        <w:t>already</w:t>
      </w:r>
      <w:r>
        <w:rPr>
          <w:spacing w:val="-5"/>
          <w:sz w:val="16"/>
        </w:rPr>
        <w:t> </w:t>
      </w:r>
      <w:r>
        <w:rPr>
          <w:sz w:val="16"/>
        </w:rPr>
        <w:t>in</w:t>
      </w:r>
      <w:r>
        <w:rPr>
          <w:spacing w:val="-5"/>
          <w:sz w:val="16"/>
        </w:rPr>
        <w:t> </w:t>
      </w:r>
      <w:r>
        <w:rPr>
          <w:sz w:val="16"/>
        </w:rPr>
        <w:t>payment</w:t>
      </w:r>
      <w:r>
        <w:rPr>
          <w:spacing w:val="-5"/>
          <w:sz w:val="16"/>
        </w:rPr>
        <w:t> </w:t>
      </w:r>
      <w:r>
        <w:rPr>
          <w:sz w:val="16"/>
        </w:rPr>
        <w:t>to</w:t>
      </w:r>
      <w:r>
        <w:rPr>
          <w:spacing w:val="-5"/>
          <w:sz w:val="16"/>
        </w:rPr>
        <w:t> </w:t>
      </w:r>
      <w:r>
        <w:rPr>
          <w:sz w:val="16"/>
        </w:rPr>
        <w:t>be</w:t>
      </w:r>
      <w:r>
        <w:rPr>
          <w:spacing w:val="-5"/>
          <w:sz w:val="16"/>
        </w:rPr>
        <w:t> </w:t>
      </w:r>
      <w:r>
        <w:rPr>
          <w:sz w:val="16"/>
        </w:rPr>
        <w:t>discounted</w:t>
      </w:r>
      <w:r>
        <w:rPr>
          <w:spacing w:val="-5"/>
          <w:sz w:val="16"/>
        </w:rPr>
        <w:t> </w:t>
      </w:r>
      <w:r>
        <w:rPr>
          <w:sz w:val="16"/>
        </w:rPr>
        <w:t>using</w:t>
      </w:r>
      <w:r>
        <w:rPr>
          <w:spacing w:val="-5"/>
          <w:sz w:val="16"/>
        </w:rPr>
        <w:t> </w:t>
      </w:r>
      <w:r>
        <w:rPr>
          <w:sz w:val="16"/>
        </w:rPr>
        <w:t>a 15-year government bond</w:t>
      </w:r>
      <w:r>
        <w:rPr>
          <w:spacing w:val="-5"/>
          <w:sz w:val="16"/>
        </w:rPr>
        <w:t> </w:t>
      </w:r>
      <w:r>
        <w:rPr>
          <w:sz w:val="16"/>
        </w:rPr>
        <w:t>yield.</w:t>
      </w:r>
    </w:p>
    <w:p>
      <w:pPr>
        <w:spacing w:after="0" w:line="208" w:lineRule="auto"/>
        <w:jc w:val="left"/>
        <w:rPr>
          <w:sz w:val="16"/>
        </w:rPr>
        <w:sectPr>
          <w:type w:val="continuous"/>
          <w:pgSz w:w="11900" w:h="16840"/>
          <w:pgMar w:top="1260" w:bottom="280" w:left="640" w:right="640"/>
          <w:cols w:num="2" w:equalWidth="0">
            <w:col w:w="4020" w:space="545"/>
            <w:col w:w="6055"/>
          </w:cols>
        </w:sectPr>
      </w:pPr>
    </w:p>
    <w:p>
      <w:pPr>
        <w:pStyle w:val="BodyText"/>
        <w:rPr>
          <w:sz w:val="20"/>
        </w:rPr>
      </w:pPr>
    </w:p>
    <w:p>
      <w:pPr>
        <w:spacing w:after="0"/>
        <w:rPr>
          <w:sz w:val="20"/>
        </w:rPr>
        <w:sectPr>
          <w:pgSz w:w="11900" w:h="16840"/>
          <w:pgMar w:header="601" w:footer="612" w:top="800" w:bottom="800" w:left="640" w:right="640"/>
        </w:sectPr>
      </w:pPr>
    </w:p>
    <w:p>
      <w:pPr>
        <w:pStyle w:val="BodyText"/>
        <w:rPr>
          <w:sz w:val="22"/>
        </w:rPr>
      </w:pPr>
    </w:p>
    <w:p>
      <w:pPr>
        <w:pStyle w:val="BodyText"/>
        <w:rPr>
          <w:sz w:val="22"/>
        </w:rPr>
      </w:pPr>
    </w:p>
    <w:p>
      <w:pPr>
        <w:pStyle w:val="BodyText"/>
        <w:rPr>
          <w:sz w:val="22"/>
        </w:rPr>
      </w:pPr>
    </w:p>
    <w:p>
      <w:pPr>
        <w:pStyle w:val="BodyText"/>
        <w:rPr>
          <w:sz w:val="21"/>
        </w:rPr>
      </w:pPr>
    </w:p>
    <w:p>
      <w:pPr>
        <w:spacing w:before="0"/>
        <w:ind w:left="185" w:right="0" w:firstLine="0"/>
        <w:jc w:val="left"/>
        <w:rPr>
          <w:b/>
          <w:sz w:val="20"/>
        </w:rPr>
      </w:pPr>
      <w:bookmarkStart w:name="Real interest rates" w:id="18"/>
      <w:bookmarkEnd w:id="18"/>
      <w:r>
        <w:rPr/>
      </w:r>
      <w:bookmarkStart w:name="Equity prices" w:id="19"/>
      <w:bookmarkEnd w:id="19"/>
      <w:r>
        <w:rPr/>
      </w:r>
      <w:bookmarkStart w:name="_bookmark6" w:id="20"/>
      <w:bookmarkEnd w:id="20"/>
      <w:r>
        <w:rPr/>
      </w:r>
      <w:r>
        <w:rPr>
          <w:b/>
          <w:color w:val="0092C7"/>
          <w:sz w:val="20"/>
        </w:rPr>
        <w:t>Chart 1.15</w:t>
      </w:r>
    </w:p>
    <w:p>
      <w:pPr>
        <w:spacing w:line="240" w:lineRule="atLeast" w:before="0"/>
        <w:ind w:left="185" w:right="7" w:firstLine="0"/>
        <w:jc w:val="left"/>
        <w:rPr>
          <w:sz w:val="12"/>
        </w:rPr>
      </w:pPr>
      <w:r>
        <w:rPr>
          <w:b/>
          <w:color w:val="0092C7"/>
          <w:sz w:val="20"/>
        </w:rPr>
        <w:t>Sterling A-rated corporate bond yields and spreads</w:t>
      </w:r>
      <w:r>
        <w:rPr>
          <w:position w:val="4"/>
          <w:sz w:val="12"/>
        </w:rPr>
        <w:t>(a)</w:t>
      </w:r>
    </w:p>
    <w:p>
      <w:pPr>
        <w:pStyle w:val="BodyText"/>
        <w:rPr>
          <w:sz w:val="21"/>
        </w:rPr>
      </w:pPr>
      <w:r>
        <w:rPr/>
        <w:br w:type="column"/>
      </w:r>
      <w:r>
        <w:rPr>
          <w:sz w:val="21"/>
        </w:rPr>
      </w:r>
    </w:p>
    <w:p>
      <w:pPr>
        <w:pStyle w:val="BodyText"/>
        <w:spacing w:line="242" w:lineRule="auto" w:before="1"/>
        <w:ind w:left="185" w:right="135"/>
      </w:pPr>
      <w:r>
        <w:rPr/>
        <w:t>difficult to attribute the increase in spreads solely to an increase in expected default rates, following the build-up in corporate indebtedness. Spreads at longer maturities have declined in recent months. That may partly reflect the review of the MFR, published on 14 September by</w:t>
      </w:r>
    </w:p>
    <w:p>
      <w:pPr>
        <w:spacing w:after="0" w:line="242" w:lineRule="auto"/>
        <w:sectPr>
          <w:type w:val="continuous"/>
          <w:pgSz w:w="11900" w:h="16840"/>
          <w:pgMar w:top="1260" w:bottom="280" w:left="640" w:right="640"/>
          <w:cols w:num="2" w:equalWidth="0">
            <w:col w:w="3512" w:space="1288"/>
            <w:col w:w="5820"/>
          </w:cols>
        </w:sectPr>
      </w:pPr>
    </w:p>
    <w:p>
      <w:pPr>
        <w:spacing w:before="82"/>
        <w:ind w:left="173" w:right="0" w:firstLine="0"/>
        <w:jc w:val="left"/>
        <w:rPr>
          <w:sz w:val="12"/>
        </w:rPr>
      </w:pPr>
      <w:r>
        <w:rPr/>
        <w:pict>
          <v:group style="position:absolute;margin-left:45.483002pt;margin-top:15.824681pt;width:156.25pt;height:139pt;mso-position-horizontal-relative:page;mso-position-vertical-relative:paragraph;z-index:15801856" coordorigin="910,316" coordsize="3125,2780">
            <v:shape style="position:absolute;left:909;top:329;width:3125;height:2767" type="#_x0000_t75" stroked="false">
              <v:imagedata r:id="rId54" o:title=""/>
            </v:shape>
            <v:shape style="position:absolute;left:3947;top:797;width:87;height:10" type="#_x0000_t75" stroked="false">
              <v:imagedata r:id="rId53" o:title=""/>
            </v:shape>
            <v:shape style="position:absolute;left:3947;top:1369;width:87;height:10" type="#_x0000_t75" stroked="false">
              <v:imagedata r:id="rId53" o:title=""/>
            </v:shape>
            <v:shape style="position:absolute;left:3947;top:2513;width:87;height:10" type="#_x0000_t75" stroked="false">
              <v:imagedata r:id="rId38" o:title=""/>
            </v:shape>
            <v:shape style="position:absolute;left:3947;top:1941;width:87;height:10" type="#_x0000_t75" stroked="false">
              <v:imagedata r:id="rId53" o:title=""/>
            </v:shape>
            <v:shape style="position:absolute;left:1636;top:316;width:930;height:253" type="#_x0000_t202" filled="false" stroked="false">
              <v:textbox inset="0,0,0,0">
                <w:txbxContent>
                  <w:p>
                    <w:pPr>
                      <w:spacing w:line="124" w:lineRule="exact" w:before="0"/>
                      <w:ind w:left="0" w:right="0" w:firstLine="0"/>
                      <w:jc w:val="left"/>
                      <w:rPr>
                        <w:sz w:val="12"/>
                      </w:rPr>
                    </w:pPr>
                    <w:r>
                      <w:rPr>
                        <w:sz w:val="12"/>
                      </w:rPr>
                      <w:t>2-year yield</w:t>
                    </w:r>
                  </w:p>
                  <w:p>
                    <w:pPr>
                      <w:spacing w:line="129" w:lineRule="exact" w:before="0"/>
                      <w:ind w:left="60" w:right="0" w:firstLine="0"/>
                      <w:jc w:val="left"/>
                      <w:rPr>
                        <w:sz w:val="12"/>
                      </w:rPr>
                    </w:pPr>
                    <w:r>
                      <w:rPr>
                        <w:sz w:val="12"/>
                      </w:rPr>
                      <w:t>(right-hand scale)</w:t>
                    </w:r>
                  </w:p>
                </w:txbxContent>
              </v:textbox>
              <w10:wrap type="none"/>
            </v:shape>
            <v:shape style="position:absolute;left:2929;top:1299;width:930;height:253" type="#_x0000_t202" filled="false" stroked="false">
              <v:textbox inset="0,0,0,0">
                <w:txbxContent>
                  <w:p>
                    <w:pPr>
                      <w:spacing w:line="208" w:lineRule="auto" w:before="9"/>
                      <w:ind w:left="60" w:right="18" w:hanging="60"/>
                      <w:jc w:val="left"/>
                      <w:rPr>
                        <w:sz w:val="12"/>
                      </w:rPr>
                    </w:pPr>
                    <w:r>
                      <w:rPr>
                        <w:sz w:val="12"/>
                      </w:rPr>
                      <w:t>20-year yield (right-hand scale)</w:t>
                    </w:r>
                  </w:p>
                </w:txbxContent>
              </v:textbox>
              <w10:wrap type="none"/>
            </v:shape>
            <v:shape style="position:absolute;left:1813;top:1905;width:833;height:254" type="#_x0000_t202" filled="false" stroked="false">
              <v:textbox inset="0,0,0,0">
                <w:txbxContent>
                  <w:p>
                    <w:pPr>
                      <w:spacing w:line="208" w:lineRule="auto" w:before="9"/>
                      <w:ind w:left="30" w:right="18" w:hanging="30"/>
                      <w:jc w:val="left"/>
                      <w:rPr>
                        <w:sz w:val="12"/>
                      </w:rPr>
                    </w:pPr>
                    <w:r>
                      <w:rPr>
                        <w:sz w:val="12"/>
                      </w:rPr>
                      <w:t>20-year spread (left-hand scale)</w:t>
                    </w:r>
                  </w:p>
                </w:txbxContent>
              </v:textbox>
              <w10:wrap type="none"/>
            </v:shape>
            <v:shape style="position:absolute;left:2382;top:2712;width:863;height:253" type="#_x0000_t202" filled="false" stroked="false">
              <v:textbox inset="0,0,0,0">
                <w:txbxContent>
                  <w:p>
                    <w:pPr>
                      <w:spacing w:line="208" w:lineRule="auto" w:before="9"/>
                      <w:ind w:left="60" w:right="18" w:hanging="60"/>
                      <w:jc w:val="left"/>
                      <w:rPr>
                        <w:sz w:val="12"/>
                      </w:rPr>
                    </w:pPr>
                    <w:r>
                      <w:rPr>
                        <w:sz w:val="12"/>
                      </w:rPr>
                      <w:t>2-year spread (left-hand scale)</w:t>
                    </w:r>
                  </w:p>
                </w:txbxContent>
              </v:textbox>
              <w10:wrap type="none"/>
            </v:shape>
            <w10:wrap type="none"/>
          </v:group>
        </w:pict>
      </w:r>
      <w:r>
        <w:rPr>
          <w:position w:val="-6"/>
          <w:sz w:val="12"/>
        </w:rPr>
        <w:t>5</w:t>
      </w:r>
      <w:r>
        <w:rPr>
          <w:sz w:val="12"/>
        </w:rPr>
        <w:t> </w:t>
      </w:r>
      <w:r>
        <w:rPr>
          <w:sz w:val="12"/>
          <w:u w:val="single"/>
        </w:rPr>
        <w:t>P</w:t>
      </w:r>
      <w:r>
        <w:rPr>
          <w:sz w:val="12"/>
        </w:rPr>
        <w:t>ercentage points</w:t>
      </w:r>
    </w:p>
    <w:p>
      <w:pPr>
        <w:pStyle w:val="BodyText"/>
        <w:rPr>
          <w:sz w:val="20"/>
        </w:rPr>
      </w:pPr>
    </w:p>
    <w:p>
      <w:pPr>
        <w:pStyle w:val="BodyText"/>
        <w:spacing w:before="6"/>
        <w:rPr>
          <w:sz w:val="17"/>
        </w:rPr>
      </w:pPr>
    </w:p>
    <w:p>
      <w:pPr>
        <w:spacing w:before="0"/>
        <w:ind w:left="173" w:right="0" w:firstLine="0"/>
        <w:jc w:val="left"/>
        <w:rPr>
          <w:sz w:val="12"/>
        </w:rPr>
      </w:pPr>
      <w:r>
        <w:rPr>
          <w:sz w:val="12"/>
        </w:rPr>
        <w:t>4</w:t>
      </w:r>
    </w:p>
    <w:p>
      <w:pPr>
        <w:pStyle w:val="BodyText"/>
        <w:rPr>
          <w:sz w:val="12"/>
        </w:rPr>
      </w:pPr>
    </w:p>
    <w:p>
      <w:pPr>
        <w:pStyle w:val="BodyText"/>
        <w:rPr>
          <w:sz w:val="12"/>
        </w:rPr>
      </w:pPr>
    </w:p>
    <w:p>
      <w:pPr>
        <w:pStyle w:val="BodyText"/>
        <w:spacing w:before="9"/>
        <w:rPr>
          <w:sz w:val="13"/>
        </w:rPr>
      </w:pPr>
    </w:p>
    <w:p>
      <w:pPr>
        <w:spacing w:before="0"/>
        <w:ind w:left="173" w:right="0" w:firstLine="0"/>
        <w:jc w:val="left"/>
        <w:rPr>
          <w:sz w:val="12"/>
        </w:rPr>
      </w:pPr>
      <w:r>
        <w:rPr>
          <w:sz w:val="12"/>
        </w:rPr>
        <w:t>3</w:t>
      </w:r>
    </w:p>
    <w:p>
      <w:pPr>
        <w:pStyle w:val="BodyText"/>
        <w:rPr>
          <w:sz w:val="12"/>
        </w:rPr>
      </w:pPr>
    </w:p>
    <w:p>
      <w:pPr>
        <w:pStyle w:val="BodyText"/>
        <w:rPr>
          <w:sz w:val="12"/>
        </w:rPr>
      </w:pPr>
    </w:p>
    <w:p>
      <w:pPr>
        <w:pStyle w:val="BodyText"/>
        <w:spacing w:before="9"/>
        <w:rPr>
          <w:sz w:val="13"/>
        </w:rPr>
      </w:pPr>
    </w:p>
    <w:p>
      <w:pPr>
        <w:spacing w:before="0"/>
        <w:ind w:left="173" w:right="0" w:firstLine="0"/>
        <w:jc w:val="left"/>
        <w:rPr>
          <w:sz w:val="12"/>
        </w:rPr>
      </w:pPr>
      <w:r>
        <w:rPr>
          <w:sz w:val="12"/>
        </w:rPr>
        <w:t>2</w:t>
      </w:r>
    </w:p>
    <w:p>
      <w:pPr>
        <w:pStyle w:val="BodyText"/>
        <w:rPr>
          <w:sz w:val="12"/>
        </w:rPr>
      </w:pPr>
    </w:p>
    <w:p>
      <w:pPr>
        <w:pStyle w:val="BodyText"/>
        <w:rPr>
          <w:sz w:val="12"/>
        </w:rPr>
      </w:pPr>
    </w:p>
    <w:p>
      <w:pPr>
        <w:pStyle w:val="BodyText"/>
        <w:spacing w:before="9"/>
        <w:rPr>
          <w:sz w:val="13"/>
        </w:rPr>
      </w:pPr>
    </w:p>
    <w:p>
      <w:pPr>
        <w:spacing w:before="0"/>
        <w:ind w:left="173" w:right="0" w:firstLine="0"/>
        <w:jc w:val="left"/>
        <w:rPr>
          <w:sz w:val="12"/>
        </w:rPr>
      </w:pPr>
      <w:r>
        <w:rPr>
          <w:sz w:val="12"/>
        </w:rPr>
        <w:t>1</w:t>
      </w:r>
    </w:p>
    <w:p>
      <w:pPr>
        <w:pStyle w:val="BodyText"/>
        <w:rPr>
          <w:sz w:val="12"/>
        </w:rPr>
      </w:pPr>
    </w:p>
    <w:p>
      <w:pPr>
        <w:pStyle w:val="BodyText"/>
        <w:rPr>
          <w:sz w:val="12"/>
        </w:rPr>
      </w:pPr>
    </w:p>
    <w:p>
      <w:pPr>
        <w:pStyle w:val="BodyText"/>
        <w:spacing w:before="9"/>
        <w:rPr>
          <w:sz w:val="13"/>
        </w:rPr>
      </w:pPr>
    </w:p>
    <w:p>
      <w:pPr>
        <w:spacing w:line="117" w:lineRule="exact" w:before="0"/>
        <w:ind w:left="173" w:right="0" w:firstLine="0"/>
        <w:jc w:val="left"/>
        <w:rPr>
          <w:sz w:val="12"/>
        </w:rPr>
      </w:pPr>
      <w:r>
        <w:rPr>
          <w:sz w:val="12"/>
        </w:rPr>
        <w:t>0</w:t>
      </w:r>
    </w:p>
    <w:p>
      <w:pPr>
        <w:tabs>
          <w:tab w:pos="1840" w:val="left" w:leader="none"/>
          <w:tab w:pos="2743" w:val="left" w:leader="none"/>
        </w:tabs>
        <w:spacing w:line="117" w:lineRule="exact" w:before="0"/>
        <w:ind w:left="784" w:right="0" w:firstLine="0"/>
        <w:jc w:val="left"/>
        <w:rPr>
          <w:sz w:val="12"/>
        </w:rPr>
      </w:pPr>
      <w:r>
        <w:rPr>
          <w:sz w:val="12"/>
        </w:rPr>
        <w:t>1998</w:t>
        <w:tab/>
        <w:t>99</w:t>
        <w:tab/>
      </w:r>
      <w:r>
        <w:rPr>
          <w:spacing w:val="-5"/>
          <w:sz w:val="12"/>
        </w:rPr>
        <w:t>2000</w:t>
      </w:r>
    </w:p>
    <w:p>
      <w:pPr>
        <w:spacing w:before="81"/>
        <w:ind w:left="-20" w:right="0" w:firstLine="0"/>
        <w:jc w:val="left"/>
        <w:rPr>
          <w:sz w:val="12"/>
        </w:rPr>
      </w:pPr>
      <w:r>
        <w:rPr/>
        <w:br w:type="column"/>
      </w:r>
      <w:r>
        <w:rPr>
          <w:sz w:val="12"/>
        </w:rPr>
        <w:t>Per ce</w:t>
      </w:r>
      <w:r>
        <w:rPr>
          <w:sz w:val="12"/>
          <w:u w:val="single"/>
        </w:rPr>
        <w:t>n</w:t>
      </w:r>
      <w:r>
        <w:rPr>
          <w:sz w:val="12"/>
        </w:rPr>
        <w:t>t </w:t>
      </w:r>
      <w:r>
        <w:rPr>
          <w:position w:val="-6"/>
          <w:sz w:val="12"/>
        </w:rPr>
        <w:t>8</w:t>
      </w:r>
    </w:p>
    <w:p>
      <w:pPr>
        <w:pStyle w:val="BodyText"/>
        <w:rPr>
          <w:sz w:val="20"/>
        </w:rPr>
      </w:pPr>
    </w:p>
    <w:p>
      <w:pPr>
        <w:pStyle w:val="BodyText"/>
        <w:spacing w:before="7"/>
        <w:rPr>
          <w:sz w:val="17"/>
        </w:rPr>
      </w:pPr>
    </w:p>
    <w:p>
      <w:pPr>
        <w:spacing w:before="0"/>
        <w:ind w:left="0" w:right="38" w:firstLine="0"/>
        <w:jc w:val="right"/>
        <w:rPr>
          <w:sz w:val="12"/>
        </w:rPr>
      </w:pPr>
      <w:r>
        <w:rPr>
          <w:sz w:val="12"/>
        </w:rPr>
        <w:t>7</w:t>
      </w:r>
    </w:p>
    <w:p>
      <w:pPr>
        <w:pStyle w:val="BodyText"/>
        <w:rPr>
          <w:sz w:val="12"/>
        </w:rPr>
      </w:pPr>
    </w:p>
    <w:p>
      <w:pPr>
        <w:pStyle w:val="BodyText"/>
        <w:rPr>
          <w:sz w:val="12"/>
        </w:rPr>
      </w:pPr>
    </w:p>
    <w:p>
      <w:pPr>
        <w:pStyle w:val="BodyText"/>
        <w:spacing w:before="9"/>
        <w:rPr>
          <w:sz w:val="13"/>
        </w:rPr>
      </w:pPr>
    </w:p>
    <w:p>
      <w:pPr>
        <w:spacing w:before="0"/>
        <w:ind w:left="0" w:right="38" w:firstLine="0"/>
        <w:jc w:val="right"/>
        <w:rPr>
          <w:sz w:val="12"/>
        </w:rPr>
      </w:pPr>
      <w:r>
        <w:rPr>
          <w:sz w:val="12"/>
        </w:rPr>
        <w:t>6</w:t>
      </w:r>
    </w:p>
    <w:p>
      <w:pPr>
        <w:pStyle w:val="BodyText"/>
        <w:rPr>
          <w:sz w:val="12"/>
        </w:rPr>
      </w:pPr>
    </w:p>
    <w:p>
      <w:pPr>
        <w:pStyle w:val="BodyText"/>
        <w:rPr>
          <w:sz w:val="12"/>
        </w:rPr>
      </w:pPr>
    </w:p>
    <w:p>
      <w:pPr>
        <w:pStyle w:val="BodyText"/>
        <w:spacing w:before="9"/>
        <w:rPr>
          <w:sz w:val="13"/>
        </w:rPr>
      </w:pPr>
    </w:p>
    <w:p>
      <w:pPr>
        <w:spacing w:before="0"/>
        <w:ind w:left="0" w:right="38" w:firstLine="0"/>
        <w:jc w:val="right"/>
        <w:rPr>
          <w:sz w:val="12"/>
        </w:rPr>
      </w:pPr>
      <w:r>
        <w:rPr>
          <w:sz w:val="12"/>
        </w:rPr>
        <w:t>5</w:t>
      </w:r>
    </w:p>
    <w:p>
      <w:pPr>
        <w:pStyle w:val="BodyText"/>
        <w:rPr>
          <w:sz w:val="12"/>
        </w:rPr>
      </w:pPr>
    </w:p>
    <w:p>
      <w:pPr>
        <w:pStyle w:val="BodyText"/>
        <w:rPr>
          <w:sz w:val="12"/>
        </w:rPr>
      </w:pPr>
    </w:p>
    <w:p>
      <w:pPr>
        <w:pStyle w:val="BodyText"/>
        <w:spacing w:before="9"/>
        <w:rPr>
          <w:sz w:val="13"/>
        </w:rPr>
      </w:pPr>
    </w:p>
    <w:p>
      <w:pPr>
        <w:spacing w:before="0"/>
        <w:ind w:left="0" w:right="38" w:firstLine="0"/>
        <w:jc w:val="right"/>
        <w:rPr>
          <w:sz w:val="12"/>
        </w:rPr>
      </w:pPr>
      <w:r>
        <w:rPr>
          <w:sz w:val="12"/>
        </w:rPr>
        <w:t>4</w:t>
      </w:r>
    </w:p>
    <w:p>
      <w:pPr>
        <w:pStyle w:val="BodyText"/>
        <w:rPr>
          <w:sz w:val="12"/>
        </w:rPr>
      </w:pPr>
    </w:p>
    <w:p>
      <w:pPr>
        <w:pStyle w:val="BodyText"/>
        <w:rPr>
          <w:sz w:val="12"/>
        </w:rPr>
      </w:pPr>
    </w:p>
    <w:p>
      <w:pPr>
        <w:pStyle w:val="BodyText"/>
        <w:spacing w:before="9"/>
        <w:rPr>
          <w:sz w:val="13"/>
        </w:rPr>
      </w:pPr>
    </w:p>
    <w:p>
      <w:pPr>
        <w:spacing w:before="0"/>
        <w:ind w:left="0" w:right="38" w:firstLine="0"/>
        <w:jc w:val="right"/>
        <w:rPr>
          <w:sz w:val="12"/>
        </w:rPr>
      </w:pPr>
      <w:r>
        <w:rPr>
          <w:sz w:val="12"/>
        </w:rPr>
        <w:t>3</w:t>
      </w:r>
    </w:p>
    <w:p>
      <w:pPr>
        <w:pStyle w:val="BodyText"/>
        <w:spacing w:line="208" w:lineRule="exact"/>
        <w:ind w:left="173"/>
      </w:pPr>
      <w:r>
        <w:rPr/>
        <w:br w:type="column"/>
      </w:r>
      <w:r>
        <w:rPr/>
        <w:t>the Faculty and Institute of Actuaries (see the box on</w:t>
      </w:r>
    </w:p>
    <w:p>
      <w:pPr>
        <w:pStyle w:val="BodyText"/>
        <w:spacing w:line="242" w:lineRule="auto" w:before="4"/>
        <w:ind w:left="173" w:right="129"/>
      </w:pPr>
      <w:r>
        <w:rPr>
          <w:color w:val="FF0000"/>
        </w:rPr>
        <w:t>page 334 of the November </w:t>
      </w:r>
      <w:r>
        <w:rPr>
          <w:i/>
          <w:color w:val="FF0000"/>
        </w:rPr>
        <w:t>Quarterly Bulletin</w:t>
      </w:r>
      <w:r>
        <w:rPr/>
        <w:t>). As anticipated, the review proposed that pension liabilities be discounted using the yield on a composite bond index that includes investment-grade corporates. That would raise institutional demand for corporate bonds relative to gilts, reducing the spread between their yields. Spreads over gilts at short maturities remain similar to their level at the time of the August </w:t>
      </w:r>
      <w:r>
        <w:rPr>
          <w:i/>
        </w:rPr>
        <w:t>Report</w:t>
      </w:r>
      <w:r>
        <w:rPr/>
        <w:t>, which is also true of spreads relative to swap rates, which should be less affected by the MFR. So because expected future</w:t>
      </w:r>
    </w:p>
    <w:p>
      <w:pPr>
        <w:pStyle w:val="BodyText"/>
        <w:spacing w:before="12"/>
        <w:ind w:left="173"/>
      </w:pPr>
      <w:r>
        <w:rPr/>
        <w:t>short-term default-free interest rates have fallen, yields</w:t>
      </w:r>
    </w:p>
    <w:p>
      <w:pPr>
        <w:spacing w:after="0"/>
        <w:sectPr>
          <w:type w:val="continuous"/>
          <w:pgSz w:w="11900" w:h="16840"/>
          <w:pgMar w:top="1260" w:bottom="280" w:left="640" w:right="640"/>
          <w:cols w:num="3" w:equalWidth="0">
            <w:col w:w="2984" w:space="40"/>
            <w:col w:w="509" w:space="1279"/>
            <w:col w:w="5808"/>
          </w:cols>
        </w:sectPr>
      </w:pPr>
    </w:p>
    <w:p>
      <w:pPr>
        <w:spacing w:before="61"/>
        <w:ind w:left="185" w:right="0" w:firstLine="0"/>
        <w:jc w:val="left"/>
        <w:rPr>
          <w:sz w:val="12"/>
        </w:rPr>
      </w:pPr>
      <w:r>
        <w:rPr>
          <w:sz w:val="12"/>
        </w:rPr>
        <w:t>Sources: Bloomberg and Bank of England.</w:t>
      </w:r>
    </w:p>
    <w:p>
      <w:pPr>
        <w:spacing w:before="102"/>
        <w:ind w:left="185" w:right="0" w:firstLine="0"/>
        <w:jc w:val="left"/>
        <w:rPr>
          <w:sz w:val="12"/>
        </w:rPr>
      </w:pPr>
      <w:r>
        <w:rPr>
          <w:sz w:val="12"/>
        </w:rPr>
        <w:t>(a) Spread over government par yields.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4"/>
        </w:rPr>
      </w:pPr>
    </w:p>
    <w:p>
      <w:pPr>
        <w:spacing w:before="0"/>
        <w:ind w:left="185" w:right="0" w:firstLine="0"/>
        <w:jc w:val="left"/>
        <w:rPr>
          <w:b/>
          <w:sz w:val="20"/>
        </w:rPr>
      </w:pPr>
      <w:r>
        <w:rPr>
          <w:b/>
          <w:color w:val="0092C7"/>
          <w:sz w:val="20"/>
        </w:rPr>
        <w:t>Chart 1.16</w:t>
      </w:r>
    </w:p>
    <w:p>
      <w:pPr>
        <w:spacing w:before="10"/>
        <w:ind w:left="185" w:right="0" w:firstLine="0"/>
        <w:jc w:val="left"/>
        <w:rPr>
          <w:b/>
          <w:sz w:val="20"/>
        </w:rPr>
      </w:pPr>
      <w:r>
        <w:rPr>
          <w:b/>
          <w:color w:val="0092C7"/>
          <w:sz w:val="20"/>
        </w:rPr>
        <w:t>Decomposition of FTSE All-Share movements</w:t>
      </w:r>
    </w:p>
    <w:p>
      <w:pPr>
        <w:spacing w:before="83"/>
        <w:ind w:left="3047" w:right="0" w:firstLine="0"/>
        <w:jc w:val="left"/>
        <w:rPr>
          <w:sz w:val="12"/>
        </w:rPr>
      </w:pPr>
      <w:r>
        <w:rPr/>
        <w:pict>
          <v:group style="position:absolute;margin-left:40.352001pt;margin-top:12.027433pt;width:157.7pt;height:144pt;mso-position-horizontal-relative:page;mso-position-vertical-relative:paragraph;z-index:-22849536" coordorigin="807,241" coordsize="3154,2880">
            <v:shape style="position:absolute;left:807;top:240;width:3154;height:2880" type="#_x0000_t75" stroked="false">
              <v:imagedata r:id="rId55" o:title=""/>
            </v:shape>
            <v:shape style="position:absolute;left:807;top:3109;width:87;height:10" type="#_x0000_t75" stroked="false">
              <v:imagedata r:id="rId42" o:title=""/>
            </v:shape>
            <v:shape style="position:absolute;left:2474;top:439;width:797;height:134" type="#_x0000_t202" filled="false" stroked="false">
              <v:textbox inset="0,0,0,0">
                <w:txbxContent>
                  <w:p>
                    <w:pPr>
                      <w:spacing w:line="133" w:lineRule="exact" w:before="0"/>
                      <w:ind w:left="0" w:right="0" w:firstLine="0"/>
                      <w:jc w:val="left"/>
                      <w:rPr>
                        <w:sz w:val="12"/>
                      </w:rPr>
                    </w:pPr>
                    <w:r>
                      <w:rPr>
                        <w:sz w:val="12"/>
                      </w:rPr>
                      <w:t>FTSE All-Share</w:t>
                    </w:r>
                  </w:p>
                </w:txbxContent>
              </v:textbox>
              <w10:wrap type="none"/>
            </v:shape>
            <v:shape style="position:absolute;left:2113;top:2566;width:1430;height:254" type="#_x0000_t202" filled="false" stroked="false">
              <v:textbox inset="0,0,0,0">
                <w:txbxContent>
                  <w:p>
                    <w:pPr>
                      <w:spacing w:line="208" w:lineRule="auto" w:before="9"/>
                      <w:ind w:left="60" w:right="0" w:hanging="60"/>
                      <w:jc w:val="left"/>
                      <w:rPr>
                        <w:sz w:val="12"/>
                      </w:rPr>
                    </w:pPr>
                    <w:r>
                      <w:rPr>
                        <w:sz w:val="12"/>
                      </w:rPr>
                      <w:t>FTSE All-Share implied by dividend discount model (a)</w:t>
                    </w:r>
                  </w:p>
                </w:txbxContent>
              </v:textbox>
              <w10:wrap type="none"/>
            </v:shape>
            <w10:wrap type="none"/>
          </v:group>
        </w:pict>
      </w:r>
      <w:r>
        <w:rPr>
          <w:sz w:val="12"/>
        </w:rPr>
        <w:t>Ind</w:t>
      </w:r>
      <w:r>
        <w:rPr>
          <w:sz w:val="12"/>
          <w:u w:val="single"/>
        </w:rPr>
        <w:t>ex</w:t>
      </w:r>
      <w:r>
        <w:rPr>
          <w:spacing w:val="19"/>
          <w:sz w:val="12"/>
        </w:rPr>
        <w:t> </w:t>
      </w:r>
      <w:r>
        <w:rPr>
          <w:position w:val="-8"/>
          <w:sz w:val="12"/>
        </w:rPr>
        <w:t>3300</w:t>
      </w:r>
    </w:p>
    <w:p>
      <w:pPr>
        <w:pStyle w:val="BodyText"/>
        <w:spacing w:before="3"/>
        <w:rPr>
          <w:sz w:val="29"/>
        </w:rPr>
      </w:pPr>
    </w:p>
    <w:p>
      <w:pPr>
        <w:spacing w:before="0"/>
        <w:ind w:left="0" w:right="515" w:firstLine="0"/>
        <w:jc w:val="right"/>
        <w:rPr>
          <w:sz w:val="12"/>
        </w:rPr>
      </w:pPr>
      <w:r>
        <w:rPr>
          <w:sz w:val="12"/>
        </w:rPr>
        <w:t>3200</w:t>
      </w:r>
    </w:p>
    <w:p>
      <w:pPr>
        <w:pStyle w:val="BodyText"/>
        <w:spacing w:line="242" w:lineRule="auto" w:before="4"/>
        <w:ind w:left="185" w:right="168"/>
      </w:pPr>
      <w:r>
        <w:rPr/>
        <w:br w:type="column"/>
      </w:r>
      <w:r>
        <w:rPr/>
        <w:t>on corporate bonds with a constant credit rating have fallen since the August </w:t>
      </w:r>
      <w:r>
        <w:rPr>
          <w:i/>
        </w:rPr>
        <w:t>Report </w:t>
      </w:r>
      <w:r>
        <w:rPr/>
        <w:t>(see Chart 1.15), despite the increase in aggregate corporate indebtedness. Bonds issued by telecommunications companies have been downgraded, but their yields have also fallen slightly.</w:t>
      </w:r>
    </w:p>
    <w:p>
      <w:pPr>
        <w:pStyle w:val="BodyText"/>
        <w:spacing w:before="5"/>
        <w:rPr>
          <w:sz w:val="28"/>
        </w:rPr>
      </w:pPr>
    </w:p>
    <w:p>
      <w:pPr>
        <w:spacing w:before="0"/>
        <w:ind w:left="185" w:right="0" w:firstLine="0"/>
        <w:jc w:val="left"/>
        <w:rPr>
          <w:i/>
          <w:sz w:val="24"/>
        </w:rPr>
      </w:pPr>
      <w:r>
        <w:rPr>
          <w:i/>
          <w:color w:val="009391"/>
          <w:sz w:val="24"/>
        </w:rPr>
        <w:t>Real interest rates</w:t>
      </w:r>
    </w:p>
    <w:p>
      <w:pPr>
        <w:pStyle w:val="BodyText"/>
        <w:spacing w:line="242" w:lineRule="auto" w:before="164"/>
        <w:ind w:left="185" w:right="166"/>
      </w:pPr>
      <w:r>
        <w:rPr/>
        <w:t>Spending decisions by firms and households should be affected by expected real interest rates. The decline in expected short-term nominal interest rates </w:t>
      </w:r>
      <w:r>
        <w:rPr>
          <w:spacing w:val="-3"/>
        </w:rPr>
        <w:t>over </w:t>
      </w:r>
      <w:r>
        <w:rPr/>
        <w:t>the next two</w:t>
      </w:r>
      <w:r>
        <w:rPr>
          <w:spacing w:val="-7"/>
        </w:rPr>
        <w:t> </w:t>
      </w:r>
      <w:r>
        <w:rPr/>
        <w:t>years</w:t>
      </w:r>
      <w:r>
        <w:rPr>
          <w:spacing w:val="-6"/>
        </w:rPr>
        <w:t> </w:t>
      </w:r>
      <w:r>
        <w:rPr/>
        <w:t>has</w:t>
      </w:r>
      <w:r>
        <w:rPr>
          <w:spacing w:val="-6"/>
        </w:rPr>
        <w:t> </w:t>
      </w:r>
      <w:r>
        <w:rPr/>
        <w:t>reduced</w:t>
      </w:r>
      <w:r>
        <w:rPr>
          <w:spacing w:val="-6"/>
        </w:rPr>
        <w:t> </w:t>
      </w:r>
      <w:r>
        <w:rPr/>
        <w:t>two-year</w:t>
      </w:r>
      <w:r>
        <w:rPr>
          <w:spacing w:val="-6"/>
        </w:rPr>
        <w:t> </w:t>
      </w:r>
      <w:r>
        <w:rPr/>
        <w:t>nominal</w:t>
      </w:r>
      <w:r>
        <w:rPr>
          <w:spacing w:val="-6"/>
        </w:rPr>
        <w:t> </w:t>
      </w:r>
      <w:r>
        <w:rPr/>
        <w:t>rates</w:t>
      </w:r>
      <w:r>
        <w:rPr>
          <w:spacing w:val="-6"/>
        </w:rPr>
        <w:t> </w:t>
      </w:r>
      <w:r>
        <w:rPr/>
        <w:t>of</w:t>
      </w:r>
      <w:r>
        <w:rPr>
          <w:spacing w:val="-6"/>
        </w:rPr>
        <w:t> </w:t>
      </w:r>
      <w:r>
        <w:rPr/>
        <w:t>interest. Some survey measures of the expected rate of inflation </w:t>
      </w:r>
      <w:r>
        <w:rPr>
          <w:spacing w:val="-3"/>
        </w:rPr>
        <w:t>over </w:t>
      </w:r>
      <w:r>
        <w:rPr/>
        <w:t>that period </w:t>
      </w:r>
      <w:r>
        <w:rPr>
          <w:spacing w:val="-3"/>
        </w:rPr>
        <w:t>have </w:t>
      </w:r>
      <w:r>
        <w:rPr/>
        <w:t>picked up slightly since the beginning of the </w:t>
      </w:r>
      <w:r>
        <w:rPr>
          <w:spacing w:val="-3"/>
        </w:rPr>
        <w:t>year.</w:t>
      </w:r>
      <w:r>
        <w:rPr>
          <w:spacing w:val="-3"/>
          <w:position w:val="5"/>
          <w:sz w:val="16"/>
        </w:rPr>
        <w:t>(1)  </w:t>
      </w:r>
      <w:r>
        <w:rPr/>
        <w:t>That suggests that there has been a decline in expected real interest rates at that </w:t>
      </w:r>
      <w:r>
        <w:rPr>
          <w:spacing w:val="-3"/>
        </w:rPr>
        <w:t>maturity. </w:t>
      </w:r>
      <w:r>
        <w:rPr/>
        <w:t>But index-linked gilt prices suggest that there has been a slight increase in expected real interest rates at longer</w:t>
      </w:r>
      <w:r>
        <w:rPr>
          <w:spacing w:val="-3"/>
        </w:rPr>
        <w:t> </w:t>
      </w:r>
      <w:r>
        <w:rPr/>
        <w:t>maturities.</w:t>
      </w:r>
    </w:p>
    <w:p>
      <w:pPr>
        <w:spacing w:after="0" w:line="242" w:lineRule="auto"/>
        <w:sectPr>
          <w:type w:val="continuous"/>
          <w:pgSz w:w="11900" w:h="16840"/>
          <w:pgMar w:top="1260" w:bottom="280" w:left="640" w:right="640"/>
          <w:cols w:num="2" w:equalWidth="0">
            <w:col w:w="4129" w:space="671"/>
            <w:col w:w="582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3"/>
        <w:ind w:left="241" w:right="0" w:firstLine="0"/>
        <w:jc w:val="left"/>
        <w:rPr>
          <w:sz w:val="12"/>
        </w:rPr>
      </w:pPr>
      <w:r>
        <w:rPr>
          <w:sz w:val="12"/>
        </w:rPr>
        <w:t>Nov.</w:t>
      </w:r>
    </w:p>
    <w:p>
      <w:pPr>
        <w:spacing w:before="12"/>
        <w:ind w:left="426" w:right="0" w:firstLine="0"/>
        <w:jc w:val="left"/>
        <w:rPr>
          <w:sz w:val="12"/>
        </w:rPr>
      </w:pPr>
      <w:r>
        <w:rPr>
          <w:sz w:val="12"/>
        </w:rPr>
        <w:t>1999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471" w:val="left" w:leader="none"/>
        </w:tabs>
        <w:spacing w:before="73"/>
        <w:ind w:left="24" w:right="0" w:firstLine="0"/>
        <w:jc w:val="left"/>
        <w:rPr>
          <w:sz w:val="12"/>
        </w:rPr>
      </w:pPr>
      <w:r>
        <w:rPr>
          <w:sz w:val="12"/>
        </w:rPr>
        <w:t>Jan.</w:t>
        <w:tab/>
      </w:r>
      <w:r>
        <w:rPr>
          <w:spacing w:val="-5"/>
          <w:sz w:val="12"/>
        </w:rPr>
        <w:t>Mar.</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3"/>
        <w:ind w:left="201" w:right="0" w:firstLine="0"/>
        <w:jc w:val="left"/>
        <w:rPr>
          <w:sz w:val="12"/>
        </w:rPr>
      </w:pPr>
      <w:r>
        <w:rPr>
          <w:sz w:val="12"/>
        </w:rPr>
        <w:t>May</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261" w:lineRule="auto" w:before="73"/>
        <w:ind w:left="35" w:right="-20" w:firstLine="181"/>
        <w:jc w:val="left"/>
        <w:rPr>
          <w:sz w:val="12"/>
        </w:rPr>
      </w:pPr>
      <w:r>
        <w:rPr>
          <w:sz w:val="12"/>
        </w:rPr>
        <w:t>July 2000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674" w:val="left" w:leader="none"/>
        </w:tabs>
        <w:spacing w:before="73"/>
        <w:ind w:left="204" w:right="0" w:firstLine="0"/>
        <w:jc w:val="left"/>
        <w:rPr>
          <w:sz w:val="12"/>
        </w:rPr>
      </w:pPr>
      <w:r>
        <w:rPr>
          <w:sz w:val="12"/>
        </w:rPr>
        <w:t>Sept.</w:t>
        <w:tab/>
      </w:r>
      <w:r>
        <w:rPr>
          <w:spacing w:val="-5"/>
          <w:sz w:val="12"/>
        </w:rPr>
        <w:t>Nov.</w:t>
      </w:r>
    </w:p>
    <w:p>
      <w:pPr>
        <w:pStyle w:val="BodyText"/>
        <w:spacing w:before="10"/>
        <w:rPr>
          <w:sz w:val="12"/>
        </w:rPr>
      </w:pPr>
      <w:r>
        <w:rPr/>
        <w:br w:type="column"/>
      </w:r>
      <w:r>
        <w:rPr>
          <w:sz w:val="12"/>
        </w:rPr>
      </w:r>
    </w:p>
    <w:p>
      <w:pPr>
        <w:spacing w:before="0"/>
        <w:ind w:left="52" w:right="0" w:firstLine="0"/>
        <w:jc w:val="left"/>
        <w:rPr>
          <w:sz w:val="12"/>
        </w:rPr>
      </w:pPr>
      <w:r>
        <w:rPr>
          <w:sz w:val="12"/>
        </w:rPr>
        <w:t>3100</w:t>
      </w:r>
    </w:p>
    <w:p>
      <w:pPr>
        <w:pStyle w:val="BodyText"/>
        <w:rPr>
          <w:sz w:val="12"/>
        </w:rPr>
      </w:pPr>
    </w:p>
    <w:p>
      <w:pPr>
        <w:pStyle w:val="BodyText"/>
        <w:spacing w:before="6"/>
        <w:rPr>
          <w:sz w:val="17"/>
        </w:rPr>
      </w:pPr>
    </w:p>
    <w:p>
      <w:pPr>
        <w:spacing w:before="0"/>
        <w:ind w:left="52" w:right="0" w:firstLine="0"/>
        <w:jc w:val="left"/>
        <w:rPr>
          <w:sz w:val="12"/>
        </w:rPr>
      </w:pPr>
      <w:r>
        <w:rPr>
          <w:sz w:val="12"/>
        </w:rPr>
        <w:t>3000</w:t>
      </w:r>
    </w:p>
    <w:p>
      <w:pPr>
        <w:pStyle w:val="BodyText"/>
        <w:rPr>
          <w:sz w:val="12"/>
        </w:rPr>
      </w:pPr>
    </w:p>
    <w:p>
      <w:pPr>
        <w:pStyle w:val="BodyText"/>
        <w:spacing w:before="6"/>
        <w:rPr>
          <w:sz w:val="17"/>
        </w:rPr>
      </w:pPr>
    </w:p>
    <w:p>
      <w:pPr>
        <w:spacing w:before="0"/>
        <w:ind w:left="52" w:right="0" w:firstLine="0"/>
        <w:jc w:val="left"/>
        <w:rPr>
          <w:sz w:val="12"/>
        </w:rPr>
      </w:pPr>
      <w:r>
        <w:rPr>
          <w:sz w:val="12"/>
        </w:rPr>
        <w:t>2900</w:t>
      </w:r>
    </w:p>
    <w:p>
      <w:pPr>
        <w:pStyle w:val="BodyText"/>
        <w:rPr>
          <w:sz w:val="12"/>
        </w:rPr>
      </w:pPr>
    </w:p>
    <w:p>
      <w:pPr>
        <w:pStyle w:val="BodyText"/>
        <w:spacing w:before="6"/>
        <w:rPr>
          <w:sz w:val="17"/>
        </w:rPr>
      </w:pPr>
    </w:p>
    <w:p>
      <w:pPr>
        <w:spacing w:before="0"/>
        <w:ind w:left="52" w:right="0" w:firstLine="0"/>
        <w:jc w:val="left"/>
        <w:rPr>
          <w:sz w:val="12"/>
        </w:rPr>
      </w:pPr>
      <w:r>
        <w:rPr>
          <w:sz w:val="12"/>
        </w:rPr>
        <w:t>2800</w:t>
      </w:r>
    </w:p>
    <w:p>
      <w:pPr>
        <w:pStyle w:val="BodyText"/>
        <w:rPr>
          <w:sz w:val="12"/>
        </w:rPr>
      </w:pPr>
    </w:p>
    <w:p>
      <w:pPr>
        <w:pStyle w:val="BodyText"/>
        <w:spacing w:before="6"/>
        <w:rPr>
          <w:sz w:val="17"/>
        </w:rPr>
      </w:pPr>
    </w:p>
    <w:p>
      <w:pPr>
        <w:spacing w:before="0"/>
        <w:ind w:left="52" w:right="0" w:firstLine="0"/>
        <w:jc w:val="left"/>
        <w:rPr>
          <w:sz w:val="12"/>
        </w:rPr>
      </w:pPr>
      <w:r>
        <w:rPr>
          <w:sz w:val="12"/>
        </w:rPr>
        <w:t>2700</w:t>
      </w:r>
    </w:p>
    <w:p>
      <w:pPr>
        <w:pStyle w:val="BodyText"/>
        <w:rPr>
          <w:sz w:val="29"/>
        </w:rPr>
      </w:pPr>
      <w:r>
        <w:rPr/>
        <w:br w:type="column"/>
      </w:r>
      <w:r>
        <w:rPr>
          <w:sz w:val="29"/>
        </w:rPr>
      </w:r>
    </w:p>
    <w:p>
      <w:pPr>
        <w:spacing w:before="0"/>
        <w:ind w:left="241" w:right="0" w:firstLine="0"/>
        <w:jc w:val="left"/>
        <w:rPr>
          <w:i/>
          <w:sz w:val="24"/>
        </w:rPr>
      </w:pPr>
      <w:r>
        <w:rPr>
          <w:i/>
          <w:color w:val="009391"/>
          <w:sz w:val="24"/>
        </w:rPr>
        <w:t>Equity prices</w:t>
      </w:r>
    </w:p>
    <w:p>
      <w:pPr>
        <w:pStyle w:val="BodyText"/>
        <w:spacing w:before="164"/>
        <w:ind w:left="241"/>
      </w:pPr>
      <w:r>
        <w:rPr/>
        <w:t>The FTSE All-Share index averaged 3087 in the</w:t>
      </w:r>
    </w:p>
    <w:p>
      <w:pPr>
        <w:pStyle w:val="BodyText"/>
        <w:spacing w:line="242" w:lineRule="auto" w:before="4"/>
        <w:ind w:left="241" w:right="96"/>
      </w:pPr>
      <w:r>
        <w:rPr/>
        <w:t>five working days to 8 November, close to its level at the time of the August </w:t>
      </w:r>
      <w:r>
        <w:rPr>
          <w:i/>
        </w:rPr>
        <w:t>Report</w:t>
      </w:r>
      <w:r>
        <w:rPr/>
        <w:t>, but about 2% below the central projection for November. Based on a 15 working day average (3056), share prices have been about 3% lower than projected. Share prices fell sharply in</w:t>
      </w:r>
    </w:p>
    <w:p>
      <w:pPr>
        <w:spacing w:after="0" w:line="242" w:lineRule="auto"/>
        <w:sectPr>
          <w:type w:val="continuous"/>
          <w:pgSz w:w="11900" w:h="16840"/>
          <w:pgMar w:top="1260" w:bottom="280" w:left="640" w:right="640"/>
          <w:cols w:num="7" w:equalWidth="0">
            <w:col w:w="667" w:space="40"/>
            <w:col w:w="702" w:space="39"/>
            <w:col w:w="422" w:space="39"/>
            <w:col w:w="417" w:space="40"/>
            <w:col w:w="912" w:space="40"/>
            <w:col w:w="333" w:space="1093"/>
            <w:col w:w="5876"/>
          </w:cols>
        </w:sectPr>
      </w:pPr>
    </w:p>
    <w:p>
      <w:pPr>
        <w:spacing w:before="87"/>
        <w:ind w:left="185" w:right="0" w:firstLine="0"/>
        <w:jc w:val="left"/>
        <w:rPr>
          <w:sz w:val="12"/>
        </w:rPr>
      </w:pPr>
      <w:r>
        <w:rPr>
          <w:sz w:val="12"/>
        </w:rPr>
        <w:t>Source: Bank of England.</w:t>
      </w:r>
    </w:p>
    <w:p>
      <w:pPr>
        <w:pStyle w:val="BodyText"/>
        <w:spacing w:before="1"/>
        <w:rPr>
          <w:sz w:val="10"/>
        </w:rPr>
      </w:pPr>
    </w:p>
    <w:p>
      <w:pPr>
        <w:pStyle w:val="ListParagraph"/>
        <w:numPr>
          <w:ilvl w:val="0"/>
          <w:numId w:val="12"/>
        </w:numPr>
        <w:tabs>
          <w:tab w:pos="426" w:val="left" w:leader="none"/>
        </w:tabs>
        <w:spacing w:line="208" w:lineRule="auto" w:before="1" w:after="0"/>
        <w:ind w:left="425" w:right="38" w:hanging="240"/>
        <w:jc w:val="left"/>
        <w:rPr>
          <w:sz w:val="12"/>
        </w:rPr>
      </w:pPr>
      <w:r>
        <w:rPr>
          <w:sz w:val="12"/>
        </w:rPr>
        <w:t>The FTSE All-Share has been projected forward from its level on 1 November 1999 using the dividend discount model. The inputs used are the prevailing level of dividends and real yields and the equity</w:t>
      </w:r>
      <w:r>
        <w:rPr>
          <w:spacing w:val="-8"/>
          <w:sz w:val="12"/>
        </w:rPr>
        <w:t> </w:t>
      </w:r>
      <w:r>
        <w:rPr>
          <w:sz w:val="12"/>
        </w:rPr>
        <w:t>risk</w:t>
      </w:r>
      <w:r>
        <w:rPr>
          <w:spacing w:val="-7"/>
          <w:sz w:val="12"/>
        </w:rPr>
        <w:t> </w:t>
      </w:r>
      <w:r>
        <w:rPr>
          <w:sz w:val="12"/>
        </w:rPr>
        <w:t>premium/dividend</w:t>
      </w:r>
      <w:r>
        <w:rPr>
          <w:spacing w:val="-7"/>
          <w:sz w:val="12"/>
        </w:rPr>
        <w:t> </w:t>
      </w:r>
      <w:r>
        <w:rPr>
          <w:sz w:val="12"/>
        </w:rPr>
        <w:t>growth</w:t>
      </w:r>
      <w:r>
        <w:rPr>
          <w:spacing w:val="-7"/>
          <w:sz w:val="12"/>
        </w:rPr>
        <w:t> </w:t>
      </w:r>
      <w:r>
        <w:rPr>
          <w:sz w:val="12"/>
        </w:rPr>
        <w:t>rate</w:t>
      </w:r>
      <w:r>
        <w:rPr>
          <w:spacing w:val="-7"/>
          <w:sz w:val="12"/>
        </w:rPr>
        <w:t> </w:t>
      </w:r>
      <w:r>
        <w:rPr>
          <w:sz w:val="12"/>
        </w:rPr>
        <w:t>combination</w:t>
      </w:r>
      <w:r>
        <w:rPr>
          <w:spacing w:val="-7"/>
          <w:sz w:val="12"/>
        </w:rPr>
        <w:t> </w:t>
      </w:r>
      <w:r>
        <w:rPr>
          <w:sz w:val="12"/>
        </w:rPr>
        <w:t>implicit</w:t>
      </w:r>
      <w:r>
        <w:rPr>
          <w:spacing w:val="-7"/>
          <w:sz w:val="12"/>
        </w:rPr>
        <w:t> </w:t>
      </w:r>
      <w:r>
        <w:rPr>
          <w:sz w:val="12"/>
        </w:rPr>
        <w:t>in valuations on 1 November</w:t>
      </w:r>
      <w:r>
        <w:rPr>
          <w:spacing w:val="-6"/>
          <w:sz w:val="12"/>
        </w:rPr>
        <w:t> </w:t>
      </w:r>
      <w:r>
        <w:rPr>
          <w:sz w:val="12"/>
        </w:rPr>
        <w:t>1999.</w:t>
      </w:r>
    </w:p>
    <w:p>
      <w:pPr>
        <w:pStyle w:val="BodyText"/>
        <w:spacing w:line="242" w:lineRule="auto" w:before="7"/>
        <w:ind w:left="211" w:right="270"/>
      </w:pPr>
      <w:r>
        <w:rPr/>
        <w:br w:type="column"/>
      </w:r>
      <w:r>
        <w:rPr/>
        <w:t>September (see Chart 1.16). The value of equity can be thought of as the discounted stream of dividend payments derived from that equity. The discount rates applied to expected future dividends will be affected by expected risk-free real rates of interest. Estimates of</w:t>
      </w:r>
    </w:p>
    <w:p>
      <w:pPr>
        <w:pStyle w:val="BodyText"/>
        <w:spacing w:before="2"/>
        <w:rPr>
          <w:sz w:val="11"/>
        </w:rPr>
      </w:pPr>
    </w:p>
    <w:p>
      <w:pPr>
        <w:pStyle w:val="BodyText"/>
        <w:spacing w:line="20" w:lineRule="exact"/>
        <w:ind w:left="178"/>
        <w:rPr>
          <w:sz w:val="2"/>
        </w:rPr>
      </w:pPr>
      <w:r>
        <w:rPr>
          <w:sz w:val="2"/>
        </w:rPr>
        <w:pict>
          <v:group style="width:276.55pt;height:.15pt;mso-position-horizontal-relative:char;mso-position-vertical-relative:line" coordorigin="0,0" coordsize="5531,3">
            <v:line style="position:absolute" from="0,1" to="5531,1" stroked="true" strokeweight=".125pt" strokecolor="#000000">
              <v:stroke dashstyle="solid"/>
            </v:line>
          </v:group>
        </w:pict>
      </w:r>
      <w:r>
        <w:rPr>
          <w:sz w:val="2"/>
        </w:rPr>
      </w:r>
    </w:p>
    <w:p>
      <w:pPr>
        <w:pStyle w:val="ListParagraph"/>
        <w:numPr>
          <w:ilvl w:val="1"/>
          <w:numId w:val="12"/>
        </w:numPr>
        <w:tabs>
          <w:tab w:pos="426" w:val="left" w:leader="none"/>
        </w:tabs>
        <w:spacing w:line="208" w:lineRule="auto" w:before="25" w:after="0"/>
        <w:ind w:left="425" w:right="1235" w:hanging="240"/>
        <w:jc w:val="left"/>
        <w:rPr>
          <w:sz w:val="16"/>
        </w:rPr>
      </w:pPr>
      <w:hyperlink w:history="true" w:anchor="_bookmark22">
        <w:r>
          <w:rPr>
            <w:color w:val="FF0000"/>
            <w:sz w:val="16"/>
          </w:rPr>
          <w:t>Measures</w:t>
        </w:r>
        <w:r>
          <w:rPr>
            <w:color w:val="FF0000"/>
            <w:spacing w:val="-6"/>
            <w:sz w:val="16"/>
          </w:rPr>
          <w:t> </w:t>
        </w:r>
        <w:r>
          <w:rPr>
            <w:color w:val="FF0000"/>
            <w:sz w:val="16"/>
          </w:rPr>
          <w:t>of</w:t>
        </w:r>
        <w:r>
          <w:rPr>
            <w:color w:val="FF0000"/>
            <w:spacing w:val="-6"/>
            <w:sz w:val="16"/>
          </w:rPr>
          <w:t> </w:t>
        </w:r>
        <w:r>
          <w:rPr>
            <w:color w:val="FF0000"/>
            <w:sz w:val="16"/>
          </w:rPr>
          <w:t>inflation</w:t>
        </w:r>
        <w:r>
          <w:rPr>
            <w:color w:val="FF0000"/>
            <w:spacing w:val="-5"/>
            <w:sz w:val="16"/>
          </w:rPr>
          <w:t> </w:t>
        </w:r>
        <w:r>
          <w:rPr>
            <w:color w:val="FF0000"/>
            <w:sz w:val="16"/>
          </w:rPr>
          <w:t>expectations</w:t>
        </w:r>
        <w:r>
          <w:rPr>
            <w:color w:val="FF0000"/>
            <w:spacing w:val="-6"/>
            <w:sz w:val="16"/>
          </w:rPr>
          <w:t> </w:t>
        </w:r>
        <w:r>
          <w:rPr>
            <w:color w:val="FF0000"/>
            <w:sz w:val="16"/>
          </w:rPr>
          <w:t>are</w:t>
        </w:r>
        <w:r>
          <w:rPr>
            <w:color w:val="FF0000"/>
            <w:spacing w:val="-5"/>
            <w:sz w:val="16"/>
          </w:rPr>
          <w:t> </w:t>
        </w:r>
        <w:r>
          <w:rPr>
            <w:color w:val="FF0000"/>
            <w:sz w:val="16"/>
          </w:rPr>
          <w:t>discussed</w:t>
        </w:r>
        <w:r>
          <w:rPr>
            <w:color w:val="FF0000"/>
            <w:spacing w:val="-6"/>
            <w:sz w:val="16"/>
          </w:rPr>
          <w:t> </w:t>
        </w:r>
        <w:r>
          <w:rPr>
            <w:color w:val="FF0000"/>
            <w:sz w:val="16"/>
          </w:rPr>
          <w:t>in</w:t>
        </w:r>
        <w:r>
          <w:rPr>
            <w:color w:val="FF0000"/>
            <w:spacing w:val="-6"/>
            <w:sz w:val="16"/>
          </w:rPr>
          <w:t> </w:t>
        </w:r>
        <w:r>
          <w:rPr>
            <w:color w:val="FF0000"/>
            <w:sz w:val="16"/>
          </w:rPr>
          <w:t>Section</w:t>
        </w:r>
        <w:r>
          <w:rPr>
            <w:color w:val="FF0000"/>
            <w:spacing w:val="-6"/>
            <w:sz w:val="16"/>
          </w:rPr>
          <w:t> </w:t>
        </w:r>
        <w:r>
          <w:rPr>
            <w:color w:val="FF0000"/>
            <w:sz w:val="16"/>
          </w:rPr>
          <w:t>3,</w:t>
        </w:r>
        <w:r>
          <w:rPr>
            <w:color w:val="FF0000"/>
            <w:spacing w:val="-4"/>
            <w:sz w:val="16"/>
          </w:rPr>
          <w:t> </w:t>
        </w:r>
        <w:r>
          <w:rPr>
            <w:color w:val="FF0000"/>
            <w:sz w:val="16"/>
          </w:rPr>
          <w:t>see </w:t>
        </w:r>
        <w:r>
          <w:rPr>
            <w:color w:val="FF0000"/>
            <w:spacing w:val="-4"/>
            <w:sz w:val="16"/>
          </w:rPr>
          <w:t>Table</w:t>
        </w:r>
        <w:r>
          <w:rPr>
            <w:color w:val="FF0000"/>
            <w:spacing w:val="-1"/>
            <w:sz w:val="16"/>
          </w:rPr>
          <w:t> </w:t>
        </w:r>
        <w:r>
          <w:rPr>
            <w:color w:val="FF0000"/>
            <w:sz w:val="16"/>
          </w:rPr>
          <w:t>3.D</w:t>
        </w:r>
        <w:r>
          <w:rPr>
            <w:sz w:val="16"/>
          </w:rPr>
          <w:t>.</w:t>
        </w:r>
      </w:hyperlink>
    </w:p>
    <w:p>
      <w:pPr>
        <w:spacing w:after="0" w:line="208" w:lineRule="auto"/>
        <w:jc w:val="left"/>
        <w:rPr>
          <w:sz w:val="16"/>
        </w:rPr>
        <w:sectPr>
          <w:type w:val="continuous"/>
          <w:pgSz w:w="11900" w:h="16840"/>
          <w:pgMar w:top="1260" w:bottom="280" w:left="640" w:right="640"/>
          <w:cols w:num="2" w:equalWidth="0">
            <w:col w:w="3622" w:space="1152"/>
            <w:col w:w="5846"/>
          </w:cols>
        </w:sectPr>
      </w:pPr>
    </w:p>
    <w:p>
      <w:pPr>
        <w:pStyle w:val="BodyText"/>
        <w:rPr>
          <w:sz w:val="20"/>
        </w:rPr>
      </w:pPr>
    </w:p>
    <w:p>
      <w:pPr>
        <w:spacing w:after="0"/>
        <w:rPr>
          <w:sz w:val="20"/>
        </w:rPr>
        <w:sectPr>
          <w:pgSz w:w="11900" w:h="16840"/>
          <w:pgMar w:header="586" w:footer="592" w:top="780" w:bottom="780" w:left="640" w:right="640"/>
        </w:sectPr>
      </w:pPr>
    </w:p>
    <w:p>
      <w:pPr>
        <w:pStyle w:val="BodyText"/>
        <w:rPr>
          <w:sz w:val="22"/>
        </w:rPr>
      </w:pPr>
    </w:p>
    <w:p>
      <w:pPr>
        <w:pStyle w:val="BodyText"/>
        <w:rPr>
          <w:sz w:val="22"/>
        </w:rPr>
      </w:pPr>
    </w:p>
    <w:p>
      <w:pPr>
        <w:pStyle w:val="BodyText"/>
        <w:spacing w:before="6"/>
        <w:rPr>
          <w:sz w:val="20"/>
        </w:rPr>
      </w:pPr>
    </w:p>
    <w:p>
      <w:pPr>
        <w:spacing w:before="1"/>
        <w:ind w:left="180" w:right="0" w:firstLine="0"/>
        <w:jc w:val="left"/>
        <w:rPr>
          <w:b/>
          <w:sz w:val="20"/>
        </w:rPr>
      </w:pPr>
      <w:bookmarkStart w:name="Property prices" w:id="21"/>
      <w:bookmarkEnd w:id="21"/>
      <w:r>
        <w:rPr/>
      </w:r>
      <w:bookmarkStart w:name="_bookmark7" w:id="22"/>
      <w:bookmarkEnd w:id="22"/>
      <w:r>
        <w:rPr/>
      </w:r>
      <w:r>
        <w:rPr>
          <w:b/>
          <w:color w:val="0092C7"/>
          <w:sz w:val="20"/>
        </w:rPr>
        <w:t>Chart 1.17</w:t>
      </w:r>
    </w:p>
    <w:p>
      <w:pPr>
        <w:spacing w:line="249" w:lineRule="auto" w:before="10"/>
        <w:ind w:left="180" w:right="506" w:firstLine="0"/>
        <w:jc w:val="left"/>
        <w:rPr>
          <w:sz w:val="12"/>
        </w:rPr>
      </w:pPr>
      <w:r>
        <w:rPr>
          <w:b/>
          <w:color w:val="0092C7"/>
          <w:sz w:val="20"/>
        </w:rPr>
        <w:t>Downside risk for the FTSE 100</w:t>
      </w:r>
      <w:r>
        <w:rPr>
          <w:b/>
          <w:color w:val="0092C7"/>
          <w:spacing w:val="-31"/>
          <w:sz w:val="20"/>
        </w:rPr>
        <w:t> </w:t>
      </w:r>
      <w:r>
        <w:rPr>
          <w:b/>
          <w:color w:val="0092C7"/>
          <w:sz w:val="20"/>
        </w:rPr>
        <w:t>and S&amp;P</w:t>
      </w:r>
      <w:r>
        <w:rPr>
          <w:b/>
          <w:color w:val="0092C7"/>
          <w:spacing w:val="-2"/>
          <w:sz w:val="20"/>
        </w:rPr>
        <w:t> </w:t>
      </w:r>
      <w:r>
        <w:rPr>
          <w:b/>
          <w:color w:val="0092C7"/>
          <w:sz w:val="20"/>
        </w:rPr>
        <w:t>500</w:t>
      </w:r>
      <w:r>
        <w:rPr>
          <w:position w:val="4"/>
          <w:sz w:val="12"/>
        </w:rPr>
        <w:t>(a)</w:t>
      </w:r>
    </w:p>
    <w:p>
      <w:pPr>
        <w:spacing w:line="113" w:lineRule="exact" w:before="76"/>
        <w:ind w:left="2259" w:right="0" w:firstLine="0"/>
        <w:jc w:val="left"/>
        <w:rPr>
          <w:sz w:val="12"/>
        </w:rPr>
      </w:pPr>
      <w:r>
        <w:rPr>
          <w:sz w:val="12"/>
        </w:rPr>
        <w:t>Probability (per cent)</w:t>
      </w:r>
    </w:p>
    <w:p>
      <w:pPr>
        <w:spacing w:line="113" w:lineRule="exact" w:before="0"/>
        <w:ind w:left="3316" w:right="0" w:firstLine="0"/>
        <w:jc w:val="left"/>
        <w:rPr>
          <w:sz w:val="12"/>
        </w:rPr>
      </w:pPr>
      <w:r>
        <w:rPr/>
        <w:pict>
          <v:group style="position:absolute;margin-left:40.277pt;margin-top:10.293529pt;width:148.1pt;height:137.450pt;mso-position-horizontal-relative:page;mso-position-vertical-relative:paragraph;z-index:15805952" coordorigin="806,206" coordsize="2962,2749">
            <v:shape style="position:absolute;left:805;top:384;width:2962;height:2571" type="#_x0000_t75" stroked="false">
              <v:imagedata r:id="rId56" o:title=""/>
            </v:shape>
            <v:shape style="position:absolute;left:805;top:205;width:2962;height:2749" type="#_x0000_t202" filled="false" stroked="false">
              <v:textbox inset="0,0,0,0">
                <w:txbxContent>
                  <w:p>
                    <w:pPr>
                      <w:spacing w:line="208" w:lineRule="auto" w:before="9"/>
                      <w:ind w:left="1474" w:right="41" w:hanging="60"/>
                      <w:jc w:val="left"/>
                      <w:rPr>
                        <w:sz w:val="12"/>
                      </w:rPr>
                    </w:pPr>
                    <w:r>
                      <w:rPr>
                        <w:sz w:val="12"/>
                      </w:rPr>
                      <w:t>Probability of a 20% fall in the FTSE 100 in the</w:t>
                    </w:r>
                  </w:p>
                  <w:p>
                    <w:pPr>
                      <w:spacing w:line="123" w:lineRule="exact" w:before="0"/>
                      <w:ind w:left="1474" w:right="0" w:firstLine="0"/>
                      <w:jc w:val="left"/>
                      <w:rPr>
                        <w:sz w:val="12"/>
                      </w:rPr>
                    </w:pPr>
                    <w:r>
                      <w:rPr>
                        <w:sz w:val="12"/>
                      </w:rPr>
                      <w:t>next three months</w:t>
                    </w:r>
                  </w:p>
                  <w:p>
                    <w:pPr>
                      <w:spacing w:line="240" w:lineRule="auto" w:before="0"/>
                      <w:rPr>
                        <w:sz w:val="12"/>
                      </w:rPr>
                    </w:pPr>
                  </w:p>
                  <w:p>
                    <w:pPr>
                      <w:spacing w:line="240" w:lineRule="auto" w:before="1"/>
                      <w:rPr>
                        <w:sz w:val="12"/>
                      </w:rPr>
                    </w:pPr>
                  </w:p>
                  <w:p>
                    <w:pPr>
                      <w:spacing w:line="208" w:lineRule="auto" w:before="0"/>
                      <w:ind w:left="1791" w:right="214" w:hanging="60"/>
                      <w:jc w:val="left"/>
                      <w:rPr>
                        <w:sz w:val="12"/>
                      </w:rPr>
                    </w:pPr>
                    <w:r>
                      <w:rPr>
                        <w:sz w:val="12"/>
                      </w:rPr>
                      <w:t>Probability of a 20% fall in the S&amp;P 500</w:t>
                    </w:r>
                  </w:p>
                  <w:p>
                    <w:pPr>
                      <w:spacing w:line="123" w:lineRule="exact" w:before="0"/>
                      <w:ind w:left="1791" w:right="0" w:firstLine="0"/>
                      <w:jc w:val="left"/>
                      <w:rPr>
                        <w:sz w:val="12"/>
                      </w:rPr>
                    </w:pPr>
                    <w:r>
                      <w:rPr>
                        <w:sz w:val="12"/>
                      </w:rPr>
                      <w:t>in the next three months</w:t>
                    </w:r>
                  </w:p>
                </w:txbxContent>
              </v:textbox>
              <w10:wrap type="none"/>
            </v:shape>
            <w10:wrap type="none"/>
          </v:group>
        </w:pict>
      </w:r>
      <w:r>
        <w:rPr/>
        <w:drawing>
          <wp:anchor distT="0" distB="0" distL="0" distR="0" allowOverlap="1" layoutInCell="1" locked="0" behindDoc="0" simplePos="0" relativeHeight="15806464">
            <wp:simplePos x="0" y="0"/>
            <wp:positionH relativeFrom="page">
              <wp:posOffset>511517</wp:posOffset>
            </wp:positionH>
            <wp:positionV relativeFrom="paragraph">
              <wp:posOffset>30442</wp:posOffset>
            </wp:positionV>
            <wp:extent cx="55029" cy="6350"/>
            <wp:effectExtent l="0" t="0" r="0" b="0"/>
            <wp:wrapNone/>
            <wp:docPr id="59" name="image24.png"/>
            <wp:cNvGraphicFramePr>
              <a:graphicFrameLocks noChangeAspect="1"/>
            </wp:cNvGraphicFramePr>
            <a:graphic>
              <a:graphicData uri="http://schemas.openxmlformats.org/drawingml/2006/picture">
                <pic:pic>
                  <pic:nvPicPr>
                    <pic:cNvPr id="60" name="image24.png"/>
                    <pic:cNvPicPr/>
                  </pic:nvPicPr>
                  <pic:blipFill>
                    <a:blip r:embed="rId53"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09536">
            <wp:simplePos x="0" y="0"/>
            <wp:positionH relativeFrom="page">
              <wp:posOffset>2438196</wp:posOffset>
            </wp:positionH>
            <wp:positionV relativeFrom="paragraph">
              <wp:posOffset>30950</wp:posOffset>
            </wp:positionV>
            <wp:extent cx="55016" cy="6350"/>
            <wp:effectExtent l="0" t="0" r="0" b="0"/>
            <wp:wrapNone/>
            <wp:docPr id="61" name="image24.png"/>
            <wp:cNvGraphicFramePr>
              <a:graphicFrameLocks noChangeAspect="1"/>
            </wp:cNvGraphicFramePr>
            <a:graphic>
              <a:graphicData uri="http://schemas.openxmlformats.org/drawingml/2006/picture">
                <pic:pic>
                  <pic:nvPicPr>
                    <pic:cNvPr id="62" name="image24.png"/>
                    <pic:cNvPicPr/>
                  </pic:nvPicPr>
                  <pic:blipFill>
                    <a:blip r:embed="rId53" cstate="print"/>
                    <a:stretch>
                      <a:fillRect/>
                    </a:stretch>
                  </pic:blipFill>
                  <pic:spPr>
                    <a:xfrm>
                      <a:off x="0" y="0"/>
                      <a:ext cx="55016" cy="6350"/>
                    </a:xfrm>
                    <a:prstGeom prst="rect">
                      <a:avLst/>
                    </a:prstGeom>
                  </pic:spPr>
                </pic:pic>
              </a:graphicData>
            </a:graphic>
          </wp:anchor>
        </w:drawing>
      </w:r>
      <w:r>
        <w:rPr>
          <w:sz w:val="12"/>
        </w:rPr>
        <w:t>25</w:t>
      </w:r>
    </w:p>
    <w:p>
      <w:pPr>
        <w:pStyle w:val="BodyText"/>
        <w:rPr>
          <w:sz w:val="12"/>
        </w:rPr>
      </w:pPr>
    </w:p>
    <w:p>
      <w:pPr>
        <w:pStyle w:val="BodyText"/>
        <w:rPr>
          <w:sz w:val="12"/>
        </w:rPr>
      </w:pPr>
    </w:p>
    <w:p>
      <w:pPr>
        <w:pStyle w:val="BodyText"/>
        <w:spacing w:before="4"/>
        <w:rPr>
          <w:sz w:val="13"/>
        </w:rPr>
      </w:pPr>
    </w:p>
    <w:p>
      <w:pPr>
        <w:spacing w:before="1"/>
        <w:ind w:left="3316" w:right="0" w:firstLine="0"/>
        <w:jc w:val="left"/>
        <w:rPr>
          <w:sz w:val="12"/>
        </w:rPr>
      </w:pPr>
      <w:r>
        <w:rPr/>
        <w:drawing>
          <wp:anchor distT="0" distB="0" distL="0" distR="0" allowOverlap="1" layoutInCell="1" locked="0" behindDoc="0" simplePos="0" relativeHeight="15806976">
            <wp:simplePos x="0" y="0"/>
            <wp:positionH relativeFrom="page">
              <wp:posOffset>2438196</wp:posOffset>
            </wp:positionH>
            <wp:positionV relativeFrom="paragraph">
              <wp:posOffset>47139</wp:posOffset>
            </wp:positionV>
            <wp:extent cx="55016" cy="6350"/>
            <wp:effectExtent l="0" t="0" r="0" b="0"/>
            <wp:wrapNone/>
            <wp:docPr id="63" name="image24.png"/>
            <wp:cNvGraphicFramePr>
              <a:graphicFrameLocks noChangeAspect="1"/>
            </wp:cNvGraphicFramePr>
            <a:graphic>
              <a:graphicData uri="http://schemas.openxmlformats.org/drawingml/2006/picture">
                <pic:pic>
                  <pic:nvPicPr>
                    <pic:cNvPr id="64" name="image24.png"/>
                    <pic:cNvPicPr/>
                  </pic:nvPicPr>
                  <pic:blipFill>
                    <a:blip r:embed="rId53" cstate="print"/>
                    <a:stretch>
                      <a:fillRect/>
                    </a:stretch>
                  </pic:blipFill>
                  <pic:spPr>
                    <a:xfrm>
                      <a:off x="0" y="0"/>
                      <a:ext cx="55016" cy="6350"/>
                    </a:xfrm>
                    <a:prstGeom prst="rect">
                      <a:avLst/>
                    </a:prstGeom>
                  </pic:spPr>
                </pic:pic>
              </a:graphicData>
            </a:graphic>
          </wp:anchor>
        </w:drawing>
      </w:r>
      <w:r>
        <w:rPr>
          <w:sz w:val="12"/>
        </w:rPr>
        <w:t>20</w:t>
      </w:r>
    </w:p>
    <w:p>
      <w:pPr>
        <w:pStyle w:val="BodyText"/>
        <w:rPr>
          <w:sz w:val="12"/>
        </w:rPr>
      </w:pPr>
    </w:p>
    <w:p>
      <w:pPr>
        <w:pStyle w:val="BodyText"/>
        <w:rPr>
          <w:sz w:val="12"/>
        </w:rPr>
      </w:pPr>
    </w:p>
    <w:p>
      <w:pPr>
        <w:pStyle w:val="BodyText"/>
        <w:spacing w:before="4"/>
        <w:rPr>
          <w:sz w:val="13"/>
        </w:rPr>
      </w:pPr>
    </w:p>
    <w:p>
      <w:pPr>
        <w:spacing w:before="0"/>
        <w:ind w:left="3316" w:right="0" w:firstLine="0"/>
        <w:jc w:val="left"/>
        <w:rPr>
          <w:sz w:val="12"/>
        </w:rPr>
      </w:pPr>
      <w:r>
        <w:rPr/>
        <w:drawing>
          <wp:anchor distT="0" distB="0" distL="0" distR="0" allowOverlap="1" layoutInCell="1" locked="0" behindDoc="0" simplePos="0" relativeHeight="15807488">
            <wp:simplePos x="0" y="0"/>
            <wp:positionH relativeFrom="page">
              <wp:posOffset>2438196</wp:posOffset>
            </wp:positionH>
            <wp:positionV relativeFrom="paragraph">
              <wp:posOffset>46494</wp:posOffset>
            </wp:positionV>
            <wp:extent cx="55016" cy="6350"/>
            <wp:effectExtent l="0" t="0" r="0" b="0"/>
            <wp:wrapNone/>
            <wp:docPr id="65" name="image13.png"/>
            <wp:cNvGraphicFramePr>
              <a:graphicFrameLocks noChangeAspect="1"/>
            </wp:cNvGraphicFramePr>
            <a:graphic>
              <a:graphicData uri="http://schemas.openxmlformats.org/drawingml/2006/picture">
                <pic:pic>
                  <pic:nvPicPr>
                    <pic:cNvPr id="66" name="image13.png"/>
                    <pic:cNvPicPr/>
                  </pic:nvPicPr>
                  <pic:blipFill>
                    <a:blip r:embed="rId38" cstate="print"/>
                    <a:stretch>
                      <a:fillRect/>
                    </a:stretch>
                  </pic:blipFill>
                  <pic:spPr>
                    <a:xfrm>
                      <a:off x="0" y="0"/>
                      <a:ext cx="55016" cy="6350"/>
                    </a:xfrm>
                    <a:prstGeom prst="rect">
                      <a:avLst/>
                    </a:prstGeom>
                  </pic:spPr>
                </pic:pic>
              </a:graphicData>
            </a:graphic>
          </wp:anchor>
        </w:drawing>
      </w:r>
      <w:r>
        <w:rPr>
          <w:sz w:val="12"/>
        </w:rPr>
        <w:t>15</w:t>
      </w:r>
    </w:p>
    <w:p>
      <w:pPr>
        <w:pStyle w:val="BodyText"/>
        <w:rPr>
          <w:sz w:val="12"/>
        </w:rPr>
      </w:pPr>
    </w:p>
    <w:p>
      <w:pPr>
        <w:pStyle w:val="BodyText"/>
        <w:rPr>
          <w:sz w:val="12"/>
        </w:rPr>
      </w:pPr>
    </w:p>
    <w:p>
      <w:pPr>
        <w:pStyle w:val="BodyText"/>
        <w:spacing w:before="5"/>
        <w:rPr>
          <w:sz w:val="13"/>
        </w:rPr>
      </w:pPr>
    </w:p>
    <w:p>
      <w:pPr>
        <w:spacing w:before="0"/>
        <w:ind w:left="3316" w:right="0" w:firstLine="0"/>
        <w:jc w:val="left"/>
        <w:rPr>
          <w:sz w:val="12"/>
        </w:rPr>
      </w:pPr>
      <w:r>
        <w:rPr/>
        <w:drawing>
          <wp:anchor distT="0" distB="0" distL="0" distR="0" allowOverlap="1" layoutInCell="1" locked="0" behindDoc="0" simplePos="0" relativeHeight="15808512">
            <wp:simplePos x="0" y="0"/>
            <wp:positionH relativeFrom="page">
              <wp:posOffset>2438196</wp:posOffset>
            </wp:positionH>
            <wp:positionV relativeFrom="paragraph">
              <wp:posOffset>46497</wp:posOffset>
            </wp:positionV>
            <wp:extent cx="55016" cy="6350"/>
            <wp:effectExtent l="0" t="0" r="0" b="0"/>
            <wp:wrapNone/>
            <wp:docPr id="67" name="image24.png"/>
            <wp:cNvGraphicFramePr>
              <a:graphicFrameLocks noChangeAspect="1"/>
            </wp:cNvGraphicFramePr>
            <a:graphic>
              <a:graphicData uri="http://schemas.openxmlformats.org/drawingml/2006/picture">
                <pic:pic>
                  <pic:nvPicPr>
                    <pic:cNvPr id="68" name="image24.png"/>
                    <pic:cNvPicPr/>
                  </pic:nvPicPr>
                  <pic:blipFill>
                    <a:blip r:embed="rId53" cstate="print"/>
                    <a:stretch>
                      <a:fillRect/>
                    </a:stretch>
                  </pic:blipFill>
                  <pic:spPr>
                    <a:xfrm>
                      <a:off x="0" y="0"/>
                      <a:ext cx="55016" cy="6350"/>
                    </a:xfrm>
                    <a:prstGeom prst="rect">
                      <a:avLst/>
                    </a:prstGeom>
                  </pic:spPr>
                </pic:pic>
              </a:graphicData>
            </a:graphic>
          </wp:anchor>
        </w:drawing>
      </w:r>
      <w:r>
        <w:rPr>
          <w:sz w:val="12"/>
        </w:rPr>
        <w:t>10</w:t>
      </w:r>
    </w:p>
    <w:p>
      <w:pPr>
        <w:pStyle w:val="BodyText"/>
        <w:rPr>
          <w:sz w:val="12"/>
        </w:rPr>
      </w:pPr>
    </w:p>
    <w:p>
      <w:pPr>
        <w:pStyle w:val="BodyText"/>
        <w:rPr>
          <w:sz w:val="12"/>
        </w:rPr>
      </w:pPr>
    </w:p>
    <w:p>
      <w:pPr>
        <w:pStyle w:val="BodyText"/>
        <w:spacing w:before="4"/>
        <w:rPr>
          <w:sz w:val="13"/>
        </w:rPr>
      </w:pPr>
    </w:p>
    <w:p>
      <w:pPr>
        <w:spacing w:before="0"/>
        <w:ind w:left="3376" w:right="0" w:firstLine="0"/>
        <w:jc w:val="left"/>
        <w:rPr>
          <w:sz w:val="12"/>
        </w:rPr>
      </w:pPr>
      <w:r>
        <w:rPr/>
        <w:drawing>
          <wp:anchor distT="0" distB="0" distL="0" distR="0" allowOverlap="1" layoutInCell="1" locked="0" behindDoc="0" simplePos="0" relativeHeight="15808000">
            <wp:simplePos x="0" y="0"/>
            <wp:positionH relativeFrom="page">
              <wp:posOffset>2438196</wp:posOffset>
            </wp:positionH>
            <wp:positionV relativeFrom="paragraph">
              <wp:posOffset>46504</wp:posOffset>
            </wp:positionV>
            <wp:extent cx="55016" cy="6350"/>
            <wp:effectExtent l="0" t="0" r="0" b="0"/>
            <wp:wrapNone/>
            <wp:docPr id="69" name="image24.png"/>
            <wp:cNvGraphicFramePr>
              <a:graphicFrameLocks noChangeAspect="1"/>
            </wp:cNvGraphicFramePr>
            <a:graphic>
              <a:graphicData uri="http://schemas.openxmlformats.org/drawingml/2006/picture">
                <pic:pic>
                  <pic:nvPicPr>
                    <pic:cNvPr id="70" name="image24.png"/>
                    <pic:cNvPicPr/>
                  </pic:nvPicPr>
                  <pic:blipFill>
                    <a:blip r:embed="rId53" cstate="print"/>
                    <a:stretch>
                      <a:fillRect/>
                    </a:stretch>
                  </pic:blipFill>
                  <pic:spPr>
                    <a:xfrm>
                      <a:off x="0" y="0"/>
                      <a:ext cx="55016" cy="6350"/>
                    </a:xfrm>
                    <a:prstGeom prst="rect">
                      <a:avLst/>
                    </a:prstGeom>
                  </pic:spPr>
                </pic:pic>
              </a:graphicData>
            </a:graphic>
          </wp:anchor>
        </w:drawing>
      </w:r>
      <w:r>
        <w:rPr>
          <w:sz w:val="12"/>
        </w:rPr>
        <w:t>5</w:t>
      </w:r>
    </w:p>
    <w:p>
      <w:pPr>
        <w:pStyle w:val="BodyText"/>
        <w:rPr>
          <w:sz w:val="12"/>
        </w:rPr>
      </w:pPr>
    </w:p>
    <w:p>
      <w:pPr>
        <w:pStyle w:val="BodyText"/>
        <w:rPr>
          <w:sz w:val="12"/>
        </w:rPr>
      </w:pPr>
    </w:p>
    <w:p>
      <w:pPr>
        <w:pStyle w:val="BodyText"/>
        <w:spacing w:before="5"/>
        <w:rPr>
          <w:sz w:val="13"/>
        </w:rPr>
      </w:pPr>
    </w:p>
    <w:p>
      <w:pPr>
        <w:spacing w:before="0"/>
        <w:ind w:left="3376" w:right="0" w:firstLine="0"/>
        <w:jc w:val="left"/>
        <w:rPr>
          <w:sz w:val="12"/>
        </w:rPr>
      </w:pPr>
      <w:r>
        <w:rPr/>
        <w:drawing>
          <wp:anchor distT="0" distB="0" distL="0" distR="0" allowOverlap="1" layoutInCell="1" locked="0" behindDoc="0" simplePos="0" relativeHeight="15809024">
            <wp:simplePos x="0" y="0"/>
            <wp:positionH relativeFrom="page">
              <wp:posOffset>2438196</wp:posOffset>
            </wp:positionH>
            <wp:positionV relativeFrom="paragraph">
              <wp:posOffset>46514</wp:posOffset>
            </wp:positionV>
            <wp:extent cx="55016" cy="6350"/>
            <wp:effectExtent l="0" t="0" r="0" b="0"/>
            <wp:wrapNone/>
            <wp:docPr id="71" name="image24.png"/>
            <wp:cNvGraphicFramePr>
              <a:graphicFrameLocks noChangeAspect="1"/>
            </wp:cNvGraphicFramePr>
            <a:graphic>
              <a:graphicData uri="http://schemas.openxmlformats.org/drawingml/2006/picture">
                <pic:pic>
                  <pic:nvPicPr>
                    <pic:cNvPr id="72" name="image24.png"/>
                    <pic:cNvPicPr/>
                  </pic:nvPicPr>
                  <pic:blipFill>
                    <a:blip r:embed="rId53" cstate="print"/>
                    <a:stretch>
                      <a:fillRect/>
                    </a:stretch>
                  </pic:blipFill>
                  <pic:spPr>
                    <a:xfrm>
                      <a:off x="0" y="0"/>
                      <a:ext cx="55016" cy="6350"/>
                    </a:xfrm>
                    <a:prstGeom prst="rect">
                      <a:avLst/>
                    </a:prstGeom>
                  </pic:spPr>
                </pic:pic>
              </a:graphicData>
            </a:graphic>
          </wp:anchor>
        </w:drawing>
      </w:r>
      <w:r>
        <w:rPr>
          <w:sz w:val="12"/>
        </w:rPr>
        <w:t>0</w:t>
      </w:r>
    </w:p>
    <w:p>
      <w:pPr>
        <w:tabs>
          <w:tab w:pos="1344" w:val="left" w:leader="none"/>
          <w:tab w:pos="2097" w:val="left" w:leader="none"/>
          <w:tab w:pos="2718" w:val="left" w:leader="none"/>
        </w:tabs>
        <w:spacing w:before="20"/>
        <w:ind w:left="541" w:right="0" w:firstLine="0"/>
        <w:jc w:val="left"/>
        <w:rPr>
          <w:sz w:val="12"/>
        </w:rPr>
      </w:pPr>
      <w:r>
        <w:rPr>
          <w:sz w:val="12"/>
        </w:rPr>
        <w:t>1997</w:t>
        <w:tab/>
        <w:t>98</w:t>
        <w:tab/>
        <w:t>99</w:t>
        <w:tab/>
        <w:t>2000</w:t>
      </w:r>
    </w:p>
    <w:p>
      <w:pPr>
        <w:spacing w:before="80"/>
        <w:ind w:left="180" w:right="0" w:firstLine="0"/>
        <w:jc w:val="left"/>
        <w:rPr>
          <w:sz w:val="12"/>
        </w:rPr>
      </w:pPr>
      <w:r>
        <w:rPr>
          <w:sz w:val="12"/>
        </w:rPr>
        <w:t>Sources: LIFFE and Bank of England.</w:t>
      </w:r>
    </w:p>
    <w:p>
      <w:pPr>
        <w:pStyle w:val="BodyText"/>
        <w:spacing w:before="1"/>
        <w:rPr>
          <w:sz w:val="10"/>
        </w:rPr>
      </w:pPr>
    </w:p>
    <w:p>
      <w:pPr>
        <w:pStyle w:val="ListParagraph"/>
        <w:numPr>
          <w:ilvl w:val="2"/>
          <w:numId w:val="12"/>
        </w:numPr>
        <w:tabs>
          <w:tab w:pos="421" w:val="left" w:leader="none"/>
        </w:tabs>
        <w:spacing w:line="208" w:lineRule="auto" w:before="0" w:after="0"/>
        <w:ind w:left="420" w:right="527" w:hanging="240"/>
        <w:jc w:val="left"/>
        <w:rPr>
          <w:sz w:val="12"/>
        </w:rPr>
      </w:pPr>
      <w:r>
        <w:rPr>
          <w:sz w:val="12"/>
        </w:rPr>
        <w:t>These probabilities are equal to the areas under the lower tails of probability</w:t>
      </w:r>
      <w:r>
        <w:rPr>
          <w:spacing w:val="-8"/>
          <w:sz w:val="12"/>
        </w:rPr>
        <w:t> </w:t>
      </w:r>
      <w:r>
        <w:rPr>
          <w:sz w:val="12"/>
        </w:rPr>
        <w:t>distribution</w:t>
      </w:r>
      <w:r>
        <w:rPr>
          <w:spacing w:val="-7"/>
          <w:sz w:val="12"/>
        </w:rPr>
        <w:t> </w:t>
      </w:r>
      <w:r>
        <w:rPr>
          <w:sz w:val="12"/>
        </w:rPr>
        <w:t>functions</w:t>
      </w:r>
      <w:r>
        <w:rPr>
          <w:spacing w:val="-7"/>
          <w:sz w:val="12"/>
        </w:rPr>
        <w:t> </w:t>
      </w:r>
      <w:r>
        <w:rPr>
          <w:sz w:val="12"/>
        </w:rPr>
        <w:t>(PDFs)</w:t>
      </w:r>
      <w:r>
        <w:rPr>
          <w:spacing w:val="-8"/>
          <w:sz w:val="12"/>
        </w:rPr>
        <w:t> </w:t>
      </w:r>
      <w:r>
        <w:rPr>
          <w:sz w:val="12"/>
        </w:rPr>
        <w:t>derived</w:t>
      </w:r>
      <w:r>
        <w:rPr>
          <w:spacing w:val="-7"/>
          <w:sz w:val="12"/>
        </w:rPr>
        <w:t> </w:t>
      </w:r>
      <w:r>
        <w:rPr>
          <w:sz w:val="12"/>
        </w:rPr>
        <w:t>from</w:t>
      </w:r>
      <w:r>
        <w:rPr>
          <w:spacing w:val="-7"/>
          <w:sz w:val="12"/>
        </w:rPr>
        <w:t> </w:t>
      </w:r>
      <w:r>
        <w:rPr>
          <w:sz w:val="12"/>
        </w:rPr>
        <w:t>options</w:t>
      </w:r>
      <w:r>
        <w:rPr>
          <w:spacing w:val="-8"/>
          <w:sz w:val="12"/>
        </w:rPr>
        <w:t> </w:t>
      </w:r>
      <w:r>
        <w:rPr>
          <w:sz w:val="12"/>
        </w:rPr>
        <w:t>on equity indices. The method for deriving PDFs</w:t>
      </w:r>
      <w:r>
        <w:rPr>
          <w:spacing w:val="7"/>
          <w:sz w:val="12"/>
        </w:rPr>
        <w:t> </w:t>
      </w:r>
      <w:r>
        <w:rPr>
          <w:sz w:val="12"/>
        </w:rPr>
        <w:t>produces</w:t>
      </w:r>
    </w:p>
    <w:p>
      <w:pPr>
        <w:spacing w:line="208" w:lineRule="auto" w:before="0"/>
        <w:ind w:left="420" w:right="506" w:firstLine="0"/>
        <w:jc w:val="left"/>
        <w:rPr>
          <w:sz w:val="12"/>
        </w:rPr>
      </w:pPr>
      <w:r>
        <w:rPr>
          <w:sz w:val="12"/>
        </w:rPr>
        <w:t>risk-neutral probabilities. To the extent that agents are risk averse this measure may overstate the market’s assessment of the likelihood of a decline in equity prices. But the extent of this difference over a three-month period is unlikely to be large.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2"/>
        <w:ind w:left="180" w:right="0" w:firstLine="0"/>
        <w:jc w:val="left"/>
        <w:rPr>
          <w:b/>
          <w:sz w:val="20"/>
        </w:rPr>
      </w:pPr>
      <w:r>
        <w:rPr>
          <w:b/>
          <w:color w:val="0092C7"/>
          <w:sz w:val="20"/>
        </w:rPr>
        <w:t>Chart 1.18</w:t>
      </w:r>
    </w:p>
    <w:p>
      <w:pPr>
        <w:spacing w:line="249" w:lineRule="auto" w:before="10"/>
        <w:ind w:left="180" w:right="3" w:firstLine="0"/>
        <w:jc w:val="left"/>
        <w:rPr>
          <w:sz w:val="12"/>
        </w:rPr>
      </w:pPr>
      <w:r>
        <w:rPr>
          <w:b/>
          <w:color w:val="0092C7"/>
          <w:sz w:val="20"/>
        </w:rPr>
        <w:t>UK fund managers’ outlook on UK corporate profitability</w:t>
      </w:r>
      <w:r>
        <w:rPr>
          <w:position w:val="4"/>
          <w:sz w:val="12"/>
        </w:rPr>
        <w:t>(a)</w:t>
      </w:r>
    </w:p>
    <w:p>
      <w:pPr>
        <w:spacing w:line="119" w:lineRule="exact" w:before="71"/>
        <w:ind w:left="2434" w:right="0" w:firstLine="0"/>
        <w:jc w:val="left"/>
        <w:rPr>
          <w:sz w:val="12"/>
        </w:rPr>
      </w:pPr>
      <w:r>
        <w:rPr>
          <w:sz w:val="12"/>
        </w:rPr>
        <w:t>Percentage balance</w:t>
      </w:r>
    </w:p>
    <w:p>
      <w:pPr>
        <w:spacing w:line="119" w:lineRule="exact" w:before="0"/>
        <w:ind w:left="3390" w:right="0" w:firstLine="0"/>
        <w:jc w:val="left"/>
        <w:rPr>
          <w:sz w:val="12"/>
        </w:rPr>
      </w:pPr>
      <w:r>
        <w:rPr/>
        <w:drawing>
          <wp:anchor distT="0" distB="0" distL="0" distR="0" allowOverlap="1" layoutInCell="1" locked="0" behindDoc="0" simplePos="0" relativeHeight="15804416">
            <wp:simplePos x="0" y="0"/>
            <wp:positionH relativeFrom="page">
              <wp:posOffset>518515</wp:posOffset>
            </wp:positionH>
            <wp:positionV relativeFrom="paragraph">
              <wp:posOffset>35427</wp:posOffset>
            </wp:positionV>
            <wp:extent cx="55029" cy="6350"/>
            <wp:effectExtent l="0" t="0" r="0" b="0"/>
            <wp:wrapNone/>
            <wp:docPr id="73" name="image14.png"/>
            <wp:cNvGraphicFramePr>
              <a:graphicFrameLocks noChangeAspect="1"/>
            </wp:cNvGraphicFramePr>
            <a:graphic>
              <a:graphicData uri="http://schemas.openxmlformats.org/drawingml/2006/picture">
                <pic:pic>
                  <pic:nvPicPr>
                    <pic:cNvPr id="74" name="image14.png"/>
                    <pic:cNvPicPr/>
                  </pic:nvPicPr>
                  <pic:blipFill>
                    <a:blip r:embed="rId39"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04928">
            <wp:simplePos x="0" y="0"/>
            <wp:positionH relativeFrom="page">
              <wp:posOffset>2483142</wp:posOffset>
            </wp:positionH>
            <wp:positionV relativeFrom="paragraph">
              <wp:posOffset>32328</wp:posOffset>
            </wp:positionV>
            <wp:extent cx="55016" cy="6350"/>
            <wp:effectExtent l="0" t="0" r="0" b="0"/>
            <wp:wrapNone/>
            <wp:docPr id="75" name="image24.png"/>
            <wp:cNvGraphicFramePr>
              <a:graphicFrameLocks noChangeAspect="1"/>
            </wp:cNvGraphicFramePr>
            <a:graphic>
              <a:graphicData uri="http://schemas.openxmlformats.org/drawingml/2006/picture">
                <pic:pic>
                  <pic:nvPicPr>
                    <pic:cNvPr id="76" name="image24.png"/>
                    <pic:cNvPicPr/>
                  </pic:nvPicPr>
                  <pic:blipFill>
                    <a:blip r:embed="rId53" cstate="print"/>
                    <a:stretch>
                      <a:fillRect/>
                    </a:stretch>
                  </pic:blipFill>
                  <pic:spPr>
                    <a:xfrm>
                      <a:off x="0" y="0"/>
                      <a:ext cx="55016" cy="6350"/>
                    </a:xfrm>
                    <a:prstGeom prst="rect">
                      <a:avLst/>
                    </a:prstGeom>
                  </pic:spPr>
                </pic:pic>
              </a:graphicData>
            </a:graphic>
          </wp:anchor>
        </w:drawing>
      </w:r>
      <w:r>
        <w:rPr>
          <w:sz w:val="12"/>
        </w:rPr>
        <w:t>100</w:t>
      </w:r>
    </w:p>
    <w:p>
      <w:pPr>
        <w:pStyle w:val="BodyText"/>
        <w:rPr>
          <w:sz w:val="12"/>
        </w:rPr>
      </w:pPr>
    </w:p>
    <w:p>
      <w:pPr>
        <w:spacing w:before="84"/>
        <w:ind w:left="0" w:right="519" w:firstLine="0"/>
        <w:jc w:val="right"/>
        <w:rPr>
          <w:sz w:val="12"/>
        </w:rPr>
      </w:pPr>
      <w:r>
        <w:rPr/>
        <w:drawing>
          <wp:anchor distT="0" distB="0" distL="0" distR="0" allowOverlap="1" layoutInCell="1" locked="0" behindDoc="0" simplePos="0" relativeHeight="15803904">
            <wp:simplePos x="0" y="0"/>
            <wp:positionH relativeFrom="page">
              <wp:posOffset>518515</wp:posOffset>
            </wp:positionH>
            <wp:positionV relativeFrom="paragraph">
              <wp:posOffset>-11958</wp:posOffset>
            </wp:positionV>
            <wp:extent cx="2019642" cy="1717675"/>
            <wp:effectExtent l="0" t="0" r="0" b="0"/>
            <wp:wrapNone/>
            <wp:docPr id="77" name="image28.png"/>
            <wp:cNvGraphicFramePr>
              <a:graphicFrameLocks noChangeAspect="1"/>
            </wp:cNvGraphicFramePr>
            <a:graphic>
              <a:graphicData uri="http://schemas.openxmlformats.org/drawingml/2006/picture">
                <pic:pic>
                  <pic:nvPicPr>
                    <pic:cNvPr id="78" name="image28.png"/>
                    <pic:cNvPicPr/>
                  </pic:nvPicPr>
                  <pic:blipFill>
                    <a:blip r:embed="rId57" cstate="print"/>
                    <a:stretch>
                      <a:fillRect/>
                    </a:stretch>
                  </pic:blipFill>
                  <pic:spPr>
                    <a:xfrm>
                      <a:off x="0" y="0"/>
                      <a:ext cx="2019642" cy="1717675"/>
                    </a:xfrm>
                    <a:prstGeom prst="rect">
                      <a:avLst/>
                    </a:prstGeom>
                  </pic:spPr>
                </pic:pic>
              </a:graphicData>
            </a:graphic>
          </wp:anchor>
        </w:drawing>
      </w:r>
      <w:r>
        <w:rPr>
          <w:sz w:val="12"/>
        </w:rPr>
        <w:t>75</w:t>
      </w:r>
    </w:p>
    <w:p>
      <w:pPr>
        <w:pStyle w:val="BodyText"/>
        <w:rPr>
          <w:sz w:val="12"/>
        </w:rPr>
      </w:pPr>
    </w:p>
    <w:p>
      <w:pPr>
        <w:spacing w:before="83"/>
        <w:ind w:left="0" w:right="519" w:firstLine="0"/>
        <w:jc w:val="right"/>
        <w:rPr>
          <w:sz w:val="12"/>
        </w:rPr>
      </w:pPr>
      <w:r>
        <w:rPr>
          <w:sz w:val="12"/>
        </w:rPr>
        <w:t>50</w:t>
      </w:r>
    </w:p>
    <w:p>
      <w:pPr>
        <w:pStyle w:val="BodyText"/>
        <w:rPr>
          <w:sz w:val="12"/>
        </w:rPr>
      </w:pPr>
    </w:p>
    <w:p>
      <w:pPr>
        <w:spacing w:before="84"/>
        <w:ind w:left="0" w:right="519" w:firstLine="0"/>
        <w:jc w:val="right"/>
        <w:rPr>
          <w:sz w:val="12"/>
        </w:rPr>
      </w:pPr>
      <w:r>
        <w:rPr>
          <w:sz w:val="12"/>
        </w:rPr>
        <w:t>25</w:t>
      </w:r>
    </w:p>
    <w:p>
      <w:pPr>
        <w:spacing w:line="179" w:lineRule="exact" w:before="49"/>
        <w:ind w:left="3382" w:right="0" w:firstLine="0"/>
        <w:jc w:val="left"/>
        <w:rPr>
          <w:sz w:val="16"/>
        </w:rPr>
      </w:pPr>
      <w:r>
        <w:rPr>
          <w:sz w:val="16"/>
        </w:rPr>
        <w:t>+</w:t>
      </w:r>
    </w:p>
    <w:p>
      <w:pPr>
        <w:spacing w:line="170" w:lineRule="auto" w:before="23"/>
        <w:ind w:left="3387" w:right="0" w:firstLine="0"/>
        <w:jc w:val="left"/>
        <w:rPr>
          <w:sz w:val="12"/>
        </w:rPr>
      </w:pPr>
      <w:r>
        <w:rPr>
          <w:position w:val="-4"/>
          <w:sz w:val="16"/>
        </w:rPr>
        <w:t>_</w:t>
      </w:r>
      <w:r>
        <w:rPr>
          <w:spacing w:val="2"/>
          <w:position w:val="-4"/>
          <w:sz w:val="16"/>
        </w:rPr>
        <w:t> </w:t>
      </w:r>
      <w:r>
        <w:rPr>
          <w:sz w:val="12"/>
        </w:rPr>
        <w:t>0</w:t>
      </w:r>
    </w:p>
    <w:p>
      <w:pPr>
        <w:pStyle w:val="BodyText"/>
        <w:spacing w:before="3"/>
        <w:rPr>
          <w:sz w:val="16"/>
        </w:rPr>
      </w:pPr>
    </w:p>
    <w:p>
      <w:pPr>
        <w:spacing w:before="1"/>
        <w:ind w:left="0" w:right="519" w:firstLine="0"/>
        <w:jc w:val="right"/>
        <w:rPr>
          <w:sz w:val="12"/>
        </w:rPr>
      </w:pPr>
      <w:r>
        <w:rPr>
          <w:sz w:val="12"/>
        </w:rPr>
        <w:t>25</w:t>
      </w:r>
    </w:p>
    <w:p>
      <w:pPr>
        <w:pStyle w:val="BodyText"/>
        <w:rPr>
          <w:sz w:val="12"/>
        </w:rPr>
      </w:pPr>
    </w:p>
    <w:p>
      <w:pPr>
        <w:spacing w:before="83"/>
        <w:ind w:left="0" w:right="519" w:firstLine="0"/>
        <w:jc w:val="right"/>
        <w:rPr>
          <w:sz w:val="12"/>
        </w:rPr>
      </w:pPr>
      <w:r>
        <w:rPr>
          <w:sz w:val="12"/>
        </w:rPr>
        <w:t>50</w:t>
      </w:r>
    </w:p>
    <w:p>
      <w:pPr>
        <w:pStyle w:val="BodyText"/>
        <w:rPr>
          <w:sz w:val="12"/>
        </w:rPr>
      </w:pPr>
    </w:p>
    <w:p>
      <w:pPr>
        <w:spacing w:before="84"/>
        <w:ind w:left="0" w:right="519" w:firstLine="0"/>
        <w:jc w:val="right"/>
        <w:rPr>
          <w:sz w:val="12"/>
        </w:rPr>
      </w:pPr>
      <w:r>
        <w:rPr>
          <w:sz w:val="12"/>
        </w:rPr>
        <w:t>75</w:t>
      </w:r>
    </w:p>
    <w:p>
      <w:pPr>
        <w:pStyle w:val="BodyText"/>
        <w:spacing w:before="7"/>
        <w:rPr>
          <w:sz w:val="20"/>
        </w:rPr>
      </w:pPr>
      <w:r>
        <w:rPr/>
        <w:br w:type="column"/>
      </w:r>
      <w:r>
        <w:rPr>
          <w:sz w:val="20"/>
        </w:rPr>
      </w:r>
    </w:p>
    <w:p>
      <w:pPr>
        <w:pStyle w:val="BodyText"/>
        <w:spacing w:line="242" w:lineRule="auto"/>
        <w:ind w:left="165" w:right="175"/>
      </w:pPr>
      <w:r>
        <w:rPr/>
        <w:t>these can be obtained from index-linked gilt prices, and investors know the current level of dividends. So a standard equity valuation model can indicate the extent to which movements in share prices reflect changes in these variables, or revised views about a combination of expected growth in real dividends, and the premium investors require for holding shares rather than risk-free assets. Chart 1.16 suggests that relatively little of the decline in share prices in September can be explained by changes in the prevailing level of dividends or expected risk-free real interest rates.</w:t>
      </w:r>
    </w:p>
    <w:p>
      <w:pPr>
        <w:pStyle w:val="BodyText"/>
        <w:spacing w:before="9"/>
        <w:rPr>
          <w:sz w:val="23"/>
        </w:rPr>
      </w:pPr>
    </w:p>
    <w:p>
      <w:pPr>
        <w:pStyle w:val="BodyText"/>
        <w:spacing w:line="242" w:lineRule="auto"/>
        <w:ind w:left="165" w:right="108"/>
      </w:pPr>
      <w:r>
        <w:rPr/>
        <w:t>There is some evidence from options prices that uncertainty about the prospective returns from investing in the stock market has increased since the August </w:t>
      </w:r>
      <w:r>
        <w:rPr>
          <w:i/>
        </w:rPr>
        <w:t>Report</w:t>
      </w:r>
      <w:r>
        <w:rPr/>
        <w:t>, having fallen steadily over the previous six months. Corresponding to that increase in uncertainty, estimates of the probability investors attach to a significant (at least 20%) decline in share prices over the next three months have increased, but from a relatively low level (see Chart 1.17). Investors may increase the discount rate they apply to future dividends when uncertainty increases. According to Ernst &amp; Young, the number of profit warnings issued by UK quoted companies rose in 2000 Q3, the first increase since 1998. And UK fund managers’ outlook on UK corporate profitability has become less favourable (see</w:t>
      </w:r>
    </w:p>
    <w:p>
      <w:pPr>
        <w:pStyle w:val="BodyText"/>
        <w:spacing w:line="242" w:lineRule="auto" w:before="20"/>
        <w:ind w:left="165" w:right="334"/>
      </w:pPr>
      <w:r>
        <w:rPr/>
        <w:t>Chart 1.18), which may have led them to revise down expected real dividend growth. The MPC continues to judge that the balance of risks to equity prices is on the downside.</w:t>
      </w:r>
    </w:p>
    <w:p>
      <w:pPr>
        <w:pStyle w:val="BodyText"/>
        <w:spacing w:before="2"/>
        <w:rPr>
          <w:sz w:val="28"/>
        </w:rPr>
      </w:pPr>
    </w:p>
    <w:p>
      <w:pPr>
        <w:spacing w:before="1"/>
        <w:ind w:left="165" w:right="0" w:firstLine="0"/>
        <w:jc w:val="left"/>
        <w:rPr>
          <w:i/>
          <w:sz w:val="24"/>
        </w:rPr>
      </w:pPr>
      <w:r>
        <w:rPr>
          <w:i/>
          <w:color w:val="009391"/>
          <w:sz w:val="24"/>
        </w:rPr>
        <w:t>Property prices</w:t>
      </w:r>
    </w:p>
    <w:p>
      <w:pPr>
        <w:pStyle w:val="BodyText"/>
        <w:spacing w:line="242" w:lineRule="auto" w:before="144"/>
        <w:ind w:left="165" w:right="108"/>
      </w:pPr>
      <w:r>
        <w:rPr/>
        <w:t>House prices have been broadly unchanged for the past six months, bringing down the annual rate of house price inflation. The rate of increase over the year to October</w:t>
      </w:r>
    </w:p>
    <w:p>
      <w:pPr>
        <w:spacing w:after="0" w:line="242" w:lineRule="auto"/>
        <w:sectPr>
          <w:type w:val="continuous"/>
          <w:pgSz w:w="11900" w:h="16840"/>
          <w:pgMar w:top="1260" w:bottom="280" w:left="640" w:right="640"/>
          <w:cols w:num="2" w:equalWidth="0">
            <w:col w:w="4092" w:space="723"/>
            <w:col w:w="5805"/>
          </w:cols>
        </w:sectPr>
      </w:pPr>
    </w:p>
    <w:p>
      <w:pPr>
        <w:pStyle w:val="BodyText"/>
        <w:spacing w:before="10"/>
        <w:rPr>
          <w:sz w:val="9"/>
        </w:rPr>
      </w:pPr>
    </w:p>
    <w:p>
      <w:pPr>
        <w:tabs>
          <w:tab w:pos="1500" w:val="left" w:leader="none"/>
          <w:tab w:pos="2611" w:val="left" w:leader="none"/>
        </w:tabs>
        <w:spacing w:before="0"/>
        <w:ind w:left="479" w:right="0" w:firstLine="0"/>
        <w:jc w:val="left"/>
        <w:rPr>
          <w:sz w:val="12"/>
        </w:rPr>
      </w:pPr>
      <w:r>
        <w:rPr>
          <w:sz w:val="12"/>
        </w:rPr>
        <w:t>1998</w:t>
        <w:tab/>
        <w:t>99</w:t>
        <w:tab/>
        <w:t>2000</w:t>
      </w:r>
    </w:p>
    <w:p>
      <w:pPr>
        <w:spacing w:before="50"/>
        <w:ind w:left="180" w:right="0" w:firstLine="0"/>
        <w:jc w:val="left"/>
        <w:rPr>
          <w:sz w:val="12"/>
        </w:rPr>
      </w:pPr>
      <w:r>
        <w:rPr>
          <w:sz w:val="12"/>
        </w:rPr>
        <w:t>Source: Merrill Lynch Fund Manager Survey.</w:t>
      </w:r>
    </w:p>
    <w:p>
      <w:pPr>
        <w:spacing w:before="13"/>
        <w:ind w:left="-7" w:right="0" w:firstLine="0"/>
        <w:jc w:val="left"/>
        <w:rPr>
          <w:sz w:val="12"/>
        </w:rPr>
      </w:pPr>
      <w:r>
        <w:rPr/>
        <w:br w:type="column"/>
      </w:r>
      <w:r>
        <w:rPr>
          <w:sz w:val="12"/>
        </w:rPr>
        <w:t>100</w:t>
      </w:r>
    </w:p>
    <w:p>
      <w:pPr>
        <w:pStyle w:val="BodyText"/>
        <w:spacing w:line="242" w:lineRule="auto" w:before="4"/>
        <w:ind w:left="176"/>
      </w:pPr>
      <w:r>
        <w:rPr/>
        <w:br w:type="column"/>
      </w:r>
      <w:r>
        <w:rPr/>
        <w:t>was 9.9% on the Nationwide index and 5.7% on the Halifax measure. Particulars delivered, a measure of</w:t>
      </w:r>
    </w:p>
    <w:p>
      <w:pPr>
        <w:spacing w:after="0" w:line="242" w:lineRule="auto"/>
        <w:sectPr>
          <w:type w:val="continuous"/>
          <w:pgSz w:w="11900" w:h="16840"/>
          <w:pgMar w:top="1260" w:bottom="280" w:left="640" w:right="640"/>
          <w:cols w:num="3" w:equalWidth="0">
            <w:col w:w="3358" w:space="40"/>
            <w:col w:w="214" w:space="1192"/>
            <w:col w:w="5816"/>
          </w:cols>
        </w:sectPr>
      </w:pPr>
    </w:p>
    <w:p>
      <w:pPr>
        <w:spacing w:line="208" w:lineRule="auto" w:before="0"/>
        <w:ind w:left="420" w:right="0" w:hanging="240"/>
        <w:jc w:val="left"/>
        <w:rPr>
          <w:sz w:val="12"/>
        </w:rPr>
      </w:pPr>
      <w:r>
        <w:rPr>
          <w:sz w:val="12"/>
        </w:rPr>
        <w:t>(a) Percentage balance of respondents with a favourable outlook over the next twelve months.</w:t>
      </w:r>
    </w:p>
    <w:p>
      <w:pPr>
        <w:pStyle w:val="BodyText"/>
        <w:spacing w:line="242" w:lineRule="auto" w:before="2"/>
        <w:ind w:left="180" w:right="218"/>
      </w:pPr>
      <w:r>
        <w:rPr/>
        <w:br w:type="column"/>
      </w:r>
      <w:r>
        <w:rPr/>
        <w:t>completed home sales, have weakened: in the three months to September they fell by 6.2% compared with the previous three months. That is consistent with the decline earlier in the year of measures of activity at the beginning of the house-buying process, for example net reservations of new houses </w:t>
      </w:r>
      <w:hyperlink w:history="true" w:anchor="_bookmark10">
        <w:r>
          <w:rPr/>
          <w:t>(</w:t>
        </w:r>
        <w:r>
          <w:rPr>
            <w:color w:val="FF0000"/>
          </w:rPr>
          <w:t>see Section 2</w:t>
        </w:r>
        <w:r>
          <w:rPr/>
          <w:t>).</w:t>
        </w:r>
      </w:hyperlink>
    </w:p>
    <w:p>
      <w:pPr>
        <w:pStyle w:val="BodyText"/>
        <w:spacing w:before="3"/>
        <w:rPr>
          <w:sz w:val="23"/>
        </w:rPr>
      </w:pPr>
    </w:p>
    <w:p>
      <w:pPr>
        <w:pStyle w:val="BodyText"/>
        <w:spacing w:line="242" w:lineRule="auto"/>
        <w:ind w:left="180" w:right="202"/>
      </w:pPr>
      <w:r>
        <w:rPr/>
        <w:t>In a perfectly competitive market, with no transactions or adjustment costs, the price of a house would be equal to the expected present value of the stream of future housing services provided by the house (net of depreciation and maintenance costs), if owner-occupied, or rents if let. So in this stylised framework there need</w:t>
      </w:r>
    </w:p>
    <w:p>
      <w:pPr>
        <w:spacing w:after="0" w:line="242" w:lineRule="auto"/>
        <w:sectPr>
          <w:type w:val="continuous"/>
          <w:pgSz w:w="11900" w:h="16840"/>
          <w:pgMar w:top="1260" w:bottom="280" w:left="640" w:right="640"/>
          <w:cols w:num="2" w:equalWidth="0">
            <w:col w:w="3616" w:space="1184"/>
            <w:col w:w="5820"/>
          </w:cols>
        </w:sectPr>
      </w:pPr>
    </w:p>
    <w:p>
      <w:pPr>
        <w:pStyle w:val="BodyText"/>
        <w:rPr>
          <w:sz w:val="20"/>
        </w:rPr>
      </w:pPr>
    </w:p>
    <w:p>
      <w:pPr>
        <w:spacing w:after="0"/>
        <w:rPr>
          <w:sz w:val="20"/>
        </w:rPr>
        <w:sectPr>
          <w:pgSz w:w="11900" w:h="16840"/>
          <w:pgMar w:header="601" w:footer="612" w:top="800" w:bottom="800" w:left="640" w:right="640"/>
        </w:sectPr>
      </w:pPr>
    </w:p>
    <w:p>
      <w:pPr>
        <w:pStyle w:val="BodyText"/>
        <w:rPr>
          <w:sz w:val="21"/>
        </w:rPr>
      </w:pPr>
    </w:p>
    <w:p>
      <w:pPr>
        <w:spacing w:before="0"/>
        <w:ind w:left="185" w:right="0" w:firstLine="0"/>
        <w:jc w:val="left"/>
        <w:rPr>
          <w:b/>
          <w:sz w:val="20"/>
        </w:rPr>
      </w:pPr>
      <w:bookmarkStart w:name="Exchange rates" w:id="23"/>
      <w:bookmarkEnd w:id="23"/>
      <w:r>
        <w:rPr/>
      </w:r>
      <w:bookmarkStart w:name="_bookmark8" w:id="24"/>
      <w:bookmarkEnd w:id="24"/>
      <w:r>
        <w:rPr/>
      </w:r>
      <w:r>
        <w:rPr>
          <w:b/>
          <w:color w:val="0092C7"/>
          <w:sz w:val="20"/>
        </w:rPr>
        <w:t>Chart 1.19</w:t>
      </w:r>
    </w:p>
    <w:p>
      <w:pPr>
        <w:spacing w:before="10"/>
        <w:ind w:left="185" w:right="0" w:firstLine="0"/>
        <w:jc w:val="left"/>
        <w:rPr>
          <w:b/>
          <w:sz w:val="20"/>
        </w:rPr>
      </w:pPr>
      <w:r>
        <w:rPr>
          <w:b/>
          <w:color w:val="0092C7"/>
          <w:sz w:val="20"/>
        </w:rPr>
        <w:t>House prices and the RICS stock/sales ratio</w:t>
      </w:r>
    </w:p>
    <w:p>
      <w:pPr>
        <w:spacing w:line="129" w:lineRule="exact" w:before="89"/>
        <w:ind w:left="0" w:right="607" w:firstLine="0"/>
        <w:jc w:val="right"/>
        <w:rPr>
          <w:sz w:val="12"/>
        </w:rPr>
      </w:pPr>
      <w:r>
        <w:rPr>
          <w:sz w:val="12"/>
        </w:rPr>
        <w:t>Percentage change three months on</w:t>
      </w:r>
    </w:p>
    <w:p>
      <w:pPr>
        <w:tabs>
          <w:tab w:pos="2005" w:val="left" w:leader="none"/>
        </w:tabs>
        <w:spacing w:line="96" w:lineRule="exact" w:before="0"/>
        <w:ind w:left="0" w:right="607" w:firstLine="0"/>
        <w:jc w:val="right"/>
        <w:rPr>
          <w:sz w:val="12"/>
        </w:rPr>
      </w:pPr>
      <w:r>
        <w:rPr>
          <w:sz w:val="12"/>
          <w:u w:val="single"/>
        </w:rPr>
        <w:t>S</w:t>
      </w:r>
      <w:r>
        <w:rPr>
          <w:sz w:val="12"/>
        </w:rPr>
        <w:t>tock-to-sales ratio</w:t>
        <w:tab/>
        <w:t>previous three mont</w:t>
      </w:r>
      <w:r>
        <w:rPr>
          <w:sz w:val="12"/>
          <w:u w:val="single"/>
        </w:rPr>
        <w:t>hs</w:t>
      </w:r>
    </w:p>
    <w:p>
      <w:pPr>
        <w:tabs>
          <w:tab w:pos="3176" w:val="left" w:leader="none"/>
        </w:tabs>
        <w:spacing w:line="125" w:lineRule="exact" w:before="0"/>
        <w:ind w:left="0" w:right="474" w:firstLine="0"/>
        <w:jc w:val="right"/>
        <w:rPr>
          <w:sz w:val="12"/>
        </w:rPr>
      </w:pPr>
      <w:r>
        <w:rPr/>
        <w:pict>
          <v:group style="position:absolute;margin-left:45.252998pt;margin-top:5.057739pt;width:153.65pt;height:130.35pt;mso-position-horizontal-relative:page;mso-position-vertical-relative:paragraph;z-index:-22839296" coordorigin="905,101" coordsize="3073,2607">
            <v:shape style="position:absolute;left:905;top:101;width:3073;height:2607" type="#_x0000_t75" stroked="false">
              <v:imagedata r:id="rId58" o:title=""/>
            </v:shape>
            <v:shape style="position:absolute;left:2592;top:193;width:1047;height:254" type="#_x0000_t202" filled="false" stroked="false">
              <v:textbox inset="0,0,0,0">
                <w:txbxContent>
                  <w:p>
                    <w:pPr>
                      <w:spacing w:line="208" w:lineRule="auto" w:before="9"/>
                      <w:ind w:left="60" w:right="18" w:hanging="60"/>
                      <w:jc w:val="left"/>
                      <w:rPr>
                        <w:sz w:val="12"/>
                      </w:rPr>
                    </w:pPr>
                    <w:r>
                      <w:rPr>
                        <w:sz w:val="12"/>
                      </w:rPr>
                      <w:t>RICS stocks/sales (a) (left-hand scale)</w:t>
                    </w:r>
                  </w:p>
                </w:txbxContent>
              </v:textbox>
              <w10:wrap type="none"/>
            </v:shape>
            <v:shape style="position:absolute;left:2601;top:2450;width:947;height:254" type="#_x0000_t202" filled="false" stroked="false">
              <v:textbox inset="0,0,0,0">
                <w:txbxContent>
                  <w:p>
                    <w:pPr>
                      <w:spacing w:line="208" w:lineRule="auto" w:before="9"/>
                      <w:ind w:left="60" w:right="18" w:hanging="60"/>
                      <w:jc w:val="left"/>
                      <w:rPr>
                        <w:sz w:val="12"/>
                      </w:rPr>
                    </w:pPr>
                    <w:r>
                      <w:rPr>
                        <w:sz w:val="12"/>
                      </w:rPr>
                      <w:t>Halifax price index (right-hand scale)</w:t>
                    </w:r>
                  </w:p>
                </w:txbxContent>
              </v:textbox>
              <w10:wrap type="none"/>
            </v:shape>
            <w10:wrap type="none"/>
          </v:group>
        </w:pict>
      </w:r>
      <w:r>
        <w:rPr>
          <w:position w:val="-1"/>
          <w:sz w:val="12"/>
        </w:rPr>
        <w:t>9</w:t>
        <w:tab/>
      </w:r>
      <w:r>
        <w:rPr>
          <w:sz w:val="12"/>
        </w:rPr>
        <w:t>12</w:t>
      </w:r>
    </w:p>
    <w:p>
      <w:pPr>
        <w:pStyle w:val="BodyText"/>
        <w:rPr>
          <w:sz w:val="15"/>
        </w:rPr>
      </w:pPr>
    </w:p>
    <w:p>
      <w:pPr>
        <w:tabs>
          <w:tab w:pos="3176" w:val="left" w:leader="none"/>
        </w:tabs>
        <w:spacing w:before="0"/>
        <w:ind w:left="0" w:right="474" w:firstLine="0"/>
        <w:jc w:val="right"/>
        <w:rPr>
          <w:sz w:val="12"/>
        </w:rPr>
      </w:pPr>
      <w:r>
        <w:rPr>
          <w:position w:val="-1"/>
          <w:sz w:val="12"/>
        </w:rPr>
        <w:t>8</w:t>
        <w:tab/>
      </w:r>
      <w:r>
        <w:rPr>
          <w:sz w:val="12"/>
        </w:rPr>
        <w:t>10</w:t>
      </w:r>
    </w:p>
    <w:p>
      <w:pPr>
        <w:pStyle w:val="BodyText"/>
        <w:spacing w:before="1"/>
        <w:rPr>
          <w:sz w:val="15"/>
        </w:rPr>
      </w:pPr>
    </w:p>
    <w:p>
      <w:pPr>
        <w:tabs>
          <w:tab w:pos="3236" w:val="left" w:leader="none"/>
        </w:tabs>
        <w:spacing w:before="0"/>
        <w:ind w:left="0" w:right="474" w:firstLine="0"/>
        <w:jc w:val="right"/>
        <w:rPr>
          <w:sz w:val="12"/>
        </w:rPr>
      </w:pPr>
      <w:r>
        <w:rPr>
          <w:position w:val="-1"/>
          <w:sz w:val="12"/>
        </w:rPr>
        <w:t>7</w:t>
        <w:tab/>
      </w:r>
      <w:r>
        <w:rPr>
          <w:sz w:val="12"/>
        </w:rPr>
        <w:t>8</w:t>
      </w:r>
    </w:p>
    <w:p>
      <w:pPr>
        <w:pStyle w:val="BodyText"/>
        <w:rPr>
          <w:sz w:val="15"/>
        </w:rPr>
      </w:pPr>
    </w:p>
    <w:p>
      <w:pPr>
        <w:tabs>
          <w:tab w:pos="3236" w:val="left" w:leader="none"/>
        </w:tabs>
        <w:spacing w:before="1"/>
        <w:ind w:left="0" w:right="474" w:firstLine="0"/>
        <w:jc w:val="right"/>
        <w:rPr>
          <w:sz w:val="12"/>
        </w:rPr>
      </w:pPr>
      <w:r>
        <w:rPr>
          <w:position w:val="-1"/>
          <w:sz w:val="12"/>
        </w:rPr>
        <w:t>6</w:t>
        <w:tab/>
      </w:r>
      <w:r>
        <w:rPr>
          <w:sz w:val="12"/>
        </w:rPr>
        <w:t>6</w:t>
      </w:r>
    </w:p>
    <w:p>
      <w:pPr>
        <w:pStyle w:val="BodyText"/>
        <w:rPr>
          <w:sz w:val="15"/>
        </w:rPr>
      </w:pPr>
    </w:p>
    <w:p>
      <w:pPr>
        <w:tabs>
          <w:tab w:pos="3236" w:val="left" w:leader="none"/>
        </w:tabs>
        <w:spacing w:before="0"/>
        <w:ind w:left="0" w:right="474" w:firstLine="0"/>
        <w:jc w:val="right"/>
        <w:rPr>
          <w:sz w:val="12"/>
        </w:rPr>
      </w:pPr>
      <w:r>
        <w:rPr>
          <w:position w:val="-1"/>
          <w:sz w:val="12"/>
        </w:rPr>
        <w:t>5</w:t>
        <w:tab/>
      </w:r>
      <w:r>
        <w:rPr>
          <w:sz w:val="12"/>
        </w:rPr>
        <w:t>4</w:t>
      </w:r>
    </w:p>
    <w:p>
      <w:pPr>
        <w:pStyle w:val="BodyText"/>
        <w:spacing w:before="1"/>
        <w:rPr>
          <w:sz w:val="15"/>
        </w:rPr>
      </w:pPr>
    </w:p>
    <w:p>
      <w:pPr>
        <w:tabs>
          <w:tab w:pos="3236" w:val="left" w:leader="none"/>
        </w:tabs>
        <w:spacing w:before="0"/>
        <w:ind w:left="0" w:right="474" w:firstLine="0"/>
        <w:jc w:val="right"/>
        <w:rPr>
          <w:sz w:val="12"/>
        </w:rPr>
      </w:pPr>
      <w:r>
        <w:rPr>
          <w:position w:val="-1"/>
          <w:sz w:val="12"/>
        </w:rPr>
        <w:t>4</w:t>
        <w:tab/>
      </w:r>
      <w:r>
        <w:rPr>
          <w:sz w:val="12"/>
        </w:rPr>
        <w:t>2</w:t>
      </w:r>
    </w:p>
    <w:p>
      <w:pPr>
        <w:spacing w:line="148" w:lineRule="exact" w:before="24"/>
        <w:ind w:left="0" w:right="529" w:firstLine="0"/>
        <w:jc w:val="right"/>
        <w:rPr>
          <w:sz w:val="16"/>
        </w:rPr>
      </w:pPr>
      <w:r>
        <w:rPr>
          <w:sz w:val="16"/>
        </w:rPr>
        <w:t>+</w:t>
      </w:r>
    </w:p>
    <w:p>
      <w:pPr>
        <w:tabs>
          <w:tab w:pos="3156" w:val="left" w:leader="none"/>
        </w:tabs>
        <w:spacing w:line="180" w:lineRule="auto" w:before="0"/>
        <w:ind w:left="0" w:right="474" w:firstLine="0"/>
        <w:jc w:val="right"/>
        <w:rPr>
          <w:sz w:val="12"/>
        </w:rPr>
      </w:pPr>
      <w:r>
        <w:rPr>
          <w:sz w:val="16"/>
          <w:vertAlign w:val="subscript"/>
        </w:rPr>
        <w:t>3</w:t>
      </w:r>
      <w:r>
        <w:rPr>
          <w:sz w:val="16"/>
          <w:vertAlign w:val="baseline"/>
        </w:rPr>
        <w:tab/>
      </w:r>
      <w:r>
        <w:rPr>
          <w:position w:val="-4"/>
          <w:sz w:val="16"/>
          <w:vertAlign w:val="baseline"/>
        </w:rPr>
        <w:t>_</w:t>
      </w:r>
      <w:r>
        <w:rPr>
          <w:sz w:val="12"/>
          <w:vertAlign w:val="baseline"/>
        </w:rPr>
        <w:t>0</w:t>
      </w:r>
    </w:p>
    <w:p>
      <w:pPr>
        <w:tabs>
          <w:tab w:pos="3236" w:val="left" w:leader="none"/>
        </w:tabs>
        <w:spacing w:before="142"/>
        <w:ind w:left="0" w:right="474" w:firstLine="0"/>
        <w:jc w:val="right"/>
        <w:rPr>
          <w:sz w:val="12"/>
        </w:rPr>
      </w:pPr>
      <w:r>
        <w:rPr>
          <w:position w:val="-1"/>
          <w:sz w:val="12"/>
        </w:rPr>
        <w:t>2</w:t>
        <w:tab/>
      </w:r>
      <w:r>
        <w:rPr>
          <w:sz w:val="12"/>
        </w:rPr>
        <w:t>2</w:t>
      </w:r>
    </w:p>
    <w:p>
      <w:pPr>
        <w:pStyle w:val="BodyText"/>
        <w:spacing w:before="1"/>
        <w:rPr>
          <w:sz w:val="15"/>
        </w:rPr>
      </w:pPr>
    </w:p>
    <w:p>
      <w:pPr>
        <w:tabs>
          <w:tab w:pos="3236" w:val="left" w:leader="none"/>
        </w:tabs>
        <w:spacing w:before="0"/>
        <w:ind w:left="0" w:right="474" w:firstLine="0"/>
        <w:jc w:val="right"/>
        <w:rPr>
          <w:sz w:val="12"/>
        </w:rPr>
      </w:pPr>
      <w:r>
        <w:rPr>
          <w:position w:val="-1"/>
          <w:sz w:val="12"/>
        </w:rPr>
        <w:t>1</w:t>
        <w:tab/>
      </w:r>
      <w:r>
        <w:rPr>
          <w:sz w:val="12"/>
        </w:rPr>
        <w:t>4</w:t>
      </w:r>
    </w:p>
    <w:p>
      <w:pPr>
        <w:pStyle w:val="BodyText"/>
        <w:spacing w:before="1"/>
        <w:rPr>
          <w:sz w:val="15"/>
        </w:rPr>
      </w:pPr>
    </w:p>
    <w:p>
      <w:pPr>
        <w:tabs>
          <w:tab w:pos="3000" w:val="left" w:leader="none"/>
          <w:tab w:pos="3410" w:val="left" w:leader="none"/>
        </w:tabs>
        <w:spacing w:before="0"/>
        <w:ind w:left="173" w:right="0" w:firstLine="0"/>
        <w:jc w:val="left"/>
        <w:rPr>
          <w:sz w:val="12"/>
        </w:rPr>
      </w:pPr>
      <w:r>
        <w:rPr/>
        <w:drawing>
          <wp:anchor distT="0" distB="0" distL="0" distR="0" allowOverlap="1" layoutInCell="1" locked="0" behindDoc="1" simplePos="0" relativeHeight="480477696">
            <wp:simplePos x="0" y="0"/>
            <wp:positionH relativeFrom="page">
              <wp:posOffset>574713</wp:posOffset>
            </wp:positionH>
            <wp:positionV relativeFrom="paragraph">
              <wp:posOffset>12739</wp:posOffset>
            </wp:positionV>
            <wp:extent cx="1950859" cy="45783"/>
            <wp:effectExtent l="0" t="0" r="0" b="0"/>
            <wp:wrapNone/>
            <wp:docPr id="79" name="image30.png"/>
            <wp:cNvGraphicFramePr>
              <a:graphicFrameLocks noChangeAspect="1"/>
            </wp:cNvGraphicFramePr>
            <a:graphic>
              <a:graphicData uri="http://schemas.openxmlformats.org/drawingml/2006/picture">
                <pic:pic>
                  <pic:nvPicPr>
                    <pic:cNvPr id="80" name="image30.png"/>
                    <pic:cNvPicPr/>
                  </pic:nvPicPr>
                  <pic:blipFill>
                    <a:blip r:embed="rId59" cstate="print"/>
                    <a:stretch>
                      <a:fillRect/>
                    </a:stretch>
                  </pic:blipFill>
                  <pic:spPr>
                    <a:xfrm>
                      <a:off x="0" y="0"/>
                      <a:ext cx="1950859" cy="45783"/>
                    </a:xfrm>
                    <a:prstGeom prst="rect">
                      <a:avLst/>
                    </a:prstGeom>
                  </pic:spPr>
                </pic:pic>
              </a:graphicData>
            </a:graphic>
          </wp:anchor>
        </w:drawing>
      </w:r>
      <w:r>
        <w:rPr>
          <w:position w:val="7"/>
          <w:sz w:val="12"/>
        </w:rPr>
        <w:t>0   </w:t>
      </w:r>
      <w:r>
        <w:rPr>
          <w:sz w:val="12"/>
        </w:rPr>
        <w:t>1983       85       87       89       91       93   </w:t>
      </w:r>
      <w:r>
        <w:rPr>
          <w:spacing w:val="13"/>
          <w:sz w:val="12"/>
        </w:rPr>
        <w:t> </w:t>
      </w:r>
      <w:r>
        <w:rPr>
          <w:sz w:val="12"/>
        </w:rPr>
        <w:t>95     </w:t>
      </w:r>
      <w:r>
        <w:rPr>
          <w:spacing w:val="17"/>
          <w:sz w:val="12"/>
        </w:rPr>
        <w:t> </w:t>
      </w:r>
      <w:r>
        <w:rPr>
          <w:sz w:val="12"/>
        </w:rPr>
        <w:t>97</w:t>
        <w:tab/>
        <w:t>99</w:t>
        <w:tab/>
      </w:r>
      <w:r>
        <w:rPr>
          <w:position w:val="9"/>
          <w:sz w:val="12"/>
        </w:rPr>
        <w:t>6</w:t>
      </w:r>
    </w:p>
    <w:p>
      <w:pPr>
        <w:spacing w:before="47"/>
        <w:ind w:left="185" w:right="0" w:firstLine="0"/>
        <w:jc w:val="left"/>
        <w:rPr>
          <w:sz w:val="12"/>
        </w:rPr>
      </w:pPr>
      <w:r>
        <w:rPr>
          <w:sz w:val="12"/>
        </w:rPr>
        <w:t>Sources: RICS and Halifax.</w:t>
      </w:r>
    </w:p>
    <w:p>
      <w:pPr>
        <w:pStyle w:val="BodyText"/>
        <w:spacing w:before="1"/>
        <w:rPr>
          <w:sz w:val="10"/>
        </w:rPr>
      </w:pPr>
    </w:p>
    <w:p>
      <w:pPr>
        <w:spacing w:line="208" w:lineRule="auto" w:before="0"/>
        <w:ind w:left="425" w:right="115" w:hanging="240"/>
        <w:jc w:val="left"/>
        <w:rPr>
          <w:sz w:val="12"/>
        </w:rPr>
      </w:pPr>
      <w:r>
        <w:rPr>
          <w:sz w:val="12"/>
        </w:rPr>
        <w:t>(a) Ratio of responses to RICS survey questions about the stock of houses on estate agents’ books and sales in the previous three months.</w:t>
      </w:r>
    </w:p>
    <w:p>
      <w:pPr>
        <w:pStyle w:val="BodyText"/>
        <w:rPr>
          <w:sz w:val="12"/>
        </w:rPr>
      </w:pPr>
    </w:p>
    <w:p>
      <w:pPr>
        <w:pStyle w:val="BodyText"/>
        <w:rPr>
          <w:sz w:val="12"/>
        </w:rPr>
      </w:pPr>
    </w:p>
    <w:p>
      <w:pPr>
        <w:pStyle w:val="BodyText"/>
        <w:rPr>
          <w:sz w:val="12"/>
        </w:rPr>
      </w:pPr>
    </w:p>
    <w:p>
      <w:pPr>
        <w:pStyle w:val="BodyText"/>
        <w:spacing w:before="8"/>
        <w:rPr>
          <w:sz w:val="12"/>
        </w:rPr>
      </w:pPr>
    </w:p>
    <w:p>
      <w:pPr>
        <w:spacing w:before="1"/>
        <w:ind w:left="165" w:right="0" w:firstLine="0"/>
        <w:jc w:val="left"/>
        <w:rPr>
          <w:b/>
          <w:sz w:val="20"/>
        </w:rPr>
      </w:pPr>
      <w:r>
        <w:rPr>
          <w:b/>
          <w:color w:val="0092C7"/>
          <w:sz w:val="20"/>
        </w:rPr>
        <w:t>Chart 1.20</w:t>
      </w:r>
    </w:p>
    <w:p>
      <w:pPr>
        <w:spacing w:line="191" w:lineRule="exact" w:before="10"/>
        <w:ind w:left="165" w:right="0" w:firstLine="0"/>
        <w:jc w:val="left"/>
        <w:rPr>
          <w:b/>
          <w:sz w:val="20"/>
        </w:rPr>
      </w:pPr>
      <w:r>
        <w:rPr>
          <w:b/>
          <w:color w:val="0092C7"/>
          <w:sz w:val="20"/>
        </w:rPr>
        <w:t>Selected sterling exchange rates</w:t>
      </w:r>
    </w:p>
    <w:p>
      <w:pPr>
        <w:pStyle w:val="BodyText"/>
        <w:rPr>
          <w:b/>
          <w:sz w:val="21"/>
        </w:rPr>
      </w:pPr>
      <w:r>
        <w:rPr/>
        <w:br w:type="column"/>
      </w:r>
      <w:r>
        <w:rPr>
          <w:b/>
          <w:sz w:val="21"/>
        </w:rPr>
      </w:r>
    </w:p>
    <w:p>
      <w:pPr>
        <w:pStyle w:val="BodyText"/>
        <w:spacing w:line="242" w:lineRule="auto" w:before="1"/>
        <w:ind w:left="165" w:right="181"/>
      </w:pPr>
      <w:r>
        <w:rPr/>
        <w:t>not be any link between the </w:t>
      </w:r>
      <w:r>
        <w:rPr>
          <w:spacing w:val="-3"/>
        </w:rPr>
        <w:t>level </w:t>
      </w:r>
      <w:r>
        <w:rPr/>
        <w:t>of housing market </w:t>
      </w:r>
      <w:r>
        <w:rPr>
          <w:spacing w:val="-4"/>
        </w:rPr>
        <w:t>activity, </w:t>
      </w:r>
      <w:r>
        <w:rPr/>
        <w:t>as measured by the volume of transactions, and house prices. But in practice there are many costs associated with searching for and then moving house, which may be affected by the </w:t>
      </w:r>
      <w:r>
        <w:rPr>
          <w:spacing w:val="-3"/>
        </w:rPr>
        <w:t>level </w:t>
      </w:r>
      <w:r>
        <w:rPr/>
        <w:t>of </w:t>
      </w:r>
      <w:r>
        <w:rPr>
          <w:spacing w:val="-4"/>
        </w:rPr>
        <w:t>activity. </w:t>
      </w:r>
      <w:r>
        <w:rPr/>
        <w:t>That could explain why there does appear to be a strong link between prices and the </w:t>
      </w:r>
      <w:r>
        <w:rPr>
          <w:spacing w:val="-3"/>
        </w:rPr>
        <w:t>level </w:t>
      </w:r>
      <w:r>
        <w:rPr/>
        <w:t>of </w:t>
      </w:r>
      <w:r>
        <w:rPr>
          <w:spacing w:val="-4"/>
        </w:rPr>
        <w:t>activity. </w:t>
      </w:r>
      <w:r>
        <w:rPr/>
        <w:t>Chart 1.19 shows a close correlation between house prices and information from the Royal Institute of Chartered Surveyors</w:t>
      </w:r>
      <w:r>
        <w:rPr>
          <w:spacing w:val="-7"/>
        </w:rPr>
        <w:t> </w:t>
      </w:r>
      <w:r>
        <w:rPr/>
        <w:t>(RICS)</w:t>
      </w:r>
      <w:r>
        <w:rPr>
          <w:spacing w:val="-6"/>
        </w:rPr>
        <w:t> </w:t>
      </w:r>
      <w:r>
        <w:rPr/>
        <w:t>on</w:t>
      </w:r>
      <w:r>
        <w:rPr>
          <w:spacing w:val="-6"/>
        </w:rPr>
        <w:t> </w:t>
      </w:r>
      <w:r>
        <w:rPr/>
        <w:t>the</w:t>
      </w:r>
      <w:r>
        <w:rPr>
          <w:spacing w:val="-7"/>
        </w:rPr>
        <w:t> </w:t>
      </w:r>
      <w:r>
        <w:rPr/>
        <w:t>stock</w:t>
      </w:r>
      <w:r>
        <w:rPr>
          <w:spacing w:val="-6"/>
        </w:rPr>
        <w:t> </w:t>
      </w:r>
      <w:r>
        <w:rPr/>
        <w:t>of</w:t>
      </w:r>
      <w:r>
        <w:rPr>
          <w:spacing w:val="-6"/>
        </w:rPr>
        <w:t> </w:t>
      </w:r>
      <w:r>
        <w:rPr/>
        <w:t>houses</w:t>
      </w:r>
      <w:r>
        <w:rPr>
          <w:spacing w:val="-7"/>
        </w:rPr>
        <w:t> </w:t>
      </w:r>
      <w:r>
        <w:rPr/>
        <w:t>for</w:t>
      </w:r>
      <w:r>
        <w:rPr>
          <w:spacing w:val="-6"/>
        </w:rPr>
        <w:t> </w:t>
      </w:r>
      <w:r>
        <w:rPr/>
        <w:t>sale</w:t>
      </w:r>
      <w:r>
        <w:rPr>
          <w:spacing w:val="-6"/>
        </w:rPr>
        <w:t> </w:t>
      </w:r>
      <w:r>
        <w:rPr/>
        <w:t>relative to the flow of sales. The stock/sales ratio has risen since the beginning of the </w:t>
      </w:r>
      <w:r>
        <w:rPr>
          <w:spacing w:val="-3"/>
        </w:rPr>
        <w:t>year, </w:t>
      </w:r>
      <w:r>
        <w:rPr/>
        <w:t>and that has been correlated with a moderation in price</w:t>
      </w:r>
      <w:r>
        <w:rPr>
          <w:spacing w:val="-9"/>
        </w:rPr>
        <w:t> </w:t>
      </w:r>
      <w:r>
        <w:rPr/>
        <w:t>increases.</w:t>
      </w:r>
    </w:p>
    <w:p>
      <w:pPr>
        <w:pStyle w:val="BodyText"/>
        <w:spacing w:before="6"/>
        <w:rPr>
          <w:sz w:val="27"/>
        </w:rPr>
      </w:pPr>
    </w:p>
    <w:p>
      <w:pPr>
        <w:spacing w:before="0"/>
        <w:ind w:left="165" w:right="0" w:firstLine="0"/>
        <w:jc w:val="left"/>
        <w:rPr>
          <w:i/>
          <w:sz w:val="24"/>
        </w:rPr>
      </w:pPr>
      <w:r>
        <w:rPr>
          <w:i/>
          <w:color w:val="009391"/>
          <w:sz w:val="24"/>
        </w:rPr>
        <w:t>Exchange rates</w:t>
      </w:r>
    </w:p>
    <w:p>
      <w:pPr>
        <w:pStyle w:val="BodyText"/>
        <w:spacing w:line="242" w:lineRule="auto" w:before="144"/>
        <w:ind w:left="165" w:right="697"/>
      </w:pPr>
      <w:r>
        <w:rPr/>
        <w:t>The sterling effective exchange rate index (ERI) has appreciated since the August </w:t>
      </w:r>
      <w:r>
        <w:rPr>
          <w:i/>
        </w:rPr>
        <w:t>Report</w:t>
      </w:r>
      <w:r>
        <w:rPr/>
        <w:t>. The</w:t>
      </w:r>
    </w:p>
    <w:p>
      <w:pPr>
        <w:pStyle w:val="BodyText"/>
        <w:spacing w:line="242" w:lineRule="auto" w:before="2"/>
        <w:ind w:left="165" w:right="147"/>
      </w:pPr>
      <w:r>
        <w:rPr/>
        <w:t>five working day average of the ERI up to and including 8 November, used as the starting-point for the current</w:t>
      </w:r>
    </w:p>
    <w:p>
      <w:pPr>
        <w:spacing w:after="0" w:line="242" w:lineRule="auto"/>
        <w:sectPr>
          <w:type w:val="continuous"/>
          <w:pgSz w:w="11900" w:h="16840"/>
          <w:pgMar w:top="1260" w:bottom="280" w:left="640" w:right="640"/>
          <w:cols w:num="2" w:equalWidth="0">
            <w:col w:w="3947" w:space="873"/>
            <w:col w:w="5800"/>
          </w:cols>
        </w:sectPr>
      </w:pPr>
    </w:p>
    <w:p>
      <w:pPr>
        <w:pStyle w:val="BodyText"/>
        <w:rPr>
          <w:sz w:val="12"/>
        </w:rPr>
      </w:pPr>
    </w:p>
    <w:p>
      <w:pPr>
        <w:spacing w:before="76"/>
        <w:ind w:left="160" w:right="0" w:firstLine="0"/>
        <w:jc w:val="left"/>
        <w:rPr>
          <w:sz w:val="12"/>
        </w:rPr>
      </w:pPr>
      <w:r>
        <w:rPr>
          <w:sz w:val="12"/>
        </w:rPr>
        <w:t>1.80</w:t>
      </w:r>
    </w:p>
    <w:p>
      <w:pPr>
        <w:pStyle w:val="BodyText"/>
        <w:rPr>
          <w:sz w:val="12"/>
        </w:rPr>
      </w:pPr>
    </w:p>
    <w:p>
      <w:pPr>
        <w:pStyle w:val="BodyText"/>
        <w:rPr>
          <w:sz w:val="12"/>
        </w:rPr>
      </w:pPr>
    </w:p>
    <w:p>
      <w:pPr>
        <w:pStyle w:val="BodyText"/>
        <w:spacing w:before="1"/>
        <w:rPr>
          <w:sz w:val="14"/>
        </w:rPr>
      </w:pPr>
    </w:p>
    <w:p>
      <w:pPr>
        <w:spacing w:before="0"/>
        <w:ind w:left="160" w:right="0" w:firstLine="0"/>
        <w:jc w:val="left"/>
        <w:rPr>
          <w:sz w:val="12"/>
        </w:rPr>
      </w:pPr>
      <w:r>
        <w:rPr>
          <w:sz w:val="12"/>
        </w:rPr>
        <w:t>1.70</w:t>
      </w:r>
    </w:p>
    <w:p>
      <w:pPr>
        <w:pStyle w:val="BodyText"/>
        <w:rPr>
          <w:sz w:val="12"/>
        </w:rPr>
      </w:pPr>
    </w:p>
    <w:p>
      <w:pPr>
        <w:pStyle w:val="BodyText"/>
        <w:rPr>
          <w:sz w:val="12"/>
        </w:rPr>
      </w:pPr>
    </w:p>
    <w:p>
      <w:pPr>
        <w:pStyle w:val="BodyText"/>
        <w:spacing w:before="2"/>
        <w:rPr>
          <w:sz w:val="14"/>
        </w:rPr>
      </w:pPr>
    </w:p>
    <w:p>
      <w:pPr>
        <w:spacing w:before="0"/>
        <w:ind w:left="160" w:right="0" w:firstLine="0"/>
        <w:jc w:val="left"/>
        <w:rPr>
          <w:sz w:val="12"/>
        </w:rPr>
      </w:pPr>
      <w:r>
        <w:rPr>
          <w:sz w:val="12"/>
        </w:rPr>
        <w:t>1.60</w:t>
      </w:r>
    </w:p>
    <w:p>
      <w:pPr>
        <w:pStyle w:val="BodyText"/>
        <w:rPr>
          <w:sz w:val="12"/>
        </w:rPr>
      </w:pPr>
    </w:p>
    <w:p>
      <w:pPr>
        <w:pStyle w:val="BodyText"/>
        <w:rPr>
          <w:sz w:val="12"/>
        </w:rPr>
      </w:pPr>
    </w:p>
    <w:p>
      <w:pPr>
        <w:pStyle w:val="BodyText"/>
        <w:spacing w:before="1"/>
        <w:rPr>
          <w:sz w:val="14"/>
        </w:rPr>
      </w:pPr>
    </w:p>
    <w:p>
      <w:pPr>
        <w:spacing w:before="0"/>
        <w:ind w:left="160" w:right="0" w:firstLine="0"/>
        <w:jc w:val="left"/>
        <w:rPr>
          <w:sz w:val="12"/>
        </w:rPr>
      </w:pPr>
      <w:r>
        <w:rPr>
          <w:sz w:val="12"/>
        </w:rPr>
        <w:t>1.50</w:t>
      </w:r>
    </w:p>
    <w:p>
      <w:pPr>
        <w:pStyle w:val="BodyText"/>
        <w:rPr>
          <w:sz w:val="12"/>
        </w:rPr>
      </w:pPr>
    </w:p>
    <w:p>
      <w:pPr>
        <w:pStyle w:val="BodyText"/>
        <w:rPr>
          <w:sz w:val="12"/>
        </w:rPr>
      </w:pPr>
    </w:p>
    <w:p>
      <w:pPr>
        <w:pStyle w:val="BodyText"/>
        <w:spacing w:before="2"/>
        <w:rPr>
          <w:sz w:val="14"/>
        </w:rPr>
      </w:pPr>
    </w:p>
    <w:p>
      <w:pPr>
        <w:spacing w:before="0"/>
        <w:ind w:left="160" w:right="0" w:firstLine="0"/>
        <w:jc w:val="left"/>
        <w:rPr>
          <w:sz w:val="12"/>
        </w:rPr>
      </w:pPr>
      <w:r>
        <w:rPr>
          <w:sz w:val="12"/>
        </w:rPr>
        <w:t>1.40</w:t>
      </w:r>
    </w:p>
    <w:p>
      <w:pPr>
        <w:pStyle w:val="BodyText"/>
        <w:spacing w:before="2"/>
        <w:rPr>
          <w:sz w:val="10"/>
        </w:rPr>
      </w:pPr>
      <w:r>
        <w:rPr/>
        <w:br w:type="column"/>
      </w:r>
      <w:r>
        <w:rPr>
          <w:sz w:val="10"/>
        </w:rPr>
      </w:r>
    </w:p>
    <w:p>
      <w:pPr>
        <w:spacing w:before="0"/>
        <w:ind w:left="-18" w:right="0" w:firstLine="0"/>
        <w:jc w:val="left"/>
        <w:rPr>
          <w:sz w:val="12"/>
        </w:rPr>
      </w:pPr>
      <w:r>
        <w:rPr/>
        <w:pict>
          <v:group style="position:absolute;margin-left:59.654999pt;margin-top:13.64285pt;width:147.3pt;height:119.65pt;mso-position-horizontal-relative:page;mso-position-vertical-relative:paragraph;z-index:15811072" coordorigin="1193,273" coordsize="2946,2393">
            <v:shape style="position:absolute;left:1193;top:436;width:2946;height:2215" type="#_x0000_t75" stroked="false">
              <v:imagedata r:id="rId60" o:title=""/>
            </v:shape>
            <v:shape style="position:absolute;left:1232;top:272;width:2240;height:354" type="#_x0000_t202" filled="false" stroked="false">
              <v:textbox inset="0,0,0,0">
                <w:txbxContent>
                  <w:p>
                    <w:pPr>
                      <w:tabs>
                        <w:tab w:pos="1436" w:val="left" w:leader="none"/>
                      </w:tabs>
                      <w:spacing w:line="177" w:lineRule="auto" w:before="24"/>
                      <w:ind w:left="0" w:right="18" w:firstLine="1376"/>
                      <w:jc w:val="left"/>
                      <w:rPr>
                        <w:sz w:val="12"/>
                      </w:rPr>
                    </w:pPr>
                    <w:r>
                      <w:rPr>
                        <w:sz w:val="12"/>
                      </w:rPr>
                      <w:t>Euro per pound </w:t>
                    </w:r>
                    <w:r>
                      <w:rPr>
                        <w:position w:val="2"/>
                        <w:sz w:val="12"/>
                      </w:rPr>
                      <w:t>US dollars per pound</w:t>
                      <w:tab/>
                    </w:r>
                    <w:r>
                      <w:rPr>
                        <w:sz w:val="12"/>
                      </w:rPr>
                      <w:t>(left-hand </w:t>
                    </w:r>
                    <w:r>
                      <w:rPr>
                        <w:spacing w:val="-3"/>
                        <w:sz w:val="12"/>
                      </w:rPr>
                      <w:t>scale) </w:t>
                    </w:r>
                    <w:r>
                      <w:rPr>
                        <w:sz w:val="12"/>
                      </w:rPr>
                      <w:t>(left-hand scale)</w:t>
                    </w:r>
                  </w:p>
                </w:txbxContent>
              </v:textbox>
              <w10:wrap type="none"/>
            </v:shape>
            <v:shape style="position:absolute;left:2239;top:2531;width:1093;height:134" type="#_x0000_t202" filled="false" stroked="false">
              <v:textbox inset="0,0,0,0">
                <w:txbxContent>
                  <w:p>
                    <w:pPr>
                      <w:spacing w:line="133" w:lineRule="exact" w:before="0"/>
                      <w:ind w:left="0" w:right="0" w:firstLine="0"/>
                      <w:jc w:val="left"/>
                      <w:rPr>
                        <w:sz w:val="12"/>
                      </w:rPr>
                    </w:pPr>
                    <w:r>
                      <w:rPr>
                        <w:sz w:val="12"/>
                      </w:rPr>
                      <w:t>ERI (right-hand scale)</w:t>
                    </w:r>
                  </w:p>
                </w:txbxContent>
              </v:textbox>
              <w10:wrap type="none"/>
            </v:shape>
            <w10:wrap type="none"/>
          </v:group>
        </w:pict>
      </w:r>
      <w:r>
        <w:rPr>
          <w:sz w:val="12"/>
        </w:rPr>
        <w:t>Euro or US dollars</w:t>
      </w:r>
    </w:p>
    <w:p>
      <w:pPr>
        <w:pStyle w:val="BodyText"/>
        <w:spacing w:before="3"/>
        <w:rPr>
          <w:sz w:val="2"/>
        </w:rPr>
      </w:pPr>
    </w:p>
    <w:p>
      <w:pPr>
        <w:pStyle w:val="BodyText"/>
        <w:spacing w:line="20" w:lineRule="exact"/>
        <w:ind w:left="-18"/>
        <w:rPr>
          <w:sz w:val="2"/>
        </w:rPr>
      </w:pPr>
      <w:r>
        <w:rPr>
          <w:sz w:val="2"/>
        </w:rPr>
        <w:drawing>
          <wp:inline distT="0" distB="0" distL="0" distR="0">
            <wp:extent cx="55291" cy="6381"/>
            <wp:effectExtent l="0" t="0" r="0" b="0"/>
            <wp:docPr id="81" name="image14.png"/>
            <wp:cNvGraphicFramePr>
              <a:graphicFrameLocks noChangeAspect="1"/>
            </wp:cNvGraphicFramePr>
            <a:graphic>
              <a:graphicData uri="http://schemas.openxmlformats.org/drawingml/2006/picture">
                <pic:pic>
                  <pic:nvPicPr>
                    <pic:cNvPr id="82" name="image14.png"/>
                    <pic:cNvPicPr/>
                  </pic:nvPicPr>
                  <pic:blipFill>
                    <a:blip r:embed="rId39" cstate="print"/>
                    <a:stretch>
                      <a:fillRect/>
                    </a:stretch>
                  </pic:blipFill>
                  <pic:spPr>
                    <a:xfrm>
                      <a:off x="0" y="0"/>
                      <a:ext cx="55291" cy="6381"/>
                    </a:xfrm>
                    <a:prstGeom prst="rect">
                      <a:avLst/>
                    </a:prstGeom>
                  </pic:spPr>
                </pic:pic>
              </a:graphicData>
            </a:graphic>
          </wp:inline>
        </w:drawing>
      </w:r>
      <w:r>
        <w:rPr>
          <w:sz w:val="2"/>
        </w:rPr>
      </w:r>
    </w:p>
    <w:p>
      <w:pPr>
        <w:pStyle w:val="BodyText"/>
        <w:rPr>
          <w:sz w:val="20"/>
        </w:rPr>
      </w:pPr>
    </w:p>
    <w:p>
      <w:pPr>
        <w:pStyle w:val="BodyText"/>
        <w:spacing w:before="5"/>
        <w:rPr>
          <w:sz w:val="28"/>
        </w:rPr>
      </w:pPr>
    </w:p>
    <w:p>
      <w:pPr>
        <w:pStyle w:val="BodyText"/>
        <w:spacing w:line="20" w:lineRule="exact"/>
        <w:ind w:left="-18"/>
        <w:rPr>
          <w:sz w:val="2"/>
        </w:rPr>
      </w:pPr>
      <w:r>
        <w:rPr>
          <w:sz w:val="2"/>
        </w:rPr>
        <w:drawing>
          <wp:inline distT="0" distB="0" distL="0" distR="0">
            <wp:extent cx="55291" cy="6381"/>
            <wp:effectExtent l="0" t="0" r="0" b="0"/>
            <wp:docPr id="83" name="image14.png"/>
            <wp:cNvGraphicFramePr>
              <a:graphicFrameLocks noChangeAspect="1"/>
            </wp:cNvGraphicFramePr>
            <a:graphic>
              <a:graphicData uri="http://schemas.openxmlformats.org/drawingml/2006/picture">
                <pic:pic>
                  <pic:nvPicPr>
                    <pic:cNvPr id="84" name="image14.png"/>
                    <pic:cNvPicPr/>
                  </pic:nvPicPr>
                  <pic:blipFill>
                    <a:blip r:embed="rId39" cstate="print"/>
                    <a:stretch>
                      <a:fillRect/>
                    </a:stretch>
                  </pic:blipFill>
                  <pic:spPr>
                    <a:xfrm>
                      <a:off x="0" y="0"/>
                      <a:ext cx="55291" cy="6381"/>
                    </a:xfrm>
                    <a:prstGeom prst="rect">
                      <a:avLst/>
                    </a:prstGeom>
                  </pic:spPr>
                </pic:pic>
              </a:graphicData>
            </a:graphic>
          </wp:inline>
        </w:drawing>
      </w:r>
      <w:r>
        <w:rPr>
          <w:sz w:val="2"/>
        </w:rPr>
      </w:r>
    </w:p>
    <w:p>
      <w:pPr>
        <w:pStyle w:val="BodyText"/>
        <w:rPr>
          <w:sz w:val="20"/>
        </w:rPr>
      </w:pPr>
    </w:p>
    <w:p>
      <w:pPr>
        <w:pStyle w:val="BodyText"/>
        <w:spacing w:before="5"/>
        <w:rPr>
          <w:sz w:val="28"/>
        </w:rPr>
      </w:pPr>
    </w:p>
    <w:p>
      <w:pPr>
        <w:pStyle w:val="BodyText"/>
        <w:spacing w:line="20" w:lineRule="exact"/>
        <w:ind w:left="-18"/>
        <w:rPr>
          <w:sz w:val="2"/>
        </w:rPr>
      </w:pPr>
      <w:r>
        <w:rPr>
          <w:sz w:val="2"/>
        </w:rPr>
        <w:drawing>
          <wp:inline distT="0" distB="0" distL="0" distR="0">
            <wp:extent cx="55291" cy="6381"/>
            <wp:effectExtent l="0" t="0" r="0" b="0"/>
            <wp:docPr id="85" name="image14.png"/>
            <wp:cNvGraphicFramePr>
              <a:graphicFrameLocks noChangeAspect="1"/>
            </wp:cNvGraphicFramePr>
            <a:graphic>
              <a:graphicData uri="http://schemas.openxmlformats.org/drawingml/2006/picture">
                <pic:pic>
                  <pic:nvPicPr>
                    <pic:cNvPr id="86" name="image14.png"/>
                    <pic:cNvPicPr/>
                  </pic:nvPicPr>
                  <pic:blipFill>
                    <a:blip r:embed="rId39" cstate="print"/>
                    <a:stretch>
                      <a:fillRect/>
                    </a:stretch>
                  </pic:blipFill>
                  <pic:spPr>
                    <a:xfrm>
                      <a:off x="0" y="0"/>
                      <a:ext cx="55291" cy="6381"/>
                    </a:xfrm>
                    <a:prstGeom prst="rect">
                      <a:avLst/>
                    </a:prstGeom>
                  </pic:spPr>
                </pic:pic>
              </a:graphicData>
            </a:graphic>
          </wp:inline>
        </w:drawing>
      </w:r>
      <w:r>
        <w:rPr>
          <w:sz w:val="2"/>
        </w:rPr>
      </w:r>
    </w:p>
    <w:p>
      <w:pPr>
        <w:pStyle w:val="BodyText"/>
        <w:rPr>
          <w:sz w:val="20"/>
        </w:rPr>
      </w:pPr>
    </w:p>
    <w:p>
      <w:pPr>
        <w:pStyle w:val="BodyText"/>
        <w:spacing w:before="5"/>
        <w:rPr>
          <w:sz w:val="28"/>
        </w:rPr>
      </w:pPr>
    </w:p>
    <w:p>
      <w:pPr>
        <w:pStyle w:val="BodyText"/>
        <w:spacing w:line="20" w:lineRule="exact"/>
        <w:ind w:left="-18"/>
        <w:rPr>
          <w:sz w:val="2"/>
        </w:rPr>
      </w:pPr>
      <w:r>
        <w:rPr>
          <w:sz w:val="2"/>
        </w:rPr>
        <w:drawing>
          <wp:inline distT="0" distB="0" distL="0" distR="0">
            <wp:extent cx="55291" cy="6381"/>
            <wp:effectExtent l="0" t="0" r="0" b="0"/>
            <wp:docPr id="87" name="image14.png"/>
            <wp:cNvGraphicFramePr>
              <a:graphicFrameLocks noChangeAspect="1"/>
            </wp:cNvGraphicFramePr>
            <a:graphic>
              <a:graphicData uri="http://schemas.openxmlformats.org/drawingml/2006/picture">
                <pic:pic>
                  <pic:nvPicPr>
                    <pic:cNvPr id="88" name="image14.png"/>
                    <pic:cNvPicPr/>
                  </pic:nvPicPr>
                  <pic:blipFill>
                    <a:blip r:embed="rId39" cstate="print"/>
                    <a:stretch>
                      <a:fillRect/>
                    </a:stretch>
                  </pic:blipFill>
                  <pic:spPr>
                    <a:xfrm>
                      <a:off x="0" y="0"/>
                      <a:ext cx="55291" cy="6381"/>
                    </a:xfrm>
                    <a:prstGeom prst="rect">
                      <a:avLst/>
                    </a:prstGeom>
                  </pic:spPr>
                </pic:pic>
              </a:graphicData>
            </a:graphic>
          </wp:inline>
        </w:drawing>
      </w:r>
      <w:r>
        <w:rPr>
          <w:sz w:val="2"/>
        </w:rPr>
      </w:r>
    </w:p>
    <w:p>
      <w:pPr>
        <w:pStyle w:val="BodyText"/>
        <w:rPr>
          <w:sz w:val="20"/>
        </w:rPr>
      </w:pPr>
    </w:p>
    <w:p>
      <w:pPr>
        <w:pStyle w:val="BodyText"/>
        <w:spacing w:before="5"/>
        <w:rPr>
          <w:sz w:val="28"/>
        </w:rPr>
      </w:pPr>
    </w:p>
    <w:p>
      <w:pPr>
        <w:pStyle w:val="BodyText"/>
        <w:spacing w:line="20" w:lineRule="exact"/>
        <w:ind w:left="-18"/>
        <w:rPr>
          <w:sz w:val="2"/>
        </w:rPr>
      </w:pPr>
      <w:r>
        <w:rPr>
          <w:sz w:val="2"/>
        </w:rPr>
        <w:drawing>
          <wp:inline distT="0" distB="0" distL="0" distR="0">
            <wp:extent cx="55291" cy="6381"/>
            <wp:effectExtent l="0" t="0" r="0" b="0"/>
            <wp:docPr id="89" name="image14.png"/>
            <wp:cNvGraphicFramePr>
              <a:graphicFrameLocks noChangeAspect="1"/>
            </wp:cNvGraphicFramePr>
            <a:graphic>
              <a:graphicData uri="http://schemas.openxmlformats.org/drawingml/2006/picture">
                <pic:pic>
                  <pic:nvPicPr>
                    <pic:cNvPr id="90" name="image14.png"/>
                    <pic:cNvPicPr/>
                  </pic:nvPicPr>
                  <pic:blipFill>
                    <a:blip r:embed="rId39" cstate="print"/>
                    <a:stretch>
                      <a:fillRect/>
                    </a:stretch>
                  </pic:blipFill>
                  <pic:spPr>
                    <a:xfrm>
                      <a:off x="0" y="0"/>
                      <a:ext cx="55291" cy="6381"/>
                    </a:xfrm>
                    <a:prstGeom prst="rect">
                      <a:avLst/>
                    </a:prstGeom>
                  </pic:spPr>
                </pic:pic>
              </a:graphicData>
            </a:graphic>
          </wp:inline>
        </w:drawing>
      </w:r>
      <w:r>
        <w:rPr>
          <w:sz w:val="2"/>
        </w:rPr>
      </w:r>
    </w:p>
    <w:p>
      <w:pPr>
        <w:pStyle w:val="BodyText"/>
        <w:spacing w:before="2"/>
        <w:rPr>
          <w:sz w:val="10"/>
        </w:rPr>
      </w:pPr>
      <w:r>
        <w:rPr/>
        <w:br w:type="column"/>
      </w:r>
      <w:r>
        <w:rPr>
          <w:sz w:val="10"/>
        </w:rPr>
      </w:r>
    </w:p>
    <w:p>
      <w:pPr>
        <w:spacing w:before="0"/>
        <w:ind w:left="160" w:right="0" w:firstLine="0"/>
        <w:jc w:val="left"/>
        <w:rPr>
          <w:sz w:val="12"/>
        </w:rPr>
      </w:pPr>
      <w:r>
        <w:rPr>
          <w:sz w:val="12"/>
        </w:rPr>
        <w:t>1990 = 100</w:t>
      </w:r>
    </w:p>
    <w:p>
      <w:pPr>
        <w:pStyle w:val="BodyText"/>
        <w:spacing w:before="3"/>
        <w:rPr>
          <w:sz w:val="2"/>
        </w:rPr>
      </w:pPr>
    </w:p>
    <w:p>
      <w:pPr>
        <w:pStyle w:val="BodyText"/>
        <w:spacing w:line="20" w:lineRule="exact"/>
        <w:ind w:left="621" w:right="-44"/>
        <w:rPr>
          <w:sz w:val="2"/>
        </w:rPr>
      </w:pPr>
      <w:r>
        <w:rPr>
          <w:sz w:val="2"/>
        </w:rPr>
        <w:drawing>
          <wp:inline distT="0" distB="0" distL="0" distR="0">
            <wp:extent cx="55291" cy="6381"/>
            <wp:effectExtent l="0" t="0" r="0" b="0"/>
            <wp:docPr id="91" name="image24.png"/>
            <wp:cNvGraphicFramePr>
              <a:graphicFrameLocks noChangeAspect="1"/>
            </wp:cNvGraphicFramePr>
            <a:graphic>
              <a:graphicData uri="http://schemas.openxmlformats.org/drawingml/2006/picture">
                <pic:pic>
                  <pic:nvPicPr>
                    <pic:cNvPr id="92" name="image24.png"/>
                    <pic:cNvPicPr/>
                  </pic:nvPicPr>
                  <pic:blipFill>
                    <a:blip r:embed="rId53" cstate="print"/>
                    <a:stretch>
                      <a:fillRect/>
                    </a:stretch>
                  </pic:blipFill>
                  <pic:spPr>
                    <a:xfrm>
                      <a:off x="0" y="0"/>
                      <a:ext cx="55291" cy="6381"/>
                    </a:xfrm>
                    <a:prstGeom prst="rect">
                      <a:avLst/>
                    </a:prstGeom>
                  </pic:spPr>
                </pic:pic>
              </a:graphicData>
            </a:graphic>
          </wp:inline>
        </w:drawing>
      </w:r>
      <w:r>
        <w:rPr>
          <w:sz w:val="2"/>
        </w:rPr>
      </w:r>
    </w:p>
    <w:p>
      <w:pPr>
        <w:pStyle w:val="BodyText"/>
        <w:rPr>
          <w:sz w:val="12"/>
        </w:rPr>
      </w:pPr>
      <w:r>
        <w:rPr/>
        <w:br w:type="column"/>
      </w:r>
      <w:r>
        <w:rPr>
          <w:sz w:val="12"/>
        </w:rPr>
      </w:r>
    </w:p>
    <w:p>
      <w:pPr>
        <w:spacing w:before="76"/>
        <w:ind w:left="-2" w:right="0" w:firstLine="0"/>
        <w:jc w:val="left"/>
        <w:rPr>
          <w:sz w:val="12"/>
        </w:rPr>
      </w:pPr>
      <w:r>
        <w:rPr>
          <w:sz w:val="12"/>
        </w:rPr>
        <w:t>120</w:t>
      </w:r>
    </w:p>
    <w:p>
      <w:pPr>
        <w:pStyle w:val="BodyText"/>
        <w:rPr>
          <w:sz w:val="12"/>
        </w:rPr>
      </w:pPr>
    </w:p>
    <w:p>
      <w:pPr>
        <w:pStyle w:val="BodyText"/>
        <w:rPr>
          <w:sz w:val="12"/>
        </w:rPr>
      </w:pPr>
    </w:p>
    <w:p>
      <w:pPr>
        <w:pStyle w:val="BodyText"/>
        <w:spacing w:before="1"/>
        <w:rPr>
          <w:sz w:val="14"/>
        </w:rPr>
      </w:pPr>
    </w:p>
    <w:p>
      <w:pPr>
        <w:spacing w:before="0"/>
        <w:ind w:left="-2" w:right="0" w:firstLine="0"/>
        <w:jc w:val="left"/>
        <w:rPr>
          <w:sz w:val="12"/>
        </w:rPr>
      </w:pPr>
      <w:r>
        <w:rPr>
          <w:sz w:val="12"/>
        </w:rPr>
        <w:t>115</w:t>
      </w:r>
    </w:p>
    <w:p>
      <w:pPr>
        <w:pStyle w:val="BodyText"/>
        <w:rPr>
          <w:sz w:val="12"/>
        </w:rPr>
      </w:pPr>
    </w:p>
    <w:p>
      <w:pPr>
        <w:pStyle w:val="BodyText"/>
        <w:rPr>
          <w:sz w:val="12"/>
        </w:rPr>
      </w:pPr>
    </w:p>
    <w:p>
      <w:pPr>
        <w:pStyle w:val="BodyText"/>
        <w:spacing w:before="2"/>
        <w:rPr>
          <w:sz w:val="14"/>
        </w:rPr>
      </w:pPr>
    </w:p>
    <w:p>
      <w:pPr>
        <w:spacing w:before="0"/>
        <w:ind w:left="-2" w:right="0" w:firstLine="0"/>
        <w:jc w:val="left"/>
        <w:rPr>
          <w:sz w:val="12"/>
        </w:rPr>
      </w:pPr>
      <w:r>
        <w:rPr>
          <w:sz w:val="12"/>
        </w:rPr>
        <w:t>110</w:t>
      </w:r>
    </w:p>
    <w:p>
      <w:pPr>
        <w:pStyle w:val="BodyText"/>
        <w:rPr>
          <w:sz w:val="12"/>
        </w:rPr>
      </w:pPr>
    </w:p>
    <w:p>
      <w:pPr>
        <w:pStyle w:val="BodyText"/>
        <w:rPr>
          <w:sz w:val="12"/>
        </w:rPr>
      </w:pPr>
    </w:p>
    <w:p>
      <w:pPr>
        <w:pStyle w:val="BodyText"/>
        <w:spacing w:before="1"/>
        <w:rPr>
          <w:sz w:val="14"/>
        </w:rPr>
      </w:pPr>
    </w:p>
    <w:p>
      <w:pPr>
        <w:spacing w:before="0"/>
        <w:ind w:left="-2" w:right="0" w:firstLine="0"/>
        <w:jc w:val="left"/>
        <w:rPr>
          <w:sz w:val="12"/>
        </w:rPr>
      </w:pPr>
      <w:r>
        <w:rPr>
          <w:sz w:val="12"/>
        </w:rPr>
        <w:t>105</w:t>
      </w:r>
    </w:p>
    <w:p>
      <w:pPr>
        <w:pStyle w:val="BodyText"/>
        <w:rPr>
          <w:sz w:val="12"/>
        </w:rPr>
      </w:pPr>
    </w:p>
    <w:p>
      <w:pPr>
        <w:pStyle w:val="BodyText"/>
        <w:rPr>
          <w:sz w:val="12"/>
        </w:rPr>
      </w:pPr>
    </w:p>
    <w:p>
      <w:pPr>
        <w:pStyle w:val="BodyText"/>
        <w:spacing w:before="2"/>
        <w:rPr>
          <w:sz w:val="14"/>
        </w:rPr>
      </w:pPr>
    </w:p>
    <w:p>
      <w:pPr>
        <w:spacing w:before="0"/>
        <w:ind w:left="-2" w:right="0" w:firstLine="0"/>
        <w:jc w:val="left"/>
        <w:rPr>
          <w:sz w:val="12"/>
        </w:rPr>
      </w:pPr>
      <w:r>
        <w:rPr>
          <w:sz w:val="12"/>
        </w:rPr>
        <w:t>100</w:t>
      </w:r>
    </w:p>
    <w:p>
      <w:pPr>
        <w:pStyle w:val="BodyText"/>
        <w:spacing w:line="242" w:lineRule="auto"/>
        <w:ind w:left="160" w:right="194"/>
      </w:pPr>
      <w:r>
        <w:rPr/>
        <w:br w:type="column"/>
      </w:r>
      <w:r>
        <w:rPr/>
        <w:t>projection, is 107.5, around 1</w:t>
      </w:r>
      <w:r>
        <w:rPr>
          <w:position w:val="8"/>
          <w:sz w:val="12"/>
        </w:rPr>
        <w:t>1</w:t>
      </w:r>
      <w:r>
        <w:rPr/>
        <w:t>/</w:t>
      </w:r>
      <w:r>
        <w:rPr>
          <w:sz w:val="12"/>
        </w:rPr>
        <w:t>2</w:t>
      </w:r>
      <w:r>
        <w:rPr/>
        <w:t>% above the central path assumed in the August </w:t>
      </w:r>
      <w:r>
        <w:rPr>
          <w:i/>
        </w:rPr>
        <w:t>Report</w:t>
      </w:r>
      <w:r>
        <w:rPr/>
        <w:t>. On a </w:t>
      </w:r>
      <w:r>
        <w:rPr>
          <w:spacing w:val="-4"/>
        </w:rPr>
        <w:t>five </w:t>
      </w:r>
      <w:r>
        <w:rPr/>
        <w:t>working day average basis, sterling has appreciated by around 3</w:t>
      </w:r>
      <w:r>
        <w:rPr>
          <w:position w:val="8"/>
          <w:sz w:val="12"/>
        </w:rPr>
        <w:t>1</w:t>
      </w:r>
      <w:r>
        <w:rPr/>
        <w:t>/</w:t>
      </w:r>
      <w:r>
        <w:rPr>
          <w:sz w:val="12"/>
        </w:rPr>
        <w:t>2</w:t>
      </w:r>
      <w:r>
        <w:rPr/>
        <w:t>% against</w:t>
      </w:r>
      <w:r>
        <w:rPr>
          <w:spacing w:val="-6"/>
        </w:rPr>
        <w:t> </w:t>
      </w:r>
      <w:r>
        <w:rPr/>
        <w:t>the</w:t>
      </w:r>
      <w:r>
        <w:rPr>
          <w:spacing w:val="-6"/>
        </w:rPr>
        <w:t> </w:t>
      </w:r>
      <w:r>
        <w:rPr/>
        <w:t>euro,</w:t>
      </w:r>
      <w:r>
        <w:rPr>
          <w:spacing w:val="-5"/>
        </w:rPr>
        <w:t> </w:t>
      </w:r>
      <w:r>
        <w:rPr/>
        <w:t>but</w:t>
      </w:r>
      <w:r>
        <w:rPr>
          <w:spacing w:val="-5"/>
        </w:rPr>
        <w:t> </w:t>
      </w:r>
      <w:r>
        <w:rPr/>
        <w:t>depreciated</w:t>
      </w:r>
      <w:r>
        <w:rPr>
          <w:spacing w:val="-6"/>
        </w:rPr>
        <w:t> </w:t>
      </w:r>
      <w:r>
        <w:rPr/>
        <w:t>by</w:t>
      </w:r>
      <w:r>
        <w:rPr>
          <w:spacing w:val="-6"/>
        </w:rPr>
        <w:t> </w:t>
      </w:r>
      <w:r>
        <w:rPr/>
        <w:t>around</w:t>
      </w:r>
      <w:r>
        <w:rPr>
          <w:spacing w:val="-5"/>
        </w:rPr>
        <w:t> </w:t>
      </w:r>
      <w:r>
        <w:rPr/>
        <w:t>4</w:t>
      </w:r>
      <w:r>
        <w:rPr>
          <w:position w:val="8"/>
          <w:sz w:val="12"/>
        </w:rPr>
        <w:t>1</w:t>
      </w:r>
      <w:r>
        <w:rPr/>
        <w:t>/</w:t>
      </w:r>
      <w:r>
        <w:rPr>
          <w:sz w:val="12"/>
        </w:rPr>
        <w:t>2</w:t>
      </w:r>
      <w:r>
        <w:rPr/>
        <w:t>%</w:t>
      </w:r>
      <w:r>
        <w:rPr>
          <w:spacing w:val="-6"/>
        </w:rPr>
        <w:t> </w:t>
      </w:r>
      <w:r>
        <w:rPr/>
        <w:t>against the dollar (see Chart 1.20). The sterling-dollar average of</w:t>
      </w:r>
      <w:r>
        <w:rPr>
          <w:spacing w:val="-7"/>
        </w:rPr>
        <w:t> </w:t>
      </w:r>
      <w:r>
        <w:rPr/>
        <w:t>$1.44</w:t>
      </w:r>
      <w:r>
        <w:rPr>
          <w:spacing w:val="-7"/>
        </w:rPr>
        <w:t> </w:t>
      </w:r>
      <w:r>
        <w:rPr/>
        <w:t>is</w:t>
      </w:r>
      <w:r>
        <w:rPr>
          <w:spacing w:val="-7"/>
        </w:rPr>
        <w:t> </w:t>
      </w:r>
      <w:r>
        <w:rPr/>
        <w:t>well</w:t>
      </w:r>
      <w:r>
        <w:rPr>
          <w:spacing w:val="-7"/>
        </w:rPr>
        <w:t> </w:t>
      </w:r>
      <w:r>
        <w:rPr/>
        <w:t>below</w:t>
      </w:r>
      <w:r>
        <w:rPr>
          <w:spacing w:val="-7"/>
        </w:rPr>
        <w:t> </w:t>
      </w:r>
      <w:r>
        <w:rPr/>
        <w:t>the</w:t>
      </w:r>
      <w:r>
        <w:rPr>
          <w:spacing w:val="-7"/>
        </w:rPr>
        <w:t> </w:t>
      </w:r>
      <w:r>
        <w:rPr/>
        <w:t>relatively</w:t>
      </w:r>
      <w:r>
        <w:rPr>
          <w:spacing w:val="-7"/>
        </w:rPr>
        <w:t> </w:t>
      </w:r>
      <w:r>
        <w:rPr/>
        <w:t>narrow</w:t>
      </w:r>
      <w:r>
        <w:rPr>
          <w:spacing w:val="-6"/>
        </w:rPr>
        <w:t> </w:t>
      </w:r>
      <w:r>
        <w:rPr/>
        <w:t>$1.55–$1.70 range it was trading in between 1997 and 1999.</w:t>
      </w:r>
      <w:r>
        <w:rPr>
          <w:spacing w:val="27"/>
        </w:rPr>
        <w:t> </w:t>
      </w:r>
      <w:r>
        <w:rPr/>
        <w:t>The</w:t>
      </w:r>
    </w:p>
    <w:p>
      <w:pPr>
        <w:pStyle w:val="BodyText"/>
        <w:spacing w:line="242" w:lineRule="auto"/>
        <w:ind w:left="160"/>
      </w:pPr>
      <w:r>
        <w:rPr/>
        <w:t>15-day average of the sterling ERI is 109.3, around 3% above the central path assumed in August.</w:t>
      </w:r>
    </w:p>
    <w:p>
      <w:pPr>
        <w:pStyle w:val="BodyText"/>
        <w:spacing w:before="7"/>
        <w:rPr>
          <w:sz w:val="22"/>
        </w:rPr>
      </w:pPr>
    </w:p>
    <w:p>
      <w:pPr>
        <w:pStyle w:val="BodyText"/>
        <w:spacing w:before="1"/>
        <w:ind w:left="160"/>
      </w:pPr>
      <w:r>
        <w:rPr/>
        <w:drawing>
          <wp:anchor distT="0" distB="0" distL="0" distR="0" allowOverlap="1" layoutInCell="1" locked="0" behindDoc="1" simplePos="0" relativeHeight="480475648">
            <wp:simplePos x="0" y="0"/>
            <wp:positionH relativeFrom="page">
              <wp:posOffset>759282</wp:posOffset>
            </wp:positionH>
            <wp:positionV relativeFrom="paragraph">
              <wp:posOffset>182411</wp:posOffset>
            </wp:positionV>
            <wp:extent cx="1868932" cy="76733"/>
            <wp:effectExtent l="0" t="0" r="0" b="0"/>
            <wp:wrapNone/>
            <wp:docPr id="93" name="image32.png"/>
            <wp:cNvGraphicFramePr>
              <a:graphicFrameLocks noChangeAspect="1"/>
            </wp:cNvGraphicFramePr>
            <a:graphic>
              <a:graphicData uri="http://schemas.openxmlformats.org/drawingml/2006/picture">
                <pic:pic>
                  <pic:nvPicPr>
                    <pic:cNvPr id="94" name="image32.png"/>
                    <pic:cNvPicPr/>
                  </pic:nvPicPr>
                  <pic:blipFill>
                    <a:blip r:embed="rId61" cstate="print"/>
                    <a:stretch>
                      <a:fillRect/>
                    </a:stretch>
                  </pic:blipFill>
                  <pic:spPr>
                    <a:xfrm>
                      <a:off x="0" y="0"/>
                      <a:ext cx="1868932" cy="76733"/>
                    </a:xfrm>
                    <a:prstGeom prst="rect">
                      <a:avLst/>
                    </a:prstGeom>
                  </pic:spPr>
                </pic:pic>
              </a:graphicData>
            </a:graphic>
          </wp:anchor>
        </w:drawing>
      </w:r>
      <w:r>
        <w:rPr/>
        <w:t>The depreciation of sterling against the dollar has</w:t>
      </w:r>
    </w:p>
    <w:p>
      <w:pPr>
        <w:spacing w:after="0"/>
        <w:sectPr>
          <w:type w:val="continuous"/>
          <w:pgSz w:w="11900" w:h="16840"/>
          <w:pgMar w:top="1260" w:bottom="280" w:left="640" w:right="640"/>
          <w:cols w:num="5" w:equalWidth="0">
            <w:col w:w="371" w:space="40"/>
            <w:col w:w="926" w:space="1454"/>
            <w:col w:w="708" w:space="40"/>
            <w:col w:w="219" w:space="1068"/>
            <w:col w:w="5794"/>
          </w:cols>
        </w:sectPr>
      </w:pPr>
    </w:p>
    <w:p>
      <w:pPr>
        <w:spacing w:before="51"/>
        <w:ind w:left="160" w:right="0" w:firstLine="0"/>
        <w:jc w:val="left"/>
        <w:rPr>
          <w:sz w:val="12"/>
        </w:rPr>
      </w:pPr>
      <w:r>
        <w:rPr/>
        <w:drawing>
          <wp:anchor distT="0" distB="0" distL="0" distR="0" allowOverlap="1" layoutInCell="1" locked="0" behindDoc="0" simplePos="0" relativeHeight="15811584">
            <wp:simplePos x="0" y="0"/>
            <wp:positionH relativeFrom="page">
              <wp:posOffset>655485</wp:posOffset>
            </wp:positionH>
            <wp:positionV relativeFrom="paragraph">
              <wp:posOffset>76956</wp:posOffset>
            </wp:positionV>
            <wp:extent cx="55016" cy="6350"/>
            <wp:effectExtent l="0" t="0" r="0" b="0"/>
            <wp:wrapNone/>
            <wp:docPr id="95" name="image14.png"/>
            <wp:cNvGraphicFramePr>
              <a:graphicFrameLocks noChangeAspect="1"/>
            </wp:cNvGraphicFramePr>
            <a:graphic>
              <a:graphicData uri="http://schemas.openxmlformats.org/drawingml/2006/picture">
                <pic:pic>
                  <pic:nvPicPr>
                    <pic:cNvPr id="96" name="image14.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1.30</w:t>
      </w:r>
    </w:p>
    <w:p>
      <w:pPr>
        <w:tabs>
          <w:tab w:pos="3187" w:val="left" w:leader="none"/>
        </w:tabs>
        <w:spacing w:before="47"/>
        <w:ind w:left="82" w:right="0" w:firstLine="0"/>
        <w:jc w:val="left"/>
        <w:rPr>
          <w:sz w:val="12"/>
        </w:rPr>
      </w:pPr>
      <w:r>
        <w:rPr/>
        <w:br w:type="column"/>
      </w:r>
      <w:r>
        <w:rPr>
          <w:sz w:val="12"/>
        </w:rPr>
        <w:t>Jan.    May   Sept.    Jan.    May   Sept.    Jan.  </w:t>
      </w:r>
      <w:r>
        <w:rPr>
          <w:spacing w:val="5"/>
          <w:sz w:val="12"/>
        </w:rPr>
        <w:t> </w:t>
      </w:r>
      <w:r>
        <w:rPr>
          <w:sz w:val="12"/>
        </w:rPr>
        <w:t>May  </w:t>
      </w:r>
      <w:r>
        <w:rPr>
          <w:spacing w:val="2"/>
          <w:sz w:val="12"/>
        </w:rPr>
        <w:t> </w:t>
      </w:r>
      <w:r>
        <w:rPr>
          <w:sz w:val="12"/>
        </w:rPr>
        <w:t>Sept.</w:t>
        <w:tab/>
      </w:r>
      <w:r>
        <w:rPr>
          <w:position w:val="9"/>
          <w:sz w:val="12"/>
        </w:rPr>
        <w:t>95</w:t>
      </w:r>
    </w:p>
    <w:p>
      <w:pPr>
        <w:pStyle w:val="BodyText"/>
        <w:spacing w:before="4"/>
        <w:ind w:left="160"/>
      </w:pPr>
      <w:r>
        <w:rPr/>
        <w:br w:type="column"/>
      </w:r>
      <w:r>
        <w:rPr/>
        <w:t>occurred during a period in which long-run forecasts of</w:t>
      </w:r>
    </w:p>
    <w:p>
      <w:pPr>
        <w:spacing w:after="0"/>
        <w:sectPr>
          <w:type w:val="continuous"/>
          <w:pgSz w:w="11900" w:h="16840"/>
          <w:pgMar w:top="1260" w:bottom="280" w:left="640" w:right="640"/>
          <w:cols w:num="3" w:equalWidth="0">
            <w:col w:w="371" w:space="40"/>
            <w:col w:w="3348" w:space="1067"/>
            <w:col w:w="5794"/>
          </w:cols>
        </w:sectPr>
      </w:pPr>
    </w:p>
    <w:p>
      <w:pPr>
        <w:tabs>
          <w:tab w:pos="1958" w:val="left" w:leader="none"/>
        </w:tabs>
        <w:spacing w:before="30"/>
        <w:ind w:left="938" w:right="0" w:firstLine="0"/>
        <w:jc w:val="left"/>
        <w:rPr>
          <w:sz w:val="12"/>
        </w:rPr>
      </w:pPr>
      <w:r>
        <w:rPr>
          <w:sz w:val="12"/>
        </w:rPr>
        <w:t>1998</w:t>
        <w:tab/>
        <w:t>99</w:t>
      </w:r>
    </w:p>
    <w:p>
      <w:pPr>
        <w:spacing w:before="54"/>
        <w:ind w:left="165" w:right="0" w:firstLine="0"/>
        <w:jc w:val="left"/>
        <w:rPr>
          <w:sz w:val="12"/>
        </w:rPr>
      </w:pPr>
      <w:r>
        <w:rPr>
          <w:sz w:val="12"/>
        </w:rPr>
        <w:t>Source: Bank of England.</w:t>
      </w:r>
    </w:p>
    <w:p>
      <w:pPr>
        <w:pStyle w:val="BodyText"/>
        <w:rPr>
          <w:sz w:val="12"/>
        </w:rPr>
      </w:pPr>
    </w:p>
    <w:p>
      <w:pPr>
        <w:pStyle w:val="BodyText"/>
        <w:rPr>
          <w:sz w:val="12"/>
        </w:rPr>
      </w:pPr>
    </w:p>
    <w:p>
      <w:pPr>
        <w:pStyle w:val="BodyText"/>
        <w:rPr>
          <w:sz w:val="12"/>
        </w:rPr>
      </w:pPr>
    </w:p>
    <w:p>
      <w:pPr>
        <w:pStyle w:val="BodyText"/>
        <w:spacing w:before="11"/>
        <w:rPr>
          <w:sz w:val="16"/>
        </w:rPr>
      </w:pPr>
    </w:p>
    <w:p>
      <w:pPr>
        <w:spacing w:line="165" w:lineRule="exact" w:before="0"/>
        <w:ind w:left="185" w:right="0" w:firstLine="0"/>
        <w:jc w:val="left"/>
        <w:rPr>
          <w:b/>
          <w:sz w:val="20"/>
        </w:rPr>
      </w:pPr>
      <w:r>
        <w:rPr>
          <w:b/>
          <w:color w:val="0092C7"/>
          <w:sz w:val="20"/>
        </w:rPr>
        <w:t>Chart 1.21</w:t>
      </w:r>
    </w:p>
    <w:p>
      <w:pPr>
        <w:spacing w:before="30"/>
        <w:ind w:left="165" w:right="0" w:firstLine="0"/>
        <w:jc w:val="left"/>
        <w:rPr>
          <w:sz w:val="12"/>
        </w:rPr>
      </w:pPr>
      <w:r>
        <w:rPr/>
        <w:br w:type="column"/>
      </w:r>
      <w:r>
        <w:rPr>
          <w:sz w:val="12"/>
        </w:rPr>
        <w:t>2000</w:t>
      </w:r>
    </w:p>
    <w:p>
      <w:pPr>
        <w:pStyle w:val="BodyText"/>
        <w:spacing w:line="242" w:lineRule="auto" w:before="4"/>
        <w:ind w:left="165"/>
      </w:pPr>
      <w:r>
        <w:rPr/>
        <w:br w:type="column"/>
      </w:r>
      <w:r>
        <w:rPr/>
        <w:t>real GDP growth in the United States have increased significantly relative to those in the United Kingdom. Higher prospective real growth in the United States is consistent with higher expected real returns, measured in</w:t>
      </w:r>
    </w:p>
    <w:p>
      <w:pPr>
        <w:spacing w:after="0" w:line="242" w:lineRule="auto"/>
        <w:sectPr>
          <w:type w:val="continuous"/>
          <w:pgSz w:w="11900" w:h="16840"/>
          <w:pgMar w:top="1260" w:bottom="280" w:left="640" w:right="640"/>
          <w:cols w:num="3" w:equalWidth="0">
            <w:col w:w="2119" w:space="593"/>
            <w:col w:w="446" w:space="1662"/>
            <w:col w:w="5800"/>
          </w:cols>
        </w:sectPr>
      </w:pPr>
    </w:p>
    <w:p>
      <w:pPr>
        <w:spacing w:line="249" w:lineRule="auto" w:before="75"/>
        <w:ind w:left="185" w:right="16" w:firstLine="0"/>
        <w:jc w:val="left"/>
        <w:rPr>
          <w:b/>
          <w:sz w:val="20"/>
        </w:rPr>
      </w:pPr>
      <w:r>
        <w:rPr>
          <w:b/>
          <w:color w:val="0092C7"/>
          <w:sz w:val="20"/>
        </w:rPr>
        <w:t>Implied and historical correlations between sterling and the dollar versus the euro</w:t>
      </w:r>
    </w:p>
    <w:p>
      <w:pPr>
        <w:spacing w:before="69"/>
        <w:ind w:left="0" w:right="468" w:firstLine="0"/>
        <w:jc w:val="right"/>
        <w:rPr>
          <w:sz w:val="12"/>
        </w:rPr>
      </w:pPr>
      <w:r>
        <w:rPr/>
        <w:drawing>
          <wp:anchor distT="0" distB="0" distL="0" distR="0" allowOverlap="1" layoutInCell="1" locked="0" behindDoc="0" simplePos="0" relativeHeight="15815680">
            <wp:simplePos x="0" y="0"/>
            <wp:positionH relativeFrom="page">
              <wp:posOffset>520001</wp:posOffset>
            </wp:positionH>
            <wp:positionV relativeFrom="paragraph">
              <wp:posOffset>85122</wp:posOffset>
            </wp:positionV>
            <wp:extent cx="55029" cy="6350"/>
            <wp:effectExtent l="0" t="0" r="0" b="0"/>
            <wp:wrapNone/>
            <wp:docPr id="97" name="image24.png"/>
            <wp:cNvGraphicFramePr>
              <a:graphicFrameLocks noChangeAspect="1"/>
            </wp:cNvGraphicFramePr>
            <a:graphic>
              <a:graphicData uri="http://schemas.openxmlformats.org/drawingml/2006/picture">
                <pic:pic>
                  <pic:nvPicPr>
                    <pic:cNvPr id="98" name="image24.png"/>
                    <pic:cNvPicPr/>
                  </pic:nvPicPr>
                  <pic:blipFill>
                    <a:blip r:embed="rId53"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5820288">
            <wp:simplePos x="0" y="0"/>
            <wp:positionH relativeFrom="page">
              <wp:posOffset>2432189</wp:posOffset>
            </wp:positionH>
            <wp:positionV relativeFrom="paragraph">
              <wp:posOffset>85109</wp:posOffset>
            </wp:positionV>
            <wp:extent cx="55016" cy="6350"/>
            <wp:effectExtent l="0" t="0" r="0" b="0"/>
            <wp:wrapNone/>
            <wp:docPr id="99" name="image14.png"/>
            <wp:cNvGraphicFramePr>
              <a:graphicFrameLocks noChangeAspect="1"/>
            </wp:cNvGraphicFramePr>
            <a:graphic>
              <a:graphicData uri="http://schemas.openxmlformats.org/drawingml/2006/picture">
                <pic:pic>
                  <pic:nvPicPr>
                    <pic:cNvPr id="100" name="image14.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1.0</w:t>
      </w:r>
    </w:p>
    <w:p>
      <w:pPr>
        <w:pStyle w:val="BodyText"/>
        <w:spacing w:line="242" w:lineRule="auto"/>
        <w:ind w:left="178" w:right="204"/>
      </w:pPr>
      <w:r>
        <w:rPr/>
        <w:br w:type="column"/>
      </w:r>
      <w:r>
        <w:rPr/>
        <w:t>domestic currency, from investing in US assets relative to those in other countries. Those higher expected returns have attracted capital into the United States, to</w:t>
      </w:r>
    </w:p>
    <w:p>
      <w:pPr>
        <w:spacing w:after="0" w:line="242" w:lineRule="auto"/>
        <w:sectPr>
          <w:type w:val="continuous"/>
          <w:pgSz w:w="11900" w:h="16840"/>
          <w:pgMar w:top="1260" w:bottom="280" w:left="640" w:right="640"/>
          <w:cols w:num="2" w:equalWidth="0">
            <w:col w:w="3932" w:space="874"/>
            <w:col w:w="5814"/>
          </w:cols>
        </w:sectPr>
      </w:pPr>
    </w:p>
    <w:p>
      <w:pPr>
        <w:pStyle w:val="BodyText"/>
        <w:spacing w:before="7"/>
        <w:rPr>
          <w:sz w:val="9"/>
        </w:rPr>
      </w:pPr>
    </w:p>
    <w:p>
      <w:pPr>
        <w:spacing w:before="0"/>
        <w:ind w:left="1481" w:right="0" w:firstLine="0"/>
        <w:jc w:val="left"/>
        <w:rPr>
          <w:sz w:val="12"/>
        </w:rPr>
      </w:pPr>
      <w:r>
        <w:rPr/>
        <w:pict>
          <v:group style="position:absolute;margin-left:40.945pt;margin-top:5.361566pt;width:147.050pt;height:128.9500pt;mso-position-horizontal-relative:page;mso-position-vertical-relative:paragraph;z-index:15815168" coordorigin="819,107" coordsize="2941,2579">
            <v:shape style="position:absolute;left:818;top:107;width:2941;height:2579" type="#_x0000_t75" stroked="false">
              <v:imagedata r:id="rId62" o:title=""/>
            </v:shape>
            <v:shape style="position:absolute;left:2075;top:1324;width:1190;height:254" type="#_x0000_t202" filled="false" stroked="false">
              <v:textbox inset="0,0,0,0">
                <w:txbxContent>
                  <w:p>
                    <w:pPr>
                      <w:spacing w:line="124" w:lineRule="exact" w:before="0"/>
                      <w:ind w:left="0" w:right="0" w:firstLine="0"/>
                      <w:jc w:val="left"/>
                      <w:rPr>
                        <w:sz w:val="12"/>
                      </w:rPr>
                    </w:pPr>
                    <w:r>
                      <w:rPr>
                        <w:sz w:val="12"/>
                      </w:rPr>
                      <w:t>Implied correlation</w:t>
                    </w:r>
                  </w:p>
                  <w:p>
                    <w:pPr>
                      <w:spacing w:line="129" w:lineRule="exact" w:before="0"/>
                      <w:ind w:left="60" w:right="0" w:firstLine="0"/>
                      <w:jc w:val="left"/>
                      <w:rPr>
                        <w:sz w:val="12"/>
                      </w:rPr>
                    </w:pPr>
                    <w:r>
                      <w:rPr>
                        <w:sz w:val="12"/>
                      </w:rPr>
                      <w:t>in twelve months’ time</w:t>
                    </w:r>
                  </w:p>
                </w:txbxContent>
              </v:textbox>
              <w10:wrap type="none"/>
            </v:shape>
            <w10:wrap type="none"/>
          </v:group>
        </w:pict>
      </w:r>
      <w:r>
        <w:rPr>
          <w:sz w:val="12"/>
        </w:rPr>
        <w:t>Historical correlation (a)</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3"/>
        <w:ind w:left="499" w:right="118" w:firstLine="0"/>
        <w:jc w:val="center"/>
        <w:rPr>
          <w:sz w:val="12"/>
        </w:rPr>
      </w:pPr>
      <w:r>
        <w:rPr>
          <w:sz w:val="12"/>
        </w:rPr>
        <w:t>Jan. Feb. Mar. Apr. May June July Aug. Sept. Oct.</w:t>
      </w:r>
    </w:p>
    <w:p>
      <w:pPr>
        <w:spacing w:before="25"/>
        <w:ind w:left="499" w:right="94" w:firstLine="0"/>
        <w:jc w:val="center"/>
        <w:rPr>
          <w:sz w:val="12"/>
        </w:rPr>
      </w:pPr>
      <w:r>
        <w:rPr>
          <w:sz w:val="12"/>
        </w:rPr>
        <w:t>2000</w:t>
      </w:r>
    </w:p>
    <w:p>
      <w:pPr>
        <w:spacing w:before="54"/>
        <w:ind w:left="181" w:right="1636" w:firstLine="0"/>
        <w:jc w:val="center"/>
        <w:rPr>
          <w:sz w:val="12"/>
        </w:rPr>
      </w:pPr>
      <w:r>
        <w:rPr>
          <w:sz w:val="12"/>
        </w:rPr>
        <w:t>Source: Bank of England.</w:t>
      </w:r>
    </w:p>
    <w:p>
      <w:pPr>
        <w:spacing w:before="102"/>
        <w:ind w:left="185" w:right="0" w:firstLine="0"/>
        <w:jc w:val="left"/>
        <w:rPr>
          <w:sz w:val="12"/>
        </w:rPr>
      </w:pPr>
      <w:r>
        <w:rPr>
          <w:sz w:val="12"/>
        </w:rPr>
        <w:t>(a) Exponentially weighted 20-day rolling window.</w:t>
      </w:r>
    </w:p>
    <w:p>
      <w:pPr>
        <w:pStyle w:val="BodyText"/>
        <w:spacing w:before="3"/>
        <w:rPr>
          <w:sz w:val="13"/>
        </w:rPr>
      </w:pPr>
      <w:r>
        <w:rPr/>
        <w:br w:type="column"/>
      </w:r>
      <w:r>
        <w:rPr>
          <w:sz w:val="13"/>
        </w:rPr>
      </w:r>
    </w:p>
    <w:p>
      <w:pPr>
        <w:spacing w:before="0"/>
        <w:ind w:left="173" w:right="0" w:firstLine="0"/>
        <w:jc w:val="left"/>
        <w:rPr>
          <w:sz w:val="12"/>
        </w:rPr>
      </w:pPr>
      <w:r>
        <w:rPr>
          <w:sz w:val="12"/>
        </w:rPr>
        <w:t>0.9</w:t>
      </w:r>
    </w:p>
    <w:p>
      <w:pPr>
        <w:pStyle w:val="BodyText"/>
        <w:rPr>
          <w:sz w:val="12"/>
        </w:rPr>
      </w:pPr>
    </w:p>
    <w:p>
      <w:pPr>
        <w:spacing w:before="91"/>
        <w:ind w:left="173" w:right="0" w:firstLine="0"/>
        <w:jc w:val="left"/>
        <w:rPr>
          <w:sz w:val="12"/>
        </w:rPr>
      </w:pPr>
      <w:r>
        <w:rPr/>
        <w:drawing>
          <wp:anchor distT="0" distB="0" distL="0" distR="0" allowOverlap="1" layoutInCell="1" locked="0" behindDoc="0" simplePos="0" relativeHeight="15816192">
            <wp:simplePos x="0" y="0"/>
            <wp:positionH relativeFrom="page">
              <wp:posOffset>2432189</wp:posOffset>
            </wp:positionH>
            <wp:positionV relativeFrom="paragraph">
              <wp:posOffset>-133487</wp:posOffset>
            </wp:positionV>
            <wp:extent cx="55016" cy="6350"/>
            <wp:effectExtent l="0" t="0" r="0" b="0"/>
            <wp:wrapNone/>
            <wp:docPr id="101" name="image14.png"/>
            <wp:cNvGraphicFramePr>
              <a:graphicFrameLocks noChangeAspect="1"/>
            </wp:cNvGraphicFramePr>
            <a:graphic>
              <a:graphicData uri="http://schemas.openxmlformats.org/drawingml/2006/picture">
                <pic:pic>
                  <pic:nvPicPr>
                    <pic:cNvPr id="102" name="image14.png"/>
                    <pic:cNvPicPr/>
                  </pic:nvPicPr>
                  <pic:blipFill>
                    <a:blip r:embed="rId39" cstate="print"/>
                    <a:stretch>
                      <a:fillRect/>
                    </a:stretch>
                  </pic:blipFill>
                  <pic:spPr>
                    <a:xfrm>
                      <a:off x="0" y="0"/>
                      <a:ext cx="55016" cy="6350"/>
                    </a:xfrm>
                    <a:prstGeom prst="rect">
                      <a:avLst/>
                    </a:prstGeom>
                  </pic:spPr>
                </pic:pic>
              </a:graphicData>
            </a:graphic>
          </wp:anchor>
        </w:drawing>
      </w:r>
      <w:r>
        <w:rPr/>
        <w:drawing>
          <wp:anchor distT="0" distB="0" distL="0" distR="0" allowOverlap="1" layoutInCell="1" locked="0" behindDoc="0" simplePos="0" relativeHeight="15816704">
            <wp:simplePos x="0" y="0"/>
            <wp:positionH relativeFrom="page">
              <wp:posOffset>2432189</wp:posOffset>
            </wp:positionH>
            <wp:positionV relativeFrom="paragraph">
              <wp:posOffset>99481</wp:posOffset>
            </wp:positionV>
            <wp:extent cx="55016" cy="6350"/>
            <wp:effectExtent l="0" t="0" r="0" b="0"/>
            <wp:wrapNone/>
            <wp:docPr id="103" name="image14.png"/>
            <wp:cNvGraphicFramePr>
              <a:graphicFrameLocks noChangeAspect="1"/>
            </wp:cNvGraphicFramePr>
            <a:graphic>
              <a:graphicData uri="http://schemas.openxmlformats.org/drawingml/2006/picture">
                <pic:pic>
                  <pic:nvPicPr>
                    <pic:cNvPr id="104" name="image14.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0.8</w:t>
      </w:r>
    </w:p>
    <w:p>
      <w:pPr>
        <w:pStyle w:val="BodyText"/>
        <w:rPr>
          <w:sz w:val="12"/>
        </w:rPr>
      </w:pPr>
    </w:p>
    <w:p>
      <w:pPr>
        <w:spacing w:before="90"/>
        <w:ind w:left="173" w:right="0" w:firstLine="0"/>
        <w:jc w:val="left"/>
        <w:rPr>
          <w:sz w:val="12"/>
        </w:rPr>
      </w:pPr>
      <w:r>
        <w:rPr/>
        <w:drawing>
          <wp:anchor distT="0" distB="0" distL="0" distR="0" allowOverlap="1" layoutInCell="1" locked="0" behindDoc="0" simplePos="0" relativeHeight="15817216">
            <wp:simplePos x="0" y="0"/>
            <wp:positionH relativeFrom="page">
              <wp:posOffset>2432189</wp:posOffset>
            </wp:positionH>
            <wp:positionV relativeFrom="paragraph">
              <wp:posOffset>99034</wp:posOffset>
            </wp:positionV>
            <wp:extent cx="55016" cy="6350"/>
            <wp:effectExtent l="0" t="0" r="0" b="0"/>
            <wp:wrapNone/>
            <wp:docPr id="105" name="image14.png"/>
            <wp:cNvGraphicFramePr>
              <a:graphicFrameLocks noChangeAspect="1"/>
            </wp:cNvGraphicFramePr>
            <a:graphic>
              <a:graphicData uri="http://schemas.openxmlformats.org/drawingml/2006/picture">
                <pic:pic>
                  <pic:nvPicPr>
                    <pic:cNvPr id="106" name="image14.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0.7</w:t>
      </w:r>
    </w:p>
    <w:p>
      <w:pPr>
        <w:pStyle w:val="BodyText"/>
        <w:rPr>
          <w:sz w:val="12"/>
        </w:rPr>
      </w:pPr>
    </w:p>
    <w:p>
      <w:pPr>
        <w:spacing w:before="91"/>
        <w:ind w:left="173" w:right="0" w:firstLine="0"/>
        <w:jc w:val="left"/>
        <w:rPr>
          <w:sz w:val="12"/>
        </w:rPr>
      </w:pPr>
      <w:r>
        <w:rPr/>
        <w:drawing>
          <wp:anchor distT="0" distB="0" distL="0" distR="0" allowOverlap="1" layoutInCell="1" locked="0" behindDoc="0" simplePos="0" relativeHeight="15817728">
            <wp:simplePos x="0" y="0"/>
            <wp:positionH relativeFrom="page">
              <wp:posOffset>2432189</wp:posOffset>
            </wp:positionH>
            <wp:positionV relativeFrom="paragraph">
              <wp:posOffset>99882</wp:posOffset>
            </wp:positionV>
            <wp:extent cx="55016" cy="6350"/>
            <wp:effectExtent l="0" t="0" r="0" b="0"/>
            <wp:wrapNone/>
            <wp:docPr id="107" name="image17.png"/>
            <wp:cNvGraphicFramePr>
              <a:graphicFrameLocks noChangeAspect="1"/>
            </wp:cNvGraphicFramePr>
            <a:graphic>
              <a:graphicData uri="http://schemas.openxmlformats.org/drawingml/2006/picture">
                <pic:pic>
                  <pic:nvPicPr>
                    <pic:cNvPr id="108"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0.6</w:t>
      </w:r>
    </w:p>
    <w:p>
      <w:pPr>
        <w:pStyle w:val="BodyText"/>
        <w:rPr>
          <w:sz w:val="12"/>
        </w:rPr>
      </w:pPr>
    </w:p>
    <w:p>
      <w:pPr>
        <w:spacing w:before="90"/>
        <w:ind w:left="173" w:right="0" w:firstLine="0"/>
        <w:jc w:val="left"/>
        <w:rPr>
          <w:sz w:val="12"/>
        </w:rPr>
      </w:pPr>
      <w:r>
        <w:rPr/>
        <w:drawing>
          <wp:anchor distT="0" distB="0" distL="0" distR="0" allowOverlap="1" layoutInCell="1" locked="0" behindDoc="0" simplePos="0" relativeHeight="15818240">
            <wp:simplePos x="0" y="0"/>
            <wp:positionH relativeFrom="page">
              <wp:posOffset>2432189</wp:posOffset>
            </wp:positionH>
            <wp:positionV relativeFrom="paragraph">
              <wp:posOffset>99435</wp:posOffset>
            </wp:positionV>
            <wp:extent cx="55016" cy="6350"/>
            <wp:effectExtent l="0" t="0" r="0" b="0"/>
            <wp:wrapNone/>
            <wp:docPr id="109" name="image17.png"/>
            <wp:cNvGraphicFramePr>
              <a:graphicFrameLocks noChangeAspect="1"/>
            </wp:cNvGraphicFramePr>
            <a:graphic>
              <a:graphicData uri="http://schemas.openxmlformats.org/drawingml/2006/picture">
                <pic:pic>
                  <pic:nvPicPr>
                    <pic:cNvPr id="110"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0.5</w:t>
      </w:r>
    </w:p>
    <w:p>
      <w:pPr>
        <w:pStyle w:val="BodyText"/>
        <w:rPr>
          <w:sz w:val="12"/>
        </w:rPr>
      </w:pPr>
    </w:p>
    <w:p>
      <w:pPr>
        <w:spacing w:before="91"/>
        <w:ind w:left="173" w:right="0" w:firstLine="0"/>
        <w:jc w:val="left"/>
        <w:rPr>
          <w:sz w:val="12"/>
        </w:rPr>
      </w:pPr>
      <w:r>
        <w:rPr/>
        <w:drawing>
          <wp:anchor distT="0" distB="0" distL="0" distR="0" allowOverlap="1" layoutInCell="1" locked="0" behindDoc="0" simplePos="0" relativeHeight="15819264">
            <wp:simplePos x="0" y="0"/>
            <wp:positionH relativeFrom="page">
              <wp:posOffset>2432189</wp:posOffset>
            </wp:positionH>
            <wp:positionV relativeFrom="paragraph">
              <wp:posOffset>100283</wp:posOffset>
            </wp:positionV>
            <wp:extent cx="55016" cy="6350"/>
            <wp:effectExtent l="0" t="0" r="0" b="0"/>
            <wp:wrapNone/>
            <wp:docPr id="111" name="image17.png"/>
            <wp:cNvGraphicFramePr>
              <a:graphicFrameLocks noChangeAspect="1"/>
            </wp:cNvGraphicFramePr>
            <a:graphic>
              <a:graphicData uri="http://schemas.openxmlformats.org/drawingml/2006/picture">
                <pic:pic>
                  <pic:nvPicPr>
                    <pic:cNvPr id="112"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0.4</w:t>
      </w:r>
    </w:p>
    <w:p>
      <w:pPr>
        <w:pStyle w:val="BodyText"/>
        <w:rPr>
          <w:sz w:val="12"/>
        </w:rPr>
      </w:pPr>
    </w:p>
    <w:p>
      <w:pPr>
        <w:spacing w:before="90"/>
        <w:ind w:left="173" w:right="0" w:firstLine="0"/>
        <w:jc w:val="left"/>
        <w:rPr>
          <w:sz w:val="12"/>
        </w:rPr>
      </w:pPr>
      <w:r>
        <w:rPr/>
        <w:drawing>
          <wp:anchor distT="0" distB="0" distL="0" distR="0" allowOverlap="1" layoutInCell="1" locked="0" behindDoc="0" simplePos="0" relativeHeight="15818752">
            <wp:simplePos x="0" y="0"/>
            <wp:positionH relativeFrom="page">
              <wp:posOffset>2432189</wp:posOffset>
            </wp:positionH>
            <wp:positionV relativeFrom="paragraph">
              <wp:posOffset>99836</wp:posOffset>
            </wp:positionV>
            <wp:extent cx="55016" cy="6350"/>
            <wp:effectExtent l="0" t="0" r="0" b="0"/>
            <wp:wrapNone/>
            <wp:docPr id="113" name="image17.png"/>
            <wp:cNvGraphicFramePr>
              <a:graphicFrameLocks noChangeAspect="1"/>
            </wp:cNvGraphicFramePr>
            <a:graphic>
              <a:graphicData uri="http://schemas.openxmlformats.org/drawingml/2006/picture">
                <pic:pic>
                  <pic:nvPicPr>
                    <pic:cNvPr id="114"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0.3</w:t>
      </w:r>
    </w:p>
    <w:p>
      <w:pPr>
        <w:pStyle w:val="BodyText"/>
        <w:rPr>
          <w:sz w:val="12"/>
        </w:rPr>
      </w:pPr>
    </w:p>
    <w:p>
      <w:pPr>
        <w:spacing w:before="91"/>
        <w:ind w:left="173" w:right="0" w:firstLine="0"/>
        <w:jc w:val="left"/>
        <w:rPr>
          <w:sz w:val="12"/>
        </w:rPr>
      </w:pPr>
      <w:r>
        <w:rPr/>
        <w:drawing>
          <wp:anchor distT="0" distB="0" distL="0" distR="0" allowOverlap="1" layoutInCell="1" locked="0" behindDoc="0" simplePos="0" relativeHeight="15819776">
            <wp:simplePos x="0" y="0"/>
            <wp:positionH relativeFrom="page">
              <wp:posOffset>2432189</wp:posOffset>
            </wp:positionH>
            <wp:positionV relativeFrom="paragraph">
              <wp:posOffset>100672</wp:posOffset>
            </wp:positionV>
            <wp:extent cx="55016" cy="6350"/>
            <wp:effectExtent l="0" t="0" r="0" b="0"/>
            <wp:wrapNone/>
            <wp:docPr id="115" name="image14.png"/>
            <wp:cNvGraphicFramePr>
              <a:graphicFrameLocks noChangeAspect="1"/>
            </wp:cNvGraphicFramePr>
            <a:graphic>
              <a:graphicData uri="http://schemas.openxmlformats.org/drawingml/2006/picture">
                <pic:pic>
                  <pic:nvPicPr>
                    <pic:cNvPr id="116" name="image14.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0.2</w:t>
      </w:r>
    </w:p>
    <w:p>
      <w:pPr>
        <w:pStyle w:val="BodyText"/>
        <w:spacing w:line="242" w:lineRule="auto"/>
        <w:ind w:left="185" w:right="256"/>
      </w:pPr>
      <w:r>
        <w:rPr/>
        <w:br w:type="column"/>
      </w:r>
      <w:r>
        <w:rPr/>
        <w:t>finance the gap between domestic investment and saving. If the expected returns from holding dollar assets relative to those in other currencies are to be equalised, then the dollar must appreciate to the point where its expected future depreciation offsets the different rates of return in domestic currencies. The October Consensus Economics survey suggests that the dollar is expected to depreciate against sterling over the next five years to a rate of $1.59.</w:t>
      </w:r>
    </w:p>
    <w:p>
      <w:pPr>
        <w:pStyle w:val="BodyText"/>
        <w:spacing w:before="1"/>
        <w:rPr>
          <w:sz w:val="23"/>
        </w:rPr>
      </w:pPr>
    </w:p>
    <w:p>
      <w:pPr>
        <w:pStyle w:val="BodyText"/>
        <w:spacing w:line="242" w:lineRule="auto"/>
        <w:ind w:left="185" w:right="218"/>
      </w:pPr>
      <w:r>
        <w:rPr/>
        <w:t>The correlation between movements in sterling and the dollar against the euro has fallen sharply recently (see Chart 1.21). The prices of options contracts on the</w:t>
      </w:r>
    </w:p>
    <w:p>
      <w:pPr>
        <w:spacing w:after="0" w:line="242" w:lineRule="auto"/>
        <w:sectPr>
          <w:type w:val="continuous"/>
          <w:pgSz w:w="11900" w:h="16840"/>
          <w:pgMar w:top="1260" w:bottom="280" w:left="640" w:right="640"/>
          <w:cols w:num="3" w:equalWidth="0">
            <w:col w:w="3098" w:space="40"/>
            <w:col w:w="364" w:space="1298"/>
            <w:col w:w="5820"/>
          </w:cols>
        </w:sectPr>
      </w:pPr>
    </w:p>
    <w:p>
      <w:pPr>
        <w:pStyle w:val="BodyText"/>
        <w:rPr>
          <w:sz w:val="20"/>
        </w:rPr>
      </w:pPr>
    </w:p>
    <w:p>
      <w:pPr>
        <w:pStyle w:val="BodyText"/>
        <w:spacing w:before="7"/>
        <w:rPr>
          <w:sz w:val="20"/>
        </w:rPr>
      </w:pPr>
    </w:p>
    <w:p>
      <w:pPr>
        <w:pStyle w:val="BodyText"/>
        <w:spacing w:line="242" w:lineRule="auto"/>
        <w:ind w:left="4980"/>
      </w:pPr>
      <w:bookmarkStart w:name="Summary" w:id="25"/>
      <w:bookmarkEnd w:id="25"/>
      <w:r>
        <w:rPr/>
      </w:r>
      <w:bookmarkStart w:name="_bookmark9" w:id="26"/>
      <w:bookmarkEnd w:id="26"/>
      <w:r>
        <w:rPr/>
      </w:r>
      <w:r>
        <w:rPr/>
        <w:t>bilateral exchange rates can be used to infer how closely the market expects them to be correlated in the future.</w:t>
      </w:r>
    </w:p>
    <w:p>
      <w:pPr>
        <w:pStyle w:val="BodyText"/>
        <w:spacing w:line="242" w:lineRule="auto" w:before="3"/>
        <w:ind w:left="4980" w:right="310"/>
      </w:pPr>
      <w:r>
        <w:rPr/>
        <w:t>The expected correlation between the sterling-euro and dollar-euro exchange rates in twelve-months’ time has changed very little and remains relatively high. So investors do not appear to associate the depreciation of sterling against the dollar in recent months with a change in the prospective relationship between sterling and the dollar </w:t>
      </w:r>
      <w:r>
        <w:rPr>
          <w:i/>
        </w:rPr>
        <w:t>vis-à-vis </w:t>
      </w:r>
      <w:r>
        <w:rPr/>
        <w:t>the euro.</w:t>
      </w:r>
    </w:p>
    <w:p>
      <w:pPr>
        <w:pStyle w:val="BodyText"/>
        <w:spacing w:before="1"/>
        <w:rPr>
          <w:sz w:val="21"/>
        </w:rPr>
      </w:pPr>
    </w:p>
    <w:p>
      <w:pPr>
        <w:pStyle w:val="Heading4"/>
        <w:numPr>
          <w:ilvl w:val="1"/>
          <w:numId w:val="3"/>
        </w:numPr>
        <w:tabs>
          <w:tab w:pos="9077" w:val="left" w:leader="none"/>
          <w:tab w:pos="9078" w:val="left" w:leader="none"/>
        </w:tabs>
        <w:spacing w:line="240" w:lineRule="auto" w:before="89" w:after="0"/>
        <w:ind w:left="9078" w:right="0" w:hanging="4098"/>
        <w:jc w:val="left"/>
      </w:pPr>
      <w:r>
        <w:rPr>
          <w:color w:val="009391"/>
          <w:u w:val="thick" w:color="0092C7"/>
        </w:rPr>
        <w:t>Summary</w:t>
      </w:r>
      <w:r>
        <w:rPr>
          <w:color w:val="009391"/>
          <w:spacing w:val="-11"/>
          <w:u w:val="thick" w:color="0092C7"/>
        </w:rPr>
        <w:t> </w:t>
      </w:r>
    </w:p>
    <w:p>
      <w:pPr>
        <w:pStyle w:val="BodyText"/>
        <w:spacing w:line="242" w:lineRule="auto" w:before="263"/>
        <w:ind w:left="4980" w:right="247"/>
      </w:pPr>
      <w:r>
        <w:rPr/>
        <w:t>All measures of money growth have risen since the August </w:t>
      </w:r>
      <w:r>
        <w:rPr>
          <w:i/>
        </w:rPr>
        <w:t>Report</w:t>
      </w:r>
      <w:r>
        <w:rPr/>
        <w:t>, pointing to continued relatively firm growth in nominal demand in the near term. Household deposit growth picked up in 2000 Q3, boosted by the Scottish Widows windfall payouts. Total household borrowing for consumption is estimated to have risen in 2000 Q2, as mortgage equity withdrawal increased.</w:t>
      </w:r>
    </w:p>
    <w:p>
      <w:pPr>
        <w:pStyle w:val="BodyText"/>
        <w:spacing w:line="242" w:lineRule="auto" w:before="9"/>
        <w:ind w:left="4980" w:right="116"/>
      </w:pPr>
      <w:r>
        <w:rPr/>
        <w:t>House price inflation has moderated since then, but the significant increase in house prices over the past two years has raised the level of housing equity available as collateral for future borrowing. Corporates continue to borrow to meet the gap between their domestic capital expenditure and the amount of internal finance available. But, in addition, borrowing has increased to fund M&amp;A activity and the purchases of mobile telecommunications licences.</w:t>
      </w:r>
    </w:p>
    <w:p>
      <w:pPr>
        <w:pStyle w:val="BodyText"/>
        <w:spacing w:before="4"/>
        <w:rPr>
          <w:sz w:val="25"/>
        </w:rPr>
      </w:pPr>
    </w:p>
    <w:p>
      <w:pPr>
        <w:pStyle w:val="BodyText"/>
        <w:spacing w:line="242" w:lineRule="auto"/>
        <w:ind w:left="4979" w:right="178"/>
      </w:pPr>
      <w:r>
        <w:rPr/>
        <w:t>Equity prices </w:t>
      </w:r>
      <w:r>
        <w:rPr>
          <w:spacing w:val="-3"/>
        </w:rPr>
        <w:t>have </w:t>
      </w:r>
      <w:r>
        <w:rPr/>
        <w:t>been slightly weaker than projected in the August </w:t>
      </w:r>
      <w:r>
        <w:rPr>
          <w:i/>
        </w:rPr>
        <w:t>Report</w:t>
      </w:r>
      <w:r>
        <w:rPr/>
        <w:t>, perhaps partly because of lower expected growth in profits and an increase in the </w:t>
      </w:r>
      <w:r>
        <w:rPr>
          <w:spacing w:val="-3"/>
        </w:rPr>
        <w:t>level </w:t>
      </w:r>
      <w:r>
        <w:rPr/>
        <w:t>of </w:t>
      </w:r>
      <w:r>
        <w:rPr>
          <w:spacing w:val="-3"/>
        </w:rPr>
        <w:t>uncertainty. </w:t>
      </w:r>
      <w:r>
        <w:rPr/>
        <w:t>Despite that, there has not been any significant widening in credit spreads on corporate bonds. Default-free interest rates represented by government bond yields </w:t>
      </w:r>
      <w:r>
        <w:rPr>
          <w:spacing w:val="-3"/>
        </w:rPr>
        <w:t>have </w:t>
      </w:r>
      <w:r>
        <w:rPr/>
        <w:t>fallen since the August </w:t>
      </w:r>
      <w:r>
        <w:rPr>
          <w:i/>
        </w:rPr>
        <w:t>Report</w:t>
      </w:r>
      <w:r>
        <w:rPr/>
        <w:t>,</w:t>
      </w:r>
      <w:r>
        <w:rPr>
          <w:spacing w:val="-7"/>
        </w:rPr>
        <w:t> </w:t>
      </w:r>
      <w:r>
        <w:rPr/>
        <w:t>as</w:t>
      </w:r>
      <w:r>
        <w:rPr>
          <w:spacing w:val="-7"/>
        </w:rPr>
        <w:t> </w:t>
      </w:r>
      <w:r>
        <w:rPr/>
        <w:t>expectations</w:t>
      </w:r>
      <w:r>
        <w:rPr>
          <w:spacing w:val="-6"/>
        </w:rPr>
        <w:t> </w:t>
      </w:r>
      <w:r>
        <w:rPr/>
        <w:t>of</w:t>
      </w:r>
      <w:r>
        <w:rPr>
          <w:spacing w:val="-7"/>
        </w:rPr>
        <w:t> </w:t>
      </w:r>
      <w:r>
        <w:rPr/>
        <w:t>future</w:t>
      </w:r>
      <w:r>
        <w:rPr>
          <w:spacing w:val="-7"/>
        </w:rPr>
        <w:t> </w:t>
      </w:r>
      <w:r>
        <w:rPr/>
        <w:t>short-term</w:t>
      </w:r>
      <w:r>
        <w:rPr>
          <w:spacing w:val="-7"/>
        </w:rPr>
        <w:t> </w:t>
      </w:r>
      <w:r>
        <w:rPr/>
        <w:t>interest</w:t>
      </w:r>
      <w:r>
        <w:rPr>
          <w:spacing w:val="-7"/>
        </w:rPr>
        <w:t> </w:t>
      </w:r>
      <w:r>
        <w:rPr/>
        <w:t>rates </w:t>
      </w:r>
      <w:r>
        <w:rPr>
          <w:spacing w:val="-3"/>
        </w:rPr>
        <w:t>have </w:t>
      </w:r>
      <w:r>
        <w:rPr/>
        <w:t>declined. Surveys and market prices indicate that official interest rates are expected to remain close to their current </w:t>
      </w:r>
      <w:r>
        <w:rPr>
          <w:spacing w:val="-3"/>
        </w:rPr>
        <w:t>level over </w:t>
      </w:r>
      <w:r>
        <w:rPr/>
        <w:t>the coming </w:t>
      </w:r>
      <w:r>
        <w:rPr>
          <w:spacing w:val="-4"/>
        </w:rPr>
        <w:t>year. </w:t>
      </w:r>
      <w:r>
        <w:rPr/>
        <w:t>And options prices appear to indicate that </w:t>
      </w:r>
      <w:r>
        <w:rPr>
          <w:spacing w:val="-3"/>
        </w:rPr>
        <w:t>investors now </w:t>
      </w:r>
      <w:r>
        <w:rPr/>
        <w:t>assess the balance of risks around future short-term interest rates to lie on the downside. Combined with survey evidence on inflation expectations, the decline in nominal interest rates suggests that expected real interest rates </w:t>
      </w:r>
      <w:r>
        <w:rPr>
          <w:spacing w:val="-3"/>
        </w:rPr>
        <w:t>have </w:t>
      </w:r>
      <w:r>
        <w:rPr/>
        <w:t>declined. The sterling </w:t>
      </w:r>
      <w:r>
        <w:rPr>
          <w:spacing w:val="-3"/>
        </w:rPr>
        <w:t>effective </w:t>
      </w:r>
      <w:r>
        <w:rPr/>
        <w:t>exchange rate has been higher than in the August central projection, with appreciation against the euro more than offsetting depreciation against the dollar in trade-weighted</w:t>
      </w:r>
      <w:r>
        <w:rPr>
          <w:spacing w:val="-34"/>
        </w:rPr>
        <w:t> </w:t>
      </w:r>
      <w:r>
        <w:rPr/>
        <w:t>terms.</w:t>
      </w:r>
    </w:p>
    <w:p>
      <w:pPr>
        <w:spacing w:after="0" w:line="242" w:lineRule="auto"/>
        <w:sectPr>
          <w:pgSz w:w="11900" w:h="16840"/>
          <w:pgMar w:header="586" w:footer="592" w:top="780" w:bottom="7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pStyle w:val="BodyText"/>
        <w:spacing w:before="9"/>
        <w:rPr>
          <w:sz w:val="18"/>
        </w:rPr>
      </w:pPr>
      <w:r>
        <w:rPr/>
        <w:pict>
          <v:shape style="position:absolute;margin-left:40pt;margin-top:12.000977pt;width:516pt;height:48pt;mso-position-horizontal-relative:page;mso-position-vertical-relative:paragraph;z-index:-15635968;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Demand and output" w:id="27"/>
                  <w:bookmarkEnd w:id="27"/>
                  <w:r>
                    <w:rPr/>
                  </w:r>
                  <w:bookmarkStart w:name="External demand" w:id="28"/>
                  <w:bookmarkEnd w:id="28"/>
                  <w:r>
                    <w:rPr/>
                  </w:r>
                  <w:bookmarkStart w:name="_bookmark10" w:id="29"/>
                  <w:bookmarkEnd w:id="29"/>
                  <w:r>
                    <w:rPr/>
                  </w:r>
                  <w:r>
                    <w:rPr>
                      <w:b/>
                      <w:color w:val="009391"/>
                      <w:sz w:val="48"/>
                    </w:rPr>
                    <w:t>Demand</w:t>
                  </w:r>
                  <w:r>
                    <w:rPr>
                      <w:b/>
                      <w:color w:val="009391"/>
                      <w:spacing w:val="-2"/>
                      <w:sz w:val="48"/>
                    </w:rPr>
                    <w:t> </w:t>
                  </w:r>
                  <w:r>
                    <w:rPr>
                      <w:b/>
                      <w:color w:val="009391"/>
                      <w:sz w:val="48"/>
                    </w:rPr>
                    <w:t>and</w:t>
                  </w:r>
                  <w:r>
                    <w:rPr>
                      <w:b/>
                      <w:color w:val="009391"/>
                      <w:spacing w:val="-1"/>
                      <w:sz w:val="48"/>
                    </w:rPr>
                    <w:t> </w:t>
                  </w:r>
                  <w:r>
                    <w:rPr>
                      <w:b/>
                      <w:color w:val="009391"/>
                      <w:sz w:val="48"/>
                    </w:rPr>
                    <w:t>output</w:t>
                    <w:tab/>
                  </w:r>
                  <w:r>
                    <w:rPr>
                      <w:b/>
                      <w:color w:val="009391"/>
                      <w:sz w:val="72"/>
                    </w:rPr>
                    <w:t>2</w:t>
                  </w:r>
                </w:p>
              </w:txbxContent>
            </v:textbox>
            <v:fill type="solid"/>
            <w10:wrap type="topAndBottom"/>
          </v:shape>
        </w:pict>
      </w:r>
    </w:p>
    <w:p>
      <w:pPr>
        <w:pStyle w:val="BodyText"/>
        <w:rPr>
          <w:sz w:val="20"/>
        </w:rPr>
      </w:pPr>
    </w:p>
    <w:p>
      <w:pPr>
        <w:pStyle w:val="BodyText"/>
        <w:rPr>
          <w:sz w:val="20"/>
        </w:rPr>
      </w:pPr>
    </w:p>
    <w:p>
      <w:pPr>
        <w:pStyle w:val="BodyText"/>
        <w:spacing w:line="242" w:lineRule="auto" w:before="218"/>
        <w:ind w:left="4980" w:right="352"/>
        <w:jc w:val="both"/>
      </w:pPr>
      <w:r>
        <w:rPr/>
        <w:t>Inflation prospects are affected by the </w:t>
      </w:r>
      <w:r>
        <w:rPr>
          <w:spacing w:val="-3"/>
        </w:rPr>
        <w:t>level </w:t>
      </w:r>
      <w:r>
        <w:rPr/>
        <w:t>of nominal demand relative to the supply capacity of the </w:t>
      </w:r>
      <w:r>
        <w:rPr>
          <w:spacing w:val="-3"/>
        </w:rPr>
        <w:t>economy. </w:t>
      </w:r>
      <w:r>
        <w:rPr/>
        <w:t>Nominal GDP at market prices rose by 1.0% in</w:t>
      </w:r>
    </w:p>
    <w:p>
      <w:pPr>
        <w:pStyle w:val="BodyText"/>
        <w:spacing w:line="242" w:lineRule="auto" w:before="4"/>
        <w:ind w:left="4980"/>
      </w:pPr>
      <w:r>
        <w:rPr/>
        <w:t>2000 Q2, broadly in line with growth in the previous quarter. But annual growth eased to 5.0% from 5.8% in Q1.</w:t>
      </w:r>
    </w:p>
    <w:p>
      <w:pPr>
        <w:pStyle w:val="BodyText"/>
        <w:spacing w:before="10"/>
        <w:rPr>
          <w:sz w:val="16"/>
        </w:rPr>
      </w:pPr>
    </w:p>
    <w:p>
      <w:pPr>
        <w:spacing w:after="0"/>
        <w:rPr>
          <w:sz w:val="16"/>
        </w:rPr>
        <w:sectPr>
          <w:headerReference w:type="default" r:id="rId63"/>
          <w:footerReference w:type="default" r:id="rId64"/>
          <w:footerReference w:type="even" r:id="rId65"/>
          <w:pgSz w:w="11900" w:h="16840"/>
          <w:pgMar w:header="0" w:footer="612" w:top="800" w:bottom="800" w:left="640" w:right="640"/>
          <w:pgNumType w:start="13"/>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rPr>
          <w:sz w:val="27"/>
        </w:rPr>
      </w:pPr>
    </w:p>
    <w:p>
      <w:pPr>
        <w:spacing w:before="0"/>
        <w:ind w:left="174" w:right="0" w:firstLine="0"/>
        <w:jc w:val="left"/>
        <w:rPr>
          <w:b/>
          <w:sz w:val="20"/>
        </w:rPr>
      </w:pPr>
      <w:r>
        <w:rPr>
          <w:b/>
          <w:color w:val="0092C7"/>
          <w:sz w:val="20"/>
        </w:rPr>
        <w:t>Chart 2.1</w:t>
      </w:r>
    </w:p>
    <w:p>
      <w:pPr>
        <w:spacing w:before="10"/>
        <w:ind w:left="174" w:right="0" w:firstLine="0"/>
        <w:jc w:val="left"/>
        <w:rPr>
          <w:b/>
          <w:sz w:val="20"/>
        </w:rPr>
      </w:pPr>
      <w:r>
        <w:rPr>
          <w:b/>
          <w:color w:val="0092C7"/>
          <w:sz w:val="20"/>
        </w:rPr>
        <w:t>World GDP and trade growth</w:t>
      </w:r>
    </w:p>
    <w:p>
      <w:pPr>
        <w:spacing w:before="146"/>
        <w:ind w:left="1646" w:right="0" w:firstLine="0"/>
        <w:jc w:val="left"/>
        <w:rPr>
          <w:sz w:val="12"/>
        </w:rPr>
      </w:pPr>
      <w:r>
        <w:rPr/>
        <w:pict>
          <v:group style="position:absolute;margin-left:43.231998pt;margin-top:14.870038pt;width:166.8pt;height:144.5pt;mso-position-horizontal-relative:page;mso-position-vertical-relative:paragraph;z-index:-22827520" coordorigin="865,297" coordsize="3336,2890">
            <v:rect style="position:absolute;left:3652;top:299;width:239;height:2879" filled="true" fillcolor="#ebf3da" stroked="false">
              <v:fill type="solid"/>
            </v:rect>
            <v:shape style="position:absolute;left:1015;top:1694;width:1613;height:840" coordorigin="1015,1695" coordsize="1613,840" path="m2507,2010l2627,2250m1015,1695l1125,1860m1125,1860l1247,1815m1247,1815l1357,1980m1357,1980l1480,2295m1480,2295l1590,2310m1590,2310l1700,2535m1700,2535l1822,2130e" filled="false" stroked="true" strokeweight="1pt" strokecolor="#008360">
              <v:path arrowok="t"/>
              <v:stroke dashstyle="solid"/>
            </v:shape>
            <v:shape style="position:absolute;left:1812;top:1774;width:705;height:365" type="#_x0000_t75" stroked="false">
              <v:imagedata r:id="rId66" o:title=""/>
            </v:shape>
            <v:shape style="position:absolute;left:2627;top:1919;width:685;height:540" coordorigin="2627,1920" coordsize="685,540" path="m2627,2250l2737,2460m2737,2460l2850,2355m2850,2355l2970,2295m2970,2295l3080,2010m3080,2010l3202,2025m3202,2025l3312,1920e" filled="false" stroked="true" strokeweight="1pt" strokecolor="#008360">
              <v:path arrowok="t"/>
              <v:stroke dashstyle="solid"/>
            </v:shape>
            <v:line style="position:absolute" from="3302,1921" to="3432,1921" stroked="true" strokeweight="1.125pt" strokecolor="#008360">
              <v:stroke dashstyle="solid"/>
            </v:line>
            <v:shape style="position:absolute;left:3422;top:1919;width:233;height:315" coordorigin="3422,1920" coordsize="233,315" path="m3422,1920l3545,2235m3545,2235l3655,2070e" filled="false" stroked="true" strokeweight="1pt" strokecolor="#008360">
              <v:path arrowok="t"/>
              <v:stroke dashstyle="solid"/>
            </v:shape>
            <v:shape style="position:absolute;left:3655;top:1814;width:233;height:255" coordorigin="3655,1815" coordsize="233,255" path="m3655,2070l3778,1815m3778,1815l3888,1905e" filled="false" stroked="true" strokeweight="1pt" strokecolor="#008360">
              <v:path arrowok="t"/>
              <v:stroke dashstyle="dash"/>
            </v:shape>
            <v:shape style="position:absolute;left:1015;top:779;width:1723;height:2070" coordorigin="1015,780" coordsize="1723,2070" path="m1015,780l1125,1665m1125,1665l1247,1635m1247,1635l1357,1290m1357,1290l1480,1965m1480,1965l1590,2175m1590,2175l1700,2850m1700,2850l1822,2385m1822,2385l1932,840m1932,840l2052,2070m2052,2070l2165,2010m2165,2010l2275,1500m2275,1500l2395,1005m2395,1005l2507,1170m2507,1170l2627,1635m2627,1635l2737,1845e" filled="false" stroked="true" strokeweight="1pt" strokecolor="#de0035">
              <v:path arrowok="t"/>
              <v:stroke dashstyle="solid"/>
            </v:shape>
            <v:line style="position:absolute" from="2727,1846" to="2860,1846" stroked="true" strokeweight="1.125pt" strokecolor="#de0035">
              <v:stroke dashstyle="solid"/>
            </v:line>
            <v:shape style="position:absolute;left:2850;top:749;width:805;height:1230" coordorigin="2850,750" coordsize="805,1230" path="m2850,1845l2970,1980m2970,1980l3080,915m3080,915l3202,945m3202,945l3312,1395m3312,1395l3422,750m3422,750l3545,1890m3545,1890l3655,1725e" filled="false" stroked="true" strokeweight="1pt" strokecolor="#de0035">
              <v:path arrowok="t"/>
              <v:stroke dashstyle="solid"/>
            </v:shape>
            <v:shape style="position:absolute;left:3655;top:704;width:233;height:1020" coordorigin="3655,705" coordsize="233,1020" path="m3655,1725l3778,705m3778,705l3888,1170e" filled="false" stroked="true" strokeweight="1pt" strokecolor="#de0035">
              <v:path arrowok="t"/>
              <v:stroke dashstyle="dash"/>
            </v:shape>
            <v:shape style="position:absolute;left:864;top:302;width:3172;height:2880" coordorigin="865,302" coordsize="3172,2880" path="m865,714l951,714m865,1125l951,1125m865,1537l951,1537m865,1948l951,1948m865,2771l951,2771m865,2360l951,2360m865,3182l951,3182m865,302l951,302m3949,713l4036,713m3949,1124l4036,1124m3949,1536l4036,1536m3949,1947l4036,1947m3949,2770l4036,2770m3949,2359l4036,2359m3949,3181l4036,3181m1006,3181l3877,3181m1008,3114l1008,3181m1239,3114l1239,3181m1699,3114l1699,3181m2160,3114l2160,3181m2620,3114l2620,3181m2850,3114l2850,3181m3311,3114l3311,3181m3772,3114l3772,3181m3081,3114l3081,3181m3541,3114l3541,3181m1124,3114l1124,3181m1354,3114l1354,3181m1814,3114l1814,3181m2275,3114l2275,3181m2735,3114l2735,3181m2966,3114l2966,3181m3426,3114l3426,3181m3887,3114l3887,3181m3196,3114l3196,3181m3657,3114l3657,3181m1469,3114l1469,3181m1929,3114l1929,3181m2390,3114l2390,3181m1584,3114l1584,3181m2045,3114l2045,3181m2505,3114l2505,3181e" filled="false" stroked="true" strokeweight=".5pt" strokecolor="#000000">
              <v:path arrowok="t"/>
              <v:stroke dashstyle="solid"/>
            </v:shape>
            <v:shape style="position:absolute;left:3547;top:500;width:85;height:51" coordorigin="3547,501" coordsize="85,51" path="m3547,501l3547,551,3563,545,3575,540,3632,526,3623,525,3612,522,3600,519,3588,516,3576,512,3547,501xe" filled="true" fillcolor="#000000" stroked="false">
              <v:path arrowok="t"/>
              <v:fill type="solid"/>
            </v:shape>
            <v:line style="position:absolute" from="1006,2770" to="3885,2770" stroked="true" strokeweight=".5pt" strokecolor="#000000">
              <v:stroke dashstyle="solid"/>
            </v:line>
            <v:shape style="position:absolute;left:2495;top:445;width:1089;height:134" type="#_x0000_t202" filled="false" stroked="false">
              <v:textbox inset="0,0,0,0">
                <w:txbxContent>
                  <w:p>
                    <w:pPr>
                      <w:tabs>
                        <w:tab w:pos="1068" w:val="left" w:leader="none"/>
                      </w:tabs>
                      <w:spacing w:line="133" w:lineRule="exact" w:before="0"/>
                      <w:ind w:left="0" w:right="0" w:firstLine="0"/>
                      <w:jc w:val="left"/>
                      <w:rPr>
                        <w:sz w:val="12"/>
                      </w:rPr>
                    </w:pPr>
                    <w:r>
                      <w:rPr>
                        <w:sz w:val="12"/>
                      </w:rPr>
                      <w:t>IMF projections</w:t>
                    </w:r>
                    <w:r>
                      <w:rPr>
                        <w:spacing w:val="-7"/>
                        <w:sz w:val="12"/>
                      </w:rPr>
                      <w:t> </w:t>
                    </w:r>
                    <w:r>
                      <w:rPr>
                        <w:sz w:val="12"/>
                        <w:u w:val="single"/>
                      </w:rPr>
                      <w:t> </w:t>
                      <w:tab/>
                    </w:r>
                  </w:p>
                </w:txbxContent>
              </v:textbox>
              <w10:wrap type="none"/>
            </v:shape>
            <v:shape style="position:absolute;left:4060;top:637;width:140;height:133" type="#_x0000_t202" filled="false" stroked="false">
              <v:textbox inset="0,0,0,0">
                <w:txbxContent>
                  <w:p>
                    <w:pPr>
                      <w:spacing w:line="133" w:lineRule="exact" w:before="0"/>
                      <w:ind w:left="0" w:right="0" w:firstLine="0"/>
                      <w:jc w:val="left"/>
                      <w:rPr>
                        <w:sz w:val="12"/>
                      </w:rPr>
                    </w:pPr>
                    <w:r>
                      <w:rPr>
                        <w:sz w:val="12"/>
                      </w:rPr>
                      <w:t>10</w:t>
                    </w:r>
                  </w:p>
                </w:txbxContent>
              </v:textbox>
              <w10:wrap type="none"/>
            </v:shape>
            <v:shape style="position:absolute;left:1327;top:854;width:597;height:133" type="#_x0000_t202" filled="false" stroked="false">
              <v:textbox inset="0,0,0,0">
                <w:txbxContent>
                  <w:p>
                    <w:pPr>
                      <w:spacing w:line="133" w:lineRule="exact" w:before="0"/>
                      <w:ind w:left="0" w:right="0" w:firstLine="0"/>
                      <w:jc w:val="left"/>
                      <w:rPr>
                        <w:sz w:val="12"/>
                      </w:rPr>
                    </w:pPr>
                    <w:r>
                      <w:rPr>
                        <w:sz w:val="12"/>
                      </w:rPr>
                      <w:t>World trade</w:t>
                    </w:r>
                  </w:p>
                </w:txbxContent>
              </v:textbox>
              <w10:wrap type="none"/>
            </v:shape>
            <v:shape style="position:absolute;left:2104;top:2371;width:597;height:133" type="#_x0000_t202" filled="false" stroked="false">
              <v:textbox inset="0,0,0,0">
                <w:txbxContent>
                  <w:p>
                    <w:pPr>
                      <w:spacing w:line="133" w:lineRule="exact" w:before="0"/>
                      <w:ind w:left="0" w:right="0" w:firstLine="0"/>
                      <w:jc w:val="left"/>
                      <w:rPr>
                        <w:sz w:val="12"/>
                      </w:rPr>
                    </w:pPr>
                    <w:r>
                      <w:rPr>
                        <w:sz w:val="12"/>
                      </w:rPr>
                      <w:t>World GDP</w:t>
                    </w:r>
                  </w:p>
                </w:txbxContent>
              </v:textbox>
              <w10:wrap type="none"/>
            </v:shape>
            <v:shape style="position:absolute;left:4010;top:2529;width:112;height:385" type="#_x0000_t202" filled="false" stroked="false">
              <v:textbox inset="0,0,0,0">
                <w:txbxContent>
                  <w:p>
                    <w:pPr>
                      <w:spacing w:line="177" w:lineRule="exact" w:before="0"/>
                      <w:ind w:left="0" w:right="0" w:firstLine="0"/>
                      <w:jc w:val="left"/>
                      <w:rPr>
                        <w:sz w:val="16"/>
                      </w:rPr>
                    </w:pPr>
                    <w:r>
                      <w:rPr>
                        <w:sz w:val="16"/>
                      </w:rPr>
                      <w:t>+</w:t>
                    </w:r>
                  </w:p>
                  <w:p>
                    <w:pPr>
                      <w:spacing w:before="23"/>
                      <w:ind w:left="11" w:right="0" w:firstLine="0"/>
                      <w:jc w:val="left"/>
                      <w:rPr>
                        <w:sz w:val="16"/>
                      </w:rPr>
                    </w:pPr>
                    <w:r>
                      <w:rPr>
                        <w:sz w:val="16"/>
                      </w:rPr>
                      <w:t>_</w:t>
                    </w:r>
                  </w:p>
                </w:txbxContent>
              </v:textbox>
              <w10:wrap type="none"/>
            </v:shape>
            <w10:wrap type="none"/>
          </v:group>
        </w:pict>
      </w:r>
      <w:r>
        <w:rPr>
          <w:sz w:val="12"/>
        </w:rPr>
        <w:t>Percentage changes on a year earli</w:t>
      </w:r>
      <w:r>
        <w:rPr>
          <w:sz w:val="12"/>
          <w:u w:val="single"/>
        </w:rPr>
        <w:t>er</w:t>
      </w:r>
      <w:r>
        <w:rPr>
          <w:sz w:val="12"/>
        </w:rPr>
        <w:t> </w:t>
      </w:r>
      <w:r>
        <w:rPr>
          <w:position w:val="-6"/>
          <w:sz w:val="12"/>
        </w:rPr>
        <w:t>12</w:t>
      </w:r>
    </w:p>
    <w:p>
      <w:pPr>
        <w:pStyle w:val="BodyText"/>
        <w:rPr>
          <w:sz w:val="20"/>
        </w:rPr>
      </w:pPr>
    </w:p>
    <w:p>
      <w:pPr>
        <w:pStyle w:val="BodyText"/>
        <w:rPr>
          <w:sz w:val="20"/>
        </w:rPr>
      </w:pPr>
    </w:p>
    <w:p>
      <w:pPr>
        <w:pStyle w:val="BodyText"/>
        <w:spacing w:before="11"/>
        <w:rPr>
          <w:sz w:val="19"/>
        </w:rPr>
      </w:pPr>
    </w:p>
    <w:p>
      <w:pPr>
        <w:spacing w:before="0"/>
        <w:ind w:left="0" w:right="38" w:firstLine="0"/>
        <w:jc w:val="right"/>
        <w:rPr>
          <w:sz w:val="12"/>
        </w:rPr>
      </w:pPr>
      <w:r>
        <w:rPr>
          <w:sz w:val="12"/>
        </w:rPr>
        <w:t>8</w:t>
      </w:r>
    </w:p>
    <w:p>
      <w:pPr>
        <w:pStyle w:val="BodyText"/>
        <w:rPr>
          <w:sz w:val="12"/>
        </w:rPr>
      </w:pPr>
    </w:p>
    <w:p>
      <w:pPr>
        <w:pStyle w:val="BodyText"/>
        <w:spacing w:before="9"/>
        <w:rPr>
          <w:sz w:val="11"/>
        </w:rPr>
      </w:pPr>
    </w:p>
    <w:p>
      <w:pPr>
        <w:spacing w:before="0"/>
        <w:ind w:left="0" w:right="38" w:firstLine="0"/>
        <w:jc w:val="right"/>
        <w:rPr>
          <w:sz w:val="12"/>
        </w:rPr>
      </w:pPr>
      <w:r>
        <w:rPr>
          <w:sz w:val="12"/>
        </w:rPr>
        <w:t>6</w:t>
      </w:r>
    </w:p>
    <w:p>
      <w:pPr>
        <w:pStyle w:val="BodyText"/>
        <w:rPr>
          <w:sz w:val="12"/>
        </w:rPr>
      </w:pPr>
    </w:p>
    <w:p>
      <w:pPr>
        <w:pStyle w:val="BodyText"/>
        <w:spacing w:before="9"/>
        <w:rPr>
          <w:sz w:val="11"/>
        </w:rPr>
      </w:pPr>
    </w:p>
    <w:p>
      <w:pPr>
        <w:spacing w:before="0"/>
        <w:ind w:left="0" w:right="38" w:firstLine="0"/>
        <w:jc w:val="right"/>
        <w:rPr>
          <w:sz w:val="12"/>
        </w:rPr>
      </w:pPr>
      <w:r>
        <w:rPr>
          <w:sz w:val="12"/>
        </w:rPr>
        <w:t>4</w:t>
      </w:r>
    </w:p>
    <w:p>
      <w:pPr>
        <w:pStyle w:val="BodyText"/>
        <w:rPr>
          <w:sz w:val="12"/>
        </w:rPr>
      </w:pPr>
    </w:p>
    <w:p>
      <w:pPr>
        <w:pStyle w:val="BodyText"/>
        <w:spacing w:before="9"/>
        <w:rPr>
          <w:sz w:val="11"/>
        </w:rPr>
      </w:pPr>
    </w:p>
    <w:p>
      <w:pPr>
        <w:spacing w:before="0"/>
        <w:ind w:left="0" w:right="38" w:firstLine="0"/>
        <w:jc w:val="right"/>
        <w:rPr>
          <w:sz w:val="12"/>
        </w:rPr>
      </w:pPr>
      <w:r>
        <w:rPr>
          <w:sz w:val="12"/>
        </w:rPr>
        <w:t>2</w:t>
      </w:r>
    </w:p>
    <w:p>
      <w:pPr>
        <w:pStyle w:val="BodyText"/>
        <w:rPr>
          <w:sz w:val="12"/>
        </w:rPr>
      </w:pPr>
    </w:p>
    <w:p>
      <w:pPr>
        <w:pStyle w:val="BodyText"/>
        <w:spacing w:before="9"/>
        <w:rPr>
          <w:sz w:val="11"/>
        </w:rPr>
      </w:pPr>
    </w:p>
    <w:p>
      <w:pPr>
        <w:spacing w:before="0"/>
        <w:ind w:left="0" w:right="38" w:firstLine="0"/>
        <w:jc w:val="right"/>
        <w:rPr>
          <w:sz w:val="12"/>
        </w:rPr>
      </w:pPr>
      <w:r>
        <w:rPr>
          <w:sz w:val="12"/>
        </w:rPr>
        <w:t>0</w:t>
      </w:r>
    </w:p>
    <w:p>
      <w:pPr>
        <w:pStyle w:val="BodyText"/>
        <w:rPr>
          <w:sz w:val="12"/>
        </w:rPr>
      </w:pPr>
    </w:p>
    <w:p>
      <w:pPr>
        <w:pStyle w:val="BodyText"/>
        <w:spacing w:before="9"/>
        <w:rPr>
          <w:sz w:val="11"/>
        </w:rPr>
      </w:pPr>
    </w:p>
    <w:p>
      <w:pPr>
        <w:spacing w:line="124" w:lineRule="exact" w:before="0"/>
        <w:ind w:left="3480" w:right="0" w:firstLine="0"/>
        <w:jc w:val="left"/>
        <w:rPr>
          <w:sz w:val="12"/>
        </w:rPr>
      </w:pPr>
      <w:r>
        <w:rPr>
          <w:sz w:val="12"/>
        </w:rPr>
        <w:t>2</w:t>
      </w:r>
    </w:p>
    <w:p>
      <w:pPr>
        <w:spacing w:line="124" w:lineRule="exact" w:before="0"/>
        <w:ind w:left="250" w:right="0" w:firstLine="0"/>
        <w:jc w:val="left"/>
        <w:rPr>
          <w:sz w:val="12"/>
        </w:rPr>
      </w:pPr>
      <w:r>
        <w:rPr>
          <w:sz w:val="12"/>
        </w:rPr>
        <w:t>1976 78 80 82 84 86 88 90 92 94 96 98 2000</w:t>
      </w:r>
    </w:p>
    <w:p>
      <w:pPr>
        <w:spacing w:before="90"/>
        <w:ind w:left="169" w:right="0" w:firstLine="0"/>
        <w:jc w:val="left"/>
        <w:rPr>
          <w:sz w:val="12"/>
        </w:rPr>
      </w:pPr>
      <w:r>
        <w:rPr>
          <w:sz w:val="12"/>
        </w:rPr>
        <w:t>Source: IMF.</w:t>
      </w:r>
    </w:p>
    <w:p>
      <w:pPr>
        <w:pStyle w:val="BodyText"/>
        <w:spacing w:line="242" w:lineRule="auto" w:before="90"/>
        <w:ind w:left="190" w:right="181"/>
      </w:pPr>
      <w:r>
        <w:rPr/>
        <w:br w:type="column"/>
      </w:r>
      <w:r>
        <w:rPr/>
        <w:t>Annual growth in real GDP has remained close to 3% so far this </w:t>
      </w:r>
      <w:r>
        <w:rPr>
          <w:spacing w:val="-4"/>
        </w:rPr>
        <w:t>year.  </w:t>
      </w:r>
      <w:r>
        <w:rPr/>
        <w:t>But quarterly growth has been more erratic, with unusual changes in spending and</w:t>
      </w:r>
      <w:r>
        <w:rPr>
          <w:spacing w:val="-44"/>
        </w:rPr>
        <w:t> </w:t>
      </w:r>
      <w:r>
        <w:rPr/>
        <w:t>production around the millennium date change and large swings in primary sector output obscuring the underlying pace of growth. Following growth of 0.5% in 2000 Q1, real GDP rose by 0.9% in Q2 and the preliminary estimate is that GDP growth subsequently fell back to 0.7% in Q3. In the second quarter, final domestic demand growth bounced back from unusually subdued growth in Q1 in the wake of the millennium. Household consumption growth rose </w:t>
      </w:r>
      <w:r>
        <w:rPr>
          <w:spacing w:val="-3"/>
        </w:rPr>
        <w:t>slightly, </w:t>
      </w:r>
      <w:r>
        <w:rPr/>
        <w:t>and </w:t>
      </w:r>
      <w:r>
        <w:rPr>
          <w:spacing w:val="-3"/>
        </w:rPr>
        <w:t>investment </w:t>
      </w:r>
      <w:r>
        <w:rPr/>
        <w:t>and government consumption spending recovered from falls in</w:t>
      </w:r>
      <w:r>
        <w:rPr>
          <w:spacing w:val="-21"/>
        </w:rPr>
        <w:t> </w:t>
      </w:r>
      <w:r>
        <w:rPr/>
        <w:t>Q1.</w:t>
      </w:r>
    </w:p>
    <w:p>
      <w:pPr>
        <w:pStyle w:val="BodyText"/>
        <w:spacing w:line="242" w:lineRule="auto" w:before="17"/>
        <w:ind w:left="190" w:right="174"/>
      </w:pPr>
      <w:r>
        <w:rPr/>
        <w:t>Some of the strength in domestic demand in Q2 was offset by net trade, with rising imports outweighing buoyant world demand for UK exports.</w:t>
      </w:r>
    </w:p>
    <w:p>
      <w:pPr>
        <w:pStyle w:val="BodyText"/>
        <w:spacing w:before="4"/>
        <w:rPr>
          <w:sz w:val="21"/>
        </w:rPr>
      </w:pPr>
    </w:p>
    <w:p>
      <w:pPr>
        <w:pStyle w:val="Heading4"/>
        <w:tabs>
          <w:tab w:pos="3397" w:val="left" w:leader="none"/>
        </w:tabs>
        <w:ind w:left="190"/>
      </w:pPr>
      <w:r>
        <w:rPr>
          <w:color w:val="009391"/>
        </w:rPr>
        <w:t>2.1</w:t>
        <w:tab/>
        <w:t>External</w:t>
      </w:r>
      <w:r>
        <w:rPr>
          <w:color w:val="009391"/>
          <w:spacing w:val="-4"/>
        </w:rPr>
        <w:t> </w:t>
      </w:r>
      <w:r>
        <w:rPr>
          <w:color w:val="009391"/>
        </w:rPr>
        <w:t>demand</w:t>
      </w:r>
    </w:p>
    <w:p>
      <w:pPr>
        <w:pStyle w:val="BodyText"/>
        <w:spacing w:line="40" w:lineRule="exact"/>
        <w:ind w:left="170"/>
        <w:rPr>
          <w:sz w:val="4"/>
        </w:rPr>
      </w:pPr>
      <w:r>
        <w:rPr>
          <w:position w:val="0"/>
          <w:sz w:val="4"/>
        </w:rPr>
        <w:pict>
          <v:group style="width:274pt;height:2pt;mso-position-horizontal-relative:char;mso-position-vertical-relative:line" coordorigin="0,0" coordsize="5480,40">
            <v:line style="position:absolute" from="0,20" to="5480,20" stroked="true" strokeweight="2pt" strokecolor="#0092c7">
              <v:stroke dashstyle="solid"/>
            </v:line>
          </v:group>
        </w:pict>
      </w:r>
      <w:r>
        <w:rPr>
          <w:position w:val="0"/>
          <w:sz w:val="4"/>
        </w:rPr>
      </w:r>
    </w:p>
    <w:p>
      <w:pPr>
        <w:pStyle w:val="BodyText"/>
        <w:spacing w:line="242" w:lineRule="auto" w:before="223"/>
        <w:ind w:left="190" w:right="174"/>
      </w:pPr>
      <w:r>
        <w:rPr/>
        <w:t>Strong growth in overseas markets continues to support UK exports.</w:t>
      </w:r>
      <w:r>
        <w:rPr>
          <w:position w:val="5"/>
          <w:sz w:val="16"/>
        </w:rPr>
        <w:t>(1) </w:t>
      </w:r>
      <w:r>
        <w:rPr/>
        <w:t>Many forecasters, including the IMF, expect world output to rise at its fastest annual rate this year since the late 1980s (see Chart 2.1). Nevertheless, following unsustainably high growth as emerging markets in particular recovered from recession, there are now clear signs that world growth may be easing in response to past rises in interest rates, higher oil prices and weaker global equity markets.</w:t>
      </w:r>
    </w:p>
    <w:p>
      <w:pPr>
        <w:pStyle w:val="BodyText"/>
        <w:spacing w:before="4"/>
        <w:rPr>
          <w:sz w:val="25"/>
        </w:rPr>
      </w:pPr>
    </w:p>
    <w:p>
      <w:pPr>
        <w:pStyle w:val="BodyText"/>
        <w:spacing w:line="242" w:lineRule="auto"/>
        <w:ind w:left="190" w:right="174"/>
      </w:pPr>
      <w:r>
        <w:rPr/>
        <w:t>Robust growth in the United States has boosted world output in recent years but the pace of expansion is now moderating. US GDP rose by 0.7% in Q3, following an increase of 1.4% in Q2, leaving output 5.3% higher than a year earlier. Employment growth also slowed in Q3 and industrial production rose less rapidly. Euro-area growth remains relatively robust: GDP rose by 0.8% in</w:t>
      </w:r>
    </w:p>
    <w:p>
      <w:pPr>
        <w:pStyle w:val="BodyText"/>
        <w:rPr>
          <w:sz w:val="10"/>
        </w:rPr>
      </w:pPr>
    </w:p>
    <w:p>
      <w:pPr>
        <w:pStyle w:val="BodyText"/>
        <w:spacing w:line="20" w:lineRule="exact"/>
        <w:ind w:left="168"/>
        <w:rPr>
          <w:sz w:val="2"/>
        </w:rPr>
      </w:pPr>
      <w:r>
        <w:rPr>
          <w:sz w:val="2"/>
        </w:rPr>
        <w:pict>
          <v:group style="width:274pt;height:.15pt;mso-position-horizontal-relative:char;mso-position-vertical-relative:line" coordorigin="0,0" coordsize="5480,3">
            <v:line style="position:absolute" from="0,1" to="5480,1" stroked="true" strokeweight=".125pt" strokecolor="#000000">
              <v:stroke dashstyle="solid"/>
            </v:line>
          </v:group>
        </w:pict>
      </w:r>
      <w:r>
        <w:rPr>
          <w:sz w:val="2"/>
        </w:rPr>
      </w:r>
    </w:p>
    <w:p>
      <w:pPr>
        <w:spacing w:line="208" w:lineRule="auto" w:before="4"/>
        <w:ind w:left="409" w:right="806" w:hanging="240"/>
        <w:jc w:val="left"/>
        <w:rPr>
          <w:sz w:val="16"/>
        </w:rPr>
      </w:pPr>
      <w:r>
        <w:rPr>
          <w:sz w:val="16"/>
        </w:rPr>
        <w:t>(1) For a more detailed discussion of international economic developments, see ‘</w:t>
      </w:r>
      <w:r>
        <w:rPr>
          <w:color w:val="FF0000"/>
          <w:sz w:val="16"/>
        </w:rPr>
        <w:t>The international environment’ article in the </w:t>
      </w:r>
      <w:r>
        <w:rPr>
          <w:i/>
          <w:color w:val="FF0000"/>
          <w:sz w:val="16"/>
        </w:rPr>
        <w:t>Bank of England </w:t>
      </w:r>
      <w:r>
        <w:rPr>
          <w:i/>
          <w:color w:val="FF0000"/>
          <w:sz w:val="16"/>
        </w:rPr>
        <w:t>Quarterly Bulletin</w:t>
      </w:r>
      <w:r>
        <w:rPr>
          <w:color w:val="FF0000"/>
          <w:sz w:val="16"/>
        </w:rPr>
        <w:t>, November 2000, pages 339–50</w:t>
      </w:r>
      <w:r>
        <w:rPr>
          <w:sz w:val="16"/>
        </w:rPr>
        <w:t>.</w:t>
      </w:r>
    </w:p>
    <w:p>
      <w:pPr>
        <w:spacing w:after="0" w:line="208" w:lineRule="auto"/>
        <w:jc w:val="left"/>
        <w:rPr>
          <w:sz w:val="16"/>
        </w:rPr>
        <w:sectPr>
          <w:type w:val="continuous"/>
          <w:pgSz w:w="11900" w:h="16840"/>
          <w:pgMar w:top="1260" w:bottom="280" w:left="640" w:right="640"/>
          <w:cols w:num="2" w:equalWidth="0">
            <w:col w:w="3581" w:space="1209"/>
            <w:col w:w="5830"/>
          </w:cols>
        </w:sectPr>
      </w:pPr>
    </w:p>
    <w:p>
      <w:pPr>
        <w:pStyle w:val="BodyText"/>
        <w:rPr>
          <w:sz w:val="20"/>
        </w:rPr>
      </w:pPr>
    </w:p>
    <w:p>
      <w:pPr>
        <w:pStyle w:val="BodyText"/>
        <w:spacing w:before="5"/>
        <w:rPr>
          <w:sz w:val="21"/>
        </w:rPr>
      </w:pPr>
    </w:p>
    <w:p>
      <w:pPr>
        <w:pStyle w:val="BodyText"/>
        <w:spacing w:line="242" w:lineRule="auto"/>
        <w:ind w:left="4979" w:right="177"/>
      </w:pPr>
      <w:r>
        <w:rPr/>
        <w:t>2000 Q2 and was 3.7% higher than a year </w:t>
      </w:r>
      <w:r>
        <w:rPr>
          <w:spacing w:val="-3"/>
        </w:rPr>
        <w:t>earlier. </w:t>
      </w:r>
      <w:r>
        <w:rPr/>
        <w:t>Looking ahead, the near-term outlook for EU net trade appears stronger following the recent further depreciation of the euro. But recent falls in survey measures of consumer confidence from high </w:t>
      </w:r>
      <w:r>
        <w:rPr>
          <w:spacing w:val="-3"/>
        </w:rPr>
        <w:t>levels, </w:t>
      </w:r>
      <w:r>
        <w:rPr/>
        <w:t>perhaps reflecting rising oil prices, might presage slower domestic demand growth. In Japan, the recovery continued in Q2 with growth supported by public and household sector spending. Despite a surprisingly weak outturn for </w:t>
      </w:r>
      <w:r>
        <w:rPr>
          <w:spacing w:val="-3"/>
        </w:rPr>
        <w:t>private </w:t>
      </w:r>
      <w:r>
        <w:rPr/>
        <w:t>investment, strong growth in corporate profits and higher business confidence point to further increases in capital spending. Growth in emerging markets remains relatively strong. But the outlook</w:t>
      </w:r>
      <w:r>
        <w:rPr>
          <w:spacing w:val="-6"/>
        </w:rPr>
        <w:t> </w:t>
      </w:r>
      <w:r>
        <w:rPr/>
        <w:t>for</w:t>
      </w:r>
      <w:r>
        <w:rPr>
          <w:spacing w:val="-6"/>
        </w:rPr>
        <w:t> </w:t>
      </w:r>
      <w:r>
        <w:rPr/>
        <w:t>these</w:t>
      </w:r>
      <w:r>
        <w:rPr>
          <w:spacing w:val="-6"/>
        </w:rPr>
        <w:t> </w:t>
      </w:r>
      <w:r>
        <w:rPr/>
        <w:t>economies</w:t>
      </w:r>
      <w:r>
        <w:rPr>
          <w:spacing w:val="-6"/>
        </w:rPr>
        <w:t> </w:t>
      </w:r>
      <w:r>
        <w:rPr/>
        <w:t>is</w:t>
      </w:r>
      <w:r>
        <w:rPr>
          <w:spacing w:val="-5"/>
        </w:rPr>
        <w:t> </w:t>
      </w:r>
      <w:r>
        <w:rPr/>
        <w:t>mixed</w:t>
      </w:r>
      <w:r>
        <w:rPr>
          <w:spacing w:val="-6"/>
        </w:rPr>
        <w:t> </w:t>
      </w:r>
      <w:r>
        <w:rPr/>
        <w:t>and</w:t>
      </w:r>
      <w:r>
        <w:rPr>
          <w:spacing w:val="-6"/>
        </w:rPr>
        <w:t> </w:t>
      </w:r>
      <w:r>
        <w:rPr/>
        <w:t>depends</w:t>
      </w:r>
      <w:r>
        <w:rPr>
          <w:spacing w:val="-6"/>
        </w:rPr>
        <w:t> </w:t>
      </w:r>
      <w:r>
        <w:rPr/>
        <w:t>partly on their oil dependence, with prospects for growth</w:t>
      </w:r>
      <w:r>
        <w:rPr>
          <w:spacing w:val="-30"/>
        </w:rPr>
        <w:t> </w:t>
      </w:r>
      <w:r>
        <w:rPr/>
        <w:t>in</w:t>
      </w:r>
    </w:p>
    <w:p>
      <w:pPr>
        <w:pStyle w:val="BodyText"/>
        <w:spacing w:line="242" w:lineRule="auto" w:before="20"/>
        <w:ind w:left="4979" w:right="215"/>
      </w:pPr>
      <w:r>
        <w:rPr/>
        <w:t>oil-producing countries in the Middle East and Latin America improved relative to many oil-importing countries. Overall, the MPC judges that world output growth is likely to peak in 2000 and then decline gradually over the next two years, broadly in line with the projection in the August </w:t>
      </w:r>
      <w:r>
        <w:rPr>
          <w:i/>
        </w:rPr>
        <w:t>Report</w:t>
      </w:r>
      <w:r>
        <w:rPr/>
        <w:t>. However, the Committee continues to assume that there are downside risks, including the possibility of sharp movements in equity prices or exchange rates.</w:t>
      </w:r>
    </w:p>
    <w:p>
      <w:pPr>
        <w:pStyle w:val="BodyText"/>
        <w:spacing w:before="3"/>
        <w:rPr>
          <w:sz w:val="25"/>
        </w:rPr>
      </w:pPr>
    </w:p>
    <w:p>
      <w:pPr>
        <w:pStyle w:val="BodyText"/>
        <w:spacing w:line="242" w:lineRule="auto" w:before="1"/>
        <w:ind w:left="4979" w:right="142"/>
      </w:pPr>
      <w:r>
        <w:rPr/>
        <w:t>Over the past two years, strengthening global production has raised demand for raw materials and boosted industrial commodity prices </w:t>
      </w:r>
      <w:hyperlink w:history="true" w:anchor="_bookmark24">
        <w:r>
          <w:rPr/>
          <w:t>(</w:t>
        </w:r>
        <w:r>
          <w:rPr>
            <w:color w:val="FF0000"/>
          </w:rPr>
          <w:t>see Section 4</w:t>
        </w:r>
        <w:r>
          <w:rPr/>
          <w:t>).</w:t>
        </w:r>
      </w:hyperlink>
      <w:r>
        <w:rPr/>
        <w:t> Oil prices </w:t>
      </w:r>
      <w:r>
        <w:rPr>
          <w:spacing w:val="-3"/>
        </w:rPr>
        <w:t>have </w:t>
      </w:r>
      <w:r>
        <w:rPr/>
        <w:t>increased especially </w:t>
      </w:r>
      <w:r>
        <w:rPr>
          <w:spacing w:val="-3"/>
        </w:rPr>
        <w:t>sharply, </w:t>
      </w:r>
      <w:r>
        <w:rPr/>
        <w:t>reflecting the additional impact of earlier supply restrictions by OPEC producers. Higher oil prices raise production costs, particularly in economies or sectors with high oil usage, and reduce income available for spending on non-oil goods and services. In the short run, lower spending in oil-importing countries is likely to more than offset higher spending by oil-exporting countries. As such, rising oil prices </w:t>
      </w:r>
      <w:r>
        <w:rPr>
          <w:spacing w:val="-3"/>
        </w:rPr>
        <w:t>have </w:t>
      </w:r>
      <w:r>
        <w:rPr/>
        <w:t>probably restrained international output growth in recent quarters. Looking ahead, the impact on world growth will depend on the future path of</w:t>
      </w:r>
      <w:r>
        <w:rPr>
          <w:spacing w:val="-6"/>
        </w:rPr>
        <w:t> </w:t>
      </w:r>
      <w:r>
        <w:rPr/>
        <w:t>oil</w:t>
      </w:r>
      <w:r>
        <w:rPr>
          <w:spacing w:val="-5"/>
        </w:rPr>
        <w:t> </w:t>
      </w:r>
      <w:r>
        <w:rPr/>
        <w:t>prices</w:t>
      </w:r>
      <w:r>
        <w:rPr>
          <w:spacing w:val="-5"/>
        </w:rPr>
        <w:t> </w:t>
      </w:r>
      <w:r>
        <w:rPr/>
        <w:t>and</w:t>
      </w:r>
      <w:r>
        <w:rPr>
          <w:spacing w:val="-5"/>
        </w:rPr>
        <w:t> </w:t>
      </w:r>
      <w:r>
        <w:rPr/>
        <w:t>in</w:t>
      </w:r>
      <w:r>
        <w:rPr>
          <w:spacing w:val="-5"/>
        </w:rPr>
        <w:t> </w:t>
      </w:r>
      <w:r>
        <w:rPr/>
        <w:t>particular</w:t>
      </w:r>
      <w:r>
        <w:rPr>
          <w:spacing w:val="-5"/>
        </w:rPr>
        <w:t> </w:t>
      </w:r>
      <w:r>
        <w:rPr/>
        <w:t>on</w:t>
      </w:r>
      <w:r>
        <w:rPr>
          <w:spacing w:val="-6"/>
        </w:rPr>
        <w:t> </w:t>
      </w:r>
      <w:r>
        <w:rPr/>
        <w:t>whether</w:t>
      </w:r>
      <w:r>
        <w:rPr>
          <w:spacing w:val="-5"/>
        </w:rPr>
        <w:t> </w:t>
      </w:r>
      <w:r>
        <w:rPr/>
        <w:t>recent</w:t>
      </w:r>
      <w:r>
        <w:rPr>
          <w:spacing w:val="-5"/>
        </w:rPr>
        <w:t> </w:t>
      </w:r>
      <w:r>
        <w:rPr/>
        <w:t>increases are sustained. Overall the MPC judges that the most likely scenario is that oil prices will fall from current </w:t>
      </w:r>
      <w:r>
        <w:rPr>
          <w:spacing w:val="-3"/>
        </w:rPr>
        <w:t>levels </w:t>
      </w:r>
      <w:r>
        <w:rPr/>
        <w:t>as global demand growth eases and </w:t>
      </w:r>
      <w:r>
        <w:rPr>
          <w:spacing w:val="-3"/>
        </w:rPr>
        <w:t>new </w:t>
      </w:r>
      <w:r>
        <w:rPr/>
        <w:t>production capacity becomes available. The box</w:t>
      </w:r>
      <w:r>
        <w:rPr>
          <w:spacing w:val="-30"/>
        </w:rPr>
        <w:t> </w:t>
      </w:r>
      <w:r>
        <w:rPr/>
        <w:t>on</w:t>
      </w:r>
    </w:p>
    <w:p>
      <w:pPr>
        <w:pStyle w:val="BodyText"/>
        <w:spacing w:line="242" w:lineRule="auto" w:before="24"/>
        <w:ind w:left="4979" w:right="748" w:hanging="1"/>
      </w:pPr>
      <w:hyperlink w:history="true" w:anchor="_bookmark11">
        <w:r>
          <w:rPr>
            <w:color w:val="FF0000"/>
          </w:rPr>
          <w:t>page 15 </w:t>
        </w:r>
      </w:hyperlink>
      <w:r>
        <w:rPr/>
        <w:t>reviews the recent rise in oil prices and considers potential impacts on demand and output.</w:t>
      </w:r>
    </w:p>
    <w:p>
      <w:pPr>
        <w:pStyle w:val="BodyText"/>
        <w:spacing w:before="6"/>
      </w:pPr>
    </w:p>
    <w:p>
      <w:pPr>
        <w:pStyle w:val="BodyText"/>
        <w:spacing w:line="242" w:lineRule="auto"/>
        <w:ind w:left="4979" w:right="116"/>
      </w:pPr>
      <w:r>
        <w:rPr/>
        <w:t>Strong world demand is likely to underpin rapid growth in international trade: Chart 2.1, for example, shows that the IMF expects world trade to rise by about 10% this year. The UK share of that trade will depend partly on</w:t>
      </w:r>
    </w:p>
    <w:p>
      <w:pPr>
        <w:spacing w:after="0" w:line="242" w:lineRule="auto"/>
        <w:sectPr>
          <w:headerReference w:type="default" r:id="rId67"/>
          <w:headerReference w:type="even" r:id="rId68"/>
          <w:pgSz w:w="11900" w:h="16840"/>
          <w:pgMar w:header="586" w:footer="612" w:top="780" w:bottom="780" w:left="640" w:right="640"/>
        </w:sectPr>
      </w:pPr>
    </w:p>
    <w:p>
      <w:pPr>
        <w:pStyle w:val="BodyText"/>
        <w:spacing w:before="1"/>
        <w:rPr>
          <w:sz w:val="12"/>
        </w:rPr>
      </w:pPr>
    </w:p>
    <w:p>
      <w:pPr>
        <w:spacing w:after="0"/>
        <w:rPr>
          <w:sz w:val="12"/>
        </w:rPr>
        <w:sectPr>
          <w:footerReference w:type="default" r:id="rId69"/>
          <w:footerReference w:type="even" r:id="rId70"/>
          <w:pgSz w:w="11900" w:h="16840"/>
          <w:pgMar w:footer="612" w:header="586" w:top="780" w:bottom="800" w:left="640" w:right="640"/>
          <w:pgNumType w:start="15"/>
        </w:sectPr>
      </w:pPr>
    </w:p>
    <w:p>
      <w:pPr>
        <w:pStyle w:val="BodyText"/>
        <w:rPr>
          <w:sz w:val="20"/>
        </w:rPr>
      </w:pPr>
    </w:p>
    <w:p>
      <w:pPr>
        <w:pStyle w:val="BodyText"/>
        <w:spacing w:before="6"/>
      </w:pPr>
    </w:p>
    <w:p>
      <w:pPr>
        <w:spacing w:before="0"/>
        <w:ind w:left="440" w:right="0" w:firstLine="0"/>
        <w:jc w:val="left"/>
        <w:rPr>
          <w:b/>
          <w:sz w:val="18"/>
        </w:rPr>
      </w:pPr>
      <w:bookmarkStart w:name="Oil prices and economic activity" w:id="30"/>
      <w:bookmarkEnd w:id="30"/>
      <w:r>
        <w:rPr/>
      </w:r>
      <w:bookmarkStart w:name="_bookmark11" w:id="31"/>
      <w:bookmarkEnd w:id="31"/>
      <w:r>
        <w:rPr/>
      </w:r>
      <w:r>
        <w:rPr>
          <w:b/>
          <w:color w:val="009391"/>
          <w:sz w:val="18"/>
        </w:rPr>
        <w:t>Recent price developments</w:t>
      </w:r>
    </w:p>
    <w:p>
      <w:pPr>
        <w:pStyle w:val="Heading4"/>
        <w:spacing w:before="89"/>
        <w:ind w:left="440"/>
      </w:pPr>
      <w:r>
        <w:rPr>
          <w:b w:val="0"/>
        </w:rPr>
        <w:br w:type="column"/>
      </w:r>
      <w:r>
        <w:rPr>
          <w:color w:val="009391"/>
        </w:rPr>
        <w:t>Oil prices and economic activity</w:t>
      </w:r>
    </w:p>
    <w:p>
      <w:pPr>
        <w:spacing w:before="101"/>
        <w:ind w:left="2591" w:right="0" w:firstLine="0"/>
        <w:jc w:val="left"/>
        <w:rPr>
          <w:sz w:val="18"/>
        </w:rPr>
      </w:pPr>
      <w:r>
        <w:rPr>
          <w:sz w:val="18"/>
        </w:rPr>
        <w:t>Higher oil prices may also affect consumer demand by raising</w:t>
      </w:r>
    </w:p>
    <w:p>
      <w:pPr>
        <w:spacing w:after="0"/>
        <w:jc w:val="left"/>
        <w:rPr>
          <w:sz w:val="18"/>
        </w:rPr>
        <w:sectPr>
          <w:type w:val="continuous"/>
          <w:pgSz w:w="11900" w:h="16840"/>
          <w:pgMar w:top="1260" w:bottom="280" w:left="640" w:right="640"/>
          <w:cols w:num="2" w:equalWidth="0">
            <w:col w:w="2535" w:space="444"/>
            <w:col w:w="7641"/>
          </w:cols>
        </w:sectPr>
      </w:pPr>
    </w:p>
    <w:p>
      <w:pPr>
        <w:spacing w:line="254" w:lineRule="auto" w:before="93"/>
        <w:ind w:left="440" w:right="0" w:firstLine="0"/>
        <w:jc w:val="left"/>
        <w:rPr>
          <w:sz w:val="18"/>
        </w:rPr>
      </w:pPr>
      <w:r>
        <w:rPr>
          <w:sz w:val="18"/>
        </w:rPr>
        <w:t>Oil prices have risen sharply over the past two years, reflecting developments in both the demand for and supply of oil (see Chart A). </w:t>
      </w:r>
      <w:r>
        <w:rPr>
          <w:spacing w:val="-4"/>
          <w:sz w:val="18"/>
        </w:rPr>
        <w:t>World </w:t>
      </w:r>
      <w:r>
        <w:rPr>
          <w:sz w:val="18"/>
        </w:rPr>
        <w:t>oil consumption rose by 1.6% in 1999, partly due to strong demand growth in the United States and Asia. But global oil production fell by 1.9%,</w:t>
      </w:r>
      <w:r>
        <w:rPr>
          <w:position w:val="4"/>
          <w:sz w:val="12"/>
        </w:rPr>
        <w:t>(1) </w:t>
      </w:r>
      <w:r>
        <w:rPr>
          <w:sz w:val="18"/>
        </w:rPr>
        <w:t>as OPEC reduced output by almost 5%, and stock levels consequently decreased. Strong demand has continued this </w:t>
      </w:r>
      <w:r>
        <w:rPr>
          <w:spacing w:val="-3"/>
          <w:sz w:val="18"/>
        </w:rPr>
        <w:t>year, </w:t>
      </w:r>
      <w:r>
        <w:rPr>
          <w:sz w:val="18"/>
        </w:rPr>
        <w:t>with world oil consumption growing by 2% in the year to 2000 Q3. Supply has also risen: OPEC announced several increases to production quotas, and with a smaller rise in non-OPEC production, world supply grew by around 5% over this period. Nevertheless, with stocks at low levels,</w:t>
      </w:r>
      <w:r>
        <w:rPr>
          <w:spacing w:val="-5"/>
          <w:sz w:val="18"/>
        </w:rPr>
        <w:t> </w:t>
      </w:r>
      <w:r>
        <w:rPr>
          <w:sz w:val="18"/>
        </w:rPr>
        <w:t>and</w:t>
      </w:r>
      <w:r>
        <w:rPr>
          <w:spacing w:val="-5"/>
          <w:sz w:val="18"/>
        </w:rPr>
        <w:t> </w:t>
      </w:r>
      <w:r>
        <w:rPr>
          <w:sz w:val="18"/>
        </w:rPr>
        <w:t>with</w:t>
      </w:r>
      <w:r>
        <w:rPr>
          <w:spacing w:val="-6"/>
          <w:sz w:val="18"/>
        </w:rPr>
        <w:t> </w:t>
      </w:r>
      <w:r>
        <w:rPr>
          <w:sz w:val="18"/>
        </w:rPr>
        <w:t>the</w:t>
      </w:r>
      <w:r>
        <w:rPr>
          <w:spacing w:val="-5"/>
          <w:sz w:val="18"/>
        </w:rPr>
        <w:t> </w:t>
      </w:r>
      <w:r>
        <w:rPr>
          <w:sz w:val="18"/>
        </w:rPr>
        <w:t>onset</w:t>
      </w:r>
      <w:r>
        <w:rPr>
          <w:spacing w:val="-6"/>
          <w:sz w:val="18"/>
        </w:rPr>
        <w:t> </w:t>
      </w:r>
      <w:r>
        <w:rPr>
          <w:sz w:val="18"/>
        </w:rPr>
        <w:t>of</w:t>
      </w:r>
      <w:r>
        <w:rPr>
          <w:spacing w:val="-5"/>
          <w:sz w:val="18"/>
        </w:rPr>
        <w:t> </w:t>
      </w:r>
      <w:r>
        <w:rPr>
          <w:sz w:val="18"/>
        </w:rPr>
        <w:t>winter</w:t>
      </w:r>
      <w:r>
        <w:rPr>
          <w:spacing w:val="-5"/>
          <w:sz w:val="18"/>
        </w:rPr>
        <w:t> </w:t>
      </w:r>
      <w:r>
        <w:rPr>
          <w:sz w:val="18"/>
        </w:rPr>
        <w:t>in</w:t>
      </w:r>
      <w:r>
        <w:rPr>
          <w:spacing w:val="-6"/>
          <w:sz w:val="18"/>
        </w:rPr>
        <w:t> </w:t>
      </w:r>
      <w:r>
        <w:rPr>
          <w:sz w:val="18"/>
        </w:rPr>
        <w:t>the</w:t>
      </w:r>
      <w:r>
        <w:rPr>
          <w:spacing w:val="-5"/>
          <w:sz w:val="18"/>
        </w:rPr>
        <w:t> </w:t>
      </w:r>
      <w:r>
        <w:rPr>
          <w:sz w:val="18"/>
        </w:rPr>
        <w:t>Northern</w:t>
      </w:r>
      <w:r>
        <w:rPr>
          <w:spacing w:val="-6"/>
          <w:sz w:val="18"/>
        </w:rPr>
        <w:t> </w:t>
      </w:r>
      <w:r>
        <w:rPr>
          <w:sz w:val="18"/>
        </w:rPr>
        <w:t>Hemisphere, prices have remained</w:t>
      </w:r>
      <w:r>
        <w:rPr>
          <w:spacing w:val="-5"/>
          <w:sz w:val="18"/>
        </w:rPr>
        <w:t> </w:t>
      </w:r>
      <w:r>
        <w:rPr>
          <w:sz w:val="18"/>
        </w:rPr>
        <w:t>high.</w:t>
      </w:r>
    </w:p>
    <w:p>
      <w:pPr>
        <w:spacing w:line="254" w:lineRule="auto" w:before="13"/>
        <w:ind w:left="460" w:right="636" w:firstLine="0"/>
        <w:jc w:val="left"/>
        <w:rPr>
          <w:sz w:val="12"/>
        </w:rPr>
      </w:pPr>
      <w:r>
        <w:rPr/>
        <w:br w:type="column"/>
      </w:r>
      <w:r>
        <w:rPr>
          <w:sz w:val="18"/>
        </w:rPr>
        <w:t>the cost of living. Consumer prices will rise directly through higher prices of road fuel and heating oil, and indirectly as the higher oil costs are reflected in the prices of other retail goods.</w:t>
      </w:r>
      <w:r>
        <w:rPr>
          <w:position w:val="4"/>
          <w:sz w:val="12"/>
        </w:rPr>
        <w:t>(2)</w:t>
      </w:r>
    </w:p>
    <w:p>
      <w:pPr>
        <w:pStyle w:val="BodyText"/>
        <w:spacing w:before="7"/>
        <w:rPr>
          <w:sz w:val="17"/>
        </w:rPr>
      </w:pPr>
    </w:p>
    <w:p>
      <w:pPr>
        <w:spacing w:line="254" w:lineRule="auto" w:before="0"/>
        <w:ind w:left="460" w:right="432" w:firstLine="0"/>
        <w:jc w:val="left"/>
        <w:rPr>
          <w:sz w:val="18"/>
        </w:rPr>
      </w:pPr>
      <w:r>
        <w:rPr>
          <w:spacing w:val="-3"/>
          <w:sz w:val="18"/>
        </w:rPr>
        <w:t>Moreover, </w:t>
      </w:r>
      <w:r>
        <w:rPr>
          <w:sz w:val="18"/>
        </w:rPr>
        <w:t>it is possible that persistently high oil prices might have second-round effects on the wage-setting process. If workers</w:t>
      </w:r>
      <w:r>
        <w:rPr>
          <w:spacing w:val="-7"/>
          <w:sz w:val="18"/>
        </w:rPr>
        <w:t> </w:t>
      </w:r>
      <w:r>
        <w:rPr>
          <w:sz w:val="18"/>
        </w:rPr>
        <w:t>misconstrue</w:t>
      </w:r>
      <w:r>
        <w:rPr>
          <w:spacing w:val="-7"/>
          <w:sz w:val="18"/>
        </w:rPr>
        <w:t> </w:t>
      </w:r>
      <w:r>
        <w:rPr>
          <w:sz w:val="18"/>
        </w:rPr>
        <w:t>any</w:t>
      </w:r>
      <w:r>
        <w:rPr>
          <w:spacing w:val="-7"/>
          <w:sz w:val="18"/>
        </w:rPr>
        <w:t> </w:t>
      </w:r>
      <w:r>
        <w:rPr>
          <w:sz w:val="18"/>
        </w:rPr>
        <w:t>rise</w:t>
      </w:r>
      <w:r>
        <w:rPr>
          <w:spacing w:val="-6"/>
          <w:sz w:val="18"/>
        </w:rPr>
        <w:t> </w:t>
      </w:r>
      <w:r>
        <w:rPr>
          <w:sz w:val="18"/>
        </w:rPr>
        <w:t>in</w:t>
      </w:r>
      <w:r>
        <w:rPr>
          <w:spacing w:val="-7"/>
          <w:sz w:val="18"/>
        </w:rPr>
        <w:t> </w:t>
      </w:r>
      <w:r>
        <w:rPr>
          <w:sz w:val="18"/>
        </w:rPr>
        <w:t>the</w:t>
      </w:r>
      <w:r>
        <w:rPr>
          <w:spacing w:val="-7"/>
          <w:sz w:val="18"/>
        </w:rPr>
        <w:t> </w:t>
      </w:r>
      <w:r>
        <w:rPr>
          <w:sz w:val="18"/>
        </w:rPr>
        <w:t>aggregate</w:t>
      </w:r>
      <w:r>
        <w:rPr>
          <w:spacing w:val="-6"/>
          <w:sz w:val="18"/>
        </w:rPr>
        <w:t> </w:t>
      </w:r>
      <w:r>
        <w:rPr>
          <w:sz w:val="18"/>
        </w:rPr>
        <w:t>price</w:t>
      </w:r>
      <w:r>
        <w:rPr>
          <w:spacing w:val="-7"/>
          <w:sz w:val="18"/>
        </w:rPr>
        <w:t> </w:t>
      </w:r>
      <w:r>
        <w:rPr>
          <w:sz w:val="18"/>
        </w:rPr>
        <w:t>level</w:t>
      </w:r>
      <w:r>
        <w:rPr>
          <w:spacing w:val="-7"/>
          <w:sz w:val="18"/>
        </w:rPr>
        <w:t> </w:t>
      </w:r>
      <w:r>
        <w:rPr>
          <w:sz w:val="18"/>
        </w:rPr>
        <w:t>caused by </w:t>
      </w:r>
      <w:r>
        <w:rPr>
          <w:spacing w:val="-3"/>
          <w:sz w:val="18"/>
        </w:rPr>
        <w:t>oil’s </w:t>
      </w:r>
      <w:r>
        <w:rPr>
          <w:sz w:val="18"/>
        </w:rPr>
        <w:t>relative price increase as a pick-up in underlying inflation, they may try to protect their real incomes by negotiating higher wages. In these circumstances, it is the role of monetary policy to prevent rising inflation expectations from becoming embedded in future wage and price</w:t>
      </w:r>
      <w:r>
        <w:rPr>
          <w:spacing w:val="-17"/>
          <w:sz w:val="18"/>
        </w:rPr>
        <w:t> </w:t>
      </w:r>
      <w:r>
        <w:rPr>
          <w:sz w:val="18"/>
        </w:rPr>
        <w:t>trends.</w:t>
      </w:r>
    </w:p>
    <w:p>
      <w:pPr>
        <w:pStyle w:val="BodyText"/>
        <w:spacing w:before="6"/>
        <w:rPr>
          <w:sz w:val="19"/>
        </w:rPr>
      </w:pPr>
    </w:p>
    <w:p>
      <w:pPr>
        <w:spacing w:before="0"/>
        <w:ind w:left="460" w:right="0" w:firstLine="0"/>
        <w:jc w:val="left"/>
        <w:rPr>
          <w:b/>
          <w:sz w:val="18"/>
        </w:rPr>
      </w:pPr>
      <w:r>
        <w:rPr>
          <w:b/>
          <w:color w:val="009391"/>
          <w:sz w:val="18"/>
        </w:rPr>
        <w:t>The likely impact on the UK economy</w:t>
      </w:r>
    </w:p>
    <w:p>
      <w:pPr>
        <w:spacing w:line="254" w:lineRule="auto" w:before="93"/>
        <w:ind w:left="460" w:right="432" w:firstLine="0"/>
        <w:jc w:val="left"/>
        <w:rPr>
          <w:sz w:val="18"/>
        </w:rPr>
      </w:pPr>
      <w:r>
        <w:rPr>
          <w:sz w:val="18"/>
        </w:rPr>
        <w:t>There are a number of reasons why recent oil price rises may have only a limited impact on UK economic prospects. First, it is important to consider oil prices in relation to the overall price level. In real terms oil prices are lower than during the oil shocks of the early 1970s and 1980s (see Chart B). In addition, like most other industrialised economies, the United Kingdom has become less reliant on oil for its energy needs. OECD economies now use about a third less oil per unit of output than in 1980.</w:t>
      </w:r>
    </w:p>
    <w:p>
      <w:pPr>
        <w:tabs>
          <w:tab w:pos="5119" w:val="left" w:leader="none"/>
        </w:tabs>
        <w:spacing w:line="90" w:lineRule="exact" w:before="0"/>
        <w:ind w:left="440" w:right="0" w:firstLine="0"/>
        <w:jc w:val="left"/>
        <w:rPr>
          <w:sz w:val="11"/>
        </w:rPr>
      </w:pPr>
      <w:r>
        <w:rPr>
          <w:w w:val="103"/>
          <w:sz w:val="11"/>
          <w:u w:val="single"/>
        </w:rPr>
        <w:t> </w:t>
      </w:r>
      <w:r>
        <w:rPr>
          <w:sz w:val="11"/>
          <w:u w:val="single"/>
        </w:rPr>
        <w:tab/>
      </w:r>
    </w:p>
    <w:p>
      <w:pPr>
        <w:spacing w:line="220" w:lineRule="exact" w:before="0"/>
        <w:ind w:left="479" w:right="0" w:firstLine="0"/>
        <w:jc w:val="left"/>
        <w:rPr>
          <w:b/>
          <w:sz w:val="20"/>
        </w:rPr>
      </w:pPr>
      <w:r>
        <w:rPr>
          <w:b/>
          <w:color w:val="0092C7"/>
          <w:sz w:val="20"/>
        </w:rPr>
        <w:t>Chart B: Oil price</w:t>
      </w:r>
    </w:p>
    <w:p>
      <w:pPr>
        <w:spacing w:after="0" w:line="220" w:lineRule="exact"/>
        <w:jc w:val="left"/>
        <w:rPr>
          <w:sz w:val="20"/>
        </w:rPr>
        <w:sectPr>
          <w:type w:val="continuous"/>
          <w:pgSz w:w="11900" w:h="16840"/>
          <w:pgMar w:top="1260" w:bottom="280" w:left="640" w:right="640"/>
          <w:cols w:num="2" w:equalWidth="0">
            <w:col w:w="5069" w:space="41"/>
            <w:col w:w="5510"/>
          </w:cols>
        </w:sectPr>
      </w:pPr>
    </w:p>
    <w:p>
      <w:pPr>
        <w:spacing w:line="108" w:lineRule="exact" w:before="44"/>
        <w:ind w:left="8858" w:right="0" w:firstLine="0"/>
        <w:jc w:val="left"/>
        <w:rPr>
          <w:sz w:val="11"/>
        </w:rPr>
      </w:pPr>
      <w:r>
        <w:rPr/>
        <w:pict>
          <v:shape style="position:absolute;margin-left:51.990002pt;margin-top:-133.043869pt;width:227.25pt;height:204.4pt;mso-position-horizontal-relative:page;mso-position-vertical-relative:paragraph;z-index:15826432" type="#_x0000_t202" filled="false" stroked="false">
            <v:textbox inset="0,0,0,0">
              <w:txbxContent>
                <w:p>
                  <w:pPr>
                    <w:spacing w:line="212" w:lineRule="exact" w:before="0"/>
                    <w:ind w:left="19" w:right="0" w:firstLine="0"/>
                    <w:jc w:val="left"/>
                    <w:rPr>
                      <w:sz w:val="12"/>
                    </w:rPr>
                  </w:pPr>
                  <w:r>
                    <w:rPr>
                      <w:b/>
                      <w:color w:val="0092C7"/>
                      <w:sz w:val="20"/>
                    </w:rPr>
                    <w:t>Chart A: Implied distribution for oil</w:t>
                  </w:r>
                  <w:r>
                    <w:rPr>
                      <w:b/>
                      <w:color w:val="0092C7"/>
                      <w:spacing w:val="-7"/>
                      <w:sz w:val="20"/>
                    </w:rPr>
                    <w:t> </w:t>
                  </w:r>
                  <w:r>
                    <w:rPr>
                      <w:b/>
                      <w:color w:val="0092C7"/>
                      <w:sz w:val="20"/>
                    </w:rPr>
                    <w:t>prices</w:t>
                  </w:r>
                  <w:r>
                    <w:rPr>
                      <w:position w:val="4"/>
                      <w:sz w:val="12"/>
                    </w:rPr>
                    <w:t>(a)</w:t>
                  </w:r>
                </w:p>
                <w:p>
                  <w:pPr>
                    <w:tabs>
                      <w:tab w:pos="3148" w:val="left" w:leader="none"/>
                    </w:tabs>
                    <w:spacing w:before="78"/>
                    <w:ind w:left="23" w:right="0" w:firstLine="0"/>
                    <w:jc w:val="left"/>
                    <w:rPr>
                      <w:sz w:val="11"/>
                    </w:rPr>
                  </w:pPr>
                  <w:r>
                    <w:rPr>
                      <w:w w:val="110"/>
                      <w:sz w:val="11"/>
                      <w:u w:val="single"/>
                    </w:rPr>
                    <w:t>E</w:t>
                  </w:r>
                  <w:r>
                    <w:rPr>
                      <w:w w:val="110"/>
                      <w:sz w:val="11"/>
                    </w:rPr>
                    <w:t>xpectations as at cob 8</w:t>
                  </w:r>
                  <w:r>
                    <w:rPr>
                      <w:spacing w:val="-4"/>
                      <w:w w:val="110"/>
                      <w:sz w:val="11"/>
                    </w:rPr>
                    <w:t> </w:t>
                  </w:r>
                  <w:r>
                    <w:rPr>
                      <w:w w:val="110"/>
                      <w:sz w:val="11"/>
                    </w:rPr>
                    <w:t>November</w:t>
                  </w:r>
                  <w:r>
                    <w:rPr>
                      <w:spacing w:val="-1"/>
                      <w:w w:val="110"/>
                      <w:sz w:val="11"/>
                    </w:rPr>
                    <w:t> </w:t>
                  </w:r>
                  <w:r>
                    <w:rPr>
                      <w:w w:val="110"/>
                      <w:sz w:val="11"/>
                    </w:rPr>
                    <w:t>2000</w:t>
                    <w:tab/>
                    <w:t>$ per barr</w:t>
                  </w:r>
                  <w:r>
                    <w:rPr>
                      <w:w w:val="110"/>
                      <w:sz w:val="11"/>
                      <w:u w:val="single"/>
                    </w:rPr>
                    <w:t>el</w:t>
                  </w:r>
                  <w:r>
                    <w:rPr>
                      <w:spacing w:val="-6"/>
                      <w:w w:val="110"/>
                      <w:sz w:val="11"/>
                    </w:rPr>
                    <w:t> </w:t>
                  </w:r>
                  <w:r>
                    <w:rPr>
                      <w:w w:val="110"/>
                      <w:position w:val="-7"/>
                      <w:sz w:val="11"/>
                    </w:rPr>
                    <w:t>45</w:t>
                  </w:r>
                </w:p>
                <w:p>
                  <w:pPr>
                    <w:pStyle w:val="BodyText"/>
                    <w:spacing w:before="10"/>
                    <w:rPr>
                      <w:sz w:val="22"/>
                    </w:rPr>
                  </w:pPr>
                </w:p>
                <w:p>
                  <w:pPr>
                    <w:spacing w:before="0"/>
                    <w:ind w:left="0" w:right="691" w:firstLine="0"/>
                    <w:jc w:val="right"/>
                    <w:rPr>
                      <w:sz w:val="11"/>
                    </w:rPr>
                  </w:pPr>
                  <w:r>
                    <w:rPr>
                      <w:spacing w:val="-1"/>
                      <w:w w:val="105"/>
                      <w:sz w:val="11"/>
                    </w:rPr>
                    <w:t>40</w:t>
                  </w:r>
                </w:p>
                <w:p>
                  <w:pPr>
                    <w:pStyle w:val="BodyText"/>
                    <w:rPr>
                      <w:sz w:val="12"/>
                    </w:rPr>
                  </w:pPr>
                </w:p>
                <w:p>
                  <w:pPr>
                    <w:pStyle w:val="BodyText"/>
                    <w:rPr>
                      <w:sz w:val="11"/>
                    </w:rPr>
                  </w:pPr>
                </w:p>
                <w:p>
                  <w:pPr>
                    <w:spacing w:before="0"/>
                    <w:ind w:left="0" w:right="691" w:firstLine="0"/>
                    <w:jc w:val="right"/>
                    <w:rPr>
                      <w:sz w:val="11"/>
                    </w:rPr>
                  </w:pPr>
                  <w:r>
                    <w:rPr>
                      <w:spacing w:val="-1"/>
                      <w:w w:val="105"/>
                      <w:sz w:val="11"/>
                    </w:rPr>
                    <w:t>35</w:t>
                  </w:r>
                </w:p>
                <w:p>
                  <w:pPr>
                    <w:pStyle w:val="BodyText"/>
                    <w:rPr>
                      <w:sz w:val="12"/>
                    </w:rPr>
                  </w:pPr>
                </w:p>
                <w:p>
                  <w:pPr>
                    <w:pStyle w:val="BodyText"/>
                    <w:rPr>
                      <w:sz w:val="11"/>
                    </w:rPr>
                  </w:pPr>
                </w:p>
                <w:p>
                  <w:pPr>
                    <w:spacing w:before="0"/>
                    <w:ind w:left="0" w:right="691" w:firstLine="0"/>
                    <w:jc w:val="right"/>
                    <w:rPr>
                      <w:sz w:val="11"/>
                    </w:rPr>
                  </w:pPr>
                  <w:r>
                    <w:rPr>
                      <w:spacing w:val="-1"/>
                      <w:w w:val="105"/>
                      <w:sz w:val="11"/>
                    </w:rPr>
                    <w:t>30</w:t>
                  </w:r>
                </w:p>
                <w:p>
                  <w:pPr>
                    <w:pStyle w:val="BodyText"/>
                    <w:rPr>
                      <w:sz w:val="12"/>
                    </w:rPr>
                  </w:pPr>
                </w:p>
                <w:p>
                  <w:pPr>
                    <w:pStyle w:val="BodyText"/>
                    <w:rPr>
                      <w:sz w:val="11"/>
                    </w:rPr>
                  </w:pPr>
                </w:p>
                <w:p>
                  <w:pPr>
                    <w:spacing w:before="0"/>
                    <w:ind w:left="0" w:right="691" w:firstLine="0"/>
                    <w:jc w:val="right"/>
                    <w:rPr>
                      <w:sz w:val="11"/>
                    </w:rPr>
                  </w:pPr>
                  <w:r>
                    <w:rPr>
                      <w:spacing w:val="-1"/>
                      <w:w w:val="105"/>
                      <w:sz w:val="11"/>
                    </w:rPr>
                    <w:t>25</w:t>
                  </w:r>
                </w:p>
                <w:p>
                  <w:pPr>
                    <w:pStyle w:val="BodyText"/>
                    <w:rPr>
                      <w:sz w:val="12"/>
                    </w:rPr>
                  </w:pPr>
                </w:p>
                <w:p>
                  <w:pPr>
                    <w:pStyle w:val="BodyText"/>
                    <w:rPr>
                      <w:sz w:val="11"/>
                    </w:rPr>
                  </w:pPr>
                </w:p>
                <w:p>
                  <w:pPr>
                    <w:spacing w:before="0"/>
                    <w:ind w:left="0" w:right="691" w:firstLine="0"/>
                    <w:jc w:val="right"/>
                    <w:rPr>
                      <w:sz w:val="11"/>
                    </w:rPr>
                  </w:pPr>
                  <w:r>
                    <w:rPr>
                      <w:spacing w:val="-1"/>
                      <w:w w:val="105"/>
                      <w:sz w:val="11"/>
                    </w:rPr>
                    <w:t>20</w:t>
                  </w:r>
                </w:p>
                <w:p>
                  <w:pPr>
                    <w:pStyle w:val="BodyText"/>
                    <w:rPr>
                      <w:sz w:val="12"/>
                    </w:rPr>
                  </w:pPr>
                </w:p>
                <w:p>
                  <w:pPr>
                    <w:pStyle w:val="BodyText"/>
                    <w:rPr>
                      <w:sz w:val="11"/>
                    </w:rPr>
                  </w:pPr>
                </w:p>
                <w:p>
                  <w:pPr>
                    <w:spacing w:before="0"/>
                    <w:ind w:left="0" w:right="691" w:firstLine="0"/>
                    <w:jc w:val="right"/>
                    <w:rPr>
                      <w:sz w:val="11"/>
                    </w:rPr>
                  </w:pPr>
                  <w:r>
                    <w:rPr>
                      <w:spacing w:val="-1"/>
                      <w:w w:val="105"/>
                      <w:sz w:val="11"/>
                    </w:rPr>
                    <w:t>15</w:t>
                  </w:r>
                </w:p>
                <w:p>
                  <w:pPr>
                    <w:pStyle w:val="BodyText"/>
                    <w:rPr>
                      <w:sz w:val="12"/>
                    </w:rPr>
                  </w:pPr>
                </w:p>
                <w:p>
                  <w:pPr>
                    <w:pStyle w:val="BodyText"/>
                    <w:rPr>
                      <w:sz w:val="11"/>
                    </w:rPr>
                  </w:pPr>
                </w:p>
                <w:p>
                  <w:pPr>
                    <w:spacing w:line="115" w:lineRule="exact" w:before="0"/>
                    <w:ind w:left="3737" w:right="0" w:firstLine="0"/>
                    <w:jc w:val="left"/>
                    <w:rPr>
                      <w:sz w:val="11"/>
                    </w:rPr>
                  </w:pPr>
                  <w:r>
                    <w:rPr>
                      <w:w w:val="105"/>
                      <w:sz w:val="11"/>
                    </w:rPr>
                    <w:t>10</w:t>
                  </w:r>
                </w:p>
                <w:p>
                  <w:pPr>
                    <w:spacing w:line="108" w:lineRule="exact" w:before="0"/>
                    <w:ind w:left="3792" w:right="0" w:firstLine="0"/>
                    <w:jc w:val="left"/>
                    <w:rPr>
                      <w:sz w:val="11"/>
                    </w:rPr>
                  </w:pPr>
                  <w:r>
                    <w:rPr>
                      <w:w w:val="110"/>
                      <w:sz w:val="11"/>
                    </w:rPr>
                    <w:t>0</w:t>
                  </w:r>
                </w:p>
                <w:p>
                  <w:pPr>
                    <w:tabs>
                      <w:tab w:pos="1200" w:val="left" w:leader="none"/>
                      <w:tab w:pos="1923" w:val="left" w:leader="none"/>
                      <w:tab w:pos="2587" w:val="left" w:leader="none"/>
                      <w:tab w:pos="3257" w:val="left" w:leader="none"/>
                    </w:tabs>
                    <w:spacing w:line="119" w:lineRule="exact" w:before="0"/>
                    <w:ind w:left="407" w:right="0" w:firstLine="0"/>
                    <w:jc w:val="left"/>
                    <w:rPr>
                      <w:sz w:val="11"/>
                    </w:rPr>
                  </w:pPr>
                  <w:r>
                    <w:rPr>
                      <w:w w:val="105"/>
                      <w:sz w:val="11"/>
                    </w:rPr>
                    <w:t>1997</w:t>
                    <w:tab/>
                    <w:t>98</w:t>
                    <w:tab/>
                    <w:t>99</w:t>
                    <w:tab/>
                    <w:t>2000</w:t>
                    <w:tab/>
                    <w:t>01</w:t>
                  </w:r>
                </w:p>
                <w:p>
                  <w:pPr>
                    <w:spacing w:before="42"/>
                    <w:ind w:left="40" w:right="0" w:firstLine="0"/>
                    <w:jc w:val="left"/>
                    <w:rPr>
                      <w:sz w:val="12"/>
                    </w:rPr>
                  </w:pPr>
                  <w:r>
                    <w:rPr>
                      <w:sz w:val="12"/>
                    </w:rPr>
                    <w:t>Sources: NYMEX and Bank of England.</w:t>
                  </w:r>
                </w:p>
                <w:p>
                  <w:pPr>
                    <w:pStyle w:val="BodyText"/>
                    <w:spacing w:before="1"/>
                    <w:rPr>
                      <w:sz w:val="10"/>
                    </w:rPr>
                  </w:pPr>
                </w:p>
                <w:p>
                  <w:pPr>
                    <w:spacing w:line="208" w:lineRule="auto" w:before="1"/>
                    <w:ind w:left="280" w:right="180" w:hanging="240"/>
                    <w:jc w:val="left"/>
                    <w:rPr>
                      <w:sz w:val="12"/>
                    </w:rPr>
                  </w:pPr>
                  <w:r>
                    <w:rPr>
                      <w:sz w:val="12"/>
                    </w:rPr>
                    <w:t>(a) Derived from option prices for West Texas Intermediate oil (WTI). Prices for WTI tend on average to be around $1 per barrel higher than those for Brent crude oil.</w:t>
                  </w:r>
                </w:p>
              </w:txbxContent>
            </v:textbox>
            <w10:wrap type="none"/>
          </v:shape>
        </w:pict>
      </w:r>
      <w:r>
        <w:rPr>
          <w:w w:val="105"/>
          <w:sz w:val="11"/>
        </w:rPr>
        <w:t>1995 = 100</w:t>
      </w:r>
    </w:p>
    <w:p>
      <w:pPr>
        <w:spacing w:line="108" w:lineRule="exact" w:before="0"/>
        <w:ind w:left="9461" w:right="0" w:firstLine="0"/>
        <w:jc w:val="left"/>
        <w:rPr>
          <w:sz w:val="11"/>
        </w:rPr>
      </w:pPr>
      <w:r>
        <w:rPr>
          <w:w w:val="105"/>
          <w:sz w:val="11"/>
        </w:rPr>
        <w:t>450</w:t>
      </w:r>
    </w:p>
    <w:p>
      <w:pPr>
        <w:spacing w:after="0" w:line="108" w:lineRule="exact"/>
        <w:jc w:val="left"/>
        <w:rPr>
          <w:sz w:val="11"/>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spacing w:before="89"/>
        <w:ind w:left="0" w:right="0" w:firstLine="0"/>
        <w:jc w:val="right"/>
        <w:rPr>
          <w:sz w:val="11"/>
        </w:rPr>
      </w:pPr>
      <w:r>
        <w:rPr>
          <w:w w:val="105"/>
          <w:sz w:val="11"/>
        </w:rPr>
        <w:t>Real oil price (a)</w:t>
      </w:r>
    </w:p>
    <w:p>
      <w:pPr>
        <w:pStyle w:val="BodyText"/>
        <w:spacing w:before="1"/>
        <w:rPr>
          <w:sz w:val="16"/>
        </w:rPr>
      </w:pPr>
      <w:r>
        <w:rPr/>
        <w:br w:type="column"/>
      </w:r>
      <w:r>
        <w:rPr>
          <w:sz w:val="16"/>
        </w:rPr>
      </w:r>
    </w:p>
    <w:p>
      <w:pPr>
        <w:spacing w:before="0"/>
        <w:ind w:left="1102" w:right="966" w:firstLine="0"/>
        <w:jc w:val="center"/>
        <w:rPr>
          <w:sz w:val="11"/>
        </w:rPr>
      </w:pPr>
      <w:r>
        <w:rPr>
          <w:w w:val="105"/>
          <w:sz w:val="11"/>
        </w:rPr>
        <w:t>400</w:t>
      </w:r>
    </w:p>
    <w:p>
      <w:pPr>
        <w:pStyle w:val="BodyText"/>
        <w:spacing w:before="7"/>
        <w:rPr>
          <w:sz w:val="14"/>
        </w:rPr>
      </w:pPr>
    </w:p>
    <w:p>
      <w:pPr>
        <w:spacing w:before="0"/>
        <w:ind w:left="1102" w:right="966" w:firstLine="0"/>
        <w:jc w:val="center"/>
        <w:rPr>
          <w:sz w:val="11"/>
        </w:rPr>
      </w:pPr>
      <w:r>
        <w:rPr>
          <w:w w:val="105"/>
          <w:sz w:val="11"/>
        </w:rPr>
        <w:t>350</w:t>
      </w:r>
    </w:p>
    <w:p>
      <w:pPr>
        <w:spacing w:after="0"/>
        <w:jc w:val="center"/>
        <w:rPr>
          <w:sz w:val="11"/>
        </w:rPr>
        <w:sectPr>
          <w:type w:val="continuous"/>
          <w:pgSz w:w="11900" w:h="16840"/>
          <w:pgMar w:top="1260" w:bottom="280" w:left="640" w:right="640"/>
          <w:cols w:num="2" w:equalWidth="0">
            <w:col w:w="8298" w:space="40"/>
            <w:col w:w="2282"/>
          </w:cols>
        </w:sectPr>
      </w:pPr>
    </w:p>
    <w:p>
      <w:pPr>
        <w:pStyle w:val="BodyText"/>
        <w:spacing w:before="9"/>
        <w:rPr>
          <w:sz w:val="13"/>
        </w:rPr>
      </w:pPr>
    </w:p>
    <w:p>
      <w:pPr>
        <w:spacing w:before="0"/>
        <w:ind w:left="0" w:right="985" w:firstLine="0"/>
        <w:jc w:val="right"/>
        <w:rPr>
          <w:sz w:val="11"/>
        </w:rPr>
      </w:pPr>
      <w:r>
        <w:rPr>
          <w:sz w:val="11"/>
        </w:rPr>
        <w:t>300</w:t>
      </w:r>
    </w:p>
    <w:p>
      <w:pPr>
        <w:spacing w:after="0"/>
        <w:jc w:val="right"/>
        <w:rPr>
          <w:sz w:val="11"/>
        </w:rPr>
        <w:sectPr>
          <w:type w:val="continuous"/>
          <w:pgSz w:w="11900" w:h="16840"/>
          <w:pgMar w:top="1260" w:bottom="280" w:left="640" w:right="640"/>
        </w:sectPr>
      </w:pPr>
    </w:p>
    <w:p>
      <w:pPr>
        <w:pStyle w:val="BodyText"/>
        <w:spacing w:before="1"/>
        <w:rPr>
          <w:sz w:val="26"/>
        </w:rPr>
      </w:pPr>
    </w:p>
    <w:p>
      <w:pPr>
        <w:spacing w:before="1"/>
        <w:ind w:left="440" w:right="0" w:firstLine="0"/>
        <w:jc w:val="left"/>
        <w:rPr>
          <w:b/>
          <w:sz w:val="18"/>
        </w:rPr>
      </w:pPr>
      <w:r>
        <w:rPr>
          <w:b/>
          <w:color w:val="009391"/>
          <w:sz w:val="18"/>
        </w:rPr>
        <w:t>International effects</w:t>
      </w:r>
    </w:p>
    <w:p>
      <w:pPr>
        <w:spacing w:line="254" w:lineRule="auto" w:before="93"/>
        <w:ind w:left="440" w:right="19" w:firstLine="0"/>
        <w:jc w:val="left"/>
        <w:rPr>
          <w:sz w:val="18"/>
        </w:rPr>
      </w:pPr>
      <w:r>
        <w:rPr>
          <w:sz w:val="18"/>
        </w:rPr>
        <w:t>Higher oil prices improve the terms of trade for countries that are net oil exporters. The opposite holds for net importers of oil. In the short run, oil demand is fairly price-insensitive, so higher prices will tend to bring about a transfer of income from oil importers to oil exporters. That is likely to reduce world demand temporarily if oil exporters have a lower marginal</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3"/>
        <w:ind w:left="1078" w:right="0" w:firstLine="0"/>
        <w:jc w:val="left"/>
        <w:rPr>
          <w:sz w:val="11"/>
        </w:rPr>
      </w:pPr>
      <w:r>
        <w:rPr>
          <w:w w:val="105"/>
          <w:sz w:val="11"/>
        </w:rPr>
        <w:t>Nominal oil price (in sterling)</w:t>
      </w:r>
    </w:p>
    <w:p>
      <w:pPr>
        <w:pStyle w:val="BodyText"/>
        <w:spacing w:before="8"/>
        <w:rPr>
          <w:sz w:val="9"/>
        </w:rPr>
      </w:pPr>
    </w:p>
    <w:p>
      <w:pPr>
        <w:tabs>
          <w:tab w:pos="3859" w:val="left" w:leader="none"/>
        </w:tabs>
        <w:spacing w:before="0"/>
        <w:ind w:left="440" w:right="0" w:firstLine="0"/>
        <w:jc w:val="left"/>
        <w:rPr>
          <w:sz w:val="18"/>
        </w:rPr>
      </w:pPr>
      <w:r>
        <w:rPr>
          <w:sz w:val="18"/>
          <w:u w:val="single"/>
        </w:rPr>
        <w:t> </w:t>
        <w:tab/>
      </w:r>
    </w:p>
    <w:p>
      <w:pPr>
        <w:pStyle w:val="BodyText"/>
        <w:spacing w:before="10"/>
        <w:rPr>
          <w:sz w:val="15"/>
        </w:rPr>
      </w:pPr>
      <w:r>
        <w:rPr/>
        <w:br w:type="column"/>
      </w:r>
      <w:r>
        <w:rPr>
          <w:sz w:val="15"/>
        </w:rPr>
      </w:r>
    </w:p>
    <w:p>
      <w:pPr>
        <w:spacing w:before="0"/>
        <w:ind w:left="0" w:right="985" w:firstLine="0"/>
        <w:jc w:val="right"/>
        <w:rPr>
          <w:sz w:val="11"/>
        </w:rPr>
      </w:pPr>
      <w:r>
        <w:rPr>
          <w:sz w:val="11"/>
        </w:rPr>
        <w:t>250</w:t>
      </w:r>
    </w:p>
    <w:p>
      <w:pPr>
        <w:pStyle w:val="BodyText"/>
        <w:spacing w:before="7"/>
        <w:rPr>
          <w:sz w:val="14"/>
        </w:rPr>
      </w:pPr>
    </w:p>
    <w:p>
      <w:pPr>
        <w:spacing w:before="0"/>
        <w:ind w:left="0" w:right="985" w:firstLine="0"/>
        <w:jc w:val="right"/>
        <w:rPr>
          <w:sz w:val="11"/>
        </w:rPr>
      </w:pPr>
      <w:r>
        <w:rPr>
          <w:sz w:val="11"/>
        </w:rPr>
        <w:t>200</w:t>
      </w:r>
    </w:p>
    <w:p>
      <w:pPr>
        <w:pStyle w:val="BodyText"/>
        <w:spacing w:before="1"/>
        <w:rPr>
          <w:sz w:val="16"/>
        </w:rPr>
      </w:pPr>
    </w:p>
    <w:p>
      <w:pPr>
        <w:spacing w:before="0"/>
        <w:ind w:left="0" w:right="985" w:firstLine="0"/>
        <w:jc w:val="right"/>
        <w:rPr>
          <w:sz w:val="11"/>
        </w:rPr>
      </w:pPr>
      <w:r>
        <w:rPr>
          <w:sz w:val="11"/>
        </w:rPr>
        <w:t>150</w:t>
      </w:r>
    </w:p>
    <w:p>
      <w:pPr>
        <w:pStyle w:val="BodyText"/>
        <w:spacing w:before="9"/>
        <w:rPr>
          <w:sz w:val="15"/>
        </w:rPr>
      </w:pPr>
    </w:p>
    <w:p>
      <w:pPr>
        <w:spacing w:before="1"/>
        <w:ind w:left="0" w:right="985" w:firstLine="0"/>
        <w:jc w:val="right"/>
        <w:rPr>
          <w:sz w:val="11"/>
        </w:rPr>
      </w:pPr>
      <w:r>
        <w:rPr>
          <w:sz w:val="11"/>
        </w:rPr>
        <w:t>100</w:t>
      </w:r>
    </w:p>
    <w:p>
      <w:pPr>
        <w:pStyle w:val="BodyText"/>
        <w:spacing w:before="6"/>
        <w:rPr>
          <w:sz w:val="14"/>
        </w:rPr>
      </w:pPr>
    </w:p>
    <w:p>
      <w:pPr>
        <w:spacing w:before="1"/>
        <w:ind w:left="0" w:right="985" w:firstLine="0"/>
        <w:jc w:val="right"/>
        <w:rPr>
          <w:sz w:val="11"/>
        </w:rPr>
      </w:pPr>
      <w:r>
        <w:rPr>
          <w:sz w:val="11"/>
        </w:rPr>
        <w:t>50</w:t>
      </w:r>
    </w:p>
    <w:p>
      <w:pPr>
        <w:pStyle w:val="BodyText"/>
        <w:spacing w:before="9"/>
        <w:rPr>
          <w:sz w:val="15"/>
        </w:rPr>
      </w:pPr>
    </w:p>
    <w:p>
      <w:pPr>
        <w:spacing w:before="0"/>
        <w:ind w:left="0" w:right="985" w:firstLine="0"/>
        <w:jc w:val="right"/>
        <w:rPr>
          <w:sz w:val="11"/>
        </w:rPr>
      </w:pPr>
      <w:r>
        <w:rPr>
          <w:w w:val="103"/>
          <w:sz w:val="11"/>
        </w:rPr>
        <w:t>0</w:t>
      </w:r>
    </w:p>
    <w:p>
      <w:pPr>
        <w:spacing w:after="0"/>
        <w:jc w:val="right"/>
        <w:rPr>
          <w:sz w:val="11"/>
        </w:rPr>
        <w:sectPr>
          <w:type w:val="continuous"/>
          <w:pgSz w:w="11900" w:h="16840"/>
          <w:pgMar w:top="1260" w:bottom="280" w:left="640" w:right="640"/>
          <w:cols w:num="3" w:equalWidth="0">
            <w:col w:w="5033" w:space="286"/>
            <w:col w:w="3861" w:space="40"/>
            <w:col w:w="1400"/>
          </w:cols>
        </w:sectPr>
      </w:pPr>
    </w:p>
    <w:p>
      <w:pPr>
        <w:spacing w:line="254" w:lineRule="auto" w:before="3"/>
        <w:ind w:left="440" w:right="6" w:firstLine="0"/>
        <w:jc w:val="left"/>
        <w:rPr>
          <w:sz w:val="18"/>
        </w:rPr>
      </w:pPr>
      <w:r>
        <w:rPr>
          <w:sz w:val="18"/>
        </w:rPr>
        <w:t>propensity to spend out of income than oil importers. But the negative shock will gradually dissipate, as oil exporters increase their spending on imports.</w:t>
      </w:r>
    </w:p>
    <w:p>
      <w:pPr>
        <w:tabs>
          <w:tab w:pos="1173" w:val="left" w:leader="none"/>
          <w:tab w:pos="1744" w:val="left" w:leader="none"/>
          <w:tab w:pos="2294" w:val="left" w:leader="none"/>
          <w:tab w:pos="2848" w:val="left" w:leader="none"/>
        </w:tabs>
        <w:spacing w:before="9"/>
        <w:ind w:left="551" w:right="0" w:firstLine="0"/>
        <w:jc w:val="left"/>
        <w:rPr>
          <w:sz w:val="11"/>
        </w:rPr>
      </w:pPr>
      <w:r>
        <w:rPr/>
        <w:br w:type="column"/>
      </w:r>
      <w:r>
        <w:rPr>
          <w:w w:val="105"/>
          <w:sz w:val="11"/>
        </w:rPr>
        <w:t>1970</w:t>
        <w:tab/>
        <w:t>75</w:t>
        <w:tab/>
        <w:t>80</w:t>
        <w:tab/>
        <w:t>85</w:t>
        <w:tab/>
        <w:t>90</w:t>
      </w:r>
    </w:p>
    <w:p>
      <w:pPr>
        <w:spacing w:before="82"/>
        <w:ind w:left="440" w:right="0" w:firstLine="0"/>
        <w:jc w:val="left"/>
        <w:rPr>
          <w:sz w:val="12"/>
        </w:rPr>
      </w:pPr>
      <w:r>
        <w:rPr>
          <w:sz w:val="12"/>
        </w:rPr>
        <w:t>Sources: Primark Datastream and ONS.</w:t>
      </w:r>
    </w:p>
    <w:p>
      <w:pPr>
        <w:pStyle w:val="ListParagraph"/>
        <w:numPr>
          <w:ilvl w:val="0"/>
          <w:numId w:val="13"/>
        </w:numPr>
        <w:tabs>
          <w:tab w:pos="681" w:val="left" w:leader="none"/>
        </w:tabs>
        <w:spacing w:line="240" w:lineRule="auto" w:before="102" w:after="0"/>
        <w:ind w:left="680" w:right="0" w:hanging="241"/>
        <w:jc w:val="left"/>
        <w:rPr>
          <w:sz w:val="12"/>
        </w:rPr>
      </w:pPr>
      <w:r>
        <w:rPr>
          <w:sz w:val="12"/>
        </w:rPr>
        <w:t>Sterling</w:t>
      </w:r>
      <w:r>
        <w:rPr>
          <w:spacing w:val="-6"/>
          <w:sz w:val="12"/>
        </w:rPr>
        <w:t> </w:t>
      </w:r>
      <w:r>
        <w:rPr>
          <w:sz w:val="12"/>
        </w:rPr>
        <w:t>oil</w:t>
      </w:r>
      <w:r>
        <w:rPr>
          <w:spacing w:val="-5"/>
          <w:sz w:val="12"/>
        </w:rPr>
        <w:t> </w:t>
      </w:r>
      <w:r>
        <w:rPr>
          <w:sz w:val="12"/>
        </w:rPr>
        <w:t>price</w:t>
      </w:r>
      <w:r>
        <w:rPr>
          <w:spacing w:val="-5"/>
          <w:sz w:val="12"/>
        </w:rPr>
        <w:t> </w:t>
      </w:r>
      <w:r>
        <w:rPr>
          <w:sz w:val="12"/>
        </w:rPr>
        <w:t>deflated</w:t>
      </w:r>
      <w:r>
        <w:rPr>
          <w:spacing w:val="-5"/>
          <w:sz w:val="12"/>
        </w:rPr>
        <w:t> </w:t>
      </w:r>
      <w:r>
        <w:rPr>
          <w:sz w:val="12"/>
        </w:rPr>
        <w:t>by</w:t>
      </w:r>
      <w:r>
        <w:rPr>
          <w:spacing w:val="-6"/>
          <w:sz w:val="12"/>
        </w:rPr>
        <w:t> </w:t>
      </w:r>
      <w:r>
        <w:rPr>
          <w:sz w:val="12"/>
        </w:rPr>
        <w:t>UK</w:t>
      </w:r>
      <w:r>
        <w:rPr>
          <w:spacing w:val="-5"/>
          <w:sz w:val="12"/>
        </w:rPr>
        <w:t> </w:t>
      </w:r>
      <w:r>
        <w:rPr>
          <w:sz w:val="12"/>
        </w:rPr>
        <w:t>producer</w:t>
      </w:r>
      <w:r>
        <w:rPr>
          <w:spacing w:val="-5"/>
          <w:sz w:val="12"/>
        </w:rPr>
        <w:t> </w:t>
      </w:r>
      <w:r>
        <w:rPr>
          <w:sz w:val="12"/>
        </w:rPr>
        <w:t>prices.</w:t>
      </w:r>
    </w:p>
    <w:p>
      <w:pPr>
        <w:tabs>
          <w:tab w:pos="816" w:val="left" w:leader="none"/>
        </w:tabs>
        <w:spacing w:before="9"/>
        <w:ind w:left="360" w:right="0" w:firstLine="0"/>
        <w:jc w:val="left"/>
        <w:rPr>
          <w:sz w:val="11"/>
        </w:rPr>
      </w:pPr>
      <w:r>
        <w:rPr/>
        <w:br w:type="column"/>
      </w:r>
      <w:r>
        <w:rPr>
          <w:w w:val="105"/>
          <w:sz w:val="11"/>
        </w:rPr>
        <w:t>95</w:t>
        <w:tab/>
        <w:t>2000</w:t>
      </w:r>
    </w:p>
    <w:p>
      <w:pPr>
        <w:spacing w:after="0"/>
        <w:jc w:val="left"/>
        <w:rPr>
          <w:sz w:val="11"/>
        </w:rPr>
        <w:sectPr>
          <w:type w:val="continuous"/>
          <w:pgSz w:w="11900" w:h="16840"/>
          <w:pgMar w:top="1260" w:bottom="280" w:left="640" w:right="640"/>
          <w:cols w:num="3" w:equalWidth="0">
            <w:col w:w="5090" w:space="60"/>
            <w:col w:w="3059" w:space="39"/>
            <w:col w:w="2372"/>
          </w:cols>
        </w:sectPr>
      </w:pPr>
    </w:p>
    <w:p>
      <w:pPr>
        <w:pStyle w:val="BodyText"/>
        <w:spacing w:before="6"/>
        <w:rPr>
          <w:sz w:val="9"/>
        </w:rPr>
      </w:pPr>
    </w:p>
    <w:p>
      <w:pPr>
        <w:spacing w:after="0"/>
        <w:rPr>
          <w:sz w:val="9"/>
        </w:rPr>
        <w:sectPr>
          <w:type w:val="continuous"/>
          <w:pgSz w:w="11900" w:h="16840"/>
          <w:pgMar w:top="1260" w:bottom="280" w:left="640" w:right="640"/>
        </w:sectPr>
      </w:pPr>
    </w:p>
    <w:p>
      <w:pPr>
        <w:spacing w:before="93"/>
        <w:ind w:left="440" w:right="0" w:firstLine="0"/>
        <w:jc w:val="left"/>
        <w:rPr>
          <w:b/>
          <w:sz w:val="18"/>
        </w:rPr>
      </w:pPr>
      <w:r>
        <w:rPr>
          <w:b/>
          <w:color w:val="009391"/>
          <w:sz w:val="18"/>
        </w:rPr>
        <w:t>Domestic effects</w:t>
      </w:r>
    </w:p>
    <w:p>
      <w:pPr>
        <w:spacing w:line="254" w:lineRule="auto" w:before="73"/>
        <w:ind w:left="440" w:right="0" w:firstLine="0"/>
        <w:jc w:val="left"/>
        <w:rPr>
          <w:sz w:val="18"/>
        </w:rPr>
      </w:pPr>
      <w:r>
        <w:rPr>
          <w:sz w:val="18"/>
        </w:rPr>
        <w:t>As a small net exporter of oil, the United Kingdom will tend to benefit slightly from terms of trade effects. Against this are a number of negative effects: on the supply side through higher domestic production costs; and on the demand side through lower real incomes due to higher fuel prices that dampen consumer spending. In addition, rising oil prices might lead to higher inflation expectations that could be costly to reverse.</w:t>
      </w:r>
    </w:p>
    <w:p>
      <w:pPr>
        <w:pStyle w:val="BodyText"/>
        <w:spacing w:before="8"/>
        <w:rPr>
          <w:sz w:val="17"/>
        </w:rPr>
      </w:pPr>
    </w:p>
    <w:p>
      <w:pPr>
        <w:spacing w:line="254" w:lineRule="auto" w:before="0"/>
        <w:ind w:left="440" w:right="9" w:firstLine="0"/>
        <w:jc w:val="left"/>
        <w:rPr>
          <w:sz w:val="18"/>
        </w:rPr>
      </w:pPr>
      <w:r>
        <w:rPr>
          <w:sz w:val="18"/>
        </w:rPr>
        <w:t>Higher oil prices raise industry costs. In the first instance, producers face increased input costs for oil and refined petroleum products, which in 1995 accounted for about 10% of manufacturers’ materials and fuel input costs. There may also be indirect effects as suppliers of non-oil inputs pass on their higher production costs. These negative effects may be partly offset by stronger growth in the oil industry, although the sector represents only about 6% of total industrial production.</w:t>
      </w:r>
    </w:p>
    <w:p>
      <w:pPr>
        <w:spacing w:line="254" w:lineRule="auto" w:before="153"/>
        <w:ind w:left="440" w:right="361" w:firstLine="0"/>
        <w:jc w:val="left"/>
        <w:rPr>
          <w:sz w:val="12"/>
        </w:rPr>
      </w:pPr>
      <w:r>
        <w:rPr/>
        <w:br w:type="column"/>
      </w:r>
      <w:r>
        <w:rPr>
          <w:sz w:val="18"/>
        </w:rPr>
        <w:t>However, a key factor is that oil prices are likely to fall. The oil futures curve suggests that the market expects oil prices to decline over the next two years to around $24 per barrel, although there is considerable uncertainty around the expected path (see Chart A). One reason for anticipating lower prices is increased oil supply, as high prices encourage investment in new capacity.</w:t>
      </w:r>
      <w:r>
        <w:rPr>
          <w:position w:val="4"/>
          <w:sz w:val="12"/>
        </w:rPr>
        <w:t>(3)</w:t>
      </w:r>
    </w:p>
    <w:p>
      <w:pPr>
        <w:pStyle w:val="BodyText"/>
        <w:spacing w:before="8"/>
        <w:rPr>
          <w:sz w:val="17"/>
        </w:rPr>
      </w:pPr>
    </w:p>
    <w:p>
      <w:pPr>
        <w:spacing w:line="254" w:lineRule="auto" w:before="0"/>
        <w:ind w:left="440" w:right="361" w:firstLine="0"/>
        <w:jc w:val="left"/>
        <w:rPr>
          <w:sz w:val="18"/>
        </w:rPr>
      </w:pPr>
      <w:r>
        <w:rPr>
          <w:sz w:val="18"/>
        </w:rPr>
        <w:t>On balance, the MPC judges that the futures curve continues to offer the best indication of the prospective path for oil prices. If prices decline in line with these expectations, recent rises in oil prices are likely to have a relatively limited negative impact on prospects for UK domestic and external demand growth. And some of the first-round effects already seen in producer and consumer prices will soon dissipate. However, the outlook remains uncertain and the MPC will continue to monitor oil prices closely.</w:t>
      </w:r>
    </w:p>
    <w:p>
      <w:pPr>
        <w:spacing w:after="0" w:line="254" w:lineRule="auto"/>
        <w:jc w:val="left"/>
        <w:rPr>
          <w:sz w:val="18"/>
        </w:rPr>
        <w:sectPr>
          <w:type w:val="continuous"/>
          <w:pgSz w:w="11900" w:h="16840"/>
          <w:pgMar w:top="1260" w:bottom="280" w:left="640" w:right="640"/>
          <w:cols w:num="2" w:equalWidth="0">
            <w:col w:w="5063" w:space="67"/>
            <w:col w:w="5490"/>
          </w:cols>
        </w:sectPr>
      </w:pPr>
    </w:p>
    <w:p>
      <w:pPr>
        <w:pStyle w:val="ListParagraph"/>
        <w:numPr>
          <w:ilvl w:val="1"/>
          <w:numId w:val="13"/>
        </w:numPr>
        <w:tabs>
          <w:tab w:pos="681" w:val="left" w:leader="none"/>
        </w:tabs>
        <w:spacing w:line="129" w:lineRule="exact" w:before="89" w:after="0"/>
        <w:ind w:left="680" w:right="0" w:hanging="241"/>
        <w:jc w:val="left"/>
        <w:rPr>
          <w:sz w:val="12"/>
        </w:rPr>
      </w:pPr>
      <w:r>
        <w:rPr/>
        <w:pict>
          <v:group style="position:absolute;margin-left:39pt;margin-top:41pt;width:517pt;height:740pt;mso-position-horizontal-relative:page;mso-position-vertical-relative:page;z-index:-22827008" coordorigin="780,820" coordsize="10340,14800">
            <v:shape style="position:absolute;left:790;top:830;width:10320;height:14780" coordorigin="790,830" coordsize="10320,14780" path="m11110,830l5957,830,5943,830,790,830,790,8206,790,8234,790,15610,5943,15610,5957,15610,11110,15610,11110,830xe" filled="true" fillcolor="#d7e8e7" stroked="false">
              <v:path arrowok="t"/>
              <v:fill type="solid"/>
            </v:shape>
            <v:shape style="position:absolute;left:879;top:962;width:10141;height:14516" coordorigin="879,962" coordsize="10141,14516" path="m5950,962l879,8220,5950,15478,11020,8220,5950,962xe" filled="true" fillcolor="#d9e8e7" stroked="false">
              <v:path arrowok="t"/>
              <v:fill type="solid"/>
            </v:shape>
            <v:shape style="position:absolute;left:978;top:1104;width:9943;height:14231" coordorigin="979,1105" coordsize="9943,14231" path="m5950,1105l979,8220,5950,15335,10921,8220,5950,1105xe" filled="true" fillcolor="#dae9e8" stroked="false">
              <v:path arrowok="t"/>
              <v:fill type="solid"/>
            </v:shape>
            <v:shape style="position:absolute;left:1078;top:1246;width:9744;height:13947" coordorigin="1078,1247" coordsize="9744,13947" path="m5950,1247l1078,8220,5950,15193,10822,8220,5950,1247xe" filled="true" fillcolor="#daeae8" stroked="false">
              <v:path arrowok="t"/>
              <v:fill type="solid"/>
            </v:shape>
            <v:shape style="position:absolute;left:1177;top:1389;width:9545;height:13662" coordorigin="1178,1389" coordsize="9545,13662" path="m5950,1389l1178,8220,5950,15051,10722,8220,5950,1389xe" filled="true" fillcolor="#dbeae8" stroked="false">
              <v:path arrowok="t"/>
              <v:fill type="solid"/>
            </v:shape>
            <v:shape style="position:absolute;left:1277;top:1531;width:9346;height:13377" coordorigin="1277,1532" coordsize="9346,13377" path="m5950,1532l1277,8220,5950,14908,10623,8220,5950,1532xe" filled="true" fillcolor="#dcebe9" stroked="false">
              <v:path arrowok="t"/>
              <v:fill type="solid"/>
            </v:shape>
            <v:shape style="position:absolute;left:1376;top:1673;width:9147;height:13093" coordorigin="1377,1674" coordsize="9147,13093" path="m5950,1674l1377,8220,5950,14766,10523,8220,5950,1674xe" filled="true" fillcolor="#ddebe9" stroked="false">
              <v:path arrowok="t"/>
              <v:fill type="solid"/>
            </v:shape>
            <v:shape style="position:absolute;left:1475;top:1816;width:8948;height:12808" coordorigin="1476,1816" coordsize="8948,12808" path="m5950,1816l1476,8220,5950,14624,10424,8220,5950,1816xe" filled="true" fillcolor="#ddebea" stroked="false">
              <v:path arrowok="t"/>
              <v:fill type="solid"/>
            </v:shape>
            <v:shape style="position:absolute;left:1575;top:1958;width:8750;height:12523" coordorigin="1575,1958" coordsize="8750,12523" path="m5950,1958l1575,8220,5950,14481,10324,8220,5950,1958xe" filled="true" fillcolor="#dfebea" stroked="false">
              <v:path arrowok="t"/>
              <v:fill type="solid"/>
            </v:shape>
            <v:shape style="position:absolute;left:1674;top:2100;width:8551;height:12239" coordorigin="1675,2101" coordsize="8551,12239" path="m10225,8220l5950,2101,1675,8220,5950,14339,10225,8220xe" filled="true" fillcolor="#dfeceb" stroked="false">
              <v:path arrowok="t"/>
              <v:fill type="solid"/>
            </v:shape>
            <v:shape style="position:absolute;left:1873;top:2385;width:8153;height:11670" coordorigin="1874,2385" coordsize="8153,11670" path="m5950,2385l1874,8220,5950,14055,10026,8220,5950,2385xe" filled="true" fillcolor="#e0eceb" stroked="false">
              <v:path arrowok="t"/>
              <v:fill type="solid"/>
            </v:shape>
            <v:shape style="position:absolute;left:1973;top:2527;width:7954;height:11385" coordorigin="1973,2528" coordsize="7954,11385" path="m5950,2528l1973,8220,5950,13912,9927,8220,5950,2528xe" filled="true" fillcolor="#e0edeb" stroked="false">
              <v:path arrowok="t"/>
              <v:fill type="solid"/>
            </v:shape>
            <v:shape style="position:absolute;left:2072;top:2670;width:7755;height:11100" coordorigin="2072,2670" coordsize="7755,11100" path="m5950,2670l2072,8220,5950,13770,9827,8220,5950,2670xe" filled="true" fillcolor="#e1edeb" stroked="false">
              <v:path arrowok="t"/>
              <v:fill type="solid"/>
            </v:shape>
            <v:shape style="position:absolute;left:2171;top:2812;width:7557;height:10816" coordorigin="2172,2812" coordsize="7557,10816" path="m5950,2812l2172,8220,5950,13628,9728,8220,5950,2812xe" filled="true" fillcolor="#e2edec" stroked="false">
              <v:path arrowok="t"/>
              <v:fill type="solid"/>
            </v:shape>
            <v:shape style="position:absolute;left:2271;top:2954;width:7358;height:10531" coordorigin="2271,2955" coordsize="7358,10531" path="m5950,2955l2271,8220,5950,13485,9629,8220,5950,2955xe" filled="true" fillcolor="#e3eeec" stroked="false">
              <v:path arrowok="t"/>
              <v:fill type="solid"/>
            </v:shape>
            <v:shape style="position:absolute;left:2370;top:3096;width:7159;height:10247" coordorigin="2371,3097" coordsize="7159,10247" path="m5950,3097l2371,8220,5950,13343,9529,8220,5950,3097xe" filled="true" fillcolor="#e4efed" stroked="false">
              <v:path arrowok="t"/>
              <v:fill type="solid"/>
            </v:shape>
            <v:shape style="position:absolute;left:2470;top:3239;width:6960;height:9962" coordorigin="2470,3239" coordsize="6960,9962" path="m5950,3239l2470,8220,5950,13201,9430,8220,5950,3239xe" filled="true" fillcolor="#e6efed" stroked="false">
              <v:path arrowok="t"/>
              <v:fill type="solid"/>
            </v:shape>
            <v:shape style="position:absolute;left:2569;top:3381;width:6761;height:9677" coordorigin="2570,3382" coordsize="6761,9677" path="m5950,3382l2570,8220,5950,13058,9330,8220,5950,3382xe" filled="true" fillcolor="#e6efee" stroked="false">
              <v:path arrowok="t"/>
              <v:fill type="solid"/>
            </v:shape>
            <v:shape style="position:absolute;left:2669;top:3523;width:6562;height:9393" coordorigin="2669,3524" coordsize="6562,9393" path="m5950,3524l2669,8220,5950,12916,9231,8220,5950,3524xe" filled="true" fillcolor="#e7f0ee" stroked="false">
              <v:path arrowok="t"/>
              <v:fill type="solid"/>
            </v:shape>
            <v:shape style="position:absolute;left:2768;top:3666;width:6363;height:9108" coordorigin="2768,3666" coordsize="6363,9108" path="m9131,8220l5950,3666,2768,8220,5950,12774,9131,8220xe" filled="true" fillcolor="#e8f0ee" stroked="false">
              <v:path arrowok="t"/>
              <v:fill type="solid"/>
            </v:shape>
            <v:shape style="position:absolute;left:2967;top:3950;width:5966;height:8539" coordorigin="2967,3951" coordsize="5966,8539" path="m5950,3951l2967,8220,5950,12489,8933,8220,5950,3951xe" filled="true" fillcolor="#eaf1f0" stroked="false">
              <v:path arrowok="t"/>
              <v:fill type="solid"/>
            </v:shape>
            <v:shape style="position:absolute;left:3066;top:4093;width:5767;height:8254" coordorigin="3067,4093" coordsize="5767,8254" path="m8833,8220l5950,4093,3067,8220,5950,12347,8833,8220xe" filled="true" fillcolor="#ebf3f0" stroked="false">
              <v:path arrowok="t"/>
              <v:fill type="solid"/>
            </v:shape>
            <v:shape style="position:absolute;left:3265;top:4377;width:5369;height:7685" coordorigin="3266,4378" coordsize="5369,7685" path="m5950,4378l3266,8220,5950,12062,8634,8220,5950,4378xe" filled="true" fillcolor="#ebf4f1" stroked="false">
              <v:path arrowok="t"/>
              <v:fill type="solid"/>
            </v:shape>
            <v:shape style="position:absolute;left:3364;top:4520;width:5170;height:7400" coordorigin="3365,4520" coordsize="5170,7400" path="m5950,4520l3365,8220,5950,11920,8535,8220,5950,4520xe" filled="true" fillcolor="#ecf4f1" stroked="false">
              <v:path arrowok="t"/>
              <v:fill type="solid"/>
            </v:shape>
            <v:shape style="position:absolute;left:3464;top:4662;width:4972;height:7116" coordorigin="3464,4662" coordsize="4972,7116" path="m5950,4662l3464,8220,5950,11778,8435,8220,5950,4662xe" filled="true" fillcolor="#ecf4f3" stroked="false">
              <v:path arrowok="t"/>
              <v:fill type="solid"/>
            </v:shape>
            <v:shape style="position:absolute;left:3563;top:4804;width:4773;height:6831" coordorigin="3564,4805" coordsize="4773,6831" path="m5950,4805l3564,8220,5950,11635,8336,8220,5950,4805xe" filled="true" fillcolor="#edf5f3" stroked="false">
              <v:path arrowok="t"/>
              <v:fill type="solid"/>
            </v:shape>
            <v:shape style="position:absolute;left:3663;top:4946;width:4574;height:6547" coordorigin="3663,4947" coordsize="4574,6547" path="m5950,4947l3663,8220,5950,11493,8237,8220,5950,4947xe" filled="true" fillcolor="#eef5f4" stroked="false">
              <v:path arrowok="t"/>
              <v:fill type="solid"/>
            </v:shape>
            <v:shape style="position:absolute;left:3762;top:5089;width:4375;height:6262" coordorigin="3763,5089" coordsize="4375,6262" path="m5950,5089l3763,8220,5950,11351,8137,8220,5950,5089xe" filled="true" fillcolor="#eff6f4" stroked="false">
              <v:path arrowok="t"/>
              <v:fill type="solid"/>
            </v:shape>
            <v:shape style="position:absolute;left:3862;top:5231;width:4176;height:5977" coordorigin="3862,5232" coordsize="4176,5977" path="m5950,5232l3862,8220,5950,11208,8038,8220,5950,5232xe" filled="true" fillcolor="#eff6f5" stroked="false">
              <v:path arrowok="t"/>
              <v:fill type="solid"/>
            </v:shape>
            <v:shape style="position:absolute;left:3961;top:5373;width:3977;height:5693" coordorigin="3961,5374" coordsize="3977,5693" path="m5950,5374l3961,8220,5950,11066,7938,8220,5950,5374xe" filled="true" fillcolor="#f0f7f6" stroked="false">
              <v:path arrowok="t"/>
              <v:fill type="solid"/>
            </v:shape>
            <v:shape style="position:absolute;left:4060;top:5516;width:3778;height:5408" coordorigin="4061,5516" coordsize="3778,5408" path="m7839,8220l5950,5516,4061,8220,5950,10924,7839,8220xe" filled="true" fillcolor="#f1f7f6" stroked="false">
              <v:path arrowok="t"/>
              <v:fill type="solid"/>
            </v:shape>
            <v:shape style="position:absolute;left:4259;top:5800;width:3381;height:4839" coordorigin="4260,5801" coordsize="3381,4839" path="m5950,5801l4260,8220,5950,10639,7640,8220,5950,5801xe" filled="true" fillcolor="#f4f8f7" stroked="false">
              <v:path arrowok="t"/>
              <v:fill type="solid"/>
            </v:shape>
            <v:shape style="position:absolute;left:4359;top:5943;width:3182;height:4554" coordorigin="4359,5943" coordsize="3182,4554" path="m5950,5943l4359,8220,5950,10497,7541,8220,5950,5943xe" filled="true" fillcolor="#f4f8f8" stroked="false">
              <v:path arrowok="t"/>
              <v:fill type="solid"/>
            </v:shape>
            <v:shape style="position:absolute;left:4458;top:6085;width:2983;height:4270" coordorigin="4459,6085" coordsize="2983,4270" path="m5950,6085l4459,8220,5950,10355,7441,8220,5950,6085xe" filled="true" fillcolor="#f5f8f8" stroked="false">
              <v:path arrowok="t"/>
              <v:fill type="solid"/>
            </v:shape>
            <v:shape style="position:absolute;left:4558;top:6227;width:2784;height:3985" coordorigin="4558,6228" coordsize="2784,3985" path="m7342,8220l5950,6228,4558,8220,5950,10212,7342,8220xe" filled="true" fillcolor="#f6f8f8" stroked="false">
              <v:path arrowok="t"/>
              <v:fill type="solid"/>
            </v:shape>
            <v:shape style="position:absolute;left:4756;top:6512;width:2387;height:3416" coordorigin="4757,6512" coordsize="2387,3416" path="m5950,6512l4757,8220,5950,9928,7143,8220,5950,6512xe" filled="true" fillcolor="#f7f9f8" stroked="false">
              <v:path arrowok="t"/>
              <v:fill type="solid"/>
            </v:shape>
            <v:shape style="position:absolute;left:4856;top:6654;width:2188;height:3131" coordorigin="4856,6655" coordsize="2188,3131" path="m5950,6655l4856,8220,5950,9785,7044,8220,5950,6655xe" filled="true" fillcolor="#f8f9f8" stroked="false">
              <v:path arrowok="t"/>
              <v:fill type="solid"/>
            </v:shape>
            <v:shape style="position:absolute;left:4955;top:6796;width:1989;height:2847" coordorigin="4956,6797" coordsize="1989,2847" path="m5950,6797l4956,8220,5950,9643,6944,8220,5950,6797xe" filled="true" fillcolor="#f8fafa" stroked="false">
              <v:path arrowok="t"/>
              <v:fill type="solid"/>
            </v:shape>
            <v:shape style="position:absolute;left:5055;top:6939;width:1790;height:2562" coordorigin="5055,6939" coordsize="1790,2562" path="m5950,6939l5055,8220,5950,9501,6845,8220,5950,6939xe" filled="true" fillcolor="#f8fbfa" stroked="false">
              <v:path arrowok="t"/>
              <v:fill type="solid"/>
            </v:shape>
            <v:shape style="position:absolute;left:5154;top:7081;width:1591;height:2277" coordorigin="5155,7082" coordsize="1591,2277" path="m5950,7082l5155,8220,5950,9358,6745,8220,5950,7082xe" filled="true" fillcolor="#f9fbfa" stroked="false">
              <v:path arrowok="t"/>
              <v:fill type="solid"/>
            </v:shape>
            <v:shape style="position:absolute;left:5253;top:7223;width:1392;height:1993" coordorigin="5254,7224" coordsize="1392,1993" path="m5950,7224l5254,8220,5950,9216,6646,8220,5950,7224xe" filled="true" fillcolor="#fafbfb" stroked="false">
              <v:path arrowok="t"/>
              <v:fill type="solid"/>
            </v:shape>
            <v:shape style="position:absolute;left:5353;top:7366;width:1194;height:1708" coordorigin="5353,7366" coordsize="1194,1708" path="m5950,7366l5353,8220,5950,9074,6546,8220,5950,7366xe" filled="true" fillcolor="#fafcfb" stroked="false">
              <v:path arrowok="t"/>
              <v:fill type="solid"/>
            </v:shape>
            <v:shape style="position:absolute;left:5452;top:7508;width:995;height:1424" coordorigin="5453,7508" coordsize="995,1424" path="m5950,7508l5453,8220,5950,8932,6447,8220,5950,7508xe" filled="true" fillcolor="#fbfcfc" stroked="false">
              <v:path arrowok="t"/>
              <v:fill type="solid"/>
            </v:shape>
            <v:shape style="position:absolute;left:5552;top:7650;width:796;height:1139" coordorigin="5552,7651" coordsize="796,1139" path="m5950,7651l5552,8220,5950,8789,6348,8220,5950,7651xe" filled="true" fillcolor="#fcfdfd" stroked="false">
              <v:path arrowok="t"/>
              <v:fill type="solid"/>
            </v:shape>
            <v:shape style="position:absolute;left:5651;top:7793;width:597;height:854" coordorigin="5652,7793" coordsize="597,854" path="m5950,7793l5652,8220,5950,8647,6248,8220,5950,7793xe" filled="true" fillcolor="#fdfdfd" stroked="false">
              <v:path arrowok="t"/>
              <v:fill type="solid"/>
            </v:shape>
            <v:shape style="position:absolute;left:5751;top:7935;width:398;height:570" coordorigin="5751,7935" coordsize="398,570" path="m5950,7935l5751,8220,5950,8505,6149,8220,5950,7935xe" filled="true" fillcolor="#fdfffd" stroked="false">
              <v:path arrowok="t"/>
              <v:fill type="solid"/>
            </v:shape>
            <v:shape style="position:absolute;left:5850;top:8077;width:199;height:285" coordorigin="5850,8078" coordsize="199,285" path="m5950,8078l5850,8220,5950,8362,6049,8220,5950,8078xe" filled="true" fillcolor="#ffffff" stroked="false">
              <v:path arrowok="t"/>
              <v:fill type="solid"/>
            </v:shape>
            <v:rect style="position:absolute;left:790;top:830;width:10320;height:14780" filled="false" stroked="true" strokeweight="1pt" strokecolor="#009391">
              <v:stroke dashstyle="solid"/>
            </v:rect>
            <v:shape style="position:absolute;left:1039;top:4651;width:4545;height:3500" coordorigin="1040,4651" coordsize="4545,3500" path="m5584,4951l5579,4951,5579,4651,1040,4651,1040,4951,1054,4951,1054,8151,5584,8151,5584,4951xe" filled="true" fillcolor="#ffffff" stroked="false">
              <v:path arrowok="t"/>
              <v:fill type="solid"/>
            </v:shape>
            <v:shape style="position:absolute;left:3916;top:5466;width:660;height:1800" coordorigin="3916,5466" coordsize="660,1800" path="m4216,5466l4036,5752,3916,5994,4036,6242,4216,6955,4396,7138,4576,7266,4576,5616,4396,5533,4216,5466xe" filled="true" fillcolor="#f0e9e1" stroked="false">
              <v:path arrowok="t"/>
              <v:fill type="solid"/>
            </v:shape>
            <v:shape style="position:absolute;left:3916;top:5685;width:660;height:1444" coordorigin="3916,5686" coordsize="660,1444" path="m4216,5686l4036,5815,3916,5993,4036,6186,4216,6826,4396,6999,4576,7129,4576,5846,4396,5756,4216,5686xe" filled="true" fillcolor="#e1d2c5" stroked="false">
              <v:path arrowok="t"/>
              <v:fill type="solid"/>
            </v:shape>
            <v:shape style="position:absolute;left:3916;top:5817;width:660;height:1210" coordorigin="3916,5818" coordsize="660,1210" path="m4216,5818l4036,5853,3916,5991,4036,6145,4216,6729,4396,6893,4576,7027,4576,5989,4396,5890,4216,5818xe" filled="true" fillcolor="#d3beac" stroked="false">
              <v:path arrowok="t"/>
              <v:fill type="solid"/>
            </v:shape>
            <v:shape style="position:absolute;left:3916;top:5886;width:660;height:1058" coordorigin="3916,5886" coordsize="660,1058" path="m4036,5886l3916,5995,4036,6117,4216,6650,4396,6806,4576,6944,4576,6100,4396,5994,4216,5917,4036,5886xe" filled="true" fillcolor="#c5ab94" stroked="false">
              <v:path arrowok="t"/>
              <v:fill type="solid"/>
            </v:shape>
            <v:shape style="position:absolute;left:3916;top:5909;width:660;height:955" coordorigin="3916,5909" coordsize="660,955" path="m4036,5909l3916,5994,4036,6090,4216,6573,4396,6721,4576,6864,4576,6187,4396,6072,4216,5991,4036,5909xe" filled="true" fillcolor="#b8997d" stroked="false">
              <v:path arrowok="t"/>
              <v:fill type="solid"/>
            </v:shape>
            <v:shape style="position:absolute;left:3916;top:5929;width:660;height:860" coordorigin="3916,5930" coordsize="660,860" path="m4036,5930l3916,5994,4036,6067,4216,6505,4396,6642,4576,6789,4576,6263,4396,6138,4216,6055,4036,5930xe" filled="true" fillcolor="#aa866a" stroked="false">
              <v:path arrowok="t"/>
              <v:fill type="solid"/>
            </v:shape>
            <v:shape style="position:absolute;left:3914;top:5947;width:660;height:770" coordorigin="3915,5948" coordsize="660,770" path="m4035,5948l3915,5994,4035,6048,4215,6440,4395,6567,4575,6717,4575,6328,4395,6196,4215,6111,4035,5948xe" filled="true" fillcolor="#9e7656" stroked="false">
              <v:path arrowok="t"/>
              <v:fill type="solid"/>
            </v:shape>
            <v:shape style="position:absolute;left:3916;top:5961;width:660;height:684" coordorigin="3917,5962" coordsize="660,684" path="m4037,5962l3917,5992,4037,6027,4217,6378,4397,6499,4577,6646,4577,6389,4397,6256,4217,6161,4037,5962xe" filled="true" fillcolor="#906345" stroked="false">
              <v:path arrowok="t"/>
              <v:fill type="solid"/>
            </v:shape>
            <v:shape style="position:absolute;left:3914;top:5976;width:660;height:622" coordorigin="3915,5977" coordsize="660,622" path="m4035,5977l3915,5991,4035,6010,4215,6329,4395,6430,4575,6598,4575,6429,4395,6300,4215,6204,4035,5977xe" filled="true" fillcolor="#835335" stroked="false">
              <v:path arrowok="t"/>
              <v:fill type="solid"/>
            </v:shape>
            <v:shape style="position:absolute;left:1211;top:7817;width:3393;height:116" coordorigin="1212,7817" coordsize="3393,116" path="m1212,7933l4605,7933m1215,7933l1215,7817m1275,7864l1275,7933m1335,7864l1335,7933m1395,7933l1395,7864m1455,7864l1455,7933m1515,7864l1515,7933m1575,7864l1575,7933m1635,7933l1635,7864m1695,7864l1695,7933m1755,7864l1755,7933m1815,7933l1815,7864m1875,7933l1875,7864m1935,7933l1935,7817m1995,7933l1995,7864m2055,7933l2055,7864m2115,7933l2115,7864m2175,7864l2175,7933m2235,7864l2235,7933m2295,7864l2295,7933m2355,7864l2355,7933m2415,7933l2415,7864m2475,7933l2475,7864m2535,7864l2535,7933m2595,7864l2595,7933m2655,7933l2655,7817m2715,7933l2715,7864m2775,7864l2775,7933m2835,7933l2835,7864m2895,7933l2895,7864m2955,7933l2955,7864m3015,7933l3015,7864m3075,7864l3075,7933m3135,7864l3135,7933m3195,7864l3195,7933m3255,7933l3255,7864m3315,7864l3315,7933m3375,7817l3375,7933m3435,7933l3435,7864m3495,7933l3495,7864m3555,7864l3555,7933m3615,7864l3615,7933m3675,7933l3675,7864m3735,7933l3735,7864m3795,7933l3795,7864m3855,7933l3855,7864m3915,7933l3915,7864m3975,7933l3975,7864m4035,7864l4035,7933m4095,7933l4095,7817m4155,7933l4155,7864m4215,7933l4215,7864m4275,7933l4275,7864m4335,7933l4335,7864m4395,7864l4395,7933m4455,7864l4455,7933m4515,7864l4515,7933e" filled="false" stroked="true" strokeweight=".475pt" strokecolor="#000000">
              <v:path arrowok="t"/>
              <v:stroke dashstyle="solid"/>
            </v:shape>
            <v:shape style="position:absolute;left:4574;top:7864;width:2;height:69" coordorigin="4575,7864" coordsize="0,69" path="m4575,7864l4575,7933e" filled="true" fillcolor="#000000" stroked="false">
              <v:path arrowok="t"/>
              <v:fill type="solid"/>
            </v:shape>
            <v:shape style="position:absolute;left:1065;top:5464;width:3509;height:2469" coordorigin="1066,5464" coordsize="3509,2469" path="m4575,7864l4575,7933m1151,7809l1066,7809m1066,7418l1151,7418m1151,7028l1066,7028m1151,6637l1066,6637m1066,6246l1151,6246m1066,5855l1151,5855m1151,5464l1066,5464e" filled="false" stroked="true" strokeweight=".475pt" strokecolor="#000000">
              <v:path arrowok="t"/>
              <v:stroke dashstyle="solid"/>
            </v:shape>
            <v:shape style="position:absolute;left:4638;top:5464;width:86;height:2346" coordorigin="4638,5464" coordsize="86,2346" path="m4724,7809l4638,7809m4638,7418l4724,7418m4638,7028l4724,7028m4638,6637l4724,6637m4638,6246l4724,6246m4724,5855l4638,5855m4724,5464l4638,5464e" filled="false" stroked="true" strokeweight=".475pt" strokecolor="#000000">
              <v:path arrowok="t"/>
              <v:stroke dashstyle="solid"/>
            </v:shape>
            <v:shape style="position:absolute;left:1214;top:6703;width:480;height:355" coordorigin="1215,6703" coordsize="480,355" path="m1215,6703l1275,7004m1275,7004l1335,6996m1395,7011l1335,6996m1455,6959l1395,7011m1455,6959l1515,7043m1575,7017l1515,7043m1575,7017l1635,7058m1635,7058l1695,6935e" filled="false" stroked="true" strokeweight=".95pt" strokecolor="#835335">
              <v:path arrowok="t"/>
              <v:stroke dashstyle="solid"/>
            </v:shape>
            <v:line style="position:absolute" from="1685,6939" to="1764,6939" stroked="true" strokeweight="1.341pt" strokecolor="#835335">
              <v:stroke dashstyle="solid"/>
            </v:line>
            <v:shape style="position:absolute;left:1754;top:5992;width:2160;height:1719" coordorigin="1755,5993" coordsize="2160,1719" path="m1755,6943l1815,7094m1815,7094l1875,7212m1935,7246l1875,7212m1995,7379l1935,7246m1995,7379l2055,7364m2055,7364l2115,7381m2175,7401l2115,7381m2175,7401l2235,7476m2235,7476l2295,7476m2355,7545l2295,7476m2415,7327l2355,7545m2415,7327l2475,7461m2475,7461l2535,7711m2535,7711l2595,7646m2595,7646l2655,7594m2715,7631l2655,7594m2715,7631l2775,7281m2775,7281l2835,7132m2835,7132l2895,7275m2955,7083l2895,7275m3015,6986l2955,7083m3015,6986l3075,6863m3075,6863l3135,6675m3195,6891l3135,6675m3255,6669l3195,6891m3315,6590l3255,6669m3375,6430l3315,6590m3435,6212l3375,6430m3435,6212l3495,6488m3555,6579l3495,6488m3555,6579l3615,6323m3675,6050l3615,6323m3675,6050l3735,6447m3735,6447l3795,6002m3855,6180l3795,6002m3915,5993l3855,6180e" filled="false" stroked="true" strokeweight=".95pt" strokecolor="#835335">
              <v:path arrowok="t"/>
              <v:stroke dashstyle="solid"/>
            </v:shape>
            <v:shape style="position:absolute;left:4701;top:7812;width:38;height:121" coordorigin="4702,7812" coordsize="38,121" path="m4721,7812l4721,7836,4702,7850,4740,7863,4702,7880,4740,7895,4718,7904,4717,7932e" filled="false" stroked="true" strokeweight=".475pt" strokecolor="#000000">
              <v:path arrowok="t"/>
              <v:stroke dashstyle="solid"/>
            </v:shape>
            <v:shape style="position:absolute;left:1065;top:7808;width:3656;height:125" coordorigin="1066,7808" coordsize="3656,125" path="m4721,7933l4588,7933m1151,7808l1151,7832,1132,7847,1170,7859,1132,7877,1170,7892,1148,7901,1148,7928m1227,7932l1066,7932e" filled="false" stroked="true" strokeweight=".475pt" strokecolor="#000000">
              <v:path arrowok="t"/>
              <v:stroke dashstyle="solid"/>
            </v:shape>
            <v:shape style="position:absolute;left:1060;top:7100;width:9820;height:3520" coordorigin="1060,7100" coordsize="9820,3520" path="m5580,8141l1060,8141,1060,8731,5580,8731,5580,8141xm10880,7100l6210,7100,6210,7370,6210,7370,6210,10620,10880,10620,10880,7370,10880,7100xe" filled="true" fillcolor="#ffffff" stroked="false">
              <v:path arrowok="t"/>
              <v:fill type="solid"/>
            </v:shape>
            <v:shape style="position:absolute;left:6386;top:7612;width:3444;height:2592" type="#_x0000_t75" stroked="false">
              <v:imagedata r:id="rId71" o:title=""/>
            </v:shape>
            <v:shape style="position:absolute;left:6243;top:7501;width:3773;height:2826" coordorigin="6244,7502" coordsize="3773,2826" path="m6326,7502l6244,7502m6326,7827l6244,7827m6326,8715l6244,8715m6326,9325l6244,9325m6326,9627l6244,9627m6326,10244l6244,10244m6326,8404l6244,8404m6326,9014l6244,9014m6326,9928l6244,9928m6326,8098l6244,8098m10016,7509l9934,7509m10016,7834l9934,7834m10016,8723l9934,8723m10016,9333l9934,9333m10016,9634l9934,9634m10016,10252l9934,10252m10016,8411l9934,8411m10016,9022l9934,9022m10016,9935l9934,9935m10016,8106l9934,8106m6404,10233l6404,10328m6499,10277l6499,10328m6632,10277l6632,10328m6738,10277l6738,10328m9742,10233l9742,10328m6849,10277l6849,10328m7069,10277l7069,10328m7181,10277l7181,10328m7297,10277l7297,10328m7404,10277l7404,10328m7639,10277l7639,10328m7746,10277l7746,10328m7857,10277l7857,10328m7974,10277l7974,10328m8191,10277l8191,10328m8308,10277l8308,10328m8414,10277l8414,10328m8526,10277l8526,10328m8749,10277l8749,10328m8860,10277l8860,10328m8977,10277l8977,10328m9083,10277l9083,10328m9326,10277l9326,10328m9433,10277l9433,10328m9544,10277l9544,10328m9638,10277l9638,10328m7512,10233l7512,10328m8645,10233l8645,10328m6969,10233l6969,10328m8079,10233l8079,10328m9203,10233l9203,10328e" filled="false" stroked="true" strokeweight=".475pt" strokecolor="#000000">
              <v:path arrowok="t"/>
              <v:stroke dashstyle="solid"/>
            </v:shape>
            <v:rect style="position:absolute;left:6209;top:10620;width:4670;height:480" filled="true" fillcolor="#ffffff" stroked="false">
              <v:fill type="solid"/>
            </v:rect>
            <v:shape style="position:absolute;left:1030;top:4641;width:9860;height:10469" coordorigin="1030,4641" coordsize="9860,10469" path="m1030,4641l5530,4641m1060,8731l5570,8731m1060,15110l10880,15110m6190,11100l10890,11100e" filled="false" stroked="true" strokeweight=".125pt" strokecolor="#000000">
              <v:path arrowok="t"/>
              <v:stroke dashstyle="solid"/>
            </v:shape>
            <w10:wrap type="none"/>
          </v:group>
        </w:pict>
      </w:r>
      <w:r>
        <w:rPr>
          <w:sz w:val="12"/>
        </w:rPr>
        <w:t>Data are taken from the International Energy Agency’s </w:t>
      </w:r>
      <w:r>
        <w:rPr>
          <w:i/>
          <w:sz w:val="12"/>
        </w:rPr>
        <w:t>Monthly Oil Market Report</w:t>
      </w:r>
      <w:r>
        <w:rPr>
          <w:sz w:val="12"/>
        </w:rPr>
        <w:t>, October 2000. Numbers for 2000 Q3 are</w:t>
      </w:r>
      <w:r>
        <w:rPr>
          <w:spacing w:val="-8"/>
          <w:sz w:val="12"/>
        </w:rPr>
        <w:t> </w:t>
      </w:r>
      <w:r>
        <w:rPr>
          <w:sz w:val="12"/>
        </w:rPr>
        <w:t>estimates.</w:t>
      </w:r>
    </w:p>
    <w:p>
      <w:pPr>
        <w:pStyle w:val="ListParagraph"/>
        <w:numPr>
          <w:ilvl w:val="1"/>
          <w:numId w:val="13"/>
        </w:numPr>
        <w:tabs>
          <w:tab w:pos="681" w:val="left" w:leader="none"/>
        </w:tabs>
        <w:spacing w:line="120" w:lineRule="exact" w:before="0" w:after="0"/>
        <w:ind w:left="680" w:right="0" w:hanging="241"/>
        <w:jc w:val="left"/>
        <w:rPr>
          <w:sz w:val="12"/>
        </w:rPr>
      </w:pPr>
      <w:r>
        <w:rPr>
          <w:sz w:val="12"/>
        </w:rPr>
        <w:t>These</w:t>
      </w:r>
      <w:r>
        <w:rPr>
          <w:spacing w:val="-2"/>
          <w:sz w:val="12"/>
        </w:rPr>
        <w:t> </w:t>
      </w:r>
      <w:r>
        <w:rPr>
          <w:sz w:val="12"/>
        </w:rPr>
        <w:t>issues</w:t>
      </w:r>
      <w:r>
        <w:rPr>
          <w:spacing w:val="-1"/>
          <w:sz w:val="12"/>
        </w:rPr>
        <w:t> </w:t>
      </w:r>
      <w:r>
        <w:rPr>
          <w:sz w:val="12"/>
        </w:rPr>
        <w:t>are</w:t>
      </w:r>
      <w:r>
        <w:rPr>
          <w:spacing w:val="-2"/>
          <w:sz w:val="12"/>
        </w:rPr>
        <w:t> </w:t>
      </w:r>
      <w:r>
        <w:rPr>
          <w:sz w:val="12"/>
        </w:rPr>
        <w:t>discussed</w:t>
      </w:r>
      <w:r>
        <w:rPr>
          <w:spacing w:val="-1"/>
          <w:sz w:val="12"/>
        </w:rPr>
        <w:t> </w:t>
      </w:r>
      <w:r>
        <w:rPr>
          <w:sz w:val="12"/>
        </w:rPr>
        <w:t>in</w:t>
      </w:r>
      <w:r>
        <w:rPr>
          <w:spacing w:val="-1"/>
          <w:sz w:val="12"/>
        </w:rPr>
        <w:t> </w:t>
      </w:r>
      <w:r>
        <w:rPr>
          <w:sz w:val="12"/>
        </w:rPr>
        <w:t>more</w:t>
      </w:r>
      <w:r>
        <w:rPr>
          <w:spacing w:val="-2"/>
          <w:sz w:val="12"/>
        </w:rPr>
        <w:t> </w:t>
      </w:r>
      <w:r>
        <w:rPr>
          <w:sz w:val="12"/>
        </w:rPr>
        <w:t>detail</w:t>
      </w:r>
      <w:r>
        <w:rPr>
          <w:spacing w:val="-1"/>
          <w:sz w:val="12"/>
        </w:rPr>
        <w:t> </w:t>
      </w:r>
      <w:r>
        <w:rPr>
          <w:sz w:val="12"/>
        </w:rPr>
        <w:t>in</w:t>
      </w:r>
      <w:r>
        <w:rPr>
          <w:spacing w:val="-2"/>
          <w:sz w:val="12"/>
        </w:rPr>
        <w:t> </w:t>
      </w:r>
      <w:r>
        <w:rPr>
          <w:sz w:val="12"/>
        </w:rPr>
        <w:t>the</w:t>
      </w:r>
      <w:r>
        <w:rPr>
          <w:spacing w:val="-1"/>
          <w:sz w:val="12"/>
        </w:rPr>
        <w:t> </w:t>
      </w:r>
      <w:r>
        <w:rPr>
          <w:sz w:val="12"/>
        </w:rPr>
        <w:t>box</w:t>
      </w:r>
      <w:r>
        <w:rPr>
          <w:spacing w:val="-1"/>
          <w:sz w:val="12"/>
        </w:rPr>
        <w:t> </w:t>
      </w:r>
      <w:r>
        <w:rPr>
          <w:sz w:val="12"/>
        </w:rPr>
        <w:t>on</w:t>
      </w:r>
      <w:r>
        <w:rPr>
          <w:spacing w:val="-2"/>
          <w:sz w:val="12"/>
        </w:rPr>
        <w:t> </w:t>
      </w:r>
      <w:r>
        <w:rPr>
          <w:sz w:val="12"/>
        </w:rPr>
        <w:t>oil</w:t>
      </w:r>
      <w:r>
        <w:rPr>
          <w:spacing w:val="-1"/>
          <w:sz w:val="12"/>
        </w:rPr>
        <w:t> </w:t>
      </w:r>
      <w:r>
        <w:rPr>
          <w:sz w:val="12"/>
        </w:rPr>
        <w:t>prices</w:t>
      </w:r>
      <w:r>
        <w:rPr>
          <w:spacing w:val="-2"/>
          <w:sz w:val="12"/>
        </w:rPr>
        <w:t> </w:t>
      </w:r>
      <w:r>
        <w:rPr>
          <w:sz w:val="12"/>
        </w:rPr>
        <w:t>in</w:t>
      </w:r>
      <w:r>
        <w:rPr>
          <w:spacing w:val="-1"/>
          <w:sz w:val="12"/>
        </w:rPr>
        <w:t> </w:t>
      </w:r>
      <w:r>
        <w:rPr>
          <w:sz w:val="12"/>
        </w:rPr>
        <w:t>the</w:t>
      </w:r>
      <w:r>
        <w:rPr>
          <w:spacing w:val="-1"/>
          <w:sz w:val="12"/>
        </w:rPr>
        <w:t> </w:t>
      </w:r>
      <w:r>
        <w:rPr>
          <w:sz w:val="12"/>
        </w:rPr>
        <w:t>November</w:t>
      </w:r>
      <w:r>
        <w:rPr>
          <w:spacing w:val="-2"/>
          <w:sz w:val="12"/>
        </w:rPr>
        <w:t> </w:t>
      </w:r>
      <w:r>
        <w:rPr>
          <w:sz w:val="12"/>
        </w:rPr>
        <w:t>1999 </w:t>
      </w:r>
      <w:r>
        <w:rPr>
          <w:i/>
          <w:sz w:val="12"/>
        </w:rPr>
        <w:t>Inflation</w:t>
      </w:r>
      <w:r>
        <w:rPr>
          <w:i/>
          <w:spacing w:val="-2"/>
          <w:sz w:val="12"/>
        </w:rPr>
        <w:t> </w:t>
      </w:r>
      <w:r>
        <w:rPr>
          <w:i/>
          <w:sz w:val="12"/>
        </w:rPr>
        <w:t>Report</w:t>
      </w:r>
      <w:r>
        <w:rPr>
          <w:sz w:val="12"/>
        </w:rPr>
        <w:t>, page</w:t>
      </w:r>
      <w:r>
        <w:rPr>
          <w:spacing w:val="-1"/>
          <w:sz w:val="12"/>
        </w:rPr>
        <w:t> </w:t>
      </w:r>
      <w:r>
        <w:rPr>
          <w:sz w:val="12"/>
        </w:rPr>
        <w:t>39.</w:t>
      </w:r>
    </w:p>
    <w:p>
      <w:pPr>
        <w:pStyle w:val="ListParagraph"/>
        <w:numPr>
          <w:ilvl w:val="1"/>
          <w:numId w:val="13"/>
        </w:numPr>
        <w:tabs>
          <w:tab w:pos="681" w:val="left" w:leader="none"/>
        </w:tabs>
        <w:spacing w:line="129" w:lineRule="exact" w:before="0" w:after="0"/>
        <w:ind w:left="680" w:right="0" w:hanging="241"/>
        <w:jc w:val="left"/>
        <w:rPr>
          <w:sz w:val="12"/>
        </w:rPr>
      </w:pPr>
      <w:r>
        <w:rPr>
          <w:sz w:val="12"/>
        </w:rPr>
        <w:t>See</w:t>
      </w:r>
      <w:r>
        <w:rPr>
          <w:spacing w:val="-2"/>
          <w:sz w:val="12"/>
        </w:rPr>
        <w:t> </w:t>
      </w:r>
      <w:r>
        <w:rPr>
          <w:sz w:val="12"/>
        </w:rPr>
        <w:t>‘</w:t>
      </w:r>
      <w:r>
        <w:rPr>
          <w:color w:val="FF0000"/>
          <w:sz w:val="12"/>
        </w:rPr>
        <w:t>The</w:t>
      </w:r>
      <w:r>
        <w:rPr>
          <w:color w:val="FF0000"/>
          <w:spacing w:val="-2"/>
          <w:sz w:val="12"/>
        </w:rPr>
        <w:t> </w:t>
      </w:r>
      <w:r>
        <w:rPr>
          <w:color w:val="FF0000"/>
          <w:sz w:val="12"/>
        </w:rPr>
        <w:t>international</w:t>
      </w:r>
      <w:r>
        <w:rPr>
          <w:color w:val="FF0000"/>
          <w:spacing w:val="-1"/>
          <w:sz w:val="12"/>
        </w:rPr>
        <w:t> </w:t>
      </w:r>
      <w:r>
        <w:rPr>
          <w:color w:val="FF0000"/>
          <w:sz w:val="12"/>
        </w:rPr>
        <w:t>environment’</w:t>
      </w:r>
      <w:r>
        <w:rPr>
          <w:color w:val="FF0000"/>
          <w:spacing w:val="-9"/>
          <w:sz w:val="12"/>
        </w:rPr>
        <w:t> </w:t>
      </w:r>
      <w:r>
        <w:rPr>
          <w:color w:val="FF0000"/>
          <w:sz w:val="12"/>
        </w:rPr>
        <w:t>article</w:t>
      </w:r>
      <w:r>
        <w:rPr>
          <w:color w:val="FF0000"/>
          <w:spacing w:val="-2"/>
          <w:sz w:val="12"/>
        </w:rPr>
        <w:t> </w:t>
      </w:r>
      <w:r>
        <w:rPr>
          <w:color w:val="FF0000"/>
          <w:sz w:val="12"/>
        </w:rPr>
        <w:t>in</w:t>
      </w:r>
      <w:r>
        <w:rPr>
          <w:color w:val="FF0000"/>
          <w:spacing w:val="-1"/>
          <w:sz w:val="12"/>
        </w:rPr>
        <w:t> </w:t>
      </w:r>
      <w:r>
        <w:rPr>
          <w:color w:val="FF0000"/>
          <w:sz w:val="12"/>
        </w:rPr>
        <w:t>the</w:t>
      </w:r>
      <w:r>
        <w:rPr>
          <w:color w:val="FF0000"/>
          <w:spacing w:val="-1"/>
          <w:sz w:val="12"/>
        </w:rPr>
        <w:t> </w:t>
      </w:r>
      <w:r>
        <w:rPr>
          <w:i/>
          <w:color w:val="FF0000"/>
          <w:sz w:val="12"/>
        </w:rPr>
        <w:t>Bank</w:t>
      </w:r>
      <w:r>
        <w:rPr>
          <w:i/>
          <w:color w:val="FF0000"/>
          <w:spacing w:val="-2"/>
          <w:sz w:val="12"/>
        </w:rPr>
        <w:t> </w:t>
      </w:r>
      <w:r>
        <w:rPr>
          <w:i/>
          <w:color w:val="FF0000"/>
          <w:sz w:val="12"/>
        </w:rPr>
        <w:t>of</w:t>
      </w:r>
      <w:r>
        <w:rPr>
          <w:i/>
          <w:color w:val="FF0000"/>
          <w:spacing w:val="-1"/>
          <w:sz w:val="12"/>
        </w:rPr>
        <w:t> </w:t>
      </w:r>
      <w:r>
        <w:rPr>
          <w:i/>
          <w:color w:val="FF0000"/>
          <w:sz w:val="12"/>
        </w:rPr>
        <w:t>England</w:t>
      </w:r>
      <w:r>
        <w:rPr>
          <w:i/>
          <w:color w:val="FF0000"/>
          <w:spacing w:val="-2"/>
          <w:sz w:val="12"/>
        </w:rPr>
        <w:t> </w:t>
      </w:r>
      <w:r>
        <w:rPr>
          <w:i/>
          <w:color w:val="FF0000"/>
          <w:sz w:val="12"/>
        </w:rPr>
        <w:t>Quarterly</w:t>
      </w:r>
      <w:r>
        <w:rPr>
          <w:i/>
          <w:color w:val="FF0000"/>
          <w:spacing w:val="-1"/>
          <w:sz w:val="12"/>
        </w:rPr>
        <w:t> </w:t>
      </w:r>
      <w:r>
        <w:rPr>
          <w:i/>
          <w:color w:val="FF0000"/>
          <w:sz w:val="12"/>
        </w:rPr>
        <w:t>Bulletin</w:t>
      </w:r>
      <w:r>
        <w:rPr>
          <w:color w:val="FF0000"/>
          <w:sz w:val="12"/>
        </w:rPr>
        <w:t>,</w:t>
      </w:r>
      <w:r>
        <w:rPr>
          <w:color w:val="FF0000"/>
          <w:spacing w:val="-1"/>
          <w:sz w:val="12"/>
        </w:rPr>
        <w:t> </w:t>
      </w:r>
      <w:r>
        <w:rPr>
          <w:color w:val="FF0000"/>
          <w:sz w:val="12"/>
        </w:rPr>
        <w:t>November</w:t>
      </w:r>
      <w:r>
        <w:rPr>
          <w:color w:val="FF0000"/>
          <w:spacing w:val="-1"/>
          <w:sz w:val="12"/>
        </w:rPr>
        <w:t> </w:t>
      </w:r>
      <w:r>
        <w:rPr>
          <w:color w:val="FF0000"/>
          <w:sz w:val="12"/>
        </w:rPr>
        <w:t>2000,</w:t>
      </w:r>
      <w:r>
        <w:rPr>
          <w:color w:val="FF0000"/>
          <w:spacing w:val="-1"/>
          <w:sz w:val="12"/>
        </w:rPr>
        <w:t> </w:t>
      </w:r>
      <w:r>
        <w:rPr>
          <w:color w:val="FF0000"/>
          <w:sz w:val="12"/>
        </w:rPr>
        <w:t>pages</w:t>
      </w:r>
      <w:r>
        <w:rPr>
          <w:color w:val="FF0000"/>
          <w:spacing w:val="-1"/>
          <w:sz w:val="12"/>
        </w:rPr>
        <w:t> </w:t>
      </w:r>
      <w:r>
        <w:rPr>
          <w:color w:val="FF0000"/>
          <w:sz w:val="12"/>
        </w:rPr>
        <w:t>339–50</w:t>
      </w:r>
      <w:r>
        <w:rPr>
          <w:sz w:val="12"/>
        </w:rPr>
        <w:t>.</w:t>
      </w:r>
    </w:p>
    <w:p>
      <w:pPr>
        <w:spacing w:after="0" w:line="129" w:lineRule="exact"/>
        <w:jc w:val="left"/>
        <w:rPr>
          <w:sz w:val="12"/>
        </w:rPr>
        <w:sectPr>
          <w:type w:val="continuous"/>
          <w:pgSz w:w="11900" w:h="16840"/>
          <w:pgMar w:top="1260" w:bottom="280" w:left="640" w:right="640"/>
        </w:sectPr>
      </w:pPr>
    </w:p>
    <w:p>
      <w:pPr>
        <w:pStyle w:val="BodyText"/>
        <w:rPr>
          <w:sz w:val="20"/>
        </w:rPr>
      </w:pPr>
    </w:p>
    <w:p>
      <w:pPr>
        <w:spacing w:after="0"/>
        <w:rPr>
          <w:sz w:val="20"/>
        </w:rPr>
        <w:sectPr>
          <w:pgSz w:w="11900" w:h="16840"/>
          <w:pgMar w:header="586" w:footer="592" w:top="780" w:bottom="780" w:left="640" w:right="640"/>
        </w:sectPr>
      </w:pPr>
    </w:p>
    <w:p>
      <w:pPr>
        <w:pStyle w:val="BodyText"/>
        <w:spacing w:before="5"/>
        <w:rPr>
          <w:sz w:val="21"/>
        </w:rPr>
      </w:pPr>
    </w:p>
    <w:p>
      <w:pPr>
        <w:spacing w:before="0"/>
        <w:ind w:left="182" w:right="0" w:firstLine="0"/>
        <w:jc w:val="left"/>
        <w:rPr>
          <w:b/>
          <w:sz w:val="20"/>
        </w:rPr>
      </w:pPr>
      <w:bookmarkStart w:name="Domestic demand" w:id="32"/>
      <w:bookmarkEnd w:id="32"/>
      <w:r>
        <w:rPr/>
      </w:r>
      <w:bookmarkStart w:name="_bookmark12" w:id="33"/>
      <w:bookmarkEnd w:id="33"/>
      <w:r>
        <w:rPr/>
      </w:r>
      <w:r>
        <w:rPr>
          <w:b/>
          <w:color w:val="0092C7"/>
          <w:sz w:val="20"/>
        </w:rPr>
        <w:t>Chart 2.2</w:t>
      </w:r>
    </w:p>
    <w:p>
      <w:pPr>
        <w:spacing w:before="10"/>
        <w:ind w:left="182" w:right="0" w:firstLine="0"/>
        <w:jc w:val="left"/>
        <w:rPr>
          <w:b/>
          <w:sz w:val="20"/>
        </w:rPr>
      </w:pPr>
      <w:r>
        <w:rPr>
          <w:b/>
          <w:color w:val="0092C7"/>
          <w:sz w:val="20"/>
        </w:rPr>
        <w:t>UK nominal and real exchange rates</w:t>
      </w:r>
    </w:p>
    <w:p>
      <w:pPr>
        <w:spacing w:line="121" w:lineRule="exact" w:before="94"/>
        <w:ind w:left="3058" w:right="0" w:firstLine="0"/>
        <w:jc w:val="left"/>
        <w:rPr>
          <w:sz w:val="11"/>
        </w:rPr>
      </w:pPr>
      <w:r>
        <w:rPr>
          <w:w w:val="105"/>
          <w:sz w:val="11"/>
        </w:rPr>
        <w:t>1996 = 100</w:t>
      </w:r>
    </w:p>
    <w:p>
      <w:pPr>
        <w:spacing w:line="121" w:lineRule="exact" w:before="0"/>
        <w:ind w:left="3675" w:right="0" w:firstLine="0"/>
        <w:jc w:val="left"/>
        <w:rPr>
          <w:sz w:val="11"/>
        </w:rPr>
      </w:pPr>
      <w:r>
        <w:rPr/>
        <w:pict>
          <v:line style="position:absolute;mso-position-horizontal-relative:page;mso-position-vertical-relative:paragraph;z-index:15834624" from="49.336998pt,3.014656pt" to="45.002998pt,3.014656pt" stroked="true" strokeweight=".5pt" strokecolor="#000000">
            <v:stroke dashstyle="solid"/>
            <w10:wrap type="none"/>
          </v:line>
        </w:pict>
      </w:r>
      <w:r>
        <w:rPr/>
        <w:pict>
          <v:line style="position:absolute;mso-position-horizontal-relative:page;mso-position-vertical-relative:paragraph;z-index:15838208" from="211.587006pt,2.920656pt" to="207.253006pt,2.920656pt" stroked="true" strokeweight=".5pt" strokecolor="#000000">
            <v:stroke dashstyle="solid"/>
            <w10:wrap type="none"/>
          </v:line>
        </w:pict>
      </w:r>
      <w:r>
        <w:rPr>
          <w:w w:val="105"/>
          <w:sz w:val="11"/>
        </w:rPr>
        <w:t>130</w:t>
      </w:r>
    </w:p>
    <w:p>
      <w:pPr>
        <w:pStyle w:val="BodyText"/>
        <w:rPr>
          <w:sz w:val="12"/>
        </w:rPr>
      </w:pPr>
    </w:p>
    <w:p>
      <w:pPr>
        <w:pStyle w:val="BodyText"/>
        <w:spacing w:before="2"/>
        <w:rPr>
          <w:sz w:val="12"/>
        </w:rPr>
      </w:pPr>
    </w:p>
    <w:p>
      <w:pPr>
        <w:spacing w:before="1"/>
        <w:ind w:left="0" w:right="38" w:firstLine="0"/>
        <w:jc w:val="right"/>
        <w:rPr>
          <w:sz w:val="11"/>
        </w:rPr>
      </w:pPr>
      <w:r>
        <w:rPr/>
        <w:pict>
          <v:group style="position:absolute;margin-left:56.044998pt;margin-top:-2.064868pt;width:145.9pt;height:130.3pt;mso-position-horizontal-relative:page;mso-position-vertical-relative:paragraph;z-index:15834112" coordorigin="1121,-41" coordsize="2918,2606">
            <v:shape style="position:absolute;left:1130;top:-32;width:2725;height:2430" coordorigin="1131,-31" coordsize="2725,2430" path="m1131,2399l1296,2294m1296,2294l1451,2209m1451,2209l1616,1654m1616,1654l1768,1119m1768,1119l1933,864m1933,864l2098,586m2098,586l2251,544m2251,544l2418,309m2418,309l2583,331m2583,331l2736,416m2736,416l2901,779m2901,779l3053,694m3053,694l3218,436m3218,436l3383,459m3383,459l3538,266m3538,266l3703,31m3703,31l3856,-31e" filled="false" stroked="true" strokeweight="1pt" strokecolor="#de0035">
              <v:path arrowok="t"/>
              <v:stroke dashstyle="solid"/>
            </v:shape>
            <v:line style="position:absolute" from="3846,-30" to="4031,-30" stroked="true" strokeweight="1.125pt" strokecolor="#de0035">
              <v:stroke dashstyle="solid"/>
            </v:line>
            <v:shape style="position:absolute;left:1130;top:928;width:2725;height:1450" coordorigin="1131,929" coordsize="2725,1450" path="m1131,2379l1296,2251m1296,2251l1451,2209m1451,2209l1616,1696m1616,1696l1768,1376m1768,1376l1933,1269m1933,1269l2098,1141m2098,1141l2251,1119m2251,1119l2418,1099m2418,1099l2583,1141m2583,1141l2736,1249m2736,1249l2901,1569m2901,1569l3053,1461m3053,1461l3218,1269m3218,1269l3383,1291m3383,1291l3538,1141m3538,1141l3703,991m3703,991l3856,929e" filled="false" stroked="true" strokeweight="1pt" strokecolor="#006caa">
              <v:path arrowok="t"/>
              <v:stroke dashstyle="solid"/>
            </v:shape>
            <v:shape style="position:absolute;left:1128;top:2464;width:2910;height:100" coordorigin="1128,2464" coordsize="2910,100" path="m3702,2464l3702,2564m3058,2511l3058,2564m1135,2511l1135,2564m1775,2511l1775,2564m2425,2511l2425,2564m1128,2559l4038,2559e" filled="false" stroked="true" strokeweight=".5pt" strokecolor="#000000">
              <v:path arrowok="t"/>
              <v:stroke dashstyle="solid"/>
            </v:shape>
            <v:shape style="position:absolute;left:1825;top:-26;width:868;height:240" type="#_x0000_t202" filled="false" stroked="false">
              <v:textbox inset="0,0,0,0">
                <w:txbxContent>
                  <w:p>
                    <w:pPr>
                      <w:spacing w:line="208" w:lineRule="auto" w:before="15"/>
                      <w:ind w:left="60" w:right="11" w:hanging="60"/>
                      <w:jc w:val="left"/>
                      <w:rPr>
                        <w:sz w:val="11"/>
                      </w:rPr>
                    </w:pPr>
                    <w:r>
                      <w:rPr>
                        <w:w w:val="105"/>
                        <w:sz w:val="11"/>
                      </w:rPr>
                      <w:t>Nominal effective exchange rate</w:t>
                    </w:r>
                  </w:p>
                </w:txbxContent>
              </v:textbox>
              <w10:wrap type="none"/>
            </v:shape>
            <v:shape style="position:absolute;left:2420;top:1614;width:1069;height:130" type="#_x0000_t202" filled="false" stroked="false">
              <v:textbox inset="0,0,0,0">
                <w:txbxContent>
                  <w:p>
                    <w:pPr>
                      <w:spacing w:before="1"/>
                      <w:ind w:left="0" w:right="0" w:firstLine="0"/>
                      <w:jc w:val="left"/>
                      <w:rPr>
                        <w:sz w:val="11"/>
                      </w:rPr>
                    </w:pPr>
                    <w:r>
                      <w:rPr>
                        <w:w w:val="105"/>
                        <w:sz w:val="11"/>
                      </w:rPr>
                      <w:t>Real exchange rate (a)</w:t>
                    </w:r>
                  </w:p>
                </w:txbxContent>
              </v:textbox>
              <w10:wrap type="none"/>
            </v:shape>
            <w10:wrap type="none"/>
          </v:group>
        </w:pict>
      </w:r>
      <w:r>
        <w:rPr/>
        <w:pict>
          <v:line style="position:absolute;mso-position-horizontal-relative:page;mso-position-vertical-relative:paragraph;z-index:15835136" from="49.336998pt,4.310132pt" to="45.002998pt,4.310132pt" stroked="true" strokeweight=".5pt" strokecolor="#000000">
            <v:stroke dashstyle="solid"/>
            <w10:wrap type="none"/>
          </v:line>
        </w:pict>
      </w:r>
      <w:r>
        <w:rPr/>
        <w:pict>
          <v:line style="position:absolute;mso-position-horizontal-relative:page;mso-position-vertical-relative:paragraph;z-index:15838720" from="211.587006pt,4.216132pt" to="207.253006pt,4.216132pt" stroked="true" strokeweight=".5pt" strokecolor="#000000">
            <v:stroke dashstyle="solid"/>
            <w10:wrap type="none"/>
          </v:line>
        </w:pict>
      </w:r>
      <w:r>
        <w:rPr>
          <w:w w:val="105"/>
          <w:sz w:val="11"/>
        </w:rPr>
        <w:t>125</w:t>
      </w:r>
    </w:p>
    <w:p>
      <w:pPr>
        <w:pStyle w:val="BodyText"/>
        <w:rPr>
          <w:sz w:val="12"/>
        </w:rPr>
      </w:pPr>
    </w:p>
    <w:p>
      <w:pPr>
        <w:pStyle w:val="BodyText"/>
        <w:spacing w:before="11"/>
        <w:rPr>
          <w:sz w:val="13"/>
        </w:rPr>
      </w:pPr>
    </w:p>
    <w:p>
      <w:pPr>
        <w:spacing w:before="0"/>
        <w:ind w:left="0" w:right="38" w:firstLine="0"/>
        <w:jc w:val="right"/>
        <w:rPr>
          <w:sz w:val="11"/>
        </w:rPr>
      </w:pPr>
      <w:r>
        <w:rPr/>
        <w:pict>
          <v:line style="position:absolute;mso-position-horizontal-relative:page;mso-position-vertical-relative:paragraph;z-index:15835648" from="49.336998pt,3.968888pt" to="45.002998pt,3.968888pt" stroked="true" strokeweight=".5pt" strokecolor="#000000">
            <v:stroke dashstyle="solid"/>
            <w10:wrap type="none"/>
          </v:line>
        </w:pict>
      </w:r>
      <w:r>
        <w:rPr/>
        <w:pict>
          <v:line style="position:absolute;mso-position-horizontal-relative:page;mso-position-vertical-relative:paragraph;z-index:15839232" from="211.587006pt,3.874888pt" to="207.253006pt,3.874888pt" stroked="true" strokeweight=".5pt" strokecolor="#000000">
            <v:stroke dashstyle="solid"/>
            <w10:wrap type="none"/>
          </v:line>
        </w:pict>
      </w:r>
      <w:r>
        <w:rPr>
          <w:w w:val="105"/>
          <w:sz w:val="11"/>
        </w:rPr>
        <w:t>120</w:t>
      </w:r>
    </w:p>
    <w:p>
      <w:pPr>
        <w:pStyle w:val="BodyText"/>
        <w:rPr>
          <w:sz w:val="12"/>
        </w:rPr>
      </w:pPr>
    </w:p>
    <w:p>
      <w:pPr>
        <w:pStyle w:val="BodyText"/>
        <w:spacing w:before="2"/>
        <w:rPr>
          <w:sz w:val="12"/>
        </w:rPr>
      </w:pPr>
    </w:p>
    <w:p>
      <w:pPr>
        <w:spacing w:before="0"/>
        <w:ind w:left="0" w:right="38" w:firstLine="0"/>
        <w:jc w:val="right"/>
        <w:rPr>
          <w:sz w:val="11"/>
        </w:rPr>
      </w:pPr>
      <w:r>
        <w:rPr/>
        <w:pict>
          <v:line style="position:absolute;mso-position-horizontal-relative:page;mso-position-vertical-relative:paragraph;z-index:15837696" from="49.336998pt,4.238949pt" to="45.002998pt,4.238949pt" stroked="true" strokeweight=".5pt" strokecolor="#000000">
            <v:stroke dashstyle="solid"/>
            <w10:wrap type="none"/>
          </v:line>
        </w:pict>
      </w:r>
      <w:r>
        <w:rPr/>
        <w:pict>
          <v:line style="position:absolute;mso-position-horizontal-relative:page;mso-position-vertical-relative:paragraph;z-index:15841280" from="211.587006pt,4.145949pt" to="207.253006pt,4.145949pt" stroked="true" strokeweight=".5pt" strokecolor="#000000">
            <v:stroke dashstyle="solid"/>
            <w10:wrap type="none"/>
          </v:line>
        </w:pict>
      </w:r>
      <w:r>
        <w:rPr>
          <w:w w:val="105"/>
          <w:sz w:val="11"/>
        </w:rPr>
        <w:t>115</w:t>
      </w:r>
    </w:p>
    <w:p>
      <w:pPr>
        <w:pStyle w:val="BodyText"/>
        <w:rPr>
          <w:sz w:val="12"/>
        </w:rPr>
      </w:pPr>
    </w:p>
    <w:p>
      <w:pPr>
        <w:pStyle w:val="BodyText"/>
        <w:spacing w:before="5"/>
        <w:rPr>
          <w:sz w:val="12"/>
        </w:rPr>
      </w:pPr>
    </w:p>
    <w:p>
      <w:pPr>
        <w:spacing w:before="0"/>
        <w:ind w:left="0" w:right="38" w:firstLine="0"/>
        <w:jc w:val="right"/>
        <w:rPr>
          <w:sz w:val="11"/>
        </w:rPr>
      </w:pPr>
      <w:r>
        <w:rPr/>
        <w:pict>
          <v:line style="position:absolute;mso-position-horizontal-relative:page;mso-position-vertical-relative:paragraph;z-index:15836160" from="49.336998pt,3.551888pt" to="45.002998pt,3.551888pt" stroked="true" strokeweight=".5pt" strokecolor="#000000">
            <v:stroke dashstyle="solid"/>
            <w10:wrap type="none"/>
          </v:line>
        </w:pict>
      </w:r>
      <w:r>
        <w:rPr/>
        <w:pict>
          <v:line style="position:absolute;mso-position-horizontal-relative:page;mso-position-vertical-relative:paragraph;z-index:15839744" from="211.587006pt,3.457888pt" to="207.253006pt,3.457888pt" stroked="true" strokeweight=".5pt" strokecolor="#000000">
            <v:stroke dashstyle="solid"/>
            <w10:wrap type="none"/>
          </v:line>
        </w:pict>
      </w:r>
      <w:r>
        <w:rPr>
          <w:w w:val="105"/>
          <w:sz w:val="11"/>
        </w:rPr>
        <w:t>110</w:t>
      </w:r>
    </w:p>
    <w:p>
      <w:pPr>
        <w:pStyle w:val="BodyText"/>
        <w:rPr>
          <w:sz w:val="12"/>
        </w:rPr>
      </w:pPr>
    </w:p>
    <w:p>
      <w:pPr>
        <w:pStyle w:val="BodyText"/>
        <w:spacing w:before="3"/>
        <w:rPr>
          <w:sz w:val="12"/>
        </w:rPr>
      </w:pPr>
    </w:p>
    <w:p>
      <w:pPr>
        <w:spacing w:before="0"/>
        <w:ind w:left="0" w:right="38" w:firstLine="0"/>
        <w:jc w:val="right"/>
        <w:rPr>
          <w:sz w:val="11"/>
        </w:rPr>
      </w:pPr>
      <w:r>
        <w:rPr/>
        <w:pict>
          <v:line style="position:absolute;mso-position-horizontal-relative:page;mso-position-vertical-relative:paragraph;z-index:15837184" from="49.336998pt,3.906949pt" to="45.002998pt,3.906949pt" stroked="true" strokeweight=".5pt" strokecolor="#000000">
            <v:stroke dashstyle="solid"/>
            <w10:wrap type="none"/>
          </v:line>
        </w:pict>
      </w:r>
      <w:r>
        <w:rPr/>
        <w:pict>
          <v:line style="position:absolute;mso-position-horizontal-relative:page;mso-position-vertical-relative:paragraph;z-index:15840768" from="211.587006pt,3.812949pt" to="207.253006pt,3.812949pt" stroked="true" strokeweight=".5pt" strokecolor="#000000">
            <v:stroke dashstyle="solid"/>
            <w10:wrap type="none"/>
          </v:line>
        </w:pict>
      </w:r>
      <w:r>
        <w:rPr>
          <w:w w:val="105"/>
          <w:sz w:val="11"/>
        </w:rPr>
        <w:t>105</w:t>
      </w:r>
    </w:p>
    <w:p>
      <w:pPr>
        <w:pStyle w:val="BodyText"/>
        <w:rPr>
          <w:sz w:val="12"/>
        </w:rPr>
      </w:pPr>
    </w:p>
    <w:p>
      <w:pPr>
        <w:pStyle w:val="BodyText"/>
        <w:spacing w:before="11"/>
        <w:rPr>
          <w:sz w:val="13"/>
        </w:rPr>
      </w:pPr>
    </w:p>
    <w:p>
      <w:pPr>
        <w:spacing w:before="0"/>
        <w:ind w:left="0" w:right="38" w:firstLine="0"/>
        <w:jc w:val="right"/>
        <w:rPr>
          <w:sz w:val="11"/>
        </w:rPr>
      </w:pPr>
      <w:r>
        <w:rPr/>
        <w:pict>
          <v:line style="position:absolute;mso-position-horizontal-relative:page;mso-position-vertical-relative:paragraph;z-index:15836672" from="49.336998pt,3.821705pt" to="45.002998pt,3.821705pt" stroked="true" strokeweight=".5pt" strokecolor="#000000">
            <v:stroke dashstyle="solid"/>
            <w10:wrap type="none"/>
          </v:line>
        </w:pict>
      </w:r>
      <w:r>
        <w:rPr/>
        <w:pict>
          <v:line style="position:absolute;mso-position-horizontal-relative:page;mso-position-vertical-relative:paragraph;z-index:15840256" from="211.587006pt,3.728705pt" to="207.253006pt,3.728705pt" stroked="true" strokeweight=".5pt" strokecolor="#000000">
            <v:stroke dashstyle="solid"/>
            <w10:wrap type="none"/>
          </v:line>
        </w:pict>
      </w:r>
      <w:r>
        <w:rPr>
          <w:w w:val="105"/>
          <w:sz w:val="11"/>
        </w:rPr>
        <w:t>100</w:t>
      </w:r>
    </w:p>
    <w:p>
      <w:pPr>
        <w:pStyle w:val="BodyText"/>
        <w:rPr>
          <w:sz w:val="12"/>
        </w:rPr>
      </w:pPr>
    </w:p>
    <w:p>
      <w:pPr>
        <w:pStyle w:val="BodyText"/>
        <w:spacing w:before="2"/>
        <w:rPr>
          <w:sz w:val="12"/>
        </w:rPr>
      </w:pPr>
    </w:p>
    <w:p>
      <w:pPr>
        <w:spacing w:line="94" w:lineRule="exact" w:before="0"/>
        <w:ind w:left="3734" w:right="0" w:firstLine="0"/>
        <w:jc w:val="left"/>
        <w:rPr>
          <w:sz w:val="11"/>
        </w:rPr>
      </w:pPr>
      <w:r>
        <w:rPr>
          <w:w w:val="105"/>
          <w:sz w:val="11"/>
        </w:rPr>
        <w:t>95</w:t>
      </w:r>
    </w:p>
    <w:p>
      <w:pPr>
        <w:tabs>
          <w:tab w:pos="3500" w:val="left" w:leader="none"/>
        </w:tabs>
        <w:spacing w:line="20" w:lineRule="exact"/>
        <w:ind w:left="255" w:right="0"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5"/>
        <w:rPr>
          <w:sz w:val="21"/>
        </w:rPr>
      </w:pPr>
      <w:r>
        <w:rPr/>
        <w:br w:type="column"/>
      </w:r>
      <w:r>
        <w:rPr>
          <w:sz w:val="21"/>
        </w:rPr>
      </w:r>
    </w:p>
    <w:p>
      <w:pPr>
        <w:pStyle w:val="BodyText"/>
        <w:spacing w:line="242" w:lineRule="auto"/>
        <w:ind w:left="182" w:right="167"/>
      </w:pPr>
      <w:r>
        <w:rPr/>
        <w:t>export price competitiveness. Since 1996, the sterling nominal </w:t>
      </w:r>
      <w:r>
        <w:rPr>
          <w:spacing w:val="-3"/>
        </w:rPr>
        <w:t>effective </w:t>
      </w:r>
      <w:r>
        <w:rPr/>
        <w:t>exchange rate has risen </w:t>
      </w:r>
      <w:r>
        <w:rPr>
          <w:spacing w:val="-3"/>
        </w:rPr>
        <w:t>sharply. </w:t>
      </w:r>
      <w:r>
        <w:rPr/>
        <w:t>But the real exchange rate, as measured by UK export prices relative to export prices in the major six overseas economies (in common currency terms), has risen by considerably less than the nominal exchange rate </w:t>
      </w:r>
      <w:r>
        <w:rPr>
          <w:spacing w:val="-3"/>
        </w:rPr>
        <w:t>over </w:t>
      </w:r>
      <w:r>
        <w:rPr/>
        <w:t>this period (see Chart 2.2). That suggests that some UK exporters</w:t>
      </w:r>
      <w:r>
        <w:rPr>
          <w:spacing w:val="-9"/>
        </w:rPr>
        <w:t> </w:t>
      </w:r>
      <w:r>
        <w:rPr/>
        <w:t>sought</w:t>
      </w:r>
      <w:r>
        <w:rPr>
          <w:spacing w:val="-9"/>
        </w:rPr>
        <w:t> </w:t>
      </w:r>
      <w:r>
        <w:rPr/>
        <w:t>to</w:t>
      </w:r>
      <w:r>
        <w:rPr>
          <w:spacing w:val="-9"/>
        </w:rPr>
        <w:t> </w:t>
      </w:r>
      <w:r>
        <w:rPr/>
        <w:t>retain</w:t>
      </w:r>
      <w:r>
        <w:rPr>
          <w:spacing w:val="-9"/>
        </w:rPr>
        <w:t> </w:t>
      </w:r>
      <w:r>
        <w:rPr/>
        <w:t>established</w:t>
      </w:r>
      <w:r>
        <w:rPr>
          <w:spacing w:val="-9"/>
        </w:rPr>
        <w:t> </w:t>
      </w:r>
      <w:r>
        <w:rPr/>
        <w:t>overseas</w:t>
      </w:r>
      <w:r>
        <w:rPr>
          <w:spacing w:val="-9"/>
        </w:rPr>
        <w:t> </w:t>
      </w:r>
      <w:r>
        <w:rPr/>
        <w:t>customers by accepting lower sterling prices, perhaps in the belief that the appreciation was likely to be short-lived. These lower prices are likely to </w:t>
      </w:r>
      <w:r>
        <w:rPr>
          <w:spacing w:val="-3"/>
        </w:rPr>
        <w:t>have </w:t>
      </w:r>
      <w:r>
        <w:rPr/>
        <w:t>reduced </w:t>
      </w:r>
      <w:r>
        <w:rPr>
          <w:spacing w:val="-3"/>
        </w:rPr>
        <w:t>profitability, </w:t>
      </w:r>
      <w:r>
        <w:rPr/>
        <w:t>although some exporters may </w:t>
      </w:r>
      <w:r>
        <w:rPr>
          <w:spacing w:val="-3"/>
        </w:rPr>
        <w:t>have </w:t>
      </w:r>
      <w:r>
        <w:rPr/>
        <w:t>relieved pressure on margins by seeking additional cost savings, which</w:t>
      </w:r>
      <w:r>
        <w:rPr>
          <w:spacing w:val="-27"/>
        </w:rPr>
        <w:t> </w:t>
      </w:r>
      <w:r>
        <w:rPr/>
        <w:t>is</w:t>
      </w:r>
    </w:p>
    <w:p>
      <w:pPr>
        <w:spacing w:after="0" w:line="242" w:lineRule="auto"/>
        <w:sectPr>
          <w:type w:val="continuous"/>
          <w:pgSz w:w="11900" w:h="16840"/>
          <w:pgMar w:top="1260" w:bottom="280" w:left="640" w:right="640"/>
          <w:cols w:num="2" w:equalWidth="0">
            <w:col w:w="3892" w:space="911"/>
            <w:col w:w="5817"/>
          </w:cols>
        </w:sectPr>
      </w:pPr>
    </w:p>
    <w:p>
      <w:pPr>
        <w:tabs>
          <w:tab w:pos="1435" w:val="left" w:leader="none"/>
        </w:tabs>
        <w:spacing w:before="59"/>
        <w:ind w:left="690" w:right="0" w:firstLine="0"/>
        <w:jc w:val="left"/>
        <w:rPr>
          <w:sz w:val="11"/>
        </w:rPr>
      </w:pPr>
      <w:r>
        <w:rPr>
          <w:w w:val="105"/>
          <w:sz w:val="11"/>
        </w:rPr>
        <w:t>1996</w:t>
        <w:tab/>
      </w:r>
      <w:r>
        <w:rPr>
          <w:spacing w:val="-10"/>
          <w:w w:val="105"/>
          <w:sz w:val="11"/>
        </w:rPr>
        <w:t>97</w:t>
      </w:r>
    </w:p>
    <w:p>
      <w:pPr>
        <w:tabs>
          <w:tab w:pos="1062" w:val="left" w:leader="none"/>
        </w:tabs>
        <w:spacing w:before="59"/>
        <w:ind w:left="483" w:right="0" w:firstLine="0"/>
        <w:jc w:val="left"/>
        <w:rPr>
          <w:sz w:val="11"/>
        </w:rPr>
      </w:pPr>
      <w:r>
        <w:rPr/>
        <w:br w:type="column"/>
      </w:r>
      <w:r>
        <w:rPr>
          <w:w w:val="105"/>
          <w:sz w:val="11"/>
        </w:rPr>
        <w:t>98</w:t>
        <w:tab/>
      </w:r>
      <w:r>
        <w:rPr>
          <w:spacing w:val="-10"/>
          <w:w w:val="105"/>
          <w:sz w:val="11"/>
        </w:rPr>
        <w:t>99</w:t>
      </w:r>
    </w:p>
    <w:p>
      <w:pPr>
        <w:spacing w:before="59"/>
        <w:ind w:left="333" w:right="0" w:firstLine="0"/>
        <w:jc w:val="left"/>
        <w:rPr>
          <w:sz w:val="11"/>
        </w:rPr>
      </w:pPr>
      <w:r>
        <w:rPr/>
        <w:br w:type="column"/>
      </w:r>
      <w:r>
        <w:rPr>
          <w:w w:val="105"/>
          <w:sz w:val="11"/>
        </w:rPr>
        <w:t>2000</w:t>
      </w:r>
    </w:p>
    <w:p>
      <w:pPr>
        <w:pStyle w:val="BodyText"/>
        <w:spacing w:line="246" w:lineRule="exact"/>
        <w:ind w:left="690"/>
      </w:pPr>
      <w:r>
        <w:rPr/>
        <w:br w:type="column"/>
      </w:r>
      <w:r>
        <w:rPr/>
        <w:t>consistent with relatively strong productivity growth in</w:t>
      </w:r>
    </w:p>
    <w:p>
      <w:pPr>
        <w:spacing w:after="0" w:line="246" w:lineRule="exact"/>
        <w:sectPr>
          <w:type w:val="continuous"/>
          <w:pgSz w:w="11900" w:h="16840"/>
          <w:pgMar w:top="1260" w:bottom="280" w:left="640" w:right="640"/>
          <w:cols w:num="4" w:equalWidth="0">
            <w:col w:w="1553" w:space="40"/>
            <w:col w:w="1181" w:space="39"/>
            <w:col w:w="607" w:space="874"/>
            <w:col w:w="6326"/>
          </w:cols>
        </w:sectPr>
      </w:pPr>
    </w:p>
    <w:p>
      <w:pPr>
        <w:spacing w:before="82"/>
        <w:ind w:left="178" w:right="0" w:firstLine="0"/>
        <w:jc w:val="left"/>
        <w:rPr>
          <w:sz w:val="12"/>
        </w:rPr>
      </w:pPr>
      <w:r>
        <w:rPr>
          <w:sz w:val="12"/>
        </w:rPr>
        <w:t>Sources: IMF and Bank of England.</w:t>
      </w:r>
    </w:p>
    <w:p>
      <w:pPr>
        <w:pStyle w:val="BodyText"/>
        <w:spacing w:before="1"/>
        <w:rPr>
          <w:sz w:val="10"/>
        </w:rPr>
      </w:pPr>
    </w:p>
    <w:p>
      <w:pPr>
        <w:spacing w:line="208" w:lineRule="auto" w:before="0"/>
        <w:ind w:left="418" w:right="19" w:hanging="240"/>
        <w:jc w:val="left"/>
        <w:rPr>
          <w:sz w:val="12"/>
        </w:rPr>
      </w:pPr>
      <w:r>
        <w:rPr>
          <w:sz w:val="12"/>
        </w:rPr>
        <w:t>(a) Estimated as UK export prices divided by a trade-weighted combination of export prices for the major six overseas economies, in common currency terms.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7"/>
        </w:rPr>
      </w:pPr>
    </w:p>
    <w:p>
      <w:pPr>
        <w:spacing w:before="1"/>
        <w:ind w:left="174" w:right="0" w:firstLine="0"/>
        <w:jc w:val="left"/>
        <w:rPr>
          <w:b/>
          <w:sz w:val="20"/>
        </w:rPr>
      </w:pPr>
      <w:r>
        <w:rPr>
          <w:b/>
          <w:color w:val="0092C7"/>
          <w:sz w:val="20"/>
        </w:rPr>
        <w:t>Chart 2.3</w:t>
      </w:r>
    </w:p>
    <w:p>
      <w:pPr>
        <w:spacing w:before="10"/>
        <w:ind w:left="174" w:right="0" w:firstLine="0"/>
        <w:jc w:val="left"/>
        <w:rPr>
          <w:b/>
          <w:sz w:val="20"/>
        </w:rPr>
      </w:pPr>
      <w:r>
        <w:rPr>
          <w:b/>
          <w:color w:val="0092C7"/>
          <w:sz w:val="20"/>
        </w:rPr>
        <w:t>Growth in export and import volumes</w:t>
      </w:r>
    </w:p>
    <w:p>
      <w:pPr>
        <w:spacing w:line="115" w:lineRule="exact" w:before="97"/>
        <w:ind w:left="0" w:right="825" w:firstLine="0"/>
        <w:jc w:val="right"/>
        <w:rPr>
          <w:sz w:val="12"/>
        </w:rPr>
      </w:pPr>
      <w:r>
        <w:rPr>
          <w:sz w:val="12"/>
        </w:rPr>
        <w:t>Percentage changes on a quarter earlier</w:t>
      </w:r>
    </w:p>
    <w:p>
      <w:pPr>
        <w:spacing w:line="115" w:lineRule="exact" w:before="0"/>
        <w:ind w:left="0" w:right="742" w:firstLine="0"/>
        <w:jc w:val="right"/>
        <w:rPr>
          <w:sz w:val="12"/>
        </w:rPr>
      </w:pPr>
      <w:r>
        <w:rPr/>
        <w:pict>
          <v:group style="position:absolute;margin-left:44.030998pt;margin-top:9.577637pt;width:159.6pt;height:126pt;mso-position-horizontal-relative:page;mso-position-vertical-relative:paragraph;z-index:-22821888" coordorigin="881,192" coordsize="3192,2520">
            <v:shape style="position:absolute;left:1040;top:461;width:2873;height:1680" coordorigin="1040,462" coordsize="2873,1680" path="m1040,1674l1262,574m1262,574l1485,1842m1485,1842l1707,854m1707,854l1927,1769m1927,1769l2150,1357m2150,1357l2372,1619m2372,1619l2582,1732m2582,1732l2805,1489m2805,1489l3025,2142m3025,2142l3247,462m3247,462l3470,1489m3470,1489l3692,1769m3692,1769l3912,1414e" filled="false" stroked="true" strokeweight="1pt" strokecolor="#a64991">
              <v:path arrowok="t"/>
              <v:stroke dashstyle="solid"/>
            </v:shape>
            <v:shape style="position:absolute;left:1040;top:201;width:2873;height:2500" coordorigin="1040,202" coordsize="2873,2500" path="m1040,1432l1262,1319m1262,1319l1485,1544m1485,1544l1707,1937m1707,1937l1927,2329m1927,2329l2150,1637m2150,1637l2372,2217m2372,2217l2582,2609m2582,2609l2805,2477m2805,2477l3025,1227m3025,1227l3247,202m3247,202l3470,2702m3470,2702l3692,1357m3692,1357l3912,1489e" filled="false" stroked="true" strokeweight="1pt" strokecolor="#008360">
              <v:path arrowok="t"/>
              <v:stroke dashstyle="solid"/>
            </v:shape>
            <v:shape style="position:absolute;left:880;top:407;width:3192;height:2160" coordorigin="881,408" coordsize="3192,2160" path="m881,413l967,413m881,772l967,772m881,1131l967,1131m881,1490l967,1490m881,1849l967,1849m881,2203l967,2203m881,2567l967,2567m3985,408l4072,408m3985,767l4072,767m3985,1126l4072,1126m3985,1485l4072,1485m3985,1844l4072,1844m3985,2203l4072,2203m3985,2562l4072,2562m1037,2203l3914,2203e" filled="false" stroked="true" strokeweight=".5pt" strokecolor="#000000">
              <v:path arrowok="t"/>
              <v:stroke dashstyle="solid"/>
            </v:shape>
            <w10:wrap type="none"/>
          </v:group>
        </w:pict>
      </w:r>
      <w:r>
        <w:rPr/>
        <w:pict>
          <v:line style="position:absolute;mso-position-horizontal-relative:page;mso-position-vertical-relative:paragraph;z-index:15832064" from="44.030998pt,2.702637pt" to="48.363998pt,2.702637pt" stroked="true" strokeweight=".5pt" strokecolor="#000000">
            <v:stroke dashstyle="solid"/>
            <w10:wrap type="none"/>
          </v:line>
        </w:pict>
      </w:r>
      <w:r>
        <w:rPr/>
        <w:pict>
          <v:line style="position:absolute;mso-position-horizontal-relative:page;mso-position-vertical-relative:paragraph;z-index:15832576" from="199.253998pt,2.428637pt" to="203.585998pt,2.428637pt" stroked="true" strokeweight=".5pt" strokecolor="#000000">
            <v:stroke dashstyle="solid"/>
            <w10:wrap type="none"/>
          </v:line>
        </w:pict>
      </w:r>
      <w:r>
        <w:rPr>
          <w:sz w:val="12"/>
        </w:rPr>
        <w:t>6</w:t>
      </w:r>
    </w:p>
    <w:p>
      <w:pPr>
        <w:pStyle w:val="BodyText"/>
        <w:rPr>
          <w:sz w:val="12"/>
        </w:rPr>
      </w:pPr>
    </w:p>
    <w:p>
      <w:pPr>
        <w:spacing w:before="83"/>
        <w:ind w:left="3460" w:right="0" w:firstLine="0"/>
        <w:jc w:val="left"/>
        <w:rPr>
          <w:sz w:val="12"/>
        </w:rPr>
      </w:pPr>
      <w:r>
        <w:rPr>
          <w:sz w:val="12"/>
        </w:rPr>
        <w:t>5</w:t>
      </w:r>
    </w:p>
    <w:p>
      <w:pPr>
        <w:spacing w:line="129" w:lineRule="exact" w:before="26"/>
        <w:ind w:left="660" w:right="0" w:firstLine="0"/>
        <w:jc w:val="left"/>
        <w:rPr>
          <w:sz w:val="12"/>
        </w:rPr>
      </w:pPr>
      <w:r>
        <w:rPr>
          <w:sz w:val="12"/>
        </w:rPr>
        <w:t>Imports of goods</w:t>
      </w:r>
    </w:p>
    <w:p>
      <w:pPr>
        <w:tabs>
          <w:tab w:pos="3520" w:val="right" w:leader="none"/>
        </w:tabs>
        <w:spacing w:line="218" w:lineRule="auto" w:before="0"/>
        <w:ind w:left="720" w:right="0" w:firstLine="0"/>
        <w:jc w:val="left"/>
        <w:rPr>
          <w:sz w:val="12"/>
        </w:rPr>
      </w:pPr>
      <w:r>
        <w:rPr>
          <w:sz w:val="12"/>
        </w:rPr>
        <w:t>and services</w:t>
        <w:tab/>
      </w:r>
      <w:r>
        <w:rPr>
          <w:position w:val="-7"/>
          <w:sz w:val="12"/>
        </w:rPr>
        <w:t>4</w:t>
      </w:r>
    </w:p>
    <w:p>
      <w:pPr>
        <w:pStyle w:val="BodyText"/>
        <w:rPr>
          <w:sz w:val="19"/>
        </w:rPr>
      </w:pPr>
    </w:p>
    <w:p>
      <w:pPr>
        <w:spacing w:before="0"/>
        <w:ind w:left="3460" w:right="0" w:firstLine="0"/>
        <w:jc w:val="left"/>
        <w:rPr>
          <w:sz w:val="12"/>
        </w:rPr>
      </w:pPr>
      <w:r>
        <w:rPr>
          <w:sz w:val="12"/>
        </w:rPr>
        <w:t>3</w:t>
      </w:r>
    </w:p>
    <w:p>
      <w:pPr>
        <w:pStyle w:val="BodyText"/>
        <w:rPr>
          <w:sz w:val="12"/>
        </w:rPr>
      </w:pPr>
    </w:p>
    <w:p>
      <w:pPr>
        <w:spacing w:before="83"/>
        <w:ind w:left="3460" w:right="0" w:firstLine="0"/>
        <w:jc w:val="left"/>
        <w:rPr>
          <w:sz w:val="12"/>
        </w:rPr>
      </w:pPr>
      <w:r>
        <w:rPr>
          <w:sz w:val="12"/>
        </w:rPr>
        <w:t>2</w:t>
      </w:r>
    </w:p>
    <w:p>
      <w:pPr>
        <w:pStyle w:val="BodyText"/>
        <w:rPr>
          <w:sz w:val="12"/>
        </w:rPr>
      </w:pPr>
    </w:p>
    <w:p>
      <w:pPr>
        <w:spacing w:before="83"/>
        <w:ind w:left="3460" w:right="0" w:firstLine="0"/>
        <w:jc w:val="left"/>
        <w:rPr>
          <w:sz w:val="12"/>
        </w:rPr>
      </w:pPr>
      <w:r>
        <w:rPr>
          <w:sz w:val="12"/>
        </w:rPr>
        <w:t>1</w:t>
      </w:r>
    </w:p>
    <w:p>
      <w:pPr>
        <w:spacing w:before="23"/>
        <w:ind w:left="3392" w:right="0" w:firstLine="0"/>
        <w:jc w:val="left"/>
        <w:rPr>
          <w:sz w:val="16"/>
        </w:rPr>
      </w:pPr>
      <w:r>
        <w:rPr>
          <w:sz w:val="16"/>
        </w:rPr>
        <w:t>+</w:t>
      </w:r>
    </w:p>
    <w:p>
      <w:pPr>
        <w:spacing w:line="109" w:lineRule="exact" w:before="14"/>
        <w:ind w:left="0" w:right="742" w:firstLine="0"/>
        <w:jc w:val="right"/>
        <w:rPr>
          <w:sz w:val="12"/>
        </w:rPr>
      </w:pPr>
      <w:r>
        <w:rPr>
          <w:sz w:val="12"/>
        </w:rPr>
        <w:t>0</w:t>
      </w:r>
    </w:p>
    <w:p>
      <w:pPr>
        <w:spacing w:line="155" w:lineRule="exact" w:before="0"/>
        <w:ind w:left="3397" w:right="0" w:firstLine="0"/>
        <w:jc w:val="left"/>
        <w:rPr>
          <w:sz w:val="16"/>
        </w:rPr>
      </w:pPr>
      <w:r>
        <w:rPr>
          <w:sz w:val="16"/>
        </w:rPr>
        <w:t>–</w:t>
      </w:r>
    </w:p>
    <w:p>
      <w:pPr>
        <w:tabs>
          <w:tab w:pos="3460" w:val="left" w:leader="none"/>
        </w:tabs>
        <w:spacing w:line="140" w:lineRule="exact" w:before="75"/>
        <w:ind w:left="987" w:right="0" w:firstLine="0"/>
        <w:jc w:val="left"/>
        <w:rPr>
          <w:sz w:val="12"/>
        </w:rPr>
      </w:pPr>
      <w:r>
        <w:rPr>
          <w:position w:val="2"/>
          <w:sz w:val="12"/>
        </w:rPr>
        <w:t>Exports of goods</w:t>
        <w:tab/>
      </w:r>
      <w:r>
        <w:rPr>
          <w:sz w:val="12"/>
        </w:rPr>
        <w:t>1</w:t>
      </w:r>
    </w:p>
    <w:p>
      <w:pPr>
        <w:spacing w:line="120" w:lineRule="exact" w:before="0"/>
        <w:ind w:left="1047" w:right="0" w:firstLine="0"/>
        <w:jc w:val="left"/>
        <w:rPr>
          <w:sz w:val="12"/>
        </w:rPr>
      </w:pPr>
      <w:r>
        <w:rPr>
          <w:sz w:val="12"/>
        </w:rPr>
        <w:t>and services</w:t>
      </w:r>
    </w:p>
    <w:p>
      <w:pPr>
        <w:pStyle w:val="BodyText"/>
        <w:spacing w:before="3"/>
        <w:rPr>
          <w:sz w:val="10"/>
        </w:rPr>
      </w:pPr>
    </w:p>
    <w:p>
      <w:pPr>
        <w:spacing w:line="123" w:lineRule="exact" w:before="1"/>
        <w:ind w:left="3460" w:right="0" w:firstLine="0"/>
        <w:jc w:val="left"/>
        <w:rPr>
          <w:sz w:val="12"/>
        </w:rPr>
      </w:pPr>
      <w:r>
        <w:rPr/>
        <w:pict>
          <v:shape style="position:absolute;margin-left:44.030998pt;margin-top:-2.163438pt;width:159.6pt;height:6.1pt;mso-position-horizontal-relative:page;mso-position-vertical-relative:paragraph;z-index:15831552" coordorigin="881,-43" coordsize="3192,122" path="m881,78l967,78m1036,73l3914,73m1037,-43l1037,73m1258,26l1258,73m1480,26l1480,73m1701,26l1701,73m1922,-43l1922,73m2144,26l2144,73m2365,26l2365,73m2586,26l2586,73m2808,-43l2808,73m3029,26l3029,73m3250,26l3250,73m3472,26l3472,73m3693,-43l3693,73m3985,73l4072,73m3915,26l3915,73e" filled="false" stroked="true" strokeweight=".5pt" strokecolor="#000000">
            <v:path arrowok="t"/>
            <v:stroke dashstyle="solid"/>
            <w10:wrap type="none"/>
          </v:shape>
        </w:pict>
      </w:r>
      <w:r>
        <w:rPr>
          <w:sz w:val="12"/>
        </w:rPr>
        <w:t>2</w:t>
      </w:r>
    </w:p>
    <w:p>
      <w:pPr>
        <w:tabs>
          <w:tab w:pos="1664" w:val="left" w:leader="none"/>
          <w:tab w:pos="2559" w:val="left" w:leader="none"/>
          <w:tab w:pos="3069" w:val="left" w:leader="none"/>
        </w:tabs>
        <w:spacing w:line="123" w:lineRule="exact" w:before="0"/>
        <w:ind w:left="727" w:right="0" w:firstLine="0"/>
        <w:jc w:val="left"/>
        <w:rPr>
          <w:sz w:val="12"/>
        </w:rPr>
      </w:pPr>
      <w:r>
        <w:rPr>
          <w:sz w:val="12"/>
        </w:rPr>
        <w:t>1997</w:t>
        <w:tab/>
        <w:t>98</w:t>
        <w:tab/>
        <w:t>99</w:t>
        <w:tab/>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7"/>
        </w:rPr>
      </w:pPr>
    </w:p>
    <w:p>
      <w:pPr>
        <w:spacing w:before="1"/>
        <w:ind w:left="190" w:right="0" w:firstLine="0"/>
        <w:jc w:val="left"/>
        <w:rPr>
          <w:b/>
          <w:sz w:val="20"/>
        </w:rPr>
      </w:pPr>
      <w:r>
        <w:rPr>
          <w:b/>
          <w:color w:val="0092C7"/>
          <w:sz w:val="20"/>
        </w:rPr>
        <w:t>Table 2.A</w:t>
      </w:r>
    </w:p>
    <w:p>
      <w:pPr>
        <w:spacing w:line="221" w:lineRule="exact" w:before="10"/>
        <w:ind w:left="190" w:right="0" w:firstLine="0"/>
        <w:jc w:val="left"/>
        <w:rPr>
          <w:sz w:val="12"/>
        </w:rPr>
      </w:pPr>
      <w:r>
        <w:rPr>
          <w:b/>
          <w:color w:val="0092C7"/>
          <w:sz w:val="20"/>
        </w:rPr>
        <w:t>UK export outlook</w:t>
      </w:r>
      <w:r>
        <w:rPr>
          <w:position w:val="4"/>
          <w:sz w:val="12"/>
        </w:rPr>
        <w:t>(a)</w:t>
      </w:r>
    </w:p>
    <w:p>
      <w:pPr>
        <w:pStyle w:val="BodyText"/>
        <w:spacing w:line="242" w:lineRule="auto" w:before="4"/>
        <w:ind w:left="174" w:right="410"/>
      </w:pPr>
      <w:r>
        <w:rPr/>
        <w:br w:type="column"/>
      </w:r>
      <w:r>
        <w:rPr/>
        <w:t>the manufacturing sector in the recent past (see </w:t>
      </w:r>
      <w:hyperlink w:history="true" w:anchor="_bookmark19">
        <w:r>
          <w:rPr>
            <w:color w:val="FF0000"/>
          </w:rPr>
          <w:t>Section 3</w:t>
        </w:r>
        <w:r>
          <w:rPr/>
          <w:t>).</w:t>
        </w:r>
      </w:hyperlink>
    </w:p>
    <w:p>
      <w:pPr>
        <w:pStyle w:val="BodyText"/>
        <w:spacing w:before="6"/>
      </w:pPr>
    </w:p>
    <w:p>
      <w:pPr>
        <w:pStyle w:val="BodyText"/>
        <w:spacing w:line="242" w:lineRule="auto"/>
        <w:ind w:left="174" w:right="24"/>
      </w:pPr>
      <w:r>
        <w:rPr/>
        <w:t>Total export volumes rose by 2.0% in Q2 (see Chart 2.3), and were 8.7% higher than a year earlier. But growth eased from the previous quarter as a slower rise in goods exports outweighed a recovery in exports of services.</w:t>
      </w:r>
    </w:p>
    <w:p>
      <w:pPr>
        <w:pStyle w:val="BodyText"/>
        <w:spacing w:line="242" w:lineRule="auto" w:before="5"/>
        <w:ind w:left="174" w:right="158"/>
      </w:pPr>
      <w:r>
        <w:rPr/>
        <w:t>Reflecting both the pattern of overseas demand growth and bilateral exchange rate movements in recent years, goods export volumes to non-EU economies continued to rise more quickly than exports to the EU. In contrast to</w:t>
      </w:r>
      <w:r>
        <w:rPr>
          <w:spacing w:val="-7"/>
        </w:rPr>
        <w:t> </w:t>
      </w:r>
      <w:r>
        <w:rPr/>
        <w:t>slower</w:t>
      </w:r>
      <w:r>
        <w:rPr>
          <w:spacing w:val="-6"/>
        </w:rPr>
        <w:t> </w:t>
      </w:r>
      <w:r>
        <w:rPr/>
        <w:t>growth</w:t>
      </w:r>
      <w:r>
        <w:rPr>
          <w:spacing w:val="-6"/>
        </w:rPr>
        <w:t> </w:t>
      </w:r>
      <w:r>
        <w:rPr/>
        <w:t>in</w:t>
      </w:r>
      <w:r>
        <w:rPr>
          <w:spacing w:val="-7"/>
        </w:rPr>
        <w:t> </w:t>
      </w:r>
      <w:r>
        <w:rPr/>
        <w:t>exports,</w:t>
      </w:r>
      <w:r>
        <w:rPr>
          <w:spacing w:val="-5"/>
        </w:rPr>
        <w:t> </w:t>
      </w:r>
      <w:r>
        <w:rPr/>
        <w:t>imports</w:t>
      </w:r>
      <w:r>
        <w:rPr>
          <w:spacing w:val="-6"/>
        </w:rPr>
        <w:t> </w:t>
      </w:r>
      <w:r>
        <w:rPr/>
        <w:t>rose</w:t>
      </w:r>
      <w:r>
        <w:rPr>
          <w:spacing w:val="-7"/>
        </w:rPr>
        <w:t> </w:t>
      </w:r>
      <w:r>
        <w:rPr/>
        <w:t>more</w:t>
      </w:r>
      <w:r>
        <w:rPr>
          <w:spacing w:val="-6"/>
        </w:rPr>
        <w:t> </w:t>
      </w:r>
      <w:r>
        <w:rPr/>
        <w:t>rapidly</w:t>
      </w:r>
      <w:r>
        <w:rPr>
          <w:spacing w:val="-6"/>
        </w:rPr>
        <w:t> </w:t>
      </w:r>
      <w:r>
        <w:rPr/>
        <w:t>in Q2, increasing by 2.2% on the quarter (see Chart 2.3) and by 10.7% on a year </w:t>
      </w:r>
      <w:r>
        <w:rPr>
          <w:spacing w:val="-3"/>
        </w:rPr>
        <w:t>earlier. </w:t>
      </w:r>
      <w:r>
        <w:rPr/>
        <w:t>As a result net trade made a </w:t>
      </w:r>
      <w:r>
        <w:rPr>
          <w:spacing w:val="-3"/>
        </w:rPr>
        <w:t>negative </w:t>
      </w:r>
      <w:r>
        <w:rPr/>
        <w:t>contribution to GDP in 2000 Q2</w:t>
      </w:r>
      <w:r>
        <w:rPr>
          <w:spacing w:val="-17"/>
        </w:rPr>
        <w:t> </w:t>
      </w:r>
      <w:r>
        <w:rPr/>
        <w:t>of</w:t>
      </w:r>
    </w:p>
    <w:p>
      <w:pPr>
        <w:pStyle w:val="BodyText"/>
        <w:spacing w:before="11"/>
        <w:ind w:left="174"/>
      </w:pPr>
      <w:r>
        <w:rPr/>
        <w:t>0.2 percentage points (see Table 2.B).</w:t>
      </w:r>
    </w:p>
    <w:p>
      <w:pPr>
        <w:pStyle w:val="BodyText"/>
        <w:spacing w:before="7"/>
      </w:pPr>
    </w:p>
    <w:p>
      <w:pPr>
        <w:pStyle w:val="BodyText"/>
        <w:spacing w:line="242" w:lineRule="auto" w:before="1"/>
        <w:ind w:left="174" w:right="113"/>
      </w:pPr>
      <w:r>
        <w:rPr/>
        <w:t>Although surveys suggest little change in the near-term prospects for UK exports (see </w:t>
      </w:r>
      <w:r>
        <w:rPr>
          <w:spacing w:val="-5"/>
        </w:rPr>
        <w:t>Table </w:t>
      </w:r>
      <w:r>
        <w:rPr/>
        <w:t>2.A), recent monthly trade data point to a further </w:t>
      </w:r>
      <w:r>
        <w:rPr>
          <w:spacing w:val="-3"/>
        </w:rPr>
        <w:t>negative </w:t>
      </w:r>
      <w:r>
        <w:rPr/>
        <w:t>net trade contribution in Q3. Over the forecast period, the high </w:t>
      </w:r>
      <w:r>
        <w:rPr>
          <w:spacing w:val="-3"/>
        </w:rPr>
        <w:t>level </w:t>
      </w:r>
      <w:r>
        <w:rPr/>
        <w:t>of sterling, if sustained, will put continued pressure on UK export competitiveness at a time when world output and trade growth are likely to be easing. In</w:t>
      </w:r>
    </w:p>
    <w:p>
      <w:pPr>
        <w:spacing w:after="0" w:line="242" w:lineRule="auto"/>
        <w:sectPr>
          <w:type w:val="continuous"/>
          <w:pgSz w:w="11900" w:h="16840"/>
          <w:pgMar w:top="1260" w:bottom="280" w:left="640" w:right="640"/>
          <w:cols w:num="2" w:equalWidth="0">
            <w:col w:w="4266" w:space="545"/>
            <w:col w:w="5809"/>
          </w:cols>
        </w:sectPr>
      </w:pPr>
    </w:p>
    <w:p>
      <w:pPr>
        <w:pStyle w:val="BodyText"/>
        <w:rPr>
          <w:sz w:val="16"/>
        </w:rPr>
      </w:pPr>
    </w:p>
    <w:p>
      <w:pPr>
        <w:pStyle w:val="BodyText"/>
        <w:rPr>
          <w:sz w:val="16"/>
        </w:rPr>
      </w:pPr>
    </w:p>
    <w:p>
      <w:pPr>
        <w:pStyle w:val="BodyText"/>
        <w:spacing w:before="5"/>
        <w:rPr>
          <w:sz w:val="21"/>
        </w:rPr>
      </w:pPr>
    </w:p>
    <w:p>
      <w:pPr>
        <w:spacing w:line="146" w:lineRule="exact" w:before="0"/>
        <w:ind w:left="190" w:right="0" w:firstLine="0"/>
        <w:jc w:val="left"/>
        <w:rPr>
          <w:sz w:val="14"/>
        </w:rPr>
      </w:pPr>
      <w:r>
        <w:rPr>
          <w:sz w:val="14"/>
        </w:rPr>
        <w:t>BCC export orders</w:t>
      </w:r>
    </w:p>
    <w:p>
      <w:pPr>
        <w:pStyle w:val="BodyText"/>
        <w:spacing w:before="5"/>
        <w:rPr>
          <w:sz w:val="13"/>
        </w:rPr>
      </w:pPr>
      <w:r>
        <w:rPr/>
        <w:br w:type="column"/>
      </w:r>
      <w:r>
        <w:rPr>
          <w:sz w:val="13"/>
        </w:rPr>
      </w:r>
    </w:p>
    <w:p>
      <w:pPr>
        <w:tabs>
          <w:tab w:pos="929" w:val="left" w:leader="none"/>
          <w:tab w:pos="1579" w:val="left" w:leader="none"/>
          <w:tab w:pos="1729" w:val="left" w:leader="none"/>
          <w:tab w:pos="2489" w:val="left" w:leader="none"/>
          <w:tab w:pos="2719" w:val="left" w:leader="none"/>
        </w:tabs>
        <w:spacing w:line="268" w:lineRule="auto" w:before="0"/>
        <w:ind w:left="190" w:right="38" w:firstLine="0"/>
        <w:jc w:val="left"/>
        <w:rPr>
          <w:sz w:val="14"/>
        </w:rPr>
      </w:pPr>
      <w:r>
        <w:rPr>
          <w:sz w:val="14"/>
        </w:rPr>
        <w:t>Series</w:t>
        <w:tab/>
      </w:r>
      <w:r>
        <w:rPr>
          <w:sz w:val="14"/>
          <w:u w:val="single"/>
        </w:rPr>
        <w:t> 1999</w:t>
        <w:tab/>
        <w:t> 2000</w:t>
        <w:tab/>
        <w:tab/>
      </w:r>
      <w:r>
        <w:rPr>
          <w:sz w:val="14"/>
        </w:rPr>
        <w:t> average </w:t>
      </w:r>
      <w:r>
        <w:rPr>
          <w:sz w:val="12"/>
        </w:rPr>
        <w:t>(b)   </w:t>
      </w:r>
      <w:r>
        <w:rPr>
          <w:spacing w:val="29"/>
          <w:sz w:val="12"/>
        </w:rPr>
        <w:t> </w:t>
      </w:r>
      <w:r>
        <w:rPr>
          <w:sz w:val="14"/>
        </w:rPr>
        <w:t>Q3    </w:t>
      </w:r>
      <w:r>
        <w:rPr>
          <w:spacing w:val="8"/>
          <w:sz w:val="14"/>
        </w:rPr>
        <w:t> </w:t>
      </w:r>
      <w:r>
        <w:rPr>
          <w:sz w:val="14"/>
        </w:rPr>
        <w:t>Q4</w:t>
        <w:tab/>
        <w:tab/>
        <w:t>Q1    </w:t>
      </w:r>
      <w:r>
        <w:rPr>
          <w:spacing w:val="21"/>
          <w:sz w:val="14"/>
        </w:rPr>
        <w:t> </w:t>
      </w:r>
      <w:r>
        <w:rPr>
          <w:sz w:val="14"/>
        </w:rPr>
        <w:t>Q2</w:t>
        <w:tab/>
        <w:t>Q3</w:t>
      </w:r>
    </w:p>
    <w:p>
      <w:pPr>
        <w:pStyle w:val="BodyText"/>
        <w:spacing w:before="5"/>
        <w:rPr>
          <w:sz w:val="2"/>
        </w:rPr>
      </w:pPr>
    </w:p>
    <w:p>
      <w:pPr>
        <w:pStyle w:val="BodyText"/>
        <w:spacing w:line="20" w:lineRule="exact"/>
        <w:ind w:left="153" w:right="-15"/>
        <w:rPr>
          <w:sz w:val="2"/>
        </w:rPr>
      </w:pPr>
      <w:r>
        <w:rPr>
          <w:sz w:val="2"/>
        </w:rPr>
        <w:pict>
          <v:group style="width:29.75pt;height:.15pt;mso-position-horizontal-relative:char;mso-position-vertical-relative:line" coordorigin="0,0" coordsize="595,3">
            <v:line style="position:absolute" from="0,1" to="594,1" stroked="true" strokeweight=".125pt" strokecolor="#000000">
              <v:stroke dashstyle="solid"/>
            </v:line>
          </v:group>
        </w:pict>
      </w:r>
      <w:r>
        <w:rPr>
          <w:sz w:val="2"/>
        </w:rPr>
      </w:r>
      <w:r>
        <w:rPr>
          <w:spacing w:val="156"/>
          <w:sz w:val="2"/>
        </w:rPr>
        <w:t> </w:t>
      </w:r>
      <w:r>
        <w:rPr>
          <w:spacing w:val="156"/>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pacing w:val="156"/>
          <w:sz w:val="2"/>
        </w:rPr>
      </w:r>
      <w:r>
        <w:rPr>
          <w:spacing w:val="72"/>
          <w:sz w:val="2"/>
        </w:rPr>
        <w:t> </w:t>
      </w:r>
      <w:r>
        <w:rPr>
          <w:spacing w:val="72"/>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pacing w:val="72"/>
          <w:sz w:val="2"/>
        </w:rPr>
      </w:r>
      <w:r>
        <w:rPr>
          <w:spacing w:val="132"/>
          <w:sz w:val="2"/>
        </w:rPr>
        <w:t> </w:t>
      </w:r>
      <w:r>
        <w:rPr>
          <w:spacing w:val="132"/>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pacing w:val="132"/>
          <w:sz w:val="2"/>
        </w:rPr>
      </w:r>
      <w:r>
        <w:rPr>
          <w:spacing w:val="78"/>
          <w:sz w:val="2"/>
        </w:rPr>
        <w:t> </w:t>
      </w:r>
      <w:r>
        <w:rPr>
          <w:spacing w:val="78"/>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pacing w:val="78"/>
          <w:sz w:val="2"/>
        </w:rPr>
      </w:r>
      <w:r>
        <w:rPr>
          <w:spacing w:val="72"/>
          <w:sz w:val="2"/>
        </w:rPr>
        <w:t> </w:t>
      </w:r>
      <w:r>
        <w:rPr>
          <w:spacing w:val="72"/>
          <w:sz w:val="2"/>
        </w:rPr>
        <w:pict>
          <v:group style="width:13pt;height:.15pt;mso-position-horizontal-relative:char;mso-position-vertical-relative:line" coordorigin="0,0" coordsize="260,3">
            <v:line style="position:absolute" from="0,1" to="260,1" stroked="true" strokeweight=".125pt" strokecolor="#000000">
              <v:stroke dashstyle="solid"/>
            </v:line>
          </v:group>
        </w:pict>
      </w:r>
      <w:r>
        <w:rPr>
          <w:spacing w:val="72"/>
          <w:sz w:val="2"/>
        </w:rPr>
      </w:r>
    </w:p>
    <w:p>
      <w:pPr>
        <w:pStyle w:val="BodyText"/>
        <w:spacing w:line="242" w:lineRule="auto"/>
        <w:ind w:left="190" w:right="398"/>
      </w:pPr>
      <w:r>
        <w:rPr/>
        <w:br w:type="column"/>
      </w:r>
      <w:r>
        <w:rPr/>
        <w:t>addition, the high level of sterling, together with above-trend growth in overall domestic demand in the</w:t>
      </w:r>
    </w:p>
    <w:p>
      <w:pPr>
        <w:pStyle w:val="BodyText"/>
        <w:spacing w:line="211" w:lineRule="exact"/>
        <w:ind w:left="190"/>
      </w:pPr>
      <w:r>
        <w:rPr/>
        <w:t>near term, will tend to support growth in import</w:t>
      </w:r>
    </w:p>
    <w:p>
      <w:pPr>
        <w:spacing w:after="0" w:line="211" w:lineRule="exact"/>
        <w:sectPr>
          <w:type w:val="continuous"/>
          <w:pgSz w:w="11900" w:h="16840"/>
          <w:pgMar w:top="1260" w:bottom="280" w:left="640" w:right="640"/>
          <w:cols w:num="3" w:equalWidth="0">
            <w:col w:w="1286" w:space="334"/>
            <w:col w:w="2761" w:space="415"/>
            <w:col w:w="5824"/>
          </w:cols>
        </w:sectPr>
      </w:pPr>
    </w:p>
    <w:p>
      <w:pPr>
        <w:tabs>
          <w:tab w:pos="2109" w:val="left" w:leader="none"/>
          <w:tab w:pos="2619" w:val="left" w:leader="none"/>
          <w:tab w:pos="3099" w:val="left" w:leader="none"/>
          <w:tab w:pos="3429" w:val="left" w:leader="none"/>
          <w:tab w:pos="3799" w:val="left" w:leader="none"/>
          <w:tab w:pos="4189" w:val="left" w:leader="none"/>
        </w:tabs>
        <w:spacing w:line="137" w:lineRule="exact" w:before="0"/>
        <w:ind w:left="430" w:right="0" w:firstLine="0"/>
        <w:jc w:val="left"/>
        <w:rPr>
          <w:sz w:val="14"/>
        </w:rPr>
      </w:pPr>
      <w:r>
        <w:rPr>
          <w:i/>
          <w:sz w:val="14"/>
        </w:rPr>
        <w:t>Services</w:t>
        <w:tab/>
      </w:r>
      <w:r>
        <w:rPr>
          <w:sz w:val="14"/>
        </w:rPr>
        <w:t>12</w:t>
        <w:tab/>
        <w:t>15</w:t>
        <w:tab/>
        <w:t>5</w:t>
        <w:tab/>
        <w:t>10</w:t>
        <w:tab/>
        <w:t>14</w:t>
        <w:tab/>
        <w:t>14</w:t>
      </w:r>
    </w:p>
    <w:p>
      <w:pPr>
        <w:tabs>
          <w:tab w:pos="2179" w:val="left" w:leader="none"/>
          <w:tab w:pos="2619" w:val="left" w:leader="none"/>
          <w:tab w:pos="3029" w:val="left" w:leader="none"/>
          <w:tab w:pos="3499" w:val="left" w:leader="none"/>
          <w:tab w:pos="3823" w:val="left" w:leader="none"/>
          <w:tab w:pos="4329" w:val="right" w:leader="none"/>
        </w:tabs>
        <w:spacing w:line="140" w:lineRule="exact" w:before="0"/>
        <w:ind w:left="430" w:right="0" w:firstLine="0"/>
        <w:jc w:val="left"/>
        <w:rPr>
          <w:sz w:val="14"/>
        </w:rPr>
      </w:pPr>
      <w:r>
        <w:rPr>
          <w:i/>
          <w:sz w:val="14"/>
        </w:rPr>
        <w:t>Manufacturing</w:t>
        <w:tab/>
      </w:r>
      <w:r>
        <w:rPr>
          <w:sz w:val="14"/>
        </w:rPr>
        <w:t>9</w:t>
        <w:tab/>
        <w:t>10</w:t>
        <w:tab/>
        <w:t>11</w:t>
        <w:tab/>
        <w:t>8</w:t>
        <w:tab/>
        <w:t>-7</w:t>
        <w:tab/>
        <w:t>7</w:t>
      </w:r>
    </w:p>
    <w:p>
      <w:pPr>
        <w:spacing w:line="140" w:lineRule="exact" w:before="0"/>
        <w:ind w:left="190" w:right="0" w:firstLine="0"/>
        <w:jc w:val="left"/>
        <w:rPr>
          <w:sz w:val="12"/>
        </w:rPr>
      </w:pPr>
      <w:r>
        <w:rPr>
          <w:sz w:val="14"/>
        </w:rPr>
        <w:t>CIPS export orders </w:t>
      </w:r>
      <w:r>
        <w:rPr>
          <w:sz w:val="12"/>
        </w:rPr>
        <w:t>(c)</w:t>
      </w:r>
    </w:p>
    <w:p>
      <w:pPr>
        <w:tabs>
          <w:tab w:pos="2004" w:val="left" w:leader="none"/>
          <w:tab w:pos="2514" w:val="left" w:leader="none"/>
          <w:tab w:pos="4329" w:val="right" w:leader="none"/>
        </w:tabs>
        <w:spacing w:line="140" w:lineRule="exact" w:before="0"/>
        <w:ind w:left="430" w:right="0" w:firstLine="0"/>
        <w:jc w:val="left"/>
        <w:rPr>
          <w:sz w:val="14"/>
        </w:rPr>
      </w:pPr>
      <w:r>
        <w:rPr>
          <w:i/>
          <w:sz w:val="14"/>
        </w:rPr>
        <w:t>Manufacturing</w:t>
        <w:tab/>
      </w:r>
      <w:r>
        <w:rPr>
          <w:sz w:val="14"/>
        </w:rPr>
        <w:t>49.6</w:t>
        <w:tab/>
        <w:t>54.7 53.0</w:t>
      </w:r>
      <w:r>
        <w:rPr>
          <w:spacing w:val="5"/>
          <w:sz w:val="14"/>
        </w:rPr>
        <w:t> </w:t>
      </w:r>
      <w:r>
        <w:rPr>
          <w:sz w:val="14"/>
        </w:rPr>
        <w:t>51.9</w:t>
      </w:r>
      <w:r>
        <w:rPr>
          <w:spacing w:val="20"/>
          <w:sz w:val="14"/>
        </w:rPr>
        <w:t> </w:t>
      </w:r>
      <w:r>
        <w:rPr>
          <w:sz w:val="14"/>
        </w:rPr>
        <w:t>48.5</w:t>
        <w:tab/>
        <w:t>51.2</w:t>
      </w:r>
    </w:p>
    <w:p>
      <w:pPr>
        <w:spacing w:line="140" w:lineRule="exact" w:before="0"/>
        <w:ind w:left="189" w:right="0" w:firstLine="0"/>
        <w:jc w:val="left"/>
        <w:rPr>
          <w:sz w:val="14"/>
        </w:rPr>
      </w:pPr>
      <w:r>
        <w:rPr>
          <w:sz w:val="14"/>
        </w:rPr>
        <w:t>CBI industrial trends</w:t>
      </w:r>
    </w:p>
    <w:p>
      <w:pPr>
        <w:tabs>
          <w:tab w:pos="2063" w:val="left" w:leader="none"/>
          <w:tab w:pos="2573" w:val="left" w:leader="none"/>
          <w:tab w:pos="3053" w:val="left" w:leader="none"/>
          <w:tab w:pos="3453" w:val="left" w:leader="none"/>
          <w:tab w:pos="4143" w:val="left" w:leader="none"/>
        </w:tabs>
        <w:spacing w:line="208" w:lineRule="auto" w:before="6"/>
        <w:ind w:left="189" w:right="38" w:firstLine="240"/>
        <w:jc w:val="left"/>
        <w:rPr>
          <w:sz w:val="14"/>
        </w:rPr>
      </w:pPr>
      <w:r>
        <w:rPr>
          <w:i/>
          <w:sz w:val="14"/>
        </w:rPr>
        <w:t>Export</w:t>
      </w:r>
      <w:r>
        <w:rPr>
          <w:i/>
          <w:spacing w:val="-6"/>
          <w:sz w:val="14"/>
        </w:rPr>
        <w:t> </w:t>
      </w:r>
      <w:r>
        <w:rPr>
          <w:i/>
          <w:sz w:val="14"/>
        </w:rPr>
        <w:t>orders</w:t>
        <w:tab/>
      </w:r>
      <w:r>
        <w:rPr>
          <w:sz w:val="14"/>
        </w:rPr>
        <w:t>-13</w:t>
        <w:tab/>
        <w:t>-14</w:t>
        <w:tab/>
        <w:t>-3</w:t>
        <w:tab/>
        <w:t>-8    </w:t>
      </w:r>
      <w:r>
        <w:rPr>
          <w:spacing w:val="6"/>
          <w:sz w:val="14"/>
        </w:rPr>
        <w:t> </w:t>
      </w:r>
      <w:r>
        <w:rPr>
          <w:sz w:val="14"/>
        </w:rPr>
        <w:t>-18</w:t>
        <w:tab/>
      </w:r>
      <w:r>
        <w:rPr>
          <w:spacing w:val="-6"/>
          <w:sz w:val="14"/>
        </w:rPr>
        <w:t>-11 </w:t>
      </w:r>
      <w:r>
        <w:rPr>
          <w:sz w:val="14"/>
        </w:rPr>
        <w:t>DHL manufacturing</w:t>
      </w:r>
      <w:r>
        <w:rPr>
          <w:spacing w:val="-3"/>
          <w:sz w:val="14"/>
        </w:rPr>
        <w:t> </w:t>
      </w:r>
      <w:r>
        <w:rPr>
          <w:sz w:val="14"/>
        </w:rPr>
        <w:t>export</w:t>
      </w:r>
    </w:p>
    <w:p>
      <w:pPr>
        <w:spacing w:line="144" w:lineRule="exact" w:before="0"/>
        <w:ind w:left="259" w:right="0" w:firstLine="0"/>
        <w:jc w:val="left"/>
        <w:rPr>
          <w:sz w:val="14"/>
        </w:rPr>
      </w:pPr>
      <w:r>
        <w:rPr>
          <w:sz w:val="14"/>
        </w:rPr>
        <w:t>indicator</w:t>
      </w:r>
    </w:p>
    <w:tbl>
      <w:tblPr>
        <w:tblW w:w="0" w:type="auto"/>
        <w:jc w:val="left"/>
        <w:tblInd w:w="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9"/>
        <w:gridCol w:w="506"/>
        <w:gridCol w:w="460"/>
        <w:gridCol w:w="405"/>
        <w:gridCol w:w="385"/>
        <w:gridCol w:w="380"/>
        <w:gridCol w:w="315"/>
      </w:tblGrid>
      <w:tr>
        <w:trPr>
          <w:trHeight w:val="147" w:hRule="atLeast"/>
        </w:trPr>
        <w:tc>
          <w:tcPr>
            <w:tcW w:w="1549" w:type="dxa"/>
          </w:tcPr>
          <w:p>
            <w:pPr>
              <w:pStyle w:val="TableParagraph"/>
              <w:spacing w:line="128" w:lineRule="exact"/>
              <w:ind w:left="50"/>
              <w:rPr>
                <w:i/>
                <w:sz w:val="14"/>
              </w:rPr>
            </w:pPr>
            <w:r>
              <w:rPr>
                <w:i/>
                <w:sz w:val="14"/>
              </w:rPr>
              <w:t>Export confidence, next</w:t>
            </w:r>
          </w:p>
        </w:tc>
        <w:tc>
          <w:tcPr>
            <w:tcW w:w="2451" w:type="dxa"/>
            <w:gridSpan w:val="6"/>
          </w:tcPr>
          <w:p>
            <w:pPr>
              <w:pStyle w:val="TableParagraph"/>
              <w:spacing w:line="240" w:lineRule="auto"/>
              <w:rPr>
                <w:sz w:val="8"/>
              </w:rPr>
            </w:pPr>
          </w:p>
        </w:tc>
      </w:tr>
      <w:tr>
        <w:trPr>
          <w:trHeight w:val="147" w:hRule="atLeast"/>
        </w:trPr>
        <w:tc>
          <w:tcPr>
            <w:tcW w:w="1549" w:type="dxa"/>
          </w:tcPr>
          <w:p>
            <w:pPr>
              <w:pStyle w:val="TableParagraph"/>
              <w:spacing w:line="128" w:lineRule="exact"/>
              <w:ind w:left="120"/>
              <w:rPr>
                <w:i/>
                <w:sz w:val="14"/>
              </w:rPr>
            </w:pPr>
            <w:r>
              <w:rPr>
                <w:i/>
                <w:sz w:val="14"/>
              </w:rPr>
              <w:t>three months</w:t>
            </w:r>
          </w:p>
        </w:tc>
        <w:tc>
          <w:tcPr>
            <w:tcW w:w="506" w:type="dxa"/>
          </w:tcPr>
          <w:p>
            <w:pPr>
              <w:pStyle w:val="TableParagraph"/>
              <w:spacing w:line="128" w:lineRule="exact"/>
              <w:ind w:left="161" w:right="164"/>
              <w:jc w:val="center"/>
              <w:rPr>
                <w:sz w:val="14"/>
              </w:rPr>
            </w:pPr>
            <w:r>
              <w:rPr>
                <w:sz w:val="14"/>
              </w:rPr>
              <w:t>32</w:t>
            </w:r>
          </w:p>
        </w:tc>
        <w:tc>
          <w:tcPr>
            <w:tcW w:w="460" w:type="dxa"/>
          </w:tcPr>
          <w:p>
            <w:pPr>
              <w:pStyle w:val="TableParagraph"/>
              <w:spacing w:line="128" w:lineRule="exact"/>
              <w:ind w:left="185"/>
              <w:rPr>
                <w:sz w:val="14"/>
              </w:rPr>
            </w:pPr>
            <w:r>
              <w:rPr>
                <w:sz w:val="14"/>
              </w:rPr>
              <w:t>29</w:t>
            </w:r>
          </w:p>
        </w:tc>
        <w:tc>
          <w:tcPr>
            <w:tcW w:w="405" w:type="dxa"/>
          </w:tcPr>
          <w:p>
            <w:pPr>
              <w:pStyle w:val="TableParagraph"/>
              <w:spacing w:line="128" w:lineRule="exact"/>
              <w:ind w:left="135"/>
              <w:rPr>
                <w:sz w:val="14"/>
              </w:rPr>
            </w:pPr>
            <w:r>
              <w:rPr>
                <w:sz w:val="14"/>
              </w:rPr>
              <w:t>28</w:t>
            </w:r>
          </w:p>
        </w:tc>
        <w:tc>
          <w:tcPr>
            <w:tcW w:w="385" w:type="dxa"/>
          </w:tcPr>
          <w:p>
            <w:pPr>
              <w:pStyle w:val="TableParagraph"/>
              <w:spacing w:line="128" w:lineRule="exact"/>
              <w:ind w:left="130"/>
              <w:rPr>
                <w:sz w:val="14"/>
              </w:rPr>
            </w:pPr>
            <w:r>
              <w:rPr>
                <w:sz w:val="14"/>
              </w:rPr>
              <w:t>38</w:t>
            </w:r>
          </w:p>
        </w:tc>
        <w:tc>
          <w:tcPr>
            <w:tcW w:w="380" w:type="dxa"/>
          </w:tcPr>
          <w:p>
            <w:pPr>
              <w:pStyle w:val="TableParagraph"/>
              <w:spacing w:line="128" w:lineRule="exact"/>
              <w:ind w:left="115"/>
              <w:rPr>
                <w:sz w:val="14"/>
              </w:rPr>
            </w:pPr>
            <w:r>
              <w:rPr>
                <w:sz w:val="14"/>
              </w:rPr>
              <w:t>34</w:t>
            </w:r>
          </w:p>
        </w:tc>
        <w:tc>
          <w:tcPr>
            <w:tcW w:w="315" w:type="dxa"/>
          </w:tcPr>
          <w:p>
            <w:pPr>
              <w:pStyle w:val="TableParagraph"/>
              <w:spacing w:line="128" w:lineRule="exact"/>
              <w:ind w:left="125"/>
              <w:rPr>
                <w:sz w:val="14"/>
              </w:rPr>
            </w:pPr>
            <w:r>
              <w:rPr>
                <w:sz w:val="14"/>
              </w:rPr>
              <w:t>34</w:t>
            </w:r>
          </w:p>
        </w:tc>
      </w:tr>
    </w:tbl>
    <w:p>
      <w:pPr>
        <w:spacing w:before="83"/>
        <w:ind w:left="190" w:right="0" w:firstLine="0"/>
        <w:jc w:val="left"/>
        <w:rPr>
          <w:sz w:val="12"/>
        </w:rPr>
      </w:pPr>
      <w:r>
        <w:rPr>
          <w:sz w:val="12"/>
        </w:rPr>
        <w:t>Sources: BCC, CIPS, CBI and DHL.</w:t>
      </w:r>
    </w:p>
    <w:p>
      <w:pPr>
        <w:pStyle w:val="BodyText"/>
        <w:spacing w:before="1"/>
        <w:rPr>
          <w:sz w:val="10"/>
        </w:rPr>
      </w:pPr>
    </w:p>
    <w:p>
      <w:pPr>
        <w:pStyle w:val="ListParagraph"/>
        <w:numPr>
          <w:ilvl w:val="0"/>
          <w:numId w:val="14"/>
        </w:numPr>
        <w:tabs>
          <w:tab w:pos="431" w:val="left" w:leader="none"/>
        </w:tabs>
        <w:spacing w:line="208" w:lineRule="auto" w:before="0" w:after="0"/>
        <w:ind w:left="429" w:right="280" w:hanging="240"/>
        <w:jc w:val="left"/>
        <w:rPr>
          <w:sz w:val="12"/>
        </w:rPr>
      </w:pPr>
      <w:r>
        <w:rPr>
          <w:sz w:val="12"/>
        </w:rPr>
        <w:t>Numbers reported are percentage balances of respondents reporting ‘higher’ relative to</w:t>
      </w:r>
      <w:r>
        <w:rPr>
          <w:spacing w:val="-2"/>
          <w:sz w:val="12"/>
        </w:rPr>
        <w:t> </w:t>
      </w:r>
      <w:r>
        <w:rPr>
          <w:sz w:val="12"/>
        </w:rPr>
        <w:t>‘lower’.</w:t>
      </w:r>
    </w:p>
    <w:p>
      <w:pPr>
        <w:pStyle w:val="ListParagraph"/>
        <w:numPr>
          <w:ilvl w:val="0"/>
          <w:numId w:val="14"/>
        </w:numPr>
        <w:tabs>
          <w:tab w:pos="431" w:val="left" w:leader="none"/>
        </w:tabs>
        <w:spacing w:line="114" w:lineRule="exact" w:before="0" w:after="0"/>
        <w:ind w:left="430" w:right="0" w:hanging="242"/>
        <w:jc w:val="left"/>
        <w:rPr>
          <w:sz w:val="12"/>
        </w:rPr>
      </w:pPr>
      <w:r>
        <w:rPr>
          <w:sz w:val="12"/>
        </w:rPr>
        <w:t>BCC since 1989; CIPS since 1996; CBI since 1975;</w:t>
      </w:r>
      <w:r>
        <w:rPr>
          <w:spacing w:val="1"/>
          <w:sz w:val="12"/>
        </w:rPr>
        <w:t> </w:t>
      </w:r>
      <w:r>
        <w:rPr>
          <w:sz w:val="12"/>
        </w:rPr>
        <w:t>DHL since 1993.</w:t>
      </w:r>
    </w:p>
    <w:p>
      <w:pPr>
        <w:pStyle w:val="ListParagraph"/>
        <w:numPr>
          <w:ilvl w:val="0"/>
          <w:numId w:val="14"/>
        </w:numPr>
        <w:tabs>
          <w:tab w:pos="431" w:val="left" w:leader="none"/>
        </w:tabs>
        <w:spacing w:line="208" w:lineRule="auto" w:before="6" w:after="0"/>
        <w:ind w:left="429" w:right="193" w:hanging="240"/>
        <w:jc w:val="left"/>
        <w:rPr>
          <w:sz w:val="12"/>
        </w:rPr>
      </w:pPr>
      <w:r>
        <w:rPr>
          <w:spacing w:val="-3"/>
          <w:sz w:val="12"/>
        </w:rPr>
        <w:t>Average </w:t>
      </w:r>
      <w:r>
        <w:rPr>
          <w:sz w:val="12"/>
        </w:rPr>
        <w:t>of seasonally adjusted monthly indices. A reading above 50 suggests expansion, a reading below 50 suggests</w:t>
      </w:r>
      <w:r>
        <w:rPr>
          <w:spacing w:val="-10"/>
          <w:sz w:val="12"/>
        </w:rPr>
        <w:t> </w:t>
      </w:r>
      <w:r>
        <w:rPr>
          <w:sz w:val="12"/>
        </w:rPr>
        <w:t>contraction.</w:t>
      </w:r>
    </w:p>
    <w:p>
      <w:pPr>
        <w:pStyle w:val="BodyText"/>
        <w:spacing w:line="242" w:lineRule="auto" w:before="61"/>
        <w:ind w:left="190" w:right="210"/>
        <w:jc w:val="both"/>
      </w:pPr>
      <w:r>
        <w:rPr/>
        <w:br w:type="column"/>
      </w:r>
      <w:r>
        <w:rPr/>
        <w:t>volumes. As such, the MPC continues to expect that net trade</w:t>
      </w:r>
      <w:r>
        <w:rPr>
          <w:spacing w:val="-7"/>
        </w:rPr>
        <w:t> </w:t>
      </w:r>
      <w:r>
        <w:rPr/>
        <w:t>will</w:t>
      </w:r>
      <w:r>
        <w:rPr>
          <w:spacing w:val="-6"/>
        </w:rPr>
        <w:t> </w:t>
      </w:r>
      <w:r>
        <w:rPr/>
        <w:t>exert</w:t>
      </w:r>
      <w:r>
        <w:rPr>
          <w:spacing w:val="-7"/>
        </w:rPr>
        <w:t> </w:t>
      </w:r>
      <w:r>
        <w:rPr/>
        <w:t>downward</w:t>
      </w:r>
      <w:r>
        <w:rPr>
          <w:spacing w:val="-6"/>
        </w:rPr>
        <w:t> </w:t>
      </w:r>
      <w:r>
        <w:rPr/>
        <w:t>pressure</w:t>
      </w:r>
      <w:r>
        <w:rPr>
          <w:spacing w:val="-7"/>
        </w:rPr>
        <w:t> </w:t>
      </w:r>
      <w:r>
        <w:rPr/>
        <w:t>on</w:t>
      </w:r>
      <w:r>
        <w:rPr>
          <w:spacing w:val="-6"/>
        </w:rPr>
        <w:t> </w:t>
      </w:r>
      <w:r>
        <w:rPr/>
        <w:t>GDP</w:t>
      </w:r>
      <w:r>
        <w:rPr>
          <w:spacing w:val="-6"/>
        </w:rPr>
        <w:t> </w:t>
      </w:r>
      <w:r>
        <w:rPr/>
        <w:t>growth</w:t>
      </w:r>
      <w:r>
        <w:rPr>
          <w:spacing w:val="-7"/>
        </w:rPr>
        <w:t> </w:t>
      </w:r>
      <w:r>
        <w:rPr>
          <w:spacing w:val="-3"/>
        </w:rPr>
        <w:t>over </w:t>
      </w:r>
      <w:r>
        <w:rPr/>
        <w:t>the forecast</w:t>
      </w:r>
      <w:r>
        <w:rPr>
          <w:spacing w:val="-3"/>
        </w:rPr>
        <w:t> </w:t>
      </w:r>
      <w:r>
        <w:rPr/>
        <w:t>period.</w:t>
      </w:r>
    </w:p>
    <w:p>
      <w:pPr>
        <w:pStyle w:val="BodyText"/>
        <w:spacing w:before="4"/>
        <w:rPr>
          <w:sz w:val="28"/>
        </w:rPr>
      </w:pPr>
    </w:p>
    <w:p>
      <w:pPr>
        <w:pStyle w:val="Heading4"/>
        <w:tabs>
          <w:tab w:pos="3331" w:val="left" w:leader="none"/>
        </w:tabs>
        <w:ind w:left="190"/>
        <w:jc w:val="both"/>
      </w:pPr>
      <w:r>
        <w:rPr>
          <w:color w:val="009391"/>
          <w:u w:val="thick" w:color="0092C7"/>
        </w:rPr>
        <w:t>2.2</w:t>
        <w:tab/>
        <w:t>Domestic</w:t>
      </w:r>
      <w:r>
        <w:rPr>
          <w:color w:val="009391"/>
          <w:spacing w:val="-3"/>
          <w:u w:val="thick" w:color="0092C7"/>
        </w:rPr>
        <w:t> </w:t>
      </w:r>
      <w:r>
        <w:rPr>
          <w:color w:val="009391"/>
          <w:u w:val="thick" w:color="0092C7"/>
        </w:rPr>
        <w:t>demand  </w:t>
      </w:r>
      <w:r>
        <w:rPr>
          <w:color w:val="009391"/>
          <w:spacing w:val="14"/>
          <w:u w:val="thick" w:color="0092C7"/>
        </w:rPr>
        <w:t> </w:t>
      </w:r>
    </w:p>
    <w:p>
      <w:pPr>
        <w:pStyle w:val="BodyText"/>
        <w:spacing w:line="242" w:lineRule="auto" w:before="264"/>
        <w:ind w:left="189" w:right="398"/>
      </w:pPr>
      <w:r>
        <w:rPr/>
        <w:t>Unusual patterns of spending around the millennium have clouded the underlying pace of demand growth (see Table 2.B). Final domestic demand—which excludes investment in inventories—grew by 0.9% in</w:t>
      </w:r>
    </w:p>
    <w:p>
      <w:pPr>
        <w:spacing w:after="0" w:line="242" w:lineRule="auto"/>
        <w:sectPr>
          <w:type w:val="continuous"/>
          <w:pgSz w:w="11900" w:h="16840"/>
          <w:pgMar w:top="1260" w:bottom="280" w:left="640" w:right="640"/>
          <w:cols w:num="2" w:equalWidth="0">
            <w:col w:w="4371" w:space="425"/>
            <w:col w:w="5824"/>
          </w:cols>
        </w:sectPr>
      </w:pPr>
    </w:p>
    <w:p>
      <w:pPr>
        <w:pStyle w:val="BodyText"/>
        <w:rPr>
          <w:sz w:val="20"/>
        </w:rPr>
      </w:pPr>
    </w:p>
    <w:p>
      <w:pPr>
        <w:spacing w:after="0"/>
        <w:rPr>
          <w:sz w:val="20"/>
        </w:rPr>
        <w:sectPr>
          <w:headerReference w:type="default" r:id="rId72"/>
          <w:headerReference w:type="even" r:id="rId73"/>
          <w:footerReference w:type="default" r:id="rId74"/>
          <w:footerReference w:type="even" r:id="rId75"/>
          <w:pgSz w:w="11900" w:h="16840"/>
          <w:pgMar w:header="601" w:footer="612" w:top="800" w:bottom="800" w:left="640" w:right="640"/>
          <w:pgNumType w:start="17"/>
        </w:sectPr>
      </w:pPr>
    </w:p>
    <w:p>
      <w:pPr>
        <w:pStyle w:val="BodyText"/>
        <w:rPr>
          <w:sz w:val="21"/>
        </w:rPr>
      </w:pPr>
    </w:p>
    <w:p>
      <w:pPr>
        <w:spacing w:before="0"/>
        <w:ind w:left="160" w:right="0" w:firstLine="0"/>
        <w:jc w:val="left"/>
        <w:rPr>
          <w:b/>
          <w:sz w:val="20"/>
        </w:rPr>
      </w:pPr>
      <w:bookmarkStart w:name="Consumption" w:id="34"/>
      <w:bookmarkEnd w:id="34"/>
      <w:r>
        <w:rPr/>
      </w:r>
      <w:bookmarkStart w:name="_bookmark13" w:id="35"/>
      <w:bookmarkEnd w:id="35"/>
      <w:r>
        <w:rPr/>
      </w:r>
      <w:r>
        <w:rPr>
          <w:b/>
          <w:color w:val="0092C7"/>
          <w:sz w:val="20"/>
        </w:rPr>
        <w:t>Table 2.B</w:t>
      </w:r>
    </w:p>
    <w:p>
      <w:pPr>
        <w:spacing w:before="10"/>
        <w:ind w:left="160" w:right="0" w:firstLine="0"/>
        <w:jc w:val="left"/>
        <w:rPr>
          <w:sz w:val="12"/>
        </w:rPr>
      </w:pPr>
      <w:r>
        <w:rPr>
          <w:b/>
          <w:color w:val="0092C7"/>
          <w:sz w:val="20"/>
        </w:rPr>
        <w:t>GDP and expenditure components</w:t>
      </w:r>
      <w:r>
        <w:rPr>
          <w:position w:val="4"/>
          <w:sz w:val="12"/>
        </w:rPr>
        <w:t>(a)</w:t>
      </w:r>
    </w:p>
    <w:p>
      <w:pPr>
        <w:spacing w:before="106"/>
        <w:ind w:left="160" w:right="0" w:firstLine="0"/>
        <w:jc w:val="left"/>
        <w:rPr>
          <w:sz w:val="14"/>
        </w:rPr>
      </w:pPr>
      <w:r>
        <w:rPr>
          <w:sz w:val="14"/>
        </w:rPr>
        <w:t>Percentage changes on previous quarter</w:t>
      </w:r>
    </w:p>
    <w:p>
      <w:pPr>
        <w:tabs>
          <w:tab w:pos="3559" w:val="left" w:leader="none"/>
          <w:tab w:pos="4335" w:val="left" w:leader="none"/>
        </w:tabs>
        <w:spacing w:line="150" w:lineRule="exact" w:before="119"/>
        <w:ind w:left="2339" w:right="0" w:firstLine="0"/>
        <w:jc w:val="left"/>
        <w:rPr>
          <w:sz w:val="14"/>
        </w:rPr>
      </w:pPr>
      <w:r>
        <w:rPr>
          <w:sz w:val="14"/>
          <w:u w:val="single"/>
        </w:rPr>
        <w:t>1999</w:t>
        <w:tab/>
        <w:t> 2000</w:t>
        <w:tab/>
      </w:r>
    </w:p>
    <w:p>
      <w:pPr>
        <w:spacing w:line="150" w:lineRule="exact" w:before="0"/>
        <w:ind w:left="2339" w:right="0" w:firstLine="0"/>
        <w:jc w:val="left"/>
        <w:rPr>
          <w:sz w:val="14"/>
        </w:rPr>
      </w:pPr>
      <w:r>
        <w:rPr>
          <w:sz w:val="14"/>
        </w:rPr>
        <w:t>Average</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93"/>
        <w:gridCol w:w="551"/>
        <w:gridCol w:w="384"/>
        <w:gridCol w:w="392"/>
        <w:gridCol w:w="407"/>
        <w:gridCol w:w="400"/>
      </w:tblGrid>
      <w:tr>
        <w:trPr>
          <w:trHeight w:val="427" w:hRule="atLeast"/>
        </w:trPr>
        <w:tc>
          <w:tcPr>
            <w:tcW w:w="2193" w:type="dxa"/>
          </w:tcPr>
          <w:p>
            <w:pPr>
              <w:pStyle w:val="TableParagraph"/>
              <w:spacing w:line="240" w:lineRule="auto" w:before="6"/>
              <w:rPr>
                <w:sz w:val="22"/>
              </w:rPr>
            </w:pPr>
          </w:p>
          <w:p>
            <w:pPr>
              <w:pStyle w:val="TableParagraph"/>
              <w:spacing w:line="148" w:lineRule="exact"/>
              <w:ind w:left="50"/>
              <w:rPr>
                <w:sz w:val="14"/>
              </w:rPr>
            </w:pPr>
            <w:r>
              <w:rPr>
                <w:sz w:val="14"/>
              </w:rPr>
              <w:t>Consumption:</w:t>
            </w:r>
          </w:p>
        </w:tc>
        <w:tc>
          <w:tcPr>
            <w:tcW w:w="551" w:type="dxa"/>
          </w:tcPr>
          <w:p>
            <w:pPr>
              <w:pStyle w:val="TableParagraph"/>
              <w:spacing w:line="140" w:lineRule="exact"/>
              <w:ind w:left="63" w:right="78"/>
              <w:jc w:val="center"/>
              <w:rPr>
                <w:sz w:val="14"/>
              </w:rPr>
            </w:pPr>
            <w:r>
              <w:rPr>
                <w:sz w:val="14"/>
                <w:u w:val="single"/>
              </w:rPr>
              <w:t>for H1 </w:t>
            </w:r>
          </w:p>
        </w:tc>
        <w:tc>
          <w:tcPr>
            <w:tcW w:w="384" w:type="dxa"/>
          </w:tcPr>
          <w:p>
            <w:pPr>
              <w:pStyle w:val="TableParagraph"/>
              <w:spacing w:line="140" w:lineRule="exact"/>
              <w:ind w:left="56"/>
              <w:rPr>
                <w:sz w:val="14"/>
              </w:rPr>
            </w:pPr>
            <w:r>
              <w:rPr>
                <w:sz w:val="14"/>
                <w:u w:val="single"/>
              </w:rPr>
              <w:t> Q3 </w:t>
            </w:r>
          </w:p>
        </w:tc>
        <w:tc>
          <w:tcPr>
            <w:tcW w:w="392" w:type="dxa"/>
          </w:tcPr>
          <w:p>
            <w:pPr>
              <w:pStyle w:val="TableParagraph"/>
              <w:spacing w:line="140" w:lineRule="exact"/>
              <w:ind w:left="51" w:right="4"/>
              <w:jc w:val="center"/>
              <w:rPr>
                <w:sz w:val="14"/>
              </w:rPr>
            </w:pPr>
            <w:r>
              <w:rPr>
                <w:sz w:val="14"/>
                <w:u w:val="single"/>
              </w:rPr>
              <w:t>Q4 </w:t>
            </w:r>
          </w:p>
        </w:tc>
        <w:tc>
          <w:tcPr>
            <w:tcW w:w="407" w:type="dxa"/>
          </w:tcPr>
          <w:p>
            <w:pPr>
              <w:pStyle w:val="TableParagraph"/>
              <w:spacing w:line="140" w:lineRule="exact"/>
              <w:ind w:left="95" w:right="31"/>
              <w:jc w:val="center"/>
              <w:rPr>
                <w:sz w:val="14"/>
              </w:rPr>
            </w:pPr>
            <w:r>
              <w:rPr>
                <w:sz w:val="14"/>
                <w:u w:val="single"/>
              </w:rPr>
              <w:t>Q1 </w:t>
            </w:r>
          </w:p>
        </w:tc>
        <w:tc>
          <w:tcPr>
            <w:tcW w:w="400" w:type="dxa"/>
          </w:tcPr>
          <w:p>
            <w:pPr>
              <w:pStyle w:val="TableParagraph"/>
              <w:spacing w:line="140" w:lineRule="exact"/>
              <w:ind w:left="113"/>
              <w:rPr>
                <w:sz w:val="14"/>
              </w:rPr>
            </w:pPr>
            <w:r>
              <w:rPr>
                <w:sz w:val="14"/>
                <w:u w:val="single"/>
              </w:rPr>
              <w:t>Q2 </w:t>
            </w:r>
          </w:p>
        </w:tc>
      </w:tr>
      <w:tr>
        <w:trPr>
          <w:trHeight w:val="140" w:hRule="atLeast"/>
        </w:trPr>
        <w:tc>
          <w:tcPr>
            <w:tcW w:w="2193" w:type="dxa"/>
          </w:tcPr>
          <w:p>
            <w:pPr>
              <w:pStyle w:val="TableParagraph"/>
              <w:ind w:left="169"/>
              <w:rPr>
                <w:sz w:val="14"/>
              </w:rPr>
            </w:pPr>
            <w:r>
              <w:rPr>
                <w:sz w:val="14"/>
              </w:rPr>
              <w:t>Households</w:t>
            </w:r>
          </w:p>
        </w:tc>
        <w:tc>
          <w:tcPr>
            <w:tcW w:w="551" w:type="dxa"/>
          </w:tcPr>
          <w:p>
            <w:pPr>
              <w:pStyle w:val="TableParagraph"/>
              <w:ind w:left="63" w:right="15"/>
              <w:jc w:val="center"/>
              <w:rPr>
                <w:sz w:val="14"/>
              </w:rPr>
            </w:pPr>
            <w:r>
              <w:rPr>
                <w:sz w:val="14"/>
              </w:rPr>
              <w:t>1.4</w:t>
            </w:r>
          </w:p>
        </w:tc>
        <w:tc>
          <w:tcPr>
            <w:tcW w:w="384" w:type="dxa"/>
          </w:tcPr>
          <w:p>
            <w:pPr>
              <w:pStyle w:val="TableParagraph"/>
              <w:ind w:left="91"/>
              <w:rPr>
                <w:sz w:val="14"/>
              </w:rPr>
            </w:pPr>
            <w:r>
              <w:rPr>
                <w:sz w:val="14"/>
              </w:rPr>
              <w:t>0.8</w:t>
            </w:r>
          </w:p>
        </w:tc>
        <w:tc>
          <w:tcPr>
            <w:tcW w:w="392" w:type="dxa"/>
          </w:tcPr>
          <w:p>
            <w:pPr>
              <w:pStyle w:val="TableParagraph"/>
              <w:ind w:left="51" w:right="34"/>
              <w:jc w:val="center"/>
              <w:rPr>
                <w:sz w:val="14"/>
              </w:rPr>
            </w:pPr>
            <w:r>
              <w:rPr>
                <w:sz w:val="14"/>
              </w:rPr>
              <w:t>1.5</w:t>
            </w:r>
          </w:p>
        </w:tc>
        <w:tc>
          <w:tcPr>
            <w:tcW w:w="407" w:type="dxa"/>
          </w:tcPr>
          <w:p>
            <w:pPr>
              <w:pStyle w:val="TableParagraph"/>
              <w:ind w:left="64" w:right="65"/>
              <w:jc w:val="center"/>
              <w:rPr>
                <w:sz w:val="14"/>
              </w:rPr>
            </w:pPr>
            <w:r>
              <w:rPr>
                <w:sz w:val="14"/>
              </w:rPr>
              <w:t>0.6</w:t>
            </w:r>
          </w:p>
        </w:tc>
        <w:tc>
          <w:tcPr>
            <w:tcW w:w="400" w:type="dxa"/>
          </w:tcPr>
          <w:p>
            <w:pPr>
              <w:pStyle w:val="TableParagraph"/>
              <w:ind w:left="98"/>
              <w:rPr>
                <w:sz w:val="14"/>
              </w:rPr>
            </w:pPr>
            <w:r>
              <w:rPr>
                <w:sz w:val="14"/>
              </w:rPr>
              <w:t>0.8</w:t>
            </w:r>
          </w:p>
        </w:tc>
      </w:tr>
      <w:tr>
        <w:trPr>
          <w:trHeight w:val="140" w:hRule="atLeast"/>
        </w:trPr>
        <w:tc>
          <w:tcPr>
            <w:tcW w:w="2193" w:type="dxa"/>
          </w:tcPr>
          <w:p>
            <w:pPr>
              <w:pStyle w:val="TableParagraph"/>
              <w:ind w:left="169"/>
              <w:rPr>
                <w:sz w:val="14"/>
              </w:rPr>
            </w:pPr>
            <w:r>
              <w:rPr>
                <w:sz w:val="14"/>
              </w:rPr>
              <w:t>Government</w:t>
            </w:r>
          </w:p>
        </w:tc>
        <w:tc>
          <w:tcPr>
            <w:tcW w:w="551" w:type="dxa"/>
          </w:tcPr>
          <w:p>
            <w:pPr>
              <w:pStyle w:val="TableParagraph"/>
              <w:ind w:left="63" w:right="15"/>
              <w:jc w:val="center"/>
              <w:rPr>
                <w:sz w:val="14"/>
              </w:rPr>
            </w:pPr>
            <w:r>
              <w:rPr>
                <w:sz w:val="14"/>
              </w:rPr>
              <w:t>1.1</w:t>
            </w:r>
          </w:p>
        </w:tc>
        <w:tc>
          <w:tcPr>
            <w:tcW w:w="384" w:type="dxa"/>
          </w:tcPr>
          <w:p>
            <w:pPr>
              <w:pStyle w:val="TableParagraph"/>
              <w:ind w:left="90"/>
              <w:rPr>
                <w:sz w:val="14"/>
              </w:rPr>
            </w:pPr>
            <w:r>
              <w:rPr>
                <w:sz w:val="14"/>
              </w:rPr>
              <w:t>0.0</w:t>
            </w:r>
          </w:p>
        </w:tc>
        <w:tc>
          <w:tcPr>
            <w:tcW w:w="392" w:type="dxa"/>
          </w:tcPr>
          <w:p>
            <w:pPr>
              <w:pStyle w:val="TableParagraph"/>
              <w:ind w:left="51" w:right="34"/>
              <w:jc w:val="center"/>
              <w:rPr>
                <w:sz w:val="14"/>
              </w:rPr>
            </w:pPr>
            <w:r>
              <w:rPr>
                <w:sz w:val="14"/>
              </w:rPr>
              <w:t>0.3</w:t>
            </w:r>
          </w:p>
        </w:tc>
        <w:tc>
          <w:tcPr>
            <w:tcW w:w="407" w:type="dxa"/>
          </w:tcPr>
          <w:p>
            <w:pPr>
              <w:pStyle w:val="TableParagraph"/>
              <w:ind w:left="19" w:right="65"/>
              <w:jc w:val="center"/>
              <w:rPr>
                <w:sz w:val="14"/>
              </w:rPr>
            </w:pPr>
            <w:r>
              <w:rPr>
                <w:sz w:val="14"/>
              </w:rPr>
              <w:t>-0.7</w:t>
            </w:r>
          </w:p>
        </w:tc>
        <w:tc>
          <w:tcPr>
            <w:tcW w:w="400" w:type="dxa"/>
          </w:tcPr>
          <w:p>
            <w:pPr>
              <w:pStyle w:val="TableParagraph"/>
              <w:ind w:left="98"/>
              <w:rPr>
                <w:sz w:val="14"/>
              </w:rPr>
            </w:pPr>
            <w:r>
              <w:rPr>
                <w:sz w:val="14"/>
              </w:rPr>
              <w:t>2.1</w:t>
            </w:r>
          </w:p>
        </w:tc>
      </w:tr>
      <w:tr>
        <w:trPr>
          <w:trHeight w:val="140" w:hRule="atLeast"/>
        </w:trPr>
        <w:tc>
          <w:tcPr>
            <w:tcW w:w="2193" w:type="dxa"/>
          </w:tcPr>
          <w:p>
            <w:pPr>
              <w:pStyle w:val="TableParagraph"/>
              <w:ind w:left="50"/>
              <w:rPr>
                <w:sz w:val="14"/>
              </w:rPr>
            </w:pPr>
            <w:r>
              <w:rPr>
                <w:sz w:val="14"/>
              </w:rPr>
              <w:t>Investment</w:t>
            </w:r>
          </w:p>
        </w:tc>
        <w:tc>
          <w:tcPr>
            <w:tcW w:w="551" w:type="dxa"/>
          </w:tcPr>
          <w:p>
            <w:pPr>
              <w:pStyle w:val="TableParagraph"/>
              <w:ind w:left="63" w:right="16"/>
              <w:jc w:val="center"/>
              <w:rPr>
                <w:sz w:val="14"/>
              </w:rPr>
            </w:pPr>
            <w:r>
              <w:rPr>
                <w:sz w:val="14"/>
              </w:rPr>
              <w:t>1.8</w:t>
            </w:r>
          </w:p>
        </w:tc>
        <w:tc>
          <w:tcPr>
            <w:tcW w:w="384" w:type="dxa"/>
          </w:tcPr>
          <w:p>
            <w:pPr>
              <w:pStyle w:val="TableParagraph"/>
              <w:ind w:left="90"/>
              <w:rPr>
                <w:sz w:val="14"/>
              </w:rPr>
            </w:pPr>
            <w:r>
              <w:rPr>
                <w:sz w:val="14"/>
              </w:rPr>
              <w:t>0.6</w:t>
            </w:r>
          </w:p>
        </w:tc>
        <w:tc>
          <w:tcPr>
            <w:tcW w:w="392" w:type="dxa"/>
          </w:tcPr>
          <w:p>
            <w:pPr>
              <w:pStyle w:val="TableParagraph"/>
              <w:ind w:left="51" w:right="35"/>
              <w:jc w:val="center"/>
              <w:rPr>
                <w:sz w:val="14"/>
              </w:rPr>
            </w:pPr>
            <w:r>
              <w:rPr>
                <w:sz w:val="14"/>
              </w:rPr>
              <w:t>1.1</w:t>
            </w:r>
          </w:p>
        </w:tc>
        <w:tc>
          <w:tcPr>
            <w:tcW w:w="407" w:type="dxa"/>
          </w:tcPr>
          <w:p>
            <w:pPr>
              <w:pStyle w:val="TableParagraph"/>
              <w:ind w:left="19" w:right="65"/>
              <w:jc w:val="center"/>
              <w:rPr>
                <w:sz w:val="14"/>
              </w:rPr>
            </w:pPr>
            <w:r>
              <w:rPr>
                <w:sz w:val="14"/>
              </w:rPr>
              <w:t>-0.8</w:t>
            </w:r>
          </w:p>
        </w:tc>
        <w:tc>
          <w:tcPr>
            <w:tcW w:w="400" w:type="dxa"/>
          </w:tcPr>
          <w:p>
            <w:pPr>
              <w:pStyle w:val="TableParagraph"/>
              <w:ind w:left="97"/>
              <w:rPr>
                <w:sz w:val="14"/>
              </w:rPr>
            </w:pPr>
            <w:r>
              <w:rPr>
                <w:sz w:val="14"/>
              </w:rPr>
              <w:t>0.9</w:t>
            </w:r>
          </w:p>
        </w:tc>
      </w:tr>
      <w:tr>
        <w:trPr>
          <w:trHeight w:val="140" w:hRule="atLeast"/>
        </w:trPr>
        <w:tc>
          <w:tcPr>
            <w:tcW w:w="2193" w:type="dxa"/>
          </w:tcPr>
          <w:p>
            <w:pPr>
              <w:pStyle w:val="TableParagraph"/>
              <w:ind w:left="169"/>
              <w:rPr>
                <w:i/>
                <w:sz w:val="14"/>
              </w:rPr>
            </w:pPr>
            <w:r>
              <w:rPr>
                <w:i/>
                <w:sz w:val="14"/>
              </w:rPr>
              <w:t>of which, business investment</w:t>
            </w:r>
          </w:p>
        </w:tc>
        <w:tc>
          <w:tcPr>
            <w:tcW w:w="551" w:type="dxa"/>
          </w:tcPr>
          <w:p>
            <w:pPr>
              <w:pStyle w:val="TableParagraph"/>
              <w:ind w:left="63" w:right="16"/>
              <w:jc w:val="center"/>
              <w:rPr>
                <w:i/>
                <w:sz w:val="14"/>
              </w:rPr>
            </w:pPr>
            <w:r>
              <w:rPr>
                <w:i/>
                <w:sz w:val="14"/>
              </w:rPr>
              <w:t>2.0</w:t>
            </w:r>
          </w:p>
        </w:tc>
        <w:tc>
          <w:tcPr>
            <w:tcW w:w="384" w:type="dxa"/>
          </w:tcPr>
          <w:p>
            <w:pPr>
              <w:pStyle w:val="TableParagraph"/>
              <w:ind w:left="90"/>
              <w:rPr>
                <w:i/>
                <w:sz w:val="14"/>
              </w:rPr>
            </w:pPr>
            <w:r>
              <w:rPr>
                <w:i/>
                <w:sz w:val="14"/>
              </w:rPr>
              <w:t>0.1</w:t>
            </w:r>
          </w:p>
        </w:tc>
        <w:tc>
          <w:tcPr>
            <w:tcW w:w="392" w:type="dxa"/>
          </w:tcPr>
          <w:p>
            <w:pPr>
              <w:pStyle w:val="TableParagraph"/>
              <w:ind w:left="51" w:right="35"/>
              <w:jc w:val="center"/>
              <w:rPr>
                <w:i/>
                <w:sz w:val="14"/>
              </w:rPr>
            </w:pPr>
            <w:r>
              <w:rPr>
                <w:i/>
                <w:sz w:val="14"/>
              </w:rPr>
              <w:t>1.0</w:t>
            </w:r>
          </w:p>
        </w:tc>
        <w:tc>
          <w:tcPr>
            <w:tcW w:w="407" w:type="dxa"/>
          </w:tcPr>
          <w:p>
            <w:pPr>
              <w:pStyle w:val="TableParagraph"/>
              <w:ind w:left="18" w:right="65"/>
              <w:jc w:val="center"/>
              <w:rPr>
                <w:i/>
                <w:sz w:val="14"/>
              </w:rPr>
            </w:pPr>
            <w:r>
              <w:rPr>
                <w:i/>
                <w:sz w:val="14"/>
              </w:rPr>
              <w:t>-0.1</w:t>
            </w:r>
          </w:p>
        </w:tc>
        <w:tc>
          <w:tcPr>
            <w:tcW w:w="400" w:type="dxa"/>
          </w:tcPr>
          <w:p>
            <w:pPr>
              <w:pStyle w:val="TableParagraph"/>
              <w:ind w:left="97"/>
              <w:rPr>
                <w:i/>
                <w:sz w:val="14"/>
              </w:rPr>
            </w:pPr>
            <w:r>
              <w:rPr>
                <w:i/>
                <w:sz w:val="14"/>
              </w:rPr>
              <w:t>0.5</w:t>
            </w:r>
          </w:p>
        </w:tc>
      </w:tr>
      <w:tr>
        <w:trPr>
          <w:trHeight w:val="140" w:hRule="atLeast"/>
        </w:trPr>
        <w:tc>
          <w:tcPr>
            <w:tcW w:w="2193" w:type="dxa"/>
          </w:tcPr>
          <w:p>
            <w:pPr>
              <w:pStyle w:val="TableParagraph"/>
              <w:ind w:left="50"/>
              <w:rPr>
                <w:b/>
                <w:sz w:val="14"/>
              </w:rPr>
            </w:pPr>
            <w:r>
              <w:rPr>
                <w:b/>
                <w:sz w:val="14"/>
              </w:rPr>
              <w:t>Final domestic demand</w:t>
            </w:r>
          </w:p>
        </w:tc>
        <w:tc>
          <w:tcPr>
            <w:tcW w:w="551" w:type="dxa"/>
          </w:tcPr>
          <w:p>
            <w:pPr>
              <w:pStyle w:val="TableParagraph"/>
              <w:ind w:left="63" w:right="16"/>
              <w:jc w:val="center"/>
              <w:rPr>
                <w:b/>
                <w:sz w:val="14"/>
              </w:rPr>
            </w:pPr>
            <w:r>
              <w:rPr>
                <w:b/>
                <w:sz w:val="14"/>
              </w:rPr>
              <w:t>1.4</w:t>
            </w:r>
          </w:p>
        </w:tc>
        <w:tc>
          <w:tcPr>
            <w:tcW w:w="384" w:type="dxa"/>
          </w:tcPr>
          <w:p>
            <w:pPr>
              <w:pStyle w:val="TableParagraph"/>
              <w:ind w:left="90"/>
              <w:rPr>
                <w:b/>
                <w:sz w:val="14"/>
              </w:rPr>
            </w:pPr>
            <w:r>
              <w:rPr>
                <w:b/>
                <w:sz w:val="14"/>
              </w:rPr>
              <w:t>0.5</w:t>
            </w:r>
          </w:p>
        </w:tc>
        <w:tc>
          <w:tcPr>
            <w:tcW w:w="392" w:type="dxa"/>
          </w:tcPr>
          <w:p>
            <w:pPr>
              <w:pStyle w:val="TableParagraph"/>
              <w:ind w:left="51" w:right="35"/>
              <w:jc w:val="center"/>
              <w:rPr>
                <w:b/>
                <w:sz w:val="14"/>
              </w:rPr>
            </w:pPr>
            <w:r>
              <w:rPr>
                <w:b/>
                <w:sz w:val="14"/>
              </w:rPr>
              <w:t>1.3</w:t>
            </w:r>
          </w:p>
        </w:tc>
        <w:tc>
          <w:tcPr>
            <w:tcW w:w="407" w:type="dxa"/>
          </w:tcPr>
          <w:p>
            <w:pPr>
              <w:pStyle w:val="TableParagraph"/>
              <w:ind w:left="65" w:right="65"/>
              <w:jc w:val="center"/>
              <w:rPr>
                <w:b/>
                <w:sz w:val="14"/>
              </w:rPr>
            </w:pPr>
            <w:r>
              <w:rPr>
                <w:b/>
                <w:sz w:val="14"/>
              </w:rPr>
              <w:t>0.1</w:t>
            </w:r>
          </w:p>
        </w:tc>
        <w:tc>
          <w:tcPr>
            <w:tcW w:w="400" w:type="dxa"/>
          </w:tcPr>
          <w:p>
            <w:pPr>
              <w:pStyle w:val="TableParagraph"/>
              <w:ind w:left="97"/>
              <w:rPr>
                <w:b/>
                <w:sz w:val="14"/>
              </w:rPr>
            </w:pPr>
            <w:r>
              <w:rPr>
                <w:b/>
                <w:sz w:val="14"/>
              </w:rPr>
              <w:t>0.9</w:t>
            </w:r>
          </w:p>
        </w:tc>
      </w:tr>
      <w:tr>
        <w:trPr>
          <w:trHeight w:val="140" w:hRule="atLeast"/>
        </w:trPr>
        <w:tc>
          <w:tcPr>
            <w:tcW w:w="2193" w:type="dxa"/>
          </w:tcPr>
          <w:p>
            <w:pPr>
              <w:pStyle w:val="TableParagraph"/>
              <w:ind w:left="50"/>
              <w:rPr>
                <w:sz w:val="12"/>
              </w:rPr>
            </w:pPr>
            <w:r>
              <w:rPr>
                <w:sz w:val="14"/>
              </w:rPr>
              <w:t>Change in inventories </w:t>
            </w:r>
            <w:r>
              <w:rPr>
                <w:sz w:val="12"/>
              </w:rPr>
              <w:t>(b)</w:t>
            </w:r>
          </w:p>
        </w:tc>
        <w:tc>
          <w:tcPr>
            <w:tcW w:w="551" w:type="dxa"/>
          </w:tcPr>
          <w:p>
            <w:pPr>
              <w:pStyle w:val="TableParagraph"/>
              <w:ind w:left="63" w:right="62"/>
              <w:jc w:val="center"/>
              <w:rPr>
                <w:sz w:val="14"/>
              </w:rPr>
            </w:pPr>
            <w:r>
              <w:rPr>
                <w:sz w:val="14"/>
              </w:rPr>
              <w:t>-0.7</w:t>
            </w:r>
          </w:p>
        </w:tc>
        <w:tc>
          <w:tcPr>
            <w:tcW w:w="384" w:type="dxa"/>
          </w:tcPr>
          <w:p>
            <w:pPr>
              <w:pStyle w:val="TableParagraph"/>
              <w:ind w:left="91"/>
              <w:rPr>
                <w:sz w:val="14"/>
              </w:rPr>
            </w:pPr>
            <w:r>
              <w:rPr>
                <w:sz w:val="14"/>
              </w:rPr>
              <w:t>0.4</w:t>
            </w:r>
          </w:p>
        </w:tc>
        <w:tc>
          <w:tcPr>
            <w:tcW w:w="392" w:type="dxa"/>
          </w:tcPr>
          <w:p>
            <w:pPr>
              <w:pStyle w:val="TableParagraph"/>
              <w:ind w:left="51" w:right="34"/>
              <w:jc w:val="center"/>
              <w:rPr>
                <w:sz w:val="14"/>
              </w:rPr>
            </w:pPr>
            <w:r>
              <w:rPr>
                <w:sz w:val="14"/>
              </w:rPr>
              <w:t>0.5</w:t>
            </w:r>
          </w:p>
        </w:tc>
        <w:tc>
          <w:tcPr>
            <w:tcW w:w="407" w:type="dxa"/>
          </w:tcPr>
          <w:p>
            <w:pPr>
              <w:pStyle w:val="TableParagraph"/>
              <w:ind w:left="64" w:right="65"/>
              <w:jc w:val="center"/>
              <w:rPr>
                <w:sz w:val="14"/>
              </w:rPr>
            </w:pPr>
            <w:r>
              <w:rPr>
                <w:sz w:val="14"/>
              </w:rPr>
              <w:t>0.1</w:t>
            </w:r>
          </w:p>
        </w:tc>
        <w:tc>
          <w:tcPr>
            <w:tcW w:w="400" w:type="dxa"/>
          </w:tcPr>
          <w:p>
            <w:pPr>
              <w:pStyle w:val="TableParagraph"/>
              <w:ind w:left="98"/>
              <w:rPr>
                <w:sz w:val="14"/>
              </w:rPr>
            </w:pPr>
            <w:r>
              <w:rPr>
                <w:sz w:val="14"/>
              </w:rPr>
              <w:t>0.1</w:t>
            </w:r>
          </w:p>
        </w:tc>
      </w:tr>
      <w:tr>
        <w:trPr>
          <w:trHeight w:val="147" w:hRule="atLeast"/>
        </w:trPr>
        <w:tc>
          <w:tcPr>
            <w:tcW w:w="2193" w:type="dxa"/>
          </w:tcPr>
          <w:p>
            <w:pPr>
              <w:pStyle w:val="TableParagraph"/>
              <w:spacing w:line="128" w:lineRule="exact"/>
              <w:ind w:left="170"/>
              <w:rPr>
                <w:sz w:val="12"/>
              </w:rPr>
            </w:pPr>
            <w:r>
              <w:rPr>
                <w:i/>
                <w:sz w:val="14"/>
              </w:rPr>
              <w:t>Excluding alignment adjustment </w:t>
            </w:r>
            <w:r>
              <w:rPr>
                <w:sz w:val="12"/>
              </w:rPr>
              <w:t>(b)</w:t>
            </w:r>
          </w:p>
        </w:tc>
        <w:tc>
          <w:tcPr>
            <w:tcW w:w="551" w:type="dxa"/>
          </w:tcPr>
          <w:p>
            <w:pPr>
              <w:pStyle w:val="TableParagraph"/>
              <w:spacing w:line="128" w:lineRule="exact"/>
              <w:ind w:left="63" w:right="62"/>
              <w:jc w:val="center"/>
              <w:rPr>
                <w:i/>
                <w:sz w:val="14"/>
              </w:rPr>
            </w:pPr>
            <w:r>
              <w:rPr>
                <w:i/>
                <w:sz w:val="14"/>
              </w:rPr>
              <w:t>-0.5</w:t>
            </w:r>
          </w:p>
        </w:tc>
        <w:tc>
          <w:tcPr>
            <w:tcW w:w="384" w:type="dxa"/>
          </w:tcPr>
          <w:p>
            <w:pPr>
              <w:pStyle w:val="TableParagraph"/>
              <w:spacing w:line="128" w:lineRule="exact"/>
              <w:ind w:left="90"/>
              <w:rPr>
                <w:i/>
                <w:sz w:val="14"/>
              </w:rPr>
            </w:pPr>
            <w:r>
              <w:rPr>
                <w:i/>
                <w:sz w:val="14"/>
              </w:rPr>
              <w:t>0.5</w:t>
            </w:r>
          </w:p>
        </w:tc>
        <w:tc>
          <w:tcPr>
            <w:tcW w:w="392" w:type="dxa"/>
          </w:tcPr>
          <w:p>
            <w:pPr>
              <w:pStyle w:val="TableParagraph"/>
              <w:spacing w:line="128" w:lineRule="exact"/>
              <w:ind w:left="39" w:right="66"/>
              <w:jc w:val="center"/>
              <w:rPr>
                <w:i/>
                <w:sz w:val="14"/>
              </w:rPr>
            </w:pPr>
            <w:r>
              <w:rPr>
                <w:i/>
                <w:sz w:val="14"/>
              </w:rPr>
              <w:t>-0.3</w:t>
            </w:r>
          </w:p>
        </w:tc>
        <w:tc>
          <w:tcPr>
            <w:tcW w:w="407" w:type="dxa"/>
          </w:tcPr>
          <w:p>
            <w:pPr>
              <w:pStyle w:val="TableParagraph"/>
              <w:spacing w:line="128" w:lineRule="exact"/>
              <w:ind w:left="65" w:right="65"/>
              <w:jc w:val="center"/>
              <w:rPr>
                <w:i/>
                <w:sz w:val="14"/>
              </w:rPr>
            </w:pPr>
            <w:r>
              <w:rPr>
                <w:i/>
                <w:sz w:val="14"/>
              </w:rPr>
              <w:t>0.9</w:t>
            </w:r>
          </w:p>
        </w:tc>
        <w:tc>
          <w:tcPr>
            <w:tcW w:w="400" w:type="dxa"/>
          </w:tcPr>
          <w:p>
            <w:pPr>
              <w:pStyle w:val="TableParagraph"/>
              <w:spacing w:line="128" w:lineRule="exact"/>
              <w:ind w:left="51"/>
              <w:rPr>
                <w:i/>
                <w:sz w:val="14"/>
              </w:rPr>
            </w:pPr>
            <w:r>
              <w:rPr>
                <w:i/>
                <w:sz w:val="14"/>
              </w:rPr>
              <w:t>-0.7</w:t>
            </w:r>
          </w:p>
        </w:tc>
      </w:tr>
      <w:tr>
        <w:trPr>
          <w:trHeight w:val="132" w:hRule="atLeast"/>
        </w:trPr>
        <w:tc>
          <w:tcPr>
            <w:tcW w:w="2193" w:type="dxa"/>
          </w:tcPr>
          <w:p>
            <w:pPr>
              <w:pStyle w:val="TableParagraph"/>
              <w:spacing w:line="128" w:lineRule="exact"/>
              <w:ind w:left="50"/>
              <w:rPr>
                <w:b/>
                <w:sz w:val="14"/>
              </w:rPr>
            </w:pPr>
            <w:r>
              <w:rPr>
                <w:b/>
                <w:sz w:val="14"/>
              </w:rPr>
              <w:t>Domestic demand</w:t>
            </w:r>
          </w:p>
        </w:tc>
        <w:tc>
          <w:tcPr>
            <w:tcW w:w="551" w:type="dxa"/>
          </w:tcPr>
          <w:p>
            <w:pPr>
              <w:pStyle w:val="TableParagraph"/>
              <w:spacing w:line="128" w:lineRule="exact"/>
              <w:ind w:left="63" w:right="15"/>
              <w:jc w:val="center"/>
              <w:rPr>
                <w:b/>
                <w:sz w:val="14"/>
              </w:rPr>
            </w:pPr>
            <w:r>
              <w:rPr>
                <w:b/>
                <w:sz w:val="14"/>
              </w:rPr>
              <w:t>0.7</w:t>
            </w:r>
          </w:p>
        </w:tc>
        <w:tc>
          <w:tcPr>
            <w:tcW w:w="384" w:type="dxa"/>
          </w:tcPr>
          <w:p>
            <w:pPr>
              <w:pStyle w:val="TableParagraph"/>
              <w:spacing w:line="128" w:lineRule="exact"/>
              <w:ind w:left="91"/>
              <w:rPr>
                <w:b/>
                <w:sz w:val="14"/>
              </w:rPr>
            </w:pPr>
            <w:r>
              <w:rPr>
                <w:b/>
                <w:sz w:val="14"/>
              </w:rPr>
              <w:t>0.9</w:t>
            </w:r>
          </w:p>
        </w:tc>
        <w:tc>
          <w:tcPr>
            <w:tcW w:w="392" w:type="dxa"/>
          </w:tcPr>
          <w:p>
            <w:pPr>
              <w:pStyle w:val="TableParagraph"/>
              <w:spacing w:line="128" w:lineRule="exact"/>
              <w:ind w:left="51" w:right="35"/>
              <w:jc w:val="center"/>
              <w:rPr>
                <w:b/>
                <w:sz w:val="14"/>
              </w:rPr>
            </w:pPr>
            <w:r>
              <w:rPr>
                <w:b/>
                <w:sz w:val="14"/>
              </w:rPr>
              <w:t>1.8</w:t>
            </w:r>
          </w:p>
        </w:tc>
        <w:tc>
          <w:tcPr>
            <w:tcW w:w="407" w:type="dxa"/>
          </w:tcPr>
          <w:p>
            <w:pPr>
              <w:pStyle w:val="TableParagraph"/>
              <w:spacing w:line="128" w:lineRule="exact"/>
              <w:ind w:left="65" w:right="65"/>
              <w:jc w:val="center"/>
              <w:rPr>
                <w:b/>
                <w:sz w:val="14"/>
              </w:rPr>
            </w:pPr>
            <w:r>
              <w:rPr>
                <w:b/>
                <w:sz w:val="14"/>
              </w:rPr>
              <w:t>0.2</w:t>
            </w:r>
          </w:p>
        </w:tc>
        <w:tc>
          <w:tcPr>
            <w:tcW w:w="400" w:type="dxa"/>
          </w:tcPr>
          <w:p>
            <w:pPr>
              <w:pStyle w:val="TableParagraph"/>
              <w:spacing w:line="128" w:lineRule="exact"/>
              <w:ind w:left="97"/>
              <w:rPr>
                <w:b/>
                <w:sz w:val="14"/>
              </w:rPr>
            </w:pPr>
            <w:r>
              <w:rPr>
                <w:b/>
                <w:sz w:val="14"/>
              </w:rPr>
              <w:t>1.0</w:t>
            </w:r>
          </w:p>
        </w:tc>
      </w:tr>
      <w:tr>
        <w:trPr>
          <w:trHeight w:val="140" w:hRule="atLeast"/>
        </w:trPr>
        <w:tc>
          <w:tcPr>
            <w:tcW w:w="2193" w:type="dxa"/>
          </w:tcPr>
          <w:p>
            <w:pPr>
              <w:pStyle w:val="TableParagraph"/>
              <w:ind w:left="50"/>
              <w:rPr>
                <w:sz w:val="12"/>
              </w:rPr>
            </w:pPr>
            <w:r>
              <w:rPr>
                <w:sz w:val="14"/>
              </w:rPr>
              <w:t>Net trade </w:t>
            </w:r>
            <w:r>
              <w:rPr>
                <w:sz w:val="12"/>
              </w:rPr>
              <w:t>(b)</w:t>
            </w:r>
          </w:p>
        </w:tc>
        <w:tc>
          <w:tcPr>
            <w:tcW w:w="551" w:type="dxa"/>
          </w:tcPr>
          <w:p>
            <w:pPr>
              <w:pStyle w:val="TableParagraph"/>
              <w:ind w:left="63" w:right="62"/>
              <w:jc w:val="center"/>
              <w:rPr>
                <w:sz w:val="14"/>
              </w:rPr>
            </w:pPr>
            <w:r>
              <w:rPr>
                <w:sz w:val="14"/>
              </w:rPr>
              <w:t>-0.1</w:t>
            </w:r>
          </w:p>
        </w:tc>
        <w:tc>
          <w:tcPr>
            <w:tcW w:w="384" w:type="dxa"/>
          </w:tcPr>
          <w:p>
            <w:pPr>
              <w:pStyle w:val="TableParagraph"/>
              <w:ind w:left="90"/>
              <w:rPr>
                <w:sz w:val="14"/>
              </w:rPr>
            </w:pPr>
            <w:r>
              <w:rPr>
                <w:sz w:val="14"/>
              </w:rPr>
              <w:t>0.0</w:t>
            </w:r>
          </w:p>
        </w:tc>
        <w:tc>
          <w:tcPr>
            <w:tcW w:w="392" w:type="dxa"/>
          </w:tcPr>
          <w:p>
            <w:pPr>
              <w:pStyle w:val="TableParagraph"/>
              <w:ind w:left="39" w:right="66"/>
              <w:jc w:val="center"/>
              <w:rPr>
                <w:sz w:val="14"/>
              </w:rPr>
            </w:pPr>
            <w:r>
              <w:rPr>
                <w:sz w:val="14"/>
              </w:rPr>
              <w:t>-1.2</w:t>
            </w:r>
          </w:p>
        </w:tc>
        <w:tc>
          <w:tcPr>
            <w:tcW w:w="407" w:type="dxa"/>
          </w:tcPr>
          <w:p>
            <w:pPr>
              <w:pStyle w:val="TableParagraph"/>
              <w:ind w:left="65" w:right="65"/>
              <w:jc w:val="center"/>
              <w:rPr>
                <w:sz w:val="14"/>
              </w:rPr>
            </w:pPr>
            <w:r>
              <w:rPr>
                <w:sz w:val="14"/>
              </w:rPr>
              <w:t>0.3</w:t>
            </w:r>
          </w:p>
        </w:tc>
        <w:tc>
          <w:tcPr>
            <w:tcW w:w="400" w:type="dxa"/>
          </w:tcPr>
          <w:p>
            <w:pPr>
              <w:pStyle w:val="TableParagraph"/>
              <w:ind w:left="51"/>
              <w:rPr>
                <w:sz w:val="14"/>
              </w:rPr>
            </w:pPr>
            <w:r>
              <w:rPr>
                <w:sz w:val="14"/>
              </w:rPr>
              <w:t>-0.2</w:t>
            </w:r>
          </w:p>
        </w:tc>
      </w:tr>
      <w:tr>
        <w:trPr>
          <w:trHeight w:val="147" w:hRule="atLeast"/>
        </w:trPr>
        <w:tc>
          <w:tcPr>
            <w:tcW w:w="2193" w:type="dxa"/>
          </w:tcPr>
          <w:p>
            <w:pPr>
              <w:pStyle w:val="TableParagraph"/>
              <w:spacing w:line="128" w:lineRule="exact"/>
              <w:ind w:left="50"/>
              <w:rPr>
                <w:b/>
                <w:sz w:val="14"/>
              </w:rPr>
            </w:pPr>
            <w:r>
              <w:rPr>
                <w:b/>
                <w:sz w:val="14"/>
              </w:rPr>
              <w:t>GDP at market prices</w:t>
            </w:r>
          </w:p>
        </w:tc>
        <w:tc>
          <w:tcPr>
            <w:tcW w:w="551" w:type="dxa"/>
          </w:tcPr>
          <w:p>
            <w:pPr>
              <w:pStyle w:val="TableParagraph"/>
              <w:spacing w:line="128" w:lineRule="exact"/>
              <w:ind w:left="63" w:right="16"/>
              <w:jc w:val="center"/>
              <w:rPr>
                <w:b/>
                <w:sz w:val="14"/>
              </w:rPr>
            </w:pPr>
            <w:r>
              <w:rPr>
                <w:b/>
                <w:sz w:val="14"/>
              </w:rPr>
              <w:t>0.6</w:t>
            </w:r>
          </w:p>
        </w:tc>
        <w:tc>
          <w:tcPr>
            <w:tcW w:w="384" w:type="dxa"/>
          </w:tcPr>
          <w:p>
            <w:pPr>
              <w:pStyle w:val="TableParagraph"/>
              <w:spacing w:line="128" w:lineRule="exact"/>
              <w:ind w:left="90"/>
              <w:rPr>
                <w:b/>
                <w:sz w:val="14"/>
              </w:rPr>
            </w:pPr>
            <w:r>
              <w:rPr>
                <w:b/>
                <w:sz w:val="14"/>
              </w:rPr>
              <w:t>1.0</w:t>
            </w:r>
          </w:p>
        </w:tc>
        <w:tc>
          <w:tcPr>
            <w:tcW w:w="392" w:type="dxa"/>
          </w:tcPr>
          <w:p>
            <w:pPr>
              <w:pStyle w:val="TableParagraph"/>
              <w:spacing w:line="128" w:lineRule="exact"/>
              <w:ind w:left="51" w:right="35"/>
              <w:jc w:val="center"/>
              <w:rPr>
                <w:b/>
                <w:sz w:val="14"/>
              </w:rPr>
            </w:pPr>
            <w:r>
              <w:rPr>
                <w:b/>
                <w:sz w:val="14"/>
              </w:rPr>
              <w:t>0.7</w:t>
            </w:r>
          </w:p>
        </w:tc>
        <w:tc>
          <w:tcPr>
            <w:tcW w:w="407" w:type="dxa"/>
          </w:tcPr>
          <w:p>
            <w:pPr>
              <w:pStyle w:val="TableParagraph"/>
              <w:spacing w:line="128" w:lineRule="exact"/>
              <w:ind w:left="65" w:right="65"/>
              <w:jc w:val="center"/>
              <w:rPr>
                <w:b/>
                <w:sz w:val="14"/>
              </w:rPr>
            </w:pPr>
            <w:r>
              <w:rPr>
                <w:b/>
                <w:sz w:val="14"/>
              </w:rPr>
              <w:t>0.5</w:t>
            </w:r>
          </w:p>
        </w:tc>
        <w:tc>
          <w:tcPr>
            <w:tcW w:w="400" w:type="dxa"/>
          </w:tcPr>
          <w:p>
            <w:pPr>
              <w:pStyle w:val="TableParagraph"/>
              <w:spacing w:line="128" w:lineRule="exact"/>
              <w:ind w:left="97"/>
              <w:rPr>
                <w:b/>
                <w:sz w:val="14"/>
              </w:rPr>
            </w:pPr>
            <w:r>
              <w:rPr>
                <w:b/>
                <w:sz w:val="14"/>
              </w:rPr>
              <w:t>0.9</w:t>
            </w:r>
          </w:p>
        </w:tc>
      </w:tr>
    </w:tbl>
    <w:p>
      <w:pPr>
        <w:pStyle w:val="ListParagraph"/>
        <w:numPr>
          <w:ilvl w:val="0"/>
          <w:numId w:val="15"/>
        </w:numPr>
        <w:tabs>
          <w:tab w:pos="401" w:val="left" w:leader="none"/>
        </w:tabs>
        <w:spacing w:line="129" w:lineRule="exact" w:before="103" w:after="0"/>
        <w:ind w:left="400" w:right="0" w:hanging="241"/>
        <w:jc w:val="left"/>
        <w:rPr>
          <w:sz w:val="12"/>
        </w:rPr>
      </w:pPr>
      <w:r>
        <w:rPr>
          <w:sz w:val="12"/>
        </w:rPr>
        <w:t>At constant 1995 market</w:t>
      </w:r>
      <w:r>
        <w:rPr>
          <w:spacing w:val="-6"/>
          <w:sz w:val="12"/>
        </w:rPr>
        <w:t> </w:t>
      </w:r>
      <w:r>
        <w:rPr>
          <w:sz w:val="12"/>
        </w:rPr>
        <w:t>prices.</w:t>
      </w:r>
    </w:p>
    <w:p>
      <w:pPr>
        <w:pStyle w:val="ListParagraph"/>
        <w:numPr>
          <w:ilvl w:val="0"/>
          <w:numId w:val="15"/>
        </w:numPr>
        <w:tabs>
          <w:tab w:pos="401" w:val="left" w:leader="none"/>
        </w:tabs>
        <w:spacing w:line="129" w:lineRule="exact" w:before="0" w:after="0"/>
        <w:ind w:left="400" w:right="0" w:hanging="241"/>
        <w:jc w:val="left"/>
        <w:rPr>
          <w:sz w:val="12"/>
        </w:rPr>
      </w:pPr>
      <w:r>
        <w:rPr>
          <w:sz w:val="12"/>
        </w:rPr>
        <w:t>Percentage point contribution to quarterly growth of</w:t>
      </w:r>
      <w:r>
        <w:rPr>
          <w:spacing w:val="-14"/>
          <w:sz w:val="12"/>
        </w:rPr>
        <w:t> </w:t>
      </w:r>
      <w:r>
        <w:rPr>
          <w:spacing w:val="-4"/>
          <w:sz w:val="12"/>
        </w:rPr>
        <w:t>GDP.</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5"/>
        <w:ind w:left="174" w:right="0" w:firstLine="0"/>
        <w:jc w:val="left"/>
        <w:rPr>
          <w:b/>
          <w:sz w:val="20"/>
        </w:rPr>
      </w:pPr>
      <w:r>
        <w:rPr>
          <w:b/>
          <w:color w:val="0092C7"/>
          <w:sz w:val="20"/>
        </w:rPr>
        <w:t>Chart 2.4</w:t>
      </w:r>
    </w:p>
    <w:p>
      <w:pPr>
        <w:spacing w:before="10"/>
        <w:ind w:left="174" w:right="0" w:firstLine="0"/>
        <w:jc w:val="left"/>
        <w:rPr>
          <w:sz w:val="12"/>
        </w:rPr>
      </w:pPr>
      <w:r>
        <w:rPr>
          <w:b/>
          <w:color w:val="0092C7"/>
          <w:sz w:val="20"/>
        </w:rPr>
        <w:t>Household consumption expenditure growth</w:t>
      </w:r>
      <w:r>
        <w:rPr>
          <w:position w:val="4"/>
          <w:sz w:val="12"/>
        </w:rPr>
        <w:t>(a)</w:t>
      </w:r>
    </w:p>
    <w:p>
      <w:pPr>
        <w:pStyle w:val="BodyText"/>
        <w:spacing w:line="242" w:lineRule="auto" w:before="232"/>
        <w:ind w:left="160" w:right="162"/>
      </w:pPr>
      <w:r>
        <w:rPr/>
        <w:br w:type="column"/>
      </w:r>
      <w:r>
        <w:rPr/>
        <w:t>2000 Q2. The recovery in Q2, following weak growth of 0.1% in Q1, reflected stronger household consumption growth, rising investment and a pick-up in public sector spending. Abstracting from recent erratic quarterly growth rates, final domestic demand growth seems to have eased somewhat relative to 1999 H1 before the millennium distortions. Nevertheless, somewhat stronger-than-expected recent consumption growth and rising public sector spending growth suggest that domestic demand is likely to remain relatively robust over the forecast period.</w:t>
      </w:r>
    </w:p>
    <w:p>
      <w:pPr>
        <w:pStyle w:val="BodyText"/>
        <w:spacing w:before="6"/>
        <w:rPr>
          <w:sz w:val="25"/>
        </w:rPr>
      </w:pPr>
    </w:p>
    <w:p>
      <w:pPr>
        <w:spacing w:before="1"/>
        <w:ind w:left="160" w:right="0" w:firstLine="0"/>
        <w:jc w:val="left"/>
        <w:rPr>
          <w:i/>
          <w:sz w:val="24"/>
        </w:rPr>
      </w:pPr>
      <w:r>
        <w:rPr>
          <w:i/>
          <w:color w:val="009391"/>
          <w:sz w:val="24"/>
        </w:rPr>
        <w:t>Consumption</w:t>
      </w:r>
    </w:p>
    <w:p>
      <w:pPr>
        <w:pStyle w:val="BodyText"/>
        <w:spacing w:line="242" w:lineRule="auto" w:before="164"/>
        <w:ind w:left="160" w:right="479"/>
      </w:pPr>
      <w:r>
        <w:rPr/>
        <w:t>Consumer spending growth picked up to 0.8% in 2000 Q2, although the pace of growth so far this year</w:t>
      </w:r>
    </w:p>
    <w:p>
      <w:pPr>
        <w:pStyle w:val="BodyText"/>
        <w:spacing w:line="242" w:lineRule="auto" w:before="2"/>
        <w:ind w:left="160" w:right="162"/>
      </w:pPr>
      <w:r>
        <w:rPr/>
        <w:t>remains somewhat below rates seen in 1999. Growth in spending on services recovered to 0.7% from sluggish growth in Q1. In addition, higher spending on</w:t>
      </w:r>
    </w:p>
    <w:p>
      <w:pPr>
        <w:spacing w:after="0" w:line="242" w:lineRule="auto"/>
        <w:sectPr>
          <w:type w:val="continuous"/>
          <w:pgSz w:w="11900" w:h="16840"/>
          <w:pgMar w:top="1260" w:bottom="280" w:left="640" w:right="640"/>
          <w:cols w:num="2" w:equalWidth="0">
            <w:col w:w="4376" w:space="438"/>
            <w:col w:w="5806"/>
          </w:cols>
        </w:sectPr>
      </w:pPr>
    </w:p>
    <w:p>
      <w:pPr>
        <w:spacing w:line="268" w:lineRule="auto" w:before="90"/>
        <w:ind w:left="397" w:right="0" w:firstLine="0"/>
        <w:jc w:val="left"/>
        <w:rPr>
          <w:sz w:val="12"/>
        </w:rPr>
      </w:pPr>
      <w:r>
        <w:rPr/>
        <w:pict>
          <v:group style="position:absolute;margin-left:41.735001pt;margin-top:3.756724pt;width:8.4pt;height:19.8pt;mso-position-horizontal-relative:page;mso-position-vertical-relative:paragraph;z-index:15848960" coordorigin="835,75" coordsize="168,396">
            <v:shape style="position:absolute;left:834;top:75;width:162;height:313" type="#_x0000_t75" stroked="false">
              <v:imagedata r:id="rId76" o:title=""/>
            </v:shape>
            <v:line style="position:absolute" from="835,460" to="1002,460" stroked="true" strokeweight="1pt" strokecolor="#de0035">
              <v:stroke dashstyle="solid"/>
            </v:line>
            <w10:wrap type="none"/>
          </v:group>
        </w:pict>
      </w:r>
      <w:r>
        <w:rPr>
          <w:sz w:val="12"/>
        </w:rPr>
        <w:t>Non-durable goods Non-vehicle durables Total consumption</w:t>
      </w:r>
    </w:p>
    <w:p>
      <w:pPr>
        <w:pStyle w:val="BodyText"/>
        <w:spacing w:before="5" w:after="40"/>
        <w:rPr>
          <w:sz w:val="13"/>
        </w:rPr>
      </w:pPr>
    </w:p>
    <w:p>
      <w:pPr>
        <w:pStyle w:val="BodyText"/>
        <w:spacing w:line="20" w:lineRule="exact"/>
        <w:ind w:left="18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6"/>
      </w:pPr>
      <w:r>
        <w:rPr/>
        <w:pict>
          <v:shape style="position:absolute;margin-left:41.735001pt;margin-top:16.325977pt;width:4.350pt;height:.1pt;mso-position-horizontal-relative:page;mso-position-vertical-relative:paragraph;z-index:-15614976;mso-wrap-distance-left:0;mso-wrap-distance-right:0" coordorigin="835,327" coordsize="87,0" path="m835,327l921,327e" filled="false" stroked="true" strokeweight=".5pt" strokecolor="#000000">
            <v:path arrowok="t"/>
            <v:stroke dashstyle="solid"/>
            <w10:wrap type="topAndBottom"/>
          </v:shape>
        </w:pict>
      </w:r>
    </w:p>
    <w:p>
      <w:pPr>
        <w:pStyle w:val="BodyText"/>
        <w:rPr>
          <w:sz w:val="20"/>
        </w:rPr>
      </w:pPr>
    </w:p>
    <w:p>
      <w:pPr>
        <w:pStyle w:val="BodyText"/>
        <w:spacing w:before="10"/>
        <w:rPr>
          <w:sz w:val="22"/>
        </w:rPr>
      </w:pPr>
      <w:r>
        <w:rPr/>
        <w:pict>
          <v:shape style="position:absolute;margin-left:41.735001pt;margin-top:15.375977pt;width:4.350pt;height:.1pt;mso-position-horizontal-relative:page;mso-position-vertical-relative:paragraph;z-index:-15614464;mso-wrap-distance-left:0;mso-wrap-distance-right:0" coordorigin="835,308" coordsize="87,0" path="m835,308l921,308e" filled="false" stroked="true" strokeweight=".5pt" strokecolor="#000000">
            <v:path arrowok="t"/>
            <v:stroke dashstyle="solid"/>
            <w10:wrap type="topAndBottom"/>
          </v:shape>
        </w:pict>
      </w:r>
    </w:p>
    <w:p>
      <w:pPr>
        <w:spacing w:line="264" w:lineRule="auto" w:before="90"/>
        <w:ind w:left="278" w:right="1486" w:firstLine="9"/>
        <w:jc w:val="left"/>
        <w:rPr>
          <w:sz w:val="12"/>
        </w:rPr>
      </w:pPr>
      <w:r>
        <w:rPr/>
        <w:br w:type="column"/>
      </w:r>
      <w:r>
        <w:rPr>
          <w:sz w:val="12"/>
        </w:rPr>
        <w:t>Services Vehicles</w:t>
      </w:r>
    </w:p>
    <w:p>
      <w:pPr>
        <w:spacing w:line="129" w:lineRule="exact" w:before="74"/>
        <w:ind w:left="371" w:right="0" w:firstLine="0"/>
        <w:jc w:val="left"/>
        <w:rPr>
          <w:sz w:val="12"/>
        </w:rPr>
      </w:pPr>
      <w:r>
        <w:rPr/>
        <w:drawing>
          <wp:anchor distT="0" distB="0" distL="0" distR="0" allowOverlap="1" layoutInCell="1" locked="0" behindDoc="0" simplePos="0" relativeHeight="15849472">
            <wp:simplePos x="0" y="0"/>
            <wp:positionH relativeFrom="page">
              <wp:posOffset>1387716</wp:posOffset>
            </wp:positionH>
            <wp:positionV relativeFrom="paragraph">
              <wp:posOffset>-202205</wp:posOffset>
            </wp:positionV>
            <wp:extent cx="102273" cy="198170"/>
            <wp:effectExtent l="0" t="0" r="0" b="0"/>
            <wp:wrapNone/>
            <wp:docPr id="117" name="image37.png"/>
            <wp:cNvGraphicFramePr>
              <a:graphicFrameLocks noChangeAspect="1"/>
            </wp:cNvGraphicFramePr>
            <a:graphic>
              <a:graphicData uri="http://schemas.openxmlformats.org/drawingml/2006/picture">
                <pic:pic>
                  <pic:nvPicPr>
                    <pic:cNvPr id="118" name="image37.png"/>
                    <pic:cNvPicPr/>
                  </pic:nvPicPr>
                  <pic:blipFill>
                    <a:blip r:embed="rId77" cstate="print"/>
                    <a:stretch>
                      <a:fillRect/>
                    </a:stretch>
                  </pic:blipFill>
                  <pic:spPr>
                    <a:xfrm>
                      <a:off x="0" y="0"/>
                      <a:ext cx="102273" cy="198170"/>
                    </a:xfrm>
                    <a:prstGeom prst="rect">
                      <a:avLst/>
                    </a:prstGeom>
                  </pic:spPr>
                </pic:pic>
              </a:graphicData>
            </a:graphic>
          </wp:anchor>
        </w:drawing>
      </w:r>
      <w:r>
        <w:rPr>
          <w:sz w:val="12"/>
        </w:rPr>
        <w:t>Contribution to quarterly growth,</w:t>
      </w:r>
    </w:p>
    <w:p>
      <w:pPr>
        <w:spacing w:line="218" w:lineRule="auto" w:before="0"/>
        <w:ind w:left="1128" w:right="0" w:firstLine="0"/>
        <w:jc w:val="left"/>
        <w:rPr>
          <w:sz w:val="12"/>
        </w:rPr>
      </w:pPr>
      <w:r>
        <w:rPr/>
        <w:pict>
          <v:line style="position:absolute;mso-position-horizontal-relative:page;mso-position-vertical-relative:paragraph;z-index:-22804480" from="199.600006pt,7.944779pt" to="203.934006pt,7.944779pt" stroked="true" strokeweight=".5pt" strokecolor="#000000">
            <v:stroke dashstyle="solid"/>
            <w10:wrap type="none"/>
          </v:line>
        </w:pict>
      </w:r>
      <w:r>
        <w:rPr>
          <w:sz w:val="12"/>
        </w:rPr>
        <w:t>percentage points</w:t>
      </w:r>
      <w:r>
        <w:rPr>
          <w:spacing w:val="12"/>
          <w:sz w:val="12"/>
        </w:rPr>
        <w:t> </w:t>
      </w:r>
      <w:r>
        <w:rPr>
          <w:position w:val="-7"/>
          <w:sz w:val="12"/>
        </w:rPr>
        <w:t>2.0</w:t>
      </w:r>
    </w:p>
    <w:p>
      <w:pPr>
        <w:pStyle w:val="BodyText"/>
        <w:rPr>
          <w:sz w:val="20"/>
        </w:rPr>
      </w:pPr>
    </w:p>
    <w:p>
      <w:pPr>
        <w:pStyle w:val="BodyText"/>
        <w:spacing w:before="8"/>
        <w:rPr>
          <w:sz w:val="17"/>
        </w:rPr>
      </w:pPr>
    </w:p>
    <w:p>
      <w:pPr>
        <w:spacing w:before="0"/>
        <w:ind w:left="2013" w:right="0" w:firstLine="0"/>
        <w:jc w:val="left"/>
        <w:rPr>
          <w:sz w:val="12"/>
        </w:rPr>
      </w:pPr>
      <w:r>
        <w:rPr/>
        <w:pict>
          <v:group style="position:absolute;margin-left:50.448002pt;margin-top:-6.857452pt;width:145.65pt;height:114pt;mso-position-horizontal-relative:page;mso-position-vertical-relative:paragraph;z-index:15844864" coordorigin="1009,-137" coordsize="2913,2280">
            <v:line style="position:absolute" from="1009,1808" to="3922,1808" stroked="true" strokeweight=".5pt" strokecolor="#000000">
              <v:stroke dashstyle="solid"/>
            </v:line>
            <v:rect style="position:absolute;left:1900;top:880;width:75;height:928" filled="true" fillcolor="#f6bd61" stroked="false">
              <v:fill type="solid"/>
            </v:rect>
            <v:rect style="position:absolute;left:1900;top:880;width:75;height:928" filled="false" stroked="true" strokeweight=".5pt" strokecolor="#000000">
              <v:stroke dashstyle="solid"/>
            </v:rect>
            <v:rect style="position:absolute;left:1900;top:705;width:75;height:178" filled="true" fillcolor="#c0a2c7" stroked="false">
              <v:fill type="solid"/>
            </v:rect>
            <v:rect style="position:absolute;left:1900;top:705;width:75;height:178" filled="false" stroked="true" strokeweight=".5pt" strokecolor="#000000">
              <v:stroke dashstyle="solid"/>
            </v:rect>
            <v:rect style="position:absolute;left:1900;top:550;width:75;height:158" filled="true" fillcolor="#acbc4a" stroked="false">
              <v:fill type="solid"/>
            </v:rect>
            <v:rect style="position:absolute;left:1900;top:550;width:75;height:158" filled="false" stroked="true" strokeweight=".5pt" strokecolor="#000000">
              <v:stroke dashstyle="solid"/>
            </v:rect>
            <v:rect style="position:absolute;left:2949;top:1680;width:75;height:128" filled="true" fillcolor="#f6bd61" stroked="false">
              <v:fill type="solid"/>
            </v:rect>
            <v:rect style="position:absolute;left:2949;top:1680;width:75;height:128" filled="false" stroked="true" strokeweight=".5pt" strokecolor="#000000">
              <v:stroke dashstyle="solid"/>
            </v:rect>
            <v:rect style="position:absolute;left:2949;top:1460;width:75;height:223" filled="true" fillcolor="#c0a2c7" stroked="false">
              <v:fill type="solid"/>
            </v:rect>
            <v:rect style="position:absolute;left:2949;top:1460;width:75;height:223" filled="false" stroked="true" strokeweight=".5pt" strokecolor="#000000">
              <v:stroke dashstyle="solid"/>
            </v:rect>
            <v:rect style="position:absolute;left:2949;top:627;width:75;height:835" filled="true" fillcolor="#acbc4a" stroked="false">
              <v:fill type="solid"/>
            </v:rect>
            <v:rect style="position:absolute;left:2949;top:627;width:75;height:835" filled="false" stroked="true" strokeweight=".5pt" strokecolor="#000000">
              <v:stroke dashstyle="solid"/>
            </v:rect>
            <v:rect style="position:absolute;left:1062;top:1207;width:75;height:600" filled="true" fillcolor="#f6bd61" stroked="false">
              <v:fill type="solid"/>
            </v:rect>
            <v:rect style="position:absolute;left:1062;top:1207;width:75;height:600" filled="false" stroked="true" strokeweight=".5pt" strokecolor="#000000">
              <v:stroke dashstyle="solid"/>
            </v:rect>
            <v:rect style="position:absolute;left:1062;top:910;width:75;height:300" filled="true" fillcolor="#c0a2c7" stroked="false">
              <v:fill type="solid"/>
            </v:rect>
            <v:rect style="position:absolute;left:1062;top:910;width:75;height:300" filled="false" stroked="true" strokeweight=".5pt" strokecolor="#000000">
              <v:stroke dashstyle="solid"/>
            </v:rect>
            <v:rect style="position:absolute;left:1062;top:642;width:75;height:270" filled="true" fillcolor="#acbc4a" stroked="false">
              <v:fill type="solid"/>
            </v:rect>
            <v:rect style="position:absolute;left:1062;top:642;width:75;height:270" filled="false" stroked="true" strokeweight=".5pt" strokecolor="#000000">
              <v:stroke dashstyle="solid"/>
            </v:rect>
            <v:rect style="position:absolute;left:1062;top:1805;width:75;height:285" filled="true" fillcolor="#610e7a" stroked="false">
              <v:fill type="solid"/>
            </v:rect>
            <v:rect style="position:absolute;left:1062;top:1805;width:75;height:285" filled="false" stroked="true" strokeweight=".5pt" strokecolor="#000000">
              <v:stroke dashstyle="solid"/>
            </v:rect>
            <v:rect style="position:absolute;left:1272;top:1020;width:75;height:788" filled="true" fillcolor="#f6bd61" stroked="false">
              <v:fill type="solid"/>
            </v:rect>
            <v:rect style="position:absolute;left:1272;top:1020;width:75;height:788" filled="false" stroked="true" strokeweight=".5pt" strokecolor="#000000">
              <v:stroke dashstyle="solid"/>
            </v:rect>
            <v:rect style="position:absolute;left:1272;top:752;width:75;height:270" filled="true" fillcolor="#c0a2c7" stroked="false">
              <v:fill type="solid"/>
            </v:rect>
            <v:rect style="position:absolute;left:1272;top:752;width:75;height:270" filled="false" stroked="true" strokeweight=".5pt" strokecolor="#000000">
              <v:stroke dashstyle="solid"/>
            </v:rect>
            <v:rect style="position:absolute;left:1272;top:595;width:75;height:160" filled="true" fillcolor="#acbc4a" stroked="false">
              <v:fill type="solid"/>
            </v:rect>
            <v:rect style="position:absolute;left:1272;top:595;width:75;height:160" filled="false" stroked="true" strokeweight=".5pt" strokecolor="#000000">
              <v:stroke dashstyle="solid"/>
            </v:rect>
            <v:rect style="position:absolute;left:1272;top:0;width:75;height:598" filled="true" fillcolor="#610e7a" stroked="false">
              <v:fill type="solid"/>
            </v:rect>
            <v:rect style="position:absolute;left:1272;top:0;width:75;height:598" filled="false" stroked="true" strokeweight=".5pt" strokecolor="#000000">
              <v:stroke dashstyle="solid"/>
            </v:rect>
            <v:rect style="position:absolute;left:1486;top:1272;width:65;height:535" filled="true" fillcolor="#f6bd61" stroked="false">
              <v:fill type="solid"/>
            </v:rect>
            <v:rect style="position:absolute;left:1486;top:1272;width:65;height:535" filled="false" stroked="true" strokeweight=".5pt" strokecolor="#000000">
              <v:stroke dashstyle="solid"/>
            </v:rect>
            <v:rect style="position:absolute;left:1486;top:1130;width:65;height:145" filled="true" fillcolor="#c0a2c7" stroked="false">
              <v:fill type="solid"/>
            </v:rect>
            <v:rect style="position:absolute;left:1486;top:1130;width:65;height:145" filled="false" stroked="true" strokeweight=".5pt" strokecolor="#000000">
              <v:stroke dashstyle="solid"/>
            </v:rect>
            <v:rect style="position:absolute;left:1486;top:1805;width:65;height:113" filled="true" fillcolor="#acbc4a" stroked="false">
              <v:fill type="solid"/>
            </v:rect>
            <v:rect style="position:absolute;left:1486;top:1805;width:65;height:113" filled="false" stroked="true" strokeweight=".5pt" strokecolor="#000000">
              <v:stroke dashstyle="solid"/>
            </v:rect>
            <v:rect style="position:absolute;left:1486;top:705;width:65;height:428" filled="true" fillcolor="#610e7a" stroked="false">
              <v:fill type="solid"/>
            </v:rect>
            <v:rect style="position:absolute;left:1486;top:705;width:65;height:428" filled="false" stroked="true" strokeweight=".5pt" strokecolor="#000000">
              <v:stroke dashstyle="solid"/>
            </v:rect>
            <v:rect style="position:absolute;left:1691;top:1585;width:75;height:223" filled="true" fillcolor="#f6bd61" stroked="false">
              <v:fill type="solid"/>
            </v:rect>
            <v:rect style="position:absolute;left:1691;top:1585;width:75;height:223" filled="false" stroked="true" strokeweight=".5pt" strokecolor="#000000">
              <v:stroke dashstyle="solid"/>
            </v:rect>
            <v:rect style="position:absolute;left:1691;top:1397;width:75;height:190" filled="true" fillcolor="#c0a2c7" stroked="false">
              <v:fill type="solid"/>
            </v:rect>
            <v:rect style="position:absolute;left:1691;top:1397;width:75;height:190" filled="false" stroked="true" strokeweight=".5pt" strokecolor="#000000">
              <v:stroke dashstyle="solid"/>
            </v:rect>
            <v:rect style="position:absolute;left:1691;top:770;width:75;height:630" filled="true" fillcolor="#acbc4a" stroked="false">
              <v:fill type="solid"/>
            </v:rect>
            <v:rect style="position:absolute;left:1691;top:770;width:75;height:630" filled="false" stroked="true" strokeweight=".5pt" strokecolor="#000000">
              <v:stroke dashstyle="solid"/>
            </v:rect>
            <v:rect style="position:absolute;left:1691;top:517;width:75;height:255" filled="true" fillcolor="#610e7a" stroked="false">
              <v:fill type="solid"/>
            </v:rect>
            <v:rect style="position:absolute;left:1691;top:517;width:75;height:255" filled="false" stroked="true" strokeweight=".5pt" strokecolor="#000000">
              <v:stroke dashstyle="solid"/>
            </v:rect>
            <v:rect style="position:absolute;left:2110;top:1130;width:75;height:678" filled="true" fillcolor="#f6bd61" stroked="false">
              <v:fill type="solid"/>
            </v:rect>
            <v:rect style="position:absolute;left:2110;top:1130;width:75;height:678" filled="false" stroked="true" strokeweight=".5pt" strokecolor="#000000">
              <v:stroke dashstyle="solid"/>
            </v:rect>
            <v:rect style="position:absolute;left:2110;top:957;width:75;height:175" filled="true" fillcolor="#c0a2c7" stroked="false">
              <v:fill type="solid"/>
            </v:rect>
            <v:rect style="position:absolute;left:2110;top:957;width:75;height:175" filled="false" stroked="true" strokeweight=".5pt" strokecolor="#000000">
              <v:stroke dashstyle="solid"/>
            </v:rect>
            <v:rect style="position:absolute;left:2110;top:422;width:75;height:538" filled="true" fillcolor="#acbc4a" stroked="false">
              <v:fill type="solid"/>
            </v:rect>
            <v:rect style="position:absolute;left:2110;top:422;width:75;height:538" filled="false" stroked="true" strokeweight=".5pt" strokecolor="#000000">
              <v:stroke dashstyle="solid"/>
            </v:rect>
            <v:rect style="position:absolute;left:2110;top:1805;width:75;height:333" filled="true" fillcolor="#610e7a" stroked="false">
              <v:fill type="solid"/>
            </v:rect>
            <v:rect style="position:absolute;left:2110;top:1805;width:75;height:333" filled="false" stroked="true" strokeweight=".5pt" strokecolor="#000000">
              <v:stroke dashstyle="solid"/>
            </v:rect>
            <v:rect style="position:absolute;left:2325;top:1130;width:65;height:678" filled="true" fillcolor="#f6bd61" stroked="false">
              <v:fill type="solid"/>
            </v:rect>
            <v:rect style="position:absolute;left:2325;top:1130;width:65;height:678" filled="false" stroked="true" strokeweight=".5pt" strokecolor="#000000">
              <v:stroke dashstyle="solid"/>
            </v:rect>
            <v:rect style="position:absolute;left:2325;top:972;width:65;height:160" filled="true" fillcolor="#c0a2c7" stroked="false">
              <v:fill type="solid"/>
            </v:rect>
            <v:rect style="position:absolute;left:2325;top:972;width:65;height:160" filled="false" stroked="true" strokeweight=".5pt" strokecolor="#000000">
              <v:stroke dashstyle="solid"/>
            </v:rect>
            <v:rect style="position:absolute;left:2325;top:1805;width:65;height:50" filled="true" fillcolor="#acbc4a" stroked="false">
              <v:fill type="solid"/>
            </v:rect>
            <v:rect style="position:absolute;left:2325;top:1805;width:65;height:50" filled="false" stroked="true" strokeweight=".5pt" strokecolor="#000000">
              <v:stroke dashstyle="solid"/>
            </v:rect>
            <v:rect style="position:absolute;left:2325;top:1852;width:65;height:113" filled="true" fillcolor="#610e7a" stroked="false">
              <v:fill type="solid"/>
            </v:rect>
            <v:rect style="position:absolute;left:2325;top:1852;width:65;height:113" filled="false" stroked="true" strokeweight=".5pt" strokecolor="#000000">
              <v:stroke dashstyle="solid"/>
            </v:rect>
            <v:rect style="position:absolute;left:2529;top:1177;width:75;height:630" filled="true" fillcolor="#f6bd61" stroked="false">
              <v:fill type="solid"/>
            </v:rect>
            <v:rect style="position:absolute;left:2529;top:1177;width:75;height:630" filled="false" stroked="true" strokeweight=".5pt" strokecolor="#000000">
              <v:stroke dashstyle="solid"/>
            </v:rect>
            <v:rect style="position:absolute;left:2529;top:1035;width:75;height:145" filled="true" fillcolor="#c0a2c7" stroked="false">
              <v:fill type="solid"/>
            </v:rect>
            <v:rect style="position:absolute;left:2529;top:1035;width:75;height:145" filled="false" stroked="true" strokeweight=".5pt" strokecolor="#000000">
              <v:stroke dashstyle="solid"/>
            </v:rect>
            <v:rect style="position:absolute;left:2529;top:987;width:75;height:50" filled="true" fillcolor="#acbc4a" stroked="false">
              <v:fill type="solid"/>
            </v:rect>
            <v:rect style="position:absolute;left:2529;top:987;width:75;height:50" filled="false" stroked="true" strokeweight=".5pt" strokecolor="#000000">
              <v:stroke dashstyle="solid"/>
            </v:rect>
            <v:rect style="position:absolute;left:2529;top:925;width:75;height:65" filled="true" fillcolor="#610e7a" stroked="false">
              <v:fill type="solid"/>
            </v:rect>
            <v:rect style="position:absolute;left:2529;top:925;width:75;height:65" filled="false" stroked="true" strokeweight=".5pt" strokecolor="#000000">
              <v:stroke dashstyle="solid"/>
            </v:rect>
            <v:rect style="position:absolute;left:2739;top:1035;width:75;height:773" filled="true" fillcolor="#f6bd61" stroked="false">
              <v:fill type="solid"/>
            </v:rect>
            <v:rect style="position:absolute;left:2739;top:1035;width:75;height:773" filled="false" stroked="true" strokeweight=".5pt" strokecolor="#000000">
              <v:stroke dashstyle="solid"/>
            </v:rect>
            <v:rect style="position:absolute;left:2739;top:785;width:75;height:253" filled="true" fillcolor="#c0a2c7" stroked="false">
              <v:fill type="solid"/>
            </v:rect>
            <v:rect style="position:absolute;left:2739;top:785;width:75;height:253" filled="false" stroked="true" strokeweight=".5pt" strokecolor="#000000">
              <v:stroke dashstyle="solid"/>
            </v:rect>
            <v:rect style="position:absolute;left:2739;top:0;width:75;height:788" filled="true" fillcolor="#acbc4a" stroked="false">
              <v:fill type="solid"/>
            </v:rect>
            <v:rect style="position:absolute;left:2739;top:0;width:75;height:788" filled="false" stroked="true" strokeweight=".5pt" strokecolor="#000000">
              <v:stroke dashstyle="solid"/>
            </v:rect>
            <v:rect style="position:absolute;left:2739;top:-128;width:75;height:130" filled="true" fillcolor="#610e7a" stroked="false">
              <v:fill type="solid"/>
            </v:rect>
            <v:rect style="position:absolute;left:2739;top:-128;width:75;height:130" filled="false" stroked="true" strokeweight=".5pt" strokecolor="#000000">
              <v:stroke dashstyle="solid"/>
            </v:rect>
            <v:rect style="position:absolute;left:3163;top:1427;width:65;height:380" filled="true" fillcolor="#f6bd61" stroked="false">
              <v:fill type="solid"/>
            </v:rect>
            <v:rect style="position:absolute;left:3163;top:1427;width:65;height:380" filled="false" stroked="true" strokeweight=".5pt" strokecolor="#000000">
              <v:stroke dashstyle="solid"/>
            </v:rect>
            <v:rect style="position:absolute;left:3163;top:1145;width:65;height:285" filled="true" fillcolor="#c0a2c7" stroked="false">
              <v:fill type="solid"/>
            </v:rect>
            <v:rect style="position:absolute;left:3163;top:1145;width:65;height:285" filled="false" stroked="true" strokeweight=".5pt" strokecolor="#000000">
              <v:stroke dashstyle="solid"/>
            </v:rect>
            <v:rect style="position:absolute;left:3163;top:832;width:65;height:315" filled="true" fillcolor="#acbc4a" stroked="false">
              <v:fill type="solid"/>
            </v:rect>
            <v:rect style="position:absolute;left:3163;top:832;width:65;height:315" filled="false" stroked="true" strokeweight=".5pt" strokecolor="#000000">
              <v:stroke dashstyle="solid"/>
            </v:rect>
            <v:rect style="position:absolute;left:3163;top:1805;width:65;height:98" filled="true" fillcolor="#610e7a" stroked="false">
              <v:fill type="solid"/>
            </v:rect>
            <v:rect style="position:absolute;left:3163;top:1805;width:65;height:98" filled="false" stroked="true" strokeweight=".5pt" strokecolor="#000000">
              <v:stroke dashstyle="solid"/>
            </v:rect>
            <v:rect style="position:absolute;left:3368;top:690;width:75;height:1118" filled="true" fillcolor="#f6bd61" stroked="false">
              <v:fill type="solid"/>
            </v:rect>
            <v:rect style="position:absolute;left:3368;top:690;width:75;height:1118" filled="false" stroked="true" strokeweight=".5pt" strokecolor="#000000">
              <v:stroke dashstyle="solid"/>
            </v:rect>
            <v:rect style="position:absolute;left:3368;top:532;width:75;height:160" filled="true" fillcolor="#c0a2c7" stroked="false">
              <v:fill type="solid"/>
            </v:rect>
            <v:rect style="position:absolute;left:3368;top:532;width:75;height:160" filled="false" stroked="true" strokeweight=".5pt" strokecolor="#000000">
              <v:stroke dashstyle="solid"/>
            </v:rect>
            <v:rect style="position:absolute;left:3368;top:125;width:75;height:410" filled="true" fillcolor="#acbc4a" stroked="false">
              <v:fill type="solid"/>
            </v:rect>
            <v:rect style="position:absolute;left:3368;top:125;width:75;height:410" filled="false" stroked="true" strokeweight=".5pt" strokecolor="#000000">
              <v:stroke dashstyle="solid"/>
            </v:rect>
            <v:rect style="position:absolute;left:3368;top:77;width:75;height:50" filled="true" fillcolor="#610e7a" stroked="false">
              <v:fill type="solid"/>
            </v:rect>
            <v:rect style="position:absolute;left:3368;top:77;width:75;height:50" filled="false" stroked="true" strokeweight=".5pt" strokecolor="#000000">
              <v:stroke dashstyle="solid"/>
            </v:rect>
            <v:rect style="position:absolute;left:3577;top:1647;width:75;height:160" filled="true" fillcolor="#f6bd61" stroked="false">
              <v:fill type="solid"/>
            </v:rect>
            <v:rect style="position:absolute;left:3577;top:1647;width:75;height:160" filled="false" stroked="true" strokeweight=".5pt" strokecolor="#000000">
              <v:stroke dashstyle="solid"/>
            </v:rect>
            <v:rect style="position:absolute;left:3577;top:1335;width:75;height:315" filled="true" fillcolor="#c0a2c7" stroked="false">
              <v:fill type="solid"/>
            </v:rect>
            <v:rect style="position:absolute;left:3577;top:1335;width:75;height:315" filled="false" stroked="true" strokeweight=".5pt" strokecolor="#000000">
              <v:stroke dashstyle="solid"/>
            </v:rect>
            <v:rect style="position:absolute;left:3577;top:1052;width:75;height:285" filled="true" fillcolor="#acbc4a" stroked="false">
              <v:fill type="solid"/>
            </v:rect>
            <v:rect style="position:absolute;left:3577;top:1052;width:75;height:285" filled="false" stroked="true" strokeweight=".5pt" strokecolor="#000000">
              <v:stroke dashstyle="solid"/>
            </v:rect>
            <v:rect style="position:absolute;left:3577;top:1805;width:75;height:18" filled="true" fillcolor="#610e7a" stroked="false">
              <v:fill type="solid"/>
            </v:rect>
            <v:rect style="position:absolute;left:3577;top:1805;width:75;height:18" filled="false" stroked="true" strokeweight=".5pt" strokecolor="#000000">
              <v:stroke dashstyle="solid"/>
            </v:rect>
            <v:rect style="position:absolute;left:3787;top:1427;width:75;height:380" filled="true" fillcolor="#f6bd61" stroked="false">
              <v:fill type="solid"/>
            </v:rect>
            <v:rect style="position:absolute;left:3787;top:1427;width:75;height:380" filled="false" stroked="true" strokeweight=".5pt" strokecolor="#000000">
              <v:stroke dashstyle="solid"/>
            </v:rect>
            <v:rect style="position:absolute;left:3787;top:1382;width:75;height:48" filled="true" fillcolor="#c0a2c7" stroked="false">
              <v:fill type="solid"/>
            </v:rect>
            <v:rect style="position:absolute;left:3787;top:1382;width:75;height:48" filled="false" stroked="true" strokeweight=".5pt" strokecolor="#000000">
              <v:stroke dashstyle="solid"/>
            </v:rect>
            <v:rect style="position:absolute;left:3787;top:862;width:75;height:523" filled="true" fillcolor="#acbc4a" stroked="false">
              <v:fill type="solid"/>
            </v:rect>
            <v:rect style="position:absolute;left:3787;top:862;width:75;height:523" filled="false" stroked="true" strokeweight=".5pt" strokecolor="#000000">
              <v:stroke dashstyle="solid"/>
            </v:rect>
            <v:rect style="position:absolute;left:3787;top:1805;width:75;height:50" filled="true" fillcolor="#610e7a" stroked="false">
              <v:fill type="solid"/>
            </v:rect>
            <v:rect style="position:absolute;left:3787;top:1805;width:75;height:50" filled="false" stroked="true" strokeweight=".5pt" strokecolor="#000000">
              <v:stroke dashstyle="solid"/>
            </v:rect>
            <v:shape style="position:absolute;left:1092;top:-128;width:2735;height:1258" coordorigin="1093,-127" coordsize="2735,1258" path="m1093,943l1310,0m1310,0l1518,833m1518,833l1725,518m1725,518l1933,565m1933,565l2150,753m2150,753l2358,1130m2358,1130l2565,925m2565,925l2773,-127m2773,-127l2990,628m2990,628l3195,925m3195,925l3403,78m3403,78l3610,1068m3610,1068l3828,925e" filled="false" stroked="true" strokeweight="1pt" strokecolor="#de0035">
              <v:path arrowok="t"/>
              <v:stroke dashstyle="solid"/>
            </v:shape>
            <w10:wrap type="none"/>
          </v:group>
        </w:pict>
      </w:r>
      <w:r>
        <w:rPr/>
        <w:pict>
          <v:line style="position:absolute;mso-position-horizontal-relative:page;mso-position-vertical-relative:paragraph;z-index:15845888" from="199.600006pt,4.144547pt" to="203.934006pt,4.144547pt" stroked="true" strokeweight=".5pt" strokecolor="#000000">
            <v:stroke dashstyle="solid"/>
            <w10:wrap type="none"/>
          </v:line>
        </w:pict>
      </w:r>
      <w:r>
        <w:rPr>
          <w:sz w:val="12"/>
        </w:rPr>
        <w:t>1.5</w:t>
      </w:r>
    </w:p>
    <w:p>
      <w:pPr>
        <w:pStyle w:val="BodyText"/>
        <w:rPr>
          <w:sz w:val="12"/>
        </w:rPr>
      </w:pPr>
    </w:p>
    <w:p>
      <w:pPr>
        <w:pStyle w:val="BodyText"/>
        <w:rPr>
          <w:sz w:val="12"/>
        </w:rPr>
      </w:pPr>
    </w:p>
    <w:p>
      <w:pPr>
        <w:pStyle w:val="BodyText"/>
        <w:spacing w:before="8"/>
        <w:rPr>
          <w:sz w:val="13"/>
        </w:rPr>
      </w:pPr>
    </w:p>
    <w:p>
      <w:pPr>
        <w:spacing w:before="1"/>
        <w:ind w:left="2013" w:right="0" w:firstLine="0"/>
        <w:jc w:val="left"/>
        <w:rPr>
          <w:sz w:val="12"/>
        </w:rPr>
      </w:pPr>
      <w:r>
        <w:rPr/>
        <w:pict>
          <v:line style="position:absolute;mso-position-horizontal-relative:page;mso-position-vertical-relative:paragraph;z-index:15846400" from="199.600006pt,4.194566pt" to="203.934006pt,4.194566pt" stroked="true" strokeweight=".5pt" strokecolor="#000000">
            <v:stroke dashstyle="solid"/>
            <w10:wrap type="none"/>
          </v:line>
        </w:pict>
      </w:r>
      <w:r>
        <w:rPr>
          <w:sz w:val="12"/>
        </w:rPr>
        <w:t>1.0</w:t>
      </w:r>
    </w:p>
    <w:p>
      <w:pPr>
        <w:pStyle w:val="BodyText"/>
        <w:spacing w:line="242" w:lineRule="auto" w:before="4"/>
        <w:ind w:left="397" w:right="314"/>
      </w:pPr>
      <w:r>
        <w:rPr/>
        <w:br w:type="column"/>
      </w:r>
      <w:r>
        <w:rPr/>
        <w:t>non-durable goods contrasted with a slight fall in spending on durable goods due to a further decline in purchases of vehicles (see Chart 2.4). Continued weakness of vehicles spending perhaps reflected ongoing uncertainty about the final extent of price reductions in response to the recent report on car prices by the Competition Commission.</w:t>
      </w:r>
    </w:p>
    <w:p>
      <w:pPr>
        <w:spacing w:after="0" w:line="242" w:lineRule="auto"/>
        <w:sectPr>
          <w:type w:val="continuous"/>
          <w:pgSz w:w="11900" w:h="16840"/>
          <w:pgMar w:top="1260" w:bottom="280" w:left="640" w:right="640"/>
          <w:cols w:num="3" w:equalWidth="0">
            <w:col w:w="1428" w:space="40"/>
            <w:col w:w="2204" w:space="905"/>
            <w:col w:w="6043"/>
          </w:cols>
        </w:sectPr>
      </w:pPr>
    </w:p>
    <w:p>
      <w:pPr>
        <w:pStyle w:val="BodyText"/>
        <w:spacing w:before="3"/>
        <w:rPr>
          <w:sz w:val="17"/>
        </w:rPr>
      </w:pPr>
    </w:p>
    <w:p>
      <w:pPr>
        <w:spacing w:after="0"/>
        <w:rPr>
          <w:sz w:val="17"/>
        </w:rPr>
        <w:sectPr>
          <w:type w:val="continuous"/>
          <w:pgSz w:w="11900" w:h="16840"/>
          <w:pgMar w:top="1260" w:bottom="280" w:left="640" w:right="640"/>
        </w:sectPr>
      </w:pPr>
    </w:p>
    <w:p>
      <w:pPr>
        <w:pStyle w:val="BodyText"/>
        <w:spacing w:before="9" w:after="1"/>
        <w:rPr>
          <w:sz w:val="26"/>
        </w:rPr>
      </w:pPr>
    </w:p>
    <w:p>
      <w:pPr>
        <w:pStyle w:val="BodyText"/>
        <w:spacing w:line="20" w:lineRule="exact"/>
        <w:ind w:left="189"/>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1"/>
        <w:rPr>
          <w:sz w:val="25"/>
        </w:rPr>
      </w:pPr>
      <w:r>
        <w:rPr/>
        <w:pict>
          <v:shape style="position:absolute;margin-left:41.735001pt;margin-top:16.650976pt;width:4.350pt;height:.1pt;mso-position-horizontal-relative:page;mso-position-vertical-relative:paragraph;z-index:-15613440;mso-wrap-distance-left:0;mso-wrap-distance-right:0" coordorigin="835,333" coordsize="87,0" path="m835,333l921,333e" filled="false" stroked="true" strokeweight=".5pt" strokecolor="#000000">
            <v:path arrowok="t"/>
            <v:stroke dashstyle="solid"/>
            <w10:wrap type="topAndBottom"/>
          </v:shape>
        </w:pict>
      </w:r>
    </w:p>
    <w:p>
      <w:pPr>
        <w:pStyle w:val="BodyText"/>
        <w:rPr>
          <w:sz w:val="20"/>
        </w:rPr>
      </w:pPr>
    </w:p>
    <w:p>
      <w:pPr>
        <w:pStyle w:val="BodyText"/>
        <w:spacing w:before="4"/>
        <w:rPr>
          <w:sz w:val="22"/>
        </w:rPr>
      </w:pPr>
      <w:r>
        <w:rPr/>
        <w:pict>
          <v:shape style="position:absolute;margin-left:41.735001pt;margin-top:15.050977pt;width:4.350pt;height:.1pt;mso-position-horizontal-relative:page;mso-position-vertical-relative:paragraph;z-index:-15612928;mso-wrap-distance-left:0;mso-wrap-distance-right:0" coordorigin="835,301" coordsize="87,0" path="m835,301l921,301e" filled="false" stroked="true" strokeweight=".5pt" strokecolor="#000000">
            <v:path arrowok="t"/>
            <v:stroke dashstyle="solid"/>
            <w10:wrap type="topAndBottom"/>
          </v:shape>
        </w:pict>
      </w:r>
    </w:p>
    <w:p>
      <w:pPr>
        <w:tabs>
          <w:tab w:pos="1555" w:val="left" w:leader="none"/>
        </w:tabs>
        <w:spacing w:before="0"/>
        <w:ind w:left="634" w:right="0" w:firstLine="0"/>
        <w:jc w:val="left"/>
        <w:rPr>
          <w:sz w:val="12"/>
        </w:rPr>
      </w:pPr>
      <w:r>
        <w:rPr>
          <w:sz w:val="12"/>
        </w:rPr>
        <w:t>1997</w:t>
        <w:tab/>
        <w:t>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209" w:val="left" w:leader="none"/>
        </w:tabs>
        <w:spacing w:before="93"/>
        <w:ind w:left="634" w:right="0" w:firstLine="0"/>
        <w:jc w:val="left"/>
        <w:rPr>
          <w:sz w:val="12"/>
        </w:rPr>
      </w:pPr>
      <w:r>
        <w:rPr>
          <w:sz w:val="12"/>
        </w:rPr>
        <w:t>99</w:t>
        <w:tab/>
      </w:r>
      <w:r>
        <w:rPr>
          <w:spacing w:val="-5"/>
          <w:sz w:val="12"/>
        </w:rPr>
        <w:t>2000</w:t>
      </w:r>
    </w:p>
    <w:p>
      <w:pPr>
        <w:pStyle w:val="BodyText"/>
        <w:rPr>
          <w:sz w:val="12"/>
        </w:rPr>
      </w:pPr>
      <w:r>
        <w:rPr/>
        <w:br w:type="column"/>
      </w:r>
      <w:r>
        <w:rPr>
          <w:sz w:val="12"/>
        </w:rPr>
      </w:r>
    </w:p>
    <w:p>
      <w:pPr>
        <w:spacing w:before="89"/>
        <w:ind w:left="230" w:right="0" w:firstLine="0"/>
        <w:jc w:val="left"/>
        <w:rPr>
          <w:sz w:val="12"/>
        </w:rPr>
      </w:pPr>
      <w:r>
        <w:rPr>
          <w:sz w:val="12"/>
        </w:rPr>
        <w:t>0.5</w:t>
      </w:r>
    </w:p>
    <w:p>
      <w:pPr>
        <w:pStyle w:val="BodyText"/>
        <w:rPr>
          <w:sz w:val="12"/>
        </w:rPr>
      </w:pPr>
    </w:p>
    <w:p>
      <w:pPr>
        <w:spacing w:before="79"/>
        <w:ind w:left="166" w:right="0" w:firstLine="0"/>
        <w:jc w:val="left"/>
        <w:rPr>
          <w:sz w:val="16"/>
        </w:rPr>
      </w:pPr>
      <w:r>
        <w:rPr/>
        <w:pict>
          <v:line style="position:absolute;mso-position-horizontal-relative:page;mso-position-vertical-relative:paragraph;z-index:15847424" from="199.600006pt,-9.642262pt" to="203.934006pt,-9.642262pt" stroked="true" strokeweight=".5pt" strokecolor="#000000">
            <v:stroke dashstyle="solid"/>
            <w10:wrap type="none"/>
          </v:line>
        </w:pict>
      </w:r>
      <w:r>
        <w:rPr>
          <w:sz w:val="16"/>
        </w:rPr>
        <w:t>+</w:t>
      </w:r>
    </w:p>
    <w:p>
      <w:pPr>
        <w:spacing w:before="32"/>
        <w:ind w:left="230" w:right="0" w:firstLine="0"/>
        <w:jc w:val="left"/>
        <w:rPr>
          <w:sz w:val="12"/>
        </w:rPr>
      </w:pPr>
      <w:r>
        <w:rPr/>
        <w:pict>
          <v:line style="position:absolute;mso-position-horizontal-relative:page;mso-position-vertical-relative:paragraph;z-index:15846912" from="199.600006pt,6.267572pt" to="203.934006pt,6.267572pt" stroked="true" strokeweight=".5pt" strokecolor="#000000">
            <v:stroke dashstyle="solid"/>
            <w10:wrap type="none"/>
          </v:line>
        </w:pict>
      </w:r>
      <w:r>
        <w:rPr>
          <w:sz w:val="12"/>
        </w:rPr>
        <w:t>0.0</w:t>
      </w:r>
    </w:p>
    <w:p>
      <w:pPr>
        <w:spacing w:before="2"/>
        <w:ind w:left="173" w:right="0" w:firstLine="0"/>
        <w:jc w:val="left"/>
        <w:rPr>
          <w:sz w:val="16"/>
        </w:rPr>
      </w:pPr>
      <w:r>
        <w:rPr>
          <w:sz w:val="16"/>
        </w:rPr>
        <w:t>_</w:t>
      </w:r>
    </w:p>
    <w:p>
      <w:pPr>
        <w:pStyle w:val="BodyText"/>
        <w:spacing w:before="6"/>
        <w:rPr>
          <w:sz w:val="21"/>
        </w:rPr>
      </w:pPr>
    </w:p>
    <w:p>
      <w:pPr>
        <w:spacing w:before="0"/>
        <w:ind w:left="230" w:right="0" w:firstLine="0"/>
        <w:jc w:val="left"/>
        <w:rPr>
          <w:sz w:val="12"/>
        </w:rPr>
      </w:pPr>
      <w:r>
        <w:rPr/>
        <w:pict>
          <v:shape style="position:absolute;margin-left:50.317001pt;margin-top:.78856pt;width:145.8pt;height:3.4pt;mso-position-horizontal-relative:page;mso-position-vertical-relative:paragraph;z-index:15845376" coordorigin="1006,16" coordsize="2916,68" path="m1009,83l3922,83m1006,16l1006,83m1844,16l1844,83m2681,16l2681,83m3519,16l3519,83e" filled="false" stroked="true" strokeweight=".5pt" strokecolor="#000000">
            <v:path arrowok="t"/>
            <v:stroke dashstyle="solid"/>
            <w10:wrap type="none"/>
          </v:shape>
        </w:pict>
      </w:r>
      <w:r>
        <w:rPr/>
        <w:pict>
          <v:line style="position:absolute;mso-position-horizontal-relative:page;mso-position-vertical-relative:paragraph;z-index:15847936" from="199.600006pt,4.14456pt" to="203.934006pt,4.14456pt" stroked="true" strokeweight=".5pt" strokecolor="#000000">
            <v:stroke dashstyle="solid"/>
            <w10:wrap type="none"/>
          </v:line>
        </w:pict>
      </w:r>
      <w:r>
        <w:rPr>
          <w:sz w:val="12"/>
        </w:rPr>
        <w:t>0.5</w:t>
      </w:r>
    </w:p>
    <w:p>
      <w:pPr>
        <w:pStyle w:val="BodyText"/>
        <w:spacing w:line="242" w:lineRule="auto" w:before="90"/>
        <w:ind w:left="634" w:right="7"/>
      </w:pPr>
      <w:r>
        <w:rPr/>
        <w:br w:type="column"/>
      </w:r>
      <w:r>
        <w:rPr/>
        <w:t>More timely indicators point to steady household consumption growth in Q3. Goods purchased from retailers account for about 40% of consumer spending. Retail sales volumes recovered from weak growth in Q2, rising by 1.3% in 2000 Q3 (see Chart 2.5). Goods sales appear to have been largely unaffected by the fuel supply</w:t>
      </w:r>
    </w:p>
    <w:p>
      <w:pPr>
        <w:spacing w:after="0" w:line="242" w:lineRule="auto"/>
        <w:sectPr>
          <w:type w:val="continuous"/>
          <w:pgSz w:w="11900" w:h="16840"/>
          <w:pgMar w:top="1260" w:bottom="280" w:left="640" w:right="640"/>
          <w:cols w:num="4" w:equalWidth="0">
            <w:col w:w="1716" w:space="45"/>
            <w:col w:w="1450" w:space="39"/>
            <w:col w:w="421" w:space="669"/>
            <w:col w:w="6280"/>
          </w:cols>
        </w:sectPr>
      </w:pPr>
    </w:p>
    <w:p>
      <w:pPr>
        <w:spacing w:line="94" w:lineRule="exact" w:before="0"/>
        <w:ind w:left="179" w:right="0" w:firstLine="0"/>
        <w:jc w:val="left"/>
        <w:rPr>
          <w:sz w:val="12"/>
        </w:rPr>
      </w:pPr>
      <w:r>
        <w:rPr>
          <w:sz w:val="12"/>
        </w:rPr>
        <w:t>(a) At constant 1995 market 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1"/>
        </w:rPr>
      </w:pPr>
    </w:p>
    <w:p>
      <w:pPr>
        <w:spacing w:before="1"/>
        <w:ind w:left="184" w:right="0" w:firstLine="0"/>
        <w:jc w:val="left"/>
        <w:rPr>
          <w:b/>
          <w:sz w:val="20"/>
        </w:rPr>
      </w:pPr>
      <w:r>
        <w:rPr>
          <w:b/>
          <w:color w:val="0092C7"/>
          <w:sz w:val="20"/>
        </w:rPr>
        <w:t>Chart 2.5</w:t>
      </w:r>
    </w:p>
    <w:p>
      <w:pPr>
        <w:spacing w:before="10"/>
        <w:ind w:left="184" w:right="0" w:firstLine="0"/>
        <w:jc w:val="left"/>
        <w:rPr>
          <w:b/>
          <w:sz w:val="20"/>
        </w:rPr>
      </w:pPr>
      <w:r>
        <w:rPr>
          <w:b/>
          <w:color w:val="0092C7"/>
          <w:sz w:val="20"/>
        </w:rPr>
        <w:t>Growth in retail sales volumes</w:t>
      </w:r>
    </w:p>
    <w:p>
      <w:pPr>
        <w:spacing w:line="115" w:lineRule="exact" w:before="98"/>
        <w:ind w:left="0" w:right="132" w:firstLine="0"/>
        <w:jc w:val="right"/>
        <w:rPr>
          <w:sz w:val="12"/>
        </w:rPr>
      </w:pPr>
      <w:r>
        <w:rPr>
          <w:sz w:val="12"/>
        </w:rPr>
        <w:t>Percentage changes</w:t>
      </w:r>
    </w:p>
    <w:p>
      <w:pPr>
        <w:spacing w:line="115" w:lineRule="exact" w:before="0"/>
        <w:ind w:left="0" w:right="38" w:firstLine="0"/>
        <w:jc w:val="right"/>
        <w:rPr>
          <w:sz w:val="12"/>
        </w:rPr>
      </w:pPr>
      <w:r>
        <w:rPr/>
        <w:pict>
          <v:group style="position:absolute;margin-left:50.25pt;margin-top:2.288073pt;width:154.950pt;height:109.8pt;mso-position-horizontal-relative:page;mso-position-vertical-relative:paragraph;z-index:-22801920" coordorigin="1005,46" coordsize="3099,2196">
            <v:rect style="position:absolute;left:1010;top:1830;width:53;height:353" filled="true" fillcolor="#cee7e8" stroked="false">
              <v:fill type="solid"/>
            </v:rect>
            <v:rect style="position:absolute;left:1010;top:1830;width:53;height:353" filled="false" stroked="true" strokeweight=".5pt" strokecolor="#000000">
              <v:stroke dashstyle="solid"/>
            </v:rect>
            <v:rect style="position:absolute;left:1010;top:1830;width:53;height:353" filled="true" fillcolor="#cee7e8" stroked="false">
              <v:fill type="solid"/>
            </v:rect>
            <v:rect style="position:absolute;left:1010;top:1830;width:53;height:353" filled="false" stroked="true" strokeweight=".5pt" strokecolor="#000000">
              <v:stroke dashstyle="solid"/>
            </v:rect>
            <v:rect style="position:absolute;left:1070;top:1895;width:65;height:288" filled="true" fillcolor="#cee7e8" stroked="false">
              <v:fill type="solid"/>
            </v:rect>
            <v:rect style="position:absolute;left:1070;top:1895;width:65;height:288" filled="false" stroked="true" strokeweight=".5pt" strokecolor="#000000">
              <v:stroke dashstyle="solid"/>
            </v:rect>
            <v:rect style="position:absolute;left:1067;top:1895;width:65;height:288" filled="true" fillcolor="#cee7e8" stroked="false">
              <v:fill type="solid"/>
            </v:rect>
            <v:rect style="position:absolute;left:1067;top:1895;width:65;height:288" filled="false" stroked="true" strokeweight=".5pt" strokecolor="#000000">
              <v:stroke dashstyle="solid"/>
            </v:rect>
            <v:rect style="position:absolute;left:1142;top:1713;width:53;height:470" filled="true" fillcolor="#cee7e8" stroked="false">
              <v:fill type="solid"/>
            </v:rect>
            <v:rect style="position:absolute;left:1142;top:1713;width:53;height:470" filled="false" stroked="true" strokeweight=".5pt" strokecolor="#000000">
              <v:stroke dashstyle="solid"/>
            </v:rect>
            <v:rect style="position:absolute;left:1137;top:1713;width:53;height:470" filled="true" fillcolor="#cee7e8" stroked="false">
              <v:fill type="solid"/>
            </v:rect>
            <v:rect style="position:absolute;left:1137;top:1713;width:53;height:470" filled="false" stroked="true" strokeweight=".5pt" strokecolor="#000000">
              <v:stroke dashstyle="solid"/>
            </v:rect>
            <v:rect style="position:absolute;left:1202;top:1533;width:55;height:650" filled="true" fillcolor="#cee7e8" stroked="false">
              <v:fill type="solid"/>
            </v:rect>
            <v:rect style="position:absolute;left:1202;top:1533;width:55;height:650" filled="false" stroked="true" strokeweight=".5pt" strokecolor="#000000">
              <v:stroke dashstyle="solid"/>
            </v:rect>
            <v:rect style="position:absolute;left:1200;top:1533;width:55;height:650" filled="true" fillcolor="#cee7e8" stroked="false">
              <v:fill type="solid"/>
            </v:rect>
            <v:rect style="position:absolute;left:1200;top:1533;width:55;height:650" filled="false" stroked="true" strokeweight=".5pt" strokecolor="#000000">
              <v:stroke dashstyle="solid"/>
            </v:rect>
            <v:rect style="position:absolute;left:1265;top:1455;width:53;height:728" filled="true" fillcolor="#cee7e8" stroked="false">
              <v:fill type="solid"/>
            </v:rect>
            <v:rect style="position:absolute;left:1265;top:1455;width:53;height:728" filled="false" stroked="true" strokeweight=".5pt" strokecolor="#000000">
              <v:stroke dashstyle="solid"/>
            </v:rect>
            <v:rect style="position:absolute;left:1323;top:1585;width:65;height:598" filled="true" fillcolor="#cee7e8" stroked="false">
              <v:fill type="solid"/>
            </v:rect>
            <v:rect style="position:absolute;left:1323;top:1585;width:65;height:598" filled="false" stroked="true" strokeweight=".5pt" strokecolor="#000000">
              <v:stroke dashstyle="solid"/>
            </v:rect>
            <v:rect style="position:absolute;left:1397;top:1610;width:53;height:573" filled="true" fillcolor="#cee7e8" stroked="false">
              <v:fill type="solid"/>
            </v:rect>
            <v:rect style="position:absolute;left:1397;top:1610;width:53;height:573" filled="false" stroked="true" strokeweight=".5pt" strokecolor="#000000">
              <v:stroke dashstyle="solid"/>
            </v:rect>
            <v:rect style="position:absolute;left:1393;top:1610;width:53;height:573" filled="true" fillcolor="#cee7e8" stroked="false">
              <v:fill type="solid"/>
            </v:rect>
            <v:rect style="position:absolute;left:1393;top:1610;width:53;height:573" filled="false" stroked="true" strokeweight=".5pt" strokecolor="#000000">
              <v:stroke dashstyle="solid"/>
            </v:rect>
            <v:rect style="position:absolute;left:1457;top:1663;width:55;height:520" filled="true" fillcolor="#cee7e8" stroked="false">
              <v:fill type="solid"/>
            </v:rect>
            <v:rect style="position:absolute;left:1457;top:1663;width:55;height:520" filled="false" stroked="true" strokeweight=".5pt" strokecolor="#000000">
              <v:stroke dashstyle="solid"/>
            </v:rect>
            <v:rect style="position:absolute;left:1456;top:1663;width:55;height:520" filled="true" fillcolor="#cee7e8" stroked="false">
              <v:fill type="solid"/>
            </v:rect>
            <v:rect style="position:absolute;left:1456;top:1663;width:55;height:520" filled="false" stroked="true" strokeweight=".5pt" strokecolor="#000000">
              <v:stroke dashstyle="solid"/>
            </v:rect>
            <v:rect style="position:absolute;left:1520;top:1908;width:63;height:275" filled="true" fillcolor="#cee7e8" stroked="false">
              <v:fill type="solid"/>
            </v:rect>
            <v:rect style="position:absolute;left:1520;top:1908;width:63;height:275" filled="false" stroked="true" strokeweight=".5pt" strokecolor="#000000">
              <v:stroke dashstyle="solid"/>
            </v:rect>
            <v:rect style="position:absolute;left:1516;top:1908;width:63;height:275" filled="true" fillcolor="#cee7e8" stroked="false">
              <v:fill type="solid"/>
            </v:rect>
            <v:rect style="position:absolute;left:1516;top:1908;width:63;height:275" filled="false" stroked="true" strokeweight=".5pt" strokecolor="#000000">
              <v:stroke dashstyle="solid"/>
            </v:rect>
            <v:rect style="position:absolute;left:1590;top:1973;width:55;height:210" filled="true" fillcolor="#cee7e8" stroked="false">
              <v:fill type="solid"/>
            </v:rect>
            <v:rect style="position:absolute;left:1590;top:1973;width:55;height:210" filled="false" stroked="true" strokeweight=".5pt" strokecolor="#000000">
              <v:stroke dashstyle="solid"/>
            </v:rect>
            <v:rect style="position:absolute;left:1584;top:1973;width:55;height:210" filled="true" fillcolor="#cee7e8" stroked="false">
              <v:fill type="solid"/>
            </v:rect>
            <v:rect style="position:absolute;left:1584;top:1973;width:55;height:210" filled="false" stroked="true" strokeweight=".5pt" strokecolor="#000000">
              <v:stroke dashstyle="solid"/>
            </v:rect>
            <v:rect style="position:absolute;left:1652;top:2090;width:53;height:93" filled="true" fillcolor="#cee7e8" stroked="false">
              <v:fill type="solid"/>
            </v:rect>
            <v:rect style="position:absolute;left:1652;top:2090;width:53;height:93" filled="false" stroked="true" strokeweight=".5pt" strokecolor="#000000">
              <v:stroke dashstyle="solid"/>
            </v:rect>
            <v:rect style="position:absolute;left:1649;top:2090;width:53;height:93" filled="true" fillcolor="#cee7e8" stroked="false">
              <v:fill type="solid"/>
            </v:rect>
            <v:rect style="position:absolute;left:1649;top:2090;width:53;height:93" filled="false" stroked="true" strokeweight=".5pt" strokecolor="#000000">
              <v:stroke dashstyle="solid"/>
            </v:rect>
            <v:rect style="position:absolute;left:1712;top:1700;width:55;height:483" filled="true" fillcolor="#cee7e8" stroked="false">
              <v:fill type="solid"/>
            </v:rect>
            <v:rect style="position:absolute;left:1712;top:1700;width:55;height:483" filled="false" stroked="true" strokeweight=".5pt" strokecolor="#000000">
              <v:stroke dashstyle="solid"/>
            </v:rect>
            <v:rect style="position:absolute;left:1712;top:1700;width:55;height:483" filled="true" fillcolor="#cee7e8" stroked="false">
              <v:fill type="solid"/>
            </v:rect>
            <v:rect style="position:absolute;left:1712;top:1700;width:55;height:483" filled="false" stroked="true" strokeweight=".5pt" strokecolor="#000000">
              <v:stroke dashstyle="solid"/>
            </v:rect>
            <v:rect style="position:absolute;left:1775;top:1688;width:63;height:495" filled="true" fillcolor="#cee7e8" stroked="false">
              <v:fill type="solid"/>
            </v:rect>
            <v:rect style="position:absolute;left:1775;top:1688;width:63;height:495" filled="false" stroked="true" strokeweight=".5pt" strokecolor="#000000">
              <v:stroke dashstyle="solid"/>
            </v:rect>
            <v:rect style="position:absolute;left:1775;top:1688;width:63;height:495" filled="true" fillcolor="#cee7e8" stroked="false">
              <v:fill type="solid"/>
            </v:rect>
            <v:rect style="position:absolute;left:1775;top:1688;width:63;height:495" filled="false" stroked="true" strokeweight=".5pt" strokecolor="#000000">
              <v:stroke dashstyle="solid"/>
            </v:rect>
            <v:rect style="position:absolute;left:1845;top:1598;width:55;height:585" filled="true" fillcolor="#cee7e8" stroked="false">
              <v:fill type="solid"/>
            </v:rect>
            <v:rect style="position:absolute;left:1845;top:1598;width:55;height:585" filled="false" stroked="true" strokeweight=".5pt" strokecolor="#000000">
              <v:stroke dashstyle="solid"/>
            </v:rect>
            <v:rect style="position:absolute;left:1845;top:1598;width:55;height:585" filled="true" fillcolor="#cee7e8" stroked="false">
              <v:fill type="solid"/>
            </v:rect>
            <v:rect style="position:absolute;left:1845;top:1598;width:55;height:585" filled="false" stroked="true" strokeweight=".5pt" strokecolor="#000000">
              <v:stroke dashstyle="solid"/>
            </v:rect>
            <v:rect style="position:absolute;left:1907;top:1858;width:53;height:325" filled="true" fillcolor="#cee7e8" stroked="false">
              <v:fill type="solid"/>
            </v:rect>
            <v:rect style="position:absolute;left:1907;top:1858;width:53;height:325" filled="false" stroked="true" strokeweight=".5pt" strokecolor="#000000">
              <v:stroke dashstyle="solid"/>
            </v:rect>
            <v:rect style="position:absolute;left:1907;top:1858;width:53;height:325" filled="true" fillcolor="#cee7e8" stroked="false">
              <v:fill type="solid"/>
            </v:rect>
            <v:rect style="position:absolute;left:1907;top:1858;width:53;height:325" filled="false" stroked="true" strokeweight=".5pt" strokecolor="#000000">
              <v:stroke dashstyle="solid"/>
            </v:rect>
            <v:shape style="position:absolute;left:1962;top:2073;width:128;height:115" type="#_x0000_t75" stroked="false">
              <v:imagedata r:id="rId78" o:title=""/>
            </v:shape>
            <v:rect style="position:absolute;left:2040;top:2065;width:53;height:118" filled="true" fillcolor="#cee7e8" stroked="false">
              <v:fill type="solid"/>
            </v:rect>
            <v:rect style="position:absolute;left:2040;top:2065;width:53;height:118" filled="false" stroked="true" strokeweight=".5pt" strokecolor="#000000">
              <v:stroke dashstyle="solid"/>
            </v:rect>
            <v:rect style="position:absolute;left:2100;top:2180;width:55;height:15" filled="true" fillcolor="#cee7e8" stroked="false">
              <v:fill type="solid"/>
            </v:rect>
            <v:rect style="position:absolute;left:2100;top:2180;width:55;height:15" filled="false" stroked="true" strokeweight=".5pt" strokecolor="#000000">
              <v:stroke dashstyle="solid"/>
            </v:rect>
            <v:rect style="position:absolute;left:2100;top:2180;width:55;height:15" filled="true" fillcolor="#cee7e8" stroked="false">
              <v:fill type="solid"/>
            </v:rect>
            <v:rect style="position:absolute;left:2100;top:2180;width:55;height:15" filled="false" stroked="true" strokeweight=".5pt" strokecolor="#000000">
              <v:stroke dashstyle="solid"/>
            </v:rect>
            <v:rect style="position:absolute;left:2162;top:2025;width:53;height:158" filled="true" fillcolor="#cee7e8" stroked="false">
              <v:fill type="solid"/>
            </v:rect>
            <v:rect style="position:absolute;left:2162;top:2025;width:53;height:158" filled="false" stroked="true" strokeweight=".5pt" strokecolor="#000000">
              <v:stroke dashstyle="solid"/>
            </v:rect>
            <v:rect style="position:absolute;left:2162;top:2025;width:53;height:158" filled="true" fillcolor="#cee7e8" stroked="false">
              <v:fill type="solid"/>
            </v:rect>
            <v:rect style="position:absolute;left:2162;top:2025;width:53;height:158" filled="false" stroked="true" strokeweight=".5pt" strokecolor="#000000">
              <v:stroke dashstyle="solid"/>
            </v:rect>
            <v:rect style="position:absolute;left:2222;top:2180;width:65;height:55" filled="true" fillcolor="#cee7e8" stroked="false">
              <v:fill type="solid"/>
            </v:rect>
            <v:rect style="position:absolute;left:2222;top:2180;width:65;height:55" filled="false" stroked="true" strokeweight=".5pt" strokecolor="#000000">
              <v:stroke dashstyle="solid"/>
            </v:rect>
            <v:rect style="position:absolute;left:2222;top:2180;width:65;height:55" filled="true" fillcolor="#cee7e8" stroked="false">
              <v:fill type="solid"/>
            </v:rect>
            <v:rect style="position:absolute;left:2222;top:2180;width:65;height:55" filled="false" stroked="true" strokeweight=".5pt" strokecolor="#000000">
              <v:stroke dashstyle="solid"/>
            </v:rect>
            <v:rect style="position:absolute;left:2295;top:1985;width:53;height:198" filled="true" fillcolor="#cee7e8" stroked="false">
              <v:fill type="solid"/>
            </v:rect>
            <v:rect style="position:absolute;left:2295;top:1985;width:53;height:198" filled="false" stroked="true" strokeweight=".5pt" strokecolor="#000000">
              <v:stroke dashstyle="solid"/>
            </v:rect>
            <v:rect style="position:absolute;left:2295;top:1985;width:53;height:198" filled="true" fillcolor="#cee7e8" stroked="false">
              <v:fill type="solid"/>
            </v:rect>
            <v:rect style="position:absolute;left:2295;top:1985;width:53;height:198" filled="false" stroked="true" strokeweight=".5pt" strokecolor="#000000">
              <v:stroke dashstyle="solid"/>
            </v:rect>
            <v:rect style="position:absolute;left:2355;top:2115;width:55;height:68" filled="true" fillcolor="#cee7e8" stroked="false">
              <v:fill type="solid"/>
            </v:rect>
            <v:rect style="position:absolute;left:2355;top:2115;width:55;height:68" filled="false" stroked="true" strokeweight=".5pt" strokecolor="#000000">
              <v:stroke dashstyle="solid"/>
            </v:rect>
            <v:rect style="position:absolute;left:2355;top:2115;width:55;height:68" filled="true" fillcolor="#cee7e8" stroked="false">
              <v:fill type="solid"/>
            </v:rect>
            <v:rect style="position:absolute;left:2355;top:2115;width:55;height:68" filled="false" stroked="true" strokeweight=".5pt" strokecolor="#000000">
              <v:stroke dashstyle="solid"/>
            </v:rect>
            <v:rect style="position:absolute;left:2417;top:2013;width:63;height:170" filled="true" fillcolor="#cee7e8" stroked="false">
              <v:fill type="solid"/>
            </v:rect>
            <v:rect style="position:absolute;left:2417;top:2013;width:63;height:170" filled="false" stroked="true" strokeweight=".5pt" strokecolor="#000000">
              <v:stroke dashstyle="solid"/>
            </v:rect>
            <v:rect style="position:absolute;left:2417;top:2013;width:63;height:170" filled="true" fillcolor="#cee7e8" stroked="false">
              <v:fill type="solid"/>
            </v:rect>
            <v:rect style="position:absolute;left:2417;top:2013;width:63;height:170" filled="false" stroked="true" strokeweight=".5pt" strokecolor="#000000">
              <v:stroke dashstyle="solid"/>
            </v:rect>
            <v:rect style="position:absolute;left:2550;top:2013;width:53;height:170" filled="true" fillcolor="#cee7e8" stroked="false">
              <v:fill type="solid"/>
            </v:rect>
            <v:rect style="position:absolute;left:2550;top:2013;width:53;height:170" filled="false" stroked="true" strokeweight=".5pt" strokecolor="#000000">
              <v:stroke dashstyle="solid"/>
            </v:rect>
            <v:rect style="position:absolute;left:2550;top:2013;width:53;height:170" filled="true" fillcolor="#cee7e8" stroked="false">
              <v:fill type="solid"/>
            </v:rect>
            <v:rect style="position:absolute;left:2550;top:2013;width:53;height:170" filled="false" stroked="true" strokeweight=".5pt" strokecolor="#000000">
              <v:stroke dashstyle="solid"/>
            </v:rect>
            <v:rect style="position:absolute;left:2610;top:2000;width:65;height:183" filled="true" fillcolor="#cee7e8" stroked="false">
              <v:fill type="solid"/>
            </v:rect>
            <v:rect style="position:absolute;left:2610;top:2000;width:65;height:183" filled="false" stroked="true" strokeweight=".5pt" strokecolor="#000000">
              <v:stroke dashstyle="solid"/>
            </v:rect>
            <v:rect style="position:absolute;left:2607;top:2000;width:65;height:183" filled="true" fillcolor="#cee7e8" stroked="false">
              <v:fill type="solid"/>
            </v:rect>
            <v:rect style="position:absolute;left:2607;top:2000;width:65;height:183" filled="false" stroked="true" strokeweight=".5pt" strokecolor="#000000">
              <v:stroke dashstyle="solid"/>
            </v:rect>
            <v:shape style="position:absolute;left:2682;top:1765;width:60;height:415" type="#_x0000_t75" stroked="false">
              <v:imagedata r:id="rId79" o:title=""/>
            </v:shape>
            <v:rect style="position:absolute;left:2677;top:1765;width:53;height:418" filled="true" fillcolor="#cee7e8" stroked="false">
              <v:fill type="solid"/>
            </v:rect>
            <v:rect style="position:absolute;left:2677;top:1765;width:53;height:418" filled="false" stroked="true" strokeweight=".5pt" strokecolor="#000000">
              <v:stroke dashstyle="solid"/>
            </v:rect>
            <v:rect style="position:absolute;left:2742;top:1843;width:55;height:340" filled="true" fillcolor="#cee7e8" stroked="false">
              <v:fill type="solid"/>
            </v:rect>
            <v:rect style="position:absolute;left:2742;top:1843;width:55;height:340" filled="false" stroked="true" strokeweight=".5pt" strokecolor="#000000">
              <v:stroke dashstyle="solid"/>
            </v:rect>
            <v:rect style="position:absolute;left:2740;top:1843;width:55;height:340" filled="true" fillcolor="#cee7e8" stroked="false">
              <v:fill type="solid"/>
            </v:rect>
            <v:rect style="position:absolute;left:2740;top:1843;width:55;height:340" filled="false" stroked="true" strokeweight=".5pt" strokecolor="#000000">
              <v:stroke dashstyle="solid"/>
            </v:rect>
            <v:shape style="position:absolute;left:2805;top:1700;width:50;height:480" type="#_x0000_t75" stroked="false">
              <v:imagedata r:id="rId80" o:title=""/>
            </v:shape>
            <v:rect style="position:absolute;left:2805;top:1700;width:53;height:483" filled="true" fillcolor="#cee7e8" stroked="false">
              <v:fill type="solid"/>
            </v:rect>
            <v:rect style="position:absolute;left:2805;top:1700;width:53;height:483" filled="false" stroked="true" strokeweight=".5pt" strokecolor="#000000">
              <v:stroke dashstyle="solid"/>
            </v:rect>
            <v:rect style="position:absolute;left:2865;top:1805;width:65;height:378" filled="true" fillcolor="#cee7e8" stroked="false">
              <v:fill type="solid"/>
            </v:rect>
            <v:rect style="position:absolute;left:2865;top:1805;width:65;height:378" filled="false" stroked="true" strokeweight=".5pt" strokecolor="#000000">
              <v:stroke dashstyle="solid"/>
            </v:rect>
            <v:rect style="position:absolute;left:2863;top:1805;width:65;height:378" filled="true" fillcolor="#cee7e8" stroked="false">
              <v:fill type="solid"/>
            </v:rect>
            <v:rect style="position:absolute;left:2863;top:1805;width:65;height:378" filled="false" stroked="true" strokeweight=".5pt" strokecolor="#000000">
              <v:stroke dashstyle="solid"/>
            </v:rect>
            <v:shape style="position:absolute;left:2937;top:1663;width:60;height:518" type="#_x0000_t75" stroked="false">
              <v:imagedata r:id="rId81" o:title=""/>
            </v:shape>
            <v:rect style="position:absolute;left:2933;top:1663;width:53;height:520" filled="true" fillcolor="#cee7e8" stroked="false">
              <v:fill type="solid"/>
            </v:rect>
            <v:rect style="position:absolute;left:2933;top:1663;width:53;height:520" filled="false" stroked="true" strokeweight=".5pt" strokecolor="#000000">
              <v:stroke dashstyle="solid"/>
            </v:rect>
            <v:shape style="position:absolute;left:2997;top:1765;width:60;height:415" type="#_x0000_t75" stroked="false">
              <v:imagedata r:id="rId82" o:title=""/>
            </v:shape>
            <v:shape style="position:absolute;left:2990;top:1700;width:130;height:488" type="#_x0000_t75" stroked="false">
              <v:imagedata r:id="rId83" o:title=""/>
            </v:shape>
            <v:rect style="position:absolute;left:3055;top:1700;width:63;height:483" filled="true" fillcolor="#cee7e8" stroked="false">
              <v:fill type="solid"/>
            </v:rect>
            <v:rect style="position:absolute;left:3055;top:1700;width:63;height:483" filled="false" stroked="true" strokeweight=".5pt" strokecolor="#000000">
              <v:stroke dashstyle="solid"/>
            </v:rect>
            <v:rect style="position:absolute;left:3130;top:1765;width:55;height:418" filled="true" fillcolor="#cee7e8" stroked="false">
              <v:fill type="solid"/>
            </v:rect>
            <v:rect style="position:absolute;left:3130;top:1765;width:55;height:418" filled="false" stroked="true" strokeweight=".5pt" strokecolor="#000000">
              <v:stroke dashstyle="solid"/>
            </v:rect>
            <v:rect style="position:absolute;left:3123;top:1765;width:55;height:418" filled="true" fillcolor="#cee7e8" stroked="false">
              <v:fill type="solid"/>
            </v:rect>
            <v:rect style="position:absolute;left:3123;top:1765;width:55;height:418" filled="false" stroked="true" strokeweight=".5pt" strokecolor="#000000">
              <v:stroke dashstyle="solid"/>
            </v:rect>
            <v:rect style="position:absolute;left:3192;top:1753;width:53;height:430" filled="true" fillcolor="#cee7e8" stroked="false">
              <v:fill type="solid"/>
            </v:rect>
            <v:rect style="position:absolute;left:3192;top:1753;width:53;height:430" filled="false" stroked="true" strokeweight=".5pt" strokecolor="#000000">
              <v:stroke dashstyle="solid"/>
            </v:rect>
            <v:rect style="position:absolute;left:3188;top:1753;width:53;height:430" filled="true" fillcolor="#cee7e8" stroked="false">
              <v:fill type="solid"/>
            </v:rect>
            <v:rect style="position:absolute;left:3188;top:1753;width:53;height:430" filled="false" stroked="true" strokeweight=".5pt" strokecolor="#000000">
              <v:stroke dashstyle="solid"/>
            </v:rect>
            <v:rect style="position:absolute;left:3252;top:1765;width:53;height:418" filled="true" fillcolor="#cee7e8" stroked="false">
              <v:fill type="solid"/>
            </v:rect>
            <v:rect style="position:absolute;left:3252;top:1765;width:53;height:418" filled="false" stroked="true" strokeweight=".5pt" strokecolor="#000000">
              <v:stroke dashstyle="solid"/>
            </v:rect>
            <v:rect style="position:absolute;left:3252;top:1765;width:53;height:418" filled="true" fillcolor="#cee7e8" stroked="false">
              <v:fill type="solid"/>
            </v:rect>
            <v:rect style="position:absolute;left:3252;top:1765;width:53;height:418" filled="false" stroked="true" strokeweight=".5pt" strokecolor="#000000">
              <v:stroke dashstyle="solid"/>
            </v:rect>
            <v:rect style="position:absolute;left:3315;top:1598;width:63;height:585" filled="true" fillcolor="#cee7e8" stroked="false">
              <v:fill type="solid"/>
            </v:rect>
            <v:rect style="position:absolute;left:3315;top:1598;width:63;height:585" filled="false" stroked="true" strokeweight=".5pt" strokecolor="#000000">
              <v:stroke dashstyle="solid"/>
            </v:rect>
            <v:rect style="position:absolute;left:3315;top:1598;width:63;height:585" filled="true" fillcolor="#cee7e8" stroked="false">
              <v:fill type="solid"/>
            </v:rect>
            <v:rect style="position:absolute;left:3315;top:1598;width:63;height:585" filled="false" stroked="true" strokeweight=".5pt" strokecolor="#000000">
              <v:stroke dashstyle="solid"/>
            </v:rect>
            <v:rect style="position:absolute;left:3385;top:1598;width:53;height:585" filled="true" fillcolor="#cee7e8" stroked="false">
              <v:fill type="solid"/>
            </v:rect>
            <v:rect style="position:absolute;left:3385;top:1598;width:53;height:585" filled="false" stroked="true" strokeweight=".5pt" strokecolor="#000000">
              <v:stroke dashstyle="solid"/>
            </v:rect>
            <v:rect style="position:absolute;left:3384;top:1598;width:53;height:585" filled="true" fillcolor="#cee7e8" stroked="false">
              <v:fill type="solid"/>
            </v:rect>
            <v:rect style="position:absolute;left:3384;top:1598;width:53;height:585" filled="false" stroked="true" strokeweight=".5pt" strokecolor="#000000">
              <v:stroke dashstyle="solid"/>
            </v:rect>
            <v:rect style="position:absolute;left:3447;top:1675;width:53;height:508" filled="true" fillcolor="#cee7e8" stroked="false">
              <v:fill type="solid"/>
            </v:rect>
            <v:rect style="position:absolute;left:3447;top:1675;width:53;height:508" filled="false" stroked="true" strokeweight=".5pt" strokecolor="#000000">
              <v:stroke dashstyle="solid"/>
            </v:rect>
            <v:rect style="position:absolute;left:3448;top:1675;width:53;height:508" filled="true" fillcolor="#cee7e8" stroked="false">
              <v:fill type="solid"/>
            </v:rect>
            <v:rect style="position:absolute;left:3448;top:1675;width:53;height:508" filled="false" stroked="true" strokeweight=".5pt" strokecolor="#000000">
              <v:stroke dashstyle="solid"/>
            </v:rect>
            <v:rect style="position:absolute;left:3507;top:2078;width:65;height:105" filled="true" fillcolor="#cee7e8" stroked="false">
              <v:fill type="solid"/>
            </v:rect>
            <v:rect style="position:absolute;left:3507;top:2078;width:65;height:105" filled="false" stroked="true" strokeweight=".5pt" strokecolor="#000000">
              <v:stroke dashstyle="solid"/>
            </v:rect>
            <v:rect style="position:absolute;left:3506;top:2078;width:65;height:105" filled="true" fillcolor="#cee7e8" stroked="false">
              <v:fill type="solid"/>
            </v:rect>
            <v:rect style="position:absolute;left:3506;top:2078;width:65;height:105" filled="false" stroked="true" strokeweight=".5pt" strokecolor="#000000">
              <v:stroke dashstyle="solid"/>
            </v:rect>
            <v:rect style="position:absolute;left:3580;top:2090;width:53;height:93" filled="true" fillcolor="#cee7e8" stroked="false">
              <v:fill type="solid"/>
            </v:rect>
            <v:rect style="position:absolute;left:3580;top:2090;width:53;height:93" filled="false" stroked="true" strokeweight=".5pt" strokecolor="#000000">
              <v:stroke dashstyle="solid"/>
            </v:rect>
            <v:rect style="position:absolute;left:3577;top:2090;width:53;height:93" filled="true" fillcolor="#cee7e8" stroked="false">
              <v:fill type="solid"/>
            </v:rect>
            <v:rect style="position:absolute;left:3577;top:2090;width:53;height:93" filled="false" stroked="true" strokeweight=".5pt" strokecolor="#000000">
              <v:stroke dashstyle="solid"/>
            </v:rect>
            <v:rect style="position:absolute;left:3640;top:2078;width:53;height:105" filled="true" fillcolor="#cee7e8" stroked="false">
              <v:fill type="solid"/>
            </v:rect>
            <v:rect style="position:absolute;left:3640;top:2078;width:53;height:105" filled="false" stroked="true" strokeweight=".5pt" strokecolor="#000000">
              <v:stroke dashstyle="solid"/>
            </v:rect>
            <v:rect style="position:absolute;left:3641;top:2078;width:53;height:105" filled="true" fillcolor="#cee7e8" stroked="false">
              <v:fill type="solid"/>
            </v:rect>
            <v:rect style="position:absolute;left:3641;top:2078;width:53;height:105" filled="false" stroked="true" strokeweight=".5pt" strokecolor="#000000">
              <v:stroke dashstyle="solid"/>
            </v:rect>
            <v:rect style="position:absolute;left:3702;top:1830;width:53;height:353" filled="true" fillcolor="#cee7e8" stroked="false">
              <v:fill type="solid"/>
            </v:rect>
            <v:rect style="position:absolute;left:3702;top:1830;width:53;height:353" filled="false" stroked="true" strokeweight=".5pt" strokecolor="#000000">
              <v:stroke dashstyle="solid"/>
            </v:rect>
            <v:rect style="position:absolute;left:3706;top:1830;width:53;height:353" filled="true" fillcolor="#cee7e8" stroked="false">
              <v:fill type="solid"/>
            </v:rect>
            <v:rect style="position:absolute;left:3706;top:1830;width:53;height:353" filled="false" stroked="true" strokeweight=".5pt" strokecolor="#000000">
              <v:stroke dashstyle="solid"/>
            </v:rect>
            <v:rect style="position:absolute;left:3762;top:1765;width:63;height:418" filled="true" fillcolor="#cee7e8" stroked="false">
              <v:fill type="solid"/>
            </v:rect>
            <v:rect style="position:absolute;left:3762;top:1765;width:63;height:418" filled="false" stroked="true" strokeweight=".5pt" strokecolor="#000000">
              <v:stroke dashstyle="solid"/>
            </v:rect>
            <v:rect style="position:absolute;left:3765;top:1765;width:63;height:418" filled="true" fillcolor="#cee7e8" stroked="false">
              <v:fill type="solid"/>
            </v:rect>
            <v:rect style="position:absolute;left:3765;top:1765;width:63;height:418" filled="false" stroked="true" strokeweight=".5pt" strokecolor="#000000">
              <v:stroke dashstyle="solid"/>
            </v:rect>
            <v:rect style="position:absolute;left:3835;top:1713;width:53;height:470" filled="true" fillcolor="#cee7e8" stroked="false">
              <v:fill type="solid"/>
            </v:rect>
            <v:rect style="position:absolute;left:3835;top:1713;width:53;height:470" filled="false" stroked="true" strokeweight=".5pt" strokecolor="#000000">
              <v:stroke dashstyle="solid"/>
            </v:rect>
            <v:rect style="position:absolute;left:3835;top:1713;width:53;height:470" filled="true" fillcolor="#cee7e8" stroked="false">
              <v:fill type="solid"/>
            </v:rect>
            <v:shape style="position:absolute;left:1010;top:1713;width:2885;height:470" coordorigin="1010,1713" coordsize="2885,470" path="m3835,1713l3888,1713,3888,2183,3835,2183,3835,1713xm1010,2181l3895,2183e" filled="false" stroked="true" strokeweight=".5pt" strokecolor="#000000">
              <v:path arrowok="t"/>
              <v:stroke dashstyle="solid"/>
            </v:shape>
            <v:shape style="position:absolute;left:1040;top:260;width:195;height:183" coordorigin="1040,261" coordsize="195,183" path="m1040,443l1100,418m1100,418l1173,261m1173,261l1235,301e" filled="false" stroked="true" strokeweight="1pt" strokecolor="#006caa">
              <v:path arrowok="t"/>
              <v:stroke dashstyle="solid"/>
            </v:shape>
            <v:line style="position:absolute" from="1225,302" to="1305,302" stroked="true" strokeweight="1.125pt" strokecolor="#006caa">
              <v:stroke dashstyle="solid"/>
            </v:line>
            <v:shape style="position:absolute;left:1295;top:65;width:1733;height:1700" coordorigin="1295,66" coordsize="1733,1700" path="m1295,301l1368,326m1368,326l1428,131m1428,131l1488,66m1488,66l1550,273m1550,273l1623,378m1623,378l1683,533m1683,533l1743,326m1743,326l1815,236m1815,236l1875,223m1875,223l1938,468m1938,468l1998,806m1998,806l2070,858m2070,858l2130,1106m2130,1106l2193,1233m2193,1233l2263,1441m2263,1441l2325,1196m2325,1196l2385,1378m2385,1378l2458,1351m2458,1351l2518,1688m2518,1688l2580,1701m2580,1701l2640,1766m2640,1766l2713,1598m2713,1598l2773,1456m2773,1456l2835,1391m2835,1391l2905,1196m2905,1196l2968,1078m2968,1078l3028,911e" filled="false" stroked="true" strokeweight="1pt" strokecolor="#006caa">
              <v:path arrowok="t"/>
              <v:stroke dashstyle="solid"/>
            </v:shape>
            <v:line style="position:absolute" from="3018,912" to="3100,912" stroked="true" strokeweight="1.125pt" strokecolor="#006caa">
              <v:stroke dashstyle="solid"/>
            </v:line>
            <v:shape style="position:absolute;left:3090;top:235;width:520;height:675" coordorigin="3090,236" coordsize="520,675" path="m3090,911l3160,716m3160,716l3223,651m3223,651l3283,468m3283,468l3355,288m3355,288l3415,236m3415,236l3478,366m3478,366l3538,533m3538,533l3610,651e" filled="false" stroked="true" strokeweight="1pt" strokecolor="#006caa">
              <v:path arrowok="t"/>
              <v:stroke dashstyle="solid"/>
            </v:shape>
            <v:line style="position:absolute" from="3600,652" to="3680,652" stroked="true" strokeweight="1.125pt" strokecolor="#006caa">
              <v:stroke dashstyle="solid"/>
            </v:line>
            <v:shape style="position:absolute;left:3670;top:650;width:195;height:65" coordorigin="3670,651" coordsize="195,65" path="m3670,651l3733,716m3733,716l3803,663m3803,663l3865,651e" filled="false" stroked="true" strokeweight="1pt" strokecolor="#006caa">
              <v:path arrowok="t"/>
              <v:stroke dashstyle="solid"/>
            </v:shape>
            <v:shape style="position:absolute;left:3952;top:50;width:87;height:2142" coordorigin="3953,51" coordsize="87,2142" path="m3953,408l4039,408m3953,765l4039,765m3953,1121l4039,1121m3953,1478l4039,1478m3953,1835l4039,1835m3953,2192l4039,2192m3953,51l4039,51e" filled="false" stroked="true" strokeweight=".5pt" strokecolor="#000000">
              <v:path arrowok="t"/>
              <v:stroke dashstyle="solid"/>
            </v:shape>
            <v:rect style="position:absolute;left:2489;top:2182;width:53;height:13" filled="true" fillcolor="#cee7e8" stroked="false">
              <v:fill type="solid"/>
            </v:rect>
            <v:rect style="position:absolute;left:2489;top:2182;width:53;height:13" filled="false" stroked="true" strokeweight=".5pt" strokecolor="#000000">
              <v:stroke dashstyle="solid"/>
            </v:rect>
            <v:shape style="position:absolute;left:1957;top:298;width:1117;height:254" type="#_x0000_t202" filled="false" stroked="false">
              <v:textbox inset="0,0,0,0">
                <w:txbxContent>
                  <w:p>
                    <w:pPr>
                      <w:spacing w:line="208" w:lineRule="auto" w:before="9"/>
                      <w:ind w:left="60" w:right="0" w:hanging="60"/>
                      <w:jc w:val="left"/>
                      <w:rPr>
                        <w:sz w:val="12"/>
                      </w:rPr>
                    </w:pPr>
                    <w:r>
                      <w:rPr>
                        <w:sz w:val="12"/>
                      </w:rPr>
                      <w:t>Latest three months on previous year</w:t>
                    </w:r>
                  </w:p>
                </w:txbxContent>
              </v:textbox>
              <w10:wrap type="none"/>
            </v:shape>
            <v:shape style="position:absolute;left:3993;top:1930;width:11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w10:wrap type="none"/>
          </v:group>
        </w:pict>
      </w:r>
      <w:r>
        <w:rPr/>
        <w:pict>
          <v:line style="position:absolute;mso-position-horizontal-relative:page;mso-position-vertical-relative:paragraph;z-index:15855616" from="42.182999pt,2.173073pt" to="46.515999pt,2.173073pt" stroked="true" strokeweight=".5pt" strokecolor="#000000">
            <v:stroke dashstyle="solid"/>
            <w10:wrap type="none"/>
          </v:line>
        </w:pict>
      </w:r>
      <w:r>
        <w:rPr>
          <w:sz w:val="12"/>
        </w:rPr>
        <w:t>6</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5852032" from="42.182999pt,7.40636pt" to="46.515999pt,7.40636pt" stroked="true" strokeweight=".5pt" strokecolor="#000000">
            <v:stroke dashstyle="solid"/>
            <w10:wrap type="none"/>
          </v:line>
        </w:pict>
      </w:r>
      <w:r>
        <w:rPr>
          <w:sz w:val="12"/>
        </w:rPr>
        <w:t>5</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5852544" from="42.182999pt,7.421555pt" to="46.515999pt,7.421555pt" stroked="true" strokeweight=".5pt" strokecolor="#000000">
            <v:stroke dashstyle="solid"/>
            <w10:wrap type="none"/>
          </v:line>
        </w:pict>
      </w:r>
      <w:r>
        <w:rPr>
          <w:sz w:val="12"/>
        </w:rPr>
        <w:t>4</w:t>
      </w:r>
    </w:p>
    <w:p>
      <w:pPr>
        <w:pStyle w:val="BodyText"/>
        <w:rPr>
          <w:sz w:val="12"/>
        </w:rPr>
      </w:pPr>
    </w:p>
    <w:p>
      <w:pPr>
        <w:spacing w:before="80"/>
        <w:ind w:left="0" w:right="38" w:firstLine="0"/>
        <w:jc w:val="right"/>
        <w:rPr>
          <w:sz w:val="12"/>
        </w:rPr>
      </w:pPr>
      <w:r>
        <w:rPr/>
        <w:pict>
          <v:line style="position:absolute;mso-position-horizontal-relative:page;mso-position-vertical-relative:paragraph;z-index:15853056" from="42.182999pt,7.387766pt" to="46.515999pt,7.387766pt" stroked="true" strokeweight=".5pt" strokecolor="#000000">
            <v:stroke dashstyle="solid"/>
            <w10:wrap type="none"/>
          </v:line>
        </w:pict>
      </w:r>
      <w:r>
        <w:rPr>
          <w:sz w:val="12"/>
        </w:rPr>
        <w:t>3</w:t>
      </w:r>
    </w:p>
    <w:p>
      <w:pPr>
        <w:pStyle w:val="BodyText"/>
        <w:rPr>
          <w:sz w:val="12"/>
        </w:rPr>
      </w:pPr>
    </w:p>
    <w:p>
      <w:pPr>
        <w:spacing w:before="81"/>
        <w:ind w:left="0" w:right="38" w:firstLine="0"/>
        <w:jc w:val="right"/>
        <w:rPr>
          <w:sz w:val="12"/>
        </w:rPr>
      </w:pPr>
      <w:r>
        <w:rPr/>
        <w:pict>
          <v:line style="position:absolute;mso-position-horizontal-relative:page;mso-position-vertical-relative:paragraph;z-index:15853568" from="42.182999pt,7.453961pt" to="46.515999pt,7.453961pt" stroked="true" strokeweight=".5pt" strokecolor="#000000">
            <v:stroke dashstyle="solid"/>
            <w10:wrap type="none"/>
          </v:line>
        </w:pict>
      </w:r>
      <w:r>
        <w:rPr>
          <w:sz w:val="12"/>
        </w:rPr>
        <w:t>2</w:t>
      </w:r>
    </w:p>
    <w:p>
      <w:pPr>
        <w:pStyle w:val="BodyText"/>
        <w:rPr>
          <w:sz w:val="12"/>
        </w:rPr>
      </w:pPr>
    </w:p>
    <w:p>
      <w:pPr>
        <w:spacing w:before="80"/>
        <w:ind w:left="0" w:right="38" w:firstLine="0"/>
        <w:jc w:val="right"/>
        <w:rPr>
          <w:sz w:val="12"/>
        </w:rPr>
      </w:pPr>
      <w:r>
        <w:rPr/>
        <w:pict>
          <v:line style="position:absolute;mso-position-horizontal-relative:page;mso-position-vertical-relative:paragraph;z-index:15854080" from="42.182999pt,7.420156pt" to="46.515999pt,7.420156pt" stroked="true" strokeweight=".5pt" strokecolor="#000000">
            <v:stroke dashstyle="solid"/>
            <w10:wrap type="none"/>
          </v:line>
        </w:pict>
      </w:r>
      <w:r>
        <w:rPr>
          <w:sz w:val="12"/>
        </w:rPr>
        <w:t>1</w:t>
      </w:r>
    </w:p>
    <w:p>
      <w:pPr>
        <w:pStyle w:val="BodyText"/>
        <w:rPr>
          <w:sz w:val="12"/>
        </w:rPr>
      </w:pPr>
    </w:p>
    <w:p>
      <w:pPr>
        <w:tabs>
          <w:tab w:pos="3372" w:val="left" w:leader="none"/>
        </w:tabs>
        <w:spacing w:line="208" w:lineRule="auto" w:before="98"/>
        <w:ind w:left="1736" w:right="38" w:hanging="60"/>
        <w:jc w:val="left"/>
        <w:rPr>
          <w:sz w:val="12"/>
        </w:rPr>
      </w:pPr>
      <w:r>
        <w:rPr/>
        <w:pict>
          <v:line style="position:absolute;mso-position-horizontal-relative:page;mso-position-vertical-relative:paragraph;z-index:15855104" from="42.182999pt,7.492012pt" to="46.515999pt,7.492012pt" stroked="true" strokeweight=".5pt" strokecolor="#000000">
            <v:stroke dashstyle="solid"/>
            <w10:wrap type="none"/>
          </v:line>
        </w:pict>
      </w:r>
      <w:r>
        <w:rPr>
          <w:sz w:val="12"/>
        </w:rPr>
        <w:t>Latest three months on</w:t>
        <w:tab/>
      </w:r>
      <w:r>
        <w:rPr>
          <w:spacing w:val="-19"/>
          <w:position w:val="1"/>
          <w:sz w:val="16"/>
        </w:rPr>
        <w:t>_</w:t>
      </w:r>
      <w:r>
        <w:rPr>
          <w:spacing w:val="-19"/>
          <w:position w:val="11"/>
          <w:sz w:val="12"/>
        </w:rPr>
        <w:t>0 </w:t>
      </w:r>
      <w:r>
        <w:rPr>
          <w:sz w:val="12"/>
        </w:rPr>
        <w:t>previous three months</w:t>
      </w:r>
    </w:p>
    <w:p>
      <w:pPr>
        <w:spacing w:line="134" w:lineRule="exact" w:before="0"/>
        <w:ind w:left="0" w:right="38" w:firstLine="0"/>
        <w:jc w:val="right"/>
        <w:rPr>
          <w:sz w:val="12"/>
        </w:rPr>
      </w:pPr>
      <w:r>
        <w:rPr/>
        <w:pict>
          <v:line style="position:absolute;mso-position-horizontal-relative:page;mso-position-vertical-relative:paragraph;z-index:15854592" from="42.182999pt,3.230006pt" to="46.515999pt,3.230006pt" stroked="true" strokeweight=".5pt" strokecolor="#000000">
            <v:stroke dashstyle="solid"/>
            <w10:wrap type="none"/>
          </v:line>
        </w:pict>
      </w:r>
      <w:r>
        <w:rPr/>
        <w:pict>
          <v:line style="position:absolute;mso-position-horizontal-relative:page;mso-position-vertical-relative:paragraph;z-index:15856128" from="197.626999pt,3.595006pt" to="201.960999pt,3.595006pt" stroked="true" strokeweight=".5pt" strokecolor="#000000">
            <v:stroke dashstyle="solid"/>
            <w10:wrap type="none"/>
          </v:line>
        </w:pict>
      </w:r>
      <w:r>
        <w:rPr>
          <w:sz w:val="12"/>
        </w:rPr>
        <w:t>1</w:t>
      </w:r>
    </w:p>
    <w:p>
      <w:pPr>
        <w:pStyle w:val="BodyText"/>
        <w:rPr>
          <w:sz w:val="12"/>
        </w:rPr>
      </w:pPr>
    </w:p>
    <w:p>
      <w:pPr>
        <w:spacing w:line="115" w:lineRule="exact" w:before="80"/>
        <w:ind w:left="3433" w:right="0" w:firstLine="0"/>
        <w:jc w:val="left"/>
        <w:rPr>
          <w:sz w:val="12"/>
        </w:rPr>
      </w:pPr>
      <w:r>
        <w:rPr/>
        <w:pict>
          <v:shape style="position:absolute;margin-left:42.182999pt;margin-top:4.479766pt;width:159.8pt;height:3.4pt;mso-position-horizontal-relative:page;mso-position-vertical-relative:paragraph;z-index:15851520" coordorigin="844,90" coordsize="3196,68" path="m1007,157l3889,157m1005,90l1005,157m1776,90l1776,157m2547,90l2547,157m3317,90l3317,157m844,149l930,149m3953,157l4039,157e" filled="false" stroked="true" strokeweight=".5pt" strokecolor="#000000">
            <v:path arrowok="t"/>
            <v:stroke dashstyle="solid"/>
            <w10:wrap type="none"/>
          </v:shape>
        </w:pict>
      </w:r>
      <w:r>
        <w:rPr>
          <w:sz w:val="12"/>
        </w:rPr>
        <w:t>2</w:t>
      </w:r>
    </w:p>
    <w:p>
      <w:pPr>
        <w:tabs>
          <w:tab w:pos="1466" w:val="left" w:leader="none"/>
          <w:tab w:pos="2231" w:val="left" w:leader="none"/>
          <w:tab w:pos="2885" w:val="left" w:leader="none"/>
        </w:tabs>
        <w:spacing w:line="115" w:lineRule="exact" w:before="0"/>
        <w:ind w:left="622" w:right="0" w:firstLine="0"/>
        <w:jc w:val="left"/>
        <w:rPr>
          <w:sz w:val="12"/>
        </w:rPr>
      </w:pPr>
      <w:r>
        <w:rPr>
          <w:sz w:val="12"/>
        </w:rPr>
        <w:t>1997</w:t>
        <w:tab/>
        <w:t>98</w:t>
        <w:tab/>
        <w:t>99</w:t>
        <w:tab/>
        <w:t>2000</w:t>
      </w:r>
    </w:p>
    <w:p>
      <w:pPr>
        <w:pStyle w:val="BodyText"/>
        <w:spacing w:line="242" w:lineRule="auto" w:before="8"/>
        <w:ind w:left="179" w:right="193"/>
      </w:pPr>
      <w:r>
        <w:rPr/>
        <w:br w:type="column"/>
      </w:r>
      <w:r>
        <w:rPr/>
        <w:t>disruptions in September, although reports from the Bank’s regional Agents and the Chartered Institute of Purchasing and Supply (CIPS) suggest that the fuel shortages may have had some impact on sales of services. Recent monetary data are also consistent with firm spending growth in Q3. Household borrowing remains strong and household M4 was boosted by windfall payments to Scottish Widows policyholders </w:t>
      </w:r>
      <w:hyperlink w:history="true" w:anchor="_bookmark1">
        <w:r>
          <w:rPr/>
          <w:t>(</w:t>
        </w:r>
        <w:r>
          <w:rPr>
            <w:color w:val="FF0000"/>
          </w:rPr>
          <w:t>see Section 1</w:t>
        </w:r>
        <w:r>
          <w:rPr/>
          <w:t>).</w:t>
        </w:r>
      </w:hyperlink>
      <w:r>
        <w:rPr/>
        <w:t> Looking further ahead, however, early indicators for sales in October, such as the latest CBI distributive trades and BRC surveys, point to some easing in spending growth, perhaps partly related to recent severe weather conditions.</w:t>
      </w:r>
    </w:p>
    <w:p>
      <w:pPr>
        <w:pStyle w:val="BodyText"/>
      </w:pPr>
    </w:p>
    <w:p>
      <w:pPr>
        <w:pStyle w:val="BodyText"/>
        <w:spacing w:line="242" w:lineRule="auto" w:before="1"/>
        <w:ind w:left="179" w:right="33"/>
      </w:pPr>
      <w:r>
        <w:rPr/>
        <w:t>In recent years, growth in household post-tax income has generally failed to keep pace with spending growth (see Chart 2.6). In 2000 Q2, real household post-tax income fell slightly, reflecting both slower growth in labour income and a sharp fall in the property income</w:t>
      </w:r>
    </w:p>
    <w:p>
      <w:pPr>
        <w:spacing w:after="0" w:line="242" w:lineRule="auto"/>
        <w:sectPr>
          <w:type w:val="continuous"/>
          <w:pgSz w:w="11900" w:h="16840"/>
          <w:pgMar w:top="1260" w:bottom="280" w:left="640" w:right="640"/>
          <w:cols w:num="2" w:equalWidth="0">
            <w:col w:w="3534" w:space="1261"/>
            <w:col w:w="5825"/>
          </w:cols>
        </w:sectPr>
      </w:pPr>
    </w:p>
    <w:p>
      <w:pPr>
        <w:pStyle w:val="BodyText"/>
        <w:rPr>
          <w:sz w:val="20"/>
        </w:rPr>
      </w:pPr>
    </w:p>
    <w:p>
      <w:pPr>
        <w:spacing w:after="0"/>
        <w:rPr>
          <w:sz w:val="20"/>
        </w:rPr>
        <w:sectPr>
          <w:pgSz w:w="11900" w:h="16840"/>
          <w:pgMar w:header="586" w:footer="592" w:top="780" w:bottom="780" w:left="640" w:right="640"/>
        </w:sectPr>
      </w:pPr>
    </w:p>
    <w:p>
      <w:pPr>
        <w:pStyle w:val="BodyText"/>
        <w:spacing w:before="3"/>
        <w:rPr>
          <w:sz w:val="22"/>
        </w:rPr>
      </w:pPr>
    </w:p>
    <w:p>
      <w:pPr>
        <w:spacing w:before="0"/>
        <w:ind w:left="189" w:right="0" w:firstLine="0"/>
        <w:jc w:val="left"/>
        <w:rPr>
          <w:b/>
          <w:sz w:val="20"/>
        </w:rPr>
      </w:pPr>
      <w:bookmarkStart w:name="Investment demand" w:id="36"/>
      <w:bookmarkEnd w:id="36"/>
      <w:r>
        <w:rPr/>
      </w:r>
      <w:bookmarkStart w:name="_bookmark14" w:id="37"/>
      <w:bookmarkEnd w:id="37"/>
      <w:r>
        <w:rPr/>
      </w:r>
      <w:r>
        <w:rPr>
          <w:b/>
          <w:color w:val="0092C7"/>
          <w:sz w:val="20"/>
        </w:rPr>
        <w:t>Chart 2.6</w:t>
      </w:r>
    </w:p>
    <w:p>
      <w:pPr>
        <w:spacing w:line="249" w:lineRule="auto" w:before="10"/>
        <w:ind w:left="189" w:right="319" w:firstLine="0"/>
        <w:jc w:val="left"/>
        <w:rPr>
          <w:sz w:val="12"/>
        </w:rPr>
      </w:pPr>
      <w:r>
        <w:rPr>
          <w:b/>
          <w:color w:val="0092C7"/>
          <w:sz w:val="20"/>
        </w:rPr>
        <w:t>Real household post-tax income and consumption</w:t>
      </w:r>
      <w:r>
        <w:rPr>
          <w:position w:val="4"/>
          <w:sz w:val="12"/>
        </w:rPr>
        <w:t>(a)</w:t>
      </w:r>
    </w:p>
    <w:p>
      <w:pPr>
        <w:spacing w:before="57"/>
        <w:ind w:left="1732" w:right="0" w:firstLine="0"/>
        <w:jc w:val="left"/>
        <w:rPr>
          <w:sz w:val="12"/>
        </w:rPr>
      </w:pPr>
      <w:r>
        <w:rPr/>
        <w:pict>
          <v:group style="position:absolute;margin-left:52.618999pt;margin-top:16.88327pt;width:145pt;height:138.1pt;mso-position-horizontal-relative:page;mso-position-vertical-relative:paragraph;z-index:15867904" coordorigin="1052,338" coordsize="2900,2762">
            <v:rect style="position:absolute;left:1123;top:1682;width:88;height:691" filled="true" fillcolor="#f6d200" stroked="false">
              <v:fill type="solid"/>
            </v:rect>
            <v:rect style="position:absolute;left:1123;top:1682;width:88;height:691" filled="false" stroked="true" strokeweight=".5pt" strokecolor="#000000">
              <v:stroke dashstyle="solid"/>
            </v:rect>
            <v:rect style="position:absolute;left:1328;top:525;width:88;height:1848" filled="true" fillcolor="#f6d200" stroked="false">
              <v:fill type="solid"/>
            </v:rect>
            <v:rect style="position:absolute;left:1328;top:525;width:88;height:1848" filled="false" stroked="true" strokeweight=".5pt" strokecolor="#000000">
              <v:stroke dashstyle="solid"/>
            </v:rect>
            <v:line style="position:absolute" from="1173,1219" to="1378,929" stroked="true" strokeweight="1pt" strokecolor="#972140">
              <v:stroke dashstyle="solid"/>
            </v:line>
            <v:rect style="position:absolute;left:1533;top:630;width:88;height:1743" filled="true" fillcolor="#f6d200" stroked="false">
              <v:fill type="solid"/>
            </v:rect>
            <v:rect style="position:absolute;left:1533;top:630;width:88;height:1743" filled="false" stroked="true" strokeweight=".5pt" strokecolor="#000000">
              <v:stroke dashstyle="solid"/>
            </v:rect>
            <v:line style="position:absolute" from="1378,929" to="1581,824" stroked="true" strokeweight="1pt" strokecolor="#972140">
              <v:stroke dashstyle="solid"/>
            </v:line>
            <v:line style="position:absolute" from="1571,816" to="1796,816" stroked="true" strokeweight="1.75pt" strokecolor="#972140">
              <v:stroke dashstyle="solid"/>
            </v:line>
            <v:shape style="position:absolute;left:1785;top:686;width:1025;height:473" coordorigin="1786,686" coordsize="1025,473" path="m1786,809l1991,686m1991,686l2196,929m2196,929l2401,1021m2401,1021l2606,1159m2606,1159l2811,929e" filled="false" stroked="true" strokeweight="1pt" strokecolor="#972140">
              <v:path arrowok="t"/>
              <v:stroke dashstyle="solid"/>
            </v:shape>
            <v:rect style="position:absolute;left:2978;top:342;width:88;height:2031" filled="true" fillcolor="#f6d200" stroked="false">
              <v:fill type="solid"/>
            </v:rect>
            <v:rect style="position:absolute;left:2978;top:342;width:88;height:2031" filled="false" stroked="true" strokeweight=".5pt" strokecolor="#000000">
              <v:stroke dashstyle="solid"/>
            </v:rect>
            <v:shape style="position:absolute;left:2810;top:823;width:410;height:105" coordorigin="2811,824" coordsize="410,105" path="m2811,929l3016,899m3016,899l3221,824e" filled="false" stroked="true" strokeweight="1pt" strokecolor="#972140">
              <v:path arrowok="t"/>
              <v:stroke dashstyle="solid"/>
            </v:shape>
            <v:rect style="position:absolute;left:3388;top:662;width:88;height:1711" filled="true" fillcolor="#f6d200" stroked="false">
              <v:fill type="solid"/>
            </v:rect>
            <v:rect style="position:absolute;left:3388;top:662;width:88;height:1711" filled="false" stroked="true" strokeweight=".5pt" strokecolor="#000000">
              <v:stroke dashstyle="solid"/>
            </v:rect>
            <v:line style="position:absolute" from="3221,824" to="3426,549" stroked="true" strokeweight="1pt" strokecolor="#972140">
              <v:stroke dashstyle="solid"/>
            </v:line>
            <v:rect style="position:absolute;left:3593;top:935;width:88;height:1438" filled="true" fillcolor="#f6d200" stroked="false">
              <v:fill type="solid"/>
            </v:rect>
            <v:rect style="position:absolute;left:3593;top:935;width:88;height:1438" filled="false" stroked="true" strokeweight=".5pt" strokecolor="#000000">
              <v:stroke dashstyle="solid"/>
            </v:rect>
            <v:shape style="position:absolute;left:3425;top:548;width:408;height:488" coordorigin="3426,549" coordsize="408,488" path="m3426,549l3628,944m3628,944l3833,1036e" filled="false" stroked="true" strokeweight="1pt" strokecolor="#972140">
              <v:path arrowok="t"/>
              <v:stroke dashstyle="solid"/>
            </v:shape>
            <v:rect style="position:absolute;left:1738;top:1165;width:88;height:1208" filled="true" fillcolor="#f6d200" stroked="false">
              <v:fill type="solid"/>
            </v:rect>
            <v:rect style="position:absolute;left:1738;top:1165;width:88;height:1208" filled="false" stroked="true" strokeweight=".5pt" strokecolor="#000000">
              <v:stroke dashstyle="solid"/>
            </v:rect>
            <v:rect style="position:absolute;left:1943;top:1470;width:88;height:903" filled="true" fillcolor="#f6d200" stroked="false">
              <v:fill type="solid"/>
            </v:rect>
            <v:rect style="position:absolute;left:1943;top:1470;width:88;height:903" filled="false" stroked="true" strokeweight=".5pt" strokecolor="#000000">
              <v:stroke dashstyle="solid"/>
            </v:rect>
            <v:rect style="position:absolute;left:2148;top:2378;width:88;height:643" filled="true" fillcolor="#f6d200" stroked="false">
              <v:fill type="solid"/>
            </v:rect>
            <v:shape style="position:absolute;left:1056;top:2378;width:2896;height:716" coordorigin="1056,2379" coordsize="2896,716" path="m2148,2379l2236,2379,2236,3021,2148,3021,2148,2379xm1056,3094l3952,3094m1057,2978l1057,3094m1264,3047l1264,3094m1470,3047l1470,3094m1676,3047l1676,3094m1883,2978l1883,3094m2089,3047l2089,3094m2295,3047l2295,3094m2501,3047l2501,3094m2708,2978l2708,3094m2914,3047l2914,3094m3120,3047l3120,3094m3327,3047l3327,3094m3533,2978l3533,3094m3739,3047l3739,3094m3946,3047l3946,3094e" filled="false" stroked="true" strokeweight=".5pt" strokecolor="#000000">
              <v:path arrowok="t"/>
              <v:stroke dashstyle="solid"/>
            </v:shape>
            <v:rect style="position:absolute;left:2353;top:2378;width:98;height:338" filled="true" fillcolor="#f6d200" stroked="false">
              <v:fill type="solid"/>
            </v:rect>
            <v:rect style="position:absolute;left:2353;top:2378;width:98;height:338" filled="false" stroked="true" strokeweight=".5pt" strokecolor="#000000">
              <v:stroke dashstyle="solid"/>
            </v:rect>
            <v:rect style="position:absolute;left:2568;top:2065;width:88;height:308" filled="true" fillcolor="#f6d200" stroked="false">
              <v:fill type="solid"/>
            </v:rect>
            <v:rect style="position:absolute;left:2568;top:2065;width:88;height:308" filled="false" stroked="true" strokeweight=".5pt" strokecolor="#000000">
              <v:stroke dashstyle="solid"/>
            </v:rect>
            <v:rect style="position:absolute;left:2773;top:2202;width:88;height:170" filled="true" fillcolor="#f6d200" stroked="false">
              <v:fill type="solid"/>
            </v:rect>
            <v:rect style="position:absolute;left:2773;top:2202;width:88;height:170" filled="false" stroked="true" strokeweight=".5pt" strokecolor="#000000">
              <v:stroke dashstyle="solid"/>
            </v:rect>
            <v:rect style="position:absolute;left:3183;top:1135;width:88;height:1238" filled="true" fillcolor="#f6d200" stroked="false">
              <v:fill type="solid"/>
            </v:rect>
            <v:rect style="position:absolute;left:3183;top:1135;width:88;height:1238" filled="false" stroked="true" strokeweight=".5pt" strokecolor="#000000">
              <v:stroke dashstyle="solid"/>
            </v:rect>
            <v:rect style="position:absolute;left:3798;top:2378;width:88;height:63" filled="true" fillcolor="#f6d200" stroked="false">
              <v:fill type="solid"/>
            </v:rect>
            <v:shape style="position:absolute;left:1059;top:2372;width:2889;height:69" coordorigin="1059,2373" coordsize="2889,69" path="m3798,2379l3886,2379,3886,2441,3798,2441,3798,2379xm1059,2373l3947,2373e" filled="false" stroked="true" strokeweight=".5pt" strokecolor="#000000">
              <v:path arrowok="t"/>
              <v:stroke dashstyle="solid"/>
            </v:shape>
            <v:shape style="position:absolute;left:2042;top:590;width:667;height:134" type="#_x0000_t202" filled="false" stroked="false">
              <v:textbox inset="0,0,0,0">
                <w:txbxContent>
                  <w:p>
                    <w:pPr>
                      <w:spacing w:line="133" w:lineRule="exact" w:before="0"/>
                      <w:ind w:left="0" w:right="0" w:firstLine="0"/>
                      <w:jc w:val="left"/>
                      <w:rPr>
                        <w:sz w:val="12"/>
                      </w:rPr>
                    </w:pPr>
                    <w:r>
                      <w:rPr>
                        <w:sz w:val="12"/>
                      </w:rPr>
                      <w:t>Consumption</w:t>
                    </w:r>
                  </w:p>
                </w:txbxContent>
              </v:textbox>
              <w10:wrap type="none"/>
            </v:shape>
            <v:shape style="position:absolute;left:2061;top:1458;width:657;height:253" type="#_x0000_t202" filled="false" stroked="false">
              <v:textbox inset="0,0,0,0">
                <w:txbxContent>
                  <w:p>
                    <w:pPr>
                      <w:spacing w:line="208" w:lineRule="auto" w:before="9"/>
                      <w:ind w:left="60" w:right="0" w:hanging="60"/>
                      <w:jc w:val="left"/>
                      <w:rPr>
                        <w:sz w:val="12"/>
                      </w:rPr>
                    </w:pPr>
                    <w:r>
                      <w:rPr>
                        <w:sz w:val="12"/>
                      </w:rPr>
                      <w:t>Real post-tax income</w:t>
                    </w:r>
                  </w:p>
                </w:txbxContent>
              </v:textbox>
              <w10:wrap type="none"/>
            </v:shape>
            <w10:wrap type="none"/>
          </v:group>
        </w:pict>
      </w:r>
      <w:r>
        <w:rPr/>
        <w:pict>
          <v:line style="position:absolute;mso-position-horizontal-relative:page;mso-position-vertical-relative:paragraph;z-index:15868928" from="44.688999pt,10.690271pt" to="49.021999pt,10.690271pt" stroked="true" strokeweight=".5pt" strokecolor="#000000">
            <v:stroke dashstyle="solid"/>
            <w10:wrap type="none"/>
          </v:line>
        </w:pict>
      </w:r>
      <w:r>
        <w:rPr>
          <w:sz w:val="12"/>
        </w:rPr>
        <w:t>Percentage changes on a year earl</w:t>
      </w:r>
      <w:r>
        <w:rPr>
          <w:sz w:val="12"/>
          <w:u w:val="single"/>
        </w:rPr>
        <w:t>ie</w:t>
      </w:r>
      <w:r>
        <w:rPr>
          <w:sz w:val="12"/>
        </w:rPr>
        <w:t>r </w:t>
      </w:r>
      <w:r>
        <w:rPr>
          <w:position w:val="-5"/>
          <w:sz w:val="12"/>
        </w:rPr>
        <w:t>6</w:t>
      </w:r>
    </w:p>
    <w:p>
      <w:pPr>
        <w:pStyle w:val="BodyText"/>
        <w:spacing w:before="8"/>
        <w:rPr>
          <w:sz w:val="19"/>
        </w:rPr>
      </w:pPr>
    </w:p>
    <w:p>
      <w:pPr>
        <w:spacing w:before="1"/>
        <w:ind w:left="0" w:right="38" w:firstLine="0"/>
        <w:jc w:val="right"/>
        <w:rPr>
          <w:sz w:val="12"/>
        </w:rPr>
      </w:pPr>
      <w:r>
        <w:rPr/>
        <w:pict>
          <v:line style="position:absolute;mso-position-horizontal-relative:page;mso-position-vertical-relative:paragraph;z-index:15868416" from="44.688999pt,4.674994pt" to="49.021999pt,4.674994pt" stroked="true" strokeweight=".5pt" strokecolor="#000000">
            <v:stroke dashstyle="solid"/>
            <w10:wrap type="none"/>
          </v:line>
        </w:pict>
      </w:r>
      <w:r>
        <w:rPr/>
        <w:pict>
          <v:line style="position:absolute;mso-position-horizontal-relative:page;mso-position-vertical-relative:paragraph;z-index:15869440" from="201.373001pt,4.431994pt" to="205.706001pt,4.431994pt" stroked="true" strokeweight=".5pt" strokecolor="#000000">
            <v:stroke dashstyle="solid"/>
            <w10:wrap type="none"/>
          </v:line>
        </w:pict>
      </w:r>
      <w:r>
        <w:rPr>
          <w:sz w:val="12"/>
        </w:rPr>
        <w:t>5</w:t>
      </w:r>
    </w:p>
    <w:p>
      <w:pPr>
        <w:pStyle w:val="BodyText"/>
        <w:spacing w:line="242" w:lineRule="auto" w:before="227"/>
        <w:ind w:left="189" w:right="177"/>
      </w:pPr>
      <w:r>
        <w:rPr/>
        <w:br w:type="column"/>
      </w:r>
      <w:r>
        <w:rPr/>
        <w:t>component, which tends to be volatile. As a result, household gross savings—the surplus of current income </w:t>
      </w:r>
      <w:r>
        <w:rPr>
          <w:spacing w:val="-3"/>
        </w:rPr>
        <w:t>over </w:t>
      </w:r>
      <w:r>
        <w:rPr/>
        <w:t>consumption—fell </w:t>
      </w:r>
      <w:r>
        <w:rPr>
          <w:spacing w:val="-3"/>
        </w:rPr>
        <w:t>sharply, </w:t>
      </w:r>
      <w:r>
        <w:rPr/>
        <w:t>reducing the saving ratio</w:t>
      </w:r>
      <w:r>
        <w:rPr>
          <w:spacing w:val="-5"/>
        </w:rPr>
        <w:t> </w:t>
      </w:r>
      <w:r>
        <w:rPr/>
        <w:t>to</w:t>
      </w:r>
      <w:r>
        <w:rPr>
          <w:spacing w:val="-4"/>
        </w:rPr>
        <w:t> </w:t>
      </w:r>
      <w:r>
        <w:rPr/>
        <w:t>3%,</w:t>
      </w:r>
      <w:r>
        <w:rPr>
          <w:spacing w:val="-3"/>
        </w:rPr>
        <w:t> </w:t>
      </w:r>
      <w:r>
        <w:rPr/>
        <w:t>equal</w:t>
      </w:r>
      <w:r>
        <w:rPr>
          <w:spacing w:val="-5"/>
        </w:rPr>
        <w:t> </w:t>
      </w:r>
      <w:r>
        <w:rPr/>
        <w:t>to</w:t>
      </w:r>
      <w:r>
        <w:rPr>
          <w:spacing w:val="-4"/>
        </w:rPr>
        <w:t> </w:t>
      </w:r>
      <w:r>
        <w:rPr/>
        <w:t>its</w:t>
      </w:r>
      <w:r>
        <w:rPr>
          <w:spacing w:val="-4"/>
        </w:rPr>
        <w:t> </w:t>
      </w:r>
      <w:r>
        <w:rPr/>
        <w:t>previous</w:t>
      </w:r>
      <w:r>
        <w:rPr>
          <w:spacing w:val="-5"/>
        </w:rPr>
        <w:t> </w:t>
      </w:r>
      <w:r>
        <w:rPr/>
        <w:t>lowest</w:t>
      </w:r>
      <w:r>
        <w:rPr>
          <w:spacing w:val="-4"/>
        </w:rPr>
        <w:t> </w:t>
      </w:r>
      <w:r>
        <w:rPr>
          <w:spacing w:val="-3"/>
        </w:rPr>
        <w:t>level</w:t>
      </w:r>
      <w:r>
        <w:rPr>
          <w:spacing w:val="-4"/>
        </w:rPr>
        <w:t> </w:t>
      </w:r>
      <w:r>
        <w:rPr/>
        <w:t>in</w:t>
      </w:r>
      <w:r>
        <w:rPr>
          <w:spacing w:val="-5"/>
        </w:rPr>
        <w:t> </w:t>
      </w:r>
      <w:r>
        <w:rPr/>
        <w:t>1988</w:t>
      </w:r>
      <w:r>
        <w:rPr>
          <w:spacing w:val="-4"/>
        </w:rPr>
        <w:t> </w:t>
      </w:r>
      <w:r>
        <w:rPr/>
        <w:t>Q3 (see Chart</w:t>
      </w:r>
      <w:r>
        <w:rPr>
          <w:spacing w:val="-3"/>
        </w:rPr>
        <w:t> </w:t>
      </w:r>
      <w:r>
        <w:rPr/>
        <w:t>2.7).</w:t>
      </w:r>
    </w:p>
    <w:p>
      <w:pPr>
        <w:spacing w:after="0" w:line="242" w:lineRule="auto"/>
        <w:sectPr>
          <w:type w:val="continuous"/>
          <w:pgSz w:w="11900" w:h="16840"/>
          <w:pgMar w:top="1260" w:bottom="280" w:left="640" w:right="640"/>
          <w:cols w:num="2" w:equalWidth="0">
            <w:col w:w="3607" w:space="1189"/>
            <w:col w:w="5824"/>
          </w:cols>
        </w:sectPr>
      </w:pPr>
    </w:p>
    <w:p>
      <w:pPr>
        <w:pStyle w:val="BodyText"/>
        <w:spacing w:before="9"/>
        <w:rPr>
          <w:sz w:val="8"/>
        </w:rPr>
      </w:pPr>
    </w:p>
    <w:p>
      <w:pPr>
        <w:spacing w:after="0"/>
        <w:rPr>
          <w:sz w:val="8"/>
        </w:rPr>
        <w:sectPr>
          <w:type w:val="continuous"/>
          <w:pgSz w:w="11900" w:h="16840"/>
          <w:pgMar w:top="1260" w:bottom="280" w:left="640" w:right="640"/>
        </w:sectPr>
      </w:pPr>
    </w:p>
    <w:p>
      <w:pPr>
        <w:pStyle w:val="BodyText"/>
        <w:spacing w:before="10"/>
        <w:rPr>
          <w:sz w:val="15"/>
        </w:rPr>
      </w:pPr>
    </w:p>
    <w:p>
      <w:pPr>
        <w:pStyle w:val="BodyText"/>
        <w:spacing w:line="20" w:lineRule="exact"/>
        <w:ind w:left="24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2"/>
        <w:rPr>
          <w:sz w:val="26"/>
        </w:rPr>
      </w:pPr>
      <w:r>
        <w:rPr/>
        <w:pict>
          <v:shape style="position:absolute;margin-left:44.688999pt;margin-top:17.281pt;width:4.350pt;height:.1pt;mso-position-horizontal-relative:page;mso-position-vertical-relative:paragraph;z-index:-15600128;mso-wrap-distance-left:0;mso-wrap-distance-right:0" coordorigin="894,346" coordsize="87,0" path="m894,346l980,346e" filled="false" stroked="true" strokeweight=".5pt" strokecolor="#000000">
            <v:path arrowok="t"/>
            <v:stroke dashstyle="solid"/>
            <w10:wrap type="topAndBottom"/>
          </v:shape>
        </w:pict>
      </w:r>
      <w:r>
        <w:rPr/>
        <w:pict>
          <v:shape style="position:absolute;margin-left:44.688999pt;margin-top:35.312pt;width:4.350pt;height:.1pt;mso-position-horizontal-relative:page;mso-position-vertical-relative:paragraph;z-index:-15599616;mso-wrap-distance-left:0;mso-wrap-distance-right:0" coordorigin="894,706" coordsize="87,0" path="m894,706l980,706e" filled="false" stroked="true" strokeweight=".5pt" strokecolor="#000000">
            <v:path arrowok="t"/>
            <v:stroke dashstyle="solid"/>
            <w10:wrap type="topAndBottom"/>
          </v:shape>
        </w:pict>
      </w:r>
      <w:r>
        <w:rPr/>
        <w:pict>
          <v:shape style="position:absolute;margin-left:44.688999pt;margin-top:53.342999pt;width:4.350pt;height:.1pt;mso-position-horizontal-relative:page;mso-position-vertical-relative:paragraph;z-index:-15599104;mso-wrap-distance-left:0;mso-wrap-distance-right:0" coordorigin="894,1067" coordsize="87,0" path="m894,1067l980,1067e" filled="false" stroked="true" strokeweight=".5pt" strokecolor="#000000">
            <v:path arrowok="t"/>
            <v:stroke dashstyle="solid"/>
            <w10:wrap type="topAndBottom"/>
          </v:shape>
        </w:pict>
      </w:r>
      <w:r>
        <w:rPr/>
        <w:pict>
          <v:shape style="position:absolute;margin-left:44.688999pt;margin-top:71.375pt;width:4.350pt;height:.1pt;mso-position-horizontal-relative:page;mso-position-vertical-relative:paragraph;z-index:-15598592;mso-wrap-distance-left:0;mso-wrap-distance-right:0" coordorigin="894,1428" coordsize="87,0" path="m894,1428l980,1428e" filled="false" stroked="true" strokeweight=".5pt" strokecolor="#000000">
            <v:path arrowok="t"/>
            <v:stroke dashstyle="solid"/>
            <w10:wrap type="topAndBottom"/>
          </v:shape>
        </w:pict>
      </w:r>
      <w:r>
        <w:rPr/>
        <w:pict>
          <v:shape style="position:absolute;margin-left:44.688999pt;margin-top:89.405998pt;width:4.350pt;height:.1pt;mso-position-horizontal-relative:page;mso-position-vertical-relative:paragraph;z-index:-15598080;mso-wrap-distance-left:0;mso-wrap-distance-right:0" coordorigin="894,1788" coordsize="87,0" path="m894,1788l980,1788e" filled="false" stroked="true" strokeweight=".5pt" strokecolor="#000000">
            <v:path arrowok="t"/>
            <v:stroke dashstyle="solid"/>
            <w10:wrap type="topAndBottom"/>
          </v:shape>
        </w:pict>
      </w:r>
      <w:r>
        <w:rPr/>
        <w:pict>
          <v:shape style="position:absolute;margin-left:44.688999pt;margin-top:107.436996pt;width:4.350pt;height:.1pt;mso-position-horizontal-relative:page;mso-position-vertical-relative:paragraph;z-index:-15597568;mso-wrap-distance-left:0;mso-wrap-distance-right:0" coordorigin="894,2149" coordsize="87,0" path="m894,2149l980,2149e" filled="false" stroked="true" strokeweight=".5pt" strokecolor="#000000">
            <v:path arrowok="t"/>
            <v:stroke dashstyle="solid"/>
            <w10:wrap type="topAndBottom"/>
          </v:shape>
        </w:pict>
      </w:r>
    </w:p>
    <w:p>
      <w:pPr>
        <w:pStyle w:val="BodyText"/>
        <w:spacing w:before="6"/>
      </w:pPr>
    </w:p>
    <w:p>
      <w:pPr>
        <w:pStyle w:val="BodyText"/>
        <w:spacing w:before="6"/>
      </w:pPr>
    </w:p>
    <w:p>
      <w:pPr>
        <w:pStyle w:val="BodyText"/>
        <w:spacing w:before="6"/>
      </w:pPr>
    </w:p>
    <w:p>
      <w:pPr>
        <w:pStyle w:val="BodyText"/>
        <w:spacing w:before="6"/>
      </w:pPr>
    </w:p>
    <w:p>
      <w:pPr>
        <w:pStyle w:val="BodyText"/>
        <w:spacing w:before="6"/>
      </w:pPr>
    </w:p>
    <w:p>
      <w:pPr>
        <w:tabs>
          <w:tab w:pos="1598" w:val="left" w:leader="none"/>
        </w:tabs>
        <w:spacing w:before="0"/>
        <w:ind w:left="721" w:right="0" w:firstLine="0"/>
        <w:jc w:val="left"/>
        <w:rPr>
          <w:sz w:val="12"/>
        </w:rPr>
      </w:pPr>
      <w:r>
        <w:rPr>
          <w:sz w:val="12"/>
        </w:rPr>
        <w:t>1997</w:t>
        <w:tab/>
      </w:r>
      <w:r>
        <w:rPr>
          <w:spacing w:val="-10"/>
          <w:sz w:val="12"/>
        </w:rPr>
        <w:t>98</w:t>
      </w:r>
    </w:p>
    <w:p>
      <w:pPr>
        <w:spacing w:before="95"/>
        <w:ind w:left="0" w:right="38" w:firstLine="0"/>
        <w:jc w:val="right"/>
        <w:rPr>
          <w:sz w:val="12"/>
        </w:rPr>
      </w:pPr>
      <w:r>
        <w:rPr/>
        <w:br w:type="column"/>
      </w:r>
      <w:r>
        <w:rPr>
          <w:sz w:val="12"/>
        </w:rPr>
        <w:t>4</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869952" from="201.373001pt,-9.418195pt" to="205.706001pt,-9.418195pt" stroked="true" strokeweight=".5pt" strokecolor="#000000">
            <v:stroke dashstyle="solid"/>
            <w10:wrap type="none"/>
          </v:line>
        </w:pict>
      </w:r>
      <w:r>
        <w:rPr/>
        <w:pict>
          <v:line style="position:absolute;mso-position-horizontal-relative:page;mso-position-vertical-relative:paragraph;z-index:15870464" from="201.373001pt,8.612805pt" to="205.706001pt,8.612805pt" stroked="true" strokeweight=".5pt" strokecolor="#000000">
            <v:stroke dashstyle="solid"/>
            <w10:wrap type="none"/>
          </v:line>
        </w:pict>
      </w:r>
      <w:r>
        <w:rPr>
          <w:sz w:val="12"/>
        </w:rPr>
        <w:t>3</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5870976" from="201.373001pt,8.678241pt" to="205.706001pt,8.678241pt" stroked="true" strokeweight=".5pt" strokecolor="#000000">
            <v:stroke dashstyle="solid"/>
            <w10:wrap type="none"/>
          </v:line>
        </w:pict>
      </w:r>
      <w:r>
        <w:rPr>
          <w:sz w:val="12"/>
        </w:rPr>
        <w:t>2</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871488" from="201.373001pt,8.644616pt" to="205.706001pt,8.644616pt" stroked="true" strokeweight=".5pt" strokecolor="#000000">
            <v:stroke dashstyle="solid"/>
            <w10:wrap type="none"/>
          </v:line>
        </w:pict>
      </w:r>
      <w:r>
        <w:rPr>
          <w:sz w:val="12"/>
        </w:rPr>
        <w:t>1</w:t>
      </w:r>
    </w:p>
    <w:p>
      <w:pPr>
        <w:spacing w:line="176" w:lineRule="exact" w:before="54"/>
        <w:ind w:left="1680" w:right="0" w:firstLine="0"/>
        <w:jc w:val="left"/>
        <w:rPr>
          <w:sz w:val="16"/>
        </w:rPr>
      </w:pPr>
      <w:r>
        <w:rPr>
          <w:sz w:val="16"/>
        </w:rPr>
        <w:t>+</w:t>
      </w:r>
    </w:p>
    <w:p>
      <w:pPr>
        <w:spacing w:line="115" w:lineRule="exact" w:before="0"/>
        <w:ind w:left="1747" w:right="0" w:firstLine="0"/>
        <w:jc w:val="left"/>
        <w:rPr>
          <w:sz w:val="12"/>
        </w:rPr>
      </w:pPr>
      <w:r>
        <w:rPr/>
        <w:pict>
          <v:line style="position:absolute;mso-position-horizontal-relative:page;mso-position-vertical-relative:paragraph;z-index:15872512" from="201.373001pt,4.080261pt" to="205.706001pt,4.080261pt" stroked="true" strokeweight=".5pt" strokecolor="#000000">
            <v:stroke dashstyle="solid"/>
            <w10:wrap type="none"/>
          </v:line>
        </w:pict>
      </w:r>
      <w:r>
        <w:rPr>
          <w:sz w:val="12"/>
        </w:rPr>
        <w:t>0</w:t>
      </w:r>
    </w:p>
    <w:p>
      <w:pPr>
        <w:spacing w:line="169" w:lineRule="exact" w:before="0"/>
        <w:ind w:left="1685" w:right="0" w:firstLine="0"/>
        <w:jc w:val="left"/>
        <w:rPr>
          <w:sz w:val="16"/>
        </w:rPr>
      </w:pPr>
      <w:r>
        <w:rPr>
          <w:sz w:val="16"/>
        </w:rPr>
        <w:t>–</w:t>
      </w:r>
    </w:p>
    <w:p>
      <w:pPr>
        <w:spacing w:before="69"/>
        <w:ind w:left="0" w:right="38" w:firstLine="0"/>
        <w:jc w:val="right"/>
        <w:rPr>
          <w:sz w:val="12"/>
        </w:rPr>
      </w:pPr>
      <w:r>
        <w:rPr/>
        <w:pict>
          <v:line style="position:absolute;mso-position-horizontal-relative:page;mso-position-vertical-relative:paragraph;z-index:15872000" from="201.373001pt,7.926427pt" to="205.706001pt,7.926427pt" stroked="true" strokeweight=".5pt" strokecolor="#000000">
            <v:stroke dashstyle="solid"/>
            <w10:wrap type="none"/>
          </v:line>
        </w:pict>
      </w:r>
      <w:r>
        <w:rPr>
          <w:sz w:val="12"/>
        </w:rPr>
        <w:t>1</w:t>
      </w:r>
    </w:p>
    <w:p>
      <w:pPr>
        <w:pStyle w:val="BodyText"/>
        <w:rPr>
          <w:sz w:val="12"/>
        </w:rPr>
      </w:pPr>
    </w:p>
    <w:p>
      <w:pPr>
        <w:spacing w:line="133" w:lineRule="exact" w:before="84"/>
        <w:ind w:left="1747" w:right="0" w:firstLine="0"/>
        <w:jc w:val="left"/>
        <w:rPr>
          <w:sz w:val="12"/>
        </w:rPr>
      </w:pPr>
      <w:r>
        <w:rPr/>
        <w:pict>
          <v:line style="position:absolute;mso-position-horizontal-relative:page;mso-position-vertical-relative:paragraph;z-index:15873024" from="201.373001pt,8.691802pt" to="205.706001pt,8.691802pt" stroked="true" strokeweight=".5pt" strokecolor="#000000">
            <v:stroke dashstyle="solid"/>
            <w10:wrap type="none"/>
          </v:line>
        </w:pict>
      </w:r>
      <w:r>
        <w:rPr>
          <w:sz w:val="12"/>
        </w:rPr>
        <w:t>2</w:t>
      </w:r>
    </w:p>
    <w:p>
      <w:pPr>
        <w:tabs>
          <w:tab w:pos="1264" w:val="left" w:leader="none"/>
        </w:tabs>
        <w:spacing w:line="133" w:lineRule="exact" w:before="0"/>
        <w:ind w:left="659" w:right="0" w:firstLine="0"/>
        <w:jc w:val="left"/>
        <w:rPr>
          <w:sz w:val="12"/>
        </w:rPr>
      </w:pPr>
      <w:r>
        <w:rPr>
          <w:sz w:val="12"/>
        </w:rPr>
        <w:t>99</w:t>
        <w:tab/>
        <w:t>2000</w:t>
      </w:r>
    </w:p>
    <w:p>
      <w:pPr>
        <w:pStyle w:val="BodyText"/>
        <w:spacing w:line="242" w:lineRule="auto" w:before="145"/>
        <w:ind w:left="721" w:right="133"/>
      </w:pPr>
      <w:r>
        <w:rPr/>
        <w:br w:type="column"/>
      </w:r>
      <w:r>
        <w:rPr>
          <w:spacing w:val="-3"/>
        </w:rPr>
        <w:t>Low </w:t>
      </w:r>
      <w:r>
        <w:rPr/>
        <w:t>saving out of current income in recent years might partly</w:t>
      </w:r>
      <w:r>
        <w:rPr>
          <w:spacing w:val="-7"/>
        </w:rPr>
        <w:t> </w:t>
      </w:r>
      <w:r>
        <w:rPr/>
        <w:t>reflect</w:t>
      </w:r>
      <w:r>
        <w:rPr>
          <w:spacing w:val="-6"/>
        </w:rPr>
        <w:t> </w:t>
      </w:r>
      <w:r>
        <w:rPr/>
        <w:t>the</w:t>
      </w:r>
      <w:r>
        <w:rPr>
          <w:spacing w:val="-6"/>
        </w:rPr>
        <w:t> </w:t>
      </w:r>
      <w:r>
        <w:rPr/>
        <w:t>impact</w:t>
      </w:r>
      <w:r>
        <w:rPr>
          <w:spacing w:val="-6"/>
        </w:rPr>
        <w:t> </w:t>
      </w:r>
      <w:r>
        <w:rPr/>
        <w:t>on</w:t>
      </w:r>
      <w:r>
        <w:rPr>
          <w:spacing w:val="-6"/>
        </w:rPr>
        <w:t> </w:t>
      </w:r>
      <w:r>
        <w:rPr/>
        <w:t>household</w:t>
      </w:r>
      <w:r>
        <w:rPr>
          <w:spacing w:val="-7"/>
        </w:rPr>
        <w:t> </w:t>
      </w:r>
      <w:r>
        <w:rPr/>
        <w:t>financial</w:t>
      </w:r>
      <w:r>
        <w:rPr>
          <w:spacing w:val="-6"/>
        </w:rPr>
        <w:t> </w:t>
      </w:r>
      <w:r>
        <w:rPr/>
        <w:t>wealth</w:t>
      </w:r>
      <w:r>
        <w:rPr>
          <w:spacing w:val="-6"/>
        </w:rPr>
        <w:t> </w:t>
      </w:r>
      <w:r>
        <w:rPr/>
        <w:t>of lower inflation. Inflation erodes the real value of financial assets that are </w:t>
      </w:r>
      <w:r>
        <w:rPr>
          <w:spacing w:val="-3"/>
        </w:rPr>
        <w:t>fixed </w:t>
      </w:r>
      <w:r>
        <w:rPr/>
        <w:t>in nominal terms and requires households to </w:t>
      </w:r>
      <w:r>
        <w:rPr>
          <w:spacing w:val="-3"/>
        </w:rPr>
        <w:t>save </w:t>
      </w:r>
      <w:r>
        <w:rPr/>
        <w:t>more of their current income simply to maintain the real value of their wealth. High inflation in the 1970s and 1980s meant that household saving out of current income was often offset by falls in the real value of existing assets. By contrast,</w:t>
      </w:r>
      <w:r>
        <w:rPr>
          <w:spacing w:val="-23"/>
        </w:rPr>
        <w:t> </w:t>
      </w:r>
      <w:r>
        <w:rPr>
          <w:spacing w:val="-3"/>
        </w:rPr>
        <w:t>low</w:t>
      </w:r>
    </w:p>
    <w:p>
      <w:pPr>
        <w:spacing w:after="0" w:line="242" w:lineRule="auto"/>
        <w:sectPr>
          <w:type w:val="continuous"/>
          <w:pgSz w:w="11900" w:h="16840"/>
          <w:pgMar w:top="1260" w:bottom="280" w:left="640" w:right="640"/>
          <w:cols w:num="3" w:equalWidth="0">
            <w:col w:w="1720" w:space="40"/>
            <w:col w:w="1848" w:space="656"/>
            <w:col w:w="6356"/>
          </w:cols>
        </w:sectPr>
      </w:pPr>
    </w:p>
    <w:p>
      <w:pPr>
        <w:spacing w:before="20"/>
        <w:ind w:left="184" w:right="0" w:firstLine="0"/>
        <w:jc w:val="left"/>
        <w:rPr>
          <w:sz w:val="12"/>
        </w:rPr>
      </w:pPr>
      <w:r>
        <w:rPr>
          <w:sz w:val="12"/>
        </w:rPr>
        <w:t>(a) Deflated by the household consumption expenditure deflator.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3"/>
        <w:ind w:left="180" w:right="0" w:firstLine="0"/>
        <w:jc w:val="left"/>
        <w:rPr>
          <w:b/>
          <w:sz w:val="20"/>
        </w:rPr>
      </w:pPr>
      <w:r>
        <w:rPr>
          <w:b/>
          <w:color w:val="0092C7"/>
          <w:sz w:val="20"/>
        </w:rPr>
        <w:t>Chart 2.7</w:t>
      </w:r>
    </w:p>
    <w:p>
      <w:pPr>
        <w:spacing w:before="10"/>
        <w:ind w:left="180" w:right="0" w:firstLine="0"/>
        <w:jc w:val="left"/>
        <w:rPr>
          <w:b/>
          <w:sz w:val="20"/>
        </w:rPr>
      </w:pPr>
      <w:r>
        <w:rPr>
          <w:b/>
          <w:color w:val="0092C7"/>
          <w:sz w:val="20"/>
        </w:rPr>
        <w:t>Household sector saving ratios</w:t>
      </w:r>
    </w:p>
    <w:p>
      <w:pPr>
        <w:spacing w:before="85"/>
        <w:ind w:left="1486" w:right="0" w:firstLine="0"/>
        <w:jc w:val="left"/>
        <w:rPr>
          <w:sz w:val="12"/>
        </w:rPr>
      </w:pPr>
      <w:r>
        <w:rPr/>
        <w:pict>
          <v:line style="position:absolute;mso-position-horizontal-relative:page;mso-position-vertical-relative:paragraph;z-index:15862272" from="43.68pt,11.976654pt" to="48.013pt,11.976654pt" stroked="true" strokeweight=".5pt" strokecolor="#000000">
            <v:stroke dashstyle="solid"/>
            <w10:wrap type="none"/>
          </v:line>
        </w:pict>
      </w:r>
      <w:r>
        <w:rPr>
          <w:sz w:val="12"/>
        </w:rPr>
        <w:t>Percentage of household post-tax incom</w:t>
      </w:r>
      <w:r>
        <w:rPr>
          <w:sz w:val="12"/>
          <w:u w:val="single"/>
        </w:rPr>
        <w:t>e</w:t>
      </w:r>
      <w:r>
        <w:rPr>
          <w:sz w:val="12"/>
        </w:rPr>
        <w:t> </w:t>
      </w:r>
      <w:r>
        <w:rPr>
          <w:position w:val="-6"/>
          <w:sz w:val="12"/>
        </w:rPr>
        <w:t>15</w:t>
      </w:r>
    </w:p>
    <w:p>
      <w:pPr>
        <w:pStyle w:val="BodyText"/>
        <w:spacing w:line="242" w:lineRule="auto" w:before="12"/>
        <w:ind w:left="180" w:right="75"/>
        <w:rPr>
          <w:sz w:val="16"/>
        </w:rPr>
      </w:pPr>
      <w:r>
        <w:rPr/>
        <w:br w:type="column"/>
      </w:r>
      <w:r>
        <w:rPr/>
        <w:t>inflation since the early 1990s has meant that new saving has generally translated into increases in real financial wealth. A measure of the saving ratio, adjusted for the impact of inflation on net financial wealth, suggests that despite lower nominal saving rates in recent years, household real saving rates remain above their levels in the 1970s and late 1980s (see Chart 2.7).</w:t>
      </w:r>
      <w:r>
        <w:rPr>
          <w:position w:val="5"/>
          <w:sz w:val="16"/>
        </w:rPr>
        <w:t>(1)</w:t>
      </w:r>
    </w:p>
    <w:p>
      <w:pPr>
        <w:spacing w:after="0" w:line="242" w:lineRule="auto"/>
        <w:rPr>
          <w:sz w:val="16"/>
        </w:rPr>
        <w:sectPr>
          <w:type w:val="continuous"/>
          <w:pgSz w:w="11900" w:h="16840"/>
          <w:pgMar w:top="1260" w:bottom="280" w:left="640" w:right="640"/>
          <w:cols w:num="2" w:equalWidth="0">
            <w:col w:w="3657" w:space="1148"/>
            <w:col w:w="5815"/>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713" w:val="left" w:leader="none"/>
          <w:tab w:pos="1078" w:val="left" w:leader="none"/>
        </w:tabs>
        <w:spacing w:before="74"/>
        <w:ind w:left="250" w:right="0" w:firstLine="0"/>
        <w:jc w:val="left"/>
        <w:rPr>
          <w:sz w:val="12"/>
        </w:rPr>
      </w:pPr>
      <w:r>
        <w:rPr>
          <w:sz w:val="12"/>
        </w:rPr>
        <w:t>1968</w:t>
        <w:tab/>
        <w:t>72</w:t>
        <w:tab/>
      </w:r>
      <w:r>
        <w:rPr>
          <w:spacing w:val="-10"/>
          <w:sz w:val="12"/>
        </w:rPr>
        <w:t>76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559" w:val="left" w:leader="none"/>
        </w:tabs>
        <w:spacing w:before="74"/>
        <w:ind w:left="194" w:right="0" w:firstLine="0"/>
        <w:jc w:val="left"/>
        <w:rPr>
          <w:sz w:val="12"/>
        </w:rPr>
      </w:pPr>
      <w:r>
        <w:rPr>
          <w:sz w:val="12"/>
        </w:rPr>
        <w:t>80</w:t>
        <w:tab/>
      </w:r>
      <w:r>
        <w:rPr>
          <w:spacing w:val="-10"/>
          <w:sz w:val="12"/>
        </w:rPr>
        <w:t>84</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569" w:val="left" w:leader="none"/>
        </w:tabs>
        <w:spacing w:before="74"/>
        <w:ind w:left="205" w:right="0" w:firstLine="0"/>
        <w:jc w:val="left"/>
        <w:rPr>
          <w:sz w:val="12"/>
        </w:rPr>
      </w:pPr>
      <w:r>
        <w:rPr>
          <w:sz w:val="12"/>
        </w:rPr>
        <w:t>88</w:t>
        <w:tab/>
      </w:r>
      <w:r>
        <w:rPr>
          <w:spacing w:val="-10"/>
          <w:sz w:val="12"/>
        </w:rPr>
        <w:t>92</w:t>
      </w:r>
    </w:p>
    <w:p>
      <w:pPr>
        <w:pStyle w:val="BodyText"/>
        <w:spacing w:before="8"/>
        <w:rPr>
          <w:sz w:val="13"/>
        </w:rPr>
      </w:pPr>
      <w:r>
        <w:rPr/>
        <w:br w:type="column"/>
      </w:r>
      <w:r>
        <w:rPr>
          <w:sz w:val="13"/>
        </w:rPr>
      </w:r>
    </w:p>
    <w:p>
      <w:pPr>
        <w:spacing w:before="0"/>
        <w:ind w:left="0" w:right="38" w:firstLine="0"/>
        <w:jc w:val="right"/>
        <w:rPr>
          <w:sz w:val="12"/>
        </w:rPr>
      </w:pPr>
      <w:r>
        <w:rPr>
          <w:sz w:val="12"/>
        </w:rPr>
        <w:t>10</w:t>
      </w:r>
    </w:p>
    <w:p>
      <w:pPr>
        <w:pStyle w:val="BodyText"/>
        <w:rPr>
          <w:sz w:val="12"/>
        </w:rPr>
      </w:pPr>
    </w:p>
    <w:p>
      <w:pPr>
        <w:pStyle w:val="BodyText"/>
        <w:rPr>
          <w:sz w:val="12"/>
        </w:rPr>
      </w:pPr>
    </w:p>
    <w:p>
      <w:pPr>
        <w:pStyle w:val="BodyText"/>
        <w:spacing w:before="11"/>
        <w:rPr>
          <w:sz w:val="13"/>
        </w:rPr>
      </w:pPr>
    </w:p>
    <w:p>
      <w:pPr>
        <w:spacing w:before="0"/>
        <w:ind w:left="0" w:right="38" w:firstLine="0"/>
        <w:jc w:val="right"/>
        <w:rPr>
          <w:sz w:val="12"/>
        </w:rPr>
      </w:pPr>
      <w:r>
        <w:rPr/>
        <w:pict>
          <v:group style="position:absolute;margin-left:43.68pt;margin-top:-44.481842pt;width:161.65pt;height:135.35pt;mso-position-horizontal-relative:page;mso-position-vertical-relative:paragraph;z-index:15861760" coordorigin="874,-890" coordsize="3233,2707">
            <v:line style="position:absolute" from="1036,238" to="1061,-197" stroked="true" strokeweight="1pt" strokecolor="#de0035">
              <v:stroke dashstyle="solid"/>
            </v:line>
            <v:line style="position:absolute" from="1073,-207" to="1073,200" stroked="true" strokeweight="2.25pt" strokecolor="#de0035">
              <v:stroke dashstyle="solid"/>
            </v:line>
            <v:shape style="position:absolute;left:1075;top:-160;width:338;height:438" type="#_x0000_t75" stroked="false">
              <v:imagedata r:id="rId84" o:title=""/>
            </v:shape>
            <v:line style="position:absolute" from="1403,98" to="1426,-352" stroked="true" strokeweight="1pt" strokecolor="#de0035">
              <v:stroke dashstyle="solid"/>
            </v:line>
            <v:shape style="position:absolute;left:1415;top:-533;width:630;height:610" type="#_x0000_t75" stroked="false">
              <v:imagedata r:id="rId85" o:title=""/>
            </v:shape>
            <v:shape style="position:absolute;left:2035;top:-880;width:85;height:808" coordorigin="2036,-880" coordsize="85,808" path="m2036,-522l2061,-72m2061,-72l2086,-522m2086,-522l2098,-880m2098,-880l2121,-352e" filled="false" stroked="true" strokeweight="1pt" strokecolor="#de0035">
              <v:path arrowok="t"/>
              <v:stroke dashstyle="solid"/>
            </v:shape>
            <v:line style="position:absolute" from="2133,-720" to="2133,-342" stroked="true" strokeweight="2.25pt" strokecolor="#de0035">
              <v:stroke dashstyle="solid"/>
            </v:line>
            <v:shape style="position:absolute;left:2145;top:-865;width:415;height:700" coordorigin="2146,-865" coordsize="415,700" path="m2146,-710l2171,-802m2171,-802l2196,-865m2196,-865l2218,-772m2218,-772l2256,-585m2256,-585l2281,-647m2281,-647l2303,-585m2303,-585l2328,-677m2328,-677l2353,-460m2353,-460l2378,-352m2378,-352l2401,-305m2401,-305l2413,-367m2413,-367l2438,-165m2438,-165l2463,-337m2463,-337l2488,-382m2488,-382l2511,-305m2511,-305l2536,-477m2536,-477l2561,-647e" filled="false" stroked="true" strokeweight="1pt" strokecolor="#de0035">
              <v:path arrowok="t"/>
              <v:stroke dashstyle="solid"/>
            </v:shape>
            <v:line style="position:absolute" from="2572,-657" to="2572,-342" stroked="true" strokeweight="2.125pt" strokecolor="#de0035">
              <v:stroke dashstyle="solid"/>
            </v:line>
            <v:line style="position:absolute" from="2589,-565" to="2589,-342" stroked="true" strokeweight="1.625pt" strokecolor="#de0035">
              <v:stroke dashstyle="solid"/>
            </v:line>
            <v:line style="position:absolute" from="2608,-565" to="2608,-295" stroked="true" strokeweight="2.25pt" strokecolor="#de0035">
              <v:stroke dashstyle="solid"/>
            </v:line>
            <v:shape style="position:absolute;left:2620;top:-353;width:123;height:203" coordorigin="2621,-352" coordsize="123,203" path="m2621,-305l2646,-352m2646,-352l2671,-212m2671,-212l2693,-290m2693,-290l2718,-150m2718,-150l2743,-165e" filled="false" stroked="true" strokeweight="1pt" strokecolor="#de0035">
              <v:path arrowok="t"/>
              <v:stroke dashstyle="solid"/>
            </v:shape>
            <v:line style="position:absolute" from="2749,-175" to="2749,30" stroked="true" strokeweight="1.625pt" strokecolor="#de0035">
              <v:stroke dashstyle="solid"/>
            </v:line>
            <v:shape style="position:absolute;left:2755;top:-58;width:145;height:373" coordorigin="2756,-57" coordsize="145,373" path="m2756,20l2778,-57m2778,-57l2803,83m2803,83l2828,20m2828,20l2853,238m2853,238l2876,98m2876,98l2901,315e" filled="false" stroked="true" strokeweight="1pt" strokecolor="#de0035">
              <v:path arrowok="t"/>
              <v:stroke dashstyle="solid"/>
            </v:shape>
            <v:line style="position:absolute" from="2907,165" to="2907,325" stroked="true" strokeweight="1.625pt" strokecolor="#de0035">
              <v:stroke dashstyle="solid"/>
            </v:line>
            <v:shape style="position:absolute;left:2913;top:175;width:50;height:15" coordorigin="2913,175" coordsize="50,15" path="m2913,175l2938,190m2938,190l2963,175e" filled="false" stroked="true" strokeweight="1pt" strokecolor="#de0035">
              <v:path arrowok="t"/>
              <v:stroke dashstyle="solid"/>
            </v:shape>
            <v:line style="position:absolute" from="2974,-160" to="2974,185" stroked="true" strokeweight="2.125pt" strokecolor="#de0035">
              <v:stroke dashstyle="solid"/>
            </v:line>
            <v:shape style="position:absolute;left:2985;top:-165;width:75;height:45" coordorigin="2986,-165" coordsize="75,45" path="m2986,-150l3011,-135m3011,-135l3036,-165m3036,-165l3061,-120e" filled="false" stroked="true" strokeweight="1pt" strokecolor="#de0035">
              <v:path arrowok="t"/>
              <v:stroke dashstyle="solid"/>
            </v:shape>
            <v:line style="position:absolute" from="3066,-222" to="3066,-110" stroked="true" strokeweight="1.5pt" strokecolor="#de0035">
              <v:stroke dashstyle="solid"/>
            </v:line>
            <v:shape style="position:absolute;left:3070;top:-540;width:148;height:328" coordorigin="3071,-540" coordsize="148,328" path="m3071,-212l3096,-275m3096,-275l3121,-400m3121,-400l3146,-352m3146,-352l3168,-477m3168,-477l3193,-430m3193,-430l3218,-540e" filled="false" stroked="true" strokeweight="1pt" strokecolor="#de0035">
              <v:path arrowok="t"/>
              <v:stroke dashstyle="solid"/>
            </v:shape>
            <v:line style="position:absolute" from="3224,-672" to="3224,-530" stroked="true" strokeweight="1.625pt" strokecolor="#de0035">
              <v:stroke dashstyle="solid"/>
            </v:line>
            <v:shape style="position:absolute;left:3230;top:-725;width:145;height:185" coordorigin="3231,-725" coordsize="145,185" path="m3231,-662l3256,-725m3256,-725l3278,-695m3278,-695l3303,-585m3303,-585l3328,-647m3328,-647l3353,-540m3353,-540l3376,-617e" filled="false" stroked="true" strokeweight="1pt" strokecolor="#de0035">
              <v:path arrowok="t"/>
              <v:stroke dashstyle="solid"/>
            </v:shape>
            <v:line style="position:absolute" from="3382,-627" to="3382,-390" stroked="true" strokeweight="1.625pt" strokecolor="#de0035">
              <v:stroke dashstyle="solid"/>
            </v:line>
            <v:shape style="position:absolute;left:3388;top:-570;width:330;height:233" coordorigin="3388,-570" coordsize="330,233" path="m3388,-400l3413,-337m3413,-337l3438,-445m3438,-445l3461,-492m3461,-492l3486,-570m3486,-570l3511,-477m3511,-477l3536,-522m3536,-522l3558,-520m3558,-522l3571,-570m3571,-570l3596,-445m3596,-445l3621,-367m3621,-367l3646,-337m3646,-337l3668,-445m3668,-445l3693,-555m3693,-555l3718,-430e" filled="false" stroked="true" strokeweight="1pt" strokecolor="#de0035">
              <v:path arrowok="t"/>
              <v:stroke dashstyle="solid"/>
            </v:shape>
            <v:line style="position:absolute" from="3724,-440" to="3724,-235" stroked="true" strokeweight="1.625pt" strokecolor="#de0035">
              <v:stroke dashstyle="solid"/>
            </v:line>
            <v:line style="position:absolute" from="3731,-245" to="3753,-227" stroked="true" strokeweight="1pt" strokecolor="#de0035">
              <v:stroke dashstyle="solid"/>
            </v:line>
            <v:line style="position:absolute" from="3766,-237" to="3766,78" stroked="true" strokeweight="2.25pt" strokecolor="#de0035">
              <v:stroke dashstyle="solid"/>
            </v:line>
            <v:shape style="position:absolute;left:3778;top:50;width:73;height:95" coordorigin="3778,50" coordsize="73,95" path="m3778,68l3803,83m3803,83l3828,50m3828,50l3851,145e" filled="false" stroked="true" strokeweight="1pt" strokecolor="#de0035">
              <v:path arrowok="t"/>
              <v:stroke dashstyle="solid"/>
            </v:shape>
            <v:shape style="position:absolute;left:3840;top:-130;width:58;height:300" coordorigin="3841,-130" coordsize="58,300" path="m3898,-130l3886,-130,3866,-130,3841,-130,3841,155,3866,155,3866,170,3898,170,3898,-130xe" filled="true" fillcolor="#de0035" stroked="false">
              <v:path arrowok="t"/>
              <v:fill type="solid"/>
            </v:shape>
            <v:shape style="position:absolute;left:3888;top:67;width:73;height:248" coordorigin="3888,68" coordsize="73,248" path="m3888,160l3913,68m3913,68l3938,145m3938,145l3961,315e" filled="false" stroked="true" strokeweight="1pt" strokecolor="#de0035">
              <v:path arrowok="t"/>
              <v:stroke dashstyle="solid"/>
            </v:shape>
            <v:line style="position:absolute" from="1036,640" to="1061,455" stroked="true" strokeweight="1pt" strokecolor="#009391">
              <v:stroke dashstyle="solid"/>
            </v:line>
            <v:line style="position:absolute" from="1073,445" to="1073,853" stroked="true" strokeweight="2.25pt" strokecolor="#009391">
              <v:stroke dashstyle="solid"/>
            </v:line>
            <v:shape style="position:absolute;left:1075;top:615;width:215;height:503" type="#_x0000_t75" stroked="false">
              <v:imagedata r:id="rId86" o:title=""/>
            </v:shape>
            <v:shape style="position:absolute;left:1280;top:797;width:98;height:668" coordorigin="1281,798" coordsize="98,668" path="m1281,798l1306,1465m1306,1465l1328,1278m1328,1278l1353,1248m1353,1248l1378,1185e" filled="false" stroked="true" strokeweight="1pt" strokecolor="#009391">
              <v:path arrowok="t"/>
              <v:stroke dashstyle="solid"/>
            </v:shape>
            <v:line style="position:absolute" from="1391,848" to="1391,1195" stroked="true" strokeweight="2.25pt" strokecolor="#009391">
              <v:stroke dashstyle="solid"/>
            </v:line>
            <v:shape style="position:absolute;left:1403;top:145;width:85;height:713" coordorigin="1403,145" coordsize="85,713" path="m1403,858l1426,145m1426,145l1438,610m1438,610l1463,563m1463,563l1488,780e" filled="false" stroked="true" strokeweight="1pt" strokecolor="#009391">
              <v:path arrowok="t"/>
              <v:stroke dashstyle="solid"/>
            </v:shape>
            <v:line style="position:absolute" from="1501,460" to="1501,790" stroked="true" strokeweight="2.25pt" strokecolor="#009391">
              <v:stroke dashstyle="solid"/>
            </v:line>
            <v:shape style="position:absolute;left:1513;top:455;width:48;height:18" coordorigin="1513,455" coordsize="48,18" path="m1513,470l1536,473m1536,470l1561,455e" filled="false" stroked="true" strokeweight="1pt" strokecolor="#009391">
              <v:path arrowok="t"/>
              <v:stroke dashstyle="solid"/>
            </v:shape>
            <v:line style="position:absolute" from="1573,445" to="1573,853" stroked="true" strokeweight="2.25pt" strokecolor="#009391">
              <v:stroke dashstyle="solid"/>
            </v:line>
            <v:line style="position:absolute" from="1586,843" to="1611,1480" stroked="true" strokeweight="1pt" strokecolor="#009391">
              <v:stroke dashstyle="solid"/>
            </v:line>
            <v:line style="position:absolute" from="1616,1268" to="1616,1490" stroked="true" strokeweight="1.5pt" strokecolor="#009391">
              <v:stroke dashstyle="solid"/>
            </v:line>
            <v:shape style="position:absolute;left:1620;top:1185;width:75;height:543" coordorigin="1621,1185" coordsize="75,543" path="m1621,1278l1646,1263m1646,1263l1671,1185m1671,1185l1696,1728e" filled="false" stroked="true" strokeweight="1pt" strokecolor="#009391">
              <v:path arrowok="t"/>
              <v:stroke dashstyle="solid"/>
            </v:shape>
            <v:line style="position:absolute" from="1707,1423" to="1707,1738" stroked="true" strokeweight="2.125pt" strokecolor="#009391">
              <v:stroke dashstyle="solid"/>
            </v:line>
            <v:shape style="position:absolute;left:1718;top:407;width:208;height:1025" coordorigin="1718,408" coordsize="208,1025" path="m1718,1433l1743,1418m1743,1418l1768,935m1768,935l1781,875m1781,875l1806,440m1806,440l1828,875m1828,875l1853,953m1853,953l1878,1123m1878,1123l1903,968m1903,968l1926,408e" filled="false" stroked="true" strokeweight="1pt" strokecolor="#009391">
              <v:path arrowok="t"/>
              <v:stroke dashstyle="solid"/>
            </v:shape>
            <v:line style="position:absolute" from="1932,398" to="1932,635" stroked="true" strokeweight="1.625pt" strokecolor="#009391">
              <v:stroke dashstyle="solid"/>
            </v:line>
            <v:shape style="position:absolute;left:1938;top:67;width:123;height:558" coordorigin="1938,68" coordsize="123,558" path="m1938,625l1963,160m1963,160l1988,145m1988,145l2011,83m2011,83l2036,68m2036,68l2061,580e" filled="false" stroked="true" strokeweight="1pt" strokecolor="#009391">
              <v:path arrowok="t"/>
              <v:stroke dashstyle="solid"/>
            </v:shape>
            <v:line style="position:absolute" from="2073,320" to="2073,590" stroked="true" strokeweight="2.25pt" strokecolor="#009391">
              <v:stroke dashstyle="solid"/>
            </v:line>
            <v:shape style="position:absolute;left:2085;top:-28;width:35;height:668" coordorigin="2086,-27" coordsize="35,668" path="m2086,330l2098,-27m2098,-27l2121,640e" filled="false" stroked="true" strokeweight="1pt" strokecolor="#009391">
              <v:path arrowok="t"/>
              <v:stroke dashstyle="solid"/>
            </v:shape>
            <v:shape style="position:absolute;left:2133;top:40;width:25;height:610" coordorigin="2133,40" coordsize="25,610" path="m2133,398l2133,650m2158,40l2158,418e" filled="false" stroked="true" strokeweight="2.25pt" strokecolor="#009391">
              <v:path arrowok="t"/>
              <v:stroke dashstyle="solid"/>
            </v:shape>
            <v:shape style="position:absolute;left:2170;top:-150;width:243;height:248" coordorigin="2171,-150" coordsize="243,248" path="m2171,50l2196,-87m2196,-87l2218,-42m2218,-42l2243,35m2243,35l2256,98m2256,98l2281,-27m2281,-27l2303,50m2303,50l2328,-150m2328,-150l2353,35m2353,35l2378,98m2378,98l2401,35m2401,35l2413,-27e" filled="false" stroked="true" strokeweight="1pt" strokecolor="#009391">
              <v:path arrowok="t"/>
              <v:stroke dashstyle="solid"/>
            </v:shape>
            <v:shape style="position:absolute;left:2425;top:-68;width:25;height:285" coordorigin="2426,-67" coordsize="25,285" path="m2426,-37l2426,218m2451,-67l2451,218e" filled="false" stroked="true" strokeweight="2.25pt" strokecolor="#009391">
              <v:path arrowok="t"/>
              <v:stroke dashstyle="solid"/>
            </v:shape>
            <v:shape style="position:absolute;left:2463;top:-323;width:98;height:390" coordorigin="2463,-322" coordsize="98,390" path="m2463,-57l2488,-87m2488,-87l2511,68m2511,68l2536,-150m2536,-150l2561,-322e" filled="false" stroked="true" strokeweight="1pt" strokecolor="#009391">
              <v:path arrowok="t"/>
              <v:stroke dashstyle="solid"/>
            </v:shape>
            <v:line style="position:absolute" from="2572,-332" to="2572,15" stroked="true" strokeweight="2.125pt" strokecolor="#009391">
              <v:stroke dashstyle="solid"/>
            </v:line>
            <v:shape style="position:absolute;left:2573;top:-255;width:58;height:285" coordorigin="2573,-255" coordsize="58,285" path="m2631,-255l2606,-255,2586,-255,2573,-255,2573,15,2586,15,2586,30,2631,30,2631,-255xe" filled="true" fillcolor="#009391" stroked="false">
              <v:path arrowok="t"/>
              <v:fill type="solid"/>
            </v:shape>
            <v:shape style="position:absolute;left:2620;top:-43;width:123;height:155" coordorigin="2621,-42" coordsize="123,155" path="m2621,20l2646,-42m2646,-42l2671,50m2671,50l2693,-27m2693,-27l2718,113m2718,113l2743,68e" filled="false" stroked="true" strokeweight="1pt" strokecolor="#009391">
              <v:path arrowok="t"/>
              <v:stroke dashstyle="solid"/>
            </v:shape>
            <v:line style="position:absolute" from="2749,58" to="2749,340" stroked="true" strokeweight="1.625pt" strokecolor="#009391">
              <v:stroke dashstyle="solid"/>
            </v:line>
            <v:line style="position:absolute" from="2767,320" to="2767,668" stroked="true" strokeweight="2.125pt" strokecolor="#009391">
              <v:stroke dashstyle="solid"/>
            </v:line>
            <v:line style="position:absolute" from="2791,290" to="2791,668" stroked="true" strokeweight="2.25pt" strokecolor="#009391">
              <v:stroke dashstyle="solid"/>
            </v:line>
            <v:shape style="position:absolute;left:2803;top:207;width:73;height:218" coordorigin="2803,208" coordsize="73,218" path="m2803,300l2828,208m2828,208l2853,425m2853,425l2876,363e" filled="false" stroked="true" strokeweight="1pt" strokecolor="#009391">
              <v:path arrowok="t"/>
              <v:stroke dashstyle="solid"/>
            </v:shape>
            <v:line style="position:absolute" from="2888,353" to="2888,605" stroked="true" strokeweight="2.25pt" strokecolor="#009391">
              <v:stroke dashstyle="solid"/>
            </v:line>
            <v:line style="position:absolute" from="2907,430" to="2907,605" stroked="true" strokeweight="1.625pt" strokecolor="#009391">
              <v:stroke dashstyle="solid"/>
            </v:line>
            <v:shape style="position:absolute;left:2913;top:440;width:50;height:30" coordorigin="2913,440" coordsize="50,30" path="m2913,440l2938,443m2938,440l2963,470e" filled="false" stroked="true" strokeweight="1pt" strokecolor="#009391">
              <v:path arrowok="t"/>
              <v:stroke dashstyle="solid"/>
            </v:shape>
            <v:line style="position:absolute" from="2974,88" to="2974,480" stroked="true" strokeweight="2.125pt" strokecolor="#009391">
              <v:stroke dashstyle="solid"/>
            </v:line>
            <v:shape style="position:absolute;left:2985;top:-323;width:233;height:483" coordorigin="2986,-322" coordsize="233,483" path="m2986,98l3011,130m3011,130l3036,83m3036,83l3061,160m3061,160l3071,98m3071,98l3096,35m3096,35l3121,-135m3121,-135l3146,-42m3146,-42l3168,-197m3168,-197l3193,-182m3193,-182l3218,-322e" filled="false" stroked="true" strokeweight="1pt" strokecolor="#009391">
              <v:path arrowok="t"/>
              <v:stroke dashstyle="solid"/>
            </v:shape>
            <v:line style="position:absolute" from="3224,-532" to="3224,-312" stroked="true" strokeweight="1.625pt" strokecolor="#009391">
              <v:stroke dashstyle="solid"/>
            </v:line>
            <v:shape style="position:absolute;left:3230;top:-600;width:145;height:185" coordorigin="3231,-600" coordsize="145,185" path="m3231,-522l3256,-600m3256,-600l3278,-597m3278,-600l3303,-492m3303,-492l3328,-522m3328,-522l3353,-415m3353,-415l3376,-492e" filled="false" stroked="true" strokeweight="1pt" strokecolor="#009391">
              <v:path arrowok="t"/>
              <v:stroke dashstyle="solid"/>
            </v:shape>
            <v:line style="position:absolute" from="3382,-502" to="3382,-280" stroked="true" strokeweight="1.625pt" strokecolor="#009391">
              <v:stroke dashstyle="solid"/>
            </v:line>
            <v:shape style="position:absolute;left:3388;top:-478;width:330;height:280" coordorigin="3388,-477" coordsize="330,280" path="m3388,-290l3413,-260m3413,-260l3438,-367m3438,-367l3461,-430m3461,-430l3486,-477m3486,-477l3511,-367m3511,-367l3536,-415m3536,-415l3558,-412m3558,-415l3571,-460m3571,-460l3596,-322m3596,-322l3621,-227m3621,-227l3646,-197m3646,-197l3668,-322m3668,-322l3693,-460m3693,-460l3718,-305e" filled="false" stroked="true" strokeweight="1pt" strokecolor="#009391">
              <v:path arrowok="t"/>
              <v:stroke dashstyle="solid"/>
            </v:shape>
            <v:line style="position:absolute" from="3724,-315" to="3724,-95" stroked="true" strokeweight="1.625pt" strokecolor="#009391">
              <v:stroke dashstyle="solid"/>
            </v:line>
            <v:line style="position:absolute" from="3731,-105" to="3753,-102" stroked="true" strokeweight="1pt" strokecolor="#009391">
              <v:stroke dashstyle="solid"/>
            </v:line>
            <v:line style="position:absolute" from="3766,-115" to="3766,233" stroked="true" strokeweight="2.25pt" strokecolor="#009391">
              <v:stroke dashstyle="solid"/>
            </v:line>
            <v:shape style="position:absolute;left:3778;top:190;width:73;height:78" coordorigin="3778,190" coordsize="73,78" path="m3778,223l3803,225m3803,223l3828,190m3828,190l3851,268e" filled="false" stroked="true" strokeweight="1pt" strokecolor="#009391">
              <v:path arrowok="t"/>
              <v:stroke dashstyle="solid"/>
            </v:shape>
            <v:shape style="position:absolute;left:3840;top:-5;width:58;height:283" coordorigin="3841,-5" coordsize="58,283" path="m3898,-5l3886,-5,3866,-5,3841,-5,3841,278,3866,278,3886,278,3898,278,3898,-5xe" filled="true" fillcolor="#009391" stroked="false">
              <v:path arrowok="t"/>
              <v:fill type="solid"/>
            </v:shape>
            <v:shape style="position:absolute;left:3888;top:160;width:73;height:218" coordorigin="3888,160" coordsize="73,218" path="m3888,268l3913,160m3913,160l3938,223m3938,223l3961,378e" filled="false" stroked="true" strokeweight="1pt" strokecolor="#009391">
              <v:path arrowok="t"/>
              <v:stroke dashstyle="solid"/>
            </v:shape>
            <v:shape style="position:absolute;left:873;top:-491;width:3233;height:2302" coordorigin="874,-490" coordsize="3233,2302" path="m1038,1812l3976,1812m1035,1745l1035,1812m1398,1745l1398,1812m1762,1745l1762,1812m2125,1745l2125,1812m2488,1745l2488,1812m2851,1745l2851,1812m3214,1745l3214,1812m3577,1745l3577,1812m3941,1745l3941,1812m874,-490l960,-490m874,84l960,84m874,1233l960,1233m874,659l960,659m874,1808l960,1808m4019,-490l4106,-490m4019,84l4106,84m4019,1233l4106,1233m4019,659l4106,659m4019,1808l4106,1808m1033,659l3969,659e" filled="false" stroked="true" strokeweight=".5pt" strokecolor="#000000">
              <v:path arrowok="t"/>
              <v:stroke dashstyle="solid"/>
            </v:shape>
            <v:shape style="position:absolute;left:1473;top:-806;width:604;height:133" type="#_x0000_t202" filled="false" stroked="false">
              <v:textbox inset="0,0,0,0">
                <w:txbxContent>
                  <w:p>
                    <w:pPr>
                      <w:spacing w:line="133" w:lineRule="exact" w:before="0"/>
                      <w:ind w:left="0" w:right="0" w:firstLine="0"/>
                      <w:jc w:val="left"/>
                      <w:rPr>
                        <w:sz w:val="12"/>
                      </w:rPr>
                    </w:pPr>
                    <w:r>
                      <w:rPr>
                        <w:sz w:val="12"/>
                      </w:rPr>
                      <w:t>Saving ratio</w:t>
                    </w:r>
                  </w:p>
                </w:txbxContent>
              </v:textbox>
              <w10:wrap type="none"/>
            </v:shape>
            <v:shape style="position:absolute;left:1789;top:1239;width:1467;height:134" type="#_x0000_t202" filled="false" stroked="false">
              <v:textbox inset="0,0,0,0">
                <w:txbxContent>
                  <w:p>
                    <w:pPr>
                      <w:spacing w:line="133" w:lineRule="exact" w:before="0"/>
                      <w:ind w:left="0" w:right="0" w:firstLine="0"/>
                      <w:jc w:val="left"/>
                      <w:rPr>
                        <w:sz w:val="12"/>
                      </w:rPr>
                    </w:pPr>
                    <w:r>
                      <w:rPr>
                        <w:sz w:val="12"/>
                      </w:rPr>
                      <w:t>Inflation-adjusted saving ratio</w:t>
                    </w:r>
                  </w:p>
                </w:txbxContent>
              </v:textbox>
              <w10:wrap type="none"/>
            </v:shape>
            <w10:wrap type="none"/>
          </v:group>
        </w:pict>
      </w:r>
      <w:r>
        <w:rPr>
          <w:sz w:val="12"/>
        </w:rPr>
        <w:t>5</w:t>
      </w:r>
    </w:p>
    <w:p>
      <w:pPr>
        <w:pStyle w:val="BodyText"/>
        <w:rPr>
          <w:sz w:val="12"/>
        </w:rPr>
      </w:pPr>
    </w:p>
    <w:p>
      <w:pPr>
        <w:spacing w:before="97"/>
        <w:ind w:left="761" w:right="0" w:firstLine="0"/>
        <w:jc w:val="left"/>
        <w:rPr>
          <w:sz w:val="16"/>
        </w:rPr>
      </w:pPr>
      <w:r>
        <w:rPr>
          <w:sz w:val="16"/>
        </w:rPr>
        <w:t>+</w:t>
      </w:r>
    </w:p>
    <w:p>
      <w:pPr>
        <w:spacing w:line="105" w:lineRule="exact" w:before="18"/>
        <w:ind w:left="868" w:right="0" w:firstLine="0"/>
        <w:jc w:val="left"/>
        <w:rPr>
          <w:sz w:val="12"/>
        </w:rPr>
      </w:pPr>
      <w:r>
        <w:rPr>
          <w:sz w:val="12"/>
        </w:rPr>
        <w:t>0</w:t>
      </w:r>
    </w:p>
    <w:p>
      <w:pPr>
        <w:spacing w:line="151" w:lineRule="exact" w:before="0"/>
        <w:ind w:left="773" w:right="0" w:firstLine="0"/>
        <w:jc w:val="left"/>
        <w:rPr>
          <w:sz w:val="16"/>
        </w:rPr>
      </w:pPr>
      <w:r>
        <w:rPr>
          <w:sz w:val="16"/>
        </w:rPr>
        <w:t>_</w:t>
      </w:r>
    </w:p>
    <w:p>
      <w:pPr>
        <w:pStyle w:val="BodyText"/>
        <w:rPr>
          <w:sz w:val="18"/>
        </w:rPr>
      </w:pPr>
    </w:p>
    <w:p>
      <w:pPr>
        <w:spacing w:before="111"/>
        <w:ind w:left="0" w:right="38" w:firstLine="0"/>
        <w:jc w:val="right"/>
        <w:rPr>
          <w:sz w:val="12"/>
        </w:rPr>
      </w:pPr>
      <w:r>
        <w:rPr>
          <w:sz w:val="12"/>
        </w:rPr>
        <w:t>5</w:t>
      </w:r>
    </w:p>
    <w:p>
      <w:pPr>
        <w:pStyle w:val="BodyText"/>
        <w:rPr>
          <w:sz w:val="12"/>
        </w:rPr>
      </w:pPr>
    </w:p>
    <w:p>
      <w:pPr>
        <w:pStyle w:val="BodyText"/>
        <w:rPr>
          <w:sz w:val="12"/>
        </w:rPr>
      </w:pPr>
    </w:p>
    <w:p>
      <w:pPr>
        <w:pStyle w:val="BodyText"/>
        <w:spacing w:before="11"/>
        <w:rPr>
          <w:sz w:val="13"/>
        </w:rPr>
      </w:pPr>
    </w:p>
    <w:p>
      <w:pPr>
        <w:spacing w:line="120" w:lineRule="exact" w:before="0"/>
        <w:ind w:left="808" w:right="0" w:firstLine="0"/>
        <w:jc w:val="left"/>
        <w:rPr>
          <w:sz w:val="12"/>
        </w:rPr>
      </w:pPr>
      <w:r>
        <w:rPr>
          <w:sz w:val="12"/>
        </w:rPr>
        <w:t>10</w:t>
      </w:r>
    </w:p>
    <w:p>
      <w:pPr>
        <w:spacing w:line="120" w:lineRule="exact" w:before="0"/>
        <w:ind w:left="194" w:right="0" w:firstLine="0"/>
        <w:jc w:val="left"/>
        <w:rPr>
          <w:sz w:val="12"/>
        </w:rPr>
      </w:pPr>
      <w:r>
        <w:rPr>
          <w:sz w:val="12"/>
        </w:rPr>
        <w:t>96 2000</w:t>
      </w:r>
    </w:p>
    <w:p>
      <w:pPr>
        <w:pStyle w:val="BodyText"/>
        <w:spacing w:before="7"/>
        <w:rPr>
          <w:sz w:val="21"/>
        </w:rPr>
      </w:pPr>
      <w:r>
        <w:rPr/>
        <w:br w:type="column"/>
      </w:r>
      <w:r>
        <w:rPr>
          <w:sz w:val="21"/>
        </w:rPr>
      </w:r>
    </w:p>
    <w:p>
      <w:pPr>
        <w:pStyle w:val="BodyText"/>
        <w:spacing w:line="242" w:lineRule="auto"/>
        <w:ind w:left="250" w:right="142"/>
      </w:pPr>
      <w:r>
        <w:rPr/>
        <w:t>In addition, households may </w:t>
      </w:r>
      <w:r>
        <w:rPr>
          <w:spacing w:val="-3"/>
        </w:rPr>
        <w:t>have saved </w:t>
      </w:r>
      <w:r>
        <w:rPr/>
        <w:t>less of their current income, and borrowed more </w:t>
      </w:r>
      <w:r>
        <w:rPr>
          <w:spacing w:val="-4"/>
        </w:rPr>
        <w:t>heavily, </w:t>
      </w:r>
      <w:r>
        <w:rPr/>
        <w:t>because of capital gains on existing wealth holdings. In recent years, rising asset prices </w:t>
      </w:r>
      <w:r>
        <w:rPr>
          <w:spacing w:val="-3"/>
        </w:rPr>
        <w:t>have </w:t>
      </w:r>
      <w:r>
        <w:rPr/>
        <w:t>boosted aggregate household wealth to income ratios by considerably more than the increase in the aggregate household debt to income ratio (see Chart 2.8). Future prospects for spending</w:t>
      </w:r>
      <w:r>
        <w:rPr>
          <w:spacing w:val="-6"/>
        </w:rPr>
        <w:t> </w:t>
      </w:r>
      <w:r>
        <w:rPr/>
        <w:t>depend</w:t>
      </w:r>
      <w:r>
        <w:rPr>
          <w:spacing w:val="-6"/>
        </w:rPr>
        <w:t> </w:t>
      </w:r>
      <w:r>
        <w:rPr/>
        <w:t>partly</w:t>
      </w:r>
      <w:r>
        <w:rPr>
          <w:spacing w:val="-5"/>
        </w:rPr>
        <w:t> </w:t>
      </w:r>
      <w:r>
        <w:rPr/>
        <w:t>on</w:t>
      </w:r>
      <w:r>
        <w:rPr>
          <w:spacing w:val="-6"/>
        </w:rPr>
        <w:t> </w:t>
      </w:r>
      <w:r>
        <w:rPr/>
        <w:t>whether</w:t>
      </w:r>
      <w:r>
        <w:rPr>
          <w:spacing w:val="-6"/>
        </w:rPr>
        <w:t> </w:t>
      </w:r>
      <w:r>
        <w:rPr/>
        <w:t>these</w:t>
      </w:r>
      <w:r>
        <w:rPr>
          <w:spacing w:val="-5"/>
        </w:rPr>
        <w:t> </w:t>
      </w:r>
      <w:r>
        <w:rPr/>
        <w:t>asset</w:t>
      </w:r>
      <w:r>
        <w:rPr>
          <w:spacing w:val="-6"/>
        </w:rPr>
        <w:t> </w:t>
      </w:r>
      <w:r>
        <w:rPr/>
        <w:t>price</w:t>
      </w:r>
      <w:r>
        <w:rPr>
          <w:spacing w:val="-6"/>
        </w:rPr>
        <w:t> </w:t>
      </w:r>
      <w:r>
        <w:rPr/>
        <w:t>rises are sustained. Since the August </w:t>
      </w:r>
      <w:r>
        <w:rPr>
          <w:i/>
        </w:rPr>
        <w:t>Report</w:t>
      </w:r>
      <w:r>
        <w:rPr/>
        <w:t>, equity</w:t>
      </w:r>
      <w:r>
        <w:rPr>
          <w:spacing w:val="-38"/>
        </w:rPr>
        <w:t> </w:t>
      </w:r>
      <w:r>
        <w:rPr/>
        <w:t>prices</w:t>
      </w:r>
    </w:p>
    <w:p>
      <w:pPr>
        <w:spacing w:after="0" w:line="242" w:lineRule="auto"/>
        <w:sectPr>
          <w:type w:val="continuous"/>
          <w:pgSz w:w="11900" w:h="16840"/>
          <w:pgMar w:top="1260" w:bottom="280" w:left="640" w:right="640"/>
          <w:cols w:num="5" w:equalWidth="0">
            <w:col w:w="1199" w:space="40"/>
            <w:col w:w="680" w:space="39"/>
            <w:col w:w="691" w:space="40"/>
            <w:col w:w="969" w:space="1077"/>
            <w:col w:w="5885"/>
          </w:cols>
        </w:sectPr>
      </w:pPr>
    </w:p>
    <w:p>
      <w:pPr>
        <w:spacing w:before="60"/>
        <w:ind w:left="179" w:right="0" w:firstLine="0"/>
        <w:jc w:val="left"/>
        <w:rPr>
          <w:sz w:val="12"/>
        </w:rPr>
      </w:pPr>
      <w:r>
        <w:rPr>
          <w:sz w:val="12"/>
        </w:rPr>
        <w:t>Sources: ONS and Bank of England.</w:t>
      </w:r>
    </w:p>
    <w:p>
      <w:pPr>
        <w:pStyle w:val="BodyText"/>
        <w:rPr>
          <w:sz w:val="12"/>
        </w:rPr>
      </w:pPr>
    </w:p>
    <w:p>
      <w:pPr>
        <w:pStyle w:val="BodyText"/>
        <w:rPr>
          <w:sz w:val="12"/>
        </w:rPr>
      </w:pPr>
    </w:p>
    <w:p>
      <w:pPr>
        <w:pStyle w:val="BodyText"/>
        <w:rPr>
          <w:sz w:val="12"/>
        </w:rPr>
      </w:pPr>
    </w:p>
    <w:p>
      <w:pPr>
        <w:spacing w:before="89"/>
        <w:ind w:left="179" w:right="0" w:firstLine="0"/>
        <w:jc w:val="left"/>
        <w:rPr>
          <w:b/>
          <w:sz w:val="20"/>
        </w:rPr>
      </w:pPr>
      <w:r>
        <w:rPr>
          <w:b/>
          <w:color w:val="0092C7"/>
          <w:sz w:val="20"/>
        </w:rPr>
        <w:t>Chart 2.8</w:t>
      </w:r>
    </w:p>
    <w:p>
      <w:pPr>
        <w:spacing w:before="10"/>
        <w:ind w:left="179" w:right="0" w:firstLine="0"/>
        <w:jc w:val="left"/>
        <w:rPr>
          <w:sz w:val="12"/>
        </w:rPr>
      </w:pPr>
      <w:r>
        <w:rPr>
          <w:b/>
          <w:color w:val="0092C7"/>
          <w:sz w:val="20"/>
        </w:rPr>
        <w:t>Household assets and liabilities</w:t>
      </w:r>
      <w:r>
        <w:rPr>
          <w:position w:val="4"/>
          <w:sz w:val="12"/>
        </w:rPr>
        <w:t>(a)</w:t>
      </w:r>
    </w:p>
    <w:p>
      <w:pPr>
        <w:spacing w:line="113" w:lineRule="exact" w:before="48"/>
        <w:ind w:left="1756" w:right="0" w:firstLine="0"/>
        <w:jc w:val="left"/>
        <w:rPr>
          <w:sz w:val="12"/>
        </w:rPr>
      </w:pPr>
      <w:r>
        <w:rPr>
          <w:sz w:val="12"/>
        </w:rPr>
        <w:t>Per cent of annual post-tax income</w:t>
      </w:r>
    </w:p>
    <w:p>
      <w:pPr>
        <w:spacing w:line="113" w:lineRule="exact" w:before="0"/>
        <w:ind w:left="3461" w:right="0" w:firstLine="0"/>
        <w:jc w:val="left"/>
        <w:rPr>
          <w:sz w:val="12"/>
        </w:rPr>
      </w:pPr>
      <w:r>
        <w:rPr/>
        <w:pict>
          <v:group style="position:absolute;margin-left:44.203999pt;margin-top:10.502625pt;width:159.1pt;height:81.75pt;mso-position-horizontal-relative:page;mso-position-vertical-relative:paragraph;z-index:15863808" coordorigin="884,210" coordsize="3182,1635">
            <v:shape style="position:absolute;left:1043;top:1635;width:390;height:200" coordorigin="1043,1635" coordsize="390,200" path="m1043,1818l1081,1835m1081,1835l1118,1818m1118,1818l1166,1800m1166,1800l1238,1728m1238,1728l1276,1708m1276,1708l1323,1690m1323,1690l1398,1655m1398,1655l1433,1635e" filled="false" stroked="true" strokeweight="1pt" strokecolor="#efa900">
              <v:path arrowok="t"/>
              <v:stroke dashstyle="solid"/>
            </v:shape>
            <v:line style="position:absolute" from="1423,1636" to="1493,1636" stroked="true" strokeweight="1.125pt" strokecolor="#efa900">
              <v:stroke dashstyle="solid"/>
            </v:line>
            <v:line style="position:absolute" from="1483,1635" to="1518,1618" stroked="true" strokeweight="1pt" strokecolor="#efa900">
              <v:stroke dashstyle="solid"/>
            </v:line>
            <v:line style="position:absolute" from="1508,1619" to="1566,1619" stroked="true" strokeweight="1.125pt" strokecolor="#efa900">
              <v:stroke dashstyle="solid"/>
            </v:line>
            <v:shape style="position:absolute;left:1555;top:837;width:1180;height:780" coordorigin="1556,838" coordsize="1180,780" path="m1556,1618l1593,1600m1593,1600l1628,1563m1628,1563l1678,1545m1678,1545l1713,1528m1713,1528l1786,1455m1786,1455l1836,1418m1836,1418l1873,1383m1873,1383l1908,1328m1908,1328l1946,1273m1946,1273l1993,1200m1993,1200l2031,1073m2031,1073l2066,948m2066,948l2103,893m2103,893l2151,855m2151,855l2188,838m2188,838l2226,875m2226,875l2261,948m2261,948l2298,1020m2298,1020l2346,1073m2346,1073l2383,1110m2383,1110l2421,1165m2421,1165l2456,1218m2456,1218l2506,1238m2506,1238l2578,1310m2578,1310l2613,1365m2613,1365l2663,1438m2663,1438l2701,1473m2701,1473l2736,1510e" filled="false" stroked="true" strokeweight="1pt" strokecolor="#efa900">
              <v:path arrowok="t"/>
              <v:stroke dashstyle="solid"/>
            </v:shape>
            <v:line style="position:absolute" from="2726,1511" to="2783,1511" stroked="true" strokeweight="1.125pt" strokecolor="#efa900">
              <v:stroke dashstyle="solid"/>
            </v:line>
            <v:shape style="position:absolute;left:2773;top:1510;width:85;height:35" coordorigin="2773,1510" coordsize="85,35" path="m2773,1510l2808,1528m2808,1528l2858,1545e" filled="false" stroked="true" strokeweight="1pt" strokecolor="#efa900">
              <v:path arrowok="t"/>
              <v:stroke dashstyle="solid"/>
            </v:shape>
            <v:line style="position:absolute" from="2848,1546" to="2903,1546" stroked="true" strokeweight="1.125pt" strokecolor="#efa900">
              <v:stroke dashstyle="solid"/>
            </v:line>
            <v:line style="position:absolute" from="2893,1545" to="2931,1563" stroked="true" strokeweight="1pt" strokecolor="#efa900">
              <v:stroke dashstyle="solid"/>
            </v:line>
            <v:line style="position:absolute" from="2921,1564" to="2978,1564" stroked="true" strokeweight="1.125pt" strokecolor="#efa900">
              <v:stroke dashstyle="solid"/>
            </v:line>
            <v:shape style="position:absolute;left:2968;top:1562;width:205;height:110" coordorigin="2968,1563" coordsize="205,110" path="m2968,1563l3016,1583m3016,1583l3053,1600m3053,1600l3088,1618m3088,1618l3126,1635m3126,1635l3173,1673e" filled="false" stroked="true" strokeweight="1pt" strokecolor="#efa900">
              <v:path arrowok="t"/>
              <v:stroke dashstyle="solid"/>
            </v:shape>
            <v:shape style="position:absolute;left:3163;top:1673;width:130;height:2" coordorigin="3163,1674" coordsize="130,0" path="m3163,1674l3221,1674m3201,1674l3258,1674m3238,1674l3293,1674e" filled="false" stroked="true" strokeweight="1.125pt" strokecolor="#efa900">
              <v:path arrowok="t"/>
              <v:stroke dashstyle="solid"/>
            </v:shape>
            <v:shape style="position:absolute;left:3283;top:1617;width:123;height:55" coordorigin="3283,1618" coordsize="123,55" path="m3283,1673l3333,1655m3333,1655l3368,1635m3368,1635l3406,1618e" filled="false" stroked="true" strokeweight="1pt" strokecolor="#efa900">
              <v:path arrowok="t"/>
              <v:stroke dashstyle="solid"/>
            </v:shape>
            <v:line style="position:absolute" from="3396,1619" to="3453,1619" stroked="true" strokeweight="1.125pt" strokecolor="#efa900">
              <v:stroke dashstyle="solid"/>
            </v:line>
            <v:line style="position:absolute" from="3443,1618" to="3478,1600" stroked="true" strokeweight="1pt" strokecolor="#efa900">
              <v:stroke dashstyle="solid"/>
            </v:line>
            <v:line style="position:absolute" from="3468,1601" to="3538,1601" stroked="true" strokeweight="1.125pt" strokecolor="#efa900">
              <v:stroke dashstyle="solid"/>
            </v:line>
            <v:shape style="position:absolute;left:3528;top:1200;width:388;height:400" coordorigin="3528,1200" coordsize="388,400" path="m3528,1600l3563,1545m3563,1545l3601,1473m3601,1473l3636,1455m3636,1455l3686,1438m3686,1438l3721,1400m3721,1400l3758,1365m3758,1365l3796,1328m3796,1328l3843,1310m3843,1310l3881,1255m3881,1255l3916,1200e" filled="false" stroked="true" strokeweight="1pt" strokecolor="#efa900">
              <v:path arrowok="t"/>
              <v:stroke dashstyle="solid"/>
            </v:shape>
            <v:shape style="position:absolute;left:1043;top:1237;width:635;height:525" coordorigin="1043,1238" coordsize="635,525" path="m1043,1763l1081,1745m1081,1745l1118,1708m1118,1708l1166,1655m1166,1655l1203,1618m1203,1618l1238,1545m1238,1545l1276,1563m1276,1563l1323,1545m1323,1545l1361,1490m1361,1490l1398,1545m1398,1545l1433,1490m1433,1490l1483,1438m1483,1438l1518,1418m1518,1418l1556,1455m1556,1455l1593,1438m1593,1438l1628,1365m1628,1365l1678,1238e" filled="false" stroked="true" strokeweight="1pt" strokecolor="#972140">
              <v:path arrowok="t"/>
              <v:stroke dashstyle="solid"/>
            </v:shape>
            <v:line style="position:absolute" from="1668,1239" to="1723,1239" stroked="true" strokeweight="1.125pt" strokecolor="#972140">
              <v:stroke dashstyle="solid"/>
            </v:line>
            <v:shape style="position:absolute;left:1713;top:875;width:438;height:435" coordorigin="1713,875" coordsize="438,435" path="m1713,1238l1751,1310m1751,1310l1786,1200m1786,1200l1836,1073m1836,1073l1873,910m1873,910l1908,875m1908,875l1946,1165m1946,1165l1993,1055m1993,1055l2031,1020m2031,1020l2066,1055m2066,1055l2103,1128m2103,1128l2151,910e" filled="false" stroked="true" strokeweight="1pt" strokecolor="#972140">
              <v:path arrowok="t"/>
              <v:stroke dashstyle="solid"/>
            </v:shape>
            <v:line style="position:absolute" from="2141,911" to="2198,911" stroked="true" strokeweight="1.125pt" strokecolor="#972140">
              <v:stroke dashstyle="solid"/>
            </v:line>
            <v:shape style="position:absolute;left:2188;top:910;width:425;height:255" coordorigin="2188,910" coordsize="425,255" path="m2188,910l2226,928m2226,928l2261,983m2261,983l2298,1038m2298,1038l2346,983m2346,983l2383,1165m2383,1165l2421,1145m2421,1145l2456,1000m2456,1000l2506,1020m2506,1020l2541,983m2541,983l2578,1073m2578,1073l2613,1110e" filled="false" stroked="true" strokeweight="1pt" strokecolor="#972140">
              <v:path arrowok="t"/>
              <v:stroke dashstyle="solid"/>
            </v:shape>
            <v:line style="position:absolute" from="2603,1111" to="2673,1111" stroked="true" strokeweight="1.125pt" strokecolor="#972140">
              <v:stroke dashstyle="solid"/>
            </v:line>
            <v:shape style="position:absolute;left:2663;top:765;width:305;height:345" coordorigin="2663,765" coordsize="305,345" path="m2663,1110l2701,1093m2701,1093l2736,1000m2736,1000l2773,983m2773,983l2808,948m2808,948l2858,875m2858,875l2893,765m2893,765l2931,855m2931,855l2968,893e" filled="false" stroked="true" strokeweight="1pt" strokecolor="#972140">
              <v:path arrowok="t"/>
              <v:stroke dashstyle="solid"/>
            </v:shape>
            <v:shape style="position:absolute;left:2958;top:893;width:105;height:2" coordorigin="2958,894" coordsize="105,0" path="m2958,894l3026,894m3006,894l3063,894e" filled="false" stroked="true" strokeweight="1.125pt" strokecolor="#972140">
              <v:path arrowok="t"/>
              <v:stroke dashstyle="solid"/>
            </v:shape>
            <v:shape style="position:absolute;left:3053;top:730;width:158;height:163" coordorigin="3053,730" coordsize="158,163" path="m3053,893l3088,875m3088,875l3126,855m3126,855l3173,783m3173,783l3211,730e" filled="false" stroked="true" strokeweight="1pt" strokecolor="#972140">
              <v:path arrowok="t"/>
              <v:stroke dashstyle="solid"/>
            </v:shape>
            <v:line style="position:absolute" from="3201,731" to="3258,731" stroked="true" strokeweight="1.125pt" strokecolor="#972140">
              <v:stroke dashstyle="solid"/>
            </v:line>
            <v:shape style="position:absolute;left:3248;top:692;width:85;height:38" coordorigin="3248,693" coordsize="85,38" path="m3248,730l3283,710m3283,710l3333,693e" filled="false" stroked="true" strokeweight="1pt" strokecolor="#972140">
              <v:path arrowok="t"/>
              <v:stroke dashstyle="solid"/>
            </v:shape>
            <v:line style="position:absolute" from="3323,694" to="3378,694" stroked="true" strokeweight="1.125pt" strokecolor="#972140">
              <v:stroke dashstyle="solid"/>
            </v:line>
            <v:shape style="position:absolute;left:3368;top:220;width:548;height:473" coordorigin="3368,220" coordsize="548,473" path="m3368,693l3443,513m3443,513l3478,385m3478,385l3528,420m3528,420l3563,275m3563,275l3601,258m3601,258l3636,513m3636,513l3686,330m3686,330l3721,220m3721,220l3758,240m3758,240l3796,385m3796,385l3843,220m3843,220l3881,258m3881,258l3916,275e" filled="false" stroked="true" strokeweight="1pt" strokecolor="#972140">
              <v:path arrowok="t"/>
              <v:stroke dashstyle="solid"/>
            </v:shape>
            <v:shape style="position:absolute;left:884;top:630;width:3182;height:1161" coordorigin="884,631" coordsize="3182,1161" path="m884,637l971,637m884,1214l971,1214m884,1791l971,1791m3979,631l4066,631m3979,1208l4066,1208m3979,1785l4066,1785e" filled="false" stroked="true" strokeweight=".5pt" strokecolor="#000000">
              <v:path arrowok="t"/>
              <v:stroke dashstyle="solid"/>
            </v:shape>
            <v:shape style="position:absolute;left:2318;top:404;width:1100;height:134" type="#_x0000_t202" filled="false" stroked="false">
              <v:textbox inset="0,0,0,0">
                <w:txbxContent>
                  <w:p>
                    <w:pPr>
                      <w:spacing w:line="133" w:lineRule="exact" w:before="0"/>
                      <w:ind w:left="0" w:right="0" w:firstLine="0"/>
                      <w:jc w:val="left"/>
                      <w:rPr>
                        <w:sz w:val="12"/>
                      </w:rPr>
                    </w:pPr>
                    <w:r>
                      <w:rPr>
                        <w:sz w:val="12"/>
                      </w:rPr>
                      <w:t>Gross financial wealth</w:t>
                    </w:r>
                  </w:p>
                </w:txbxContent>
              </v:textbox>
              <w10:wrap type="none"/>
            </v:shape>
            <v:shape style="position:absolute;left:1901;top:1558;width:1060;height:134" type="#_x0000_t202" filled="false" stroked="false">
              <v:textbox inset="0,0,0,0">
                <w:txbxContent>
                  <w:p>
                    <w:pPr>
                      <w:spacing w:line="133" w:lineRule="exact" w:before="0"/>
                      <w:ind w:left="0" w:right="0" w:firstLine="0"/>
                      <w:jc w:val="left"/>
                      <w:rPr>
                        <w:sz w:val="12"/>
                      </w:rPr>
                    </w:pPr>
                    <w:r>
                      <w:rPr>
                        <w:sz w:val="12"/>
                      </w:rPr>
                      <w:t>Gross housing wealth</w:t>
                    </w:r>
                  </w:p>
                </w:txbxContent>
              </v:textbox>
              <w10:wrap type="none"/>
            </v:shape>
            <w10:wrap type="none"/>
          </v:group>
        </w:pict>
      </w:r>
      <w:r>
        <w:rPr/>
        <w:pict>
          <v:line style="position:absolute;mso-position-horizontal-relative:page;mso-position-vertical-relative:paragraph;z-index:15865856" from="44.203999pt,3.002625pt" to="48.536999pt,3.002625pt" stroked="true" strokeweight=".5pt" strokecolor="#000000">
            <v:stroke dashstyle="solid"/>
            <w10:wrap type="none"/>
          </v:line>
        </w:pict>
      </w:r>
      <w:r>
        <w:rPr/>
        <w:pict>
          <v:line style="position:absolute;mso-position-horizontal-relative:page;mso-position-vertical-relative:paragraph;z-index:15866368" from="198.957993pt,2.677624pt" to="203.290993pt,2.677624pt" stroked="true" strokeweight=".5pt" strokecolor="#000000">
            <v:stroke dashstyle="solid"/>
            <w10:wrap type="none"/>
          </v:line>
        </w:pict>
      </w:r>
      <w:r>
        <w:rPr>
          <w:sz w:val="12"/>
        </w:rPr>
        <w:t>500</w:t>
      </w:r>
    </w:p>
    <w:p>
      <w:pPr>
        <w:pStyle w:val="BodyText"/>
        <w:rPr>
          <w:sz w:val="12"/>
        </w:rPr>
      </w:pPr>
    </w:p>
    <w:p>
      <w:pPr>
        <w:pStyle w:val="BodyText"/>
        <w:rPr>
          <w:sz w:val="12"/>
        </w:rPr>
      </w:pPr>
    </w:p>
    <w:p>
      <w:pPr>
        <w:pStyle w:val="BodyText"/>
        <w:spacing w:before="2"/>
        <w:rPr>
          <w:sz w:val="14"/>
        </w:rPr>
      </w:pPr>
    </w:p>
    <w:p>
      <w:pPr>
        <w:spacing w:before="1"/>
        <w:ind w:left="0" w:right="38" w:firstLine="0"/>
        <w:jc w:val="right"/>
        <w:rPr>
          <w:sz w:val="12"/>
        </w:rPr>
      </w:pPr>
      <w:r>
        <w:rPr>
          <w:sz w:val="12"/>
        </w:rPr>
        <w:t>400</w:t>
      </w:r>
    </w:p>
    <w:p>
      <w:pPr>
        <w:pStyle w:val="BodyText"/>
        <w:rPr>
          <w:sz w:val="12"/>
        </w:rPr>
      </w:pPr>
    </w:p>
    <w:p>
      <w:pPr>
        <w:pStyle w:val="BodyText"/>
        <w:rPr>
          <w:sz w:val="12"/>
        </w:rPr>
      </w:pPr>
    </w:p>
    <w:p>
      <w:pPr>
        <w:pStyle w:val="BodyText"/>
        <w:spacing w:before="1"/>
        <w:rPr>
          <w:sz w:val="14"/>
        </w:rPr>
      </w:pPr>
    </w:p>
    <w:p>
      <w:pPr>
        <w:spacing w:before="1"/>
        <w:ind w:left="0" w:right="38" w:firstLine="0"/>
        <w:jc w:val="right"/>
        <w:rPr>
          <w:sz w:val="12"/>
        </w:rPr>
      </w:pPr>
      <w:r>
        <w:rPr>
          <w:sz w:val="12"/>
        </w:rPr>
        <w:t>300</w:t>
      </w:r>
    </w:p>
    <w:p>
      <w:pPr>
        <w:pStyle w:val="BodyText"/>
        <w:rPr>
          <w:sz w:val="12"/>
        </w:rPr>
      </w:pPr>
    </w:p>
    <w:p>
      <w:pPr>
        <w:pStyle w:val="BodyText"/>
        <w:rPr>
          <w:sz w:val="12"/>
        </w:rPr>
      </w:pPr>
    </w:p>
    <w:p>
      <w:pPr>
        <w:pStyle w:val="BodyText"/>
        <w:spacing w:before="1"/>
        <w:rPr>
          <w:sz w:val="14"/>
        </w:rPr>
      </w:pPr>
    </w:p>
    <w:p>
      <w:pPr>
        <w:spacing w:before="1"/>
        <w:ind w:left="0" w:right="38" w:firstLine="0"/>
        <w:jc w:val="right"/>
        <w:rPr>
          <w:sz w:val="12"/>
        </w:rPr>
      </w:pPr>
      <w:r>
        <w:rPr>
          <w:sz w:val="12"/>
        </w:rPr>
        <w:t>200</w:t>
      </w:r>
    </w:p>
    <w:p>
      <w:pPr>
        <w:pStyle w:val="BodyText"/>
        <w:rPr>
          <w:sz w:val="12"/>
        </w:rPr>
      </w:pPr>
    </w:p>
    <w:p>
      <w:pPr>
        <w:pStyle w:val="BodyText"/>
        <w:rPr>
          <w:sz w:val="12"/>
        </w:rPr>
      </w:pPr>
    </w:p>
    <w:p>
      <w:pPr>
        <w:pStyle w:val="BodyText"/>
        <w:spacing w:before="2"/>
        <w:rPr>
          <w:sz w:val="14"/>
        </w:rPr>
      </w:pPr>
    </w:p>
    <w:p>
      <w:pPr>
        <w:spacing w:before="0"/>
        <w:ind w:left="0" w:right="38" w:firstLine="0"/>
        <w:jc w:val="right"/>
        <w:rPr>
          <w:sz w:val="12"/>
        </w:rPr>
      </w:pPr>
      <w:r>
        <w:rPr/>
        <w:pict>
          <v:group style="position:absolute;margin-left:44.203999pt;margin-top:-.164642pt;width:159.1pt;height:16.4pt;mso-position-horizontal-relative:page;mso-position-vertical-relative:paragraph;z-index:15864832" coordorigin="884,-3" coordsize="3182,328">
            <v:line style="position:absolute" from="1043,314" to="1081,297" stroked="true" strokeweight="1pt" strokecolor="#006caa">
              <v:stroke dashstyle="solid"/>
            </v:line>
            <v:line style="position:absolute" from="1071,298" to="1128,298" stroked="true" strokeweight="1.125pt" strokecolor="#006caa">
              <v:stroke dashstyle="solid"/>
            </v:line>
            <v:shape style="position:absolute;left:1118;top:259;width:85;height:38" coordorigin="1118,259" coordsize="85,38" path="m1118,297l1166,277m1166,277l1203,259e" filled="false" stroked="true" strokeweight="1pt" strokecolor="#006caa">
              <v:path arrowok="t"/>
              <v:stroke dashstyle="solid"/>
            </v:shape>
            <v:line style="position:absolute" from="1193,260" to="1248,260" stroked="true" strokeweight="1.125pt" strokecolor="#006caa">
              <v:stroke dashstyle="solid"/>
            </v:line>
            <v:line style="position:absolute" from="1238,259" to="1276,242" stroked="true" strokeweight="1pt" strokecolor="#006caa">
              <v:stroke dashstyle="solid"/>
            </v:line>
            <v:shape style="position:absolute;left:1265;top:242;width:105;height:2" coordorigin="1266,243" coordsize="105,0" path="m1266,243l1333,243m1313,243l1371,243e" filled="false" stroked="true" strokeweight="1.125pt" strokecolor="#006caa">
              <v:path arrowok="t"/>
              <v:stroke dashstyle="solid"/>
            </v:shape>
            <v:shape style="position:absolute;left:1360;top:204;width:73;height:38" coordorigin="1361,204" coordsize="73,38" path="m1361,242l1398,224m1398,224l1433,204e" filled="false" stroked="true" strokeweight="1pt" strokecolor="#006caa">
              <v:path arrowok="t"/>
              <v:stroke dashstyle="solid"/>
            </v:shape>
            <v:shape style="position:absolute;left:1423;top:205;width:105;height:2" coordorigin="1423,205" coordsize="105,0" path="m1423,205l1493,205m1473,205l1528,205e" filled="false" stroked="true" strokeweight="1.125pt" strokecolor="#006caa">
              <v:path arrowok="t"/>
              <v:stroke dashstyle="solid"/>
            </v:shape>
            <v:line style="position:absolute" from="1518,204" to="1556,187" stroked="true" strokeweight="1pt" strokecolor="#006caa">
              <v:stroke dashstyle="solid"/>
            </v:line>
            <v:line style="position:absolute" from="1546,188" to="1603,188" stroked="true" strokeweight="1.125pt" strokecolor="#006caa">
              <v:stroke dashstyle="solid"/>
            </v:line>
            <v:line style="position:absolute" from="1593,187" to="1628,169" stroked="true" strokeweight="1pt" strokecolor="#006caa">
              <v:stroke dashstyle="solid"/>
            </v:line>
            <v:shape style="position:absolute;left:1618;top:170;width:105;height:2" coordorigin="1618,170" coordsize="105,0" path="m1618,170l1688,170m1668,170l1723,170e" filled="false" stroked="true" strokeweight="1.125pt" strokecolor="#006caa">
              <v:path arrowok="t"/>
              <v:stroke dashstyle="solid"/>
            </v:shape>
            <v:shape style="position:absolute;left:1713;top:131;width:73;height:38" coordorigin="1713,132" coordsize="73,38" path="m1713,169l1751,152m1751,152l1786,132e" filled="false" stroked="true" strokeweight="1pt" strokecolor="#006caa">
              <v:path arrowok="t"/>
              <v:stroke dashstyle="solid"/>
            </v:shape>
            <v:line style="position:absolute" from="1776,133" to="1846,133" stroked="true" strokeweight="1.125pt" strokecolor="#006caa">
              <v:stroke dashstyle="solid"/>
            </v:line>
            <v:shape style="position:absolute;left:1835;top:96;width:73;height:35" coordorigin="1836,97" coordsize="73,35" path="m1836,132l1873,114m1873,114l1908,97e" filled="false" stroked="true" strokeweight="1pt" strokecolor="#006caa">
              <v:path arrowok="t"/>
              <v:stroke dashstyle="solid"/>
            </v:shape>
            <v:line style="position:absolute" from="1898,98" to="1956,98" stroked="true" strokeweight="1.125pt" strokecolor="#006caa">
              <v:stroke dashstyle="solid"/>
            </v:line>
            <v:shape style="position:absolute;left:1945;top:59;width:85;height:38" coordorigin="1946,59" coordsize="85,38" path="m1946,97l1993,79m1993,79l2031,59e" filled="false" stroked="true" strokeweight="1pt" strokecolor="#006caa">
              <v:path arrowok="t"/>
              <v:stroke dashstyle="solid"/>
            </v:shape>
            <v:line style="position:absolute" from="2021,60" to="2076,60" stroked="true" strokeweight="1.125pt" strokecolor="#006caa">
              <v:stroke dashstyle="solid"/>
            </v:line>
            <v:line style="position:absolute" from="2066,59" to="2103,42" stroked="true" strokeweight="1pt" strokecolor="#006caa">
              <v:stroke dashstyle="solid"/>
            </v:line>
            <v:shape style="position:absolute;left:2093;top:42;width:105;height:2" coordorigin="2093,43" coordsize="105,0" path="m2093,43l2161,43m2141,43l2198,43e" filled="false" stroked="true" strokeweight="1.125pt" strokecolor="#006caa">
              <v:path arrowok="t"/>
              <v:stroke dashstyle="solid"/>
            </v:shape>
            <v:line style="position:absolute" from="2188,42" to="2226,24" stroked="true" strokeweight="1pt" strokecolor="#006caa">
              <v:stroke dashstyle="solid"/>
            </v:line>
            <v:shape style="position:absolute;left:2215;top:25;width:408;height:2" coordorigin="2216,25" coordsize="408,0" path="m2216,25l2271,25m2251,25l2308,25m2288,25l2356,25m2336,25l2393,25m2373,25l2431,25m2411,25l2466,25m2446,25l2516,25m2496,25l2551,25m2531,25l2588,25m2568,25l2623,25e" filled="false" stroked="true" strokeweight="1.125pt" strokecolor="#006caa">
              <v:path arrowok="t"/>
              <v:stroke dashstyle="solid"/>
            </v:shape>
            <v:line style="position:absolute" from="2613,24" to="2663,42" stroked="true" strokeweight="1pt" strokecolor="#006caa">
              <v:stroke dashstyle="solid"/>
            </v:line>
            <v:shape style="position:absolute;left:2653;top:42;width:130;height:2" coordorigin="2653,43" coordsize="130,0" path="m2653,43l2711,43m2691,43l2746,43m2726,43l2783,43e" filled="false" stroked="true" strokeweight="1.125pt" strokecolor="#006caa">
              <v:path arrowok="t"/>
              <v:stroke dashstyle="solid"/>
            </v:shape>
            <v:line style="position:absolute" from="2773,42" to="2808,59" stroked="true" strokeweight="1pt" strokecolor="#006caa">
              <v:stroke dashstyle="solid"/>
            </v:line>
            <v:shape style="position:absolute;left:2798;top:60;width:228;height:2" coordorigin="2798,60" coordsize="228,0" path="m2798,60l2868,60m2848,60l2903,60m2883,60l2941,60m2921,60l2978,60m2958,60l3026,60e" filled="false" stroked="true" strokeweight="1.125pt" strokecolor="#006caa">
              <v:path arrowok="t"/>
              <v:stroke dashstyle="solid"/>
            </v:shape>
            <v:shape style="position:absolute;left:3015;top:41;width:73;height:18" coordorigin="3016,42" coordsize="73,18" path="m3016,59l3053,42m3053,42l3088,59e" filled="false" stroked="true" strokeweight="1pt" strokecolor="#006caa">
              <v:path arrowok="t"/>
              <v:stroke dashstyle="solid"/>
            </v:shape>
            <v:shape style="position:absolute;left:3078;top:60;width:533;height:2" coordorigin="3078,60" coordsize="533,0" path="m3078,60l3136,60m3116,60l3183,60m3163,60l3221,60m3201,60l3258,60m3238,60l3293,60m3273,60l3343,60m3323,60l3378,60m3358,60l3416,60m3396,60l3453,60m3433,60l3488,60m3468,60l3538,60m3518,60l3573,60m3553,60l3611,60e" filled="false" stroked="true" strokeweight="1.125pt" strokecolor="#006caa">
              <v:path arrowok="t"/>
              <v:stroke dashstyle="solid"/>
            </v:shape>
            <v:line style="position:absolute" from="3601,59" to="3636,42" stroked="true" strokeweight="1pt" strokecolor="#006caa">
              <v:stroke dashstyle="solid"/>
            </v:line>
            <v:line style="position:absolute" from="3626,43" to="3696,43" stroked="true" strokeweight="1.125pt" strokecolor="#006caa">
              <v:stroke dashstyle="solid"/>
            </v:line>
            <v:shape style="position:absolute;left:3685;top:24;width:110;height:18" coordorigin="3686,24" coordsize="110,18" path="m3686,42l3721,24m3721,24l3758,42m3758,42l3796,24e" filled="false" stroked="true" strokeweight="1pt" strokecolor="#006caa">
              <v:path arrowok="t"/>
              <v:stroke dashstyle="solid"/>
            </v:shape>
            <v:shape style="position:absolute;left:3785;top:25;width:105;height:2" coordorigin="3786,25" coordsize="105,0" path="m3786,25l3853,25m3833,25l3891,25e" filled="false" stroked="true" strokeweight="1.125pt" strokecolor="#006caa">
              <v:path arrowok="t"/>
              <v:stroke dashstyle="solid"/>
            </v:shape>
            <v:line style="position:absolute" from="3881,24" to="3916,7" stroked="true" strokeweight="1pt" strokecolor="#006caa">
              <v:stroke dashstyle="solid"/>
            </v:line>
            <v:shape style="position:absolute;left:884;top:78;width:3182;height:7" coordorigin="884,78" coordsize="3182,7" path="m884,85l971,85m3979,78l4066,78e" filled="false" stroked="true" strokeweight=".5pt" strokecolor="#000000">
              <v:path arrowok="t"/>
              <v:stroke dashstyle="solid"/>
            </v:shape>
            <v:shape style="position:absolute;left:884;top:-4;width:3182;height:328" type="#_x0000_t202" filled="false" stroked="false">
              <v:textbox inset="0,0,0,0">
                <w:txbxContent>
                  <w:p>
                    <w:pPr>
                      <w:spacing w:before="102"/>
                      <w:ind w:left="1045" w:right="0" w:firstLine="0"/>
                      <w:jc w:val="left"/>
                      <w:rPr>
                        <w:sz w:val="12"/>
                      </w:rPr>
                    </w:pPr>
                    <w:r>
                      <w:rPr>
                        <w:sz w:val="12"/>
                      </w:rPr>
                      <w:t>Household debt</w:t>
                    </w:r>
                  </w:p>
                </w:txbxContent>
              </v:textbox>
              <w10:wrap type="none"/>
            </v:shape>
            <w10:wrap type="none"/>
          </v:group>
        </w:pict>
      </w:r>
      <w:r>
        <w:rPr>
          <w:sz w:val="12"/>
        </w:rPr>
        <w:t>100</w:t>
      </w:r>
    </w:p>
    <w:p>
      <w:pPr>
        <w:pStyle w:val="BodyText"/>
        <w:rPr>
          <w:sz w:val="12"/>
        </w:rPr>
      </w:pPr>
    </w:p>
    <w:p>
      <w:pPr>
        <w:pStyle w:val="BodyText"/>
        <w:rPr>
          <w:sz w:val="12"/>
        </w:rPr>
      </w:pPr>
    </w:p>
    <w:p>
      <w:pPr>
        <w:pStyle w:val="BodyText"/>
        <w:spacing w:before="2"/>
        <w:rPr>
          <w:sz w:val="14"/>
        </w:rPr>
      </w:pPr>
    </w:p>
    <w:p>
      <w:pPr>
        <w:spacing w:line="124" w:lineRule="exact" w:before="0"/>
        <w:ind w:left="3581" w:right="0" w:firstLine="0"/>
        <w:jc w:val="left"/>
        <w:rPr>
          <w:sz w:val="12"/>
        </w:rPr>
      </w:pPr>
      <w:r>
        <w:rPr/>
        <w:pict>
          <v:shape style="position:absolute;margin-left:44.203999pt;margin-top:.555565pt;width:159.1pt;height:3.7pt;mso-position-horizontal-relative:page;mso-position-vertical-relative:paragraph;z-index:15865344" coordorigin="884,11" coordsize="3182,74" path="m1048,78l3928,78m1046,11l1046,78m1361,11l1361,78m1676,11l1676,78m1992,11l1992,78m2307,11l2307,78m2937,11l2937,78m3568,11l3568,78m3883,11l3883,78m2622,11l2622,78m3253,11l3253,78m884,85l971,85m3979,78l4066,78e" filled="false" stroked="true" strokeweight=".5pt" strokecolor="#000000">
            <v:path arrowok="t"/>
            <v:stroke dashstyle="solid"/>
            <w10:wrap type="none"/>
          </v:shape>
        </w:pict>
      </w:r>
      <w:r>
        <w:rPr>
          <w:sz w:val="12"/>
        </w:rPr>
        <w:t>0</w:t>
      </w:r>
    </w:p>
    <w:p>
      <w:pPr>
        <w:tabs>
          <w:tab w:pos="1931" w:val="left" w:leader="none"/>
          <w:tab w:pos="2878" w:val="left" w:leader="none"/>
        </w:tabs>
        <w:spacing w:line="124" w:lineRule="exact" w:before="0"/>
        <w:ind w:left="288" w:right="0" w:firstLine="0"/>
        <w:jc w:val="left"/>
        <w:rPr>
          <w:sz w:val="12"/>
        </w:rPr>
      </w:pPr>
      <w:r>
        <w:rPr>
          <w:sz w:val="12"/>
        </w:rPr>
        <w:t>1982     84       86    </w:t>
      </w:r>
      <w:r>
        <w:rPr>
          <w:spacing w:val="21"/>
          <w:sz w:val="12"/>
        </w:rPr>
        <w:t> </w:t>
      </w:r>
      <w:r>
        <w:rPr>
          <w:sz w:val="12"/>
        </w:rPr>
        <w:t>88      90</w:t>
        <w:tab/>
        <w:t>92     </w:t>
      </w:r>
      <w:r>
        <w:rPr>
          <w:spacing w:val="4"/>
          <w:sz w:val="12"/>
        </w:rPr>
        <w:t> </w:t>
      </w:r>
      <w:r>
        <w:rPr>
          <w:sz w:val="12"/>
        </w:rPr>
        <w:t>94     </w:t>
      </w:r>
      <w:r>
        <w:rPr>
          <w:spacing w:val="19"/>
          <w:sz w:val="12"/>
        </w:rPr>
        <w:t> </w:t>
      </w:r>
      <w:r>
        <w:rPr>
          <w:sz w:val="12"/>
        </w:rPr>
        <w:t>96</w:t>
        <w:tab/>
        <w:t>98</w:t>
      </w:r>
      <w:r>
        <w:rPr>
          <w:spacing w:val="24"/>
          <w:sz w:val="12"/>
        </w:rPr>
        <w:t> </w:t>
      </w:r>
      <w:r>
        <w:rPr>
          <w:sz w:val="12"/>
        </w:rPr>
        <w:t>2000</w:t>
      </w:r>
    </w:p>
    <w:p>
      <w:pPr>
        <w:spacing w:before="99"/>
        <w:ind w:left="184" w:right="0" w:firstLine="0"/>
        <w:jc w:val="left"/>
        <w:rPr>
          <w:sz w:val="12"/>
        </w:rPr>
      </w:pPr>
      <w:r>
        <w:rPr>
          <w:sz w:val="12"/>
        </w:rPr>
        <w:t>Sources: ONS and Bank of England.</w:t>
      </w:r>
    </w:p>
    <w:p>
      <w:pPr>
        <w:spacing w:before="102"/>
        <w:ind w:left="184" w:right="0" w:firstLine="0"/>
        <w:jc w:val="left"/>
        <w:rPr>
          <w:sz w:val="12"/>
        </w:rPr>
      </w:pPr>
      <w:r>
        <w:rPr>
          <w:sz w:val="12"/>
        </w:rPr>
        <w:t>(a) Using a four-quarter moving sum of income.</w:t>
      </w:r>
    </w:p>
    <w:p>
      <w:pPr>
        <w:pStyle w:val="BodyText"/>
        <w:spacing w:line="242" w:lineRule="auto" w:before="11"/>
        <w:ind w:left="189" w:right="154"/>
      </w:pPr>
      <w:r>
        <w:rPr/>
        <w:br w:type="column"/>
      </w:r>
      <w:r>
        <w:rPr>
          <w:spacing w:val="-3"/>
        </w:rPr>
        <w:t>have </w:t>
      </w:r>
      <w:r>
        <w:rPr/>
        <w:t>changed little and house price inflation has moderated </w:t>
      </w:r>
      <w:r>
        <w:rPr>
          <w:spacing w:val="-3"/>
        </w:rPr>
        <w:t>further. </w:t>
      </w:r>
      <w:r>
        <w:rPr/>
        <w:t>Less rapidly rising wealth and slower growth in real incomes may partly explain the drift </w:t>
      </w:r>
      <w:r>
        <w:rPr>
          <w:spacing w:val="-3"/>
        </w:rPr>
        <w:t>down </w:t>
      </w:r>
      <w:r>
        <w:rPr/>
        <w:t>in consumer confidence measures </w:t>
      </w:r>
      <w:r>
        <w:rPr>
          <w:spacing w:val="-3"/>
        </w:rPr>
        <w:t>over </w:t>
      </w:r>
      <w:r>
        <w:rPr/>
        <w:t>the past year (see Chart 2.9). These developments suggest that consumption is likely to </w:t>
      </w:r>
      <w:r>
        <w:rPr>
          <w:spacing w:val="-5"/>
        </w:rPr>
        <w:t>slow. </w:t>
      </w:r>
      <w:r>
        <w:rPr>
          <w:spacing w:val="-4"/>
        </w:rPr>
        <w:t>However, </w:t>
      </w:r>
      <w:r>
        <w:rPr/>
        <w:t>spending has been stronger than suggested by its standard determinants for some time and </w:t>
      </w:r>
      <w:r>
        <w:rPr>
          <w:spacing w:val="-3"/>
        </w:rPr>
        <w:t>given </w:t>
      </w:r>
      <w:r>
        <w:rPr/>
        <w:t>a more robust growth outturn in Q2 than anticipated in August, the MPC judges that consumption growth will ease somewhat less rapidly than expected at the time of the August</w:t>
      </w:r>
      <w:r>
        <w:rPr>
          <w:spacing w:val="-1"/>
        </w:rPr>
        <w:t> </w:t>
      </w:r>
      <w:r>
        <w:rPr>
          <w:i/>
        </w:rPr>
        <w:t>Report</w:t>
      </w:r>
      <w:r>
        <w:rPr/>
        <w:t>.</w:t>
      </w:r>
    </w:p>
    <w:p>
      <w:pPr>
        <w:pStyle w:val="BodyText"/>
        <w:spacing w:before="3"/>
        <w:rPr>
          <w:sz w:val="22"/>
        </w:rPr>
      </w:pPr>
    </w:p>
    <w:p>
      <w:pPr>
        <w:spacing w:before="0"/>
        <w:ind w:left="189" w:right="0" w:firstLine="0"/>
        <w:jc w:val="left"/>
        <w:rPr>
          <w:i/>
          <w:sz w:val="24"/>
        </w:rPr>
      </w:pPr>
      <w:r>
        <w:rPr>
          <w:i/>
          <w:color w:val="009391"/>
          <w:sz w:val="24"/>
        </w:rPr>
        <w:t>Investment demand</w:t>
      </w:r>
    </w:p>
    <w:p>
      <w:pPr>
        <w:pStyle w:val="BodyText"/>
        <w:spacing w:line="242" w:lineRule="auto" w:before="124"/>
        <w:ind w:left="189"/>
      </w:pPr>
      <w:r>
        <w:rPr/>
        <w:t>Investment has risen more slowly than anticipated so far this year. Whole-economy investment rose by 0.9% in 2000 Q2, following a fall in the previous quarter.</w:t>
      </w:r>
    </w:p>
    <w:p>
      <w:pPr>
        <w:pStyle w:val="BodyText"/>
        <w:spacing w:before="4"/>
        <w:rPr>
          <w:sz w:val="10"/>
        </w:rPr>
      </w:pPr>
      <w:r>
        <w:rPr/>
        <w:pict>
          <v:shape style="position:absolute;margin-left:280pt;margin-top:8.000432pt;width:276pt;height:.1pt;mso-position-horizontal-relative:page;mso-position-vertical-relative:paragraph;z-index:-15597056;mso-wrap-distance-left:0;mso-wrap-distance-right:0" coordorigin="5600,160" coordsize="5520,0" path="m5600,160l11120,160e" filled="false" stroked="true" strokeweight=".125pt" strokecolor="#000000">
            <v:path arrowok="t"/>
            <v:stroke dashstyle="solid"/>
            <w10:wrap type="topAndBottom"/>
          </v:shape>
        </w:pict>
      </w:r>
    </w:p>
    <w:p>
      <w:pPr>
        <w:pStyle w:val="ListParagraph"/>
        <w:numPr>
          <w:ilvl w:val="0"/>
          <w:numId w:val="16"/>
        </w:numPr>
        <w:tabs>
          <w:tab w:pos="420" w:val="left" w:leader="none"/>
        </w:tabs>
        <w:spacing w:line="208" w:lineRule="auto" w:before="0" w:after="0"/>
        <w:ind w:left="419" w:right="980" w:hanging="240"/>
        <w:jc w:val="both"/>
        <w:rPr>
          <w:sz w:val="16"/>
        </w:rPr>
      </w:pPr>
      <w:r>
        <w:rPr>
          <w:sz w:val="16"/>
        </w:rPr>
        <w:t>Based</w:t>
      </w:r>
      <w:r>
        <w:rPr>
          <w:spacing w:val="-4"/>
          <w:sz w:val="16"/>
        </w:rPr>
        <w:t> </w:t>
      </w:r>
      <w:r>
        <w:rPr>
          <w:sz w:val="16"/>
        </w:rPr>
        <w:t>on</w:t>
      </w:r>
      <w:r>
        <w:rPr>
          <w:spacing w:val="-3"/>
          <w:sz w:val="16"/>
        </w:rPr>
        <w:t> </w:t>
      </w:r>
      <w:r>
        <w:rPr>
          <w:sz w:val="16"/>
        </w:rPr>
        <w:t>a</w:t>
      </w:r>
      <w:r>
        <w:rPr>
          <w:spacing w:val="-4"/>
          <w:sz w:val="16"/>
        </w:rPr>
        <w:t> </w:t>
      </w:r>
      <w:r>
        <w:rPr>
          <w:sz w:val="16"/>
        </w:rPr>
        <w:t>method</w:t>
      </w:r>
      <w:r>
        <w:rPr>
          <w:spacing w:val="-3"/>
          <w:sz w:val="16"/>
        </w:rPr>
        <w:t> </w:t>
      </w:r>
      <w:r>
        <w:rPr>
          <w:sz w:val="16"/>
        </w:rPr>
        <w:t>developed</w:t>
      </w:r>
      <w:r>
        <w:rPr>
          <w:spacing w:val="-4"/>
          <w:sz w:val="16"/>
        </w:rPr>
        <w:t> </w:t>
      </w:r>
      <w:r>
        <w:rPr>
          <w:sz w:val="16"/>
        </w:rPr>
        <w:t>by</w:t>
      </w:r>
      <w:r>
        <w:rPr>
          <w:spacing w:val="-5"/>
          <w:sz w:val="16"/>
        </w:rPr>
        <w:t> </w:t>
      </w:r>
      <w:r>
        <w:rPr>
          <w:spacing w:val="-4"/>
          <w:sz w:val="16"/>
        </w:rPr>
        <w:t>Taylor,</w:t>
      </w:r>
      <w:r>
        <w:rPr>
          <w:spacing w:val="-3"/>
          <w:sz w:val="16"/>
        </w:rPr>
        <w:t> </w:t>
      </w:r>
      <w:r>
        <w:rPr>
          <w:sz w:val="16"/>
        </w:rPr>
        <w:t>C</w:t>
      </w:r>
      <w:r>
        <w:rPr>
          <w:spacing w:val="-5"/>
          <w:sz w:val="16"/>
        </w:rPr>
        <w:t> </w:t>
      </w:r>
      <w:r>
        <w:rPr>
          <w:sz w:val="16"/>
        </w:rPr>
        <w:t>T</w:t>
      </w:r>
      <w:r>
        <w:rPr>
          <w:spacing w:val="-3"/>
          <w:sz w:val="16"/>
        </w:rPr>
        <w:t> </w:t>
      </w:r>
      <w:r>
        <w:rPr>
          <w:sz w:val="16"/>
        </w:rPr>
        <w:t>and</w:t>
      </w:r>
      <w:r>
        <w:rPr>
          <w:spacing w:val="-6"/>
          <w:sz w:val="16"/>
        </w:rPr>
        <w:t> </w:t>
      </w:r>
      <w:r>
        <w:rPr>
          <w:sz w:val="16"/>
        </w:rPr>
        <w:t>Threadgold,</w:t>
      </w:r>
      <w:r>
        <w:rPr>
          <w:spacing w:val="-11"/>
          <w:sz w:val="16"/>
        </w:rPr>
        <w:t> </w:t>
      </w:r>
      <w:r>
        <w:rPr>
          <w:sz w:val="16"/>
        </w:rPr>
        <w:t>A</w:t>
      </w:r>
      <w:r>
        <w:rPr>
          <w:spacing w:val="-3"/>
          <w:sz w:val="16"/>
        </w:rPr>
        <w:t> </w:t>
      </w:r>
      <w:r>
        <w:rPr>
          <w:sz w:val="16"/>
        </w:rPr>
        <w:t>R</w:t>
      </w:r>
      <w:r>
        <w:rPr>
          <w:spacing w:val="-4"/>
          <w:sz w:val="16"/>
        </w:rPr>
        <w:t> </w:t>
      </w:r>
      <w:r>
        <w:rPr>
          <w:sz w:val="16"/>
        </w:rPr>
        <w:t>in ‘Real national saving and its sectoral composition’, </w:t>
      </w:r>
      <w:r>
        <w:rPr>
          <w:i/>
          <w:sz w:val="16"/>
        </w:rPr>
        <w:t>Bank of England </w:t>
      </w:r>
      <w:r>
        <w:rPr>
          <w:i/>
          <w:sz w:val="16"/>
        </w:rPr>
        <w:t>Discussion </w:t>
      </w:r>
      <w:r>
        <w:rPr>
          <w:i/>
          <w:spacing w:val="-3"/>
          <w:sz w:val="16"/>
        </w:rPr>
        <w:t>Paper</w:t>
      </w:r>
      <w:r>
        <w:rPr>
          <w:spacing w:val="-3"/>
          <w:sz w:val="16"/>
        </w:rPr>
        <w:t>, </w:t>
      </w:r>
      <w:r>
        <w:rPr>
          <w:sz w:val="16"/>
        </w:rPr>
        <w:t>No 6,</w:t>
      </w:r>
      <w:r>
        <w:rPr>
          <w:spacing w:val="1"/>
          <w:sz w:val="16"/>
        </w:rPr>
        <w:t> </w:t>
      </w:r>
      <w:r>
        <w:rPr>
          <w:sz w:val="16"/>
        </w:rPr>
        <w:t>1979.</w:t>
      </w:r>
    </w:p>
    <w:p>
      <w:pPr>
        <w:spacing w:after="0" w:line="208" w:lineRule="auto"/>
        <w:jc w:val="both"/>
        <w:rPr>
          <w:sz w:val="16"/>
        </w:rPr>
        <w:sectPr>
          <w:type w:val="continuous"/>
          <w:pgSz w:w="11900" w:h="16840"/>
          <w:pgMar w:top="1260" w:bottom="280" w:left="640" w:right="640"/>
          <w:cols w:num="2" w:equalWidth="0">
            <w:col w:w="3682" w:space="1114"/>
            <w:col w:w="5824"/>
          </w:cols>
        </w:sectPr>
      </w:pPr>
    </w:p>
    <w:p>
      <w:pPr>
        <w:pStyle w:val="BodyText"/>
        <w:rPr>
          <w:sz w:val="20"/>
        </w:rPr>
      </w:pPr>
    </w:p>
    <w:p>
      <w:pPr>
        <w:spacing w:after="0"/>
        <w:rPr>
          <w:sz w:val="20"/>
        </w:rPr>
        <w:sectPr>
          <w:pgSz w:w="11900" w:h="16840"/>
          <w:pgMar w:header="601" w:footer="612" w:top="800" w:bottom="800" w:left="640" w:right="640"/>
        </w:sectPr>
      </w:pPr>
    </w:p>
    <w:p>
      <w:pPr>
        <w:pStyle w:val="BodyText"/>
        <w:spacing w:before="1"/>
        <w:rPr>
          <w:sz w:val="20"/>
        </w:rPr>
      </w:pPr>
    </w:p>
    <w:p>
      <w:pPr>
        <w:spacing w:before="1"/>
        <w:ind w:left="167" w:right="0" w:firstLine="0"/>
        <w:jc w:val="left"/>
        <w:rPr>
          <w:b/>
          <w:sz w:val="20"/>
        </w:rPr>
      </w:pPr>
      <w:r>
        <w:rPr>
          <w:b/>
          <w:color w:val="0092C7"/>
          <w:sz w:val="20"/>
        </w:rPr>
        <w:t>Chart 2.9</w:t>
      </w:r>
    </w:p>
    <w:p>
      <w:pPr>
        <w:spacing w:before="10"/>
        <w:ind w:left="167" w:right="0" w:firstLine="0"/>
        <w:jc w:val="left"/>
        <w:rPr>
          <w:b/>
          <w:sz w:val="20"/>
        </w:rPr>
      </w:pPr>
      <w:r>
        <w:rPr/>
        <w:pict>
          <v:group style="position:absolute;margin-left:41.951pt;margin-top:22.960947pt;width:159.4pt;height:137.75pt;mso-position-horizontal-relative:page;mso-position-vertical-relative:paragraph;z-index:15886336" coordorigin="839,459" coordsize="3188,2755">
            <v:shape style="position:absolute;left:997;top:1606;width:250;height:298" coordorigin="998,1607" coordsize="250,298" path="m998,1607l1040,1719m1040,1719l1083,1777m1083,1777l1123,1707m1123,1707l1165,1762m1165,1762l1208,1904m1208,1904l1248,1792e" filled="false" stroked="true" strokeweight="1pt" strokecolor="#008360">
              <v:path arrowok="t"/>
              <v:stroke dashstyle="solid"/>
            </v:shape>
            <v:line style="position:absolute" from="1238,1793" to="1300,1793" stroked="true" strokeweight="1.125pt" strokecolor="#008360">
              <v:stroke dashstyle="solid"/>
            </v:line>
            <v:shape style="position:absolute;left:1290;top:1196;width:1793;height:735" coordorigin="1290,1197" coordsize="1793,735" path="m1290,1792l1333,1819m1333,1819l1373,1834m1373,1834l1415,1904m1415,1904l1458,1932m1458,1932l1498,1719m1498,1719l1540,1889m1540,1889l1583,1847m1583,1847l1623,1819m1623,1819l1665,1762m1665,1762l1708,1792m1708,1792l1750,1692m1750,1692l1790,1649m1790,1649l1833,1579m1833,1579l1875,1637m1875,1637l1915,1494m1915,1494l1958,1679m1958,1679l2000,1494m2000,1494l2040,1467m2040,1467l2083,1509m2083,1509l2125,1564m2125,1564l2165,1324m2165,1324l2208,1239m2208,1239l2250,1254m2250,1254l2290,1197m2290,1197l2333,1254m2333,1254l2375,1282m2375,1282l2415,1467m2415,1467l2458,1552m2458,1552l2500,1394m2500,1394l2543,1409m2543,1409l2583,1479m2583,1479l2625,1394m2625,1394l2668,1297m2668,1297l2708,1452m2708,1452l2750,1594m2750,1594l2793,1734m2793,1734l2833,1637m2833,1637l2875,1847m2875,1847l2918,1749m2918,1749l2958,1792m2958,1792l3000,1622m3000,1622l3043,1564m3043,1564l3083,1479e" filled="false" stroked="true" strokeweight="1pt" strokecolor="#008360">
              <v:path arrowok="t"/>
              <v:stroke dashstyle="solid"/>
            </v:shape>
            <v:line style="position:absolute" from="3073,1480" to="3135,1480" stroked="true" strokeweight="1.125pt" strokecolor="#008360">
              <v:stroke dashstyle="solid"/>
            </v:line>
            <v:shape style="position:absolute;left:3125;top:1254;width:750;height:465" coordorigin="3125,1254" coordsize="750,465" path="m3125,1479l3168,1324m3168,1324l3208,1339m3208,1339l3250,1452m3250,1452l3293,1367m3293,1367l3333,1452m3333,1452l3375,1437m3375,1437l3418,1594m3418,1594l3460,1479m3460,1479l3500,1254m3500,1254l3543,1437m3543,1437l3585,1607m3585,1607l3625,1679m3625,1679l3668,1452m3668,1452l3710,1537m3710,1537l3750,1622m3750,1622l3793,1494m3793,1494l3835,1719m3835,1719l3875,1522e" filled="false" stroked="true" strokeweight="1pt" strokecolor="#008360">
              <v:path arrowok="t"/>
              <v:stroke dashstyle="solid"/>
            </v:shape>
            <v:line style="position:absolute" from="1019,2034" to="1019,2522" stroked="true" strokeweight="3.125pt" strokecolor="#f6bd61">
              <v:stroke dashstyle="solid"/>
            </v:line>
            <v:shape style="position:absolute;left:1030;top:1936;width:563;height:585" type="#_x0000_t75" stroked="false">
              <v:imagedata r:id="rId87" o:title=""/>
            </v:shape>
            <v:line style="position:absolute" from="1603,1752" to="1603,2169" stroked="true" strokeweight="3pt" strokecolor="#f6bd61">
              <v:stroke dashstyle="solid"/>
            </v:line>
            <v:shape style="position:absolute;left:1622;top:1649;width:128;height:255" coordorigin="1623,1649" coordsize="128,255" path="m1623,1762l1665,1904m1665,1904l1708,1649m1708,1649l1750,1862e" filled="false" stroked="true" strokeweight="1pt" strokecolor="#f6bd61">
              <v:path arrowok="t"/>
              <v:stroke dashstyle="solid"/>
            </v:shape>
            <v:line style="position:absolute" from="1770,1457" to="1770,1872" stroked="true" strokeweight="3pt" strokecolor="#f6bd61">
              <v:stroke dashstyle="solid"/>
            </v:line>
            <v:shape style="position:absolute;left:1780;top:1456;width:313;height:415" type="#_x0000_t75" stroked="false">
              <v:imagedata r:id="rId88" o:title=""/>
            </v:shape>
            <v:line style="position:absolute" from="2104,1059" to="2104,1519" stroked="true" strokeweight="3.125pt" strokecolor="#f6bd61">
              <v:stroke dashstyle="solid"/>
            </v:line>
            <v:line style="position:absolute" from="2145,524" to="2145,1079" stroked="true" strokeweight="3pt" strokecolor="#f6bd61">
              <v:stroke dashstyle="solid"/>
            </v:line>
            <v:line style="position:absolute" from="2165,534" to="2250,1184" stroked="true" strokeweight="1pt" strokecolor="#f6bd61">
              <v:stroke dashstyle="solid"/>
            </v:line>
            <v:line style="position:absolute" from="2270,1174" to="2270,1632" stroked="true" strokeweight="3pt" strokecolor="#f6bd61">
              <v:stroke dashstyle="solid"/>
            </v:line>
            <v:shape style="position:absolute;left:2290;top:929;width:85;height:693" coordorigin="2290,929" coordsize="85,693" path="m2290,1622l2333,929m2333,929l2375,1297e" filled="false" stroked="true" strokeweight="1pt" strokecolor="#f6bd61">
              <v:path arrowok="t"/>
              <v:stroke dashstyle="solid"/>
            </v:shape>
            <v:line style="position:absolute" from="2395,1287" to="2395,1702" stroked="true" strokeweight="3pt" strokecolor="#f6bd61">
              <v:stroke dashstyle="solid"/>
            </v:line>
            <v:line style="position:absolute" from="2405,1693" to="2468,1693" stroked="true" strokeweight="1.125pt" strokecolor="#f6bd61">
              <v:stroke dashstyle="solid"/>
            </v:line>
            <v:shape style="position:absolute;left:2457;top:1394;width:168;height:298" coordorigin="2458,1394" coordsize="168,298" path="m2458,1692l2543,1467m2543,1467l2583,1394m2583,1394l2625,1509e" filled="false" stroked="true" strokeweight="1pt" strokecolor="#f6bd61">
              <v:path arrowok="t"/>
              <v:stroke dashstyle="solid"/>
            </v:shape>
            <v:line style="position:absolute" from="2615,1510" to="2678,1510" stroked="true" strokeweight="1.125pt" strokecolor="#f6bd61">
              <v:stroke dashstyle="solid"/>
            </v:line>
            <v:shape style="position:absolute;left:2667;top:1509;width:208;height:1695" coordorigin="2668,1509" coordsize="208,1695" path="m2668,1509l2708,2229m2708,2229l2750,2299m2750,2299l2793,2512m2793,2512l2833,2879m2833,2879l2875,3204e" filled="false" stroked="true" strokeweight="1pt" strokecolor="#f6bd61">
              <v:path arrowok="t"/>
              <v:stroke dashstyle="solid"/>
            </v:shape>
            <v:line style="position:absolute" from="2897,2657" to="2897,3214" stroked="true" strokeweight="3.125pt" strokecolor="#f6bd61">
              <v:stroke dashstyle="solid"/>
            </v:line>
            <v:shape style="position:absolute;left:2917;top:1436;width:333;height:1230" coordorigin="2918,1437" coordsize="333,1230" path="m2918,2667l2958,2624m2958,2624l3000,2372m3000,2372l3043,2087m3043,2087l3083,1762m3083,1762l3125,1834m3125,1834l3168,1579m3168,1579l3208,1692m3208,1692l3250,1437e" filled="false" stroked="true" strokeweight="1pt" strokecolor="#f6bd61">
              <v:path arrowok="t"/>
              <v:stroke dashstyle="solid"/>
            </v:shape>
            <v:line style="position:absolute" from="3272,1427" to="3272,1984" stroked="true" strokeweight="3.125pt" strokecolor="#f6bd61">
              <v:stroke dashstyle="solid"/>
            </v:line>
            <v:line style="position:absolute" from="3293,1974" to="3333,1367" stroked="true" strokeweight="1pt" strokecolor="#f6bd61">
              <v:stroke dashstyle="solid"/>
            </v:line>
            <v:line style="position:absolute" from="3354,1357" to="3354,1802" stroked="true" strokeweight="3.125pt" strokecolor="#f6bd61">
              <v:stroke dashstyle="solid"/>
            </v:line>
            <v:shape style="position:absolute;left:3375;top:1394;width:125;height:398" coordorigin="3375,1394" coordsize="125,398" path="m3375,1792l3418,1394m3418,1394l3460,1509m3460,1509l3500,1467e" filled="false" stroked="true" strokeweight="1pt" strokecolor="#f6bd61">
              <v:path arrowok="t"/>
              <v:stroke dashstyle="solid"/>
            </v:shape>
            <v:line style="position:absolute" from="3522,1457" to="3522,1914" stroked="true" strokeweight="3.125pt" strokecolor="#f6bd61">
              <v:stroke dashstyle="solid"/>
            </v:line>
            <v:shape style="position:absolute;left:3532;top:1709;width:353;height:460" type="#_x0000_t75" stroked="false">
              <v:imagedata r:id="rId89" o:title=""/>
            </v:shape>
            <v:shape style="position:absolute;left:839;top:464;width:3188;height:2529" coordorigin="839,464" coordsize="3188,2529" path="m839,825l926,825m839,1185l926,1185m839,1550l926,1550m839,1907l926,1907m839,2267l926,2267m839,2989l926,2989m839,2628l926,2628m839,464l926,464m3940,829l4027,829m3940,1189l4027,1189m3940,1550l4027,1550m3940,1911l4027,1911m3940,2271l4027,2271m3940,2992l4027,2992m3940,2632l4027,2632m3940,468l4027,468e" filled="false" stroked="true" strokeweight=".5pt" strokecolor="#000000">
              <v:path arrowok="t"/>
              <v:stroke dashstyle="solid"/>
            </v:shape>
            <v:line style="position:absolute" from="998,1550" to="3881,1550" stroked="true" strokeweight=".5pt" strokecolor="#000000">
              <v:stroke dashstyle="solid"/>
            </v:line>
            <v:shape style="position:absolute;left:2674;top:1078;width:1100;height:134" type="#_x0000_t202" filled="false" stroked="false">
              <v:textbox inset="0,0,0,0">
                <w:txbxContent>
                  <w:p>
                    <w:pPr>
                      <w:spacing w:line="133" w:lineRule="exact" w:before="0"/>
                      <w:ind w:left="0" w:right="0" w:firstLine="0"/>
                      <w:jc w:val="left"/>
                      <w:rPr>
                        <w:sz w:val="12"/>
                      </w:rPr>
                    </w:pPr>
                    <w:r>
                      <w:rPr>
                        <w:sz w:val="12"/>
                      </w:rPr>
                      <w:t>GfK headline measure</w:t>
                    </w:r>
                  </w:p>
                </w:txbxContent>
              </v:textbox>
              <w10:wrap type="none"/>
            </v:shape>
            <v:shape style="position:absolute;left:2931;top:2816;width:630;height:134" type="#_x0000_t202" filled="false" stroked="false">
              <v:textbox inset="0,0,0,0">
                <w:txbxContent>
                  <w:p>
                    <w:pPr>
                      <w:spacing w:line="133" w:lineRule="exact" w:before="0"/>
                      <w:ind w:left="0" w:right="0" w:firstLine="0"/>
                      <w:jc w:val="left"/>
                      <w:rPr>
                        <w:sz w:val="12"/>
                      </w:rPr>
                    </w:pPr>
                    <w:r>
                      <w:rPr>
                        <w:sz w:val="12"/>
                      </w:rPr>
                      <w:t>MORI index</w:t>
                    </w:r>
                  </w:p>
                </w:txbxContent>
              </v:textbox>
              <w10:wrap type="none"/>
            </v:shape>
            <w10:wrap type="none"/>
          </v:group>
        </w:pict>
      </w:r>
      <w:r>
        <w:rPr>
          <w:b/>
          <w:color w:val="0092C7"/>
          <w:sz w:val="20"/>
        </w:rPr>
        <w:t>Consumer</w:t>
      </w:r>
      <w:r>
        <w:rPr>
          <w:b/>
          <w:color w:val="0092C7"/>
          <w:spacing w:val="-17"/>
          <w:sz w:val="20"/>
        </w:rPr>
        <w:t> </w:t>
      </w:r>
      <w:r>
        <w:rPr>
          <w:b/>
          <w:color w:val="0092C7"/>
          <w:sz w:val="20"/>
        </w:rPr>
        <w:t>confidence</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6"/>
        <w:rPr>
          <w:b/>
          <w:sz w:val="30"/>
        </w:rPr>
      </w:pPr>
    </w:p>
    <w:p>
      <w:pPr>
        <w:tabs>
          <w:tab w:pos="1060" w:val="left" w:leader="none"/>
          <w:tab w:pos="1562" w:val="left" w:leader="none"/>
        </w:tabs>
        <w:spacing w:before="0"/>
        <w:ind w:left="470" w:right="0" w:firstLine="0"/>
        <w:jc w:val="left"/>
        <w:rPr>
          <w:sz w:val="12"/>
        </w:rPr>
      </w:pPr>
      <w:r>
        <w:rPr/>
        <w:pict>
          <v:shape style="position:absolute;margin-left:41.951pt;margin-top:-4.426746pt;width:159.4pt;height:3.4pt;mso-position-horizontal-relative:page;mso-position-vertical-relative:paragraph;z-index:15886848" coordorigin="839,-89" coordsize="3188,68" path="m1003,-21l3888,-21m1001,-89l1001,-21m1501,-89l1501,-21m2002,-89l2002,-21m2502,-89l2502,-21m3002,-89l3002,-21m3503,-89l3503,-21m839,-25l926,-25m3940,-21l4027,-21e" filled="false" stroked="true" strokeweight=".5pt" strokecolor="#000000">
            <v:path arrowok="t"/>
            <v:stroke dashstyle="solid"/>
            <w10:wrap type="none"/>
          </v:shape>
        </w:pict>
      </w:r>
      <w:r>
        <w:rPr>
          <w:sz w:val="12"/>
        </w:rPr>
        <w:t>1995</w:t>
        <w:tab/>
        <w:t>96</w:t>
        <w:tab/>
        <w:t>97</w:t>
      </w:r>
    </w:p>
    <w:p>
      <w:pPr>
        <w:pStyle w:val="BodyText"/>
        <w:spacing w:before="10"/>
        <w:rPr>
          <w:sz w:val="11"/>
        </w:rPr>
      </w:pPr>
    </w:p>
    <w:p>
      <w:pPr>
        <w:spacing w:before="0"/>
        <w:ind w:left="157" w:right="0" w:firstLine="0"/>
        <w:jc w:val="left"/>
        <w:rPr>
          <w:sz w:val="12"/>
        </w:rPr>
      </w:pPr>
      <w:r>
        <w:rPr>
          <w:sz w:val="12"/>
        </w:rPr>
        <w:t>Sources: GfK and MORI.</w:t>
      </w:r>
    </w:p>
    <w:p>
      <w:pPr>
        <w:pStyle w:val="BodyText"/>
        <w:rPr>
          <w:sz w:val="12"/>
        </w:rPr>
      </w:pPr>
    </w:p>
    <w:p>
      <w:pPr>
        <w:pStyle w:val="BodyText"/>
        <w:rPr>
          <w:sz w:val="12"/>
        </w:rPr>
      </w:pPr>
    </w:p>
    <w:p>
      <w:pPr>
        <w:pStyle w:val="BodyText"/>
        <w:rPr>
          <w:sz w:val="12"/>
        </w:rPr>
      </w:pPr>
    </w:p>
    <w:p>
      <w:pPr>
        <w:pStyle w:val="BodyText"/>
        <w:spacing w:before="4"/>
        <w:rPr>
          <w:sz w:val="17"/>
        </w:rPr>
      </w:pPr>
    </w:p>
    <w:p>
      <w:pPr>
        <w:spacing w:line="121" w:lineRule="exact" w:before="0"/>
        <w:ind w:left="174" w:right="0" w:firstLine="0"/>
        <w:jc w:val="left"/>
        <w:rPr>
          <w:b/>
          <w:sz w:val="20"/>
        </w:rPr>
      </w:pPr>
      <w:r>
        <w:rPr>
          <w:b/>
          <w:color w:val="0092C7"/>
          <w:sz w:val="20"/>
        </w:rPr>
        <w:t>Chart 2.10</w:t>
      </w:r>
    </w:p>
    <w:p>
      <w:pPr>
        <w:pStyle w:val="BodyText"/>
        <w:rPr>
          <w:b/>
          <w:sz w:val="12"/>
        </w:rPr>
      </w:pPr>
      <w:r>
        <w:rPr/>
        <w:br w:type="column"/>
      </w:r>
      <w:r>
        <w:rPr>
          <w:b/>
          <w:sz w:val="12"/>
        </w:rPr>
      </w:r>
    </w:p>
    <w:p>
      <w:pPr>
        <w:pStyle w:val="BodyText"/>
        <w:rPr>
          <w:b/>
          <w:sz w:val="12"/>
        </w:rPr>
      </w:pPr>
    </w:p>
    <w:p>
      <w:pPr>
        <w:pStyle w:val="BodyText"/>
        <w:rPr>
          <w:b/>
          <w:sz w:val="12"/>
        </w:rPr>
      </w:pPr>
    </w:p>
    <w:p>
      <w:pPr>
        <w:pStyle w:val="BodyText"/>
        <w:rPr>
          <w:b/>
          <w:sz w:val="12"/>
        </w:rPr>
      </w:pPr>
    </w:p>
    <w:p>
      <w:pPr>
        <w:pStyle w:val="BodyText"/>
        <w:rPr>
          <w:b/>
          <w:sz w:val="17"/>
        </w:rPr>
      </w:pPr>
    </w:p>
    <w:p>
      <w:pPr>
        <w:spacing w:line="116" w:lineRule="exact" w:before="0"/>
        <w:ind w:left="84" w:right="0" w:firstLine="0"/>
        <w:jc w:val="left"/>
        <w:rPr>
          <w:sz w:val="12"/>
        </w:rPr>
      </w:pPr>
      <w:r>
        <w:rPr>
          <w:sz w:val="12"/>
        </w:rPr>
        <w:t>Percentage point balances</w:t>
      </w:r>
    </w:p>
    <w:p>
      <w:pPr>
        <w:spacing w:line="116" w:lineRule="exact" w:before="0"/>
        <w:ind w:left="1366" w:right="0" w:firstLine="0"/>
        <w:jc w:val="left"/>
        <w:rPr>
          <w:sz w:val="12"/>
        </w:rPr>
      </w:pPr>
      <w:r>
        <w:rPr>
          <w:sz w:val="12"/>
        </w:rPr>
        <w:t>30</w:t>
      </w:r>
    </w:p>
    <w:p>
      <w:pPr>
        <w:pStyle w:val="BodyText"/>
        <w:rPr>
          <w:sz w:val="12"/>
        </w:rPr>
      </w:pPr>
    </w:p>
    <w:p>
      <w:pPr>
        <w:spacing w:before="85"/>
        <w:ind w:left="0" w:right="38" w:firstLine="0"/>
        <w:jc w:val="right"/>
        <w:rPr>
          <w:sz w:val="12"/>
        </w:rPr>
      </w:pPr>
      <w:r>
        <w:rPr>
          <w:sz w:val="12"/>
        </w:rPr>
        <w:t>20</w:t>
      </w:r>
    </w:p>
    <w:p>
      <w:pPr>
        <w:pStyle w:val="BodyText"/>
        <w:rPr>
          <w:sz w:val="12"/>
        </w:rPr>
      </w:pPr>
    </w:p>
    <w:p>
      <w:pPr>
        <w:spacing w:before="84"/>
        <w:ind w:left="0" w:right="38" w:firstLine="0"/>
        <w:jc w:val="right"/>
        <w:rPr>
          <w:sz w:val="12"/>
        </w:rPr>
      </w:pPr>
      <w:r>
        <w:rPr>
          <w:sz w:val="12"/>
        </w:rPr>
        <w:t>10</w:t>
      </w:r>
    </w:p>
    <w:p>
      <w:pPr>
        <w:spacing w:line="175" w:lineRule="exact" w:before="56"/>
        <w:ind w:left="1324" w:right="0" w:firstLine="0"/>
        <w:jc w:val="left"/>
        <w:rPr>
          <w:sz w:val="16"/>
        </w:rPr>
      </w:pPr>
      <w:r>
        <w:rPr>
          <w:sz w:val="16"/>
        </w:rPr>
        <w:t>+</w:t>
      </w:r>
    </w:p>
    <w:p>
      <w:pPr>
        <w:spacing w:line="165" w:lineRule="auto" w:before="3"/>
        <w:ind w:left="1329" w:right="0" w:firstLine="0"/>
        <w:jc w:val="left"/>
        <w:rPr>
          <w:sz w:val="12"/>
        </w:rPr>
      </w:pPr>
      <w:r>
        <w:rPr>
          <w:position w:val="-10"/>
          <w:sz w:val="16"/>
        </w:rPr>
        <w:t>–</w:t>
      </w:r>
      <w:r>
        <w:rPr>
          <w:spacing w:val="-23"/>
          <w:position w:val="-10"/>
          <w:sz w:val="16"/>
        </w:rPr>
        <w:t> </w:t>
      </w:r>
      <w:r>
        <w:rPr>
          <w:sz w:val="12"/>
        </w:rPr>
        <w:t>0</w:t>
      </w:r>
    </w:p>
    <w:p>
      <w:pPr>
        <w:spacing w:before="149"/>
        <w:ind w:left="0" w:right="38" w:firstLine="0"/>
        <w:jc w:val="right"/>
        <w:rPr>
          <w:sz w:val="12"/>
        </w:rPr>
      </w:pPr>
      <w:r>
        <w:rPr>
          <w:sz w:val="12"/>
        </w:rPr>
        <w:t>10</w:t>
      </w:r>
    </w:p>
    <w:p>
      <w:pPr>
        <w:pStyle w:val="BodyText"/>
        <w:rPr>
          <w:sz w:val="12"/>
        </w:rPr>
      </w:pPr>
    </w:p>
    <w:p>
      <w:pPr>
        <w:spacing w:before="84"/>
        <w:ind w:left="0" w:right="38" w:firstLine="0"/>
        <w:jc w:val="right"/>
        <w:rPr>
          <w:sz w:val="12"/>
        </w:rPr>
      </w:pPr>
      <w:r>
        <w:rPr>
          <w:sz w:val="12"/>
        </w:rPr>
        <w:t>20</w:t>
      </w:r>
    </w:p>
    <w:p>
      <w:pPr>
        <w:pStyle w:val="BodyText"/>
        <w:rPr>
          <w:sz w:val="12"/>
        </w:rPr>
      </w:pPr>
    </w:p>
    <w:p>
      <w:pPr>
        <w:spacing w:before="85"/>
        <w:ind w:left="0" w:right="38" w:firstLine="0"/>
        <w:jc w:val="right"/>
        <w:rPr>
          <w:sz w:val="12"/>
        </w:rPr>
      </w:pPr>
      <w:r>
        <w:rPr>
          <w:sz w:val="12"/>
        </w:rPr>
        <w:t>30</w:t>
      </w:r>
    </w:p>
    <w:p>
      <w:pPr>
        <w:pStyle w:val="BodyText"/>
        <w:rPr>
          <w:sz w:val="12"/>
        </w:rPr>
      </w:pPr>
    </w:p>
    <w:p>
      <w:pPr>
        <w:spacing w:before="84"/>
        <w:ind w:left="0" w:right="38" w:firstLine="0"/>
        <w:jc w:val="right"/>
        <w:rPr>
          <w:sz w:val="12"/>
        </w:rPr>
      </w:pPr>
      <w:r>
        <w:rPr>
          <w:sz w:val="12"/>
        </w:rPr>
        <w:t>40</w:t>
      </w:r>
    </w:p>
    <w:p>
      <w:pPr>
        <w:pStyle w:val="BodyText"/>
        <w:rPr>
          <w:sz w:val="12"/>
        </w:rPr>
      </w:pPr>
    </w:p>
    <w:p>
      <w:pPr>
        <w:spacing w:line="125" w:lineRule="exact" w:before="84"/>
        <w:ind w:left="1366" w:right="0" w:firstLine="0"/>
        <w:jc w:val="left"/>
        <w:rPr>
          <w:sz w:val="12"/>
        </w:rPr>
      </w:pPr>
      <w:r>
        <w:rPr>
          <w:sz w:val="12"/>
        </w:rPr>
        <w:t>50</w:t>
      </w:r>
    </w:p>
    <w:p>
      <w:pPr>
        <w:tabs>
          <w:tab w:pos="510" w:val="left" w:leader="none"/>
          <w:tab w:pos="895" w:val="left" w:leader="none"/>
        </w:tabs>
        <w:spacing w:line="125" w:lineRule="exact" w:before="0"/>
        <w:ind w:left="10" w:right="0" w:firstLine="0"/>
        <w:jc w:val="left"/>
        <w:rPr>
          <w:sz w:val="12"/>
        </w:rPr>
      </w:pPr>
      <w:r>
        <w:rPr>
          <w:sz w:val="12"/>
        </w:rPr>
        <w:t>98</w:t>
        <w:tab/>
        <w:t>99</w:t>
        <w:tab/>
        <w:t>2000</w:t>
      </w:r>
    </w:p>
    <w:p>
      <w:pPr>
        <w:pStyle w:val="BodyText"/>
        <w:spacing w:line="242" w:lineRule="auto" w:before="212"/>
        <w:ind w:left="157" w:right="226"/>
      </w:pPr>
      <w:r>
        <w:rPr/>
        <w:br w:type="column"/>
      </w:r>
      <w:r>
        <w:rPr/>
        <w:t>General government investment increased sharply, consistent with large planned increases in public sector capital spending. But business investment was only 0.5% higher in 2000 Q2 than a quarter earlier, and annual growth at 1.5% was the lowest since 1994. The service sector represents around three quarters of business investment and has accounted for much of the slowdown in aggregate investment over the past year (see Chart 2.10). Annual service sector investment growth was 3% in 2000 Q2, compared with average growth of more than 20% in 1999. By contrast, annual manufacturing investment growth has recovered a little from falls in 1999.</w:t>
      </w:r>
    </w:p>
    <w:p>
      <w:pPr>
        <w:pStyle w:val="BodyText"/>
        <w:spacing w:before="9"/>
        <w:rPr>
          <w:sz w:val="25"/>
        </w:rPr>
      </w:pPr>
    </w:p>
    <w:p>
      <w:pPr>
        <w:pStyle w:val="BodyText"/>
        <w:spacing w:line="242" w:lineRule="auto"/>
        <w:ind w:left="157"/>
      </w:pPr>
      <w:r>
        <w:rPr/>
        <w:t>A number of factors might explain weak investment growth so far this year. One possibility is that previous strong investment growth has moved companies closer to</w:t>
      </w:r>
    </w:p>
    <w:p>
      <w:pPr>
        <w:spacing w:after="0" w:line="242" w:lineRule="auto"/>
        <w:sectPr>
          <w:type w:val="continuous"/>
          <w:pgSz w:w="11900" w:h="16840"/>
          <w:pgMar w:top="1260" w:bottom="280" w:left="640" w:right="640"/>
          <w:cols w:num="3" w:equalWidth="0">
            <w:col w:w="2012" w:space="40"/>
            <w:col w:w="1527" w:space="1238"/>
            <w:col w:w="5803"/>
          </w:cols>
        </w:sectPr>
      </w:pPr>
    </w:p>
    <w:p>
      <w:pPr>
        <w:spacing w:before="119"/>
        <w:ind w:left="174" w:right="0" w:firstLine="0"/>
        <w:jc w:val="left"/>
        <w:rPr>
          <w:sz w:val="12"/>
        </w:rPr>
      </w:pPr>
      <w:r>
        <w:rPr>
          <w:b/>
          <w:color w:val="0092C7"/>
          <w:sz w:val="20"/>
        </w:rPr>
        <w:t>Business investment growth</w:t>
      </w:r>
      <w:r>
        <w:rPr>
          <w:position w:val="4"/>
          <w:sz w:val="12"/>
        </w:rPr>
        <w:t>(a)</w:t>
      </w:r>
    </w:p>
    <w:p>
      <w:pPr>
        <w:spacing w:line="113" w:lineRule="exact" w:before="98"/>
        <w:ind w:left="439" w:right="0" w:firstLine="0"/>
        <w:jc w:val="left"/>
        <w:rPr>
          <w:sz w:val="12"/>
        </w:rPr>
      </w:pPr>
      <w:r>
        <w:rPr/>
        <w:drawing>
          <wp:anchor distT="0" distB="0" distL="0" distR="0" allowOverlap="1" layoutInCell="1" locked="0" behindDoc="0" simplePos="0" relativeHeight="15877632">
            <wp:simplePos x="0" y="0"/>
            <wp:positionH relativeFrom="page">
              <wp:posOffset>546163</wp:posOffset>
            </wp:positionH>
            <wp:positionV relativeFrom="paragraph">
              <wp:posOffset>59924</wp:posOffset>
            </wp:positionV>
            <wp:extent cx="113360" cy="220357"/>
            <wp:effectExtent l="0" t="0" r="0" b="0"/>
            <wp:wrapNone/>
            <wp:docPr id="119" name="image50.png"/>
            <wp:cNvGraphicFramePr>
              <a:graphicFrameLocks noChangeAspect="1"/>
            </wp:cNvGraphicFramePr>
            <a:graphic>
              <a:graphicData uri="http://schemas.openxmlformats.org/drawingml/2006/picture">
                <pic:pic>
                  <pic:nvPicPr>
                    <pic:cNvPr id="120" name="image50.png"/>
                    <pic:cNvPicPr/>
                  </pic:nvPicPr>
                  <pic:blipFill>
                    <a:blip r:embed="rId90" cstate="print"/>
                    <a:stretch>
                      <a:fillRect/>
                    </a:stretch>
                  </pic:blipFill>
                  <pic:spPr>
                    <a:xfrm>
                      <a:off x="0" y="0"/>
                      <a:ext cx="113360" cy="220357"/>
                    </a:xfrm>
                    <a:prstGeom prst="rect">
                      <a:avLst/>
                    </a:prstGeom>
                  </pic:spPr>
                </pic:pic>
              </a:graphicData>
            </a:graphic>
          </wp:anchor>
        </w:drawing>
      </w:r>
      <w:r>
        <w:rPr>
          <w:sz w:val="12"/>
        </w:rPr>
        <w:t>Services</w:t>
      </w:r>
    </w:p>
    <w:p>
      <w:pPr>
        <w:pStyle w:val="BodyText"/>
        <w:spacing w:line="242" w:lineRule="auto"/>
        <w:ind w:left="174" w:right="321"/>
      </w:pPr>
      <w:r>
        <w:rPr/>
        <w:br w:type="column"/>
      </w:r>
      <w:r>
        <w:rPr/>
        <w:t>desired capital stock levels, which would tend to lower current rates of investment relative to the recent past.</w:t>
      </w:r>
    </w:p>
    <w:p>
      <w:pPr>
        <w:spacing w:after="0" w:line="242" w:lineRule="auto"/>
        <w:sectPr>
          <w:type w:val="continuous"/>
          <w:pgSz w:w="11900" w:h="16840"/>
          <w:pgMar w:top="1260" w:bottom="280" w:left="640" w:right="640"/>
          <w:cols w:num="2" w:equalWidth="0">
            <w:col w:w="2710" w:space="2090"/>
            <w:col w:w="5820"/>
          </w:cols>
        </w:sectPr>
      </w:pPr>
    </w:p>
    <w:p>
      <w:pPr>
        <w:spacing w:before="70"/>
        <w:ind w:left="439" w:right="0" w:firstLine="0"/>
        <w:jc w:val="left"/>
        <w:rPr>
          <w:sz w:val="12"/>
        </w:rPr>
      </w:pPr>
      <w:r>
        <w:rPr>
          <w:sz w:val="12"/>
        </w:rPr>
        <w:t>Manufacturing</w:t>
      </w:r>
    </w:p>
    <w:p>
      <w:pPr>
        <w:spacing w:before="44"/>
        <w:ind w:left="220" w:right="0" w:firstLine="0"/>
        <w:jc w:val="left"/>
        <w:rPr>
          <w:sz w:val="12"/>
        </w:rPr>
      </w:pPr>
      <w:r>
        <w:rPr>
          <w:sz w:val="12"/>
          <w:u w:val="single" w:color="DE0035"/>
        </w:rPr>
        <w:t>      </w:t>
      </w:r>
      <w:r>
        <w:rPr>
          <w:sz w:val="12"/>
        </w:rPr>
        <w:t> Total business investment</w:t>
      </w:r>
    </w:p>
    <w:p>
      <w:pPr>
        <w:pStyle w:val="BodyText"/>
        <w:spacing w:before="9"/>
        <w:rPr>
          <w:sz w:val="3"/>
        </w:rPr>
      </w:pPr>
    </w:p>
    <w:p>
      <w:pPr>
        <w:pStyle w:val="BodyText"/>
        <w:spacing w:line="20" w:lineRule="exact"/>
        <w:ind w:left="21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10"/>
      </w:pPr>
      <w:r>
        <w:rPr/>
        <w:pict>
          <v:shape style="position:absolute;margin-left:43.005001pt;margin-top:16.512598pt;width:4.350pt;height:.1pt;mso-position-horizontal-relative:page;mso-position-vertical-relative:paragraph;z-index:-15583232;mso-wrap-distance-left:0;mso-wrap-distance-right:0" coordorigin="860,330" coordsize="87,0" path="m860,330l947,330e" filled="false" stroked="true" strokeweight=".5pt" strokecolor="#000000">
            <v:path arrowok="t"/>
            <v:stroke dashstyle="solid"/>
            <w10:wrap type="topAndBottom"/>
          </v:shape>
        </w:pict>
      </w:r>
    </w:p>
    <w:p>
      <w:pPr>
        <w:pStyle w:val="BodyText"/>
        <w:rPr>
          <w:sz w:val="20"/>
        </w:rPr>
      </w:pPr>
    </w:p>
    <w:p>
      <w:pPr>
        <w:pStyle w:val="BodyText"/>
        <w:spacing w:before="2"/>
        <w:rPr>
          <w:sz w:val="23"/>
        </w:rPr>
      </w:pPr>
      <w:r>
        <w:rPr/>
        <w:pict>
          <v:shape style="position:absolute;margin-left:43.005001pt;margin-top:15.525976pt;width:4.350pt;height:.1pt;mso-position-horizontal-relative:page;mso-position-vertical-relative:paragraph;z-index:-15582720;mso-wrap-distance-left:0;mso-wrap-distance-right:0" coordorigin="860,311" coordsize="87,0" path="m860,311l947,311e" filled="false" stroked="true" strokeweight=".5pt" strokecolor="#000000">
            <v:path arrowok="t"/>
            <v:stroke dashstyle="solid"/>
            <w10:wrap type="topAndBottom"/>
          </v:shape>
        </w:pict>
      </w:r>
    </w:p>
    <w:p>
      <w:pPr>
        <w:pStyle w:val="BodyText"/>
        <w:rPr>
          <w:sz w:val="20"/>
        </w:rPr>
      </w:pPr>
    </w:p>
    <w:p>
      <w:pPr>
        <w:pStyle w:val="BodyText"/>
        <w:spacing w:before="2"/>
        <w:rPr>
          <w:sz w:val="23"/>
        </w:rPr>
      </w:pPr>
      <w:r>
        <w:rPr/>
        <w:pict>
          <v:shape style="position:absolute;margin-left:43.005001pt;margin-top:15.525976pt;width:4.350pt;height:.1pt;mso-position-horizontal-relative:page;mso-position-vertical-relative:paragraph;z-index:-15582208;mso-wrap-distance-left:0;mso-wrap-distance-right:0" coordorigin="860,311" coordsize="87,0" path="m860,311l947,311e" filled="false" stroked="true" strokeweight=".5pt" strokecolor="#000000">
            <v:path arrowok="t"/>
            <v:stroke dashstyle="solid"/>
            <w10:wrap type="topAndBottom"/>
          </v:shape>
        </w:pict>
      </w:r>
    </w:p>
    <w:p>
      <w:pPr>
        <w:pStyle w:val="BodyText"/>
        <w:spacing w:before="11"/>
        <w:rPr>
          <w:sz w:val="12"/>
        </w:rPr>
      </w:pPr>
      <w:r>
        <w:rPr/>
        <w:br w:type="column"/>
      </w:r>
      <w:r>
        <w:rPr>
          <w:sz w:val="12"/>
        </w:rPr>
      </w:r>
    </w:p>
    <w:p>
      <w:pPr>
        <w:spacing w:line="129" w:lineRule="exact" w:before="0"/>
        <w:ind w:left="0" w:right="189" w:firstLine="0"/>
        <w:jc w:val="right"/>
        <w:rPr>
          <w:sz w:val="12"/>
        </w:rPr>
      </w:pPr>
      <w:r>
        <w:rPr>
          <w:sz w:val="12"/>
        </w:rPr>
        <w:t>Contributions to annual growth,</w:t>
      </w:r>
    </w:p>
    <w:p>
      <w:pPr>
        <w:spacing w:line="109" w:lineRule="exact" w:before="0"/>
        <w:ind w:left="0" w:right="189" w:firstLine="0"/>
        <w:jc w:val="right"/>
        <w:rPr>
          <w:sz w:val="12"/>
        </w:rPr>
      </w:pPr>
      <w:r>
        <w:rPr>
          <w:sz w:val="12"/>
        </w:rPr>
        <w:t>percentage points</w:t>
      </w:r>
    </w:p>
    <w:p>
      <w:pPr>
        <w:spacing w:line="118" w:lineRule="exact" w:before="0"/>
        <w:ind w:left="0" w:right="38" w:firstLine="0"/>
        <w:jc w:val="right"/>
        <w:rPr>
          <w:sz w:val="12"/>
        </w:rPr>
      </w:pPr>
      <w:r>
        <w:rPr/>
        <w:pict>
          <v:group style="position:absolute;margin-left:43.005001pt;margin-top:15.859344pt;width:157.75pt;height:121.65pt;mso-position-horizontal-relative:page;mso-position-vertical-relative:paragraph;z-index:-22776320" coordorigin="860,317" coordsize="3155,2433">
            <v:rect style="position:absolute;left:1022;top:2007;width:83;height:345" filled="true" fillcolor="#006caa" stroked="false">
              <v:fill type="solid"/>
            </v:rect>
            <v:rect style="position:absolute;left:1022;top:2007;width:83;height:345" filled="false" stroked="true" strokeweight=".5pt" strokecolor="#000000">
              <v:stroke dashstyle="solid"/>
            </v:rect>
            <v:rect style="position:absolute;left:1150;top:1829;width:95;height:523" filled="true" fillcolor="#006caa" stroked="false">
              <v:fill type="solid"/>
            </v:rect>
            <v:rect style="position:absolute;left:1150;top:1829;width:95;height:523" filled="false" stroked="true" strokeweight=".5pt" strokecolor="#000000">
              <v:stroke dashstyle="solid"/>
            </v:rect>
            <v:rect style="position:absolute;left:1287;top:1829;width:83;height:523" filled="true" fillcolor="#006caa" stroked="false">
              <v:fill type="solid"/>
            </v:rect>
            <v:rect style="position:absolute;left:1287;top:1829;width:83;height:523" filled="false" stroked="true" strokeweight=".5pt" strokecolor="#000000">
              <v:stroke dashstyle="solid"/>
            </v:rect>
            <v:rect style="position:absolute;left:1415;top:2057;width:83;height:295" filled="true" fillcolor="#006caa" stroked="false">
              <v:fill type="solid"/>
            </v:rect>
            <v:rect style="position:absolute;left:1415;top:2057;width:83;height:295" filled="false" stroked="true" strokeweight=".5pt" strokecolor="#000000">
              <v:stroke dashstyle="solid"/>
            </v:rect>
            <v:rect style="position:absolute;left:1542;top:2109;width:95;height:243" filled="true" fillcolor="#006caa" stroked="false">
              <v:fill type="solid"/>
            </v:rect>
            <v:rect style="position:absolute;left:1542;top:2107;width:95;height:245" filled="false" stroked="true" strokeweight=".5pt" strokecolor="#000000">
              <v:stroke dashstyle="solid"/>
            </v:rect>
            <v:rect style="position:absolute;left:1680;top:2352;width:83;height:165" filled="true" fillcolor="#006caa" stroked="false">
              <v:fill type="solid"/>
            </v:rect>
            <v:rect style="position:absolute;left:1680;top:2349;width:83;height:168" filled="false" stroked="true" strokeweight=".5pt" strokecolor="#000000">
              <v:stroke dashstyle="solid"/>
            </v:rect>
            <v:rect style="position:absolute;left:1807;top:2352;width:83;height:50" filled="true" fillcolor="#006caa" stroked="false">
              <v:fill type="solid"/>
            </v:rect>
            <v:rect style="position:absolute;left:1807;top:2349;width:83;height:53" filled="false" stroked="true" strokeweight=".5pt" strokecolor="#000000">
              <v:stroke dashstyle="solid"/>
            </v:rect>
            <v:rect style="position:absolute;left:1935;top:2222;width:95;height:130" filled="true" fillcolor="#006caa" stroked="false">
              <v:fill type="solid"/>
            </v:rect>
            <v:rect style="position:absolute;left:1935;top:2219;width:95;height:133" filled="false" stroked="true" strokeweight=".5pt" strokecolor="#000000">
              <v:stroke dashstyle="solid"/>
            </v:rect>
            <v:rect style="position:absolute;left:2072;top:2222;width:85;height:130" filled="true" fillcolor="#006caa" stroked="false">
              <v:fill type="solid"/>
            </v:rect>
            <v:rect style="position:absolute;left:2072;top:2219;width:85;height:133" filled="false" stroked="true" strokeweight=".5pt" strokecolor="#000000">
              <v:stroke dashstyle="solid"/>
            </v:rect>
            <v:rect style="position:absolute;left:2200;top:1747;width:83;height:605" filled="true" fillcolor="#006caa" stroked="false">
              <v:fill type="solid"/>
            </v:rect>
            <v:rect style="position:absolute;left:2200;top:1747;width:83;height:605" filled="false" stroked="true" strokeweight=".5pt" strokecolor="#000000">
              <v:stroke dashstyle="solid"/>
            </v:rect>
            <v:rect style="position:absolute;left:2327;top:2072;width:95;height:280" filled="true" fillcolor="#006caa" stroked="false">
              <v:fill type="solid"/>
            </v:rect>
            <v:rect style="position:absolute;left:2327;top:2072;width:95;height:280" filled="false" stroked="true" strokeweight=".5pt" strokecolor="#000000">
              <v:stroke dashstyle="solid"/>
            </v:rect>
            <v:rect style="position:absolute;left:2465;top:2222;width:85;height:130" filled="true" fillcolor="#006caa" stroked="false">
              <v:fill type="solid"/>
            </v:rect>
            <v:rect style="position:absolute;left:2465;top:2219;width:85;height:133" filled="false" stroked="true" strokeweight=".5pt" strokecolor="#000000">
              <v:stroke dashstyle="solid"/>
            </v:rect>
            <v:rect style="position:absolute;left:2592;top:2024;width:83;height:328" filled="true" fillcolor="#006caa" stroked="false">
              <v:fill type="solid"/>
            </v:rect>
            <v:rect style="position:absolute;left:2592;top:2024;width:83;height:328" filled="false" stroked="true" strokeweight=".5pt" strokecolor="#000000">
              <v:stroke dashstyle="solid"/>
            </v:rect>
            <v:rect style="position:absolute;left:1022;top:2349;width:83;height:38" filled="true" fillcolor="#f6bd61" stroked="false">
              <v:fill type="solid"/>
            </v:rect>
            <v:rect style="position:absolute;left:1022;top:2349;width:83;height:38" filled="false" stroked="true" strokeweight=".5pt" strokecolor="#000000">
              <v:stroke dashstyle="solid"/>
            </v:rect>
            <v:rect style="position:absolute;left:1150;top:962;width:95;height:870" filled="true" fillcolor="#f6bd61" stroked="false">
              <v:fill type="solid"/>
            </v:rect>
            <v:rect style="position:absolute;left:1150;top:962;width:95;height:870" filled="false" stroked="true" strokeweight=".5pt" strokecolor="#000000">
              <v:stroke dashstyle="solid"/>
            </v:rect>
            <v:rect style="position:absolute;left:1287;top:1029;width:83;height:803" filled="true" fillcolor="#f6bd61" stroked="false">
              <v:fill type="solid"/>
            </v:rect>
            <v:rect style="position:absolute;left:1287;top:1029;width:83;height:803" filled="false" stroked="true" strokeweight=".5pt" strokecolor="#000000">
              <v:stroke dashstyle="solid"/>
            </v:rect>
            <v:rect style="position:absolute;left:1415;top:1484;width:83;height:575" filled="true" fillcolor="#f6bd61" stroked="false">
              <v:fill type="solid"/>
            </v:rect>
            <v:rect style="position:absolute;left:1415;top:1484;width:83;height:575" filled="false" stroked="true" strokeweight=".5pt" strokecolor="#000000">
              <v:stroke dashstyle="solid"/>
            </v:rect>
            <v:rect style="position:absolute;left:1542;top:522;width:95;height:1588" filled="true" fillcolor="#f6bd61" stroked="false">
              <v:fill type="solid"/>
            </v:rect>
            <v:rect style="position:absolute;left:1542;top:522;width:95;height:1588" filled="false" stroked="true" strokeweight=".5pt" strokecolor="#000000">
              <v:stroke dashstyle="solid"/>
            </v:rect>
            <v:rect style="position:absolute;left:1680;top:947;width:83;height:1405" filled="true" fillcolor="#f6bd61" stroked="false">
              <v:fill type="solid"/>
            </v:rect>
            <v:rect style="position:absolute;left:1680;top:947;width:83;height:1405" filled="false" stroked="true" strokeweight=".5pt" strokecolor="#000000">
              <v:stroke dashstyle="solid"/>
            </v:rect>
            <v:rect style="position:absolute;left:1807;top:1354;width:83;height:998" filled="true" fillcolor="#f6bd61" stroked="false">
              <v:fill type="solid"/>
            </v:rect>
            <v:rect style="position:absolute;left:1807;top:1354;width:83;height:998" filled="false" stroked="true" strokeweight=".5pt" strokecolor="#000000">
              <v:stroke dashstyle="solid"/>
            </v:rect>
            <v:rect style="position:absolute;left:1935;top:1469;width:95;height:753" filled="true" fillcolor="#f6bd61" stroked="false">
              <v:fill type="solid"/>
            </v:rect>
            <v:rect style="position:absolute;left:1935;top:1469;width:95;height:753" filled="false" stroked="true" strokeweight=".5pt" strokecolor="#000000">
              <v:stroke dashstyle="solid"/>
            </v:rect>
            <v:rect style="position:absolute;left:2072;top:1747;width:85;height:475" filled="true" fillcolor="#f6bd61" stroked="false">
              <v:fill type="solid"/>
            </v:rect>
            <v:rect style="position:absolute;left:2072;top:1747;width:85;height:475" filled="false" stroked="true" strokeweight=".5pt" strokecolor="#000000">
              <v:stroke dashstyle="solid"/>
            </v:rect>
            <v:rect style="position:absolute;left:2200;top:1174;width:83;height:575" filled="true" fillcolor="#f6bd61" stroked="false">
              <v:fill type="solid"/>
            </v:rect>
            <v:rect style="position:absolute;left:2200;top:1174;width:83;height:575" filled="false" stroked="true" strokeweight=".5pt" strokecolor="#000000">
              <v:stroke dashstyle="solid"/>
            </v:rect>
            <v:rect style="position:absolute;left:2327;top:1127;width:95;height:948" filled="true" fillcolor="#f6bd61" stroked="false">
              <v:fill type="solid"/>
            </v:rect>
            <v:rect style="position:absolute;left:2327;top:1127;width:95;height:948" filled="false" stroked="true" strokeweight=".5pt" strokecolor="#000000">
              <v:stroke dashstyle="solid"/>
            </v:rect>
            <v:rect style="position:absolute;left:2465;top:424;width:85;height:1798" filled="true" fillcolor="#f6bd61" stroked="false">
              <v:fill type="solid"/>
            </v:rect>
            <v:rect style="position:absolute;left:2465;top:424;width:85;height:1798" filled="false" stroked="true" strokeweight=".5pt" strokecolor="#000000">
              <v:stroke dashstyle="solid"/>
            </v:rect>
            <v:rect style="position:absolute;left:2592;top:407;width:83;height:1620" filled="true" fillcolor="#f6bd61" stroked="false">
              <v:fill type="solid"/>
            </v:rect>
            <v:rect style="position:absolute;left:2592;top:407;width:83;height:1620" filled="false" stroked="true" strokeweight=".5pt" strokecolor="#000000">
              <v:stroke dashstyle="solid"/>
            </v:rect>
            <v:rect style="position:absolute;left:2847;top:2287;width:95;height:65" filled="true" fillcolor="#006caa" stroked="false">
              <v:fill type="solid"/>
            </v:rect>
            <v:rect style="position:absolute;left:2847;top:2284;width:95;height:68" filled="false" stroked="true" strokeweight=".5pt" strokecolor="#000000">
              <v:stroke dashstyle="solid"/>
            </v:rect>
            <v:rect style="position:absolute;left:2985;top:2287;width:83;height:65" filled="true" fillcolor="#006caa" stroked="false">
              <v:fill type="solid"/>
            </v:rect>
            <v:rect style="position:absolute;left:2985;top:2284;width:83;height:68" filled="false" stroked="true" strokeweight=".5pt" strokecolor="#000000">
              <v:stroke dashstyle="solid"/>
            </v:rect>
            <v:rect style="position:absolute;left:3112;top:2349;width:83;height:348" filled="true" fillcolor="#006caa" stroked="false">
              <v:fill type="solid"/>
            </v:rect>
            <v:rect style="position:absolute;left:3112;top:2349;width:83;height:348" filled="false" stroked="true" strokeweight=".5pt" strokecolor="#000000">
              <v:stroke dashstyle="solid"/>
            </v:rect>
            <v:rect style="position:absolute;left:3240;top:2349;width:95;height:395" filled="true" fillcolor="#006caa" stroked="false">
              <v:fill type="solid"/>
            </v:rect>
            <v:rect style="position:absolute;left:3240;top:2349;width:95;height:395" filled="false" stroked="true" strokeweight=".5pt" strokecolor="#000000">
              <v:stroke dashstyle="solid"/>
            </v:rect>
            <v:rect style="position:absolute;left:3377;top:2349;width:83;height:348" filled="true" fillcolor="#006caa" stroked="false">
              <v:fill type="solid"/>
            </v:rect>
            <v:rect style="position:absolute;left:3377;top:2349;width:83;height:348" filled="false" stroked="true" strokeweight=".5pt" strokecolor="#000000">
              <v:stroke dashstyle="solid"/>
            </v:rect>
            <v:rect style="position:absolute;left:3505;top:2352;width:83;height:245" filled="true" fillcolor="#006caa" stroked="false">
              <v:fill type="solid"/>
            </v:rect>
            <v:rect style="position:absolute;left:3505;top:2349;width:83;height:248" filled="false" stroked="true" strokeweight=".5pt" strokecolor="#000000">
              <v:stroke dashstyle="solid"/>
            </v:rect>
            <v:rect style="position:absolute;left:3632;top:2304;width:95;height:48" filled="true" fillcolor="#006caa" stroked="false">
              <v:fill type="solid"/>
            </v:rect>
            <v:rect style="position:absolute;left:3632;top:2302;width:95;height:50" filled="false" stroked="true" strokeweight=".5pt" strokecolor="#000000">
              <v:stroke dashstyle="solid"/>
            </v:rect>
            <v:rect style="position:absolute;left:3770;top:2287;width:83;height:65" filled="true" fillcolor="#006caa" stroked="false">
              <v:fill type="solid"/>
            </v:rect>
            <v:rect style="position:absolute;left:3770;top:2284;width:83;height:68" filled="false" stroked="true" strokeweight=".5pt" strokecolor="#000000">
              <v:stroke dashstyle="solid"/>
            </v:rect>
            <v:rect style="position:absolute;left:2720;top:684;width:83;height:1668" filled="true" fillcolor="#f6bd61" stroked="false">
              <v:fill type="solid"/>
            </v:rect>
            <v:rect style="position:absolute;left:2720;top:684;width:83;height:1668" filled="false" stroked="true" strokeweight=".5pt" strokecolor="#000000">
              <v:stroke dashstyle="solid"/>
            </v:rect>
            <v:rect style="position:absolute;left:2847;top:734;width:95;height:1553" filled="true" fillcolor="#f6bd61" stroked="false">
              <v:fill type="solid"/>
            </v:rect>
            <v:rect style="position:absolute;left:2847;top:734;width:95;height:1553" filled="false" stroked="true" strokeweight=".5pt" strokecolor="#000000">
              <v:stroke dashstyle="solid"/>
            </v:rect>
            <v:rect style="position:absolute;left:2985;top:1127;width:83;height:1160" filled="true" fillcolor="#f6bd61" stroked="false">
              <v:fill type="solid"/>
            </v:rect>
            <v:rect style="position:absolute;left:2985;top:1127;width:83;height:1160" filled="false" stroked="true" strokeweight=".5pt" strokecolor="#000000">
              <v:stroke dashstyle="solid"/>
            </v:rect>
            <v:rect style="position:absolute;left:3112;top:619;width:83;height:1733" filled="true" fillcolor="#f6bd61" stroked="false">
              <v:fill type="solid"/>
            </v:rect>
            <v:rect style="position:absolute;left:3112;top:619;width:83;height:1733" filled="false" stroked="true" strokeweight=".5pt" strokecolor="#000000">
              <v:stroke dashstyle="solid"/>
            </v:rect>
            <v:rect style="position:absolute;left:3240;top:619;width:95;height:1733" filled="true" fillcolor="#f6bd61" stroked="false">
              <v:fill type="solid"/>
            </v:rect>
            <v:rect style="position:absolute;left:3240;top:619;width:95;height:1733" filled="false" stroked="true" strokeweight=".5pt" strokecolor="#000000">
              <v:stroke dashstyle="solid"/>
            </v:rect>
            <v:rect style="position:absolute;left:3377;top:1012;width:83;height:1340" filled="true" fillcolor="#f6bd61" stroked="false">
              <v:fill type="solid"/>
            </v:rect>
            <v:rect style="position:absolute;left:3377;top:1012;width:83;height:1340" filled="false" stroked="true" strokeweight=".5pt" strokecolor="#000000">
              <v:stroke dashstyle="solid"/>
            </v:rect>
            <v:rect style="position:absolute;left:3505;top:1062;width:83;height:1290" filled="true" fillcolor="#f6bd61" stroked="false">
              <v:fill type="solid"/>
            </v:rect>
            <v:rect style="position:absolute;left:3505;top:1062;width:83;height:1290" filled="false" stroked="true" strokeweight=".5pt" strokecolor="#000000">
              <v:stroke dashstyle="solid"/>
            </v:rect>
            <v:rect style="position:absolute;left:3632;top:1909;width:95;height:395" filled="true" fillcolor="#f6bd61" stroked="false">
              <v:fill type="solid"/>
            </v:rect>
            <v:rect style="position:absolute;left:3632;top:1909;width:95;height:395" filled="false" stroked="true" strokeweight=".5pt" strokecolor="#000000">
              <v:stroke dashstyle="solid"/>
            </v:rect>
            <v:rect style="position:absolute;left:3770;top:2039;width:83;height:248" filled="true" fillcolor="#f6bd61" stroked="false">
              <v:fill type="solid"/>
            </v:rect>
            <v:rect style="position:absolute;left:3770;top:2039;width:83;height:248" filled="false" stroked="true" strokeweight=".5pt" strokecolor="#000000">
              <v:stroke dashstyle="solid"/>
            </v:rect>
            <v:shape style="position:absolute;left:1067;top:327;width:2738;height:1845" coordorigin="1068,327" coordsize="2738,1845" path="m1068,2040l1195,1307m1195,1307l1323,1127m1323,1127l1460,1372m1460,1372l1588,572m1588,572l1715,1240m1715,1240l1853,1715m1853,1715l1980,1730m1980,1730l2108,1862m2108,1862l2245,897m2245,897l2373,817m2373,817l2500,392m2500,392l2628,327m2628,327l2765,882m2765,882l2893,850m2893,850l3020,947m3020,947l3158,1257m3158,1257l3285,1307m3285,1307l3413,1585m3413,1585l3550,1730m3550,1730l3678,2040m3678,2040l3805,2172e" filled="false" stroked="true" strokeweight="1pt" strokecolor="#de0035">
              <v:path arrowok="t"/>
              <v:stroke dashstyle="solid"/>
            </v:shape>
            <v:shape style="position:absolute;left:860;top:2354;width:3155;height:2" coordorigin="860,2355" coordsize="3155,0" path="m860,2355l947,2355m3928,2355l4015,2355m1004,2355l3884,2355e" filled="false" stroked="true" strokeweight=".5pt" strokecolor="#000000">
              <v:path arrowok="t"/>
              <v:stroke dashstyle="solid"/>
            </v:shape>
            <w10:wrap type="none"/>
          </v:group>
        </w:pict>
      </w:r>
      <w:r>
        <w:rPr/>
        <w:pict>
          <v:line style="position:absolute;mso-position-horizontal-relative:page;mso-position-vertical-relative:paragraph;z-index:15879680" from="196.397003pt,2.518344pt" to="200.731003pt,2.518344pt" stroked="true" strokeweight=".5pt" strokecolor="#000000">
            <v:stroke dashstyle="solid"/>
            <w10:wrap type="none"/>
          </v:line>
        </w:pict>
      </w:r>
      <w:r>
        <w:rPr>
          <w:sz w:val="12"/>
        </w:rPr>
        <w:t>20</w:t>
      </w:r>
    </w:p>
    <w:p>
      <w:pPr>
        <w:pStyle w:val="BodyText"/>
        <w:rPr>
          <w:sz w:val="12"/>
        </w:rPr>
      </w:pPr>
    </w:p>
    <w:p>
      <w:pPr>
        <w:pStyle w:val="BodyText"/>
        <w:rPr>
          <w:sz w:val="12"/>
        </w:rPr>
      </w:pPr>
    </w:p>
    <w:p>
      <w:pPr>
        <w:pStyle w:val="BodyText"/>
        <w:spacing w:before="11"/>
        <w:rPr>
          <w:sz w:val="13"/>
        </w:rPr>
      </w:pPr>
    </w:p>
    <w:p>
      <w:pPr>
        <w:spacing w:before="0"/>
        <w:ind w:left="0" w:right="38" w:firstLine="0"/>
        <w:jc w:val="right"/>
        <w:rPr>
          <w:sz w:val="12"/>
        </w:rPr>
      </w:pPr>
      <w:r>
        <w:rPr/>
        <w:pict>
          <v:line style="position:absolute;mso-position-horizontal-relative:page;mso-position-vertical-relative:paragraph;z-index:15878144" from="196.397003pt,3.509122pt" to="200.731003pt,3.509122pt" stroked="true" strokeweight=".5pt" strokecolor="#000000">
            <v:stroke dashstyle="solid"/>
            <w10:wrap type="none"/>
          </v:line>
        </w:pict>
      </w:r>
      <w:r>
        <w:rPr>
          <w:sz w:val="12"/>
        </w:rPr>
        <w:t>15</w:t>
      </w:r>
    </w:p>
    <w:p>
      <w:pPr>
        <w:pStyle w:val="BodyText"/>
        <w:rPr>
          <w:sz w:val="12"/>
        </w:rPr>
      </w:pPr>
    </w:p>
    <w:p>
      <w:pPr>
        <w:pStyle w:val="BodyText"/>
        <w:rPr>
          <w:sz w:val="12"/>
        </w:rPr>
      </w:pPr>
    </w:p>
    <w:p>
      <w:pPr>
        <w:pStyle w:val="BodyText"/>
        <w:spacing w:before="11"/>
        <w:rPr>
          <w:sz w:val="13"/>
        </w:rPr>
      </w:pPr>
    </w:p>
    <w:p>
      <w:pPr>
        <w:spacing w:before="0"/>
        <w:ind w:left="0" w:right="38" w:firstLine="0"/>
        <w:jc w:val="right"/>
        <w:rPr>
          <w:sz w:val="12"/>
        </w:rPr>
      </w:pPr>
      <w:r>
        <w:rPr/>
        <w:pict>
          <v:line style="position:absolute;mso-position-horizontal-relative:page;mso-position-vertical-relative:paragraph;z-index:15878656" from="196.397003pt,3.509116pt" to="200.731003pt,3.509116pt" stroked="true" strokeweight=".5pt" strokecolor="#000000">
            <v:stroke dashstyle="solid"/>
            <w10:wrap type="none"/>
          </v:line>
        </w:pict>
      </w:r>
      <w:r>
        <w:rPr>
          <w:sz w:val="12"/>
        </w:rPr>
        <w:t>10</w:t>
      </w:r>
    </w:p>
    <w:p>
      <w:pPr>
        <w:pStyle w:val="BodyText"/>
        <w:rPr>
          <w:sz w:val="12"/>
        </w:rPr>
      </w:pPr>
    </w:p>
    <w:p>
      <w:pPr>
        <w:pStyle w:val="BodyText"/>
        <w:rPr>
          <w:sz w:val="12"/>
        </w:rPr>
      </w:pPr>
    </w:p>
    <w:p>
      <w:pPr>
        <w:pStyle w:val="BodyText"/>
        <w:spacing w:before="11"/>
        <w:rPr>
          <w:sz w:val="13"/>
        </w:rPr>
      </w:pPr>
    </w:p>
    <w:p>
      <w:pPr>
        <w:spacing w:before="0"/>
        <w:ind w:left="0" w:right="38" w:firstLine="0"/>
        <w:jc w:val="right"/>
        <w:rPr>
          <w:sz w:val="12"/>
        </w:rPr>
      </w:pPr>
      <w:r>
        <w:rPr/>
        <w:pict>
          <v:line style="position:absolute;mso-position-horizontal-relative:page;mso-position-vertical-relative:paragraph;z-index:15879168" from="196.397003pt,3.50972pt" to="200.731003pt,3.50972pt" stroked="true" strokeweight=".5pt" strokecolor="#000000">
            <v:stroke dashstyle="solid"/>
            <w10:wrap type="none"/>
          </v:line>
        </w:pict>
      </w:r>
      <w:r>
        <w:rPr>
          <w:sz w:val="12"/>
        </w:rPr>
        <w:t>5</w:t>
      </w:r>
    </w:p>
    <w:p>
      <w:pPr>
        <w:pStyle w:val="BodyText"/>
        <w:rPr>
          <w:sz w:val="12"/>
        </w:rPr>
      </w:pPr>
    </w:p>
    <w:p>
      <w:pPr>
        <w:spacing w:before="97"/>
        <w:ind w:left="1650" w:right="0" w:firstLine="0"/>
        <w:jc w:val="left"/>
        <w:rPr>
          <w:sz w:val="16"/>
        </w:rPr>
      </w:pPr>
      <w:r>
        <w:rPr>
          <w:sz w:val="16"/>
        </w:rPr>
        <w:t>+</w:t>
      </w:r>
    </w:p>
    <w:p>
      <w:pPr>
        <w:spacing w:line="108" w:lineRule="exact" w:before="17"/>
        <w:ind w:left="0" w:right="38" w:firstLine="0"/>
        <w:jc w:val="right"/>
        <w:rPr>
          <w:sz w:val="12"/>
        </w:rPr>
      </w:pPr>
      <w:r>
        <w:rPr>
          <w:sz w:val="12"/>
        </w:rPr>
        <w:t>0</w:t>
      </w:r>
    </w:p>
    <w:p>
      <w:pPr>
        <w:spacing w:line="154" w:lineRule="exact" w:before="0"/>
        <w:ind w:left="1655" w:right="0" w:firstLine="0"/>
        <w:jc w:val="left"/>
        <w:rPr>
          <w:sz w:val="16"/>
        </w:rPr>
      </w:pPr>
      <w:r>
        <w:rPr>
          <w:sz w:val="16"/>
        </w:rPr>
        <w:t>–</w:t>
      </w:r>
    </w:p>
    <w:p>
      <w:pPr>
        <w:pStyle w:val="BodyText"/>
        <w:rPr>
          <w:sz w:val="18"/>
        </w:rPr>
      </w:pPr>
    </w:p>
    <w:p>
      <w:pPr>
        <w:spacing w:line="101" w:lineRule="exact" w:before="105"/>
        <w:ind w:left="0" w:right="38" w:firstLine="0"/>
        <w:jc w:val="right"/>
        <w:rPr>
          <w:sz w:val="12"/>
        </w:rPr>
      </w:pPr>
      <w:r>
        <w:rPr/>
        <w:pict>
          <v:shape style="position:absolute;margin-left:43.005001pt;margin-top:5.404708pt;width:157.75pt;height:3.45pt;mso-position-horizontal-relative:page;mso-position-vertical-relative:paragraph;z-index:15877120" coordorigin="860,108" coordsize="3155,69" path="m1010,175l3883,175m1008,108l1008,175m1528,108l1528,175m2048,108l2048,175m2568,108l2568,175m3088,108l3088,175m3608,108l3608,175m860,177l947,177m3928,175l4015,175e" filled="false" stroked="true" strokeweight=".5pt" strokecolor="#000000">
            <v:path arrowok="t"/>
            <v:stroke dashstyle="solid"/>
            <w10:wrap type="none"/>
          </v:shape>
        </w:pict>
      </w:r>
      <w:r>
        <w:rPr>
          <w:sz w:val="12"/>
        </w:rPr>
        <w:t>5</w:t>
      </w:r>
    </w:p>
    <w:p>
      <w:pPr>
        <w:pStyle w:val="BodyText"/>
        <w:spacing w:line="242" w:lineRule="auto"/>
        <w:ind w:left="220" w:right="114"/>
      </w:pPr>
      <w:r>
        <w:rPr/>
        <w:br w:type="column"/>
      </w:r>
      <w:r>
        <w:rPr/>
        <w:t>Chart 2.11 shows that investment as a share of GDP rose to historical highs from 1996 to 1999, and remains near these levels despite slower growth. Investment in machinery and equipment, which includes purchases of information and communications technology capital, has increased particularly strongly in recent years, perhaps boosted by falling relative prices and corporate concerns about year 2000 compliance. Anecdotal evidence from the Bank’s regional Agents suggests that computer systems investment slowed in 1999 and remained weak early in 2000, perhaps as companies delayed investment until uncertainties related to the transition to the new</w:t>
      </w:r>
    </w:p>
    <w:p>
      <w:pPr>
        <w:spacing w:after="0" w:line="242" w:lineRule="auto"/>
        <w:sectPr>
          <w:type w:val="continuous"/>
          <w:pgSz w:w="11900" w:h="16840"/>
          <w:pgMar w:top="1260" w:bottom="280" w:left="640" w:right="640"/>
          <w:cols w:num="3" w:equalWidth="0">
            <w:col w:w="1686" w:space="40"/>
            <w:col w:w="1840" w:space="1188"/>
            <w:col w:w="5866"/>
          </w:cols>
        </w:sectPr>
      </w:pPr>
    </w:p>
    <w:p>
      <w:pPr>
        <w:tabs>
          <w:tab w:pos="1087" w:val="left" w:leader="none"/>
          <w:tab w:pos="1607" w:val="left" w:leader="none"/>
          <w:tab w:pos="2127" w:val="left" w:leader="none"/>
          <w:tab w:pos="2660" w:val="left" w:leader="none"/>
          <w:tab w:pos="2996" w:val="left" w:leader="none"/>
        </w:tabs>
        <w:spacing w:line="129" w:lineRule="exact" w:before="0"/>
        <w:ind w:left="510" w:right="0" w:firstLine="0"/>
        <w:jc w:val="left"/>
        <w:rPr>
          <w:sz w:val="12"/>
        </w:rPr>
      </w:pPr>
      <w:r>
        <w:rPr>
          <w:sz w:val="12"/>
        </w:rPr>
        <w:t>1995</w:t>
        <w:tab/>
        <w:t>96</w:t>
        <w:tab/>
        <w:t>97</w:t>
        <w:tab/>
        <w:t>98</w:t>
        <w:tab/>
        <w:t>99</w:t>
        <w:tab/>
        <w:t>2000</w:t>
      </w:r>
    </w:p>
    <w:p>
      <w:pPr>
        <w:pStyle w:val="BodyText"/>
        <w:spacing w:before="4"/>
        <w:rPr>
          <w:sz w:val="10"/>
        </w:rPr>
      </w:pPr>
    </w:p>
    <w:p>
      <w:pPr>
        <w:pStyle w:val="ListParagraph"/>
        <w:numPr>
          <w:ilvl w:val="1"/>
          <w:numId w:val="16"/>
        </w:numPr>
        <w:tabs>
          <w:tab w:pos="425" w:val="left" w:leader="none"/>
        </w:tabs>
        <w:spacing w:line="208" w:lineRule="auto" w:before="0" w:after="0"/>
        <w:ind w:left="424" w:right="38" w:hanging="240"/>
        <w:jc w:val="left"/>
        <w:rPr>
          <w:sz w:val="12"/>
        </w:rPr>
      </w:pPr>
      <w:r>
        <w:rPr>
          <w:sz w:val="12"/>
        </w:rPr>
        <w:t>At constant 1995 prices. Contributions to business investment by the agriculture,</w:t>
      </w:r>
      <w:r>
        <w:rPr>
          <w:spacing w:val="-7"/>
          <w:sz w:val="12"/>
        </w:rPr>
        <w:t> </w:t>
      </w:r>
      <w:r>
        <w:rPr>
          <w:sz w:val="12"/>
        </w:rPr>
        <w:t>utilities,</w:t>
      </w:r>
      <w:r>
        <w:rPr>
          <w:spacing w:val="-6"/>
          <w:sz w:val="12"/>
        </w:rPr>
        <w:t> </w:t>
      </w:r>
      <w:r>
        <w:rPr>
          <w:sz w:val="12"/>
        </w:rPr>
        <w:t>extraction</w:t>
      </w:r>
      <w:r>
        <w:rPr>
          <w:spacing w:val="-7"/>
          <w:sz w:val="12"/>
        </w:rPr>
        <w:t> </w:t>
      </w:r>
      <w:r>
        <w:rPr>
          <w:sz w:val="12"/>
        </w:rPr>
        <w:t>and</w:t>
      </w:r>
      <w:r>
        <w:rPr>
          <w:spacing w:val="-7"/>
          <w:sz w:val="12"/>
        </w:rPr>
        <w:t> </w:t>
      </w:r>
      <w:r>
        <w:rPr>
          <w:sz w:val="12"/>
        </w:rPr>
        <w:t>construction</w:t>
      </w:r>
      <w:r>
        <w:rPr>
          <w:spacing w:val="-7"/>
          <w:sz w:val="12"/>
        </w:rPr>
        <w:t> </w:t>
      </w:r>
      <w:r>
        <w:rPr>
          <w:sz w:val="12"/>
        </w:rPr>
        <w:t>industries</w:t>
      </w:r>
      <w:r>
        <w:rPr>
          <w:spacing w:val="-7"/>
          <w:sz w:val="12"/>
        </w:rPr>
        <w:t> </w:t>
      </w:r>
      <w:r>
        <w:rPr>
          <w:sz w:val="12"/>
        </w:rPr>
        <w:t>are</w:t>
      </w:r>
      <w:r>
        <w:rPr>
          <w:spacing w:val="-8"/>
          <w:sz w:val="12"/>
        </w:rPr>
        <w:t> </w:t>
      </w:r>
      <w:r>
        <w:rPr>
          <w:sz w:val="12"/>
        </w:rPr>
        <w:t>not</w:t>
      </w:r>
      <w:r>
        <w:rPr>
          <w:spacing w:val="-7"/>
          <w:sz w:val="12"/>
        </w:rPr>
        <w:t> </w:t>
      </w:r>
      <w:r>
        <w:rPr>
          <w:sz w:val="12"/>
        </w:rPr>
        <w:t>shown.</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spacing w:before="0"/>
        <w:ind w:left="174" w:right="0" w:firstLine="0"/>
        <w:jc w:val="left"/>
        <w:rPr>
          <w:b/>
          <w:sz w:val="20"/>
        </w:rPr>
      </w:pPr>
      <w:r>
        <w:rPr>
          <w:b/>
          <w:color w:val="0092C7"/>
          <w:sz w:val="20"/>
        </w:rPr>
        <w:t>Chart 2.11</w:t>
      </w:r>
    </w:p>
    <w:p>
      <w:pPr>
        <w:spacing w:line="249" w:lineRule="auto" w:before="10"/>
        <w:ind w:left="174" w:right="0" w:firstLine="0"/>
        <w:jc w:val="left"/>
        <w:rPr>
          <w:sz w:val="12"/>
        </w:rPr>
      </w:pPr>
      <w:r>
        <w:rPr>
          <w:b/>
          <w:color w:val="0092C7"/>
          <w:sz w:val="20"/>
        </w:rPr>
        <w:t>Whole-economy investment by asset as a share of GDP</w:t>
      </w:r>
      <w:r>
        <w:rPr>
          <w:position w:val="4"/>
          <w:sz w:val="12"/>
        </w:rPr>
        <w:t>(a)</w:t>
      </w:r>
    </w:p>
    <w:p>
      <w:pPr>
        <w:spacing w:before="42"/>
        <w:ind w:left="3038" w:right="0" w:firstLine="0"/>
        <w:jc w:val="left"/>
        <w:rPr>
          <w:sz w:val="12"/>
        </w:rPr>
      </w:pPr>
      <w:r>
        <w:rPr/>
        <w:pict>
          <v:group style="position:absolute;margin-left:41.839001pt;margin-top:16.070032pt;width:161.6pt;height:48.25pt;mso-position-horizontal-relative:page;mso-position-vertical-relative:paragraph;z-index:15880704" coordorigin="837,321" coordsize="3232,965">
            <v:shape style="position:absolute;left:995;top:958;width:363;height:288" coordorigin="995,959" coordsize="363,288" path="m995,959l1033,991m1033,991l1070,1044m1070,1044l1108,1059m1108,1059l1145,1246m1145,1246l1170,1196m1170,1196l1208,1211m1208,1211l1245,1246m1245,1246l1283,1229m1283,1229l1320,1126m1320,1126l1358,1059e" filled="false" stroked="true" strokeweight="1pt" strokecolor="#de0035">
              <v:path arrowok="t"/>
              <v:stroke dashstyle="solid"/>
            </v:shape>
            <v:line style="position:absolute" from="1348,1060" to="1405,1060" stroked="true" strokeweight="1.125pt" strokecolor="#de0035">
              <v:stroke dashstyle="solid"/>
            </v:line>
            <v:shape style="position:absolute;left:1395;top:1058;width:63;height:68" coordorigin="1395,1059" coordsize="63,68" path="m1395,1059l1433,1076m1433,1076l1458,1126e" filled="false" stroked="true" strokeweight="1pt" strokecolor="#de0035">
              <v:path arrowok="t"/>
              <v:stroke dashstyle="solid"/>
            </v:shape>
            <v:line style="position:absolute" from="1448,1128" to="1505,1128" stroked="true" strokeweight="1.125pt" strokecolor="#de0035">
              <v:stroke dashstyle="solid"/>
            </v:line>
            <v:shape style="position:absolute;left:1495;top:703;width:225;height:423" coordorigin="1495,704" coordsize="225,423" path="m1495,1126l1533,1026m1533,1026l1570,959m1570,959l1608,906m1608,906l1645,891m1645,891l1683,874m1683,874l1720,704e" filled="false" stroked="true" strokeweight="1pt" strokecolor="#de0035">
              <v:path arrowok="t"/>
              <v:stroke dashstyle="solid"/>
            </v:shape>
            <v:line style="position:absolute" from="1733,694" to="1733,1001" stroked="true" strokeweight="2.25pt" strokecolor="#de0035">
              <v:stroke dashstyle="solid"/>
            </v:line>
            <v:line style="position:absolute" from="1745,991" to="1783,941" stroked="true" strokeweight="1pt" strokecolor="#de0035">
              <v:stroke dashstyle="solid"/>
            </v:line>
            <v:line style="position:absolute" from="1773,943" to="1830,943" stroked="true" strokeweight="1.125pt" strokecolor="#de0035">
              <v:stroke dashstyle="solid"/>
            </v:line>
            <v:shape style="position:absolute;left:1820;top:568;width:363;height:490" coordorigin="1820,569" coordsize="363,490" path="m1820,941l1858,959m1858,959l1895,1059m1895,1059l1933,924m1933,924l1970,906m1970,906l2008,1009m2008,1009l2033,924m2033,924l2070,736m2070,736l2108,686m2108,686l2145,601m2145,601l2183,569e" filled="false" stroked="true" strokeweight="1pt" strokecolor="#de0035">
              <v:path arrowok="t"/>
              <v:stroke dashstyle="solid"/>
            </v:shape>
            <v:shape style="position:absolute;left:2172;top:570;width:95;height:2" coordorigin="2173,570" coordsize="95,0" path="m2173,570l2230,570m2210,570l2268,570e" filled="false" stroked="true" strokeweight="1.125pt" strokecolor="#de0035">
              <v:path arrowok="t"/>
              <v:stroke dashstyle="solid"/>
            </v:shape>
            <v:shape style="position:absolute;left:2257;top:398;width:63;height:170" coordorigin="2258,399" coordsize="63,170" path="m2258,569l2295,399m2295,399l2320,466e" filled="false" stroked="true" strokeweight="1pt" strokecolor="#de0035">
              <v:path arrowok="t"/>
              <v:stroke dashstyle="solid"/>
            </v:shape>
            <v:line style="position:absolute" from="2310,468" to="2368,468" stroked="true" strokeweight="1.125pt" strokecolor="#de0035">
              <v:stroke dashstyle="solid"/>
            </v:line>
            <v:shape style="position:absolute;left:2357;top:466;width:538;height:425" coordorigin="2358,466" coordsize="538,425" path="m2358,466l2395,501m2395,501l2433,484m2433,484l2470,569m2470,569l2508,551m2508,551l2545,584m2545,584l2583,736m2583,736l2608,789m2608,789l2645,821m2645,821l2683,806m2683,806l2758,771m2758,771l2795,789m2795,789l2833,891m2833,891l2870,839m2870,839l2895,874e" filled="false" stroked="true" strokeweight="1pt" strokecolor="#de0035">
              <v:path arrowok="t"/>
              <v:stroke dashstyle="solid"/>
            </v:shape>
            <v:line style="position:absolute" from="2885,875" to="2943,875" stroked="true" strokeweight="1.125pt" strokecolor="#de0035">
              <v:stroke dashstyle="solid"/>
            </v:line>
            <v:shape style="position:absolute;left:2932;top:788;width:150;height:135" coordorigin="2933,789" coordsize="150,135" path="m2933,874l2970,839m2970,839l3008,789m3008,789l3045,924m3045,924l3083,891e" filled="false" stroked="true" strokeweight="1pt" strokecolor="#de0035">
              <v:path arrowok="t"/>
              <v:stroke dashstyle="solid"/>
            </v:shape>
            <v:line style="position:absolute" from="3073,893" to="3130,893" stroked="true" strokeweight="1.125pt" strokecolor="#de0035">
              <v:stroke dashstyle="solid"/>
            </v:line>
            <v:shape style="position:absolute;left:3120;top:806;width:175;height:85" coordorigin="3120,806" coordsize="175,85" path="m3120,891l3158,874m3158,874l3183,891m3183,891l3220,839m3220,839l3258,874m3258,874l3295,806e" filled="false" stroked="true" strokeweight="1pt" strokecolor="#de0035">
              <v:path arrowok="t"/>
              <v:stroke dashstyle="solid"/>
            </v:shape>
            <v:line style="position:absolute" from="3285,808" to="3343,808" stroked="true" strokeweight="1.125pt" strokecolor="#de0035">
              <v:stroke dashstyle="solid"/>
            </v:line>
            <v:shape style="position:absolute;left:3332;top:788;width:75;height:18" coordorigin="3333,789" coordsize="75,18" path="m3333,806l3370,789m3370,789l3408,806e" filled="false" stroked="true" strokeweight="1pt" strokecolor="#de0035">
              <v:path arrowok="t"/>
              <v:stroke dashstyle="solid"/>
            </v:shape>
            <v:line style="position:absolute" from="3398,808" to="3455,808" stroked="true" strokeweight="1.125pt" strokecolor="#de0035">
              <v:stroke dashstyle="solid"/>
            </v:line>
            <v:shape style="position:absolute;left:3445;top:331;width:425;height:475" coordorigin="3445,331" coordsize="425,475" path="m3445,806l3470,686m3470,686l3508,669m3508,669l3545,601m3545,601l3583,516m3583,516l3620,501m3620,501l3658,449m3658,449l3695,416m3695,416l3733,349m3733,349l3758,331m3758,331l3795,349m3795,349l3833,331m3833,331l3870,381e" filled="false" stroked="true" strokeweight="1pt" strokecolor="#de0035">
              <v:path arrowok="t"/>
              <v:stroke dashstyle="solid"/>
            </v:shape>
            <v:line style="position:absolute" from="3860,383" to="3918,383" stroked="true" strokeweight="1.125pt" strokecolor="#de0035">
              <v:stroke dashstyle="solid"/>
            </v:line>
            <v:shape style="position:absolute;left:836;top:567;width:3232;height:714" coordorigin="837,568" coordsize="3232,714" path="m837,568l923,568m837,925l923,925m837,1281l923,1281m3982,568l4068,568m3982,925l4068,925m3982,1281l4068,1281e" filled="false" stroked="true" strokeweight=".5pt" strokecolor="#000000">
              <v:path arrowok="t"/>
              <v:stroke dashstyle="solid"/>
            </v:shape>
            <v:shape style="position:absolute;left:1993;top:343;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w10:wrap type="none"/>
          </v:group>
        </w:pict>
      </w:r>
      <w:r>
        <w:rPr/>
        <w:pict>
          <v:line style="position:absolute;mso-position-horizontal-relative:page;mso-position-vertical-relative:paragraph;z-index:15883264" from="41.839001pt,10.570032pt" to="46.172001pt,10.570032pt" stroked="true" strokeweight=".5pt" strokecolor="#000000">
            <v:stroke dashstyle="solid"/>
            <w10:wrap type="none"/>
          </v:line>
        </w:pict>
      </w:r>
      <w:r>
        <w:rPr/>
        <w:pict>
          <v:line style="position:absolute;mso-position-horizontal-relative:page;mso-position-vertical-relative:paragraph;z-index:-22768128" from="199.085007pt,10.569032pt" to="203.417007pt,10.569032pt" stroked="true" strokeweight=".5pt" strokecolor="#000000">
            <v:stroke dashstyle="solid"/>
            <w10:wrap type="none"/>
          </v:line>
        </w:pict>
      </w:r>
      <w:r>
        <w:rPr>
          <w:sz w:val="12"/>
        </w:rPr>
        <w:t>Per cent</w:t>
      </w:r>
      <w:r>
        <w:rPr>
          <w:spacing w:val="12"/>
          <w:sz w:val="12"/>
        </w:rPr>
        <w:t> </w:t>
      </w:r>
      <w:r>
        <w:rPr>
          <w:position w:val="-7"/>
          <w:sz w:val="12"/>
        </w:rPr>
        <w:t>20</w:t>
      </w:r>
    </w:p>
    <w:p>
      <w:pPr>
        <w:pStyle w:val="BodyText"/>
        <w:spacing w:before="8"/>
        <w:rPr>
          <w:sz w:val="18"/>
        </w:rPr>
      </w:pPr>
    </w:p>
    <w:p>
      <w:pPr>
        <w:spacing w:before="0"/>
        <w:ind w:left="0" w:right="401" w:firstLine="0"/>
        <w:jc w:val="right"/>
        <w:rPr>
          <w:sz w:val="12"/>
        </w:rPr>
      </w:pPr>
      <w:r>
        <w:rPr>
          <w:sz w:val="12"/>
        </w:rPr>
        <w:t>18</w:t>
      </w:r>
    </w:p>
    <w:p>
      <w:pPr>
        <w:pStyle w:val="BodyText"/>
        <w:spacing w:before="5"/>
        <w:ind w:left="174"/>
      </w:pPr>
      <w:r>
        <w:rPr/>
        <w:br w:type="column"/>
      </w:r>
      <w:r>
        <w:rPr/>
        <w:t>millennium had been resolved.</w:t>
      </w:r>
    </w:p>
    <w:p>
      <w:pPr>
        <w:pStyle w:val="BodyText"/>
        <w:spacing w:before="8"/>
      </w:pPr>
    </w:p>
    <w:p>
      <w:pPr>
        <w:pStyle w:val="BodyText"/>
        <w:spacing w:line="242" w:lineRule="auto" w:before="1"/>
        <w:ind w:left="174" w:right="168"/>
      </w:pPr>
      <w:r>
        <w:rPr/>
        <w:t>Weaker domestic investment in physical capital might also partly reflect buoyant corporate spending on financial assets in recent quarters. As noted in </w:t>
      </w:r>
      <w:hyperlink w:history="true" w:anchor="_bookmark1">
        <w:r>
          <w:rPr>
            <w:color w:val="FF0000"/>
          </w:rPr>
          <w:t>Section 1</w:t>
        </w:r>
        <w:r>
          <w:rPr/>
          <w:t>,</w:t>
        </w:r>
      </w:hyperlink>
      <w:r>
        <w:rPr/>
        <w:t> corporate borrowing has increased rapidly this year as companies have financed purchases of third-generation mobile telecommunications licences and mergers and acquisitions activity.</w:t>
      </w:r>
    </w:p>
    <w:p>
      <w:pPr>
        <w:spacing w:after="0" w:line="242" w:lineRule="auto"/>
        <w:sectPr>
          <w:type w:val="continuous"/>
          <w:pgSz w:w="11900" w:h="16840"/>
          <w:pgMar w:top="1260" w:bottom="280" w:left="640" w:right="640"/>
          <w:cols w:num="2" w:equalWidth="0">
            <w:col w:w="3995" w:space="805"/>
            <w:col w:w="5820"/>
          </w:cols>
        </w:sectPr>
      </w:pPr>
    </w:p>
    <w:p>
      <w:pPr>
        <w:pStyle w:val="BodyText"/>
        <w:spacing w:before="10"/>
        <w:rPr>
          <w:sz w:val="8"/>
        </w:rPr>
      </w:pPr>
    </w:p>
    <w:p>
      <w:pPr>
        <w:spacing w:after="0"/>
        <w:rPr>
          <w:sz w:val="8"/>
        </w:rPr>
        <w:sectPr>
          <w:type w:val="continuous"/>
          <w:pgSz w:w="11900" w:h="16840"/>
          <w:pgMar w:top="1260" w:bottom="280" w:left="640" w:right="640"/>
        </w:sectPr>
      </w:pPr>
    </w:p>
    <w:p>
      <w:pPr>
        <w:pStyle w:val="BodyText"/>
        <w:rPr>
          <w:sz w:val="20"/>
        </w:rPr>
      </w:pPr>
    </w:p>
    <w:p>
      <w:pPr>
        <w:pStyle w:val="BodyText"/>
        <w:rPr>
          <w:sz w:val="20"/>
        </w:rPr>
      </w:pPr>
    </w:p>
    <w:p>
      <w:pPr>
        <w:pStyle w:val="BodyText"/>
        <w:rPr>
          <w:sz w:val="20"/>
        </w:rPr>
      </w:pPr>
    </w:p>
    <w:p>
      <w:pPr>
        <w:pStyle w:val="BodyText"/>
        <w:spacing w:before="11"/>
        <w:rPr>
          <w:sz w:val="17"/>
        </w:rPr>
      </w:pPr>
    </w:p>
    <w:p>
      <w:pPr>
        <w:pStyle w:val="BodyText"/>
        <w:spacing w:line="20" w:lineRule="exact"/>
        <w:ind w:left="19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spacing w:before="10"/>
        <w:rPr>
          <w:sz w:val="27"/>
        </w:rPr>
      </w:pPr>
      <w:r>
        <w:rPr/>
        <w:pict>
          <v:shape style="position:absolute;margin-left:41.839001pt;margin-top:18.237930pt;width:4.350pt;height:.1pt;mso-position-horizontal-relative:page;mso-position-vertical-relative:paragraph;z-index:-15581184;mso-wrap-distance-left:0;mso-wrap-distance-right:0" coordorigin="837,365" coordsize="87,0" path="m837,365l923,365e" filled="false" stroked="true" strokeweight=".5pt" strokecolor="#000000">
            <v:path arrowok="t"/>
            <v:stroke dashstyle="solid"/>
            <w10:wrap type="topAndBottom"/>
          </v:shape>
        </w:pict>
      </w:r>
    </w:p>
    <w:p>
      <w:pPr>
        <w:pStyle w:val="BodyText"/>
        <w:rPr>
          <w:sz w:val="12"/>
        </w:rPr>
      </w:pPr>
    </w:p>
    <w:p>
      <w:pPr>
        <w:pStyle w:val="BodyText"/>
        <w:rPr>
          <w:sz w:val="12"/>
        </w:rPr>
      </w:pPr>
    </w:p>
    <w:p>
      <w:pPr>
        <w:pStyle w:val="BodyText"/>
        <w:spacing w:before="10"/>
        <w:rPr>
          <w:sz w:val="15"/>
        </w:rPr>
      </w:pPr>
    </w:p>
    <w:p>
      <w:pPr>
        <w:spacing w:before="1"/>
        <w:ind w:left="224" w:right="0" w:firstLine="0"/>
        <w:jc w:val="left"/>
        <w:rPr>
          <w:sz w:val="12"/>
        </w:rPr>
      </w:pPr>
      <w:r>
        <w:rPr>
          <w:sz w:val="12"/>
        </w:rPr>
        <w:t>1980 82 84</w:t>
      </w:r>
    </w:p>
    <w:p>
      <w:pPr>
        <w:spacing w:before="95"/>
        <w:ind w:left="2431" w:right="0" w:firstLine="0"/>
        <w:jc w:val="left"/>
        <w:rPr>
          <w:sz w:val="12"/>
        </w:rPr>
      </w:pPr>
      <w:r>
        <w:rPr/>
        <w:br w:type="column"/>
      </w:r>
      <w:r>
        <w:rPr>
          <w:sz w:val="12"/>
        </w:rPr>
        <w:t>16</w:t>
      </w:r>
    </w:p>
    <w:p>
      <w:pPr>
        <w:pStyle w:val="BodyText"/>
        <w:rPr>
          <w:sz w:val="12"/>
        </w:rPr>
      </w:pPr>
    </w:p>
    <w:p>
      <w:pPr>
        <w:spacing w:before="80"/>
        <w:ind w:left="2431" w:right="0" w:firstLine="0"/>
        <w:jc w:val="left"/>
        <w:rPr>
          <w:sz w:val="12"/>
        </w:rPr>
      </w:pPr>
      <w:r>
        <w:rPr>
          <w:sz w:val="12"/>
        </w:rPr>
        <w:t>14</w:t>
      </w:r>
    </w:p>
    <w:p>
      <w:pPr>
        <w:pStyle w:val="BodyText"/>
        <w:rPr>
          <w:sz w:val="12"/>
        </w:rPr>
      </w:pPr>
    </w:p>
    <w:p>
      <w:pPr>
        <w:spacing w:before="80"/>
        <w:ind w:left="2431" w:right="0" w:firstLine="0"/>
        <w:jc w:val="left"/>
        <w:rPr>
          <w:sz w:val="12"/>
        </w:rPr>
      </w:pPr>
      <w:r>
        <w:rPr/>
        <w:pict>
          <v:group style="position:absolute;margin-left:41.839001pt;margin-top:12.990544pt;width:161.6pt;height:45.3pt;mso-position-horizontal-relative:page;mso-position-vertical-relative:paragraph;z-index:15882240" coordorigin="837,260" coordsize="3232,906">
            <v:shape style="position:absolute;left:995;top:748;width:725;height:408" coordorigin="995,748" coordsize="725,408" path="m995,986l1033,953m1033,953l1070,1003m1070,1003l1108,1021m1108,1021l1145,1138m1145,1138l1170,1106m1170,1106l1208,1138m1208,1138l1245,1123m1245,1123l1283,1156m1283,1156l1320,1138m1320,1138l1358,1088m1358,1088l1395,1123m1395,1123l1433,1138m1433,1138l1458,1123m1458,1123l1495,1138m1495,1138l1533,1088m1533,1088l1570,1071m1570,1071l1608,1056m1608,1056l1645,986m1645,986l1683,953m1683,953l1720,748e" filled="false" stroked="true" strokeweight="1pt" strokecolor="#610e7a">
              <v:path arrowok="t"/>
              <v:stroke dashstyle="solid"/>
            </v:shape>
            <v:line style="position:absolute" from="1733,738" to="1733,1066" stroked="true" strokeweight="2.25pt" strokecolor="#610e7a">
              <v:stroke dashstyle="solid"/>
            </v:line>
            <v:shape style="position:absolute;left:1745;top:903;width:400;height:153" coordorigin="1745,903" coordsize="400,153" path="m1745,1056l1783,986m1783,986l1820,971m1820,971l1858,986m1858,986l1895,1056m1895,1056l1933,971m1933,971l1970,1021m1970,1021l2008,1056m2008,1056l2033,1003m2033,1003l2070,953m2070,953l2108,918m2108,918l2145,903e" filled="false" stroked="true" strokeweight="1pt" strokecolor="#610e7a">
              <v:path arrowok="t"/>
              <v:stroke dashstyle="solid"/>
            </v:shape>
            <v:line style="position:absolute" from="2135,904" to="2193,904" stroked="true" strokeweight="1.125pt" strokecolor="#610e7a">
              <v:stroke dashstyle="solid"/>
            </v:line>
            <v:shape style="position:absolute;left:2182;top:715;width:138;height:188" coordorigin="2183,716" coordsize="138,188" path="m2183,903l2220,818m2220,818l2258,801m2258,801l2295,766m2295,766l2320,716e" filled="false" stroked="true" strokeweight="1pt" strokecolor="#610e7a">
              <v:path arrowok="t"/>
              <v:stroke dashstyle="solid"/>
            </v:shape>
            <v:shape style="position:absolute;left:2310;top:716;width:95;height:2" coordorigin="2310,717" coordsize="95,0" path="m2310,717l2368,717m2348,717l2405,717e" filled="false" stroked="true" strokeweight="1.125pt" strokecolor="#610e7a">
              <v:path arrowok="t"/>
              <v:stroke dashstyle="solid"/>
            </v:shape>
            <v:shape style="position:absolute;left:2395;top:680;width:325;height:375" coordorigin="2395,681" coordsize="325,375" path="m2395,716l2433,681m2433,681l2470,818m2470,818l2508,833m2508,833l2545,886m2545,886l2583,936m2583,936l2608,953m2608,953l2645,1056m2645,1056l2683,953m2683,953l2720,986e" filled="false" stroked="true" strokeweight="1pt" strokecolor="#610e7a">
              <v:path arrowok="t"/>
              <v:stroke dashstyle="solid"/>
            </v:shape>
            <v:line style="position:absolute" from="2710,987" to="2768,987" stroked="true" strokeweight="1.125pt" strokecolor="#610e7a">
              <v:stroke dashstyle="solid"/>
            </v:line>
            <v:shape style="position:absolute;left:2757;top:985;width:175;height:120" coordorigin="2758,986" coordsize="175,120" path="m2758,986l2795,1003m2795,1003l2833,1106m2833,1106l2870,1003m2870,1003l2895,1056m2895,1056l2933,1038e" filled="false" stroked="true" strokeweight="1pt" strokecolor="#610e7a">
              <v:path arrowok="t"/>
              <v:stroke dashstyle="solid"/>
            </v:shape>
            <v:line style="position:absolute" from="2923,1039" to="2980,1039" stroked="true" strokeweight="1.125pt" strokecolor="#610e7a">
              <v:stroke dashstyle="solid"/>
            </v:line>
            <v:shape style="position:absolute;left:2970;top:985;width:150;height:85" coordorigin="2970,986" coordsize="150,85" path="m2970,1038l3008,1003m3008,1003l3045,1071m3045,1071l3083,1021m3083,1021l3120,986e" filled="false" stroked="true" strokeweight="1pt" strokecolor="#610e7a">
              <v:path arrowok="t"/>
              <v:stroke dashstyle="solid"/>
            </v:shape>
            <v:line style="position:absolute" from="3110,987" to="3168,987" stroked="true" strokeweight="1.125pt" strokecolor="#610e7a">
              <v:stroke dashstyle="solid"/>
            </v:line>
            <v:shape style="position:absolute;left:3157;top:833;width:138;height:153" coordorigin="3158,833" coordsize="138,153" path="m3158,986l3183,936m3183,936l3220,868m3220,868l3258,903m3258,903l3295,833e" filled="false" stroked="true" strokeweight="1pt" strokecolor="#610e7a">
              <v:path arrowok="t"/>
              <v:stroke dashstyle="solid"/>
            </v:shape>
            <v:line style="position:absolute" from="3285,834" to="3343,834" stroked="true" strokeweight="1.125pt" strokecolor="#610e7a">
              <v:stroke dashstyle="solid"/>
            </v:line>
            <v:shape style="position:absolute;left:3332;top:393;width:538;height:440" coordorigin="3333,393" coordsize="538,440" path="m3333,833l3370,818m3370,818l3408,833m3408,833l3445,818m3445,818l3470,733m3470,733l3508,698m3508,698l3545,681m3545,681l3583,563m3583,563l3620,546m3620,546l3658,478m3658,478l3695,443m3695,443l3733,393m3733,393l3758,396m3758,393l3833,428m3833,428l3870,443e" filled="false" stroked="true" strokeweight="1pt" strokecolor="#610e7a">
              <v:path arrowok="t"/>
              <v:stroke dashstyle="solid"/>
            </v:shape>
            <v:line style="position:absolute" from="3860,444" to="3918,444" stroked="true" strokeweight="1.125pt" strokecolor="#610e7a">
              <v:stroke dashstyle="solid"/>
            </v:line>
            <v:line style="position:absolute" from="995,783" to="1033,886" stroked="true" strokeweight="1pt" strokecolor="#acbc4a">
              <v:stroke dashstyle="solid"/>
            </v:line>
            <v:line style="position:absolute" from="1023,887" to="1080,887" stroked="true" strokeweight="1.125pt" strokecolor="#acbc4a">
              <v:stroke dashstyle="solid"/>
            </v:line>
            <v:shape style="position:absolute;left:1070;top:885;width:100;height:118" coordorigin="1070,886" coordsize="100,118" path="m1070,886l1108,903m1108,903l1145,1003m1145,1003l1170,971e" filled="false" stroked="true" strokeweight="1pt" strokecolor="#acbc4a">
              <v:path arrowok="t"/>
              <v:stroke dashstyle="solid"/>
            </v:shape>
            <v:line style="position:absolute" from="1160,972" to="1218,972" stroked="true" strokeweight="1.125pt" strokecolor="#acbc4a">
              <v:stroke dashstyle="solid"/>
            </v:line>
            <v:shape style="position:absolute;left:1207;top:850;width:188;height:188" coordorigin="1208,851" coordsize="188,188" path="m1208,971l1245,1038m1245,1038l1283,1003m1283,1003l1320,903m1320,903l1358,886m1358,886l1395,851e" filled="false" stroked="true" strokeweight="1pt" strokecolor="#acbc4a">
              <v:path arrowok="t"/>
              <v:stroke dashstyle="solid"/>
            </v:shape>
            <v:line style="position:absolute" from="1385,852" to="1443,852" stroked="true" strokeweight="1.125pt" strokecolor="#acbc4a">
              <v:stroke dashstyle="solid"/>
            </v:line>
            <v:line style="position:absolute" from="1433,851" to="1458,903" stroked="true" strokeweight="1pt" strokecolor="#acbc4a">
              <v:stroke dashstyle="solid"/>
            </v:line>
            <v:line style="position:absolute" from="1448,904" to="1505,904" stroked="true" strokeweight="1.125pt" strokecolor="#acbc4a">
              <v:stroke dashstyle="solid"/>
            </v:line>
            <v:shape style="position:absolute;left:1495;top:783;width:75;height:120" coordorigin="1495,783" coordsize="75,120" path="m1495,903l1533,833m1533,833l1570,783e" filled="false" stroked="true" strokeweight="1pt" strokecolor="#acbc4a">
              <v:path arrowok="t"/>
              <v:stroke dashstyle="solid"/>
            </v:shape>
            <v:line style="position:absolute" from="1560,784" to="1618,784" stroked="true" strokeweight="1.125pt" strokecolor="#acbc4a">
              <v:stroke dashstyle="solid"/>
            </v:line>
            <v:shape style="position:absolute;left:1607;top:698;width:463;height:238" coordorigin="1608,698" coordsize="463,238" path="m1608,783l1645,833m1645,833l1683,851m1683,851l1720,886m1720,886l1745,888m1745,886l1783,903m1783,903l1820,918m1820,918l1858,886m1858,886l1895,936m1895,936l1933,833m1933,833l1970,801m1970,801l2008,868m2008,868l2033,833m2033,833l2070,698e" filled="false" stroked="true" strokeweight="1pt" strokecolor="#acbc4a">
              <v:path arrowok="t"/>
              <v:stroke dashstyle="solid"/>
            </v:shape>
            <v:line style="position:absolute" from="2060,699" to="2118,699" stroked="true" strokeweight="1.125pt" strokecolor="#acbc4a">
              <v:stroke dashstyle="solid"/>
            </v:line>
            <v:shape style="position:absolute;left:2107;top:528;width:288;height:170" coordorigin="2108,528" coordsize="288,170" path="m2108,698l2145,613m2145,613l2183,581m2183,581l2220,666m2220,666l2258,681m2258,681l2295,528m2295,528l2320,666m2320,666l2358,648m2358,648l2395,698e" filled="false" stroked="true" strokeweight="1pt" strokecolor="#acbc4a">
              <v:path arrowok="t"/>
              <v:stroke dashstyle="solid"/>
            </v:shape>
            <v:shape style="position:absolute;left:2385;top:699;width:95;height:2" coordorigin="2385,699" coordsize="95,0" path="m2385,699l2443,699m2423,699l2480,699e" filled="false" stroked="true" strokeweight="1.125pt" strokecolor="#acbc4a">
              <v:path arrowok="t"/>
              <v:stroke dashstyle="solid"/>
            </v:shape>
            <v:shape style="position:absolute;left:2470;top:648;width:288;height:153" coordorigin="2470,648" coordsize="288,153" path="m2470,698l2508,666m2508,666l2545,648m2545,648l2583,748m2583,748l2608,801m2608,801l2645,766m2645,766l2683,783m2683,783l2720,748m2720,748l2758,766e" filled="false" stroked="true" strokeweight="1pt" strokecolor="#acbc4a">
              <v:path arrowok="t"/>
              <v:stroke dashstyle="solid"/>
            </v:shape>
            <v:line style="position:absolute" from="2748,767" to="2805,767" stroked="true" strokeweight="1.125pt" strokecolor="#acbc4a">
              <v:stroke dashstyle="solid"/>
            </v:line>
            <v:line style="position:absolute" from="2795,766" to="2833,748" stroked="true" strokeweight="1pt" strokecolor="#acbc4a">
              <v:stroke dashstyle="solid"/>
            </v:line>
            <v:line style="position:absolute" from="2823,749" to="2880,749" stroked="true" strokeweight="1.125pt" strokecolor="#acbc4a">
              <v:stroke dashstyle="solid"/>
            </v:line>
            <v:shape style="position:absolute;left:2870;top:715;width:175;height:85" coordorigin="2870,716" coordsize="175,85" path="m2870,748l2895,766m2895,766l2933,801m2933,801l2970,748m2970,748l3008,716m3008,716l3045,801e" filled="false" stroked="true" strokeweight="1pt" strokecolor="#acbc4a">
              <v:path arrowok="t"/>
              <v:stroke dashstyle="solid"/>
            </v:shape>
            <v:line style="position:absolute" from="3035,802" to="3093,802" stroked="true" strokeweight="1.125pt" strokecolor="#acbc4a">
              <v:stroke dashstyle="solid"/>
            </v:line>
            <v:line style="position:absolute" from="3083,801" to="3120,833" stroked="true" strokeweight="1pt" strokecolor="#acbc4a">
              <v:stroke dashstyle="solid"/>
            </v:line>
            <v:line style="position:absolute" from="3110,834" to="3168,834" stroked="true" strokeweight="1.125pt" strokecolor="#acbc4a">
              <v:stroke dashstyle="solid"/>
            </v:line>
            <v:shape style="position:absolute;left:3157;top:833;width:138;height:103" coordorigin="3158,833" coordsize="138,103" path="m3158,833l3183,886m3183,886l3220,918m3220,918l3258,936m3258,936l3295,918e" filled="false" stroked="true" strokeweight="1pt" strokecolor="#acbc4a">
              <v:path arrowok="t"/>
              <v:stroke dashstyle="solid"/>
            </v:shape>
            <v:shape style="position:absolute;left:3285;top:919;width:95;height:2" coordorigin="3285,919" coordsize="95,0" path="m3285,919l3343,919m3323,919l3380,919e" filled="false" stroked="true" strokeweight="1.125pt" strokecolor="#acbc4a">
              <v:path arrowok="t"/>
              <v:stroke dashstyle="solid"/>
            </v:shape>
            <v:line style="position:absolute" from="3370,918" to="3408,936" stroked="true" strokeweight="1pt" strokecolor="#acbc4a">
              <v:stroke dashstyle="solid"/>
            </v:line>
            <v:line style="position:absolute" from="3398,937" to="3455,937" stroked="true" strokeweight="1.125pt" strokecolor="#acbc4a">
              <v:stroke dashstyle="solid"/>
            </v:line>
            <v:line style="position:absolute" from="3445,936" to="3470,903" stroked="true" strokeweight="1pt" strokecolor="#acbc4a">
              <v:stroke dashstyle="solid"/>
            </v:line>
            <v:line style="position:absolute" from="3460,904" to="3518,904" stroked="true" strokeweight="1.125pt" strokecolor="#acbc4a">
              <v:stroke dashstyle="solid"/>
            </v:line>
            <v:shape style="position:absolute;left:3507;top:868;width:113;height:35" coordorigin="3508,868" coordsize="113,35" path="m3508,903l3545,868m3545,868l3620,903e" filled="false" stroked="true" strokeweight="1pt" strokecolor="#acbc4a">
              <v:path arrowok="t"/>
              <v:stroke dashstyle="solid"/>
            </v:shape>
            <v:line style="position:absolute" from="3610,904" to="3668,904" stroked="true" strokeweight="1.125pt" strokecolor="#acbc4a">
              <v:stroke dashstyle="solid"/>
            </v:line>
            <v:shape style="position:absolute;left:3657;top:833;width:213;height:85" coordorigin="3658,833" coordsize="213,85" path="m3658,903l3695,918m3695,918l3733,886m3733,886l3758,888m3758,886l3795,868m3795,868l3833,833m3833,833l3870,868e" filled="false" stroked="true" strokeweight="1pt" strokecolor="#acbc4a">
              <v:path arrowok="t"/>
              <v:stroke dashstyle="solid"/>
            </v:shape>
            <v:line style="position:absolute" from="3860,869" to="3918,869" stroked="true" strokeweight="1.125pt" strokecolor="#acbc4a">
              <v:stroke dashstyle="solid"/>
            </v:line>
            <v:shape style="position:absolute;left:836;top:530;width:3232;height:357" coordorigin="837,531" coordsize="3232,357" path="m837,531l923,531m837,887l923,887m3982,531l4068,531m3982,887l4068,887e" filled="false" stroked="true" strokeweight=".5pt" strokecolor="#000000">
              <v:path arrowok="t"/>
              <v:stroke dashstyle="solid"/>
            </v:shape>
            <v:shape style="position:absolute;left:1559;top:314;width:727;height:254" type="#_x0000_t202" filled="false" stroked="false">
              <v:textbox inset="0,0,0,0">
                <w:txbxContent>
                  <w:p>
                    <w:pPr>
                      <w:spacing w:line="208" w:lineRule="auto" w:before="9"/>
                      <w:ind w:left="60" w:right="0" w:hanging="60"/>
                      <w:jc w:val="left"/>
                      <w:rPr>
                        <w:sz w:val="12"/>
                      </w:rPr>
                    </w:pPr>
                    <w:r>
                      <w:rPr>
                        <w:sz w:val="12"/>
                      </w:rPr>
                      <w:t>Buildings and infrastructure</w:t>
                    </w:r>
                  </w:p>
                </w:txbxContent>
              </v:textbox>
              <w10:wrap type="none"/>
            </v:shape>
            <v:shape style="position:absolute;left:3029;top:259;width:717;height:134" type="#_x0000_t202" filled="false" stroked="false">
              <v:textbox inset="0,0,0,0">
                <w:txbxContent>
                  <w:p>
                    <w:pPr>
                      <w:spacing w:line="133" w:lineRule="exact" w:before="0"/>
                      <w:ind w:left="0" w:right="0" w:firstLine="0"/>
                      <w:jc w:val="left"/>
                      <w:rPr>
                        <w:sz w:val="12"/>
                      </w:rPr>
                    </w:pPr>
                    <w:r>
                      <w:rPr>
                        <w:sz w:val="12"/>
                      </w:rPr>
                      <w:t>Equipment (b)</w:t>
                    </w:r>
                  </w:p>
                </w:txbxContent>
              </v:textbox>
              <w10:wrap type="none"/>
            </v:shape>
            <w10:wrap type="none"/>
          </v:group>
        </w:pict>
      </w:r>
      <w:r>
        <w:rPr/>
        <w:pict>
          <v:line style="position:absolute;mso-position-horizontal-relative:page;mso-position-vertical-relative:paragraph;z-index:15883776" from="199.085007pt,8.71677pt" to="203.417007pt,8.71677pt" stroked="true" strokeweight=".5pt" strokecolor="#000000">
            <v:stroke dashstyle="solid"/>
            <w10:wrap type="none"/>
          </v:line>
        </w:pict>
      </w:r>
      <w:r>
        <w:rPr>
          <w:sz w:val="12"/>
        </w:rPr>
        <w:t>12</w:t>
      </w:r>
    </w:p>
    <w:p>
      <w:pPr>
        <w:pStyle w:val="BodyText"/>
        <w:rPr>
          <w:sz w:val="12"/>
        </w:rPr>
      </w:pPr>
    </w:p>
    <w:p>
      <w:pPr>
        <w:spacing w:before="80"/>
        <w:ind w:left="2431" w:right="0" w:firstLine="0"/>
        <w:jc w:val="left"/>
        <w:rPr>
          <w:sz w:val="12"/>
        </w:rPr>
      </w:pPr>
      <w:r>
        <w:rPr>
          <w:sz w:val="12"/>
        </w:rPr>
        <w:t>10</w:t>
      </w:r>
    </w:p>
    <w:p>
      <w:pPr>
        <w:pStyle w:val="BodyText"/>
        <w:rPr>
          <w:sz w:val="12"/>
        </w:rPr>
      </w:pPr>
    </w:p>
    <w:p>
      <w:pPr>
        <w:spacing w:before="80"/>
        <w:ind w:left="2491" w:right="0" w:firstLine="0"/>
        <w:jc w:val="left"/>
        <w:rPr>
          <w:sz w:val="12"/>
        </w:rPr>
      </w:pPr>
      <w:r>
        <w:rPr>
          <w:sz w:val="12"/>
        </w:rPr>
        <w:t>8</w:t>
      </w:r>
    </w:p>
    <w:p>
      <w:pPr>
        <w:pStyle w:val="BodyText"/>
        <w:rPr>
          <w:sz w:val="12"/>
        </w:rPr>
      </w:pPr>
    </w:p>
    <w:p>
      <w:pPr>
        <w:spacing w:before="80"/>
        <w:ind w:left="2491" w:right="0" w:firstLine="0"/>
        <w:jc w:val="left"/>
        <w:rPr>
          <w:sz w:val="12"/>
        </w:rPr>
      </w:pPr>
      <w:r>
        <w:rPr/>
        <w:pict>
          <v:line style="position:absolute;mso-position-horizontal-relative:page;mso-position-vertical-relative:paragraph;z-index:15884288" from="199.085007pt,8.811366pt" to="203.417007pt,8.811366pt" stroked="true" strokeweight=".5pt" strokecolor="#000000">
            <v:stroke dashstyle="solid"/>
            <w10:wrap type="none"/>
          </v:line>
        </w:pict>
      </w:r>
      <w:r>
        <w:rPr>
          <w:sz w:val="12"/>
        </w:rPr>
        <w:t>6</w:t>
      </w:r>
    </w:p>
    <w:p>
      <w:pPr>
        <w:pStyle w:val="BodyText"/>
        <w:rPr>
          <w:sz w:val="12"/>
        </w:rPr>
      </w:pPr>
    </w:p>
    <w:p>
      <w:pPr>
        <w:spacing w:before="80"/>
        <w:ind w:left="2491" w:right="0" w:firstLine="0"/>
        <w:jc w:val="left"/>
        <w:rPr>
          <w:sz w:val="12"/>
        </w:rPr>
      </w:pPr>
      <w:r>
        <w:rPr/>
        <w:pict>
          <v:shape style="position:absolute;margin-left:41.839001pt;margin-top:8.751766pt;width:162.4pt;height:6.6pt;mso-position-horizontal-relative:page;mso-position-vertical-relative:paragraph;z-index:15882752" coordorigin="837,175" coordsize="3248,132" path="m837,177l923,177m837,302l1092,302m3900,302l4068,302m993,302l3915,302m991,235l991,302m1423,235l1423,302m1711,235l1711,302m2000,235l2000,302m2288,235l2288,302m2720,235l2720,302m3152,235l3152,302m3729,235l3729,302m3296,235l3296,302m3873,235l3873,302m1135,235l1135,302m1279,235l1279,302m1567,235l1567,302m1855,235l1855,302m2144,235l2144,302m2576,235l2576,302m2864,235l2864,302m3440,235l3440,302m3008,235l3008,302m3585,235l3585,302m2432,235l2432,302m3982,177l4068,177m4064,175l4064,202,4044,218,4084,232,4044,252,4084,268,4061,278,4060,302m918,180l918,207,898,223,938,237,898,257,938,274,914,284,914,307e" filled="false" stroked="true" strokeweight=".5pt" strokecolor="#000000">
            <v:path arrowok="t"/>
            <v:stroke dashstyle="solid"/>
            <w10:wrap type="none"/>
          </v:shape>
        </w:pict>
      </w:r>
      <w:r>
        <w:rPr>
          <w:sz w:val="12"/>
        </w:rPr>
        <w:t>4</w:t>
      </w:r>
    </w:p>
    <w:p>
      <w:pPr>
        <w:spacing w:line="114" w:lineRule="exact" w:before="6"/>
        <w:ind w:left="2491" w:right="0" w:firstLine="0"/>
        <w:jc w:val="left"/>
        <w:rPr>
          <w:sz w:val="12"/>
        </w:rPr>
      </w:pPr>
      <w:r>
        <w:rPr>
          <w:sz w:val="12"/>
        </w:rPr>
        <w:t>0</w:t>
      </w:r>
    </w:p>
    <w:p>
      <w:pPr>
        <w:spacing w:line="114" w:lineRule="exact" w:before="0"/>
        <w:ind w:left="127" w:right="0" w:firstLine="0"/>
        <w:jc w:val="left"/>
        <w:rPr>
          <w:sz w:val="12"/>
        </w:rPr>
      </w:pPr>
      <w:r>
        <w:rPr>
          <w:sz w:val="12"/>
        </w:rPr>
        <w:t>86 88 90 92 94 96 98 2000</w:t>
      </w:r>
    </w:p>
    <w:p>
      <w:pPr>
        <w:pStyle w:val="BodyText"/>
        <w:spacing w:line="242" w:lineRule="auto" w:before="186"/>
        <w:ind w:left="224" w:right="238"/>
      </w:pPr>
      <w:r>
        <w:rPr/>
        <w:br w:type="column"/>
      </w:r>
      <w:r>
        <w:rPr/>
        <w:t>A further possibility is that subdued </w:t>
      </w:r>
      <w:r>
        <w:rPr>
          <w:spacing w:val="-3"/>
        </w:rPr>
        <w:t>investment, </w:t>
      </w:r>
      <w:r>
        <w:rPr/>
        <w:t>particularly in the service </w:t>
      </w:r>
      <w:r>
        <w:rPr>
          <w:spacing w:val="-3"/>
        </w:rPr>
        <w:t>sector, </w:t>
      </w:r>
      <w:r>
        <w:rPr/>
        <w:t>might be a lagged response to weaker profits and lower rates of return on capital early last year (see Chart 2.12). Profits provide a source of finance for </w:t>
      </w:r>
      <w:r>
        <w:rPr>
          <w:spacing w:val="-3"/>
        </w:rPr>
        <w:t>new </w:t>
      </w:r>
      <w:r>
        <w:rPr/>
        <w:t>investment, and some companies may use average realised rates of return on existing capital as an indicator of potential returns from </w:t>
      </w:r>
      <w:r>
        <w:rPr>
          <w:spacing w:val="-3"/>
        </w:rPr>
        <w:t>new </w:t>
      </w:r>
      <w:r>
        <w:rPr/>
        <w:t>investment. Profit growth subsequently picked up in 1999 H2, although not by enough to raise rates of</w:t>
      </w:r>
    </w:p>
    <w:p>
      <w:pPr>
        <w:spacing w:after="0" w:line="242" w:lineRule="auto"/>
        <w:sectPr>
          <w:type w:val="continuous"/>
          <w:pgSz w:w="11900" w:h="16840"/>
          <w:pgMar w:top="1260" w:bottom="280" w:left="640" w:right="640"/>
          <w:cols w:num="3" w:equalWidth="0">
            <w:col w:w="1001" w:space="40"/>
            <w:col w:w="2592" w:space="1117"/>
            <w:col w:w="5870"/>
          </w:cols>
        </w:sectPr>
      </w:pPr>
    </w:p>
    <w:p>
      <w:pPr>
        <w:pStyle w:val="ListParagraph"/>
        <w:numPr>
          <w:ilvl w:val="0"/>
          <w:numId w:val="17"/>
        </w:numPr>
        <w:tabs>
          <w:tab w:pos="415" w:val="left" w:leader="none"/>
        </w:tabs>
        <w:spacing w:line="129" w:lineRule="exact" w:before="20" w:after="0"/>
        <w:ind w:left="414" w:right="0" w:hanging="241"/>
        <w:jc w:val="left"/>
        <w:rPr>
          <w:sz w:val="12"/>
        </w:rPr>
      </w:pPr>
      <w:r>
        <w:rPr>
          <w:sz w:val="12"/>
        </w:rPr>
        <w:t>At constant 1995</w:t>
      </w:r>
      <w:r>
        <w:rPr>
          <w:spacing w:val="-4"/>
          <w:sz w:val="12"/>
        </w:rPr>
        <w:t> </w:t>
      </w:r>
      <w:r>
        <w:rPr>
          <w:sz w:val="12"/>
        </w:rPr>
        <w:t>prices.</w:t>
      </w:r>
    </w:p>
    <w:p>
      <w:pPr>
        <w:pStyle w:val="ListParagraph"/>
        <w:numPr>
          <w:ilvl w:val="0"/>
          <w:numId w:val="17"/>
        </w:numPr>
        <w:tabs>
          <w:tab w:pos="415" w:val="left" w:leader="none"/>
        </w:tabs>
        <w:spacing w:line="129" w:lineRule="exact" w:before="0" w:after="0"/>
        <w:ind w:left="414" w:right="0" w:hanging="241"/>
        <w:jc w:val="left"/>
        <w:rPr>
          <w:sz w:val="12"/>
        </w:rPr>
      </w:pPr>
      <w:r>
        <w:rPr>
          <w:sz w:val="12"/>
        </w:rPr>
        <w:t>Equipment</w:t>
      </w:r>
      <w:r>
        <w:rPr>
          <w:spacing w:val="-7"/>
          <w:sz w:val="12"/>
        </w:rPr>
        <w:t> </w:t>
      </w:r>
      <w:r>
        <w:rPr>
          <w:sz w:val="12"/>
        </w:rPr>
        <w:t>comprises</w:t>
      </w:r>
      <w:r>
        <w:rPr>
          <w:spacing w:val="-6"/>
          <w:sz w:val="12"/>
        </w:rPr>
        <w:t> </w:t>
      </w:r>
      <w:r>
        <w:rPr>
          <w:sz w:val="12"/>
        </w:rPr>
        <w:t>plant</w:t>
      </w:r>
      <w:r>
        <w:rPr>
          <w:spacing w:val="-7"/>
          <w:sz w:val="12"/>
        </w:rPr>
        <w:t> </w:t>
      </w:r>
      <w:r>
        <w:rPr>
          <w:sz w:val="12"/>
        </w:rPr>
        <w:t>and</w:t>
      </w:r>
      <w:r>
        <w:rPr>
          <w:spacing w:val="-6"/>
          <w:sz w:val="12"/>
        </w:rPr>
        <w:t> </w:t>
      </w:r>
      <w:r>
        <w:rPr>
          <w:sz w:val="12"/>
        </w:rPr>
        <w:t>machinery,</w:t>
      </w:r>
      <w:r>
        <w:rPr>
          <w:spacing w:val="-6"/>
          <w:sz w:val="12"/>
        </w:rPr>
        <w:t> </w:t>
      </w:r>
      <w:r>
        <w:rPr>
          <w:sz w:val="12"/>
        </w:rPr>
        <w:t>vehicles,</w:t>
      </w:r>
      <w:r>
        <w:rPr>
          <w:spacing w:val="-5"/>
          <w:sz w:val="12"/>
        </w:rPr>
        <w:t> </w:t>
      </w:r>
      <w:r>
        <w:rPr>
          <w:sz w:val="12"/>
        </w:rPr>
        <w:t>ships</w:t>
      </w:r>
      <w:r>
        <w:rPr>
          <w:spacing w:val="-7"/>
          <w:sz w:val="12"/>
        </w:rPr>
        <w:t> </w:t>
      </w:r>
      <w:r>
        <w:rPr>
          <w:sz w:val="12"/>
        </w:rPr>
        <w:t>and</w:t>
      </w:r>
      <w:r>
        <w:rPr>
          <w:spacing w:val="-6"/>
          <w:sz w:val="12"/>
        </w:rPr>
        <w:t> </w:t>
      </w:r>
      <w:r>
        <w:rPr>
          <w:sz w:val="12"/>
        </w:rPr>
        <w:t>aircraft.</w:t>
      </w:r>
    </w:p>
    <w:p>
      <w:pPr>
        <w:pStyle w:val="BodyText"/>
        <w:spacing w:before="12"/>
        <w:ind w:left="174"/>
      </w:pPr>
      <w:r>
        <w:rPr/>
        <w:br w:type="column"/>
      </w:r>
      <w:r>
        <w:rPr/>
        <w:t>return on capital significantly. In 2000 Q2, the gross</w:t>
      </w:r>
    </w:p>
    <w:p>
      <w:pPr>
        <w:spacing w:after="0"/>
        <w:sectPr>
          <w:type w:val="continuous"/>
          <w:pgSz w:w="11900" w:h="16840"/>
          <w:pgMar w:top="1260" w:bottom="280" w:left="640" w:right="640"/>
          <w:cols w:num="2" w:equalWidth="0">
            <w:col w:w="3867" w:space="933"/>
            <w:col w:w="5820"/>
          </w:cols>
        </w:sectPr>
      </w:pPr>
    </w:p>
    <w:p>
      <w:pPr>
        <w:pStyle w:val="BodyText"/>
        <w:rPr>
          <w:sz w:val="20"/>
        </w:rPr>
      </w:pPr>
    </w:p>
    <w:p>
      <w:pPr>
        <w:spacing w:after="0"/>
        <w:rPr>
          <w:sz w:val="20"/>
        </w:rPr>
        <w:sectPr>
          <w:pgSz w:w="11900" w:h="16840"/>
          <w:pgMar w:header="586" w:footer="592" w:top="780" w:bottom="780" w:left="640" w:right="640"/>
        </w:sectPr>
      </w:pPr>
    </w:p>
    <w:p>
      <w:pPr>
        <w:pStyle w:val="BodyText"/>
        <w:spacing w:before="3"/>
        <w:rPr>
          <w:sz w:val="22"/>
        </w:rPr>
      </w:pPr>
    </w:p>
    <w:p>
      <w:pPr>
        <w:spacing w:before="0"/>
        <w:ind w:left="184" w:right="0" w:firstLine="0"/>
        <w:jc w:val="left"/>
        <w:rPr>
          <w:b/>
          <w:sz w:val="20"/>
        </w:rPr>
      </w:pPr>
      <w:bookmarkStart w:name="Public sector consumption" w:id="38"/>
      <w:bookmarkEnd w:id="38"/>
      <w:r>
        <w:rPr/>
      </w:r>
      <w:bookmarkStart w:name="Inventories" w:id="39"/>
      <w:bookmarkEnd w:id="39"/>
      <w:r>
        <w:rPr/>
      </w:r>
      <w:bookmarkStart w:name="_bookmark15" w:id="40"/>
      <w:bookmarkEnd w:id="40"/>
      <w:r>
        <w:rPr/>
      </w:r>
      <w:r>
        <w:rPr>
          <w:b/>
          <w:color w:val="0092C7"/>
          <w:sz w:val="20"/>
        </w:rPr>
        <w:t>Chart 2.12</w:t>
      </w:r>
    </w:p>
    <w:p>
      <w:pPr>
        <w:spacing w:before="10"/>
        <w:ind w:left="184" w:right="0" w:firstLine="0"/>
        <w:jc w:val="left"/>
        <w:rPr>
          <w:sz w:val="12"/>
        </w:rPr>
      </w:pPr>
      <w:r>
        <w:rPr>
          <w:b/>
          <w:color w:val="0092C7"/>
          <w:sz w:val="20"/>
        </w:rPr>
        <w:t>PNFCs’</w:t>
      </w:r>
      <w:r>
        <w:rPr>
          <w:b/>
          <w:color w:val="0092C7"/>
          <w:spacing w:val="-33"/>
          <w:sz w:val="20"/>
        </w:rPr>
        <w:t> </w:t>
      </w:r>
      <w:r>
        <w:rPr>
          <w:b/>
          <w:color w:val="0092C7"/>
          <w:sz w:val="20"/>
        </w:rPr>
        <w:t>profitability</w:t>
      </w:r>
      <w:r>
        <w:rPr>
          <w:position w:val="4"/>
          <w:sz w:val="12"/>
        </w:rPr>
        <w:t>(a)</w:t>
      </w:r>
    </w:p>
    <w:p>
      <w:pPr>
        <w:spacing w:line="616" w:lineRule="auto" w:before="95"/>
        <w:ind w:left="250" w:right="1006" w:firstLine="0"/>
        <w:jc w:val="left"/>
        <w:rPr>
          <w:sz w:val="12"/>
        </w:rPr>
      </w:pPr>
      <w:r>
        <w:rPr/>
        <w:pict>
          <v:group style="position:absolute;margin-left:67.519997pt;margin-top:28.372166pt;width:146.5pt;height:133pt;mso-position-horizontal-relative:page;mso-position-vertical-relative:paragraph;z-index:-22751232" coordorigin="1350,567" coordsize="2930,2660">
            <v:shape style="position:absolute;left:1360;top:664;width:1240;height:1173" coordorigin="1360,665" coordsize="1240,1173" path="m1360,997l1493,932m1493,932l1638,882m1638,882l1770,1837m1770,1837l1915,1162m1915,1162l2048,1610m2048,1610l2190,1775m2190,1775l2323,665m2323,665l2458,1150m2458,1150l2600,907e" filled="false" stroked="true" strokeweight="1pt" strokecolor="#008360">
              <v:path arrowok="t"/>
              <v:stroke dashstyle="solid"/>
            </v:shape>
            <v:line style="position:absolute" from="2590,913" to="2743,913" stroked="true" strokeweight="1.625pt" strokecolor="#008360">
              <v:stroke dashstyle="solid"/>
            </v:line>
            <v:shape style="position:absolute;left:2732;top:919;width:1518;height:2193" coordorigin="2733,920" coordsize="1518,2193" path="m2733,920l2878,1075m2878,1075l3010,1047m3010,1047l3153,1342m3153,1342l3285,1877m3285,1877l3420,2807m3420,2807l3563,3112m3563,3112l3695,2985m3695,2985l3840,1980m3840,1980l3973,1240m3973,1240l4115,1075m4115,1075l4250,1100e" filled="false" stroked="true" strokeweight="1pt" strokecolor="#008360">
              <v:path arrowok="t"/>
              <v:stroke dashstyle="solid"/>
            </v:shape>
            <v:shape style="position:absolute;left:1360;top:832;width:2203;height:1300" coordorigin="1360,832" coordsize="2203,1300" path="m1360,2132l1493,1775m1493,1775l1638,1405m1638,1405l1770,1775m1770,1775l1915,1622m1915,1622l2048,1342m2048,1342l2190,1482m2190,1482l2323,1187m2323,1187l2458,1342m2458,1342l2600,1125m2600,1125l2733,1342m2733,1342l2878,1265m2878,1265l3010,832m3010,832l3153,985m3153,985l3285,1187m3285,1187l3420,1775m3420,1775l3563,2132e" filled="false" stroked="true" strokeweight="1pt" strokecolor="#de8508">
              <v:path arrowok="t"/>
              <v:stroke dashstyle="solid"/>
            </v:shape>
            <v:line style="position:absolute" from="3553,2133" to="3705,2133" stroked="true" strokeweight="1.125pt" strokecolor="#de8508">
              <v:stroke dashstyle="solid"/>
            </v:line>
            <v:line style="position:absolute" from="3695,2132" to="3840,1697" stroked="true" strokeweight="1pt" strokecolor="#de8508">
              <v:stroke dashstyle="solid"/>
            </v:line>
            <v:line style="position:absolute" from="3830,1698" to="3983,1698" stroked="true" strokeweight="1.125pt" strokecolor="#de8508">
              <v:stroke dashstyle="solid"/>
            </v:line>
            <v:shape style="position:absolute;left:3972;top:1697;width:278;height:218" coordorigin="3973,1697" coordsize="278,218" path="m3973,1697l4115,1775m4115,1775l4250,1915e" filled="false" stroked="true" strokeweight="1pt" strokecolor="#de8508">
              <v:path arrowok="t"/>
              <v:stroke dashstyle="solid"/>
            </v:shape>
            <v:shape style="position:absolute;left:1350;top:3118;width:2910;height:104" coordorigin="1350,3119" coordsize="2910,104" path="m1357,3165l1357,3219m1907,3165l1907,3219m2447,3165l2447,3219m4104,3119l4104,3219m3000,3165l3000,3219m3555,3165l3555,3219m1350,3222l4260,3222e" filled="false" stroked="true" strokeweight=".5pt" strokecolor="#000000">
              <v:path arrowok="t"/>
              <v:stroke dashstyle="solid"/>
            </v:shape>
            <v:shape style="position:absolute;left:3120;top:567;width:850;height:366" type="#_x0000_t202" filled="false" stroked="false">
              <v:textbox inset="0,0,0,0">
                <w:txbxContent>
                  <w:p>
                    <w:pPr>
                      <w:spacing w:line="192" w:lineRule="auto" w:before="17"/>
                      <w:ind w:left="27" w:right="1" w:hanging="28"/>
                      <w:jc w:val="left"/>
                      <w:rPr>
                        <w:sz w:val="12"/>
                      </w:rPr>
                    </w:pPr>
                    <w:r>
                      <w:rPr>
                        <w:sz w:val="12"/>
                      </w:rPr>
                      <w:t>Net rate of return on capital</w:t>
                    </w:r>
                  </w:p>
                  <w:p>
                    <w:pPr>
                      <w:spacing w:line="127" w:lineRule="exact" w:before="0"/>
                      <w:ind w:left="27" w:right="0" w:firstLine="0"/>
                      <w:jc w:val="left"/>
                      <w:rPr>
                        <w:sz w:val="12"/>
                      </w:rPr>
                    </w:pPr>
                    <w:r>
                      <w:rPr>
                        <w:sz w:val="12"/>
                      </w:rPr>
                      <w:t>(left-hand scale)</w:t>
                    </w:r>
                  </w:p>
                </w:txbxContent>
              </v:textbox>
              <w10:wrap type="none"/>
            </v:shape>
            <v:shape style="position:absolute;left:1350;top:1984;width:2930;height:134" type="#_x0000_t202" filled="false" stroked="false">
              <v:textbox inset="0,0,0,0">
                <w:txbxContent>
                  <w:p>
                    <w:pPr>
                      <w:tabs>
                        <w:tab w:pos="2909" w:val="left" w:leader="none"/>
                      </w:tabs>
                      <w:spacing w:line="133" w:lineRule="exact" w:before="0"/>
                      <w:ind w:left="0" w:right="0" w:firstLine="0"/>
                      <w:jc w:val="left"/>
                      <w:rPr>
                        <w:sz w:val="12"/>
                      </w:rPr>
                    </w:pPr>
                    <w:r>
                      <w:rPr>
                        <w:sz w:val="12"/>
                        <w:u w:val="single"/>
                      </w:rPr>
                      <w:t> </w:t>
                      <w:tab/>
                    </w:r>
                  </w:p>
                </w:txbxContent>
              </v:textbox>
              <w10:wrap type="none"/>
            </v:shape>
            <v:shape style="position:absolute;left:2461;top:2530;width:919;height:266" type="#_x0000_t202" filled="false" stroked="false">
              <v:textbox inset="0,0,0,0">
                <w:txbxContent>
                  <w:p>
                    <w:pPr>
                      <w:spacing w:line="130" w:lineRule="exact" w:before="0"/>
                      <w:ind w:left="0" w:right="0" w:firstLine="0"/>
                      <w:jc w:val="left"/>
                      <w:rPr>
                        <w:sz w:val="12"/>
                      </w:rPr>
                    </w:pPr>
                    <w:r>
                      <w:rPr>
                        <w:sz w:val="12"/>
                      </w:rPr>
                      <w:t>Profits (b)</w:t>
                    </w:r>
                  </w:p>
                  <w:p>
                    <w:pPr>
                      <w:spacing w:line="135" w:lineRule="exact" w:before="0"/>
                      <w:ind w:left="48" w:right="0" w:firstLine="0"/>
                      <w:jc w:val="left"/>
                      <w:rPr>
                        <w:sz w:val="12"/>
                      </w:rPr>
                    </w:pPr>
                    <w:r>
                      <w:rPr>
                        <w:sz w:val="12"/>
                      </w:rPr>
                      <w:t>(right-hand scale)</w:t>
                    </w:r>
                  </w:p>
                </w:txbxContent>
              </v:textbox>
              <w10:wrap type="none"/>
            </v:shape>
            <w10:wrap type="none"/>
          </v:group>
        </w:pict>
      </w:r>
      <w:r>
        <w:rPr/>
        <w:pict>
          <v:line style="position:absolute;mso-position-horizontal-relative:page;mso-position-vertical-relative:paragraph;z-index:-22750720" from="62.854pt,13.269365pt" to="58.52pt,13.269365pt" stroked="true" strokeweight=".5pt" strokecolor="#000000">
            <v:stroke dashstyle="solid"/>
            <w10:wrap type="none"/>
          </v:line>
        </w:pict>
      </w:r>
      <w:r>
        <w:rPr/>
        <w:pict>
          <v:line style="position:absolute;mso-position-horizontal-relative:page;mso-position-vertical-relative:paragraph;z-index:-22750208" from="62.854pt,30.477365pt" to="58.52pt,30.477365pt" stroked="true" strokeweight=".5pt" strokecolor="#000000">
            <v:stroke dashstyle="solid"/>
            <w10:wrap type="none"/>
          </v:line>
        </w:pict>
      </w:r>
      <w:r>
        <w:rPr>
          <w:position w:val="-8"/>
          <w:sz w:val="12"/>
        </w:rPr>
        <w:t>14.0 </w:t>
      </w:r>
      <w:r>
        <w:rPr>
          <w:sz w:val="12"/>
        </w:rPr>
        <w:t>Per </w:t>
      </w:r>
      <w:r>
        <w:rPr>
          <w:spacing w:val="-5"/>
          <w:sz w:val="12"/>
        </w:rPr>
        <w:t>cent </w:t>
      </w:r>
      <w:r>
        <w:rPr>
          <w:sz w:val="12"/>
        </w:rPr>
        <w:t>13.5</w:t>
      </w:r>
    </w:p>
    <w:p>
      <w:pPr>
        <w:spacing w:before="16"/>
        <w:ind w:left="250" w:right="0" w:firstLine="0"/>
        <w:jc w:val="left"/>
        <w:rPr>
          <w:sz w:val="12"/>
        </w:rPr>
      </w:pPr>
      <w:r>
        <w:rPr/>
        <w:pict>
          <v:line style="position:absolute;mso-position-horizontal-relative:page;mso-position-vertical-relative:paragraph;z-index:15905280" from="62.854pt,4.296267pt" to="58.52pt,4.296267pt" stroked="true" strokeweight=".5pt" strokecolor="#000000">
            <v:stroke dashstyle="solid"/>
            <w10:wrap type="none"/>
          </v:line>
        </w:pict>
      </w:r>
      <w:r>
        <w:rPr>
          <w:sz w:val="12"/>
        </w:rPr>
        <w:t>13.0</w:t>
      </w:r>
    </w:p>
    <w:p>
      <w:pPr>
        <w:pStyle w:val="BodyText"/>
        <w:rPr>
          <w:sz w:val="12"/>
        </w:rPr>
      </w:pPr>
    </w:p>
    <w:p>
      <w:pPr>
        <w:spacing w:before="81"/>
        <w:ind w:left="250" w:right="0" w:firstLine="0"/>
        <w:jc w:val="left"/>
        <w:rPr>
          <w:sz w:val="12"/>
        </w:rPr>
      </w:pPr>
      <w:r>
        <w:rPr/>
        <w:pict>
          <v:line style="position:absolute;mso-position-horizontal-relative:page;mso-position-vertical-relative:paragraph;z-index:15903232" from="62.854pt,7.610084pt" to="58.52pt,7.610084pt" stroked="true" strokeweight=".5pt" strokecolor="#000000">
            <v:stroke dashstyle="solid"/>
            <w10:wrap type="none"/>
          </v:line>
        </w:pict>
      </w:r>
      <w:r>
        <w:rPr>
          <w:sz w:val="12"/>
        </w:rPr>
        <w:t>12.5</w:t>
      </w:r>
    </w:p>
    <w:p>
      <w:pPr>
        <w:pStyle w:val="BodyText"/>
        <w:rPr>
          <w:sz w:val="12"/>
        </w:rPr>
      </w:pPr>
    </w:p>
    <w:p>
      <w:pPr>
        <w:spacing w:before="82"/>
        <w:ind w:left="250" w:right="0" w:firstLine="0"/>
        <w:jc w:val="left"/>
        <w:rPr>
          <w:sz w:val="12"/>
        </w:rPr>
      </w:pPr>
      <w:r>
        <w:rPr/>
        <w:pict>
          <v:line style="position:absolute;mso-position-horizontal-relative:page;mso-position-vertical-relative:paragraph;z-index:15905792" from="62.854pt,8.053901pt" to="58.52pt,8.053901pt" stroked="true" strokeweight=".5pt" strokecolor="#000000">
            <v:stroke dashstyle="solid"/>
            <w10:wrap type="none"/>
          </v:line>
        </w:pict>
      </w:r>
      <w:r>
        <w:rPr>
          <w:sz w:val="12"/>
        </w:rPr>
        <w:t>12.0</w:t>
      </w:r>
    </w:p>
    <w:p>
      <w:pPr>
        <w:pStyle w:val="BodyText"/>
        <w:rPr>
          <w:sz w:val="12"/>
        </w:rPr>
      </w:pPr>
    </w:p>
    <w:p>
      <w:pPr>
        <w:spacing w:before="79"/>
        <w:ind w:left="250" w:right="0" w:firstLine="0"/>
        <w:jc w:val="left"/>
        <w:rPr>
          <w:sz w:val="12"/>
        </w:rPr>
      </w:pPr>
      <w:r>
        <w:rPr/>
        <w:pict>
          <v:line style="position:absolute;mso-position-horizontal-relative:page;mso-position-vertical-relative:paragraph;z-index:15903744" from="62.854pt,7.593084pt" to="58.52pt,7.593084pt" stroked="true" strokeweight=".5pt" strokecolor="#000000">
            <v:stroke dashstyle="solid"/>
            <w10:wrap type="none"/>
          </v:line>
        </w:pict>
      </w:r>
      <w:r>
        <w:rPr>
          <w:sz w:val="12"/>
        </w:rPr>
        <w:t>11.5</w:t>
      </w:r>
    </w:p>
    <w:p>
      <w:pPr>
        <w:pStyle w:val="BodyText"/>
        <w:rPr>
          <w:sz w:val="12"/>
        </w:rPr>
      </w:pPr>
    </w:p>
    <w:p>
      <w:pPr>
        <w:spacing w:before="94"/>
        <w:ind w:left="250" w:right="0" w:firstLine="0"/>
        <w:jc w:val="left"/>
        <w:rPr>
          <w:sz w:val="12"/>
        </w:rPr>
      </w:pPr>
      <w:r>
        <w:rPr/>
        <w:pict>
          <v:line style="position:absolute;mso-position-horizontal-relative:page;mso-position-vertical-relative:paragraph;z-index:15904256" from="62.854pt,8.113267pt" to="58.52pt,8.113267pt" stroked="true" strokeweight=".5pt" strokecolor="#000000">
            <v:stroke dashstyle="solid"/>
            <w10:wrap type="none"/>
          </v:line>
        </w:pict>
      </w:r>
      <w:r>
        <w:rPr>
          <w:sz w:val="12"/>
        </w:rPr>
        <w:t>11.0</w:t>
      </w:r>
    </w:p>
    <w:p>
      <w:pPr>
        <w:pStyle w:val="BodyText"/>
        <w:rPr>
          <w:sz w:val="12"/>
        </w:rPr>
      </w:pPr>
    </w:p>
    <w:p>
      <w:pPr>
        <w:spacing w:before="81"/>
        <w:ind w:left="250" w:right="0" w:firstLine="0"/>
        <w:jc w:val="left"/>
        <w:rPr>
          <w:sz w:val="12"/>
        </w:rPr>
      </w:pPr>
      <w:r>
        <w:rPr/>
        <w:pict>
          <v:line style="position:absolute;mso-position-horizontal-relative:page;mso-position-vertical-relative:paragraph;z-index:15906304" from="62.854pt,7.671084pt" to="58.52pt,7.671084pt" stroked="true" strokeweight=".5pt" strokecolor="#000000">
            <v:stroke dashstyle="solid"/>
            <w10:wrap type="none"/>
          </v:line>
        </w:pict>
      </w:r>
      <w:r>
        <w:rPr>
          <w:sz w:val="12"/>
        </w:rPr>
        <w:t>10.5</w:t>
      </w:r>
    </w:p>
    <w:p>
      <w:pPr>
        <w:pStyle w:val="BodyText"/>
        <w:rPr>
          <w:sz w:val="12"/>
        </w:rPr>
      </w:pPr>
    </w:p>
    <w:p>
      <w:pPr>
        <w:spacing w:before="82"/>
        <w:ind w:left="250" w:right="0" w:firstLine="0"/>
        <w:jc w:val="left"/>
        <w:rPr>
          <w:sz w:val="12"/>
        </w:rPr>
      </w:pPr>
      <w:r>
        <w:rPr/>
        <w:pict>
          <v:line style="position:absolute;mso-position-horizontal-relative:page;mso-position-vertical-relative:paragraph;z-index:15904768" from="62.854pt,7.970901pt" to="58.52pt,7.970901pt" stroked="true" strokeweight=".5pt" strokecolor="#000000">
            <v:stroke dashstyle="solid"/>
            <w10:wrap type="none"/>
          </v:line>
        </w:pict>
      </w:r>
      <w:r>
        <w:rPr>
          <w:sz w:val="12"/>
        </w:rPr>
        <w:t>10.0</w:t>
      </w:r>
    </w:p>
    <w:p>
      <w:pPr>
        <w:pStyle w:val="BodyText"/>
        <w:rPr>
          <w:sz w:val="22"/>
        </w:rPr>
      </w:pPr>
      <w:r>
        <w:rPr/>
        <w:br w:type="column"/>
      </w:r>
      <w:r>
        <w:rPr>
          <w:sz w:val="22"/>
        </w:rPr>
      </w:r>
    </w:p>
    <w:p>
      <w:pPr>
        <w:pStyle w:val="BodyText"/>
        <w:rPr>
          <w:sz w:val="22"/>
        </w:rPr>
      </w:pPr>
    </w:p>
    <w:p>
      <w:pPr>
        <w:pStyle w:val="BodyText"/>
        <w:spacing w:before="4"/>
        <w:rPr>
          <w:sz w:val="27"/>
        </w:rPr>
      </w:pPr>
    </w:p>
    <w:p>
      <w:pPr>
        <w:spacing w:before="1"/>
        <w:ind w:left="5" w:right="0" w:firstLine="0"/>
        <w:jc w:val="left"/>
        <w:rPr>
          <w:sz w:val="12"/>
        </w:rPr>
      </w:pPr>
      <w:r>
        <w:rPr>
          <w:sz w:val="12"/>
        </w:rPr>
        <w:t>Percentage change on a year earlier</w:t>
      </w:r>
      <w:r>
        <w:rPr>
          <w:spacing w:val="25"/>
          <w:sz w:val="12"/>
        </w:rPr>
        <w:t> </w:t>
      </w:r>
      <w:r>
        <w:rPr>
          <w:position w:val="-8"/>
          <w:sz w:val="12"/>
        </w:rPr>
        <w:t>14</w:t>
      </w:r>
    </w:p>
    <w:p>
      <w:pPr>
        <w:spacing w:before="154"/>
        <w:ind w:left="0" w:right="38" w:firstLine="0"/>
        <w:jc w:val="right"/>
        <w:rPr>
          <w:sz w:val="12"/>
        </w:rPr>
      </w:pPr>
      <w:r>
        <w:rPr/>
        <w:pict>
          <v:line style="position:absolute;mso-position-horizontal-relative:page;mso-position-vertical-relative:paragraph;z-index:-22746112" from="221.686997pt,-3.001038pt" to="217.352997pt,-3.001038pt" stroked="true" strokeweight=".5pt" strokecolor="#000000">
            <v:stroke dashstyle="solid"/>
            <w10:wrap type="none"/>
          </v:line>
        </w:pict>
      </w:r>
      <w:r>
        <w:rPr/>
        <w:pict>
          <v:line style="position:absolute;mso-position-horizontal-relative:page;mso-position-vertical-relative:paragraph;z-index:15907328" from="221.686997pt,10.707962pt" to="217.352997pt,10.707962pt" stroked="true" strokeweight=".5pt" strokecolor="#000000">
            <v:stroke dashstyle="solid"/>
            <w10:wrap type="none"/>
          </v:line>
        </w:pict>
      </w:r>
      <w:r>
        <w:rPr>
          <w:sz w:val="12"/>
        </w:rPr>
        <w:t>12</w:t>
      </w:r>
    </w:p>
    <w:p>
      <w:pPr>
        <w:pStyle w:val="BodyText"/>
        <w:spacing w:before="4"/>
        <w:rPr>
          <w:sz w:val="12"/>
        </w:rPr>
      </w:pPr>
    </w:p>
    <w:p>
      <w:pPr>
        <w:spacing w:before="0"/>
        <w:ind w:left="0" w:right="38" w:firstLine="0"/>
        <w:jc w:val="right"/>
        <w:rPr>
          <w:sz w:val="12"/>
        </w:rPr>
      </w:pPr>
      <w:r>
        <w:rPr/>
        <w:pict>
          <v:line style="position:absolute;mso-position-horizontal-relative:page;mso-position-vertical-relative:paragraph;z-index:15909888" from="221.686997pt,3.528145pt" to="217.352997pt,3.528145pt" stroked="true" strokeweight=".5pt" strokecolor="#000000">
            <v:stroke dashstyle="solid"/>
            <w10:wrap type="none"/>
          </v:line>
        </w:pict>
      </w:r>
      <w:r>
        <w:rPr>
          <w:sz w:val="12"/>
        </w:rPr>
        <w:t>10</w:t>
      </w:r>
    </w:p>
    <w:p>
      <w:pPr>
        <w:pStyle w:val="BodyText"/>
        <w:spacing w:before="5"/>
        <w:rPr>
          <w:sz w:val="13"/>
        </w:rPr>
      </w:pPr>
    </w:p>
    <w:p>
      <w:pPr>
        <w:spacing w:before="0"/>
        <w:ind w:left="0" w:right="38" w:firstLine="0"/>
        <w:jc w:val="right"/>
        <w:rPr>
          <w:sz w:val="12"/>
        </w:rPr>
      </w:pPr>
      <w:r>
        <w:rPr/>
        <w:pict>
          <v:line style="position:absolute;mso-position-horizontal-relative:page;mso-position-vertical-relative:paragraph;z-index:15911424" from="221.686997pt,3.737145pt" to="217.352997pt,3.737145pt" stroked="true" strokeweight=".5pt" strokecolor="#000000">
            <v:stroke dashstyle="solid"/>
            <w10:wrap type="none"/>
          </v:line>
        </w:pict>
      </w:r>
      <w:r>
        <w:rPr>
          <w:sz w:val="12"/>
        </w:rPr>
        <w:t>8</w:t>
      </w:r>
    </w:p>
    <w:p>
      <w:pPr>
        <w:pStyle w:val="BodyText"/>
        <w:spacing w:before="4"/>
        <w:rPr>
          <w:sz w:val="12"/>
        </w:rPr>
      </w:pPr>
    </w:p>
    <w:p>
      <w:pPr>
        <w:spacing w:before="0"/>
        <w:ind w:left="0" w:right="38" w:firstLine="0"/>
        <w:jc w:val="right"/>
        <w:rPr>
          <w:sz w:val="12"/>
        </w:rPr>
      </w:pPr>
      <w:r>
        <w:rPr/>
        <w:pict>
          <v:line style="position:absolute;mso-position-horizontal-relative:page;mso-position-vertical-relative:paragraph;z-index:15907840" from="221.686997pt,3.841389pt" to="217.352997pt,3.841389pt" stroked="true" strokeweight=".5pt" strokecolor="#000000">
            <v:stroke dashstyle="solid"/>
            <w10:wrap type="none"/>
          </v:line>
        </w:pict>
      </w:r>
      <w:r>
        <w:rPr>
          <w:sz w:val="12"/>
        </w:rPr>
        <w:t>6</w:t>
      </w:r>
    </w:p>
    <w:p>
      <w:pPr>
        <w:pStyle w:val="BodyText"/>
        <w:spacing w:before="8"/>
        <w:rPr>
          <w:sz w:val="13"/>
        </w:rPr>
      </w:pPr>
    </w:p>
    <w:p>
      <w:pPr>
        <w:spacing w:before="0"/>
        <w:ind w:left="0" w:right="38" w:firstLine="0"/>
        <w:jc w:val="right"/>
        <w:rPr>
          <w:sz w:val="12"/>
        </w:rPr>
      </w:pPr>
      <w:r>
        <w:rPr/>
        <w:pict>
          <v:line style="position:absolute;mso-position-horizontal-relative:page;mso-position-vertical-relative:paragraph;z-index:15910400" from="221.686997pt,3.861572pt" to="217.352997pt,3.861572pt" stroked="true" strokeweight=".5pt" strokecolor="#000000">
            <v:stroke dashstyle="solid"/>
            <w10:wrap type="none"/>
          </v:line>
        </w:pict>
      </w:r>
      <w:r>
        <w:rPr>
          <w:sz w:val="12"/>
        </w:rPr>
        <w:t>4</w:t>
      </w:r>
    </w:p>
    <w:p>
      <w:pPr>
        <w:pStyle w:val="BodyText"/>
        <w:spacing w:before="5"/>
        <w:rPr>
          <w:sz w:val="13"/>
        </w:rPr>
      </w:pPr>
    </w:p>
    <w:p>
      <w:pPr>
        <w:spacing w:line="108" w:lineRule="exact" w:before="0"/>
        <w:ind w:left="1822" w:right="0" w:firstLine="0"/>
        <w:jc w:val="left"/>
        <w:rPr>
          <w:sz w:val="12"/>
        </w:rPr>
      </w:pPr>
      <w:r>
        <w:rPr/>
        <w:pict>
          <v:line style="position:absolute;mso-position-horizontal-relative:page;mso-position-vertical-relative:paragraph;z-index:15908352" from="221.686997pt,3.674572pt" to="217.352997pt,3.674572pt" stroked="true" strokeweight=".5pt" strokecolor="#000000">
            <v:stroke dashstyle="solid"/>
            <w10:wrap type="none"/>
          </v:line>
        </w:pict>
      </w:r>
      <w:r>
        <w:rPr>
          <w:sz w:val="12"/>
        </w:rPr>
        <w:t>2</w:t>
      </w:r>
    </w:p>
    <w:p>
      <w:pPr>
        <w:spacing w:line="154" w:lineRule="exact" w:before="0"/>
        <w:ind w:left="1682" w:right="0" w:firstLine="0"/>
        <w:jc w:val="left"/>
        <w:rPr>
          <w:sz w:val="16"/>
        </w:rPr>
      </w:pPr>
      <w:r>
        <w:rPr>
          <w:sz w:val="16"/>
        </w:rPr>
        <w:t>+</w:t>
      </w:r>
    </w:p>
    <w:p>
      <w:pPr>
        <w:spacing w:line="118" w:lineRule="exact" w:before="18"/>
        <w:ind w:left="1822" w:right="0" w:firstLine="0"/>
        <w:jc w:val="left"/>
        <w:rPr>
          <w:sz w:val="12"/>
        </w:rPr>
      </w:pPr>
      <w:r>
        <w:rPr/>
        <w:pict>
          <v:line style="position:absolute;mso-position-horizontal-relative:page;mso-position-vertical-relative:paragraph;z-index:15911936" from="221.686997pt,4.470756pt" to="217.352997pt,4.470756pt" stroked="true" strokeweight=".5pt" strokecolor="#000000">
            <v:stroke dashstyle="solid"/>
            <w10:wrap type="none"/>
          </v:line>
        </w:pict>
      </w:r>
      <w:r>
        <w:rPr>
          <w:sz w:val="12"/>
        </w:rPr>
        <w:t>0</w:t>
      </w:r>
    </w:p>
    <w:p>
      <w:pPr>
        <w:spacing w:line="164" w:lineRule="exact" w:before="0"/>
        <w:ind w:left="1682" w:right="0" w:firstLine="0"/>
        <w:jc w:val="left"/>
        <w:rPr>
          <w:sz w:val="16"/>
        </w:rPr>
      </w:pPr>
      <w:r>
        <w:rPr>
          <w:sz w:val="16"/>
        </w:rPr>
        <w:t>–</w:t>
      </w:r>
    </w:p>
    <w:p>
      <w:pPr>
        <w:spacing w:before="11"/>
        <w:ind w:left="0" w:right="38" w:firstLine="0"/>
        <w:jc w:val="right"/>
        <w:rPr>
          <w:sz w:val="12"/>
        </w:rPr>
      </w:pPr>
      <w:r>
        <w:rPr/>
        <w:pict>
          <v:line style="position:absolute;mso-position-horizontal-relative:page;mso-position-vertical-relative:paragraph;z-index:15908864" from="221.686997pt,4.370755pt" to="217.352997pt,4.370755pt" stroked="true" strokeweight=".5pt" strokecolor="#000000">
            <v:stroke dashstyle="solid"/>
            <w10:wrap type="none"/>
          </v:line>
        </w:pict>
      </w:r>
      <w:r>
        <w:rPr>
          <w:sz w:val="12"/>
        </w:rPr>
        <w:t>2</w:t>
      </w:r>
    </w:p>
    <w:p>
      <w:pPr>
        <w:pStyle w:val="BodyText"/>
        <w:spacing w:before="6"/>
        <w:rPr>
          <w:sz w:val="12"/>
        </w:rPr>
      </w:pPr>
    </w:p>
    <w:p>
      <w:pPr>
        <w:spacing w:before="0"/>
        <w:ind w:left="0" w:right="38" w:firstLine="0"/>
        <w:jc w:val="right"/>
        <w:rPr>
          <w:sz w:val="12"/>
        </w:rPr>
      </w:pPr>
      <w:r>
        <w:rPr/>
        <w:pict>
          <v:line style="position:absolute;mso-position-horizontal-relative:page;mso-position-vertical-relative:paragraph;z-index:15910912" from="221.686997pt,3.278572pt" to="217.352997pt,3.278572pt" stroked="true" strokeweight=".5pt" strokecolor="#000000">
            <v:stroke dashstyle="solid"/>
            <w10:wrap type="none"/>
          </v:line>
        </w:pict>
      </w:r>
      <w:r>
        <w:rPr>
          <w:sz w:val="12"/>
        </w:rPr>
        <w:t>4</w:t>
      </w:r>
    </w:p>
    <w:p>
      <w:pPr>
        <w:pStyle w:val="BodyText"/>
        <w:spacing w:before="5"/>
        <w:rPr>
          <w:sz w:val="13"/>
        </w:rPr>
      </w:pPr>
    </w:p>
    <w:p>
      <w:pPr>
        <w:spacing w:before="1"/>
        <w:ind w:left="0" w:right="38" w:firstLine="0"/>
        <w:jc w:val="right"/>
        <w:rPr>
          <w:sz w:val="12"/>
        </w:rPr>
      </w:pPr>
      <w:r>
        <w:rPr/>
        <w:pict>
          <v:line style="position:absolute;mso-position-horizontal-relative:page;mso-position-vertical-relative:paragraph;z-index:15909376" from="221.686997pt,3.921572pt" to="217.352997pt,3.921572pt" stroked="true" strokeweight=".5pt" strokecolor="#000000">
            <v:stroke dashstyle="solid"/>
            <w10:wrap type="none"/>
          </v:line>
        </w:pict>
      </w:r>
      <w:r>
        <w:rPr>
          <w:sz w:val="12"/>
        </w:rPr>
        <w:t>6</w:t>
      </w:r>
    </w:p>
    <w:p>
      <w:pPr>
        <w:pStyle w:val="BodyText"/>
        <w:spacing w:line="242" w:lineRule="auto" w:before="227"/>
        <w:ind w:left="184" w:right="236"/>
        <w:rPr>
          <w:sz w:val="16"/>
        </w:rPr>
      </w:pPr>
      <w:r>
        <w:rPr/>
        <w:br w:type="column"/>
      </w:r>
      <w:r>
        <w:rPr/>
        <w:t>trading profits of non-oil private non-financial corporations rose by 1.3% on the quarter and were 8.2% higher than a year earlier (see Chart 2.12).</w:t>
      </w:r>
      <w:r>
        <w:rPr>
          <w:position w:val="5"/>
          <w:sz w:val="16"/>
        </w:rPr>
        <w:t>(1)</w:t>
      </w:r>
    </w:p>
    <w:p>
      <w:pPr>
        <w:pStyle w:val="BodyText"/>
        <w:spacing w:before="10"/>
        <w:rPr>
          <w:sz w:val="20"/>
        </w:rPr>
      </w:pPr>
    </w:p>
    <w:p>
      <w:pPr>
        <w:pStyle w:val="BodyText"/>
        <w:spacing w:line="280" w:lineRule="atLeast"/>
        <w:ind w:left="184" w:right="217"/>
      </w:pPr>
      <w:r>
        <w:rPr/>
        <w:t>Looking</w:t>
      </w:r>
      <w:r>
        <w:rPr>
          <w:spacing w:val="-10"/>
        </w:rPr>
        <w:t> </w:t>
      </w:r>
      <w:r>
        <w:rPr/>
        <w:t>forward,</w:t>
      </w:r>
      <w:r>
        <w:rPr>
          <w:spacing w:val="-9"/>
        </w:rPr>
        <w:t> </w:t>
      </w:r>
      <w:r>
        <w:rPr/>
        <w:t>lower</w:t>
      </w:r>
      <w:r>
        <w:rPr>
          <w:spacing w:val="-9"/>
        </w:rPr>
        <w:t> </w:t>
      </w:r>
      <w:r>
        <w:rPr/>
        <w:t>corporate</w:t>
      </w:r>
      <w:r>
        <w:rPr>
          <w:spacing w:val="-10"/>
        </w:rPr>
        <w:t> </w:t>
      </w:r>
      <w:r>
        <w:rPr/>
        <w:t>profit</w:t>
      </w:r>
      <w:r>
        <w:rPr>
          <w:spacing w:val="-9"/>
        </w:rPr>
        <w:t> </w:t>
      </w:r>
      <w:r>
        <w:rPr/>
        <w:t>expectations</w:t>
      </w:r>
      <w:r>
        <w:rPr>
          <w:spacing w:val="-9"/>
        </w:rPr>
        <w:t> </w:t>
      </w:r>
      <w:r>
        <w:rPr/>
        <w:t>(as measured, for example by the Merrill </w:t>
      </w:r>
      <w:r>
        <w:rPr>
          <w:spacing w:val="-4"/>
        </w:rPr>
        <w:t>Lynch </w:t>
      </w:r>
      <w:r>
        <w:rPr/>
        <w:t>Fund Manager and Euler </w:t>
      </w:r>
      <w:r>
        <w:rPr>
          <w:spacing w:val="-3"/>
        </w:rPr>
        <w:t>Trade </w:t>
      </w:r>
      <w:r>
        <w:rPr/>
        <w:t>Indemnity Quarterly Financial </w:t>
      </w:r>
      <w:r>
        <w:rPr>
          <w:spacing w:val="-3"/>
        </w:rPr>
        <w:t>Trends </w:t>
      </w:r>
      <w:r>
        <w:rPr/>
        <w:t>surveys), and broadly flat equity prices perhaps point to slower profit growth. By contrast, the latest BCC quarterly economic survey reported that profit expectations had risen further in the manufacturing sector and remained at high </w:t>
      </w:r>
      <w:r>
        <w:rPr>
          <w:spacing w:val="-3"/>
        </w:rPr>
        <w:t>levels </w:t>
      </w:r>
      <w:r>
        <w:rPr/>
        <w:t>in the service sector (see Chart 2.13). Overall </w:t>
      </w:r>
      <w:r>
        <w:rPr>
          <w:spacing w:val="-3"/>
        </w:rPr>
        <w:t>investment </w:t>
      </w:r>
      <w:r>
        <w:rPr/>
        <w:t>intentions in the BCC</w:t>
      </w:r>
      <w:r>
        <w:rPr>
          <w:spacing w:val="-7"/>
        </w:rPr>
        <w:t> </w:t>
      </w:r>
      <w:r>
        <w:rPr/>
        <w:t>survey</w:t>
      </w:r>
      <w:r>
        <w:rPr>
          <w:spacing w:val="-6"/>
        </w:rPr>
        <w:t> </w:t>
      </w:r>
      <w:r>
        <w:rPr/>
        <w:t>were</w:t>
      </w:r>
      <w:r>
        <w:rPr>
          <w:spacing w:val="-7"/>
        </w:rPr>
        <w:t> </w:t>
      </w:r>
      <w:r>
        <w:rPr/>
        <w:t>robust</w:t>
      </w:r>
      <w:r>
        <w:rPr>
          <w:spacing w:val="-6"/>
        </w:rPr>
        <w:t> </w:t>
      </w:r>
      <w:r>
        <w:rPr/>
        <w:t>and</w:t>
      </w:r>
      <w:r>
        <w:rPr>
          <w:spacing w:val="-7"/>
        </w:rPr>
        <w:t> </w:t>
      </w:r>
      <w:r>
        <w:rPr/>
        <w:t>considerably</w:t>
      </w:r>
      <w:r>
        <w:rPr>
          <w:spacing w:val="-6"/>
        </w:rPr>
        <w:t> </w:t>
      </w:r>
      <w:r>
        <w:rPr/>
        <w:t>stronger</w:t>
      </w:r>
      <w:r>
        <w:rPr>
          <w:spacing w:val="-6"/>
        </w:rPr>
        <w:t> </w:t>
      </w:r>
      <w:r>
        <w:rPr/>
        <w:t>than</w:t>
      </w:r>
    </w:p>
    <w:p>
      <w:pPr>
        <w:spacing w:after="0" w:line="280" w:lineRule="atLeast"/>
        <w:sectPr>
          <w:type w:val="continuous"/>
          <w:pgSz w:w="11900" w:h="16840"/>
          <w:pgMar w:top="1260" w:bottom="280" w:left="640" w:right="640"/>
          <w:cols w:num="3" w:equalWidth="0">
            <w:col w:w="2056" w:space="40"/>
            <w:col w:w="1923" w:space="756"/>
            <w:col w:w="5845"/>
          </w:cols>
        </w:sectPr>
      </w:pPr>
    </w:p>
    <w:p>
      <w:pPr>
        <w:tabs>
          <w:tab w:pos="1447" w:val="left" w:leader="none"/>
          <w:tab w:pos="2010" w:val="left" w:leader="none"/>
          <w:tab w:pos="2552" w:val="left" w:leader="none"/>
          <w:tab w:pos="3117" w:val="left" w:leader="none"/>
          <w:tab w:pos="3467" w:val="left" w:leader="none"/>
        </w:tabs>
        <w:spacing w:line="21" w:lineRule="exact" w:before="0"/>
        <w:ind w:left="815" w:right="0" w:firstLine="0"/>
        <w:jc w:val="left"/>
        <w:rPr>
          <w:sz w:val="12"/>
        </w:rPr>
      </w:pPr>
      <w:r>
        <w:rPr>
          <w:sz w:val="12"/>
        </w:rPr>
        <w:t>1995</w:t>
        <w:tab/>
        <w:t>96</w:t>
        <w:tab/>
        <w:t>97</w:t>
        <w:tab/>
        <w:t>98</w:t>
        <w:tab/>
        <w:t>99</w:t>
        <w:tab/>
        <w:t>2000</w:t>
      </w:r>
    </w:p>
    <w:p>
      <w:pPr>
        <w:pStyle w:val="BodyText"/>
        <w:spacing w:before="4"/>
        <w:rPr>
          <w:sz w:val="14"/>
        </w:rPr>
      </w:pPr>
    </w:p>
    <w:p>
      <w:pPr>
        <w:pStyle w:val="ListParagraph"/>
        <w:numPr>
          <w:ilvl w:val="0"/>
          <w:numId w:val="18"/>
        </w:numPr>
        <w:tabs>
          <w:tab w:pos="425" w:val="left" w:leader="none"/>
        </w:tabs>
        <w:spacing w:line="208" w:lineRule="auto" w:before="0" w:after="0"/>
        <w:ind w:left="424" w:right="38" w:hanging="240"/>
        <w:jc w:val="left"/>
        <w:rPr>
          <w:sz w:val="12"/>
        </w:rPr>
      </w:pPr>
      <w:r>
        <w:rPr>
          <w:sz w:val="12"/>
        </w:rPr>
        <w:t>Private</w:t>
      </w:r>
      <w:r>
        <w:rPr>
          <w:spacing w:val="-9"/>
          <w:sz w:val="12"/>
        </w:rPr>
        <w:t> </w:t>
      </w:r>
      <w:r>
        <w:rPr>
          <w:sz w:val="12"/>
        </w:rPr>
        <w:t>non-financial</w:t>
      </w:r>
      <w:r>
        <w:rPr>
          <w:spacing w:val="-8"/>
          <w:sz w:val="12"/>
        </w:rPr>
        <w:t> </w:t>
      </w:r>
      <w:r>
        <w:rPr>
          <w:sz w:val="12"/>
        </w:rPr>
        <w:t>corporations</w:t>
      </w:r>
      <w:r>
        <w:rPr>
          <w:spacing w:val="-8"/>
          <w:sz w:val="12"/>
        </w:rPr>
        <w:t> </w:t>
      </w:r>
      <w:r>
        <w:rPr>
          <w:sz w:val="12"/>
        </w:rPr>
        <w:t>excluding</w:t>
      </w:r>
      <w:r>
        <w:rPr>
          <w:spacing w:val="-8"/>
          <w:sz w:val="12"/>
        </w:rPr>
        <w:t> </w:t>
      </w:r>
      <w:r>
        <w:rPr>
          <w:sz w:val="12"/>
        </w:rPr>
        <w:t>companies</w:t>
      </w:r>
      <w:r>
        <w:rPr>
          <w:spacing w:val="-8"/>
          <w:sz w:val="12"/>
        </w:rPr>
        <w:t> </w:t>
      </w:r>
      <w:r>
        <w:rPr>
          <w:sz w:val="12"/>
        </w:rPr>
        <w:t>operating</w:t>
      </w:r>
      <w:r>
        <w:rPr>
          <w:spacing w:val="-8"/>
          <w:sz w:val="12"/>
        </w:rPr>
        <w:t> </w:t>
      </w:r>
      <w:r>
        <w:rPr>
          <w:sz w:val="12"/>
        </w:rPr>
        <w:t>on</w:t>
      </w:r>
      <w:r>
        <w:rPr>
          <w:spacing w:val="-8"/>
          <w:sz w:val="12"/>
        </w:rPr>
        <w:t> </w:t>
      </w:r>
      <w:r>
        <w:rPr>
          <w:sz w:val="12"/>
        </w:rPr>
        <w:t>the UK continental</w:t>
      </w:r>
      <w:r>
        <w:rPr>
          <w:spacing w:val="-3"/>
          <w:sz w:val="12"/>
        </w:rPr>
        <w:t> </w:t>
      </w:r>
      <w:r>
        <w:rPr>
          <w:sz w:val="12"/>
        </w:rPr>
        <w:t>shelf.</w:t>
      </w:r>
    </w:p>
    <w:p>
      <w:pPr>
        <w:pStyle w:val="ListParagraph"/>
        <w:numPr>
          <w:ilvl w:val="0"/>
          <w:numId w:val="18"/>
        </w:numPr>
        <w:tabs>
          <w:tab w:pos="425" w:val="left" w:leader="none"/>
        </w:tabs>
        <w:spacing w:line="123" w:lineRule="exact" w:before="0" w:after="0"/>
        <w:ind w:left="424" w:right="0" w:hanging="241"/>
        <w:jc w:val="left"/>
        <w:rPr>
          <w:sz w:val="12"/>
        </w:rPr>
      </w:pPr>
      <w:r>
        <w:rPr>
          <w:sz w:val="12"/>
        </w:rPr>
        <w:t>Excluding statistical alignment</w:t>
      </w:r>
      <w:r>
        <w:rPr>
          <w:spacing w:val="-6"/>
          <w:sz w:val="12"/>
        </w:rPr>
        <w:t> </w:t>
      </w:r>
      <w:r>
        <w:rPr>
          <w:sz w:val="12"/>
        </w:rPr>
        <w:t>adjustment.</w:t>
      </w:r>
    </w:p>
    <w:p>
      <w:pPr>
        <w:pStyle w:val="BodyText"/>
        <w:rPr>
          <w:sz w:val="12"/>
        </w:rPr>
      </w:pPr>
    </w:p>
    <w:p>
      <w:pPr>
        <w:pStyle w:val="BodyText"/>
        <w:rPr>
          <w:sz w:val="12"/>
        </w:rPr>
      </w:pPr>
    </w:p>
    <w:p>
      <w:pPr>
        <w:pStyle w:val="BodyText"/>
        <w:rPr>
          <w:sz w:val="12"/>
        </w:rPr>
      </w:pPr>
    </w:p>
    <w:p>
      <w:pPr>
        <w:pStyle w:val="BodyText"/>
        <w:spacing w:before="6"/>
        <w:rPr>
          <w:sz w:val="9"/>
        </w:rPr>
      </w:pPr>
    </w:p>
    <w:p>
      <w:pPr>
        <w:spacing w:before="0"/>
        <w:ind w:left="175" w:right="0" w:firstLine="0"/>
        <w:jc w:val="left"/>
        <w:rPr>
          <w:b/>
          <w:sz w:val="20"/>
        </w:rPr>
      </w:pPr>
      <w:r>
        <w:rPr>
          <w:b/>
          <w:color w:val="0092C7"/>
          <w:sz w:val="20"/>
        </w:rPr>
        <w:t>Chart 2.13</w:t>
      </w:r>
    </w:p>
    <w:p>
      <w:pPr>
        <w:spacing w:before="10"/>
        <w:ind w:left="175" w:right="0" w:firstLine="0"/>
        <w:jc w:val="left"/>
        <w:rPr>
          <w:b/>
          <w:sz w:val="20"/>
        </w:rPr>
      </w:pPr>
      <w:r>
        <w:rPr>
          <w:b/>
          <w:color w:val="0092C7"/>
          <w:sz w:val="20"/>
        </w:rPr>
        <w:t>Influences on investment</w:t>
      </w:r>
    </w:p>
    <w:p>
      <w:pPr>
        <w:spacing w:line="183" w:lineRule="exact" w:before="74"/>
        <w:ind w:left="212" w:right="0" w:firstLine="0"/>
        <w:jc w:val="left"/>
        <w:rPr>
          <w:b/>
          <w:sz w:val="16"/>
        </w:rPr>
      </w:pPr>
      <w:r>
        <w:rPr>
          <w:b/>
          <w:sz w:val="16"/>
        </w:rPr>
        <w:t>Manufacturing</w:t>
      </w:r>
    </w:p>
    <w:p>
      <w:pPr>
        <w:spacing w:line="127" w:lineRule="exact" w:before="0"/>
        <w:ind w:left="3123" w:right="0" w:firstLine="0"/>
        <w:jc w:val="left"/>
        <w:rPr>
          <w:sz w:val="12"/>
        </w:rPr>
      </w:pPr>
      <w:r>
        <w:rPr>
          <w:sz w:val="12"/>
        </w:rPr>
        <w:t>Balance</w:t>
      </w:r>
    </w:p>
    <w:p>
      <w:pPr>
        <w:spacing w:line="107" w:lineRule="exact" w:before="0"/>
        <w:ind w:left="3562" w:right="0" w:firstLine="0"/>
        <w:jc w:val="left"/>
        <w:rPr>
          <w:sz w:val="12"/>
        </w:rPr>
      </w:pPr>
      <w:r>
        <w:rPr/>
        <w:pict>
          <v:line style="position:absolute;mso-position-horizontal-relative:page;mso-position-vertical-relative:paragraph;z-index:15894016" from="48.417pt,2.079423pt" to="44.083pt,2.079423pt" stroked="true" strokeweight=".5pt" strokecolor="#000000">
            <v:stroke dashstyle="solid"/>
            <w10:wrap type="none"/>
          </v:line>
        </w:pict>
      </w:r>
      <w:r>
        <w:rPr/>
        <w:pict>
          <v:line style="position:absolute;mso-position-horizontal-relative:page;mso-position-vertical-relative:paragraph;z-index:15897600" from="207.216996pt,2.330423pt" to="202.882996pt,2.330423pt" stroked="true" strokeweight=".5pt" strokecolor="#000000">
            <v:stroke dashstyle="solid"/>
            <w10:wrap type="none"/>
          </v:line>
        </w:pict>
      </w:r>
      <w:r>
        <w:rPr>
          <w:sz w:val="12"/>
        </w:rPr>
        <w:t>60</w:t>
      </w:r>
    </w:p>
    <w:p>
      <w:pPr>
        <w:spacing w:line="118" w:lineRule="exact" w:before="0"/>
        <w:ind w:left="1911" w:right="0" w:firstLine="0"/>
        <w:jc w:val="left"/>
        <w:rPr>
          <w:sz w:val="12"/>
        </w:rPr>
      </w:pPr>
      <w:r>
        <w:rPr/>
        <w:pict>
          <v:group style="position:absolute;margin-left:52.674999pt;margin-top:6.577469pt;width:145.25pt;height:60.65pt;mso-position-horizontal-relative:page;mso-position-vertical-relative:paragraph;z-index:15891456" coordorigin="1053,132" coordsize="2905,1213">
            <v:line style="position:absolute" from="1878,1027" to="1941,1029" stroked="true" strokeweight=".125pt" strokecolor="#000000">
              <v:stroke dashstyle="solid"/>
            </v:line>
            <v:shape style="position:absolute;left:1063;top:701;width:190;height:148" coordorigin="1063,702" coordsize="190,148" path="m1063,702l1128,784m1128,784l1191,774m1191,774l1253,849e" filled="false" stroked="true" strokeweight="1pt" strokecolor="#0099d9">
              <v:path arrowok="t"/>
              <v:stroke dashstyle="solid"/>
            </v:shape>
            <v:line style="position:absolute" from="1243,850" to="1328,850" stroked="true" strokeweight="1.125pt" strokecolor="#0099d9">
              <v:stroke dashstyle="solid"/>
            </v:line>
            <v:shape style="position:absolute;left:1318;top:721;width:875;height:613" coordorigin="1318,722" coordsize="875,613" path="m1318,849l1381,954m1381,954l1446,1027m1446,1027l1508,1187m1508,1187l1561,1334m1561,1334l1623,1259m1623,1259l1688,1164m1688,1164l1751,1059m1751,1059l1813,1082m1813,1082l1878,1007m1878,1007l1941,1059m1941,1059l2003,974m2003,974l2068,859m2068,859l2131,784m2131,784l2193,722e" filled="false" stroked="true" strokeweight="1pt" strokecolor="#0099d9">
              <v:path arrowok="t"/>
              <v:stroke dashstyle="solid"/>
            </v:shape>
            <v:line style="position:absolute" from="2183,723" to="2268,723" stroked="true" strokeweight="1.125pt" strokecolor="#0099d9">
              <v:stroke dashstyle="solid"/>
            </v:line>
            <v:shape style="position:absolute;left:2258;top:554;width:253;height:168" coordorigin="2258,554" coordsize="253,168" path="m2258,722l2321,669m2321,669l2383,627m2383,627l2448,554m2448,554l2511,574e" filled="false" stroked="true" strokeweight="1pt" strokecolor="#0099d9">
              <v:path arrowok="t"/>
              <v:stroke dashstyle="solid"/>
            </v:shape>
            <v:line style="position:absolute" from="2501,575" to="2573,575" stroked="true" strokeweight="1.125pt" strokecolor="#0099d9">
              <v:stroke dashstyle="solid"/>
            </v:line>
            <v:line style="position:absolute" from="2563,574" to="2628,607" stroked="true" strokeweight="1pt" strokecolor="#0099d9">
              <v:stroke dashstyle="solid"/>
            </v:line>
            <v:line style="position:absolute" from="2618,608" to="2701,608" stroked="true" strokeweight="1.125pt" strokecolor="#0099d9">
              <v:stroke dashstyle="solid"/>
            </v:line>
            <v:line style="position:absolute" from="2691,607" to="2753,627" stroked="true" strokeweight="1pt" strokecolor="#0099d9">
              <v:stroke dashstyle="solid"/>
            </v:line>
            <v:line style="position:absolute" from="2743,628" to="2828,628" stroked="true" strokeweight="1.125pt" strokecolor="#0099d9">
              <v:stroke dashstyle="solid"/>
            </v:line>
            <v:shape style="position:absolute;left:2818;top:574;width:570;height:210" coordorigin="2818,574" coordsize="570,210" path="m2818,627l2881,679m2881,679l2943,627m2943,627l3008,702m3008,702l3071,574m3071,574l3133,627m3133,627l3198,669m3198,669l3261,607m3261,607l3323,732m3323,732l3388,784e" filled="false" stroked="true" strokeweight="1pt" strokecolor="#0099d9">
              <v:path arrowok="t"/>
              <v:stroke dashstyle="solid"/>
            </v:shape>
            <v:line style="position:absolute" from="3451,1027" to="3503,1029" stroked="true" strokeweight=".125pt" strokecolor="#000000">
              <v:stroke dashstyle="solid"/>
            </v:line>
            <v:shape style="position:absolute;left:3388;top:731;width:560;height:308" coordorigin="3388,732" coordsize="560,308" path="m3388,784l3451,1027m3451,1027l3503,1039m3503,1039l3566,954m3566,954l3631,974m3631,974l3693,827m3693,827l3756,774m3756,774l3821,859m3821,859l3883,807m3883,807l3948,732e" filled="false" stroked="true" strokeweight="1pt" strokecolor="#0099d9">
              <v:path arrowok="t"/>
              <v:stroke dashstyle="solid"/>
            </v:shape>
            <v:shape style="position:absolute;left:1063;top:321;width:1068;height:813" coordorigin="1063,322" coordsize="1068,813" path="m1063,374l1128,702m1128,702l1191,754m1191,754l1253,784m1253,784l1318,649m1318,649l1381,722m1381,722l1446,1027m1446,1027l1508,1134m1508,1134l1561,1007m1561,1007l1623,974m1623,974l1688,502m1688,502l1751,554m1751,554l1813,574m1813,574l1878,449m1878,449l1941,954m1941,954l2003,679m2003,679l2068,374m2068,374l2131,322e" filled="false" stroked="true" strokeweight="1pt" strokecolor="#acbc4a">
              <v:path arrowok="t"/>
              <v:stroke dashstyle="solid"/>
            </v:shape>
            <v:line style="position:absolute" from="2121,323" to="2203,323" stroked="true" strokeweight="1.125pt" strokecolor="#acbc4a">
              <v:stroke dashstyle="solid"/>
            </v:line>
            <v:shape style="position:absolute;left:2193;top:141;width:1755;height:845" coordorigin="2193,142" coordsize="1755,845" path="m2193,322l2258,227m2258,227l2321,247m2321,247l2383,217m2383,217l2448,142m2448,142l2511,217m2511,217l2563,289m2563,289l2628,394m2628,394l2691,342m2691,342l2753,374m2753,374l2818,302m2818,302l2881,322m2881,322l2943,217m2943,217l3008,164m3008,164l3071,217m3071,217l3133,394m3133,394l3198,427m3198,427l3261,394m3261,394l3323,479m3323,479l3388,649m3388,649l3451,987m3451,987l3503,912m3503,912l3566,702m3566,702l3631,607m3631,607l3693,322m3693,322l3756,217m3756,217l3821,374m3821,374l3883,574m3883,574l3948,479e" filled="false" stroked="true" strokeweight="1pt" strokecolor="#acbc4a">
              <v:path arrowok="t"/>
              <v:stroke dashstyle="solid"/>
            </v:shape>
            <v:shape style="position:absolute;left:1057;top:1029;width:2897;height:2" coordorigin="1057,1030" coordsize="2897,0" path="m3953,1030l1057,1030e" filled="true" fillcolor="#ffffff" stroked="false">
              <v:path arrowok="t"/>
              <v:fill type="solid"/>
            </v:shape>
            <v:line style="position:absolute" from="3953,1030" to="1057,1030" stroked="true" strokeweight=".5pt" strokecolor="#000000">
              <v:stroke dashstyle="solid"/>
            </v:line>
            <v:shape style="position:absolute;left:1721;top:1144;width:1227;height:134" type="#_x0000_t202" filled="false" stroked="false">
              <v:textbox inset="0,0,0,0">
                <w:txbxContent>
                  <w:p>
                    <w:pPr>
                      <w:spacing w:line="133" w:lineRule="exact" w:before="0"/>
                      <w:ind w:left="0" w:right="0" w:firstLine="0"/>
                      <w:jc w:val="left"/>
                      <w:rPr>
                        <w:sz w:val="12"/>
                      </w:rPr>
                    </w:pPr>
                    <w:r>
                      <w:rPr>
                        <w:sz w:val="12"/>
                      </w:rPr>
                      <w:t>Investment intentions (b)</w:t>
                    </w:r>
                  </w:p>
                </w:txbxContent>
              </v:textbox>
              <w10:wrap type="none"/>
            </v:shape>
            <w10:wrap type="none"/>
          </v:group>
        </w:pict>
      </w:r>
      <w:r>
        <w:rPr>
          <w:sz w:val="12"/>
        </w:rPr>
        <w:t>Profit expectations (a)</w:t>
      </w:r>
    </w:p>
    <w:p>
      <w:pPr>
        <w:pStyle w:val="BodyText"/>
        <w:spacing w:before="7"/>
        <w:rPr>
          <w:sz w:val="10"/>
        </w:rPr>
      </w:pPr>
    </w:p>
    <w:p>
      <w:pPr>
        <w:spacing w:before="0"/>
        <w:ind w:left="3562" w:right="0" w:firstLine="0"/>
        <w:jc w:val="left"/>
        <w:rPr>
          <w:sz w:val="12"/>
        </w:rPr>
      </w:pPr>
      <w:r>
        <w:rPr/>
        <w:pict>
          <v:line style="position:absolute;mso-position-horizontal-relative:page;mso-position-vertical-relative:paragraph;z-index:15894528" from="48.417pt,2.463515pt" to="44.083pt,2.463515pt" stroked="true" strokeweight=".5pt" strokecolor="#000000">
            <v:stroke dashstyle="solid"/>
            <w10:wrap type="none"/>
          </v:line>
        </w:pict>
      </w:r>
      <w:r>
        <w:rPr/>
        <w:pict>
          <v:line style="position:absolute;mso-position-horizontal-relative:page;mso-position-vertical-relative:paragraph;z-index:15898112" from="207.216996pt,2.714515pt" to="202.882996pt,2.714515pt" stroked="true" strokeweight=".5pt" strokecolor="#000000">
            <v:stroke dashstyle="solid"/>
            <w10:wrap type="none"/>
          </v:line>
        </w:pict>
      </w:r>
      <w:r>
        <w:rPr>
          <w:sz w:val="12"/>
        </w:rPr>
        <w:t>40</w:t>
      </w:r>
    </w:p>
    <w:p>
      <w:pPr>
        <w:pStyle w:val="BodyText"/>
        <w:rPr>
          <w:sz w:val="12"/>
        </w:rPr>
      </w:pPr>
    </w:p>
    <w:p>
      <w:pPr>
        <w:spacing w:before="94"/>
        <w:ind w:left="3562" w:right="0" w:firstLine="0"/>
        <w:jc w:val="left"/>
        <w:rPr>
          <w:sz w:val="12"/>
        </w:rPr>
      </w:pPr>
      <w:r>
        <w:rPr/>
        <w:pict>
          <v:line style="position:absolute;mso-position-horizontal-relative:page;mso-position-vertical-relative:paragraph;z-index:15895040" from="48.417pt,7.971698pt" to="44.083pt,7.971698pt" stroked="true" strokeweight=".5pt" strokecolor="#000000">
            <v:stroke dashstyle="solid"/>
            <w10:wrap type="none"/>
          </v:line>
        </w:pict>
      </w:r>
      <w:r>
        <w:rPr/>
        <w:pict>
          <v:line style="position:absolute;mso-position-horizontal-relative:page;mso-position-vertical-relative:paragraph;z-index:15898624" from="207.216996pt,8.222698pt" to="202.882996pt,8.222698pt" stroked="true" strokeweight=".5pt" strokecolor="#000000">
            <v:stroke dashstyle="solid"/>
            <w10:wrap type="none"/>
          </v:line>
        </w:pict>
      </w:r>
      <w:r>
        <w:rPr>
          <w:sz w:val="12"/>
        </w:rPr>
        <w:t>20</w:t>
      </w:r>
    </w:p>
    <w:p>
      <w:pPr>
        <w:spacing w:line="148" w:lineRule="exact" w:before="76"/>
        <w:ind w:left="3468" w:right="0" w:firstLine="0"/>
        <w:jc w:val="left"/>
        <w:rPr>
          <w:sz w:val="16"/>
        </w:rPr>
      </w:pPr>
      <w:r>
        <w:rPr/>
        <w:pict>
          <v:line style="position:absolute;mso-position-horizontal-relative:page;mso-position-vertical-relative:paragraph;z-index:15899136" from="207.216996pt,14.085744pt" to="202.882996pt,14.085744pt" stroked="true" strokeweight=".5pt" strokecolor="#000000">
            <v:stroke dashstyle="solid"/>
            <w10:wrap type="none"/>
          </v:line>
        </w:pict>
      </w:r>
      <w:r>
        <w:rPr>
          <w:sz w:val="16"/>
        </w:rPr>
        <w:t>+</w:t>
      </w:r>
    </w:p>
    <w:p>
      <w:pPr>
        <w:pStyle w:val="BodyText"/>
        <w:spacing w:line="242" w:lineRule="auto" w:before="4"/>
        <w:ind w:left="175" w:right="149"/>
      </w:pPr>
      <w:r>
        <w:rPr/>
        <w:br w:type="column"/>
      </w:r>
      <w:r>
        <w:rPr/>
        <w:t>evidence</w:t>
      </w:r>
      <w:r>
        <w:rPr>
          <w:spacing w:val="-7"/>
        </w:rPr>
        <w:t> </w:t>
      </w:r>
      <w:r>
        <w:rPr/>
        <w:t>on</w:t>
      </w:r>
      <w:r>
        <w:rPr>
          <w:spacing w:val="-6"/>
        </w:rPr>
        <w:t> </w:t>
      </w:r>
      <w:r>
        <w:rPr/>
        <w:t>the</w:t>
      </w:r>
      <w:r>
        <w:rPr>
          <w:spacing w:val="-6"/>
        </w:rPr>
        <w:t> </w:t>
      </w:r>
      <w:r>
        <w:rPr/>
        <w:t>manufacturing</w:t>
      </w:r>
      <w:r>
        <w:rPr>
          <w:spacing w:val="-7"/>
        </w:rPr>
        <w:t> </w:t>
      </w:r>
      <w:r>
        <w:rPr/>
        <w:t>sector</w:t>
      </w:r>
      <w:r>
        <w:rPr>
          <w:spacing w:val="-6"/>
        </w:rPr>
        <w:t> </w:t>
      </w:r>
      <w:r>
        <w:rPr/>
        <w:t>alone</w:t>
      </w:r>
      <w:r>
        <w:rPr>
          <w:spacing w:val="-6"/>
        </w:rPr>
        <w:t> </w:t>
      </w:r>
      <w:r>
        <w:rPr/>
        <w:t>from</w:t>
      </w:r>
      <w:r>
        <w:rPr>
          <w:spacing w:val="-7"/>
        </w:rPr>
        <w:t> </w:t>
      </w:r>
      <w:r>
        <w:rPr/>
        <w:t>the</w:t>
      </w:r>
      <w:r>
        <w:rPr>
          <w:spacing w:val="-6"/>
        </w:rPr>
        <w:t> </w:t>
      </w:r>
      <w:r>
        <w:rPr/>
        <w:t>CBI quarterly trends </w:t>
      </w:r>
      <w:r>
        <w:rPr>
          <w:spacing w:val="-4"/>
        </w:rPr>
        <w:t>survey.  </w:t>
      </w:r>
      <w:r>
        <w:rPr/>
        <w:t>Drawing the picture together, the MPC judges that subdued </w:t>
      </w:r>
      <w:r>
        <w:rPr>
          <w:spacing w:val="-3"/>
        </w:rPr>
        <w:t>fixed </w:t>
      </w:r>
      <w:r>
        <w:rPr/>
        <w:t>capital spending growth in recent quarters probably overstates the underlying weakness of business investment. As such, the Committee expects a moderate recovery in business </w:t>
      </w:r>
      <w:r>
        <w:rPr>
          <w:spacing w:val="-3"/>
        </w:rPr>
        <w:t>investment over </w:t>
      </w:r>
      <w:r>
        <w:rPr/>
        <w:t>the forecast period, maintaining a relatively high share in terms of </w:t>
      </w:r>
      <w:r>
        <w:rPr>
          <w:spacing w:val="-8"/>
        </w:rPr>
        <w:t>GDP. </w:t>
      </w:r>
      <w:r>
        <w:rPr/>
        <w:t>Nonetheless, the near-term outlook for the </w:t>
      </w:r>
      <w:r>
        <w:rPr>
          <w:spacing w:val="-3"/>
        </w:rPr>
        <w:t>level </w:t>
      </w:r>
      <w:r>
        <w:rPr/>
        <w:t>of business </w:t>
      </w:r>
      <w:r>
        <w:rPr>
          <w:spacing w:val="-3"/>
        </w:rPr>
        <w:t>investment </w:t>
      </w:r>
      <w:r>
        <w:rPr/>
        <w:t>is a touch weaker than in the August</w:t>
      </w:r>
      <w:r>
        <w:rPr>
          <w:spacing w:val="-25"/>
        </w:rPr>
        <w:t> </w:t>
      </w:r>
      <w:r>
        <w:rPr>
          <w:i/>
        </w:rPr>
        <w:t>Report</w:t>
      </w:r>
      <w:r>
        <w:rPr/>
        <w:t>.</w:t>
      </w:r>
    </w:p>
    <w:p>
      <w:pPr>
        <w:spacing w:after="0" w:line="242" w:lineRule="auto"/>
        <w:sectPr>
          <w:type w:val="continuous"/>
          <w:pgSz w:w="11900" w:h="16840"/>
          <w:pgMar w:top="1260" w:bottom="280" w:left="640" w:right="640"/>
          <w:cols w:num="2" w:equalWidth="0">
            <w:col w:w="3950" w:space="835"/>
            <w:col w:w="5835"/>
          </w:cols>
        </w:sectPr>
      </w:pPr>
    </w:p>
    <w:p>
      <w:pPr>
        <w:pStyle w:val="BodyText"/>
        <w:spacing w:before="7"/>
        <w:rPr>
          <w:sz w:val="4"/>
        </w:rPr>
      </w:pPr>
    </w:p>
    <w:p>
      <w:pPr>
        <w:pStyle w:val="BodyText"/>
        <w:spacing w:line="20" w:lineRule="exact"/>
        <w:ind w:left="236"/>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6"/>
      </w:pPr>
      <w:r>
        <w:rPr/>
        <w:pict>
          <v:shape style="position:absolute;margin-left:44.083pt;margin-top:16.308138pt;width:4.350pt;height:.1pt;mso-position-horizontal-relative:page;mso-position-vertical-relative:paragraph;z-index:-15569408;mso-wrap-distance-left:0;mso-wrap-distance-right:0" coordorigin="882,326" coordsize="87,0" path="m968,326l882,326e" filled="false" stroked="true" strokeweight=".5pt" strokecolor="#000000">
            <v:path arrowok="t"/>
            <v:stroke dashstyle="solid"/>
            <w10:wrap type="topAndBottom"/>
          </v:shape>
        </w:pict>
      </w:r>
    </w:p>
    <w:p>
      <w:pPr>
        <w:spacing w:before="28"/>
        <w:ind w:left="220" w:right="0" w:firstLine="0"/>
        <w:jc w:val="left"/>
        <w:rPr>
          <w:b/>
          <w:sz w:val="16"/>
        </w:rPr>
      </w:pPr>
      <w:r>
        <w:rPr>
          <w:b/>
          <w:sz w:val="16"/>
        </w:rPr>
        <w:t>Services</w:t>
      </w:r>
    </w:p>
    <w:p>
      <w:pPr>
        <w:pStyle w:val="BodyText"/>
        <w:spacing w:before="4"/>
        <w:rPr>
          <w:b/>
          <w:sz w:val="5"/>
        </w:rPr>
      </w:pPr>
    </w:p>
    <w:p>
      <w:pPr>
        <w:pStyle w:val="BodyText"/>
        <w:spacing w:line="20" w:lineRule="exact"/>
        <w:ind w:left="236"/>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before="9"/>
        <w:rPr>
          <w:b/>
          <w:sz w:val="25"/>
        </w:rPr>
      </w:pPr>
      <w:r>
        <w:rPr/>
        <w:pict>
          <v:shape style="position:absolute;margin-left:44.083pt;margin-top:17.037025pt;width:4.350pt;height:.1pt;mso-position-horizontal-relative:page;mso-position-vertical-relative:paragraph;z-index:-15568384;mso-wrap-distance-left:0;mso-wrap-distance-right:0" coordorigin="882,341" coordsize="87,0" path="m968,341l882,341e" filled="false" stroked="true" strokeweight=".5pt" strokecolor="#000000">
            <v:path arrowok="t"/>
            <v:stroke dashstyle="solid"/>
            <w10:wrap type="topAndBottom"/>
          </v:shape>
        </w:pict>
      </w:r>
      <w:r>
        <w:rPr/>
        <w:pict>
          <v:shape style="position:absolute;margin-left:44.083pt;margin-top:34.745026pt;width:4.350pt;height:.1pt;mso-position-horizontal-relative:page;mso-position-vertical-relative:paragraph;z-index:-15567872;mso-wrap-distance-left:0;mso-wrap-distance-right:0" coordorigin="882,695" coordsize="87,0" path="m968,695l882,695e" filled="false" stroked="true" strokeweight=".5pt" strokecolor="#000000">
            <v:path arrowok="t"/>
            <v:stroke dashstyle="solid"/>
            <w10:wrap type="topAndBottom"/>
          </v:shape>
        </w:pict>
      </w:r>
      <w:r>
        <w:rPr/>
        <w:pict>
          <v:shape style="position:absolute;margin-left:44.083pt;margin-top:52.868027pt;width:4.350pt;height:.1pt;mso-position-horizontal-relative:page;mso-position-vertical-relative:paragraph;z-index:-15567360;mso-wrap-distance-left:0;mso-wrap-distance-right:0" coordorigin="882,1057" coordsize="87,0" path="m968,1057l882,1057e" filled="false" stroked="true" strokeweight=".5pt" strokecolor="#000000">
            <v:path arrowok="t"/>
            <v:stroke dashstyle="solid"/>
            <w10:wrap type="topAndBottom"/>
          </v:shape>
        </w:pict>
      </w:r>
    </w:p>
    <w:p>
      <w:pPr>
        <w:pStyle w:val="BodyText"/>
        <w:rPr>
          <w:b/>
        </w:rPr>
      </w:pPr>
    </w:p>
    <w:p>
      <w:pPr>
        <w:pStyle w:val="BodyText"/>
        <w:spacing w:before="8"/>
        <w:rPr>
          <w:b/>
        </w:rPr>
      </w:pPr>
    </w:p>
    <w:p>
      <w:pPr>
        <w:spacing w:line="172" w:lineRule="auto" w:before="15"/>
        <w:ind w:left="565" w:right="0" w:firstLine="0"/>
        <w:jc w:val="left"/>
        <w:rPr>
          <w:sz w:val="12"/>
        </w:rPr>
      </w:pPr>
      <w:r>
        <w:rPr/>
        <w:br w:type="column"/>
      </w:r>
      <w:r>
        <w:rPr>
          <w:position w:val="-7"/>
          <w:sz w:val="16"/>
        </w:rPr>
        <w:t>–</w:t>
      </w:r>
      <w:r>
        <w:rPr>
          <w:spacing w:val="33"/>
          <w:position w:val="-7"/>
          <w:sz w:val="16"/>
        </w:rPr>
        <w:t> </w:t>
      </w:r>
      <w:r>
        <w:rPr>
          <w:sz w:val="12"/>
        </w:rPr>
        <w:t>0</w:t>
      </w:r>
    </w:p>
    <w:p>
      <w:pPr>
        <w:spacing w:before="139"/>
        <w:ind w:left="685" w:right="0" w:firstLine="0"/>
        <w:jc w:val="left"/>
        <w:rPr>
          <w:sz w:val="12"/>
        </w:rPr>
      </w:pPr>
      <w:r>
        <w:rPr/>
        <w:pict>
          <v:line style="position:absolute;mso-position-horizontal-relative:page;mso-position-vertical-relative:paragraph;z-index:15899648" from="207.216996pt,10.701557pt" to="202.882996pt,10.701557pt" stroked="true" strokeweight=".5pt" strokecolor="#000000">
            <v:stroke dashstyle="solid"/>
            <w10:wrap type="none"/>
          </v:line>
        </w:pict>
      </w:r>
      <w:r>
        <w:rPr>
          <w:sz w:val="12"/>
        </w:rPr>
        <w:t>20</w:t>
      </w:r>
    </w:p>
    <w:p>
      <w:pPr>
        <w:spacing w:line="125" w:lineRule="exact" w:before="55"/>
        <w:ind w:left="220" w:right="0" w:firstLine="0"/>
        <w:jc w:val="left"/>
        <w:rPr>
          <w:sz w:val="12"/>
        </w:rPr>
      </w:pPr>
      <w:r>
        <w:rPr>
          <w:sz w:val="12"/>
        </w:rPr>
        <w:t>Balance</w:t>
      </w:r>
    </w:p>
    <w:p>
      <w:pPr>
        <w:spacing w:line="125" w:lineRule="exact" w:before="0"/>
        <w:ind w:left="659" w:right="0" w:firstLine="0"/>
        <w:jc w:val="left"/>
        <w:rPr>
          <w:sz w:val="12"/>
        </w:rPr>
      </w:pPr>
      <w:r>
        <w:rPr/>
        <w:pict>
          <v:group style="position:absolute;margin-left:52.447575pt;margin-top:10.45401pt;width:146.450pt;height:65.1pt;mso-position-horizontal-relative:page;mso-position-vertical-relative:paragraph;z-index:15892992" coordorigin="1049,209" coordsize="2929,1302">
            <v:line style="position:absolute" from="1063,264" to="1128,544" stroked="true" strokeweight="1pt" strokecolor="#acbc4a">
              <v:stroke dashstyle="solid"/>
            </v:line>
            <v:line style="position:absolute" from="1118,545" to="1201,545" stroked="true" strokeweight="1.125pt" strokecolor="#acbc4a">
              <v:stroke dashstyle="solid"/>
            </v:line>
            <v:shape style="position:absolute;left:1191;top:544;width:375;height:570" coordorigin="1191,544" coordsize="375,570" path="m1191,544l1253,634m1253,634l1316,667m1316,667l1378,779m1378,779l1441,1059m1441,1059l1503,1114m1503,1114l1566,992e" filled="false" stroked="true" strokeweight="1pt" strokecolor="#acbc4a">
              <v:path arrowok="t"/>
              <v:stroke dashstyle="solid"/>
            </v:shape>
            <v:line style="position:absolute" from="1556,993" to="1638,993" stroked="true" strokeweight="1.125pt" strokecolor="#acbc4a">
              <v:stroke dashstyle="solid"/>
            </v:line>
            <v:shape style="position:absolute;left:1628;top:219;width:2073;height:840" coordorigin="1628,219" coordsize="2073,840" path="m1628,992l1693,612m1693,612l1756,734m1756,734l1818,757m1818,757l1881,612m1881,612l1943,1059m1943,1059l2006,779m2006,779l2068,544m2068,544l2131,432m2131,432l2196,342m2196,342l2258,489m2258,489l2321,399m2321,399l2383,377m2383,377l2446,409m2446,409l2508,467m2508,467l2571,444m2571,444l2633,589m2633,589l2696,644m2696,644l2761,554m2761,554l2823,377m2823,377l2886,399m2886,399l2948,322m2948,322l3011,219m3011,219l3073,287m3073,287l3136,322m3136,322l3198,264m3198,264l3263,354m3263,354l3326,399m3326,399l3388,522m3388,522l3451,824m3451,824l3513,869m3513,869l3576,644m3576,644l3638,589m3638,589l3701,432e" filled="false" stroked="true" strokeweight="1pt" strokecolor="#acbc4a">
              <v:path arrowok="t"/>
              <v:stroke dashstyle="solid"/>
            </v:shape>
            <v:line style="position:absolute" from="3691,433" to="3773,433" stroked="true" strokeweight="1.125pt" strokecolor="#acbc4a">
              <v:stroke dashstyle="solid"/>
            </v:line>
            <v:shape style="position:absolute;left:3763;top:341;width:128;height:103" coordorigin="3763,342" coordsize="128,103" path="m3763,432l3828,342m3828,342l3891,444e" filled="false" stroked="true" strokeweight="1pt" strokecolor="#acbc4a">
              <v:path arrowok="t"/>
              <v:stroke dashstyle="solid"/>
            </v:shape>
            <v:line style="position:absolute" from="3881,445" to="3963,445" stroked="true" strokeweight="1.125pt" strokecolor="#acbc4a">
              <v:stroke dashstyle="solid"/>
            </v:line>
            <v:shape style="position:absolute;left:1063;top:634;width:190;height:245" coordorigin="1063,634" coordsize="190,245" path="m1063,634l1128,812m1128,812l1191,847m1191,847l1253,879e" filled="false" stroked="true" strokeweight="1pt" strokecolor="#0099d9">
              <v:path arrowok="t"/>
              <v:stroke dashstyle="solid"/>
            </v:shape>
            <v:line style="position:absolute" from="1243,880" to="1326,880" stroked="true" strokeweight="1.125pt" strokecolor="#0099d9">
              <v:stroke dashstyle="solid"/>
            </v:line>
            <v:shape style="position:absolute;left:1316;top:869;width:880;height:535" coordorigin="1316,869" coordsize="880,535" path="m1316,879l1378,969m1378,969l1441,1102m1441,1102l1503,1227m1503,1227l1566,1404m1566,1404l1628,1314m1628,1314l1693,1227m1693,1227l1756,1237m1756,1237l1818,1147m1818,1147l1881,1079m1881,1079l1943,1204m1943,1204l2068,1024m2068,1024l2131,957m2131,957l2196,869e" filled="false" stroked="true" strokeweight="1pt" strokecolor="#0099d9">
              <v:path arrowok="t"/>
              <v:stroke dashstyle="solid"/>
            </v:shape>
            <v:line style="position:absolute" from="2186,870" to="2268,870" stroked="true" strokeweight="1.125pt" strokecolor="#0099d9">
              <v:stroke dashstyle="solid"/>
            </v:line>
            <v:shape style="position:absolute;left:2258;top:644;width:438;height:225" coordorigin="2258,644" coordsize="438,225" path="m2258,869l2383,824m2383,824l2446,869m2446,869l2508,812m2508,812l2571,644m2571,644l2633,779m2633,779l2696,789e" filled="false" stroked="true" strokeweight="1pt" strokecolor="#0099d9">
              <v:path arrowok="t"/>
              <v:stroke dashstyle="solid"/>
            </v:shape>
            <v:line style="position:absolute" from="2686,790" to="2771,790" stroked="true" strokeweight="1.125pt" strokecolor="#0099d9">
              <v:stroke dashstyle="solid"/>
            </v:line>
            <v:line style="position:absolute" from="2761,789" to="2823,699" stroked="true" strokeweight="1pt" strokecolor="#0099d9">
              <v:stroke dashstyle="solid"/>
            </v:line>
            <v:line style="position:absolute" from="2813,700" to="2896,700" stroked="true" strokeweight="1.125pt" strokecolor="#0099d9">
              <v:stroke dashstyle="solid"/>
            </v:line>
            <v:shape style="position:absolute;left:2886;top:634;width:188;height:123" coordorigin="2886,634" coordsize="188,123" path="m2886,699l2948,757m2948,757l3011,699m3011,699l3073,634e" filled="false" stroked="true" strokeweight="1pt" strokecolor="#0099d9">
              <v:path arrowok="t"/>
              <v:stroke dashstyle="solid"/>
            </v:shape>
            <v:line style="position:absolute" from="3063,635" to="3146,635" stroked="true" strokeweight="1.125pt" strokecolor="#0099d9">
              <v:stroke dashstyle="solid"/>
            </v:line>
            <v:shape style="position:absolute;left:3136;top:554;width:755;height:325" coordorigin="3136,554" coordsize="755,325" path="m3136,634l3198,554m3198,554l3263,699m3263,699l3326,667m3326,667l3388,644m3388,644l3451,879m3451,879l3513,824m3513,824l3576,812m3576,812l3638,824m3638,824l3701,757m3701,757l3763,679m3763,679l3828,812m3828,812l3891,757e" filled="false" stroked="true" strokeweight="1pt" strokecolor="#0099d9">
              <v:path arrowok="t"/>
              <v:stroke dashstyle="solid"/>
            </v:shape>
            <v:line style="position:absolute" from="3881,758" to="3963,758" stroked="true" strokeweight="1.125pt" strokecolor="#0099d9">
              <v:stroke dashstyle="solid"/>
            </v:line>
            <v:shape style="position:absolute;left:1057;top:1399;width:2920;height:107" coordorigin="1057,1399" coordsize="2920,107" path="m1058,1446l1058,1499m1310,1446l1310,1499m1558,1446l1558,1499m3832,1399l3832,1499m1811,1446l1811,1499m2068,1446l2068,1499m2320,1446l2320,1499m2568,1446l2568,1499m2822,1446l2822,1499m3068,1446l3068,1499m3320,1446l3320,1499m3568,1446l3568,1499m1057,1506l3977,1506e" filled="false" stroked="true" strokeweight=".5pt" strokecolor="#000000">
              <v:path arrowok="t"/>
              <v:stroke dashstyle="solid"/>
            </v:shape>
            <v:shape style="position:absolute;left:1048;top:1135;width:2897;height:2" coordorigin="1049,1136" coordsize="2897,0" path="m3945,1136l1049,1136e" filled="true" fillcolor="#ffffff" stroked="false">
              <v:path arrowok="t"/>
              <v:fill type="solid"/>
            </v:shape>
            <v:shape style="position:absolute;left:1333;top:214;width:1087;height:134" type="#_x0000_t202" filled="false" stroked="false">
              <v:textbox inset="0,0,0,0">
                <w:txbxContent>
                  <w:p>
                    <w:pPr>
                      <w:spacing w:line="133" w:lineRule="exact" w:before="0"/>
                      <w:ind w:left="0" w:right="0" w:firstLine="0"/>
                      <w:jc w:val="left"/>
                      <w:rPr>
                        <w:sz w:val="12"/>
                      </w:rPr>
                    </w:pPr>
                    <w:r>
                      <w:rPr>
                        <w:sz w:val="12"/>
                      </w:rPr>
                      <w:t>Profit expectations (a)</w:t>
                    </w:r>
                  </w:p>
                </w:txbxContent>
              </v:textbox>
              <w10:wrap type="none"/>
            </v:shape>
            <v:shape style="position:absolute;left:1048;top:913;width:2917;height:497" type="#_x0000_t202" filled="false" stroked="false">
              <v:textbox inset="0,0,0,0">
                <w:txbxContent>
                  <w:p>
                    <w:pPr>
                      <w:tabs>
                        <w:tab w:pos="2895" w:val="left" w:leader="none"/>
                      </w:tabs>
                      <w:spacing w:line="178" w:lineRule="exact" w:before="0"/>
                      <w:ind w:left="0" w:right="0" w:firstLine="0"/>
                      <w:jc w:val="left"/>
                      <w:rPr>
                        <w:sz w:val="16"/>
                      </w:rPr>
                    </w:pPr>
                    <w:r>
                      <w:rPr>
                        <w:sz w:val="16"/>
                        <w:u w:val="single"/>
                      </w:rPr>
                      <w:t> </w:t>
                      <w:tab/>
                    </w:r>
                  </w:p>
                  <w:p>
                    <w:pPr>
                      <w:spacing w:line="240" w:lineRule="auto" w:before="8"/>
                      <w:rPr>
                        <w:sz w:val="15"/>
                      </w:rPr>
                    </w:pPr>
                  </w:p>
                  <w:p>
                    <w:pPr>
                      <w:spacing w:before="0"/>
                      <w:ind w:left="706" w:right="0" w:firstLine="0"/>
                      <w:jc w:val="left"/>
                      <w:rPr>
                        <w:sz w:val="12"/>
                      </w:rPr>
                    </w:pPr>
                    <w:r>
                      <w:rPr>
                        <w:sz w:val="12"/>
                      </w:rPr>
                      <w:t>Investment intentions (b)</w:t>
                    </w:r>
                  </w:p>
                </w:txbxContent>
              </v:textbox>
              <w10:wrap type="none"/>
            </v:shape>
            <w10:wrap type="none"/>
          </v:group>
        </w:pict>
      </w:r>
      <w:r>
        <w:rPr/>
        <w:pict>
          <v:line style="position:absolute;mso-position-horizontal-relative:page;mso-position-vertical-relative:paragraph;z-index:15895552" from="207.216996pt,3.45501pt" to="202.882996pt,3.45501pt" stroked="true" strokeweight=".5pt" strokecolor="#000000">
            <v:stroke dashstyle="solid"/>
            <w10:wrap type="none"/>
          </v:line>
        </w:pict>
      </w:r>
      <w:r>
        <w:rPr>
          <w:sz w:val="12"/>
        </w:rPr>
        <w:t>60</w:t>
      </w:r>
    </w:p>
    <w:p>
      <w:pPr>
        <w:pStyle w:val="BodyText"/>
        <w:rPr>
          <w:sz w:val="12"/>
        </w:rPr>
      </w:pPr>
    </w:p>
    <w:p>
      <w:pPr>
        <w:spacing w:before="82"/>
        <w:ind w:left="659" w:right="0" w:firstLine="0"/>
        <w:jc w:val="left"/>
        <w:rPr>
          <w:sz w:val="12"/>
        </w:rPr>
      </w:pPr>
      <w:r>
        <w:rPr/>
        <w:pict>
          <v:line style="position:absolute;mso-position-horizontal-relative:page;mso-position-vertical-relative:paragraph;z-index:15896064" from="207.216996pt,8.063827pt" to="202.882996pt,8.063827pt" stroked="true" strokeweight=".5pt" strokecolor="#000000">
            <v:stroke dashstyle="solid"/>
            <w10:wrap type="none"/>
          </v:line>
        </w:pict>
      </w:r>
      <w:r>
        <w:rPr>
          <w:sz w:val="12"/>
        </w:rPr>
        <w:t>40</w:t>
      </w:r>
    </w:p>
    <w:p>
      <w:pPr>
        <w:pStyle w:val="BodyText"/>
        <w:rPr>
          <w:sz w:val="12"/>
        </w:rPr>
      </w:pPr>
    </w:p>
    <w:p>
      <w:pPr>
        <w:spacing w:before="91"/>
        <w:ind w:left="659" w:right="0" w:firstLine="0"/>
        <w:jc w:val="left"/>
        <w:rPr>
          <w:sz w:val="12"/>
        </w:rPr>
      </w:pPr>
      <w:r>
        <w:rPr/>
        <w:pict>
          <v:line style="position:absolute;mso-position-horizontal-relative:page;mso-position-vertical-relative:paragraph;z-index:15896576" from="207.216996pt,7.846827pt" to="202.882996pt,7.846827pt" stroked="true" strokeweight=".5pt" strokecolor="#000000">
            <v:stroke dashstyle="solid"/>
            <w10:wrap type="none"/>
          </v:line>
        </w:pict>
      </w:r>
      <w:r>
        <w:rPr>
          <w:sz w:val="12"/>
        </w:rPr>
        <w:t>20</w:t>
      </w:r>
    </w:p>
    <w:p>
      <w:pPr>
        <w:spacing w:line="174" w:lineRule="exact" w:before="57"/>
        <w:ind w:left="514" w:right="0" w:firstLine="0"/>
        <w:jc w:val="left"/>
        <w:rPr>
          <w:sz w:val="16"/>
        </w:rPr>
      </w:pPr>
      <w:r>
        <w:rPr>
          <w:sz w:val="16"/>
          <w:u w:val="single"/>
        </w:rPr>
        <w:t>  </w:t>
      </w:r>
      <w:r>
        <w:rPr>
          <w:sz w:val="16"/>
        </w:rPr>
        <w:t>+</w:t>
      </w:r>
    </w:p>
    <w:p>
      <w:pPr>
        <w:spacing w:line="163" w:lineRule="auto" w:before="3"/>
        <w:ind w:left="575" w:right="0" w:firstLine="0"/>
        <w:jc w:val="left"/>
        <w:rPr>
          <w:sz w:val="12"/>
        </w:rPr>
      </w:pPr>
      <w:r>
        <w:rPr>
          <w:position w:val="-10"/>
          <w:sz w:val="16"/>
        </w:rPr>
        <w:t>– </w:t>
      </w:r>
      <w:r>
        <w:rPr>
          <w:sz w:val="12"/>
        </w:rPr>
        <w:t>0</w:t>
      </w:r>
    </w:p>
    <w:p>
      <w:pPr>
        <w:spacing w:before="38"/>
        <w:ind w:left="220" w:right="0" w:firstLine="0"/>
        <w:jc w:val="left"/>
        <w:rPr>
          <w:i/>
          <w:sz w:val="24"/>
        </w:rPr>
      </w:pPr>
      <w:r>
        <w:rPr/>
        <w:br w:type="column"/>
      </w:r>
      <w:r>
        <w:rPr>
          <w:i/>
          <w:color w:val="009391"/>
          <w:sz w:val="24"/>
        </w:rPr>
        <w:t>Public sector consumption</w:t>
      </w:r>
    </w:p>
    <w:p>
      <w:pPr>
        <w:pStyle w:val="BodyText"/>
        <w:spacing w:line="242" w:lineRule="auto" w:before="124"/>
        <w:ind w:left="220" w:right="155"/>
      </w:pPr>
      <w:r>
        <w:rPr/>
        <w:t>Real government spending grew by 2.1% in 2000 Q2, following a fall in the previous quarter. Nominal government spending in earlier quarters was revised up slightly in the National Accounts, but this has not affected government plans to carry forward some of the underspend in the 1999/2000 financial year into the</w:t>
      </w:r>
    </w:p>
    <w:p>
      <w:pPr>
        <w:spacing w:after="0" w:line="242" w:lineRule="auto"/>
        <w:sectPr>
          <w:type w:val="continuous"/>
          <w:pgSz w:w="11900" w:h="16840"/>
          <w:pgMar w:top="1260" w:bottom="280" w:left="640" w:right="640"/>
          <w:cols w:num="3" w:equalWidth="0">
            <w:col w:w="821" w:space="2082"/>
            <w:col w:w="846" w:space="990"/>
            <w:col w:w="5881"/>
          </w:cols>
        </w:sectPr>
      </w:pPr>
    </w:p>
    <w:p>
      <w:pPr>
        <w:spacing w:line="93" w:lineRule="exact" w:before="0"/>
        <w:ind w:left="3562" w:right="0" w:firstLine="0"/>
        <w:jc w:val="left"/>
        <w:rPr>
          <w:sz w:val="12"/>
        </w:rPr>
      </w:pPr>
      <w:r>
        <w:rPr/>
        <w:pict>
          <v:line style="position:absolute;mso-position-horizontal-relative:page;mso-position-vertical-relative:paragraph;z-index:15893504" from="48.417pt,2.187217pt" to="44.083pt,2.187217pt" stroked="true" strokeweight=".5pt" strokecolor="#000000">
            <v:stroke dashstyle="solid"/>
            <w10:wrap type="none"/>
          </v:line>
        </w:pict>
      </w:r>
      <w:r>
        <w:rPr/>
        <w:pict>
          <v:line style="position:absolute;mso-position-horizontal-relative:page;mso-position-vertical-relative:paragraph;z-index:15897088" from="207.216996pt,2.187217pt" to="202.882996pt,2.187217pt" stroked="true" strokeweight=".5pt" strokecolor="#000000">
            <v:stroke dashstyle="solid"/>
            <w10:wrap type="none"/>
          </v:line>
        </w:pict>
      </w:r>
      <w:r>
        <w:rPr>
          <w:sz w:val="12"/>
        </w:rPr>
        <w:t>20</w:t>
      </w:r>
    </w:p>
    <w:p>
      <w:pPr>
        <w:spacing w:line="126" w:lineRule="exact" w:before="0"/>
        <w:ind w:left="216" w:right="0" w:firstLine="0"/>
        <w:jc w:val="left"/>
        <w:rPr>
          <w:sz w:val="12"/>
        </w:rPr>
      </w:pPr>
      <w:r>
        <w:rPr>
          <w:sz w:val="12"/>
        </w:rPr>
        <w:t>1989 90 91 92 93 94 95 96 97 98 99 2000</w:t>
      </w:r>
    </w:p>
    <w:p>
      <w:pPr>
        <w:pStyle w:val="BodyText"/>
        <w:spacing w:before="4"/>
        <w:rPr>
          <w:sz w:val="15"/>
        </w:rPr>
      </w:pPr>
    </w:p>
    <w:p>
      <w:pPr>
        <w:spacing w:before="0"/>
        <w:ind w:left="175" w:right="0" w:firstLine="0"/>
        <w:jc w:val="left"/>
        <w:rPr>
          <w:sz w:val="12"/>
        </w:rPr>
      </w:pPr>
      <w:r>
        <w:rPr>
          <w:sz w:val="12"/>
        </w:rPr>
        <w:t>Source: BCC.</w:t>
      </w:r>
    </w:p>
    <w:p>
      <w:pPr>
        <w:pStyle w:val="BodyText"/>
        <w:spacing w:before="2"/>
        <w:rPr>
          <w:sz w:val="10"/>
        </w:rPr>
      </w:pPr>
    </w:p>
    <w:p>
      <w:pPr>
        <w:pStyle w:val="ListParagraph"/>
        <w:numPr>
          <w:ilvl w:val="0"/>
          <w:numId w:val="19"/>
        </w:numPr>
        <w:tabs>
          <w:tab w:pos="416" w:val="left" w:leader="none"/>
        </w:tabs>
        <w:spacing w:line="208" w:lineRule="auto" w:before="0" w:after="0"/>
        <w:ind w:left="415" w:right="123" w:hanging="240"/>
        <w:jc w:val="both"/>
        <w:rPr>
          <w:sz w:val="12"/>
        </w:rPr>
      </w:pPr>
      <w:r>
        <w:rPr>
          <w:sz w:val="12"/>
        </w:rPr>
        <w:t>Balance of responses to the question: ‘Do you believe that over the next twelve</w:t>
      </w:r>
      <w:r>
        <w:rPr>
          <w:spacing w:val="-5"/>
          <w:sz w:val="12"/>
        </w:rPr>
        <w:t> </w:t>
      </w:r>
      <w:r>
        <w:rPr>
          <w:sz w:val="12"/>
        </w:rPr>
        <w:t>months</w:t>
      </w:r>
      <w:r>
        <w:rPr>
          <w:spacing w:val="-5"/>
          <w:sz w:val="12"/>
        </w:rPr>
        <w:t> </w:t>
      </w:r>
      <w:r>
        <w:rPr>
          <w:sz w:val="12"/>
        </w:rPr>
        <w:t>profitability</w:t>
      </w:r>
      <w:r>
        <w:rPr>
          <w:spacing w:val="-4"/>
          <w:sz w:val="12"/>
        </w:rPr>
        <w:t> </w:t>
      </w:r>
      <w:r>
        <w:rPr>
          <w:sz w:val="12"/>
        </w:rPr>
        <w:t>will</w:t>
      </w:r>
      <w:r>
        <w:rPr>
          <w:spacing w:val="-5"/>
          <w:sz w:val="12"/>
        </w:rPr>
        <w:t> </w:t>
      </w:r>
      <w:r>
        <w:rPr>
          <w:sz w:val="12"/>
        </w:rPr>
        <w:t>improve/remain</w:t>
      </w:r>
      <w:r>
        <w:rPr>
          <w:spacing w:val="-4"/>
          <w:sz w:val="12"/>
        </w:rPr>
        <w:t> </w:t>
      </w:r>
      <w:r>
        <w:rPr>
          <w:sz w:val="12"/>
        </w:rPr>
        <w:t>the</w:t>
      </w:r>
      <w:r>
        <w:rPr>
          <w:spacing w:val="-5"/>
          <w:sz w:val="12"/>
        </w:rPr>
        <w:t> </w:t>
      </w:r>
      <w:r>
        <w:rPr>
          <w:sz w:val="12"/>
        </w:rPr>
        <w:t>same/worsen?’</w:t>
      </w:r>
    </w:p>
    <w:p>
      <w:pPr>
        <w:pStyle w:val="ListParagraph"/>
        <w:numPr>
          <w:ilvl w:val="0"/>
          <w:numId w:val="19"/>
        </w:numPr>
        <w:tabs>
          <w:tab w:pos="416" w:val="left" w:leader="none"/>
        </w:tabs>
        <w:spacing w:line="208" w:lineRule="auto" w:before="0" w:after="0"/>
        <w:ind w:left="415" w:right="38" w:hanging="240"/>
        <w:jc w:val="both"/>
        <w:rPr>
          <w:sz w:val="12"/>
        </w:rPr>
      </w:pPr>
      <w:r>
        <w:rPr>
          <w:sz w:val="12"/>
        </w:rPr>
        <w:t>Balance of responses to the question: ‘Over the past three months, which changes</w:t>
      </w:r>
      <w:r>
        <w:rPr>
          <w:spacing w:val="-6"/>
          <w:sz w:val="12"/>
        </w:rPr>
        <w:t> </w:t>
      </w:r>
      <w:r>
        <w:rPr>
          <w:sz w:val="12"/>
        </w:rPr>
        <w:t>have</w:t>
      </w:r>
      <w:r>
        <w:rPr>
          <w:spacing w:val="-5"/>
          <w:sz w:val="12"/>
        </w:rPr>
        <w:t> </w:t>
      </w:r>
      <w:r>
        <w:rPr>
          <w:sz w:val="12"/>
        </w:rPr>
        <w:t>you</w:t>
      </w:r>
      <w:r>
        <w:rPr>
          <w:spacing w:val="-6"/>
          <w:sz w:val="12"/>
        </w:rPr>
        <w:t> </w:t>
      </w:r>
      <w:r>
        <w:rPr>
          <w:sz w:val="12"/>
        </w:rPr>
        <w:t>made</w:t>
      </w:r>
      <w:r>
        <w:rPr>
          <w:spacing w:val="-5"/>
          <w:sz w:val="12"/>
        </w:rPr>
        <w:t> </w:t>
      </w:r>
      <w:r>
        <w:rPr>
          <w:sz w:val="12"/>
        </w:rPr>
        <w:t>in</w:t>
      </w:r>
      <w:r>
        <w:rPr>
          <w:spacing w:val="-5"/>
          <w:sz w:val="12"/>
        </w:rPr>
        <w:t> </w:t>
      </w:r>
      <w:r>
        <w:rPr>
          <w:sz w:val="12"/>
        </w:rPr>
        <w:t>your</w:t>
      </w:r>
      <w:r>
        <w:rPr>
          <w:spacing w:val="-6"/>
          <w:sz w:val="12"/>
        </w:rPr>
        <w:t> </w:t>
      </w:r>
      <w:r>
        <w:rPr>
          <w:sz w:val="12"/>
        </w:rPr>
        <w:t>investment</w:t>
      </w:r>
      <w:r>
        <w:rPr>
          <w:spacing w:val="-5"/>
          <w:sz w:val="12"/>
        </w:rPr>
        <w:t> </w:t>
      </w:r>
      <w:r>
        <w:rPr>
          <w:sz w:val="12"/>
        </w:rPr>
        <w:t>plans</w:t>
      </w:r>
      <w:r>
        <w:rPr>
          <w:spacing w:val="-5"/>
          <w:sz w:val="12"/>
        </w:rPr>
        <w:t> </w:t>
      </w:r>
      <w:r>
        <w:rPr>
          <w:sz w:val="12"/>
        </w:rPr>
        <w:t>for</w:t>
      </w:r>
      <w:r>
        <w:rPr>
          <w:spacing w:val="-6"/>
          <w:sz w:val="12"/>
        </w:rPr>
        <w:t> </w:t>
      </w:r>
      <w:r>
        <w:rPr>
          <w:sz w:val="12"/>
        </w:rPr>
        <w:t>plant</w:t>
      </w:r>
      <w:r>
        <w:rPr>
          <w:spacing w:val="-5"/>
          <w:sz w:val="12"/>
        </w:rPr>
        <w:t> </w:t>
      </w:r>
      <w:r>
        <w:rPr>
          <w:sz w:val="12"/>
        </w:rPr>
        <w:t>and</w:t>
      </w:r>
      <w:r>
        <w:rPr>
          <w:spacing w:val="-6"/>
          <w:sz w:val="12"/>
        </w:rPr>
        <w:t> </w:t>
      </w:r>
      <w:r>
        <w:rPr>
          <w:sz w:val="12"/>
        </w:rPr>
        <w:t>machinery: revise upwards/no change/revise</w:t>
      </w:r>
      <w:r>
        <w:rPr>
          <w:spacing w:val="-6"/>
          <w:sz w:val="12"/>
        </w:rPr>
        <w:t> </w:t>
      </w:r>
      <w:r>
        <w:rPr>
          <w:sz w:val="12"/>
        </w:rPr>
        <w:t>downwards?’</w:t>
      </w:r>
    </w:p>
    <w:p>
      <w:pPr>
        <w:pStyle w:val="BodyText"/>
        <w:spacing w:line="242" w:lineRule="auto" w:before="8"/>
        <w:ind w:left="175" w:right="308"/>
      </w:pPr>
      <w:r>
        <w:rPr/>
        <w:br w:type="column"/>
      </w:r>
      <w:r>
        <w:rPr/>
        <w:t>current year. The MPC has assessed the outlook for the public finances using government expenditure plans set out in the 2000 Spending Review, updated to take account of measures announced in the Pre-Budget Report on 8 November, and estimates of effective tax rates drawn from the Pre-Budget Report forecast.</w:t>
      </w:r>
    </w:p>
    <w:p>
      <w:pPr>
        <w:pStyle w:val="BodyText"/>
        <w:spacing w:line="242" w:lineRule="auto" w:before="8"/>
        <w:ind w:left="175" w:right="107"/>
      </w:pPr>
      <w:r>
        <w:rPr/>
        <w:t>Together with the MPC’s forecast for inflation, these plans continue to imply robust growth in real government spending over the forecast period.</w:t>
      </w:r>
    </w:p>
    <w:p>
      <w:pPr>
        <w:pStyle w:val="BodyText"/>
        <w:spacing w:before="2"/>
        <w:rPr>
          <w:sz w:val="21"/>
        </w:rPr>
      </w:pPr>
    </w:p>
    <w:p>
      <w:pPr>
        <w:spacing w:before="0"/>
        <w:ind w:left="175" w:right="0" w:firstLine="0"/>
        <w:jc w:val="left"/>
        <w:rPr>
          <w:i/>
          <w:sz w:val="24"/>
        </w:rPr>
      </w:pPr>
      <w:r>
        <w:rPr>
          <w:i/>
          <w:color w:val="009391"/>
          <w:sz w:val="24"/>
        </w:rPr>
        <w:t>Inventories</w:t>
      </w:r>
    </w:p>
    <w:p>
      <w:pPr>
        <w:pStyle w:val="BodyText"/>
        <w:spacing w:line="242" w:lineRule="auto" w:before="164"/>
        <w:ind w:left="175" w:right="149"/>
      </w:pPr>
      <w:r>
        <w:rPr/>
        <w:t>According to the headline measure of inventory investment in the National Accounts, stockbuilding contributed 0.1 percentage points to GDP growth in</w:t>
      </w:r>
    </w:p>
    <w:p>
      <w:pPr>
        <w:pStyle w:val="BodyText"/>
        <w:rPr>
          <w:sz w:val="12"/>
        </w:rPr>
      </w:pPr>
    </w:p>
    <w:p>
      <w:pPr>
        <w:pStyle w:val="BodyText"/>
        <w:spacing w:line="20" w:lineRule="exact"/>
        <w:ind w:left="153"/>
        <w:rPr>
          <w:sz w:val="2"/>
        </w:rPr>
      </w:pPr>
      <w:r>
        <w:rPr>
          <w:sz w:val="2"/>
        </w:rPr>
        <w:pict>
          <v:group style="width:276pt;height:.15pt;mso-position-horizontal-relative:char;mso-position-vertical-relative:line" coordorigin="0,0" coordsize="5520,3">
            <v:line style="position:absolute" from="0,1" to="5520,1" stroked="true" strokeweight=".125pt" strokecolor="#000000">
              <v:stroke dashstyle="solid"/>
            </v:line>
          </v:group>
        </w:pict>
      </w:r>
      <w:r>
        <w:rPr>
          <w:sz w:val="2"/>
        </w:rPr>
      </w:r>
    </w:p>
    <w:p>
      <w:pPr>
        <w:pStyle w:val="ListParagraph"/>
        <w:numPr>
          <w:ilvl w:val="1"/>
          <w:numId w:val="19"/>
        </w:numPr>
        <w:tabs>
          <w:tab w:pos="441" w:val="left" w:leader="none"/>
        </w:tabs>
        <w:spacing w:line="208" w:lineRule="auto" w:before="4" w:after="0"/>
        <w:ind w:left="440" w:right="653" w:hanging="240"/>
        <w:jc w:val="left"/>
        <w:rPr>
          <w:sz w:val="16"/>
        </w:rPr>
      </w:pPr>
      <w:r>
        <w:rPr>
          <w:sz w:val="16"/>
        </w:rPr>
        <w:t>Excluding an alignment adjustment, which is used by the ONS to reconcile</w:t>
      </w:r>
      <w:r>
        <w:rPr>
          <w:spacing w:val="-7"/>
          <w:sz w:val="16"/>
        </w:rPr>
        <w:t> </w:t>
      </w:r>
      <w:r>
        <w:rPr>
          <w:sz w:val="16"/>
        </w:rPr>
        <w:t>any</w:t>
      </w:r>
      <w:r>
        <w:rPr>
          <w:spacing w:val="-6"/>
          <w:sz w:val="16"/>
        </w:rPr>
        <w:t> </w:t>
      </w:r>
      <w:r>
        <w:rPr>
          <w:sz w:val="16"/>
        </w:rPr>
        <w:t>discrepancies</w:t>
      </w:r>
      <w:r>
        <w:rPr>
          <w:spacing w:val="-6"/>
          <w:sz w:val="16"/>
        </w:rPr>
        <w:t> </w:t>
      </w:r>
      <w:r>
        <w:rPr>
          <w:sz w:val="16"/>
        </w:rPr>
        <w:t>in</w:t>
      </w:r>
      <w:r>
        <w:rPr>
          <w:spacing w:val="-6"/>
          <w:sz w:val="16"/>
        </w:rPr>
        <w:t> </w:t>
      </w:r>
      <w:r>
        <w:rPr>
          <w:sz w:val="16"/>
        </w:rPr>
        <w:t>the</w:t>
      </w:r>
      <w:r>
        <w:rPr>
          <w:spacing w:val="-7"/>
          <w:sz w:val="16"/>
        </w:rPr>
        <w:t> </w:t>
      </w:r>
      <w:r>
        <w:rPr>
          <w:sz w:val="16"/>
        </w:rPr>
        <w:t>growth</w:t>
      </w:r>
      <w:r>
        <w:rPr>
          <w:spacing w:val="-6"/>
          <w:sz w:val="16"/>
        </w:rPr>
        <w:t> </w:t>
      </w:r>
      <w:r>
        <w:rPr>
          <w:sz w:val="16"/>
        </w:rPr>
        <w:t>rates</w:t>
      </w:r>
      <w:r>
        <w:rPr>
          <w:spacing w:val="-6"/>
          <w:sz w:val="16"/>
        </w:rPr>
        <w:t> </w:t>
      </w:r>
      <w:r>
        <w:rPr>
          <w:sz w:val="16"/>
        </w:rPr>
        <w:t>of</w:t>
      </w:r>
      <w:r>
        <w:rPr>
          <w:spacing w:val="-6"/>
          <w:sz w:val="16"/>
        </w:rPr>
        <w:t> </w:t>
      </w:r>
      <w:r>
        <w:rPr>
          <w:sz w:val="16"/>
        </w:rPr>
        <w:t>the</w:t>
      </w:r>
      <w:r>
        <w:rPr>
          <w:spacing w:val="-7"/>
          <w:sz w:val="16"/>
        </w:rPr>
        <w:t> </w:t>
      </w:r>
      <w:r>
        <w:rPr>
          <w:sz w:val="16"/>
        </w:rPr>
        <w:t>income,</w:t>
      </w:r>
      <w:r>
        <w:rPr>
          <w:spacing w:val="-5"/>
          <w:sz w:val="16"/>
        </w:rPr>
        <w:t> </w:t>
      </w:r>
      <w:r>
        <w:rPr>
          <w:sz w:val="16"/>
        </w:rPr>
        <w:t>expenditure and output measures of </w:t>
      </w:r>
      <w:r>
        <w:rPr>
          <w:spacing w:val="-5"/>
          <w:sz w:val="16"/>
        </w:rPr>
        <w:t>GDP, </w:t>
      </w:r>
      <w:r>
        <w:rPr>
          <w:sz w:val="16"/>
        </w:rPr>
        <w:t>published in the National Accounts. In the income measure of </w:t>
      </w:r>
      <w:r>
        <w:rPr>
          <w:spacing w:val="-5"/>
          <w:sz w:val="16"/>
        </w:rPr>
        <w:t>GDP, </w:t>
      </w:r>
      <w:r>
        <w:rPr>
          <w:sz w:val="16"/>
        </w:rPr>
        <w:t>the alignment adjustment is allocated to the gross operating surplus of private non-financial corporations. On the expenditure side of the National Accounts, the alignment adjustment is allocated to the stockbuilding component of</w:t>
      </w:r>
      <w:r>
        <w:rPr>
          <w:spacing w:val="-13"/>
          <w:sz w:val="16"/>
        </w:rPr>
        <w:t> </w:t>
      </w:r>
      <w:r>
        <w:rPr>
          <w:sz w:val="16"/>
        </w:rPr>
        <w:t>demand.</w:t>
      </w:r>
    </w:p>
    <w:p>
      <w:pPr>
        <w:spacing w:after="0" w:line="208" w:lineRule="auto"/>
        <w:jc w:val="left"/>
        <w:rPr>
          <w:sz w:val="16"/>
        </w:rPr>
        <w:sectPr>
          <w:type w:val="continuous"/>
          <w:pgSz w:w="11900" w:h="16840"/>
          <w:pgMar w:top="1260" w:bottom="280" w:left="640" w:right="640"/>
          <w:cols w:num="2" w:equalWidth="0">
            <w:col w:w="4013" w:space="772"/>
            <w:col w:w="5835"/>
          </w:cols>
        </w:sectPr>
      </w:pPr>
    </w:p>
    <w:p>
      <w:pPr>
        <w:pStyle w:val="BodyText"/>
        <w:rPr>
          <w:sz w:val="20"/>
        </w:rPr>
      </w:pPr>
    </w:p>
    <w:p>
      <w:pPr>
        <w:spacing w:after="0"/>
        <w:rPr>
          <w:sz w:val="20"/>
        </w:rPr>
        <w:sectPr>
          <w:pgSz w:w="11900" w:h="16840"/>
          <w:pgMar w:header="601" w:footer="612" w:top="800" w:bottom="800" w:left="640" w:right="640"/>
        </w:sectPr>
      </w:pPr>
    </w:p>
    <w:p>
      <w:pPr>
        <w:pStyle w:val="BodyText"/>
        <w:rPr>
          <w:sz w:val="21"/>
        </w:rPr>
      </w:pPr>
    </w:p>
    <w:p>
      <w:pPr>
        <w:spacing w:before="0"/>
        <w:ind w:left="174" w:right="0" w:firstLine="0"/>
        <w:jc w:val="left"/>
        <w:rPr>
          <w:b/>
          <w:sz w:val="20"/>
        </w:rPr>
      </w:pPr>
      <w:bookmarkStart w:name="Output" w:id="41"/>
      <w:bookmarkEnd w:id="41"/>
      <w:r>
        <w:rPr/>
      </w:r>
      <w:bookmarkStart w:name="_bookmark16" w:id="42"/>
      <w:bookmarkEnd w:id="42"/>
      <w:r>
        <w:rPr/>
      </w:r>
      <w:r>
        <w:rPr>
          <w:b/>
          <w:color w:val="0092C7"/>
          <w:sz w:val="20"/>
        </w:rPr>
        <w:t>Chart 2.14</w:t>
      </w:r>
    </w:p>
    <w:p>
      <w:pPr>
        <w:spacing w:before="10"/>
        <w:ind w:left="174" w:right="0" w:firstLine="0"/>
        <w:jc w:val="left"/>
        <w:rPr>
          <w:sz w:val="12"/>
        </w:rPr>
      </w:pPr>
      <w:r>
        <w:rPr>
          <w:b/>
          <w:color w:val="0092C7"/>
          <w:sz w:val="20"/>
        </w:rPr>
        <w:t>Change in inventories</w:t>
      </w:r>
      <w:r>
        <w:rPr>
          <w:position w:val="4"/>
          <w:sz w:val="12"/>
        </w:rPr>
        <w:t>(a)</w:t>
      </w:r>
    </w:p>
    <w:p>
      <w:pPr>
        <w:pStyle w:val="BodyText"/>
        <w:spacing w:line="242" w:lineRule="auto" w:before="212"/>
        <w:ind w:left="174" w:right="321"/>
      </w:pPr>
      <w:r>
        <w:rPr/>
        <w:br w:type="column"/>
      </w:r>
      <w:r>
        <w:rPr/>
        <w:t>2000 Q2. But that estimate included a statistical alignment adjustment allocated to inventories. The</w:t>
      </w:r>
    </w:p>
    <w:p>
      <w:pPr>
        <w:spacing w:after="0" w:line="242" w:lineRule="auto"/>
        <w:sectPr>
          <w:type w:val="continuous"/>
          <w:pgSz w:w="11900" w:h="16840"/>
          <w:pgMar w:top="1260" w:bottom="280" w:left="640" w:right="640"/>
          <w:cols w:num="2" w:equalWidth="0">
            <w:col w:w="2205" w:space="2595"/>
            <w:col w:w="5820"/>
          </w:cols>
        </w:sectPr>
      </w:pPr>
    </w:p>
    <w:p>
      <w:pPr>
        <w:spacing w:line="324" w:lineRule="auto" w:before="46"/>
        <w:ind w:left="420" w:right="-20" w:hanging="1"/>
        <w:jc w:val="left"/>
        <w:rPr>
          <w:sz w:val="12"/>
        </w:rPr>
      </w:pPr>
      <w:r>
        <w:rPr/>
        <w:pict>
          <v:group style="position:absolute;margin-left:42.589001pt;margin-top:1.81457pt;width:8.950pt;height:20.95pt;mso-position-horizontal-relative:page;mso-position-vertical-relative:paragraph;z-index:15921152" coordorigin="852,36" coordsize="179,419">
            <v:line style="position:absolute" from="852,449" to="938,449" stroked="true" strokeweight=".5pt" strokecolor="#000000">
              <v:stroke dashstyle="solid"/>
            </v:line>
            <v:shape style="position:absolute;left:851;top:36;width:179;height:348" type="#_x0000_t75" stroked="false">
              <v:imagedata r:id="rId91" o:title=""/>
            </v:shape>
            <w10:wrap type="none"/>
          </v:group>
        </w:pict>
      </w:r>
      <w:r>
        <w:rPr>
          <w:sz w:val="12"/>
        </w:rPr>
        <w:t>Manufacturing Wholesale</w:t>
      </w:r>
    </w:p>
    <w:p>
      <w:pPr>
        <w:pStyle w:val="BodyText"/>
        <w:rPr>
          <w:sz w:val="20"/>
        </w:rPr>
      </w:pPr>
    </w:p>
    <w:p>
      <w:pPr>
        <w:pStyle w:val="BodyText"/>
        <w:spacing w:before="8"/>
        <w:rPr>
          <w:sz w:val="20"/>
        </w:rPr>
      </w:pPr>
      <w:r>
        <w:rPr/>
        <w:pict>
          <v:shape style="position:absolute;margin-left:42.589001pt;margin-top:14.120402pt;width:4.350pt;height:.1pt;mso-position-horizontal-relative:page;mso-position-vertical-relative:paragraph;z-index:-15544832;mso-wrap-distance-left:0;mso-wrap-distance-right:0" coordorigin="852,282" coordsize="87,0" path="m852,282l938,282e" filled="false" stroked="true" strokeweight=".5pt" strokecolor="#000000">
            <v:path arrowok="t"/>
            <v:stroke dashstyle="solid"/>
            <w10:wrap type="topAndBottom"/>
          </v:shape>
        </w:pict>
      </w:r>
    </w:p>
    <w:p>
      <w:pPr>
        <w:pStyle w:val="BodyText"/>
        <w:rPr>
          <w:sz w:val="20"/>
        </w:rPr>
      </w:pPr>
    </w:p>
    <w:p>
      <w:pPr>
        <w:pStyle w:val="BodyText"/>
        <w:spacing w:before="1"/>
        <w:rPr>
          <w:sz w:val="15"/>
        </w:rPr>
      </w:pPr>
      <w:r>
        <w:rPr/>
        <w:pict>
          <v:shape style="position:absolute;margin-left:42.589001pt;margin-top:10.884976pt;width:4.350pt;height:.1pt;mso-position-horizontal-relative:page;mso-position-vertical-relative:paragraph;z-index:-15544320;mso-wrap-distance-left:0;mso-wrap-distance-right:0" coordorigin="852,218" coordsize="87,0" path="m852,218l938,218e" filled="false" stroked="true" strokeweight=".5pt" strokecolor="#000000">
            <v:path arrowok="t"/>
            <v:stroke dashstyle="solid"/>
            <w10:wrap type="topAndBottom"/>
          </v:shape>
        </w:pict>
      </w:r>
    </w:p>
    <w:p>
      <w:pPr>
        <w:spacing w:before="46"/>
        <w:ind w:left="361" w:right="0" w:firstLine="0"/>
        <w:jc w:val="left"/>
        <w:rPr>
          <w:sz w:val="12"/>
        </w:rPr>
      </w:pPr>
      <w:r>
        <w:rPr/>
        <w:br w:type="column"/>
      </w:r>
      <w:r>
        <w:rPr>
          <w:sz w:val="12"/>
        </w:rPr>
        <w:t>Retail</w:t>
      </w:r>
    </w:p>
    <w:p>
      <w:pPr>
        <w:tabs>
          <w:tab w:pos="1807" w:val="left" w:leader="none"/>
        </w:tabs>
        <w:spacing w:before="44"/>
        <w:ind w:left="361" w:right="0" w:firstLine="0"/>
        <w:jc w:val="left"/>
        <w:rPr>
          <w:sz w:val="12"/>
        </w:rPr>
      </w:pPr>
      <w:r>
        <w:rPr/>
        <w:drawing>
          <wp:anchor distT="0" distB="0" distL="0" distR="0" allowOverlap="1" layoutInCell="1" locked="0" behindDoc="0" simplePos="0" relativeHeight="15923712">
            <wp:simplePos x="0" y="0"/>
            <wp:positionH relativeFrom="page">
              <wp:posOffset>1253337</wp:posOffset>
            </wp:positionH>
            <wp:positionV relativeFrom="paragraph">
              <wp:posOffset>-93977</wp:posOffset>
            </wp:positionV>
            <wp:extent cx="113360" cy="220370"/>
            <wp:effectExtent l="0" t="0" r="0" b="0"/>
            <wp:wrapNone/>
            <wp:docPr id="121" name="image52.png"/>
            <wp:cNvGraphicFramePr>
              <a:graphicFrameLocks noChangeAspect="1"/>
            </wp:cNvGraphicFramePr>
            <a:graphic>
              <a:graphicData uri="http://schemas.openxmlformats.org/drawingml/2006/picture">
                <pic:pic>
                  <pic:nvPicPr>
                    <pic:cNvPr id="122" name="image52.png"/>
                    <pic:cNvPicPr/>
                  </pic:nvPicPr>
                  <pic:blipFill>
                    <a:blip r:embed="rId92" cstate="print"/>
                    <a:stretch>
                      <a:fillRect/>
                    </a:stretch>
                  </pic:blipFill>
                  <pic:spPr>
                    <a:xfrm>
                      <a:off x="0" y="0"/>
                      <a:ext cx="113360" cy="220370"/>
                    </a:xfrm>
                    <a:prstGeom prst="rect">
                      <a:avLst/>
                    </a:prstGeom>
                  </pic:spPr>
                </pic:pic>
              </a:graphicData>
            </a:graphic>
          </wp:anchor>
        </w:drawing>
      </w:r>
      <w:r>
        <w:rPr>
          <w:position w:val="5"/>
          <w:sz w:val="12"/>
        </w:rPr>
        <w:t>Other</w:t>
        <w:tab/>
      </w:r>
      <w:r>
        <w:rPr>
          <w:sz w:val="12"/>
        </w:rPr>
        <w:t>£</w:t>
      </w:r>
      <w:r>
        <w:rPr>
          <w:spacing w:val="2"/>
          <w:sz w:val="12"/>
        </w:rPr>
        <w:t> </w:t>
      </w:r>
      <w:r>
        <w:rPr>
          <w:spacing w:val="-3"/>
          <w:sz w:val="12"/>
        </w:rPr>
        <w:t>billions</w:t>
      </w:r>
    </w:p>
    <w:p>
      <w:pPr>
        <w:pStyle w:val="BodyText"/>
        <w:spacing w:before="6"/>
        <w:rPr>
          <w:sz w:val="2"/>
        </w:rPr>
      </w:pPr>
    </w:p>
    <w:p>
      <w:pPr>
        <w:pStyle w:val="BodyText"/>
        <w:spacing w:line="20" w:lineRule="exact"/>
        <w:ind w:left="2166"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2"/>
        <w:rPr>
          <w:sz w:val="20"/>
        </w:rPr>
      </w:pPr>
    </w:p>
    <w:p>
      <w:pPr>
        <w:pStyle w:val="BodyText"/>
        <w:spacing w:line="20" w:lineRule="exact"/>
        <w:ind w:left="2166"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1"/>
        <w:rPr>
          <w:sz w:val="20"/>
        </w:rPr>
      </w:pPr>
    </w:p>
    <w:p>
      <w:pPr>
        <w:pStyle w:val="BodyText"/>
        <w:spacing w:line="20" w:lineRule="exact"/>
        <w:ind w:left="2166" w:right="-7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spacing w:before="98"/>
        <w:ind w:left="-5" w:right="0" w:firstLine="0"/>
        <w:jc w:val="left"/>
        <w:rPr>
          <w:sz w:val="12"/>
        </w:rPr>
      </w:pPr>
      <w:r>
        <w:rPr>
          <w:sz w:val="12"/>
        </w:rPr>
        <w:t>2.0</w:t>
      </w:r>
    </w:p>
    <w:p>
      <w:pPr>
        <w:pStyle w:val="BodyText"/>
        <w:rPr>
          <w:sz w:val="12"/>
        </w:rPr>
      </w:pPr>
    </w:p>
    <w:p>
      <w:pPr>
        <w:pStyle w:val="BodyText"/>
        <w:spacing w:before="10"/>
        <w:rPr>
          <w:sz w:val="17"/>
        </w:rPr>
      </w:pPr>
    </w:p>
    <w:p>
      <w:pPr>
        <w:spacing w:before="1"/>
        <w:ind w:left="-5" w:right="0" w:firstLine="0"/>
        <w:jc w:val="left"/>
        <w:rPr>
          <w:sz w:val="12"/>
        </w:rPr>
      </w:pPr>
      <w:r>
        <w:rPr>
          <w:sz w:val="12"/>
        </w:rPr>
        <w:t>1.5</w:t>
      </w:r>
    </w:p>
    <w:p>
      <w:pPr>
        <w:pStyle w:val="BodyText"/>
        <w:rPr>
          <w:sz w:val="12"/>
        </w:rPr>
      </w:pPr>
    </w:p>
    <w:p>
      <w:pPr>
        <w:pStyle w:val="BodyText"/>
        <w:spacing w:before="10"/>
        <w:rPr>
          <w:sz w:val="17"/>
        </w:rPr>
      </w:pPr>
    </w:p>
    <w:p>
      <w:pPr>
        <w:spacing w:before="0"/>
        <w:ind w:left="-5" w:right="0" w:firstLine="0"/>
        <w:jc w:val="left"/>
        <w:rPr>
          <w:sz w:val="12"/>
        </w:rPr>
      </w:pPr>
      <w:r>
        <w:rPr>
          <w:sz w:val="12"/>
        </w:rPr>
        <w:t>1.0</w:t>
      </w:r>
    </w:p>
    <w:p>
      <w:pPr>
        <w:pStyle w:val="BodyText"/>
        <w:spacing w:line="242" w:lineRule="auto" w:before="3"/>
        <w:ind w:left="419" w:right="127"/>
      </w:pPr>
      <w:r>
        <w:rPr/>
        <w:br w:type="column"/>
      </w:r>
      <w:r>
        <w:rPr/>
        <w:t>underlying data suggested that inventories rose less rapidly (see Chart 2.14). In particular, stocks held by wholesalers fell back after a large build-up in the first quarter, which might have been related to stockpiling of tobacco products ahead of increases in duty in the Budget.</w:t>
      </w:r>
    </w:p>
    <w:p>
      <w:pPr>
        <w:spacing w:after="0" w:line="242" w:lineRule="auto"/>
        <w:sectPr>
          <w:type w:val="continuous"/>
          <w:pgSz w:w="11900" w:h="16840"/>
          <w:pgMar w:top="1260" w:bottom="280" w:left="640" w:right="640"/>
          <w:cols w:num="4" w:equalWidth="0">
            <w:col w:w="1133" w:space="40"/>
            <w:col w:w="2258" w:space="39"/>
            <w:col w:w="186" w:space="899"/>
            <w:col w:w="6065"/>
          </w:cols>
        </w:sectPr>
      </w:pPr>
    </w:p>
    <w:p>
      <w:pPr>
        <w:pStyle w:val="BodyText"/>
        <w:spacing w:before="6" w:after="1"/>
        <w:rPr>
          <w:sz w:val="18"/>
        </w:rPr>
      </w:pPr>
    </w:p>
    <w:p>
      <w:pPr>
        <w:pStyle w:val="BodyText"/>
        <w:spacing w:line="20" w:lineRule="exact"/>
        <w:ind w:left="206"/>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spacing w:before="8"/>
        <w:rPr>
          <w:sz w:val="16"/>
        </w:rPr>
      </w:pPr>
      <w:r>
        <w:rPr/>
        <w:pict>
          <v:shape style="position:absolute;margin-left:42.589001pt;margin-top:11.833977pt;width:4.350pt;height:.1pt;mso-position-horizontal-relative:page;mso-position-vertical-relative:paragraph;z-index:-15541760;mso-wrap-distance-left:0;mso-wrap-distance-right:0" coordorigin="852,237" coordsize="87,0" path="m852,237l938,237e" filled="false" stroked="true" strokeweight=".5pt" strokecolor="#000000">
            <v:path arrowok="t"/>
            <v:stroke dashstyle="solid"/>
            <w10:wrap type="topAndBottom"/>
          </v:shape>
        </w:pict>
      </w:r>
    </w:p>
    <w:p>
      <w:pPr>
        <w:pStyle w:val="BodyText"/>
        <w:rPr>
          <w:sz w:val="20"/>
        </w:rPr>
      </w:pPr>
    </w:p>
    <w:p>
      <w:pPr>
        <w:pStyle w:val="BodyText"/>
        <w:spacing w:before="1"/>
        <w:rPr>
          <w:sz w:val="15"/>
        </w:rPr>
      </w:pPr>
      <w:r>
        <w:rPr/>
        <w:pict>
          <v:shape style="position:absolute;margin-left:42.589001pt;margin-top:10.884976pt;width:4.350pt;height:.1pt;mso-position-horizontal-relative:page;mso-position-vertical-relative:paragraph;z-index:-15541248;mso-wrap-distance-left:0;mso-wrap-distance-right:0" coordorigin="852,218" coordsize="87,0" path="m852,218l938,218e" filled="false" stroked="true" strokeweight=".5pt" strokecolor="#000000">
            <v:path arrowok="t"/>
            <v:stroke dashstyle="solid"/>
            <w10:wrap type="topAndBottom"/>
          </v:shape>
        </w:pict>
      </w:r>
    </w:p>
    <w:p>
      <w:pPr>
        <w:pStyle w:val="BodyText"/>
        <w:rPr>
          <w:sz w:val="20"/>
        </w:rPr>
      </w:pPr>
    </w:p>
    <w:p>
      <w:pPr>
        <w:pStyle w:val="BodyText"/>
        <w:spacing w:before="2"/>
        <w:rPr>
          <w:sz w:val="15"/>
        </w:rPr>
      </w:pPr>
      <w:r>
        <w:rPr/>
        <w:pict>
          <v:shape style="position:absolute;margin-left:42.589001pt;margin-top:10.943976pt;width:4.350pt;height:.1pt;mso-position-horizontal-relative:page;mso-position-vertical-relative:paragraph;z-index:-15540736;mso-wrap-distance-left:0;mso-wrap-distance-right:0" coordorigin="852,219" coordsize="87,0" path="m852,219l938,219e" filled="false" stroked="true" strokeweight=".5pt" strokecolor="#000000">
            <v:path arrowok="t"/>
            <v:stroke dashstyle="solid"/>
            <w10:wrap type="topAndBottom"/>
          </v:shape>
        </w:pict>
      </w:r>
    </w:p>
    <w:p>
      <w:pPr>
        <w:spacing w:before="12"/>
        <w:ind w:left="0" w:right="38" w:firstLine="0"/>
        <w:jc w:val="right"/>
        <w:rPr>
          <w:sz w:val="12"/>
        </w:rPr>
      </w:pPr>
      <w:r>
        <w:rPr>
          <w:sz w:val="12"/>
        </w:rPr>
        <w:t>1998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6"/>
        </w:rPr>
      </w:pPr>
    </w:p>
    <w:p>
      <w:pPr>
        <w:tabs>
          <w:tab w:pos="1669" w:val="left" w:leader="none"/>
        </w:tabs>
        <w:spacing w:before="0"/>
        <w:ind w:left="823" w:right="0" w:firstLine="0"/>
        <w:jc w:val="left"/>
        <w:rPr>
          <w:sz w:val="12"/>
        </w:rPr>
      </w:pPr>
      <w:r>
        <w:rPr>
          <w:sz w:val="12"/>
        </w:rPr>
        <w:t>99</w:t>
        <w:tab/>
      </w:r>
      <w:r>
        <w:rPr>
          <w:spacing w:val="-5"/>
          <w:sz w:val="12"/>
        </w:rPr>
        <w:t>2000</w:t>
      </w:r>
    </w:p>
    <w:p>
      <w:pPr>
        <w:pStyle w:val="BodyText"/>
        <w:spacing w:before="6"/>
        <w:rPr>
          <w:sz w:val="12"/>
        </w:rPr>
      </w:pPr>
      <w:r>
        <w:rPr/>
        <w:br w:type="column"/>
      </w:r>
      <w:r>
        <w:rPr>
          <w:sz w:val="12"/>
        </w:rPr>
      </w:r>
    </w:p>
    <w:p>
      <w:pPr>
        <w:spacing w:before="0"/>
        <w:ind w:left="289" w:right="0" w:firstLine="0"/>
        <w:jc w:val="left"/>
        <w:rPr>
          <w:sz w:val="12"/>
        </w:rPr>
      </w:pPr>
      <w:r>
        <w:rPr>
          <w:sz w:val="12"/>
        </w:rPr>
        <w:t>0.5</w:t>
      </w:r>
    </w:p>
    <w:p>
      <w:pPr>
        <w:pStyle w:val="BodyText"/>
        <w:spacing w:before="7"/>
        <w:rPr>
          <w:sz w:val="12"/>
        </w:rPr>
      </w:pPr>
    </w:p>
    <w:p>
      <w:pPr>
        <w:spacing w:before="0"/>
        <w:ind w:left="227" w:right="0" w:firstLine="0"/>
        <w:jc w:val="left"/>
        <w:rPr>
          <w:sz w:val="16"/>
        </w:rPr>
      </w:pPr>
      <w:r>
        <w:rPr/>
        <w:pict>
          <v:group style="position:absolute;margin-left:50.611pt;margin-top:-71.40625pt;width:144.65pt;height:133.6pt;mso-position-horizontal-relative:page;mso-position-vertical-relative:paragraph;z-index:15920640" coordorigin="1012,-1428" coordsize="2893,2672">
            <v:rect style="position:absolute;left:1050;top:271;width:55;height:138" filled="true" fillcolor="#006caa" stroked="false">
              <v:fill type="solid"/>
            </v:rect>
            <v:rect style="position:absolute;left:1050;top:271;width:55;height:138" filled="false" stroked="true" strokeweight=".5pt" strokecolor="#000000">
              <v:stroke dashstyle="solid"/>
            </v:rect>
            <v:rect style="position:absolute;left:1102;top:-186;width:65;height:460" filled="true" fillcolor="#f6bd61" stroked="false">
              <v:fill type="solid"/>
            </v:rect>
            <v:rect style="position:absolute;left:1102;top:-186;width:65;height:460" filled="false" stroked="true" strokeweight=".5pt" strokecolor="#000000">
              <v:stroke dashstyle="solid"/>
            </v:rect>
            <v:rect style="position:absolute;left:1165;top:-169;width:53;height:443" filled="true" fillcolor="#008360" stroked="false">
              <v:fill type="solid"/>
            </v:rect>
            <v:rect style="position:absolute;left:1165;top:-169;width:53;height:443" filled="false" stroked="true" strokeweight=".5pt" strokecolor="#000000">
              <v:stroke dashstyle="solid"/>
            </v:rect>
            <v:rect style="position:absolute;left:1340;top:271;width:55;height:188" filled="true" fillcolor="#006caa" stroked="false">
              <v:fill type="solid"/>
            </v:rect>
            <v:rect style="position:absolute;left:1340;top:271;width:55;height:188" filled="false" stroked="true" strokeweight=".5pt" strokecolor="#000000">
              <v:stroke dashstyle="solid"/>
            </v:rect>
            <v:rect style="position:absolute;left:1392;top:271;width:63;height:578" filled="true" fillcolor="#f6bd61" stroked="false">
              <v:fill type="solid"/>
            </v:rect>
            <v:rect style="position:absolute;left:1392;top:271;width:63;height:578" filled="false" stroked="true" strokeweight=".5pt" strokecolor="#000000">
              <v:stroke dashstyle="solid"/>
            </v:rect>
            <v:rect style="position:absolute;left:1452;top:86;width:55;height:188" filled="true" fillcolor="#008360" stroked="false">
              <v:fill type="solid"/>
            </v:rect>
            <v:rect style="position:absolute;left:1452;top:86;width:55;height:188" filled="false" stroked="true" strokeweight=".5pt" strokecolor="#000000">
              <v:stroke dashstyle="solid"/>
            </v:rect>
            <v:rect style="position:absolute;left:1215;top:-659;width:55;height:933" filled="true" fillcolor="#cee7e8" stroked="false">
              <v:fill type="solid"/>
            </v:rect>
            <v:rect style="position:absolute;left:1215;top:-659;width:55;height:933" filled="false" stroked="true" strokeweight=".5pt" strokecolor="#000000">
              <v:stroke dashstyle="solid"/>
            </v:rect>
            <v:rect style="position:absolute;left:1630;top:271;width:53;height:188" filled="true" fillcolor="#006caa" stroked="false">
              <v:fill type="solid"/>
            </v:rect>
            <v:rect style="position:absolute;left:1630;top:271;width:53;height:188" filled="false" stroked="true" strokeweight=".5pt" strokecolor="#000000">
              <v:stroke dashstyle="solid"/>
            </v:rect>
            <v:rect style="position:absolute;left:1732;top:19;width:55;height:255" filled="true" fillcolor="#008360" stroked="false">
              <v:fill type="solid"/>
            </v:rect>
            <v:rect style="position:absolute;left:1732;top:19;width:55;height:255" filled="false" stroked="true" strokeweight=".5pt" strokecolor="#000000">
              <v:stroke dashstyle="solid"/>
            </v:rect>
            <v:rect style="position:absolute;left:1505;top:-861;width:55;height:1135" filled="true" fillcolor="#cee7e8" stroked="false">
              <v:fill type="solid"/>
            </v:rect>
            <v:rect style="position:absolute;left:1505;top:-861;width:55;height:1135" filled="false" stroked="true" strokeweight=".5pt" strokecolor="#000000">
              <v:stroke dashstyle="solid"/>
            </v:rect>
            <v:rect style="position:absolute;left:1907;top:-709;width:55;height:983" filled="true" fillcolor="#006caa" stroked="false">
              <v:fill type="solid"/>
            </v:rect>
            <v:rect style="position:absolute;left:1907;top:-709;width:55;height:983" filled="false" stroked="true" strokeweight=".5pt" strokecolor="#000000">
              <v:stroke dashstyle="solid"/>
            </v:rect>
            <v:rect style="position:absolute;left:1960;top:169;width:65;height:105" filled="true" fillcolor="#f6bd61" stroked="false">
              <v:fill type="solid"/>
            </v:rect>
            <v:rect style="position:absolute;left:1960;top:169;width:65;height:105" filled="false" stroked="true" strokeweight=".5pt" strokecolor="#000000">
              <v:stroke dashstyle="solid"/>
            </v:rect>
            <v:rect style="position:absolute;left:2022;top:204;width:55;height:70" filled="true" fillcolor="#008360" stroked="false">
              <v:fill type="solid"/>
            </v:rect>
            <v:rect style="position:absolute;left:2022;top:204;width:55;height:70" filled="false" stroked="true" strokeweight=".5pt" strokecolor="#000000">
              <v:stroke dashstyle="solid"/>
            </v:rect>
            <v:rect style="position:absolute;left:1785;top:-371;width:55;height:645" filled="true" fillcolor="#cee7e8" stroked="false">
              <v:fill type="solid"/>
            </v:rect>
            <v:rect style="position:absolute;left:1785;top:-371;width:55;height:645" filled="false" stroked="true" strokeweight=".5pt" strokecolor="#000000">
              <v:stroke dashstyle="solid"/>
            </v:rect>
            <v:rect style="position:absolute;left:2197;top:271;width:55;height:780" filled="true" fillcolor="#006caa" stroked="false">
              <v:fill type="solid"/>
            </v:rect>
            <v:rect style="position:absolute;left:2197;top:271;width:55;height:780" filled="false" stroked="true" strokeweight=".5pt" strokecolor="#000000">
              <v:stroke dashstyle="solid"/>
            </v:rect>
            <v:rect style="position:absolute;left:2250;top:271;width:65;height:155" filled="true" fillcolor="#f6bd61" stroked="false">
              <v:fill type="solid"/>
            </v:rect>
            <v:rect style="position:absolute;left:2250;top:271;width:65;height:155" filled="false" stroked="true" strokeweight=".5pt" strokecolor="#000000">
              <v:stroke dashstyle="solid"/>
            </v:rect>
            <v:rect style="position:absolute;left:2312;top:34;width:55;height:240" filled="true" fillcolor="#008360" stroked="false">
              <v:fill type="solid"/>
            </v:rect>
            <v:rect style="position:absolute;left:2312;top:34;width:55;height:240" filled="false" stroked="true" strokeweight=".5pt" strokecolor="#000000">
              <v:stroke dashstyle="solid"/>
            </v:rect>
            <v:rect style="position:absolute;left:2075;top:271;width:53;height:53" filled="true" fillcolor="#cee7e8" stroked="false">
              <v:fill type="solid"/>
            </v:rect>
            <v:rect style="position:absolute;left:2075;top:271;width:53;height:53" filled="false" stroked="true" strokeweight=".5pt" strokecolor="#000000">
              <v:stroke dashstyle="solid"/>
            </v:rect>
            <v:rect style="position:absolute;left:2487;top:271;width:55;height:745" filled="true" fillcolor="#006caa" stroked="false">
              <v:fill type="solid"/>
            </v:rect>
            <v:rect style="position:absolute;left:2487;top:271;width:55;height:745" filled="false" stroked="true" strokeweight=".5pt" strokecolor="#000000">
              <v:stroke dashstyle="solid"/>
            </v:rect>
            <v:rect style="position:absolute;left:2540;top:271;width:65;height:240" filled="true" fillcolor="#f6bd61" stroked="false">
              <v:fill type="solid"/>
            </v:rect>
            <v:rect style="position:absolute;left:2540;top:271;width:65;height:240" filled="false" stroked="true" strokeweight=".5pt" strokecolor="#000000">
              <v:stroke dashstyle="solid"/>
            </v:rect>
            <v:rect style="position:absolute;left:2602;top:-101;width:53;height:375" filled="true" fillcolor="#008360" stroked="false">
              <v:fill type="solid"/>
            </v:rect>
            <v:rect style="position:absolute;left:2602;top:-101;width:53;height:375" filled="false" stroked="true" strokeweight=".5pt" strokecolor="#000000">
              <v:stroke dashstyle="solid"/>
            </v:rect>
            <v:rect style="position:absolute;left:2365;top:101;width:53;height:173" filled="true" fillcolor="#cee7e8" stroked="false">
              <v:fill type="solid"/>
            </v:rect>
            <v:rect style="position:absolute;left:2365;top:101;width:53;height:173" filled="false" stroked="true" strokeweight=".5pt" strokecolor="#000000">
              <v:stroke dashstyle="solid"/>
            </v:rect>
            <v:rect style="position:absolute;left:2777;top:-66;width:55;height:340" filled="true" fillcolor="#006caa" stroked="false">
              <v:fill type="solid"/>
            </v:rect>
            <v:rect style="position:absolute;left:2777;top:-66;width:55;height:340" filled="false" stroked="true" strokeweight=".5pt" strokecolor="#000000">
              <v:stroke dashstyle="solid"/>
            </v:rect>
            <v:rect style="position:absolute;left:2830;top:271;width:63;height:188" filled="true" fillcolor="#f6bd61" stroked="false">
              <v:fill type="solid"/>
            </v:rect>
            <v:rect style="position:absolute;left:2830;top:271;width:63;height:188" filled="false" stroked="true" strokeweight=".5pt" strokecolor="#000000">
              <v:stroke dashstyle="solid"/>
            </v:rect>
            <v:rect style="position:absolute;left:2890;top:154;width:55;height:120" filled="true" fillcolor="#008360" stroked="false">
              <v:fill type="solid"/>
            </v:rect>
            <v:rect style="position:absolute;left:2890;top:154;width:55;height:120" filled="false" stroked="true" strokeweight=".5pt" strokecolor="#000000">
              <v:stroke dashstyle="solid"/>
            </v:rect>
            <v:rect style="position:absolute;left:2652;top:271;width:55;height:70" filled="true" fillcolor="#cee7e8" stroked="false">
              <v:fill type="solid"/>
            </v:rect>
            <v:rect style="position:absolute;left:2652;top:271;width:55;height:70" filled="false" stroked="true" strokeweight=".5pt" strokecolor="#000000">
              <v:stroke dashstyle="solid"/>
            </v:rect>
            <v:rect style="position:absolute;left:3067;top:221;width:55;height:53" filled="true" fillcolor="#006caa" stroked="false">
              <v:fill type="solid"/>
            </v:rect>
            <v:rect style="position:absolute;left:3067;top:221;width:55;height:53" filled="false" stroked="true" strokeweight=".5pt" strokecolor="#000000">
              <v:stroke dashstyle="solid"/>
            </v:rect>
            <v:rect style="position:absolute;left:3120;top:271;width:53;height:103" filled="true" fillcolor="#f6bd61" stroked="false">
              <v:fill type="solid"/>
            </v:rect>
            <v:rect style="position:absolute;left:3120;top:271;width:53;height:103" filled="false" stroked="true" strokeweight=".5pt" strokecolor="#000000">
              <v:stroke dashstyle="solid"/>
            </v:rect>
            <v:rect style="position:absolute;left:3170;top:271;width:55;height:70" filled="true" fillcolor="#008360" stroked="false">
              <v:fill type="solid"/>
            </v:rect>
            <v:rect style="position:absolute;left:3170;top:271;width:55;height:70" filled="false" stroked="true" strokeweight=".5pt" strokecolor="#000000">
              <v:stroke dashstyle="solid"/>
            </v:rect>
            <v:rect style="position:absolute;left:2942;top:271;width:55;height:88" filled="true" fillcolor="#cee7e8" stroked="false">
              <v:fill type="solid"/>
            </v:rect>
            <v:rect style="position:absolute;left:2942;top:271;width:55;height:88" filled="false" stroked="true" strokeweight=".5pt" strokecolor="#000000">
              <v:stroke dashstyle="solid"/>
            </v:rect>
            <v:rect style="position:absolute;left:3347;top:271;width:53;height:173" filled="true" fillcolor="#006caa" stroked="false">
              <v:fill type="solid"/>
            </v:rect>
            <v:rect style="position:absolute;left:3347;top:271;width:53;height:173" filled="false" stroked="true" strokeweight=".5pt" strokecolor="#000000">
              <v:stroke dashstyle="solid"/>
            </v:rect>
            <v:rect style="position:absolute;left:3397;top:-456;width:65;height:730" filled="true" fillcolor="#f6bd61" stroked="false">
              <v:fill type="solid"/>
            </v:rect>
            <v:rect style="position:absolute;left:3397;top:-456;width:65;height:730" filled="false" stroked="true" strokeweight=".5pt" strokecolor="#000000">
              <v:stroke dashstyle="solid"/>
            </v:rect>
            <v:rect style="position:absolute;left:3460;top:-84;width:55;height:358" filled="true" fillcolor="#008360" stroked="false">
              <v:fill type="solid"/>
            </v:rect>
            <v:rect style="position:absolute;left:3460;top:-84;width:55;height:358" filled="false" stroked="true" strokeweight=".5pt" strokecolor="#000000">
              <v:stroke dashstyle="solid"/>
            </v:rect>
            <v:rect style="position:absolute;left:3222;top:271;width:55;height:205" filled="true" fillcolor="#cee7e8" stroked="false">
              <v:fill type="solid"/>
            </v:rect>
            <v:rect style="position:absolute;left:3222;top:271;width:55;height:205" filled="false" stroked="true" strokeweight=".5pt" strokecolor="#000000">
              <v:stroke dashstyle="solid"/>
            </v:rect>
            <v:rect style="position:absolute;left:3635;top:271;width:55;height:173" filled="true" fillcolor="#006caa" stroked="false">
              <v:fill type="solid"/>
            </v:rect>
            <v:rect style="position:absolute;left:3635;top:271;width:55;height:173" filled="false" stroked="true" strokeweight=".5pt" strokecolor="#000000">
              <v:stroke dashstyle="solid"/>
            </v:rect>
            <v:rect style="position:absolute;left:3687;top:271;width:65;height:510" filled="true" fillcolor="#f6bd61" stroked="false">
              <v:fill type="solid"/>
            </v:rect>
            <v:rect style="position:absolute;left:3687;top:271;width:65;height:510" filled="false" stroked="true" strokeweight=".5pt" strokecolor="#000000">
              <v:stroke dashstyle="solid"/>
            </v:rect>
            <v:rect style="position:absolute;left:3750;top:-16;width:55;height:290" filled="true" fillcolor="#008360" stroked="false">
              <v:fill type="solid"/>
            </v:rect>
            <v:rect style="position:absolute;left:3750;top:-16;width:55;height:290" filled="false" stroked="true" strokeweight=".5pt" strokecolor="#000000">
              <v:stroke dashstyle="solid"/>
            </v:rect>
            <v:rect style="position:absolute;left:3512;top:-186;width:53;height:460" filled="true" fillcolor="#cee7e8" stroked="false">
              <v:fill type="solid"/>
            </v:rect>
            <v:rect style="position:absolute;left:3512;top:-186;width:53;height:460" filled="false" stroked="true" strokeweight=".5pt" strokecolor="#000000">
              <v:stroke dashstyle="solid"/>
            </v:rect>
            <v:rect style="position:absolute;left:3802;top:-236;width:53;height:510" filled="true" fillcolor="#cee7e8" stroked="false">
              <v:fill type="solid"/>
            </v:rect>
            <v:shape style="position:absolute;left:1020;top:-236;width:2875;height:510" coordorigin="1020,-236" coordsize="2875,510" path="m3803,-236l3855,-236,3855,274,3803,274,3803,-236xm1020,272l3895,274e" filled="false" stroked="true" strokeweight=".5pt" strokecolor="#000000">
              <v:path arrowok="t"/>
              <v:stroke dashstyle="solid"/>
            </v:shape>
            <v:shape style="position:absolute;left:1165;top:-1419;width:2585;height:2365" coordorigin="1165,-1418" coordsize="2585,2365" path="m1165,-1418l1453,-303m1453,-303l1743,-456m1743,-456l2023,-811m2023,-811l2313,797m2313,797l2603,947m2603,947l2890,69m2890,69l3180,592m3180,592l3460,-1131m3460,-1131l3750,154e" filled="false" stroked="true" strokeweight="1pt" strokecolor="#de0035">
              <v:path arrowok="t"/>
              <v:stroke dashstyle="solid"/>
            </v:shape>
            <v:shape style="position:absolute;left:1015;top:1122;width:2889;height:116" coordorigin="1016,1122" coordsize="2889,116" path="m1016,1238l3904,1238m1017,1122l1017,1238m1305,1191l1305,1238m1593,1191l1593,1238m1881,1191l1881,1238m2169,1122l2169,1238m2457,1191l2457,1238m2745,1191l2745,1238m3033,1191l3033,1238m3321,1122l3321,1238m3609,1191l3609,1238m3897,1191l3897,1238e" filled="false" stroked="true" strokeweight=".5pt" strokecolor="#000000">
              <v:path arrowok="t"/>
              <v:stroke dashstyle="solid"/>
            </v:shape>
            <v:shape style="position:absolute;left:1264;top:-1319;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w10:wrap type="none"/>
          </v:group>
        </w:pict>
      </w:r>
      <w:r>
        <w:rPr/>
        <w:pict>
          <v:line style="position:absolute;mso-position-horizontal-relative:page;mso-position-vertical-relative:paragraph;z-index:15921664" from="199.188995pt,-10.34525pt" to="203.520995pt,-10.34525pt" stroked="true" strokeweight=".5pt" strokecolor="#000000">
            <v:stroke dashstyle="solid"/>
            <w10:wrap type="none"/>
          </v:line>
        </w:pict>
      </w:r>
      <w:r>
        <w:rPr>
          <w:sz w:val="16"/>
        </w:rPr>
        <w:t>+</w:t>
      </w:r>
    </w:p>
    <w:p>
      <w:pPr>
        <w:spacing w:line="105" w:lineRule="exact" w:before="15"/>
        <w:ind w:left="289" w:right="0" w:firstLine="0"/>
        <w:jc w:val="left"/>
        <w:rPr>
          <w:sz w:val="12"/>
        </w:rPr>
      </w:pPr>
      <w:r>
        <w:rPr/>
        <w:pict>
          <v:line style="position:absolute;mso-position-horizontal-relative:page;mso-position-vertical-relative:paragraph;z-index:15922688" from="199.188995pt,4.547039pt" to="203.520995pt,4.547039pt" stroked="true" strokeweight=".5pt" strokecolor="#000000">
            <v:stroke dashstyle="solid"/>
            <w10:wrap type="none"/>
          </v:line>
        </w:pict>
      </w:r>
      <w:r>
        <w:rPr>
          <w:sz w:val="12"/>
        </w:rPr>
        <w:t>0.0</w:t>
      </w:r>
    </w:p>
    <w:p>
      <w:pPr>
        <w:spacing w:line="151" w:lineRule="exact" w:before="0"/>
        <w:ind w:left="233" w:right="0" w:firstLine="0"/>
        <w:jc w:val="left"/>
        <w:rPr>
          <w:sz w:val="16"/>
        </w:rPr>
      </w:pPr>
      <w:r>
        <w:rPr>
          <w:sz w:val="16"/>
        </w:rPr>
        <w:t>_</w:t>
      </w:r>
    </w:p>
    <w:p>
      <w:pPr>
        <w:pStyle w:val="BodyText"/>
        <w:spacing w:before="7"/>
        <w:rPr>
          <w:sz w:val="19"/>
        </w:rPr>
      </w:pPr>
    </w:p>
    <w:p>
      <w:pPr>
        <w:spacing w:before="1"/>
        <w:ind w:left="289" w:right="0" w:firstLine="0"/>
        <w:jc w:val="left"/>
        <w:rPr>
          <w:sz w:val="12"/>
        </w:rPr>
      </w:pPr>
      <w:r>
        <w:rPr/>
        <w:pict>
          <v:line style="position:absolute;mso-position-horizontal-relative:page;mso-position-vertical-relative:paragraph;z-index:15922176" from="199.188995pt,3.847054pt" to="203.520995pt,3.847054pt" stroked="true" strokeweight=".5pt" strokecolor="#000000">
            <v:stroke dashstyle="solid"/>
            <w10:wrap type="none"/>
          </v:line>
        </w:pict>
      </w:r>
      <w:r>
        <w:rPr>
          <w:sz w:val="12"/>
        </w:rPr>
        <w:t>0.5</w:t>
      </w:r>
    </w:p>
    <w:p>
      <w:pPr>
        <w:pStyle w:val="BodyText"/>
        <w:rPr>
          <w:sz w:val="12"/>
        </w:rPr>
      </w:pPr>
    </w:p>
    <w:p>
      <w:pPr>
        <w:pStyle w:val="BodyText"/>
        <w:spacing w:before="10"/>
        <w:rPr>
          <w:sz w:val="17"/>
        </w:rPr>
      </w:pPr>
    </w:p>
    <w:p>
      <w:pPr>
        <w:spacing w:before="0"/>
        <w:ind w:left="289" w:right="0" w:firstLine="0"/>
        <w:jc w:val="left"/>
        <w:rPr>
          <w:sz w:val="12"/>
        </w:rPr>
      </w:pPr>
      <w:r>
        <w:rPr/>
        <w:pict>
          <v:line style="position:absolute;mso-position-horizontal-relative:page;mso-position-vertical-relative:paragraph;z-index:15923200" from="199.188995pt,3.795229pt" to="203.520995pt,3.795229pt" stroked="true" strokeweight=".5pt" strokecolor="#000000">
            <v:stroke dashstyle="solid"/>
            <w10:wrap type="none"/>
          </v:line>
        </w:pict>
      </w:r>
      <w:r>
        <w:rPr>
          <w:sz w:val="12"/>
        </w:rPr>
        <w:t>1.0</w:t>
      </w:r>
    </w:p>
    <w:p>
      <w:pPr>
        <w:pStyle w:val="BodyText"/>
        <w:rPr>
          <w:sz w:val="25"/>
        </w:rPr>
      </w:pPr>
      <w:r>
        <w:rPr/>
        <w:br w:type="column"/>
      </w:r>
      <w:r>
        <w:rPr>
          <w:sz w:val="25"/>
        </w:rPr>
      </w:r>
    </w:p>
    <w:p>
      <w:pPr>
        <w:pStyle w:val="BodyText"/>
        <w:spacing w:line="242" w:lineRule="auto"/>
        <w:ind w:left="823" w:right="47"/>
      </w:pPr>
      <w:r>
        <w:rPr/>
        <w:t>Fuel supply disruptions are likely to have affected stock levels in many firms in September. But survey evidence on stock levels in the economy as a whole is mixed. The latest CBI distributive trades survey reported that stocks held by retailers had fallen in Q3 although wholesalers’ stocks had risen slightly. The CBI quarterly industrial</w:t>
      </w:r>
    </w:p>
    <w:p>
      <w:pPr>
        <w:spacing w:after="0" w:line="242" w:lineRule="auto"/>
        <w:sectPr>
          <w:type w:val="continuous"/>
          <w:pgSz w:w="11900" w:h="16840"/>
          <w:pgMar w:top="1260" w:bottom="280" w:left="640" w:right="640"/>
          <w:cols w:num="4" w:equalWidth="0">
            <w:col w:w="1104" w:space="122"/>
            <w:col w:w="1911" w:space="40"/>
            <w:col w:w="480" w:space="494"/>
            <w:col w:w="6469"/>
          </w:cols>
        </w:sectPr>
      </w:pPr>
    </w:p>
    <w:p>
      <w:pPr>
        <w:spacing w:before="36"/>
        <w:ind w:left="194" w:right="0" w:firstLine="0"/>
        <w:jc w:val="left"/>
        <w:rPr>
          <w:sz w:val="12"/>
        </w:rPr>
      </w:pPr>
      <w:r>
        <w:rPr>
          <w:sz w:val="12"/>
        </w:rPr>
        <w:t>(a) At constant 1995 prices, excluding a statistical alignment adjustment.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1"/>
        </w:rPr>
      </w:pPr>
    </w:p>
    <w:p>
      <w:pPr>
        <w:spacing w:line="249" w:lineRule="auto" w:before="0"/>
        <w:ind w:left="174" w:right="2317" w:firstLine="0"/>
        <w:jc w:val="left"/>
        <w:rPr>
          <w:sz w:val="12"/>
        </w:rPr>
      </w:pPr>
      <w:r>
        <w:rPr>
          <w:b/>
          <w:color w:val="0092C7"/>
          <w:sz w:val="20"/>
        </w:rPr>
        <w:t>Chart 2.15 GDP growth</w:t>
      </w:r>
      <w:r>
        <w:rPr>
          <w:position w:val="4"/>
          <w:sz w:val="12"/>
        </w:rPr>
        <w:t>(a)</w:t>
      </w:r>
    </w:p>
    <w:p>
      <w:pPr>
        <w:spacing w:line="127" w:lineRule="exact" w:before="50"/>
        <w:ind w:left="2463" w:right="0" w:firstLine="0"/>
        <w:jc w:val="left"/>
        <w:rPr>
          <w:sz w:val="12"/>
        </w:rPr>
      </w:pPr>
      <w:r>
        <w:rPr>
          <w:sz w:val="12"/>
        </w:rPr>
        <w:t>Percentage changes</w:t>
      </w:r>
    </w:p>
    <w:p>
      <w:pPr>
        <w:spacing w:line="127" w:lineRule="exact" w:before="0"/>
        <w:ind w:left="3460" w:right="0" w:firstLine="0"/>
        <w:jc w:val="left"/>
        <w:rPr>
          <w:sz w:val="12"/>
        </w:rPr>
      </w:pPr>
      <w:r>
        <w:rPr/>
        <w:pict>
          <v:line style="position:absolute;mso-position-horizontal-relative:page;mso-position-vertical-relative:paragraph;z-index:15919104" from="42.625pt,4.213446pt" to="46.958pt,4.213446pt" stroked="true" strokeweight=".5pt" strokecolor="#000000">
            <v:stroke dashstyle="solid"/>
            <w10:wrap type="none"/>
          </v:line>
        </w:pict>
      </w:r>
      <w:r>
        <w:rPr/>
        <w:pict>
          <v:line style="position:absolute;mso-position-horizontal-relative:page;mso-position-vertical-relative:paragraph;z-index:15919616" from="198.334pt,4.249445pt" to="202.666pt,4.249445pt" stroked="true" strokeweight=".5pt" strokecolor="#000000">
            <v:stroke dashstyle="solid"/>
            <w10:wrap type="none"/>
          </v:line>
        </w:pict>
      </w:r>
      <w:r>
        <w:rPr>
          <w:sz w:val="12"/>
        </w:rPr>
        <w:t>6</w:t>
      </w:r>
    </w:p>
    <w:p>
      <w:pPr>
        <w:pStyle w:val="BodyText"/>
        <w:rPr>
          <w:sz w:val="12"/>
        </w:rPr>
      </w:pPr>
    </w:p>
    <w:p>
      <w:pPr>
        <w:pStyle w:val="BodyText"/>
        <w:spacing w:before="9"/>
        <w:rPr>
          <w:sz w:val="17"/>
        </w:rPr>
      </w:pPr>
    </w:p>
    <w:p>
      <w:pPr>
        <w:spacing w:before="0"/>
        <w:ind w:left="0" w:right="281" w:firstLine="0"/>
        <w:jc w:val="right"/>
        <w:rPr>
          <w:sz w:val="12"/>
        </w:rPr>
      </w:pPr>
      <w:r>
        <w:rPr/>
        <w:pict>
          <v:group style="position:absolute;margin-left:42.625pt;margin-top:3.319633pt;width:160.050pt;height:121.7pt;mso-position-horizontal-relative:page;mso-position-vertical-relative:paragraph;z-index:15918592" coordorigin="853,66" coordsize="3201,2434">
            <v:rect style="position:absolute;left:1045;top:2229;width:68;height:265" filled="true" fillcolor="#be869b" stroked="false">
              <v:fill type="solid"/>
            </v:rect>
            <v:rect style="position:absolute;left:1045;top:2229;width:68;height:265" filled="false" stroked="true" strokeweight=".5pt" strokecolor="#000000">
              <v:stroke dashstyle="solid"/>
            </v:rect>
            <v:rect style="position:absolute;left:1119;top:2229;width:80;height:265" filled="true" fillcolor="#be869b" stroked="false">
              <v:fill type="solid"/>
            </v:rect>
            <v:rect style="position:absolute;left:1119;top:2229;width:80;height:265" filled="false" stroked="true" strokeweight=".5pt" strokecolor="#000000">
              <v:stroke dashstyle="solid"/>
            </v:rect>
            <v:rect style="position:absolute;left:1205;top:2016;width:68;height:478" filled="true" fillcolor="#be869b" stroked="false">
              <v:fill type="solid"/>
            </v:rect>
            <v:rect style="position:absolute;left:1205;top:2016;width:68;height:478" filled="false" stroked="true" strokeweight=".5pt" strokecolor="#000000">
              <v:stroke dashstyle="solid"/>
            </v:rect>
            <v:rect style="position:absolute;left:1279;top:1984;width:80;height:510" filled="true" fillcolor="#be869b" stroked="false">
              <v:fill type="solid"/>
            </v:rect>
            <v:rect style="position:absolute;left:1279;top:1984;width:80;height:510" filled="false" stroked="true" strokeweight=".5pt" strokecolor="#000000">
              <v:stroke dashstyle="solid"/>
            </v:rect>
            <v:rect style="position:absolute;left:1420;top:1984;width:68;height:510" filled="true" fillcolor="#be869b" stroked="false">
              <v:fill type="solid"/>
            </v:rect>
            <v:rect style="position:absolute;left:1420;top:1984;width:68;height:510" filled="false" stroked="true" strokeweight=".5pt" strokecolor="#000000">
              <v:stroke dashstyle="solid"/>
            </v:rect>
            <v:rect style="position:absolute;left:1492;top:1884;width:80;height:610" filled="true" fillcolor="#be869b" stroked="false">
              <v:fill type="solid"/>
            </v:rect>
            <v:rect style="position:absolute;left:1492;top:1884;width:80;height:610" filled="false" stroked="true" strokeweight=".5pt" strokecolor="#000000">
              <v:stroke dashstyle="solid"/>
            </v:rect>
            <v:rect style="position:absolute;left:1577;top:1804;width:68;height:690" filled="true" fillcolor="#be869b" stroked="false">
              <v:fill type="solid"/>
            </v:rect>
            <v:rect style="position:absolute;left:1577;top:1804;width:68;height:690" filled="false" stroked="true" strokeweight=".5pt" strokecolor="#000000">
              <v:stroke dashstyle="solid"/>
            </v:rect>
            <v:rect style="position:absolute;left:1654;top:2099;width:70;height:395" filled="true" fillcolor="#be869b" stroked="false">
              <v:fill type="solid"/>
            </v:rect>
            <v:rect style="position:absolute;left:1654;top:2099;width:70;height:395" filled="false" stroked="true" strokeweight=".5pt" strokecolor="#000000">
              <v:stroke dashstyle="solid"/>
            </v:rect>
            <v:rect style="position:absolute;left:1785;top:2294;width:80;height:200" filled="true" fillcolor="#be869b" stroked="false">
              <v:fill type="solid"/>
            </v:rect>
            <v:rect style="position:absolute;left:1785;top:2294;width:80;height:200" filled="false" stroked="true" strokeweight=".5pt" strokecolor="#000000">
              <v:stroke dashstyle="solid"/>
            </v:rect>
            <v:rect style="position:absolute;left:1870;top:2294;width:70;height:200" filled="true" fillcolor="#be869b" stroked="false">
              <v:fill type="solid"/>
            </v:rect>
            <v:rect style="position:absolute;left:1870;top:2294;width:70;height:200" filled="false" stroked="true" strokeweight=".5pt" strokecolor="#000000">
              <v:stroke dashstyle="solid"/>
            </v:rect>
            <v:rect style="position:absolute;left:1944;top:2246;width:80;height:248" filled="true" fillcolor="#be869b" stroked="false">
              <v:fill type="solid"/>
            </v:rect>
            <v:rect style="position:absolute;left:1944;top:2246;width:80;height:248" filled="false" stroked="true" strokeweight=".5pt" strokecolor="#000000">
              <v:stroke dashstyle="solid"/>
            </v:rect>
            <v:rect style="position:absolute;left:2029;top:2196;width:70;height:298" filled="true" fillcolor="#be869b" stroked="false">
              <v:fill type="solid"/>
            </v:rect>
            <v:rect style="position:absolute;left:2029;top:2196;width:70;height:298" filled="false" stroked="true" strokeweight=".5pt" strokecolor="#000000">
              <v:stroke dashstyle="solid"/>
            </v:rect>
            <v:rect style="position:absolute;left:2160;top:2114;width:68;height:380" filled="true" fillcolor="#be869b" stroked="false">
              <v:fill type="solid"/>
            </v:rect>
            <v:rect style="position:absolute;left:2160;top:2114;width:68;height:380" filled="false" stroked="true" strokeweight=".5pt" strokecolor="#000000">
              <v:stroke dashstyle="solid"/>
            </v:rect>
            <v:rect style="position:absolute;left:2234;top:2261;width:80;height:233" filled="true" fillcolor="#be869b" stroked="false">
              <v:fill type="solid"/>
            </v:rect>
            <v:rect style="position:absolute;left:2234;top:2261;width:80;height:233" filled="false" stroked="true" strokeweight=".5pt" strokecolor="#000000">
              <v:stroke dashstyle="solid"/>
            </v:rect>
            <v:rect style="position:absolute;left:2320;top:2164;width:68;height:330" filled="true" fillcolor="#be869b" stroked="false">
              <v:fill type="solid"/>
            </v:rect>
            <v:rect style="position:absolute;left:2320;top:2164;width:68;height:330" filled="false" stroked="true" strokeweight=".5pt" strokecolor="#000000">
              <v:stroke dashstyle="solid"/>
            </v:rect>
            <v:rect style="position:absolute;left:2394;top:2064;width:80;height:430" filled="true" fillcolor="#be869b" stroked="false">
              <v:fill type="solid"/>
            </v:rect>
            <v:rect style="position:absolute;left:2394;top:2064;width:80;height:430" filled="false" stroked="true" strokeweight=".5pt" strokecolor="#000000">
              <v:stroke dashstyle="solid"/>
            </v:rect>
            <v:rect style="position:absolute;left:2535;top:1984;width:68;height:510" filled="true" fillcolor="#be869b" stroked="false">
              <v:fill type="solid"/>
            </v:rect>
            <v:rect style="position:absolute;left:2535;top:1984;width:68;height:510" filled="false" stroked="true" strokeweight=".5pt" strokecolor="#000000">
              <v:stroke dashstyle="solid"/>
            </v:rect>
            <v:rect style="position:absolute;left:2607;top:2081;width:80;height:413" filled="true" fillcolor="#be869b" stroked="false">
              <v:fill type="solid"/>
            </v:rect>
            <v:rect style="position:absolute;left:2607;top:2081;width:80;height:413" filled="false" stroked="true" strokeweight=".5pt" strokecolor="#000000">
              <v:stroke dashstyle="solid"/>
            </v:rect>
            <v:rect style="position:absolute;left:2691;top:1984;width:70;height:510" filled="true" fillcolor="#be869b" stroked="false">
              <v:fill type="solid"/>
            </v:rect>
            <v:rect style="position:absolute;left:2691;top:1984;width:70;height:510" filled="false" stroked="true" strokeweight=".5pt" strokecolor="#000000">
              <v:stroke dashstyle="solid"/>
            </v:rect>
            <v:rect style="position:absolute;left:2769;top:2261;width:70;height:233" filled="true" fillcolor="#be869b" stroked="false">
              <v:fill type="solid"/>
            </v:rect>
            <v:rect style="position:absolute;left:2769;top:2261;width:70;height:233" filled="false" stroked="true" strokeweight=".5pt" strokecolor="#000000">
              <v:stroke dashstyle="solid"/>
            </v:rect>
            <v:rect style="position:absolute;left:2900;top:2131;width:80;height:363" filled="true" fillcolor="#be869b" stroked="false">
              <v:fill type="solid"/>
            </v:rect>
            <v:rect style="position:absolute;left:2900;top:2131;width:80;height:363" filled="false" stroked="true" strokeweight=".5pt" strokecolor="#000000">
              <v:stroke dashstyle="solid"/>
            </v:rect>
            <v:rect style="position:absolute;left:2985;top:2179;width:70;height:315" filled="true" fillcolor="#be869b" stroked="false">
              <v:fill type="solid"/>
            </v:rect>
            <v:rect style="position:absolute;left:2985;top:2179;width:70;height:315" filled="false" stroked="true" strokeweight=".5pt" strokecolor="#000000">
              <v:stroke dashstyle="solid"/>
            </v:rect>
            <v:rect style="position:absolute;left:3060;top:2229;width:80;height:265" filled="true" fillcolor="#be869b" stroked="false">
              <v:fill type="solid"/>
            </v:rect>
            <v:rect style="position:absolute;left:3060;top:2229;width:80;height:265" filled="false" stroked="true" strokeweight=".5pt" strokecolor="#000000">
              <v:stroke dashstyle="solid"/>
            </v:rect>
            <v:rect style="position:absolute;left:3147;top:2441;width:68;height:53" filled="true" fillcolor="#be869b" stroked="false">
              <v:fill type="solid"/>
            </v:rect>
            <v:rect style="position:absolute;left:3147;top:2441;width:68;height:53" filled="false" stroked="true" strokeweight=".5pt" strokecolor="#000000">
              <v:stroke dashstyle="solid"/>
            </v:rect>
            <v:rect style="position:absolute;left:3275;top:2311;width:68;height:183" filled="true" fillcolor="#be869b" stroked="false">
              <v:fill type="solid"/>
            </v:rect>
            <v:rect style="position:absolute;left:3275;top:2311;width:68;height:183" filled="false" stroked="true" strokeweight=".5pt" strokecolor="#000000">
              <v:stroke dashstyle="solid"/>
            </v:rect>
            <v:rect style="position:absolute;left:3349;top:2114;width:80;height:380" filled="true" fillcolor="#be869b" stroked="false">
              <v:fill type="solid"/>
            </v:rect>
            <v:rect style="position:absolute;left:3349;top:2114;width:80;height:380" filled="false" stroked="true" strokeweight=".5pt" strokecolor="#000000">
              <v:stroke dashstyle="solid"/>
            </v:rect>
            <v:rect style="position:absolute;left:3435;top:2016;width:68;height:478" filled="true" fillcolor="#be869b" stroked="false">
              <v:fill type="solid"/>
            </v:rect>
            <v:rect style="position:absolute;left:3435;top:2016;width:68;height:478" filled="false" stroked="true" strokeweight=".5pt" strokecolor="#000000">
              <v:stroke dashstyle="solid"/>
            </v:rect>
            <v:rect style="position:absolute;left:3509;top:2146;width:80;height:348" filled="true" fillcolor="#be869b" stroked="false">
              <v:fill type="solid"/>
            </v:rect>
            <v:rect style="position:absolute;left:3509;top:2146;width:80;height:348" filled="false" stroked="true" strokeweight=".5pt" strokecolor="#000000">
              <v:stroke dashstyle="solid"/>
            </v:rect>
            <v:rect style="position:absolute;left:3650;top:2246;width:70;height:248" filled="true" fillcolor="#be869b" stroked="false">
              <v:fill type="solid"/>
            </v:rect>
            <v:rect style="position:absolute;left:3650;top:2246;width:70;height:248" filled="false" stroked="true" strokeweight=".5pt" strokecolor="#000000">
              <v:stroke dashstyle="solid"/>
            </v:rect>
            <v:rect style="position:absolute;left:3718;top:2064;width:80;height:430" filled="true" fillcolor="#be869b" stroked="false">
              <v:fill type="solid"/>
            </v:rect>
            <v:rect style="position:absolute;left:3718;top:2064;width:80;height:430" filled="false" stroked="true" strokeweight=".5pt" strokecolor="#000000">
              <v:stroke dashstyle="solid"/>
            </v:rect>
            <v:rect style="position:absolute;left:3797;top:2146;width:70;height:348" filled="true" fillcolor="#be869b" stroked="false">
              <v:fill type="solid"/>
            </v:rect>
            <v:rect style="position:absolute;left:3797;top:2146;width:70;height:348" filled="false" stroked="true" strokeweight=".5pt" strokecolor="#000000">
              <v:stroke dashstyle="solid"/>
            </v:rect>
            <v:shape style="position:absolute;left:1057;top:131;width:2793;height:1720" coordorigin="1058,132" coordsize="2793,1720" path="m1058,1852l1158,1492m1158,1492l1245,1279m1245,1279l1333,967m1333,967l1433,722m1433,722l1520,362m1520,362l1620,132m1620,132l1710,247m1710,247l1808,574m1808,574l1898,1002m1898,1002l1985,1459m1985,1459l2085,1574m2085,1574l2173,1377m2173,1377l2273,1329m2273,1329l2360,1247m2360,1247l2460,1114m2460,1114l2548,984m2548,984l2638,804m2638,804l2735,624m2735,624l2825,819m2825,819l2923,984m2923,984l3013,1082m3013,1082l3100,1329m3100,1329l3200,1509m3200,1509l3288,1689m3288,1689l3388,1624m3388,1624l3475,1394m3475,1394l3575,1099m3575,1099l3663,1049m3663,1049l3753,952m3753,952l3850,1099e" filled="false" stroked="true" strokeweight="1pt" strokecolor="#008360">
              <v:path arrowok="t"/>
              <v:stroke dashstyle="solid"/>
            </v:shape>
            <v:shape style="position:absolute;left:852;top:94;width:3201;height:2401" coordorigin="853,94" coordsize="3201,2401" path="m1017,2495l3910,2495m1014,2428l1014,2495m1387,2428l1387,2495m1759,2428l1759,2495m2132,2428l2132,2495m2505,2428l2505,2495m2877,2428l2877,2495m3250,2428l3250,2495m3623,2428l3623,2495m853,94l939,94m853,574l939,574m853,1054l939,1054m853,2014l939,2014m853,1534l939,1534m853,2494l939,2494m3967,95l4053,95m3967,575l4053,575m3967,1055l4053,1055m3967,2015l4053,2015m3967,1535l4053,1535m3967,2495l4053,2495e" filled="false" stroked="true" strokeweight=".5pt" strokecolor="#000000">
              <v:path arrowok="t"/>
              <v:stroke dashstyle="solid"/>
            </v:shape>
            <v:shape style="position:absolute;left:1701;top:66;width:744;height:134" type="#_x0000_t202" filled="false" stroked="false">
              <v:textbox inset="0,0,0,0">
                <w:txbxContent>
                  <w:p>
                    <w:pPr>
                      <w:spacing w:line="133" w:lineRule="exact" w:before="0"/>
                      <w:ind w:left="0" w:right="0" w:firstLine="0"/>
                      <w:jc w:val="left"/>
                      <w:rPr>
                        <w:sz w:val="12"/>
                      </w:rPr>
                    </w:pPr>
                    <w:r>
                      <w:rPr>
                        <w:sz w:val="12"/>
                      </w:rPr>
                      <w:t>Annual growth</w:t>
                    </w:r>
                  </w:p>
                </w:txbxContent>
              </v:textbox>
              <w10:wrap type="none"/>
            </v:shape>
            <v:shape style="position:absolute;left:2213;top:1788;width:850;height:134" type="#_x0000_t202" filled="false" stroked="false">
              <v:textbox inset="0,0,0,0">
                <w:txbxContent>
                  <w:p>
                    <w:pPr>
                      <w:spacing w:line="133" w:lineRule="exact" w:before="0"/>
                      <w:ind w:left="0" w:right="0" w:firstLine="0"/>
                      <w:jc w:val="left"/>
                      <w:rPr>
                        <w:sz w:val="12"/>
                      </w:rPr>
                    </w:pPr>
                    <w:r>
                      <w:rPr>
                        <w:sz w:val="12"/>
                      </w:rPr>
                      <w:t>Quarterly growth</w:t>
                    </w:r>
                  </w:p>
                </w:txbxContent>
              </v:textbox>
              <w10:wrap type="none"/>
            </v:shape>
            <w10:wrap type="none"/>
          </v:group>
        </w:pict>
      </w:r>
      <w:r>
        <w:rPr>
          <w:sz w:val="12"/>
        </w:rPr>
        <w:t>5</w:t>
      </w:r>
    </w:p>
    <w:p>
      <w:pPr>
        <w:pStyle w:val="BodyText"/>
        <w:rPr>
          <w:sz w:val="12"/>
        </w:rPr>
      </w:pPr>
    </w:p>
    <w:p>
      <w:pPr>
        <w:pStyle w:val="BodyText"/>
        <w:spacing w:before="9"/>
        <w:rPr>
          <w:sz w:val="17"/>
        </w:rPr>
      </w:pPr>
    </w:p>
    <w:p>
      <w:pPr>
        <w:spacing w:before="0"/>
        <w:ind w:left="0" w:right="281" w:firstLine="0"/>
        <w:jc w:val="right"/>
        <w:rPr>
          <w:sz w:val="12"/>
        </w:rPr>
      </w:pPr>
      <w:r>
        <w:rPr>
          <w:sz w:val="12"/>
        </w:rPr>
        <w:t>4</w:t>
      </w:r>
    </w:p>
    <w:p>
      <w:pPr>
        <w:pStyle w:val="BodyText"/>
        <w:rPr>
          <w:sz w:val="12"/>
        </w:rPr>
      </w:pPr>
    </w:p>
    <w:p>
      <w:pPr>
        <w:pStyle w:val="BodyText"/>
        <w:spacing w:before="9"/>
        <w:rPr>
          <w:sz w:val="17"/>
        </w:rPr>
      </w:pPr>
    </w:p>
    <w:p>
      <w:pPr>
        <w:spacing w:before="0"/>
        <w:ind w:left="0" w:right="281" w:firstLine="0"/>
        <w:jc w:val="right"/>
        <w:rPr>
          <w:sz w:val="12"/>
        </w:rPr>
      </w:pPr>
      <w:r>
        <w:rPr>
          <w:sz w:val="12"/>
        </w:rPr>
        <w:t>3</w:t>
      </w:r>
    </w:p>
    <w:p>
      <w:pPr>
        <w:pStyle w:val="BodyText"/>
        <w:rPr>
          <w:sz w:val="12"/>
        </w:rPr>
      </w:pPr>
    </w:p>
    <w:p>
      <w:pPr>
        <w:pStyle w:val="BodyText"/>
        <w:spacing w:before="9"/>
        <w:rPr>
          <w:sz w:val="17"/>
        </w:rPr>
      </w:pPr>
    </w:p>
    <w:p>
      <w:pPr>
        <w:spacing w:before="0"/>
        <w:ind w:left="0" w:right="281" w:firstLine="0"/>
        <w:jc w:val="right"/>
        <w:rPr>
          <w:sz w:val="12"/>
        </w:rPr>
      </w:pPr>
      <w:r>
        <w:rPr>
          <w:sz w:val="12"/>
        </w:rPr>
        <w:t>2</w:t>
      </w:r>
    </w:p>
    <w:p>
      <w:pPr>
        <w:pStyle w:val="BodyText"/>
        <w:rPr>
          <w:sz w:val="12"/>
        </w:rPr>
      </w:pPr>
    </w:p>
    <w:p>
      <w:pPr>
        <w:pStyle w:val="BodyText"/>
        <w:spacing w:before="9"/>
        <w:rPr>
          <w:sz w:val="17"/>
        </w:rPr>
      </w:pPr>
    </w:p>
    <w:p>
      <w:pPr>
        <w:spacing w:before="0"/>
        <w:ind w:left="0" w:right="281" w:firstLine="0"/>
        <w:jc w:val="right"/>
        <w:rPr>
          <w:sz w:val="12"/>
        </w:rPr>
      </w:pPr>
      <w:r>
        <w:rPr>
          <w:sz w:val="12"/>
        </w:rPr>
        <w:t>1</w:t>
      </w:r>
    </w:p>
    <w:p>
      <w:pPr>
        <w:pStyle w:val="BodyText"/>
        <w:rPr>
          <w:sz w:val="12"/>
        </w:rPr>
      </w:pPr>
    </w:p>
    <w:p>
      <w:pPr>
        <w:pStyle w:val="BodyText"/>
        <w:spacing w:before="9"/>
        <w:rPr>
          <w:sz w:val="17"/>
        </w:rPr>
      </w:pPr>
    </w:p>
    <w:p>
      <w:pPr>
        <w:spacing w:line="124" w:lineRule="exact" w:before="0"/>
        <w:ind w:left="3460" w:right="0" w:firstLine="0"/>
        <w:jc w:val="left"/>
        <w:rPr>
          <w:sz w:val="12"/>
        </w:rPr>
      </w:pPr>
      <w:r>
        <w:rPr>
          <w:sz w:val="12"/>
        </w:rPr>
        <w:t>0</w:t>
      </w:r>
    </w:p>
    <w:p>
      <w:pPr>
        <w:tabs>
          <w:tab w:pos="1255" w:val="left" w:leader="none"/>
          <w:tab w:pos="1620" w:val="left" w:leader="none"/>
          <w:tab w:pos="1995" w:val="left" w:leader="none"/>
          <w:tab w:pos="2370" w:val="left" w:leader="none"/>
          <w:tab w:pos="2735" w:val="left" w:leader="none"/>
        </w:tabs>
        <w:spacing w:line="124" w:lineRule="exact" w:before="0"/>
        <w:ind w:left="443" w:right="0" w:firstLine="0"/>
        <w:jc w:val="left"/>
        <w:rPr>
          <w:sz w:val="12"/>
        </w:rPr>
      </w:pPr>
      <w:r>
        <w:rPr>
          <w:sz w:val="12"/>
        </w:rPr>
        <w:t>1993     </w:t>
      </w:r>
      <w:r>
        <w:rPr>
          <w:spacing w:val="17"/>
          <w:sz w:val="12"/>
        </w:rPr>
        <w:t> </w:t>
      </w:r>
      <w:r>
        <w:rPr>
          <w:sz w:val="12"/>
        </w:rPr>
        <w:t>94</w:t>
        <w:tab/>
        <w:t>95</w:t>
        <w:tab/>
        <w:t>96</w:t>
        <w:tab/>
        <w:t>97</w:t>
        <w:tab/>
        <w:t>98</w:t>
        <w:tab/>
        <w:t>99</w:t>
      </w:r>
      <w:r>
        <w:rPr>
          <w:spacing w:val="5"/>
          <w:sz w:val="12"/>
        </w:rPr>
        <w:t> </w:t>
      </w:r>
      <w:r>
        <w:rPr>
          <w:sz w:val="12"/>
        </w:rPr>
        <w:t>2000</w:t>
      </w:r>
    </w:p>
    <w:p>
      <w:pPr>
        <w:spacing w:before="103"/>
        <w:ind w:left="174" w:right="0" w:firstLine="0"/>
        <w:jc w:val="left"/>
        <w:rPr>
          <w:sz w:val="12"/>
        </w:rPr>
      </w:pPr>
      <w:r>
        <w:rPr>
          <w:sz w:val="12"/>
        </w:rPr>
        <w:t>(a) At constant 1995 market prices.</w:t>
      </w:r>
    </w:p>
    <w:p>
      <w:pPr>
        <w:pStyle w:val="BodyText"/>
        <w:rPr>
          <w:sz w:val="12"/>
        </w:rPr>
      </w:pPr>
    </w:p>
    <w:p>
      <w:pPr>
        <w:pStyle w:val="BodyText"/>
        <w:rPr>
          <w:sz w:val="12"/>
        </w:rPr>
      </w:pPr>
    </w:p>
    <w:p>
      <w:pPr>
        <w:pStyle w:val="BodyText"/>
        <w:rPr>
          <w:sz w:val="12"/>
        </w:rPr>
      </w:pPr>
    </w:p>
    <w:p>
      <w:pPr>
        <w:pStyle w:val="BodyText"/>
        <w:spacing w:before="5"/>
        <w:rPr>
          <w:sz w:val="9"/>
        </w:rPr>
      </w:pPr>
    </w:p>
    <w:p>
      <w:pPr>
        <w:spacing w:before="1"/>
        <w:ind w:left="184" w:right="0" w:firstLine="0"/>
        <w:jc w:val="left"/>
        <w:rPr>
          <w:b/>
          <w:sz w:val="20"/>
        </w:rPr>
      </w:pPr>
      <w:r>
        <w:rPr>
          <w:b/>
          <w:color w:val="0092C7"/>
          <w:sz w:val="20"/>
        </w:rPr>
        <w:t>Chart 2.16</w:t>
      </w:r>
    </w:p>
    <w:p>
      <w:pPr>
        <w:spacing w:before="10"/>
        <w:ind w:left="184" w:right="0" w:firstLine="0"/>
        <w:jc w:val="left"/>
        <w:rPr>
          <w:sz w:val="12"/>
        </w:rPr>
      </w:pPr>
      <w:r>
        <w:rPr>
          <w:b/>
          <w:color w:val="0092C7"/>
          <w:sz w:val="20"/>
        </w:rPr>
        <w:t>Growth in industrial production</w:t>
      </w:r>
      <w:r>
        <w:rPr>
          <w:position w:val="4"/>
          <w:sz w:val="12"/>
        </w:rPr>
        <w:t>(a)</w:t>
      </w:r>
    </w:p>
    <w:p>
      <w:pPr>
        <w:spacing w:line="190" w:lineRule="atLeast" w:before="72"/>
        <w:ind w:left="416" w:right="2325" w:firstLine="0"/>
        <w:jc w:val="left"/>
        <w:rPr>
          <w:sz w:val="12"/>
        </w:rPr>
      </w:pPr>
      <w:r>
        <w:rPr/>
        <w:drawing>
          <wp:anchor distT="0" distB="0" distL="0" distR="0" allowOverlap="1" layoutInCell="1" locked="0" behindDoc="0" simplePos="0" relativeHeight="15924736">
            <wp:simplePos x="0" y="0"/>
            <wp:positionH relativeFrom="page">
              <wp:posOffset>534720</wp:posOffset>
            </wp:positionH>
            <wp:positionV relativeFrom="paragraph">
              <wp:posOffset>74545</wp:posOffset>
            </wp:positionV>
            <wp:extent cx="113360" cy="220357"/>
            <wp:effectExtent l="0" t="0" r="0" b="0"/>
            <wp:wrapNone/>
            <wp:docPr id="123" name="image53.png"/>
            <wp:cNvGraphicFramePr>
              <a:graphicFrameLocks noChangeAspect="1"/>
            </wp:cNvGraphicFramePr>
            <a:graphic>
              <a:graphicData uri="http://schemas.openxmlformats.org/drawingml/2006/picture">
                <pic:pic>
                  <pic:nvPicPr>
                    <pic:cNvPr id="124" name="image53.png"/>
                    <pic:cNvPicPr/>
                  </pic:nvPicPr>
                  <pic:blipFill>
                    <a:blip r:embed="rId93" cstate="print"/>
                    <a:stretch>
                      <a:fillRect/>
                    </a:stretch>
                  </pic:blipFill>
                  <pic:spPr>
                    <a:xfrm>
                      <a:off x="0" y="0"/>
                      <a:ext cx="113360" cy="220357"/>
                    </a:xfrm>
                    <a:prstGeom prst="rect">
                      <a:avLst/>
                    </a:prstGeom>
                  </pic:spPr>
                </pic:pic>
              </a:graphicData>
            </a:graphic>
          </wp:anchor>
        </w:drawing>
      </w:r>
      <w:r>
        <w:rPr>
          <w:sz w:val="12"/>
        </w:rPr>
        <w:t>Manufacturing Energy and</w:t>
      </w:r>
      <w:r>
        <w:rPr>
          <w:spacing w:val="-13"/>
          <w:sz w:val="12"/>
        </w:rPr>
        <w:t> </w:t>
      </w:r>
      <w:r>
        <w:rPr>
          <w:sz w:val="12"/>
        </w:rPr>
        <w:t>extraction</w:t>
      </w:r>
    </w:p>
    <w:p>
      <w:pPr>
        <w:spacing w:line="129" w:lineRule="auto" w:before="12"/>
        <w:ind w:left="423" w:right="0" w:firstLine="0"/>
        <w:jc w:val="left"/>
        <w:rPr>
          <w:sz w:val="12"/>
        </w:rPr>
      </w:pPr>
      <w:r>
        <w:rPr/>
        <w:pict>
          <v:line style="position:absolute;mso-position-horizontal-relative:page;mso-position-vertical-relative:paragraph;z-index:15925248" from="42.105pt,5.904866pt" to="50.981pt,5.904866pt" stroked="true" strokeweight="1pt" strokecolor="#de0035">
            <v:stroke dashstyle="solid"/>
            <w10:wrap type="none"/>
          </v:line>
        </w:pict>
      </w:r>
      <w:r>
        <w:rPr>
          <w:position w:val="-5"/>
          <w:sz w:val="12"/>
        </w:rPr>
        <w:t>Total industrial production </w:t>
      </w:r>
      <w:r>
        <w:rPr>
          <w:sz w:val="12"/>
        </w:rPr>
        <w:t>Contributions to quarterly growth,</w:t>
      </w:r>
    </w:p>
    <w:p>
      <w:pPr>
        <w:spacing w:line="153" w:lineRule="auto" w:before="0"/>
        <w:ind w:left="2593" w:right="0" w:firstLine="0"/>
        <w:jc w:val="left"/>
        <w:rPr>
          <w:sz w:val="12"/>
        </w:rPr>
      </w:pPr>
      <w:r>
        <w:rPr/>
        <w:pict>
          <v:group style="position:absolute;margin-left:42.105pt;margin-top:10.824048pt;width:161.75pt;height:141.550pt;mso-position-horizontal-relative:page;mso-position-vertical-relative:paragraph;z-index:15924224" coordorigin="842,216" coordsize="3235,2831">
            <v:rect style="position:absolute;left:1005;top:1276;width:68;height:783" filled="true" fillcolor="#006caa" stroked="false">
              <v:fill type="solid"/>
            </v:rect>
            <v:rect style="position:absolute;left:1005;top:1276;width:68;height:783" filled="false" stroked="true" strokeweight=".5pt" strokecolor="#000000">
              <v:stroke dashstyle="solid"/>
            </v:rect>
            <v:rect style="position:absolute;left:1005;top:2056;width:68;height:243" filled="true" fillcolor="#cee7e8" stroked="false">
              <v:fill type="solid"/>
            </v:rect>
            <v:rect style="position:absolute;left:1005;top:2056;width:68;height:243" filled="false" stroked="true" strokeweight=".5pt" strokecolor="#000000">
              <v:stroke dashstyle="solid"/>
            </v:rect>
            <v:rect style="position:absolute;left:1207;top:2056;width:68;height:288" filled="true" fillcolor="#006caa" stroked="false">
              <v:fill type="solid"/>
            </v:rect>
            <v:rect style="position:absolute;left:1207;top:2056;width:68;height:288" filled="false" stroked="true" strokeweight=".5pt" strokecolor="#000000">
              <v:stroke dashstyle="solid"/>
            </v:rect>
            <v:rect style="position:absolute;left:1207;top:1831;width:68;height:228" filled="true" fillcolor="#cee7e8" stroked="false">
              <v:fill type="solid"/>
            </v:rect>
            <v:rect style="position:absolute;left:1207;top:1831;width:68;height:228" filled="false" stroked="true" strokeweight=".5pt" strokecolor="#000000">
              <v:stroke dashstyle="solid"/>
            </v:rect>
            <v:line style="position:absolute" from="1038,1531" to="1240,2116" stroked="true" strokeweight="1pt" strokecolor="#de0035">
              <v:stroke dashstyle="solid"/>
            </v:line>
            <v:rect style="position:absolute;left:1410;top:1576;width:68;height:483" filled="true" fillcolor="#006caa" stroked="false">
              <v:fill type="solid"/>
            </v:rect>
            <v:rect style="position:absolute;left:1410;top:1576;width:68;height:483" filled="false" stroked="true" strokeweight=".5pt" strokecolor="#000000">
              <v:stroke dashstyle="solid"/>
            </v:rect>
            <v:rect style="position:absolute;left:1410;top:1231;width:68;height:348" filled="true" fillcolor="#cee7e8" stroked="false">
              <v:fill type="solid"/>
            </v:rect>
            <v:rect style="position:absolute;left:1410;top:1231;width:68;height:348" filled="false" stroked="true" strokeweight=".5pt" strokecolor="#000000">
              <v:stroke dashstyle="solid"/>
            </v:rect>
            <v:line style="position:absolute" from="1240,2116" to="1443,1231" stroked="true" strokeweight="1pt" strokecolor="#de0035">
              <v:stroke dashstyle="solid"/>
            </v:line>
            <v:rect style="position:absolute;left:1612;top:2061;width:65;height:93" filled="true" fillcolor="#006caa" stroked="false">
              <v:fill type="solid"/>
            </v:rect>
            <v:rect style="position:absolute;left:1612;top:2061;width:65;height:93" filled="false" stroked="true" strokeweight=".5pt" strokecolor="#000000">
              <v:stroke dashstyle="solid"/>
            </v:rect>
            <v:rect style="position:absolute;left:1612;top:2146;width:65;height:588" filled="true" fillcolor="#cee7e8" stroked="false">
              <v:fill type="solid"/>
            </v:rect>
            <v:rect style="position:absolute;left:1612;top:2146;width:65;height:588" filled="false" stroked="true" strokeweight=".5pt" strokecolor="#000000">
              <v:stroke dashstyle="solid"/>
            </v:rect>
            <v:line style="position:absolute" from="1443,1231" to="1645,2731" stroked="true" strokeweight="1pt" strokecolor="#de0035">
              <v:stroke dashstyle="solid"/>
            </v:line>
            <v:rect style="position:absolute;left:1815;top:1576;width:65;height:483" filled="true" fillcolor="#006caa" stroked="false">
              <v:fill type="solid"/>
            </v:rect>
            <v:rect style="position:absolute;left:1815;top:1576;width:65;height:483" filled="false" stroked="true" strokeweight=".5pt" strokecolor="#000000">
              <v:stroke dashstyle="solid"/>
            </v:rect>
            <v:rect style="position:absolute;left:1815;top:2056;width:65;height:108" filled="true" fillcolor="#cee7e8" stroked="false">
              <v:fill type="solid"/>
            </v:rect>
            <v:rect style="position:absolute;left:1815;top:2056;width:65;height:108" filled="false" stroked="true" strokeweight=".5pt" strokecolor="#000000">
              <v:stroke dashstyle="solid"/>
            </v:rect>
            <v:line style="position:absolute" from="1645,2731" to="1845,1681" stroked="true" strokeweight="1pt" strokecolor="#de0035">
              <v:stroke dashstyle="solid"/>
            </v:line>
            <v:rect style="position:absolute;left:2017;top:1681;width:65;height:378" filled="true" fillcolor="#006caa" stroked="false">
              <v:fill type="solid"/>
            </v:rect>
            <v:rect style="position:absolute;left:2017;top:1681;width:65;height:378" filled="false" stroked="true" strokeweight=".5pt" strokecolor="#000000">
              <v:stroke dashstyle="solid"/>
            </v:rect>
            <v:rect style="position:absolute;left:2017;top:796;width:65;height:888" filled="true" fillcolor="#cee7e8" stroked="false">
              <v:fill type="solid"/>
            </v:rect>
            <v:rect style="position:absolute;left:2017;top:796;width:65;height:888" filled="false" stroked="true" strokeweight=".5pt" strokecolor="#000000">
              <v:stroke dashstyle="solid"/>
            </v:rect>
            <v:line style="position:absolute" from="1845,1681" to="2048,796" stroked="true" strokeweight="1pt" strokecolor="#de0035">
              <v:stroke dashstyle="solid"/>
            </v:line>
            <v:rect style="position:absolute;left:2207;top:2056;width:78;height:288" filled="true" fillcolor="#006caa" stroked="false">
              <v:fill type="solid"/>
            </v:rect>
            <v:rect style="position:absolute;left:2207;top:2056;width:78;height:288" filled="false" stroked="true" strokeweight=".5pt" strokecolor="#000000">
              <v:stroke dashstyle="solid"/>
            </v:rect>
            <v:rect style="position:absolute;left:2207;top:1846;width:78;height:213" filled="true" fillcolor="#cee7e8" stroked="false">
              <v:fill type="solid"/>
            </v:rect>
            <v:rect style="position:absolute;left:2207;top:1846;width:78;height:213" filled="false" stroked="true" strokeweight=".5pt" strokecolor="#000000">
              <v:stroke dashstyle="solid"/>
            </v:rect>
            <v:line style="position:absolute" from="2048,796" to="2250,2131" stroked="true" strokeweight="1pt" strokecolor="#de0035">
              <v:stroke dashstyle="solid"/>
            </v:line>
            <v:rect style="position:absolute;left:2410;top:2056;width:78;height:948" filled="true" fillcolor="#006caa" stroked="false">
              <v:fill type="solid"/>
            </v:rect>
            <v:rect style="position:absolute;left:2410;top:2056;width:78;height:948" filled="false" stroked="true" strokeweight=".5pt" strokecolor="#000000">
              <v:stroke dashstyle="solid"/>
            </v:rect>
            <v:rect style="position:absolute;left:2410;top:1966;width:78;height:93" filled="true" fillcolor="#cee7e8" stroked="false">
              <v:fill type="solid"/>
            </v:rect>
            <v:rect style="position:absolute;left:2410;top:1966;width:78;height:93" filled="false" stroked="true" strokeweight=".5pt" strokecolor="#000000">
              <v:stroke dashstyle="solid"/>
            </v:rect>
            <v:line style="position:absolute" from="2250,2131" to="2452,2926" stroked="true" strokeweight="1pt" strokecolor="#de0035">
              <v:stroke dashstyle="solid"/>
            </v:line>
            <v:rect style="position:absolute;left:2612;top:2061;width:78;height:288" filled="true" fillcolor="#006caa" stroked="false">
              <v:fill type="solid"/>
            </v:rect>
            <v:rect style="position:absolute;left:2612;top:2061;width:78;height:288" filled="false" stroked="true" strokeweight=".5pt" strokecolor="#000000">
              <v:stroke dashstyle="solid"/>
            </v:rect>
            <v:rect style="position:absolute;left:2612;top:2341;width:78;height:318" filled="true" fillcolor="#cee7e8" stroked="false">
              <v:fill type="solid"/>
            </v:rect>
            <v:rect style="position:absolute;left:2612;top:2341;width:78;height:318" filled="false" stroked="true" strokeweight=".5pt" strokecolor="#000000">
              <v:stroke dashstyle="solid"/>
            </v:rect>
            <v:line style="position:absolute" from="2452,2926" to="2645,2656" stroked="true" strokeweight="1pt" strokecolor="#de0035">
              <v:stroke dashstyle="solid"/>
            </v:line>
            <v:rect style="position:absolute;left:2815;top:1771;width:65;height:288" filled="true" fillcolor="#006caa" stroked="false">
              <v:fill type="solid"/>
            </v:rect>
            <v:rect style="position:absolute;left:2815;top:1771;width:65;height:288" filled="false" stroked="true" strokeweight=".5pt" strokecolor="#000000">
              <v:stroke dashstyle="solid"/>
            </v:rect>
            <v:rect style="position:absolute;left:2815;top:1231;width:65;height:543" filled="true" fillcolor="#cee7e8" stroked="false">
              <v:fill type="solid"/>
            </v:rect>
            <v:rect style="position:absolute;left:2815;top:1231;width:65;height:543" filled="false" stroked="true" strokeweight=".5pt" strokecolor="#000000">
              <v:stroke dashstyle="solid"/>
            </v:rect>
            <v:line style="position:absolute" from="2645,2656" to="2845,1231" stroked="true" strokeweight="1pt" strokecolor="#de0035">
              <v:stroke dashstyle="solid"/>
            </v:line>
            <v:rect style="position:absolute;left:3015;top:616;width:68;height:1443" filled="true" fillcolor="#006caa" stroked="false">
              <v:fill type="solid"/>
            </v:rect>
            <v:rect style="position:absolute;left:3015;top:616;width:68;height:1443" filled="false" stroked="true" strokeweight=".5pt" strokecolor="#000000">
              <v:stroke dashstyle="solid"/>
            </v:rect>
            <v:rect style="position:absolute;left:3015;top:226;width:68;height:393" filled="true" fillcolor="#cee7e8" stroked="false">
              <v:fill type="solid"/>
            </v:rect>
            <v:rect style="position:absolute;left:3015;top:226;width:68;height:393" filled="false" stroked="true" strokeweight=".5pt" strokecolor="#000000">
              <v:stroke dashstyle="solid"/>
            </v:rect>
            <v:line style="position:absolute" from="2845,1231" to="3047,226" stroked="true" strokeweight="1pt" strokecolor="#de0035">
              <v:stroke dashstyle="solid"/>
            </v:line>
            <v:rect style="position:absolute;left:3217;top:1681;width:68;height:378" filled="true" fillcolor="#006caa" stroked="false">
              <v:fill type="solid"/>
            </v:rect>
            <v:rect style="position:absolute;left:3217;top:1681;width:68;height:378" filled="false" stroked="true" strokeweight=".5pt" strokecolor="#000000">
              <v:stroke dashstyle="solid"/>
            </v:rect>
            <v:rect style="position:absolute;left:3217;top:2056;width:68;height:258" filled="true" fillcolor="#cee7e8" stroked="false">
              <v:fill type="solid"/>
            </v:rect>
            <v:rect style="position:absolute;left:3217;top:2056;width:68;height:258" filled="false" stroked="true" strokeweight=".5pt" strokecolor="#000000">
              <v:stroke dashstyle="solid"/>
            </v:rect>
            <v:line style="position:absolute" from="3047,226" to="3250,1936" stroked="true" strokeweight="1pt" strokecolor="#de0035">
              <v:stroke dashstyle="solid"/>
            </v:line>
            <v:rect style="position:absolute;left:3420;top:2061;width:68;height:468" filled="true" fillcolor="#006caa" stroked="false">
              <v:fill type="solid"/>
            </v:rect>
            <v:rect style="position:absolute;left:3420;top:2061;width:68;height:468" filled="false" stroked="true" strokeweight=".5pt" strokecolor="#000000">
              <v:stroke dashstyle="solid"/>
            </v:rect>
            <v:rect style="position:absolute;left:3420;top:2521;width:68;height:393" filled="true" fillcolor="#cee7e8" stroked="false">
              <v:fill type="solid"/>
            </v:rect>
            <v:rect style="position:absolute;left:3420;top:2521;width:68;height:393" filled="false" stroked="true" strokeweight=".5pt" strokecolor="#000000">
              <v:stroke dashstyle="solid"/>
            </v:rect>
            <v:line style="position:absolute" from="3250,1936" to="3452,2911" stroked="true" strokeweight="1pt" strokecolor="#de0035">
              <v:stroke dashstyle="solid"/>
            </v:line>
            <v:rect style="position:absolute;left:3622;top:1681;width:68;height:378" filled="true" fillcolor="#006caa" stroked="false">
              <v:fill type="solid"/>
            </v:rect>
            <v:rect style="position:absolute;left:3622;top:1681;width:68;height:378" filled="false" stroked="true" strokeweight=".5pt" strokecolor="#000000">
              <v:stroke dashstyle="solid"/>
            </v:rect>
            <v:rect style="position:absolute;left:3622;top:451;width:68;height:1233" filled="true" fillcolor="#cee7e8" stroked="false">
              <v:fill type="solid"/>
            </v:rect>
            <v:rect style="position:absolute;left:3622;top:451;width:68;height:1233" filled="false" stroked="true" strokeweight=".5pt" strokecolor="#000000">
              <v:stroke dashstyle="solid"/>
            </v:rect>
            <v:line style="position:absolute" from="3453,2911" to="3655,451" stroked="true" strokeweight="1pt" strokecolor="#de0035">
              <v:stroke dashstyle="solid"/>
            </v:line>
            <v:rect style="position:absolute;left:3825;top:1486;width:65;height:573" filled="true" fillcolor="#006caa" stroked="false">
              <v:fill type="solid"/>
            </v:rect>
            <v:rect style="position:absolute;left:3825;top:1486;width:65;height:573" filled="false" stroked="true" strokeweight=".5pt" strokecolor="#000000">
              <v:stroke dashstyle="solid"/>
            </v:rect>
            <v:rect style="position:absolute;left:3825;top:1351;width:65;height:138" filled="true" fillcolor="#cee7e8" stroked="false">
              <v:fill type="solid"/>
            </v:rect>
            <v:rect style="position:absolute;left:3825;top:1351;width:65;height:138" filled="false" stroked="true" strokeweight=".5pt" strokecolor="#000000">
              <v:stroke dashstyle="solid"/>
            </v:rect>
            <v:line style="position:absolute" from="3655,451" to="3858,1351" stroked="true" strokeweight="1pt" strokecolor="#de0035">
              <v:stroke dashstyle="solid"/>
            </v:line>
            <v:shape style="position:absolute;left:842;top:618;width:3235;height:2423" coordorigin="842,619" coordsize="3235,2423" path="m996,3042l3924,3042m994,2974l994,3042m1778,2974l1778,3042m2563,2974l2563,3042m3347,2974l3347,3042m842,619l929,619m842,1579l929,1579m842,2539l929,2539m842,2059l929,2059m842,3019l929,3019m842,1099l929,1099m3990,622l4077,622m3990,1582l4077,1582m3990,2542l4077,2542m3990,2062l4077,2062m3990,3022l4077,3022m3990,1102l4077,1102m1001,2062l3915,2062e" filled="false" stroked="true" strokeweight=".5pt" strokecolor="#000000">
              <v:path arrowok="t"/>
              <v:stroke dashstyle="solid"/>
            </v:shape>
            <w10:wrap type="none"/>
          </v:group>
        </w:pict>
      </w:r>
      <w:r>
        <w:rPr/>
        <w:pict>
          <v:line style="position:absolute;mso-position-horizontal-relative:page;mso-position-vertical-relative:paragraph;z-index:15925760" from="42.105pt,6.949049pt" to="46.437pt,6.949049pt" stroked="true" strokeweight=".5pt" strokecolor="#000000">
            <v:stroke dashstyle="solid"/>
            <w10:wrap type="none"/>
          </v:line>
        </w:pict>
      </w:r>
      <w:r>
        <w:rPr>
          <w:sz w:val="12"/>
        </w:rPr>
        <w:t>percentage poin</w:t>
      </w:r>
      <w:r>
        <w:rPr>
          <w:sz w:val="12"/>
          <w:u w:val="single"/>
        </w:rPr>
        <w:t>ts</w:t>
      </w:r>
      <w:r>
        <w:rPr>
          <w:spacing w:val="-6"/>
          <w:sz w:val="12"/>
        </w:rPr>
        <w:t> </w:t>
      </w:r>
      <w:r>
        <w:rPr>
          <w:position w:val="-6"/>
          <w:sz w:val="12"/>
        </w:rPr>
        <w:t>1.6</w:t>
      </w:r>
    </w:p>
    <w:p>
      <w:pPr>
        <w:pStyle w:val="BodyText"/>
        <w:rPr>
          <w:sz w:val="20"/>
        </w:rPr>
      </w:pPr>
    </w:p>
    <w:p>
      <w:pPr>
        <w:spacing w:before="122"/>
        <w:ind w:left="0" w:right="191" w:firstLine="0"/>
        <w:jc w:val="right"/>
        <w:rPr>
          <w:sz w:val="12"/>
        </w:rPr>
      </w:pPr>
      <w:r>
        <w:rPr>
          <w:sz w:val="12"/>
        </w:rPr>
        <w:t>1.2</w:t>
      </w:r>
    </w:p>
    <w:p>
      <w:pPr>
        <w:pStyle w:val="BodyText"/>
        <w:spacing w:line="242" w:lineRule="auto" w:before="7"/>
        <w:ind w:left="174" w:right="173"/>
      </w:pPr>
      <w:r>
        <w:rPr/>
        <w:br w:type="column"/>
      </w:r>
      <w:r>
        <w:rPr/>
        <w:t>trends survey suggested a modest rise in stocks held by manufacturers in Q3.  The latest CIPS survey suggested a less rapid fall in stocks in Q3 but noted that many companies continued to seek cost savings through improved stock management techniques. Consistent with these reports, the MPC continues to expect the ratio of</w:t>
      </w:r>
      <w:r>
        <w:rPr>
          <w:spacing w:val="-6"/>
        </w:rPr>
        <w:t> </w:t>
      </w:r>
      <w:r>
        <w:rPr/>
        <w:t>inventories</w:t>
      </w:r>
      <w:r>
        <w:rPr>
          <w:spacing w:val="-6"/>
        </w:rPr>
        <w:t> </w:t>
      </w:r>
      <w:r>
        <w:rPr/>
        <w:t>to</w:t>
      </w:r>
      <w:r>
        <w:rPr>
          <w:spacing w:val="-5"/>
        </w:rPr>
        <w:t> </w:t>
      </w:r>
      <w:r>
        <w:rPr/>
        <w:t>output</w:t>
      </w:r>
      <w:r>
        <w:rPr>
          <w:spacing w:val="-6"/>
        </w:rPr>
        <w:t> </w:t>
      </w:r>
      <w:r>
        <w:rPr/>
        <w:t>to</w:t>
      </w:r>
      <w:r>
        <w:rPr>
          <w:spacing w:val="-5"/>
        </w:rPr>
        <w:t> </w:t>
      </w:r>
      <w:r>
        <w:rPr/>
        <w:t>decline</w:t>
      </w:r>
      <w:r>
        <w:rPr>
          <w:spacing w:val="-6"/>
        </w:rPr>
        <w:t> </w:t>
      </w:r>
      <w:r>
        <w:rPr>
          <w:spacing w:val="-3"/>
        </w:rPr>
        <w:t>over</w:t>
      </w:r>
      <w:r>
        <w:rPr>
          <w:spacing w:val="-6"/>
        </w:rPr>
        <w:t> </w:t>
      </w:r>
      <w:r>
        <w:rPr/>
        <w:t>the</w:t>
      </w:r>
      <w:r>
        <w:rPr>
          <w:spacing w:val="-5"/>
        </w:rPr>
        <w:t> </w:t>
      </w:r>
      <w:r>
        <w:rPr/>
        <w:t>medium</w:t>
      </w:r>
      <w:r>
        <w:rPr>
          <w:spacing w:val="-6"/>
        </w:rPr>
        <w:t> </w:t>
      </w:r>
      <w:r>
        <w:rPr/>
        <w:t>term.</w:t>
      </w:r>
    </w:p>
    <w:p>
      <w:pPr>
        <w:pStyle w:val="BodyText"/>
        <w:spacing w:before="4"/>
        <w:rPr>
          <w:sz w:val="25"/>
        </w:rPr>
      </w:pPr>
    </w:p>
    <w:p>
      <w:pPr>
        <w:pStyle w:val="Heading4"/>
        <w:numPr>
          <w:ilvl w:val="1"/>
          <w:numId w:val="20"/>
        </w:numPr>
        <w:tabs>
          <w:tab w:pos="4583" w:val="left" w:leader="none"/>
          <w:tab w:pos="4584" w:val="left" w:leader="none"/>
        </w:tabs>
        <w:spacing w:line="240" w:lineRule="auto" w:before="0" w:after="0"/>
        <w:ind w:left="4583" w:right="0" w:hanging="4410"/>
        <w:jc w:val="left"/>
        <w:rPr>
          <w:color w:val="009391"/>
        </w:rPr>
      </w:pPr>
      <w:r>
        <w:rPr>
          <w:color w:val="009391"/>
        </w:rPr>
        <w:t>Output</w:t>
      </w:r>
    </w:p>
    <w:p>
      <w:pPr>
        <w:pStyle w:val="BodyText"/>
        <w:spacing w:line="40" w:lineRule="exact"/>
        <w:ind w:left="154"/>
        <w:rPr>
          <w:sz w:val="4"/>
        </w:rPr>
      </w:pPr>
      <w:r>
        <w:rPr>
          <w:position w:val="0"/>
          <w:sz w:val="4"/>
        </w:rPr>
        <w:pict>
          <v:group style="width:275pt;height:2pt;mso-position-horizontal-relative:char;mso-position-vertical-relative:line" coordorigin="0,0" coordsize="5500,40">
            <v:line style="position:absolute" from="0,20" to="5500,20" stroked="true" strokeweight="2pt" strokecolor="#0092c7">
              <v:stroke dashstyle="solid"/>
            </v:line>
          </v:group>
        </w:pict>
      </w:r>
      <w:r>
        <w:rPr>
          <w:position w:val="0"/>
          <w:sz w:val="4"/>
        </w:rPr>
      </w:r>
    </w:p>
    <w:p>
      <w:pPr>
        <w:pStyle w:val="BodyText"/>
        <w:spacing w:line="242" w:lineRule="auto" w:before="223"/>
        <w:ind w:left="174" w:right="228"/>
      </w:pPr>
      <w:r>
        <w:rPr/>
        <w:t>According to the preliminary estimate, GDP growth slowed to 0.7% in 2000 Q3, reducing the annual growth rate to 2.9% (see Chart 2.15). The profile of GDP growth has been erratic in recent quarters with large fluctuations in the output of primary sectors, which</w:t>
      </w:r>
    </w:p>
    <w:p>
      <w:pPr>
        <w:pStyle w:val="BodyText"/>
        <w:spacing w:line="242" w:lineRule="auto" w:before="7"/>
        <w:ind w:left="174" w:right="397"/>
      </w:pPr>
      <w:r>
        <w:rPr/>
        <w:t>are often volatile, obscuring the underlying pace of growth. In particular, weak energy sector output depressed GDP growth in Q1, bounced back strongly in Q2 with growth of more than 5%, and growth then eased in Q3. In contrast, construction output was unusually strong in Q1 but fell in the second quarter.</w:t>
      </w:r>
    </w:p>
    <w:p>
      <w:pPr>
        <w:pStyle w:val="BodyText"/>
        <w:spacing w:line="242" w:lineRule="auto" w:before="7"/>
        <w:ind w:left="174" w:right="174"/>
      </w:pPr>
      <w:hyperlink w:history="true" w:anchor="_bookmark17">
        <w:r>
          <w:rPr/>
          <w:t>The box on </w:t>
        </w:r>
        <w:r>
          <w:rPr>
            <w:color w:val="FF0000"/>
          </w:rPr>
          <w:t>page 22 </w:t>
        </w:r>
      </w:hyperlink>
      <w:r>
        <w:rPr/>
        <w:t>considers the potential impact of the weather on output growth in these industries. Excluding these volatile sectors, quarterly growth in GDP slowed from an average of 0.9% in 1999 H2 to 0.6% so far in 2000.</w:t>
      </w:r>
    </w:p>
    <w:p>
      <w:pPr>
        <w:spacing w:after="0" w:line="242" w:lineRule="auto"/>
        <w:sectPr>
          <w:type w:val="continuous"/>
          <w:pgSz w:w="11900" w:h="16840"/>
          <w:pgMar w:top="1260" w:bottom="280" w:left="640" w:right="640"/>
          <w:cols w:num="2" w:equalWidth="0">
            <w:col w:w="3805" w:space="995"/>
            <w:col w:w="5820"/>
          </w:cols>
        </w:sectPr>
      </w:pPr>
    </w:p>
    <w:p>
      <w:pPr>
        <w:pStyle w:val="BodyText"/>
        <w:spacing w:before="11"/>
        <w:rPr>
          <w:sz w:val="16"/>
        </w:rPr>
      </w:pPr>
    </w:p>
    <w:p>
      <w:pPr>
        <w:spacing w:after="0"/>
        <w:rPr>
          <w:sz w:val="16"/>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5"/>
        <w:ind w:left="0" w:right="0" w:firstLine="0"/>
        <w:jc w:val="right"/>
        <w:rPr>
          <w:sz w:val="12"/>
        </w:rPr>
      </w:pPr>
      <w:r>
        <w:rPr>
          <w:sz w:val="12"/>
        </w:rPr>
        <w:t>1997</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364" w:val="left" w:leader="none"/>
        </w:tabs>
        <w:spacing w:before="75"/>
        <w:ind w:left="567" w:right="0" w:firstLine="0"/>
        <w:jc w:val="left"/>
        <w:rPr>
          <w:sz w:val="12"/>
        </w:rPr>
      </w:pPr>
      <w:r>
        <w:rPr>
          <w:sz w:val="12"/>
        </w:rPr>
        <w:t>98</w:t>
        <w:tab/>
      </w:r>
      <w:r>
        <w:rPr>
          <w:spacing w:val="-1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5"/>
        <w:ind w:left="0" w:right="0" w:firstLine="0"/>
        <w:jc w:val="right"/>
        <w:rPr>
          <w:sz w:val="12"/>
        </w:rPr>
      </w:pPr>
      <w:r>
        <w:rPr>
          <w:sz w:val="12"/>
        </w:rPr>
        <w:t>2000</w:t>
      </w:r>
    </w:p>
    <w:p>
      <w:pPr>
        <w:spacing w:before="95"/>
        <w:ind w:left="248" w:right="0" w:firstLine="0"/>
        <w:jc w:val="left"/>
        <w:rPr>
          <w:sz w:val="12"/>
        </w:rPr>
      </w:pPr>
      <w:r>
        <w:rPr/>
        <w:br w:type="column"/>
      </w:r>
      <w:r>
        <w:rPr>
          <w:sz w:val="12"/>
        </w:rPr>
        <w:t>0.8</w:t>
      </w:r>
    </w:p>
    <w:p>
      <w:pPr>
        <w:pStyle w:val="BodyText"/>
        <w:rPr>
          <w:sz w:val="12"/>
        </w:rPr>
      </w:pPr>
    </w:p>
    <w:p>
      <w:pPr>
        <w:pStyle w:val="BodyText"/>
        <w:spacing w:before="8"/>
        <w:rPr>
          <w:sz w:val="17"/>
        </w:rPr>
      </w:pPr>
    </w:p>
    <w:p>
      <w:pPr>
        <w:spacing w:before="0"/>
        <w:ind w:left="248" w:right="0" w:firstLine="0"/>
        <w:jc w:val="left"/>
        <w:rPr>
          <w:sz w:val="12"/>
        </w:rPr>
      </w:pPr>
      <w:r>
        <w:rPr>
          <w:sz w:val="12"/>
        </w:rPr>
        <w:t>0.4</w:t>
      </w:r>
    </w:p>
    <w:p>
      <w:pPr>
        <w:pStyle w:val="BodyText"/>
        <w:spacing w:before="8"/>
        <w:rPr>
          <w:sz w:val="9"/>
        </w:rPr>
      </w:pPr>
    </w:p>
    <w:p>
      <w:pPr>
        <w:spacing w:before="0"/>
        <w:ind w:left="197" w:right="0" w:firstLine="0"/>
        <w:jc w:val="left"/>
        <w:rPr>
          <w:sz w:val="16"/>
        </w:rPr>
      </w:pPr>
      <w:r>
        <w:rPr>
          <w:sz w:val="16"/>
        </w:rPr>
        <w:t>+</w:t>
      </w:r>
    </w:p>
    <w:p>
      <w:pPr>
        <w:spacing w:line="104" w:lineRule="exact" w:before="47"/>
        <w:ind w:left="248" w:right="0" w:firstLine="0"/>
        <w:jc w:val="left"/>
        <w:rPr>
          <w:sz w:val="12"/>
        </w:rPr>
      </w:pPr>
      <w:r>
        <w:rPr>
          <w:sz w:val="12"/>
        </w:rPr>
        <w:t>0.0</w:t>
      </w:r>
    </w:p>
    <w:p>
      <w:pPr>
        <w:spacing w:line="150" w:lineRule="exact" w:before="0"/>
        <w:ind w:left="202" w:right="0" w:firstLine="0"/>
        <w:jc w:val="left"/>
        <w:rPr>
          <w:sz w:val="16"/>
        </w:rPr>
      </w:pPr>
      <w:r>
        <w:rPr>
          <w:sz w:val="16"/>
        </w:rPr>
        <w:t>_</w:t>
      </w:r>
    </w:p>
    <w:p>
      <w:pPr>
        <w:pStyle w:val="BodyText"/>
        <w:spacing w:before="8"/>
        <w:rPr>
          <w:sz w:val="19"/>
        </w:rPr>
      </w:pPr>
    </w:p>
    <w:p>
      <w:pPr>
        <w:spacing w:before="0"/>
        <w:ind w:left="248" w:right="0" w:firstLine="0"/>
        <w:jc w:val="left"/>
        <w:rPr>
          <w:sz w:val="12"/>
        </w:rPr>
      </w:pPr>
      <w:r>
        <w:rPr>
          <w:sz w:val="12"/>
        </w:rPr>
        <w:t>0.4</w:t>
      </w:r>
    </w:p>
    <w:p>
      <w:pPr>
        <w:pStyle w:val="BodyText"/>
        <w:rPr>
          <w:sz w:val="12"/>
        </w:rPr>
      </w:pPr>
    </w:p>
    <w:p>
      <w:pPr>
        <w:pStyle w:val="BodyText"/>
        <w:spacing w:before="9"/>
        <w:rPr>
          <w:sz w:val="17"/>
        </w:rPr>
      </w:pPr>
    </w:p>
    <w:p>
      <w:pPr>
        <w:spacing w:before="0"/>
        <w:ind w:left="248" w:right="0" w:firstLine="0"/>
        <w:jc w:val="left"/>
        <w:rPr>
          <w:sz w:val="12"/>
        </w:rPr>
      </w:pPr>
      <w:r>
        <w:rPr>
          <w:sz w:val="12"/>
        </w:rPr>
        <w:t>0.8</w:t>
      </w:r>
    </w:p>
    <w:p>
      <w:pPr>
        <w:pStyle w:val="BodyText"/>
        <w:spacing w:line="242" w:lineRule="auto" w:before="92"/>
        <w:ind w:left="620" w:right="127"/>
      </w:pPr>
      <w:r>
        <w:rPr/>
        <w:br w:type="column"/>
      </w:r>
      <w:r>
        <w:rPr/>
        <w:t>Strong growth in energy industries raised overall production sector growth in Q2 to 1.4% (see Chart 2.16), and annual growth of 2.2% was the highest since</w:t>
      </w:r>
    </w:p>
    <w:p>
      <w:pPr>
        <w:pStyle w:val="BodyText"/>
        <w:spacing w:line="242" w:lineRule="auto" w:before="4"/>
        <w:ind w:left="620" w:right="127"/>
      </w:pPr>
      <w:r>
        <w:rPr/>
        <w:t>1995 Q1. Manufacturing output growth resumed in Q2, with output rising by 0.4% on the quarter. The recovery in manufacturing continued in Q3 but was more than offset by slower energy sector output growth, reducing quarterly industrial production growth to 0.6%.</w:t>
      </w:r>
    </w:p>
    <w:p>
      <w:pPr>
        <w:spacing w:after="0" w:line="242" w:lineRule="auto"/>
        <w:sectPr>
          <w:type w:val="continuous"/>
          <w:pgSz w:w="11900" w:h="16840"/>
          <w:pgMar w:top="1260" w:bottom="280" w:left="640" w:right="640"/>
          <w:cols w:num="5" w:equalWidth="0">
            <w:col w:w="861" w:space="40"/>
            <w:col w:w="1485" w:space="39"/>
            <w:col w:w="747" w:space="40"/>
            <w:col w:w="439" w:space="703"/>
            <w:col w:w="6266"/>
          </w:cols>
        </w:sectPr>
      </w:pPr>
    </w:p>
    <w:p>
      <w:pPr>
        <w:pStyle w:val="ListParagraph"/>
        <w:numPr>
          <w:ilvl w:val="0"/>
          <w:numId w:val="21"/>
        </w:numPr>
        <w:tabs>
          <w:tab w:pos="415" w:val="left" w:leader="none"/>
        </w:tabs>
        <w:spacing w:line="124" w:lineRule="exact" w:before="0" w:after="0"/>
        <w:ind w:left="414" w:right="0" w:hanging="241"/>
        <w:jc w:val="left"/>
        <w:rPr>
          <w:sz w:val="12"/>
        </w:rPr>
      </w:pPr>
      <w:r>
        <w:rPr>
          <w:sz w:val="12"/>
        </w:rPr>
        <w:t>At constant 1995 market</w:t>
      </w:r>
      <w:r>
        <w:rPr>
          <w:spacing w:val="-20"/>
          <w:sz w:val="12"/>
        </w:rPr>
        <w:t> </w:t>
      </w:r>
      <w:r>
        <w:rPr>
          <w:sz w:val="12"/>
        </w:rPr>
        <w:t>prices.</w:t>
      </w:r>
    </w:p>
    <w:p>
      <w:pPr>
        <w:pStyle w:val="BodyText"/>
        <w:spacing w:before="6"/>
        <w:ind w:left="174"/>
      </w:pPr>
      <w:r>
        <w:rPr/>
        <w:br w:type="column"/>
      </w:r>
      <w:r>
        <w:rPr/>
        <w:t>Forward-looking surveys (see Table 2.C) and reports</w:t>
      </w:r>
    </w:p>
    <w:p>
      <w:pPr>
        <w:spacing w:after="0"/>
        <w:sectPr>
          <w:type w:val="continuous"/>
          <w:pgSz w:w="11900" w:h="16840"/>
          <w:pgMar w:top="1260" w:bottom="280" w:left="640" w:right="640"/>
          <w:cols w:num="2" w:equalWidth="0">
            <w:col w:w="1983" w:space="2817"/>
            <w:col w:w="5820"/>
          </w:cols>
        </w:sectPr>
      </w:pPr>
    </w:p>
    <w:p>
      <w:pPr>
        <w:spacing w:before="82"/>
        <w:ind w:left="165" w:right="0" w:firstLine="0"/>
        <w:jc w:val="left"/>
        <w:rPr>
          <w:sz w:val="16"/>
        </w:rPr>
      </w:pPr>
      <w:bookmarkStart w:name="Output and the weather" w:id="43"/>
      <w:bookmarkEnd w:id="43"/>
      <w:r>
        <w:rPr/>
      </w:r>
      <w:bookmarkStart w:name="_bookmark17" w:id="44"/>
      <w:bookmarkEnd w:id="44"/>
      <w:r>
        <w:rPr/>
      </w:r>
      <w:r>
        <w:rPr>
          <w:sz w:val="16"/>
        </w:rPr>
        <w:t>Inflation Report: November 2000</w:t>
      </w:r>
    </w:p>
    <w:p>
      <w:pPr>
        <w:pStyle w:val="BodyText"/>
        <w:spacing w:before="10"/>
        <w:rPr>
          <w:sz w:val="20"/>
        </w:rPr>
      </w:pPr>
    </w:p>
    <w:p>
      <w:pPr>
        <w:pStyle w:val="Heading4"/>
        <w:spacing w:before="88"/>
        <w:ind w:right="1288"/>
        <w:jc w:val="center"/>
      </w:pPr>
      <w:r>
        <w:rPr>
          <w:color w:val="009391"/>
        </w:rPr>
        <w:t>Output and the weather</w:t>
      </w:r>
    </w:p>
    <w:p>
      <w:pPr>
        <w:pStyle w:val="BodyText"/>
        <w:spacing w:before="7"/>
        <w:rPr>
          <w:b/>
          <w:sz w:val="19"/>
        </w:rPr>
      </w:pPr>
    </w:p>
    <w:p>
      <w:pPr>
        <w:spacing w:after="0"/>
        <w:rPr>
          <w:sz w:val="19"/>
        </w:rPr>
        <w:sectPr>
          <w:headerReference w:type="even" r:id="rId94"/>
          <w:footerReference w:type="even" r:id="rId95"/>
          <w:footerReference w:type="default" r:id="rId96"/>
          <w:pgSz w:w="11900" w:h="16840"/>
          <w:pgMar w:header="0" w:footer="592" w:top="520" w:bottom="780" w:left="640" w:right="640"/>
          <w:pgNumType w:start="22"/>
        </w:sectPr>
      </w:pPr>
    </w:p>
    <w:p>
      <w:pPr>
        <w:spacing w:line="249" w:lineRule="auto" w:before="91"/>
        <w:ind w:left="415" w:right="79" w:firstLine="0"/>
        <w:jc w:val="left"/>
        <w:rPr>
          <w:sz w:val="20"/>
        </w:rPr>
      </w:pPr>
      <w:r>
        <w:rPr>
          <w:sz w:val="20"/>
        </w:rPr>
        <w:t>Exceptionally high rainfall has recently led to severe flooding. As well as the devastating effects on many local economies, these floods potentially have wider implications for aggregate demand and output. Weather can also have less dramatic, but more regular impacts on economic activity in sectors sensitive to weather conditions. For instance, output in many primary sectors and construction varies through the year with seasonal changes in the weather: agricultural output will fluctuate with growing seasons and harvest times; energy demand typically rises in the winter, boosting utilities output, and falls back in the summer months; and in construction, outdoor projects may be more concentrated in periods of warmer weather.</w:t>
      </w:r>
    </w:p>
    <w:p>
      <w:pPr>
        <w:pStyle w:val="BodyText"/>
        <w:spacing w:before="5"/>
        <w:rPr>
          <w:sz w:val="18"/>
        </w:rPr>
      </w:pPr>
    </w:p>
    <w:p>
      <w:pPr>
        <w:spacing w:line="249" w:lineRule="auto" w:before="0"/>
        <w:ind w:left="415" w:right="4" w:firstLine="0"/>
        <w:jc w:val="left"/>
        <w:rPr>
          <w:sz w:val="20"/>
        </w:rPr>
      </w:pPr>
      <w:r>
        <w:rPr>
          <w:sz w:val="20"/>
        </w:rPr>
        <w:t>ONS adjust raw output data to remove these regular seasonal fluctuations. But seasonal adjustment does not eliminate the effects of exceptional weather such as unusually warm (or cold) temperatures for the time of year. So a fall in temperature below seasonal norms in winter months might raise both the level and growth rate of even seasonally adjusted utilities sector output. And if colder than normal temperatures persist, output will remain at a higher level until temperatures return to their seasonal norm.</w:t>
      </w:r>
    </w:p>
    <w:p>
      <w:pPr>
        <w:pStyle w:val="BodyText"/>
        <w:spacing w:before="1"/>
        <w:rPr>
          <w:sz w:val="18"/>
        </w:rPr>
      </w:pPr>
    </w:p>
    <w:p>
      <w:pPr>
        <w:spacing w:line="247" w:lineRule="auto" w:before="0"/>
        <w:ind w:left="415" w:right="4" w:firstLine="0"/>
        <w:jc w:val="left"/>
        <w:rPr>
          <w:sz w:val="20"/>
        </w:rPr>
      </w:pPr>
      <w:r>
        <w:rPr>
          <w:sz w:val="20"/>
        </w:rPr>
        <w:t>Chart A relates seasonally adjusted utilities output growth to quarterly changes in a measure of temperature anomalies.</w:t>
      </w:r>
      <w:r>
        <w:rPr>
          <w:position w:val="5"/>
          <w:sz w:val="16"/>
        </w:rPr>
        <w:t>(1) </w:t>
      </w:r>
      <w:r>
        <w:rPr>
          <w:sz w:val="20"/>
        </w:rPr>
        <w:t>Output growth has tended to weaken in periods when temperatures have risen relative to seasonal norms and strengthen when they have fallen. The</w:t>
      </w:r>
    </w:p>
    <w:p>
      <w:pPr>
        <w:spacing w:line="249" w:lineRule="auto" w:before="3"/>
        <w:ind w:left="415" w:right="66" w:firstLine="0"/>
        <w:jc w:val="left"/>
        <w:rPr>
          <w:sz w:val="20"/>
        </w:rPr>
      </w:pPr>
      <w:r>
        <w:rPr>
          <w:sz w:val="20"/>
        </w:rPr>
        <w:t>table confirms a historic negative correlation between abnormal temperature changes and utilities output. It also reports tentative evidence that unusually warm temperatures have been negatively related to output of other parts of the energy sector, such as mining, gas and oil</w:t>
      </w:r>
      <w:r>
        <w:rPr>
          <w:spacing w:val="-9"/>
          <w:sz w:val="20"/>
        </w:rPr>
        <w:t> </w:t>
      </w:r>
      <w:r>
        <w:rPr>
          <w:sz w:val="20"/>
        </w:rPr>
        <w:t>extraction,</w:t>
      </w:r>
      <w:r>
        <w:rPr>
          <w:spacing w:val="-8"/>
          <w:sz w:val="20"/>
        </w:rPr>
        <w:t> </w:t>
      </w:r>
      <w:r>
        <w:rPr>
          <w:sz w:val="20"/>
        </w:rPr>
        <w:t>and</w:t>
      </w:r>
      <w:r>
        <w:rPr>
          <w:spacing w:val="-9"/>
          <w:sz w:val="20"/>
        </w:rPr>
        <w:t> </w:t>
      </w:r>
      <w:r>
        <w:rPr>
          <w:sz w:val="20"/>
        </w:rPr>
        <w:t>positively</w:t>
      </w:r>
      <w:r>
        <w:rPr>
          <w:spacing w:val="-9"/>
          <w:sz w:val="20"/>
        </w:rPr>
        <w:t> </w:t>
      </w:r>
      <w:r>
        <w:rPr>
          <w:sz w:val="20"/>
        </w:rPr>
        <w:t>associated</w:t>
      </w:r>
      <w:r>
        <w:rPr>
          <w:spacing w:val="-9"/>
          <w:sz w:val="20"/>
        </w:rPr>
        <w:t> </w:t>
      </w:r>
      <w:r>
        <w:rPr>
          <w:sz w:val="20"/>
        </w:rPr>
        <w:t>with</w:t>
      </w:r>
      <w:r>
        <w:rPr>
          <w:spacing w:val="-8"/>
          <w:sz w:val="20"/>
        </w:rPr>
        <w:t> </w:t>
      </w:r>
      <w:r>
        <w:rPr>
          <w:sz w:val="20"/>
        </w:rPr>
        <w:t>construction</w:t>
      </w:r>
    </w:p>
    <w:p>
      <w:pPr>
        <w:spacing w:before="91"/>
        <w:ind w:left="421" w:right="0" w:firstLine="0"/>
        <w:jc w:val="left"/>
        <w:rPr>
          <w:sz w:val="12"/>
        </w:rPr>
      </w:pPr>
      <w:r>
        <w:rPr/>
        <w:br w:type="column"/>
      </w:r>
      <w:r>
        <w:rPr>
          <w:b/>
          <w:color w:val="0092C7"/>
          <w:sz w:val="20"/>
        </w:rPr>
        <w:t>Sectoral output growth and the weather</w:t>
      </w:r>
      <w:r>
        <w:rPr>
          <w:position w:val="4"/>
          <w:sz w:val="12"/>
        </w:rPr>
        <w:t>(a)</w:t>
      </w:r>
    </w:p>
    <w:p>
      <w:pPr>
        <w:spacing w:before="106"/>
        <w:ind w:left="2351" w:right="0" w:firstLine="0"/>
        <w:jc w:val="left"/>
        <w:rPr>
          <w:sz w:val="14"/>
        </w:rPr>
      </w:pPr>
      <w:r>
        <w:rPr>
          <w:sz w:val="14"/>
        </w:rPr>
        <w:t>Correlation of output growth with:</w:t>
      </w:r>
    </w:p>
    <w:p>
      <w:pPr>
        <w:tabs>
          <w:tab w:pos="3880" w:val="left" w:leader="none"/>
        </w:tabs>
        <w:spacing w:line="208" w:lineRule="auto" w:before="76"/>
        <w:ind w:left="2351" w:right="434" w:firstLine="0"/>
        <w:jc w:val="left"/>
        <w:rPr>
          <w:sz w:val="14"/>
        </w:rPr>
      </w:pPr>
      <w:r>
        <w:rPr>
          <w:sz w:val="14"/>
        </w:rPr>
        <w:t>Rise</w:t>
      </w:r>
      <w:r>
        <w:rPr>
          <w:spacing w:val="-5"/>
          <w:sz w:val="14"/>
        </w:rPr>
        <w:t> </w:t>
      </w:r>
      <w:r>
        <w:rPr>
          <w:sz w:val="14"/>
        </w:rPr>
        <w:t>in</w:t>
      </w:r>
      <w:r>
        <w:rPr>
          <w:spacing w:val="-4"/>
          <w:sz w:val="14"/>
        </w:rPr>
        <w:t> </w:t>
      </w:r>
      <w:r>
        <w:rPr>
          <w:sz w:val="14"/>
        </w:rPr>
        <w:t>temperature</w:t>
        <w:tab/>
        <w:t>Rise in rainfall (seasonally</w:t>
      </w:r>
      <w:r>
        <w:rPr>
          <w:spacing w:val="-7"/>
          <w:sz w:val="14"/>
        </w:rPr>
        <w:t> </w:t>
      </w:r>
      <w:r>
        <w:rPr>
          <w:sz w:val="14"/>
        </w:rPr>
        <w:t>adjusted)</w:t>
        <w:tab/>
        <w:t>(seasonally</w:t>
      </w:r>
      <w:r>
        <w:rPr>
          <w:spacing w:val="-12"/>
          <w:sz w:val="14"/>
        </w:rPr>
        <w:t> </w:t>
      </w:r>
      <w:r>
        <w:rPr>
          <w:sz w:val="14"/>
        </w:rPr>
        <w:t>adjusted)</w:t>
      </w:r>
    </w:p>
    <w:p>
      <w:pPr>
        <w:tabs>
          <w:tab w:pos="2689" w:val="left" w:leader="none"/>
          <w:tab w:pos="4550" w:val="right" w:leader="none"/>
        </w:tabs>
        <w:spacing w:line="150" w:lineRule="exact" w:before="123"/>
        <w:ind w:left="421" w:right="0" w:firstLine="0"/>
        <w:jc w:val="left"/>
        <w:rPr>
          <w:sz w:val="14"/>
        </w:rPr>
      </w:pPr>
      <w:r>
        <w:rPr>
          <w:sz w:val="14"/>
        </w:rPr>
        <w:t>Agriculture</w:t>
        <w:tab/>
        <w:t>-0.18</w:t>
        <w:tab/>
        <w:t>0.04</w:t>
      </w:r>
    </w:p>
    <w:p>
      <w:pPr>
        <w:tabs>
          <w:tab w:pos="2689" w:val="left" w:leader="none"/>
          <w:tab w:pos="4259" w:val="left" w:leader="none"/>
        </w:tabs>
        <w:spacing w:line="208" w:lineRule="auto" w:before="7"/>
        <w:ind w:left="526" w:right="942" w:hanging="105"/>
        <w:jc w:val="left"/>
        <w:rPr>
          <w:sz w:val="14"/>
        </w:rPr>
      </w:pPr>
      <w:r>
        <w:rPr>
          <w:sz w:val="14"/>
        </w:rPr>
        <w:t>Industrial</w:t>
      </w:r>
      <w:r>
        <w:rPr>
          <w:spacing w:val="-7"/>
          <w:sz w:val="14"/>
        </w:rPr>
        <w:t> </w:t>
      </w:r>
      <w:r>
        <w:rPr>
          <w:sz w:val="14"/>
        </w:rPr>
        <w:t>production,</w:t>
        <w:tab/>
        <w:t>-0.27</w:t>
      </w:r>
      <w:r>
        <w:rPr>
          <w:sz w:val="12"/>
        </w:rPr>
        <w:t>(b)</w:t>
        <w:tab/>
      </w:r>
      <w:r>
        <w:rPr>
          <w:spacing w:val="-4"/>
          <w:sz w:val="14"/>
        </w:rPr>
        <w:t>-0.04 </w:t>
      </w:r>
      <w:r>
        <w:rPr>
          <w:sz w:val="14"/>
        </w:rPr>
        <w:t>of</w:t>
      </w:r>
      <w:r>
        <w:rPr>
          <w:spacing w:val="-2"/>
          <w:sz w:val="14"/>
        </w:rPr>
        <w:t> </w:t>
      </w:r>
      <w:r>
        <w:rPr>
          <w:sz w:val="14"/>
        </w:rPr>
        <w:t>which:</w:t>
      </w:r>
    </w:p>
    <w:p>
      <w:pPr>
        <w:tabs>
          <w:tab w:pos="2735" w:val="left" w:leader="none"/>
          <w:tab w:pos="4259" w:val="left" w:leader="none"/>
        </w:tabs>
        <w:spacing w:line="133" w:lineRule="exact" w:before="0"/>
        <w:ind w:left="526" w:right="0" w:firstLine="0"/>
        <w:jc w:val="left"/>
        <w:rPr>
          <w:i/>
          <w:sz w:val="14"/>
        </w:rPr>
      </w:pPr>
      <w:r>
        <w:rPr>
          <w:i/>
          <w:sz w:val="14"/>
        </w:rPr>
        <w:t>Manufacturing</w:t>
        <w:tab/>
        <w:t>0.17</w:t>
        <w:tab/>
        <w:t>-0.16</w:t>
      </w:r>
    </w:p>
    <w:p>
      <w:pPr>
        <w:tabs>
          <w:tab w:pos="2689" w:val="left" w:leader="none"/>
          <w:tab w:pos="4550" w:val="right" w:leader="none"/>
        </w:tabs>
        <w:spacing w:line="140" w:lineRule="exact" w:before="0"/>
        <w:ind w:left="526" w:right="0" w:firstLine="0"/>
        <w:jc w:val="left"/>
        <w:rPr>
          <w:i/>
          <w:sz w:val="14"/>
        </w:rPr>
      </w:pPr>
      <w:r>
        <w:rPr>
          <w:i/>
          <w:sz w:val="14"/>
        </w:rPr>
        <w:t>Mining and</w:t>
      </w:r>
      <w:r>
        <w:rPr>
          <w:i/>
          <w:spacing w:val="-14"/>
          <w:sz w:val="14"/>
        </w:rPr>
        <w:t> </w:t>
      </w:r>
      <w:r>
        <w:rPr>
          <w:i/>
          <w:sz w:val="14"/>
        </w:rPr>
        <w:t>energy</w:t>
      </w:r>
      <w:r>
        <w:rPr>
          <w:i/>
          <w:spacing w:val="-6"/>
          <w:sz w:val="14"/>
        </w:rPr>
        <w:t> </w:t>
      </w:r>
      <w:r>
        <w:rPr>
          <w:i/>
          <w:sz w:val="14"/>
        </w:rPr>
        <w:t>extraction</w:t>
        <w:tab/>
        <w:t>-0.44</w:t>
      </w:r>
      <w:r>
        <w:rPr>
          <w:sz w:val="12"/>
        </w:rPr>
        <w:t>(b)</w:t>
        <w:tab/>
      </w:r>
      <w:r>
        <w:rPr>
          <w:i/>
          <w:sz w:val="14"/>
        </w:rPr>
        <w:t>0.11</w:t>
      </w:r>
    </w:p>
    <w:p>
      <w:pPr>
        <w:tabs>
          <w:tab w:pos="2689" w:val="left" w:leader="none"/>
          <w:tab w:pos="4550" w:val="right" w:leader="none"/>
        </w:tabs>
        <w:spacing w:line="140" w:lineRule="exact" w:before="0"/>
        <w:ind w:left="526" w:right="0" w:firstLine="0"/>
        <w:jc w:val="left"/>
        <w:rPr>
          <w:i/>
          <w:sz w:val="14"/>
        </w:rPr>
      </w:pPr>
      <w:r>
        <w:rPr>
          <w:i/>
          <w:sz w:val="14"/>
        </w:rPr>
        <w:t>Utilities</w:t>
        <w:tab/>
        <w:t>-0.80</w:t>
      </w:r>
      <w:r>
        <w:rPr>
          <w:sz w:val="12"/>
        </w:rPr>
        <w:t>(b)</w:t>
        <w:tab/>
      </w:r>
      <w:r>
        <w:rPr>
          <w:i/>
          <w:sz w:val="14"/>
        </w:rPr>
        <w:t>0.20</w:t>
      </w:r>
    </w:p>
    <w:p>
      <w:pPr>
        <w:tabs>
          <w:tab w:pos="2735" w:val="left" w:leader="none"/>
          <w:tab w:pos="4259" w:val="left" w:leader="none"/>
        </w:tabs>
        <w:spacing w:line="140" w:lineRule="exact" w:before="0"/>
        <w:ind w:left="421" w:right="0" w:firstLine="0"/>
        <w:jc w:val="left"/>
        <w:rPr>
          <w:sz w:val="14"/>
        </w:rPr>
      </w:pPr>
      <w:r>
        <w:rPr>
          <w:sz w:val="14"/>
        </w:rPr>
        <w:t>Construction</w:t>
        <w:tab/>
        <w:t>0.27</w:t>
      </w:r>
      <w:r>
        <w:rPr>
          <w:sz w:val="12"/>
        </w:rPr>
        <w:t>(b)</w:t>
        <w:tab/>
      </w:r>
      <w:r>
        <w:rPr>
          <w:sz w:val="14"/>
        </w:rPr>
        <w:t>-0.07</w:t>
      </w:r>
    </w:p>
    <w:p>
      <w:pPr>
        <w:tabs>
          <w:tab w:pos="2735" w:val="left" w:leader="none"/>
          <w:tab w:pos="4550" w:val="right" w:leader="none"/>
        </w:tabs>
        <w:spacing w:line="140" w:lineRule="exact" w:before="0"/>
        <w:ind w:left="421" w:right="0" w:firstLine="0"/>
        <w:jc w:val="left"/>
        <w:rPr>
          <w:sz w:val="14"/>
        </w:rPr>
      </w:pPr>
      <w:r>
        <w:rPr>
          <w:sz w:val="14"/>
        </w:rPr>
        <w:t>Services</w:t>
        <w:tab/>
        <w:t>0.16</w:t>
        <w:tab/>
        <w:t>0.10</w:t>
      </w:r>
    </w:p>
    <w:p>
      <w:pPr>
        <w:tabs>
          <w:tab w:pos="2736" w:val="left" w:leader="none"/>
          <w:tab w:pos="4551" w:val="right" w:leader="none"/>
        </w:tabs>
        <w:spacing w:line="150" w:lineRule="exact" w:before="0"/>
        <w:ind w:left="421" w:right="0" w:firstLine="0"/>
        <w:jc w:val="left"/>
        <w:rPr>
          <w:sz w:val="14"/>
        </w:rPr>
      </w:pPr>
      <w:r>
        <w:rPr>
          <w:sz w:val="14"/>
        </w:rPr>
        <w:t>GDP</w:t>
        <w:tab/>
        <w:t>0.01</w:t>
        <w:tab/>
        <w:t>0.03</w:t>
      </w:r>
    </w:p>
    <w:p>
      <w:pPr>
        <w:spacing w:before="97"/>
        <w:ind w:left="421" w:right="0" w:firstLine="0"/>
        <w:jc w:val="left"/>
        <w:rPr>
          <w:sz w:val="12"/>
        </w:rPr>
      </w:pPr>
      <w:r>
        <w:rPr>
          <w:sz w:val="12"/>
        </w:rPr>
        <w:t>Sources: ONS and Meteorological Office.</w:t>
      </w:r>
    </w:p>
    <w:p>
      <w:pPr>
        <w:pStyle w:val="BodyText"/>
        <w:spacing w:before="2"/>
        <w:rPr>
          <w:sz w:val="10"/>
        </w:rPr>
      </w:pPr>
    </w:p>
    <w:p>
      <w:pPr>
        <w:pStyle w:val="ListParagraph"/>
        <w:numPr>
          <w:ilvl w:val="1"/>
          <w:numId w:val="21"/>
        </w:numPr>
        <w:tabs>
          <w:tab w:pos="662" w:val="left" w:leader="none"/>
        </w:tabs>
        <w:spacing w:line="208" w:lineRule="auto" w:before="0" w:after="0"/>
        <w:ind w:left="661" w:right="1136" w:hanging="240"/>
        <w:jc w:val="left"/>
        <w:rPr>
          <w:sz w:val="12"/>
        </w:rPr>
      </w:pPr>
      <w:r>
        <w:rPr>
          <w:sz w:val="12"/>
        </w:rPr>
        <w:t>Based on quarterly output data since 1990. Temperature and rainfall data are adjusted by the Bank to remove normal seasonal</w:t>
      </w:r>
      <w:r>
        <w:rPr>
          <w:spacing w:val="-16"/>
          <w:sz w:val="12"/>
        </w:rPr>
        <w:t> </w:t>
      </w:r>
      <w:r>
        <w:rPr>
          <w:sz w:val="12"/>
        </w:rPr>
        <w:t>changes.</w:t>
      </w:r>
    </w:p>
    <w:p>
      <w:pPr>
        <w:pStyle w:val="ListParagraph"/>
        <w:numPr>
          <w:ilvl w:val="1"/>
          <w:numId w:val="21"/>
        </w:numPr>
        <w:tabs>
          <w:tab w:pos="662" w:val="left" w:leader="none"/>
        </w:tabs>
        <w:spacing w:line="123" w:lineRule="exact" w:before="0" w:after="0"/>
        <w:ind w:left="661" w:right="0" w:hanging="241"/>
        <w:jc w:val="left"/>
        <w:rPr>
          <w:sz w:val="12"/>
        </w:rPr>
      </w:pPr>
      <w:r>
        <w:rPr>
          <w:sz w:val="12"/>
        </w:rPr>
        <w:t>Significantly different from zero at 5%</w:t>
      </w:r>
      <w:r>
        <w:rPr>
          <w:spacing w:val="-9"/>
          <w:sz w:val="12"/>
        </w:rPr>
        <w:t> </w:t>
      </w:r>
      <w:r>
        <w:rPr>
          <w:sz w:val="12"/>
        </w:rPr>
        <w:t>level.</w:t>
      </w:r>
    </w:p>
    <w:p>
      <w:pPr>
        <w:pStyle w:val="BodyText"/>
        <w:rPr>
          <w:sz w:val="12"/>
        </w:rPr>
      </w:pPr>
    </w:p>
    <w:p>
      <w:pPr>
        <w:pStyle w:val="BodyText"/>
        <w:rPr>
          <w:sz w:val="13"/>
        </w:rPr>
      </w:pPr>
    </w:p>
    <w:p>
      <w:pPr>
        <w:spacing w:line="249" w:lineRule="auto" w:before="0"/>
        <w:ind w:left="416" w:right="455" w:firstLine="0"/>
        <w:jc w:val="left"/>
        <w:rPr>
          <w:sz w:val="20"/>
        </w:rPr>
      </w:pPr>
      <w:r>
        <w:rPr>
          <w:sz w:val="20"/>
        </w:rPr>
        <w:t>output. Agricultural output seems to have had little regular relationship with unusual temperatures or rainfall patterns although it is likely that severe weather at times has substantially affected output in the sector. Similarly, although the table suggests that there has been little regular association between rainfall and output in other sectors, exceptional rainfall, such as in recent weeks, or prolonged drought, can potentially have a marked impact on output.</w:t>
      </w:r>
    </w:p>
    <w:p>
      <w:pPr>
        <w:pStyle w:val="BodyText"/>
        <w:spacing w:before="3"/>
        <w:rPr>
          <w:sz w:val="23"/>
        </w:rPr>
      </w:pPr>
    </w:p>
    <w:p>
      <w:pPr>
        <w:spacing w:line="249" w:lineRule="auto" w:before="0"/>
        <w:ind w:left="416" w:right="434" w:firstLine="0"/>
        <w:jc w:val="left"/>
        <w:rPr>
          <w:sz w:val="20"/>
        </w:rPr>
      </w:pPr>
      <w:r>
        <w:rPr>
          <w:sz w:val="20"/>
        </w:rPr>
        <w:t>Evidence of a link between temperature and output in energy and construction industries might help to explain swings in total output growth so far this year. An unusually warm Q1 may have contributed to weaker energy and stronger construction output. And a return to more normal temperatures for the time of year in Q2 might explain stronger energy and weaker construction growth. Energy sector output growth subsequently weakened in Q3 when temperatures remained near seasonal norms. That suggests that a measure of GDP excluding potentially weather-sensitive sectors might sometimes give a clearer signal of underlying trends in overall output growth (see Chart B).</w:t>
      </w:r>
    </w:p>
    <w:p>
      <w:pPr>
        <w:spacing w:before="50"/>
        <w:ind w:left="415" w:right="0" w:firstLine="0"/>
        <w:jc w:val="left"/>
        <w:rPr>
          <w:b/>
          <w:sz w:val="20"/>
        </w:rPr>
      </w:pPr>
      <w:r>
        <w:rPr>
          <w:b/>
          <w:color w:val="0092C7"/>
          <w:sz w:val="20"/>
        </w:rPr>
        <w:t>Chart B: Measures of GDP growth</w:t>
      </w:r>
    </w:p>
    <w:p>
      <w:pPr>
        <w:spacing w:line="128" w:lineRule="exact" w:before="71"/>
        <w:ind w:left="2514" w:right="0" w:firstLine="0"/>
        <w:jc w:val="left"/>
        <w:rPr>
          <w:sz w:val="12"/>
        </w:rPr>
      </w:pPr>
      <w:r>
        <w:rPr>
          <w:sz w:val="12"/>
        </w:rPr>
        <w:t>Percentage changes on previous quarter</w:t>
      </w:r>
    </w:p>
    <w:p>
      <w:pPr>
        <w:spacing w:after="0" w:line="128" w:lineRule="exact"/>
        <w:jc w:val="left"/>
        <w:rPr>
          <w:sz w:val="12"/>
        </w:rPr>
        <w:sectPr>
          <w:type w:val="continuous"/>
          <w:pgSz w:w="11900" w:h="16840"/>
          <w:pgMar w:top="1260" w:bottom="280" w:left="640" w:right="640"/>
          <w:cols w:num="2" w:equalWidth="0">
            <w:col w:w="5077" w:space="48"/>
            <w:col w:w="5495"/>
          </w:cols>
        </w:sectPr>
      </w:pPr>
    </w:p>
    <w:p>
      <w:pPr>
        <w:pStyle w:val="BodyText"/>
        <w:rPr>
          <w:sz w:val="12"/>
        </w:rPr>
      </w:pPr>
    </w:p>
    <w:p>
      <w:pPr>
        <w:pStyle w:val="BodyText"/>
        <w:spacing w:before="10"/>
        <w:rPr>
          <w:sz w:val="15"/>
        </w:rPr>
      </w:pPr>
    </w:p>
    <w:p>
      <w:pPr>
        <w:spacing w:line="273" w:lineRule="auto" w:before="1"/>
        <w:ind w:left="7663" w:right="-19" w:hanging="143"/>
        <w:jc w:val="left"/>
        <w:rPr>
          <w:sz w:val="12"/>
        </w:rPr>
      </w:pPr>
      <w:r>
        <w:rPr>
          <w:sz w:val="12"/>
        </w:rPr>
        <w:t>Excluding weather-sensitive components of GDP (a)</w:t>
      </w:r>
    </w:p>
    <w:p>
      <w:pPr>
        <w:spacing w:line="133" w:lineRule="exact" w:before="0"/>
        <w:ind w:left="680" w:right="825" w:firstLine="0"/>
        <w:jc w:val="center"/>
        <w:rPr>
          <w:sz w:val="12"/>
        </w:rPr>
      </w:pPr>
      <w:r>
        <w:rPr/>
        <w:br w:type="column"/>
      </w:r>
      <w:r>
        <w:rPr>
          <w:sz w:val="12"/>
        </w:rPr>
        <w:t>1.2</w:t>
      </w:r>
    </w:p>
    <w:p>
      <w:pPr>
        <w:pStyle w:val="BodyText"/>
        <w:rPr>
          <w:sz w:val="12"/>
        </w:rPr>
      </w:pPr>
    </w:p>
    <w:p>
      <w:pPr>
        <w:pStyle w:val="BodyText"/>
        <w:spacing w:before="3"/>
        <w:rPr>
          <w:sz w:val="17"/>
        </w:rPr>
      </w:pPr>
    </w:p>
    <w:p>
      <w:pPr>
        <w:spacing w:before="0"/>
        <w:ind w:left="680" w:right="825" w:firstLine="0"/>
        <w:jc w:val="center"/>
        <w:rPr>
          <w:sz w:val="12"/>
        </w:rPr>
      </w:pPr>
      <w:r>
        <w:rPr>
          <w:sz w:val="12"/>
        </w:rPr>
        <w:t>1.0</w:t>
      </w:r>
    </w:p>
    <w:p>
      <w:pPr>
        <w:spacing w:after="0"/>
        <w:jc w:val="center"/>
        <w:rPr>
          <w:sz w:val="12"/>
        </w:rPr>
        <w:sectPr>
          <w:type w:val="continuous"/>
          <w:pgSz w:w="11900" w:h="16840"/>
          <w:pgMar w:top="1260" w:bottom="280" w:left="640" w:right="640"/>
          <w:cols w:num="2" w:equalWidth="0">
            <w:col w:w="8884" w:space="40"/>
            <w:col w:w="1696"/>
          </w:cols>
        </w:sectPr>
      </w:pPr>
    </w:p>
    <w:p>
      <w:pPr>
        <w:pStyle w:val="BodyText"/>
        <w:spacing w:before="5"/>
        <w:rPr>
          <w:sz w:val="13"/>
        </w:rPr>
      </w:pPr>
    </w:p>
    <w:p>
      <w:pPr>
        <w:spacing w:before="1"/>
        <w:ind w:left="0" w:right="0" w:firstLine="0"/>
        <w:jc w:val="right"/>
        <w:rPr>
          <w:sz w:val="12"/>
        </w:rPr>
      </w:pPr>
      <w:r>
        <w:rPr>
          <w:sz w:val="12"/>
        </w:rPr>
        <w:t>GDP</w:t>
      </w:r>
    </w:p>
    <w:p>
      <w:pPr>
        <w:pStyle w:val="BodyText"/>
        <w:rPr>
          <w:sz w:val="12"/>
        </w:rPr>
      </w:pPr>
      <w:r>
        <w:rPr/>
        <w:br w:type="column"/>
      </w:r>
      <w:r>
        <w:rPr>
          <w:sz w:val="12"/>
        </w:rPr>
      </w:r>
    </w:p>
    <w:p>
      <w:pPr>
        <w:pStyle w:val="BodyText"/>
        <w:spacing w:before="4"/>
        <w:rPr>
          <w:sz w:val="16"/>
        </w:rPr>
      </w:pPr>
    </w:p>
    <w:p>
      <w:pPr>
        <w:spacing w:before="1"/>
        <w:ind w:left="0" w:right="844" w:firstLine="0"/>
        <w:jc w:val="right"/>
        <w:rPr>
          <w:sz w:val="12"/>
        </w:rPr>
      </w:pPr>
      <w:r>
        <w:rPr>
          <w:sz w:val="12"/>
        </w:rPr>
        <w:t>0.8</w:t>
      </w:r>
    </w:p>
    <w:p>
      <w:pPr>
        <w:pStyle w:val="BodyText"/>
        <w:rPr>
          <w:sz w:val="12"/>
        </w:rPr>
      </w:pPr>
    </w:p>
    <w:p>
      <w:pPr>
        <w:pStyle w:val="BodyText"/>
        <w:spacing w:before="3"/>
        <w:rPr>
          <w:sz w:val="17"/>
        </w:rPr>
      </w:pPr>
    </w:p>
    <w:p>
      <w:pPr>
        <w:spacing w:before="0"/>
        <w:ind w:left="0" w:right="844" w:firstLine="0"/>
        <w:jc w:val="right"/>
        <w:rPr>
          <w:sz w:val="12"/>
        </w:rPr>
      </w:pPr>
      <w:r>
        <w:rPr>
          <w:sz w:val="12"/>
        </w:rPr>
        <w:t>0.6</w:t>
      </w:r>
    </w:p>
    <w:p>
      <w:pPr>
        <w:pStyle w:val="BodyText"/>
        <w:rPr>
          <w:sz w:val="12"/>
        </w:rPr>
      </w:pPr>
    </w:p>
    <w:p>
      <w:pPr>
        <w:pStyle w:val="BodyText"/>
        <w:spacing w:before="3"/>
        <w:rPr>
          <w:sz w:val="17"/>
        </w:rPr>
      </w:pPr>
    </w:p>
    <w:p>
      <w:pPr>
        <w:spacing w:before="1"/>
        <w:ind w:left="0" w:right="844" w:firstLine="0"/>
        <w:jc w:val="right"/>
        <w:rPr>
          <w:sz w:val="12"/>
        </w:rPr>
      </w:pPr>
      <w:r>
        <w:rPr>
          <w:sz w:val="12"/>
        </w:rPr>
        <w:t>0.4</w:t>
      </w:r>
    </w:p>
    <w:p>
      <w:pPr>
        <w:spacing w:after="0"/>
        <w:jc w:val="right"/>
        <w:rPr>
          <w:sz w:val="12"/>
        </w:rPr>
        <w:sectPr>
          <w:type w:val="continuous"/>
          <w:pgSz w:w="11900" w:h="16840"/>
          <w:pgMar w:top="1260" w:bottom="280" w:left="640" w:right="640"/>
          <w:cols w:num="2" w:equalWidth="0">
            <w:col w:w="6401" w:space="40"/>
            <w:col w:w="4179"/>
          </w:cols>
        </w:sectPr>
      </w:pPr>
    </w:p>
    <w:p>
      <w:pPr>
        <w:pStyle w:val="BodyText"/>
        <w:spacing w:before="6"/>
        <w:rPr>
          <w:sz w:val="22"/>
        </w:rPr>
      </w:pPr>
    </w:p>
    <w:p>
      <w:pPr>
        <w:spacing w:after="0"/>
        <w:rPr>
          <w:sz w:val="22"/>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1"/>
        </w:rPr>
      </w:pPr>
    </w:p>
    <w:p>
      <w:pPr>
        <w:tabs>
          <w:tab w:pos="575" w:val="left" w:leader="none"/>
        </w:tabs>
        <w:spacing w:before="0"/>
        <w:ind w:left="0" w:right="0" w:firstLine="0"/>
        <w:jc w:val="right"/>
        <w:rPr>
          <w:sz w:val="12"/>
        </w:rPr>
      </w:pPr>
      <w:r>
        <w:rPr>
          <w:sz w:val="12"/>
        </w:rPr>
        <w:t>Q1</w:t>
        <w:tab/>
        <w:t>Q2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8"/>
        <w:rPr>
          <w:sz w:val="11"/>
        </w:rPr>
      </w:pPr>
    </w:p>
    <w:p>
      <w:pPr>
        <w:tabs>
          <w:tab w:pos="925" w:val="left" w:leader="none"/>
        </w:tabs>
        <w:spacing w:before="0"/>
        <w:ind w:left="373" w:right="0" w:firstLine="0"/>
        <w:jc w:val="left"/>
        <w:rPr>
          <w:sz w:val="12"/>
        </w:rPr>
      </w:pPr>
      <w:r>
        <w:rPr>
          <w:sz w:val="12"/>
        </w:rPr>
        <w:t>Q3</w:t>
        <w:tab/>
      </w:r>
      <w:r>
        <w:rPr>
          <w:spacing w:val="-10"/>
          <w:sz w:val="12"/>
        </w:rPr>
        <w:t>Q4</w:t>
      </w:r>
    </w:p>
    <w:p>
      <w:pPr>
        <w:spacing w:before="32"/>
        <w:ind w:left="61" w:right="0" w:firstLine="0"/>
        <w:jc w:val="left"/>
        <w:rPr>
          <w:sz w:val="12"/>
        </w:rPr>
      </w:pPr>
      <w:r>
        <w:rPr>
          <w:sz w:val="12"/>
        </w:rPr>
        <w:t>1999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8"/>
        <w:rPr>
          <w:sz w:val="11"/>
        </w:rPr>
      </w:pPr>
    </w:p>
    <w:p>
      <w:pPr>
        <w:tabs>
          <w:tab w:pos="991" w:val="left" w:leader="none"/>
          <w:tab w:pos="1551" w:val="left" w:leader="none"/>
        </w:tabs>
        <w:spacing w:line="297" w:lineRule="auto" w:before="0"/>
        <w:ind w:left="716" w:right="0" w:hanging="301"/>
        <w:jc w:val="left"/>
        <w:rPr>
          <w:sz w:val="12"/>
        </w:rPr>
      </w:pPr>
      <w:r>
        <w:rPr>
          <w:sz w:val="12"/>
        </w:rPr>
        <w:t>Q1</w:t>
        <w:tab/>
        <w:tab/>
        <w:t>Q2</w:t>
        <w:tab/>
      </w:r>
      <w:r>
        <w:rPr>
          <w:spacing w:val="-10"/>
          <w:sz w:val="12"/>
        </w:rPr>
        <w:t>Q3 </w:t>
      </w:r>
      <w:r>
        <w:rPr>
          <w:sz w:val="12"/>
        </w:rPr>
        <w:t>2000</w:t>
      </w:r>
    </w:p>
    <w:p>
      <w:pPr>
        <w:spacing w:before="95"/>
        <w:ind w:left="232" w:right="0" w:firstLine="0"/>
        <w:jc w:val="left"/>
        <w:rPr>
          <w:sz w:val="12"/>
        </w:rPr>
      </w:pPr>
      <w:r>
        <w:rPr/>
        <w:br w:type="column"/>
      </w:r>
      <w:r>
        <w:rPr>
          <w:sz w:val="12"/>
        </w:rPr>
        <w:t>0.2</w:t>
      </w:r>
    </w:p>
    <w:p>
      <w:pPr>
        <w:pStyle w:val="BodyText"/>
        <w:rPr>
          <w:sz w:val="12"/>
        </w:rPr>
      </w:pPr>
    </w:p>
    <w:p>
      <w:pPr>
        <w:pStyle w:val="BodyText"/>
        <w:spacing w:before="4"/>
        <w:rPr>
          <w:sz w:val="17"/>
        </w:rPr>
      </w:pPr>
    </w:p>
    <w:p>
      <w:pPr>
        <w:spacing w:before="0"/>
        <w:ind w:left="232" w:right="0" w:firstLine="0"/>
        <w:jc w:val="left"/>
        <w:rPr>
          <w:sz w:val="12"/>
        </w:rPr>
      </w:pPr>
      <w:r>
        <w:rPr>
          <w:sz w:val="12"/>
        </w:rPr>
        <w:t>0.0</w:t>
      </w:r>
    </w:p>
    <w:p>
      <w:pPr>
        <w:spacing w:after="0"/>
        <w:jc w:val="left"/>
        <w:rPr>
          <w:sz w:val="12"/>
        </w:rPr>
        <w:sectPr>
          <w:type w:val="continuous"/>
          <w:pgSz w:w="11900" w:h="16840"/>
          <w:pgMar w:top="1260" w:bottom="280" w:left="640" w:right="640"/>
          <w:cols w:num="4" w:equalWidth="0">
            <w:col w:w="6501" w:space="40"/>
            <w:col w:w="1073" w:space="39"/>
            <w:col w:w="1699" w:space="39"/>
            <w:col w:w="1229"/>
          </w:cols>
        </w:sectPr>
      </w:pPr>
    </w:p>
    <w:p>
      <w:pPr>
        <w:pStyle w:val="ListParagraph"/>
        <w:numPr>
          <w:ilvl w:val="2"/>
          <w:numId w:val="20"/>
        </w:numPr>
        <w:tabs>
          <w:tab w:pos="5776" w:val="left" w:leader="none"/>
        </w:tabs>
        <w:spacing w:line="208" w:lineRule="auto" w:before="56" w:after="0"/>
        <w:ind w:left="5775" w:right="788" w:hanging="240"/>
        <w:jc w:val="left"/>
        <w:rPr>
          <w:sz w:val="12"/>
        </w:rPr>
      </w:pPr>
      <w:r>
        <w:rPr/>
        <w:pict>
          <v:group style="position:absolute;margin-left:39pt;margin-top:40pt;width:517.3pt;height:740pt;mso-position-horizontal-relative:page;mso-position-vertical-relative:page;z-index:-22715392" coordorigin="780,800" coordsize="10346,14800">
            <v:shape style="position:absolute;left:790;top:810;width:10326;height:14780" coordorigin="790,810" coordsize="10326,14780" path="m11116,810l5960,810,5946,810,790,810,790,8186,790,8214,790,15590,5946,15590,5960,15590,11116,15590,11116,810xe" filled="true" fillcolor="#d7e8e7" stroked="false">
              <v:path arrowok="t"/>
              <v:fill type="solid"/>
            </v:shape>
            <v:shape style="position:absolute;left:879;top:942;width:10147;height:14516" coordorigin="879,942" coordsize="10147,14516" path="m5953,942l879,8200,5953,15458,11026,8200,5953,942xe" filled="true" fillcolor="#d9e8e7" stroked="false">
              <v:path arrowok="t"/>
              <v:fill type="solid"/>
            </v:shape>
            <v:shape style="position:absolute;left:978;top:1084;width:9948;height:14231" coordorigin="979,1085" coordsize="9948,14231" path="m5953,1085l979,8200,5953,15315,10926,8200,5953,1085xe" filled="true" fillcolor="#dae9e8" stroked="false">
              <v:path arrowok="t"/>
              <v:fill type="solid"/>
            </v:shape>
            <v:shape style="position:absolute;left:1078;top:1226;width:9749;height:13947" coordorigin="1078,1227" coordsize="9749,13947" path="m5953,1227l1078,8200,5953,15173,10827,8200,5953,1227xe" filled="true" fillcolor="#daeae8" stroked="false">
              <v:path arrowok="t"/>
              <v:fill type="solid"/>
            </v:shape>
            <v:shape style="position:absolute;left:1177;top:1369;width:9550;height:13662" coordorigin="1178,1369" coordsize="9550,13662" path="m5953,1369l1178,8200,5953,15031,10728,8200,5953,1369xe" filled="true" fillcolor="#dbeae8" stroked="false">
              <v:path arrowok="t"/>
              <v:fill type="solid"/>
            </v:shape>
            <v:shape style="position:absolute;left:1277;top:1511;width:9351;height:13377" coordorigin="1277,1512" coordsize="9351,13377" path="m5953,1512l1277,8200,5953,14888,10628,8200,5953,1512xe" filled="true" fillcolor="#dcebe9" stroked="false">
              <v:path arrowok="t"/>
              <v:fill type="solid"/>
            </v:shape>
            <v:shape style="position:absolute;left:1376;top:1653;width:9152;height:13093" coordorigin="1377,1654" coordsize="9152,13093" path="m5953,1654l1377,8200,5953,14746,10529,8200,5953,1654xe" filled="true" fillcolor="#ddebe9" stroked="false">
              <v:path arrowok="t"/>
              <v:fill type="solid"/>
            </v:shape>
            <v:shape style="position:absolute;left:1476;top:1796;width:8953;height:12808" coordorigin="1476,1796" coordsize="8953,12808" path="m5953,1796l1476,8200,5953,14604,10429,8200,5953,1796xe" filled="true" fillcolor="#ddebea" stroked="false">
              <v:path arrowok="t"/>
              <v:fill type="solid"/>
            </v:shape>
            <v:shape style="position:absolute;left:1575;top:1938;width:8754;height:12523" coordorigin="1576,1938" coordsize="8754,12523" path="m5953,1938l1576,8200,5953,14461,10330,8200,5953,1938xe" filled="true" fillcolor="#dfebea" stroked="false">
              <v:path arrowok="t"/>
              <v:fill type="solid"/>
            </v:shape>
            <v:shape style="position:absolute;left:1675;top:2080;width:8555;height:12239" coordorigin="1675,2081" coordsize="8555,12239" path="m10230,8200l5953,2081,1675,8200,5953,14319,10230,8200xe" filled="true" fillcolor="#dfeceb" stroked="false">
              <v:path arrowok="t"/>
              <v:fill type="solid"/>
            </v:shape>
            <v:shape style="position:absolute;left:1874;top:2365;width:8157;height:11670" coordorigin="1874,2365" coordsize="8157,11670" path="m5953,2365l1874,8200,5953,14035,10031,8200,5953,2365xe" filled="true" fillcolor="#e0eceb" stroked="false">
              <v:path arrowok="t"/>
              <v:fill type="solid"/>
            </v:shape>
            <v:shape style="position:absolute;left:1973;top:2507;width:7959;height:11385" coordorigin="1974,2508" coordsize="7959,11385" path="m5953,2508l1974,8200,5953,13892,9932,8200,5953,2508xe" filled="true" fillcolor="#e0edeb" stroked="false">
              <v:path arrowok="t"/>
              <v:fill type="solid"/>
            </v:shape>
            <v:shape style="position:absolute;left:2073;top:2650;width:7760;height:11100" coordorigin="2073,2650" coordsize="7760,11100" path="m5953,2650l2073,8200,5953,13750,9832,8200,5953,2650xe" filled="true" fillcolor="#e1edeb" stroked="false">
              <v:path arrowok="t"/>
              <v:fill type="solid"/>
            </v:shape>
            <v:shape style="position:absolute;left:2172;top:2792;width:7561;height:10816" coordorigin="2173,2792" coordsize="7561,10816" path="m5953,2792l2173,8200,5953,13608,9733,8200,5953,2792xe" filled="true" fillcolor="#e2edec" stroked="false">
              <v:path arrowok="t"/>
              <v:fill type="solid"/>
            </v:shape>
            <v:shape style="position:absolute;left:2272;top:2934;width:7362;height:10531" coordorigin="2272,2935" coordsize="7362,10531" path="m5953,2935l2272,8200,5953,13465,9633,8200,5953,2935xe" filled="true" fillcolor="#e3eeec" stroked="false">
              <v:path arrowok="t"/>
              <v:fill type="solid"/>
            </v:shape>
            <v:shape style="position:absolute;left:2371;top:3076;width:7163;height:10247" coordorigin="2372,3077" coordsize="7163,10247" path="m5953,3077l2372,8200,5953,13323,9534,8200,5953,3077xe" filled="true" fillcolor="#e4efed" stroked="false">
              <v:path arrowok="t"/>
              <v:fill type="solid"/>
            </v:shape>
            <v:shape style="position:absolute;left:2471;top:3219;width:6964;height:9962" coordorigin="2471,3219" coordsize="6964,9962" path="m5953,3219l2471,8200,5953,13181,9434,8200,5953,3219xe" filled="true" fillcolor="#e6efed" stroked="false">
              <v:path arrowok="t"/>
              <v:fill type="solid"/>
            </v:shape>
            <v:shape style="position:absolute;left:2570;top:3361;width:6765;height:9677" coordorigin="2571,3362" coordsize="6765,9677" path="m5953,3362l2571,8200,5953,13038,9335,8200,5953,3362xe" filled="true" fillcolor="#e6efee" stroked="false">
              <v:path arrowok="t"/>
              <v:fill type="solid"/>
            </v:shape>
            <v:shape style="position:absolute;left:2670;top:3503;width:6566;height:9393" coordorigin="2670,3504" coordsize="6566,9393" path="m5953,3504l2670,8200,5953,12896,9235,8200,5953,3504xe" filled="true" fillcolor="#e7f0ee" stroked="false">
              <v:path arrowok="t"/>
              <v:fill type="solid"/>
            </v:shape>
            <v:shape style="position:absolute;left:2769;top:3646;width:6367;height:9108" coordorigin="2770,3646" coordsize="6367,9108" path="m9136,8200l5953,3646,2770,8200,5953,12754,9136,8200xe" filled="true" fillcolor="#e8f0ee" stroked="false">
              <v:path arrowok="t"/>
              <v:fill type="solid"/>
            </v:shape>
            <v:shape style="position:absolute;left:2968;top:3930;width:5969;height:8539" coordorigin="2968,3931" coordsize="5969,8539" path="m5953,3931l2968,8200,5953,12469,8937,8200,5953,3931xe" filled="true" fillcolor="#eaf1f0" stroked="false">
              <v:path arrowok="t"/>
              <v:fill type="solid"/>
            </v:shape>
            <v:shape style="position:absolute;left:3067;top:4073;width:5770;height:8254" coordorigin="3068,4073" coordsize="5770,8254" path="m8838,8200l5953,4073,3068,8200,5953,12327,8838,8200xe" filled="true" fillcolor="#ebf3f0" stroked="false">
              <v:path arrowok="t"/>
              <v:fill type="solid"/>
            </v:shape>
            <v:shape style="position:absolute;left:3266;top:4357;width:5372;height:7685" coordorigin="3267,4358" coordsize="5372,7685" path="m5953,4358l3267,8200,5953,12042,8639,8200,5953,4358xe" filled="true" fillcolor="#ebf4f1" stroked="false">
              <v:path arrowok="t"/>
              <v:fill type="solid"/>
            </v:shape>
            <v:shape style="position:absolute;left:3366;top:4500;width:5173;height:7400" coordorigin="3366,4500" coordsize="5173,7400" path="m5953,4500l3366,8200,5953,11900,8539,8200,5953,4500xe" filled="true" fillcolor="#ecf4f1" stroked="false">
              <v:path arrowok="t"/>
              <v:fill type="solid"/>
            </v:shape>
            <v:shape style="position:absolute;left:3465;top:4642;width:4974;height:7116" coordorigin="3466,4642" coordsize="4974,7116" path="m5953,4642l3466,8200,5953,11758,8440,8200,5953,4642xe" filled="true" fillcolor="#ecf4f3" stroked="false">
              <v:path arrowok="t"/>
              <v:fill type="solid"/>
            </v:shape>
            <v:shape style="position:absolute;left:3565;top:4784;width:4775;height:6831" coordorigin="3565,4785" coordsize="4775,6831" path="m5953,4785l3565,8200,5953,11615,8340,8200,5953,4785xe" filled="true" fillcolor="#edf5f3" stroked="false">
              <v:path arrowok="t"/>
              <v:fill type="solid"/>
            </v:shape>
            <v:shape style="position:absolute;left:3664;top:4926;width:4576;height:6547" coordorigin="3665,4927" coordsize="4576,6547" path="m5953,4927l3665,8200,5953,11473,8241,8200,5953,4927xe" filled="true" fillcolor="#eef5f4" stroked="false">
              <v:path arrowok="t"/>
              <v:fill type="solid"/>
            </v:shape>
            <v:shape style="position:absolute;left:3764;top:5069;width:4377;height:6262" coordorigin="3764,5069" coordsize="4377,6262" path="m5953,5069l3764,8200,5953,11331,8141,8200,5953,5069xe" filled="true" fillcolor="#eff6f4" stroked="false">
              <v:path arrowok="t"/>
              <v:fill type="solid"/>
            </v:shape>
            <v:shape style="position:absolute;left:3863;top:5211;width:4178;height:5977" coordorigin="3864,5212" coordsize="4178,5977" path="m5953,5212l3864,8200,5953,11188,8042,8200,5953,5212xe" filled="true" fillcolor="#eff6f5" stroked="false">
              <v:path arrowok="t"/>
              <v:fill type="solid"/>
            </v:shape>
            <v:shape style="position:absolute;left:3963;top:5353;width:3980;height:5693" coordorigin="3963,5354" coordsize="3980,5693" path="m5953,5354l3963,8200,5953,11046,7942,8200,5953,5354xe" filled="true" fillcolor="#f0f7f6" stroked="false">
              <v:path arrowok="t"/>
              <v:fill type="solid"/>
            </v:shape>
            <v:shape style="position:absolute;left:4062;top:5496;width:3781;height:5408" coordorigin="4063,5496" coordsize="3781,5408" path="m7843,8200l5953,5496,4063,8200,5953,10904,7843,8200xe" filled="true" fillcolor="#f1f7f6" stroked="false">
              <v:path arrowok="t"/>
              <v:fill type="solid"/>
            </v:shape>
            <v:shape style="position:absolute;left:4261;top:5780;width:3383;height:4839" coordorigin="4262,5781" coordsize="3383,4839" path="m5953,5781l4262,8200,5953,10619,7644,8200,5953,5781xe" filled="true" fillcolor="#f4f8f7" stroked="false">
              <v:path arrowok="t"/>
              <v:fill type="solid"/>
            </v:shape>
            <v:shape style="position:absolute;left:4361;top:5923;width:3184;height:4554" coordorigin="4361,5923" coordsize="3184,4554" path="m5953,5923l4361,8200,5953,10477,7544,8200,5953,5923xe" filled="true" fillcolor="#f4f8f8" stroked="false">
              <v:path arrowok="t"/>
              <v:fill type="solid"/>
            </v:shape>
            <v:shape style="position:absolute;left:4460;top:6065;width:2985;height:4270" coordorigin="4461,6065" coordsize="2985,4270" path="m5953,6065l4461,8200,5953,10335,7445,8200,5953,6065xe" filled="true" fillcolor="#f5f8f8" stroked="false">
              <v:path arrowok="t"/>
              <v:fill type="solid"/>
            </v:shape>
            <v:shape style="position:absolute;left:4560;top:6207;width:2786;height:3985" coordorigin="4560,6208" coordsize="2786,3985" path="m7345,8200l5953,6208,4560,8200,5953,10192,7345,8200xe" filled="true" fillcolor="#f6f8f8" stroked="false">
              <v:path arrowok="t"/>
              <v:fill type="solid"/>
            </v:shape>
            <v:shape style="position:absolute;left:4759;top:6492;width:2388;height:3416" coordorigin="4759,6492" coordsize="2388,3416" path="m5953,6492l4759,8200,5953,9908,7146,8200,5953,6492xe" filled="true" fillcolor="#f7f9f8" stroked="false">
              <v:path arrowok="t"/>
              <v:fill type="solid"/>
            </v:shape>
            <v:shape style="position:absolute;left:4858;top:6634;width:2189;height:3131" coordorigin="4858,6635" coordsize="2189,3131" path="m5953,6635l4858,8200,5953,9765,7047,8200,5953,6635xe" filled="true" fillcolor="#f8f9f8" stroked="false">
              <v:path arrowok="t"/>
              <v:fill type="solid"/>
            </v:shape>
            <v:shape style="position:absolute;left:4957;top:6776;width:1990;height:2847" coordorigin="4958,6777" coordsize="1990,2847" path="m5953,6777l4958,8200,5953,9623,6947,8200,5953,6777xe" filled="true" fillcolor="#f8fafa" stroked="false">
              <v:path arrowok="t"/>
              <v:fill type="solid"/>
            </v:shape>
            <v:shape style="position:absolute;left:5057;top:6919;width:1791;height:2562" coordorigin="5057,6919" coordsize="1791,2562" path="m5953,6919l5057,8200,5953,9481,6848,8200,5953,6919xe" filled="true" fillcolor="#f8fbfa" stroked="false">
              <v:path arrowok="t"/>
              <v:fill type="solid"/>
            </v:shape>
            <v:shape style="position:absolute;left:5156;top:7061;width:1592;height:2277" coordorigin="5157,7062" coordsize="1592,2277" path="m5953,7062l5157,8200,5953,9338,6749,8200,5953,7062xe" filled="true" fillcolor="#f9fbfa" stroked="false">
              <v:path arrowok="t"/>
              <v:fill type="solid"/>
            </v:shape>
            <v:shape style="position:absolute;left:5256;top:7203;width:1393;height:1993" coordorigin="5256,7204" coordsize="1393,1993" path="m5953,7204l5256,8200,5953,9196,6649,8200,5953,7204xe" filled="true" fillcolor="#fafbfb" stroked="false">
              <v:path arrowok="t"/>
              <v:fill type="solid"/>
            </v:shape>
            <v:shape style="position:absolute;left:5355;top:7346;width:1194;height:1708" coordorigin="5356,7346" coordsize="1194,1708" path="m5953,7346l5356,8200,5953,9054,6550,8200,5953,7346xe" filled="true" fillcolor="#fafcfb" stroked="false">
              <v:path arrowok="t"/>
              <v:fill type="solid"/>
            </v:shape>
            <v:shape style="position:absolute;left:5455;top:7488;width:995;height:1424" coordorigin="5455,7488" coordsize="995,1424" path="m5953,7488l5455,8200,5953,8912,6450,8200,5953,7488xe" filled="true" fillcolor="#fbfcfc" stroked="false">
              <v:path arrowok="t"/>
              <v:fill type="solid"/>
            </v:shape>
            <v:shape style="position:absolute;left:5554;top:7630;width:796;height:1139" coordorigin="5555,7631" coordsize="796,1139" path="m5953,7631l5555,8200,5953,8769,6351,8200,5953,7631xe" filled="true" fillcolor="#fcfdfd" stroked="false">
              <v:path arrowok="t"/>
              <v:fill type="solid"/>
            </v:shape>
            <v:shape style="position:absolute;left:5654;top:7773;width:597;height:854" coordorigin="5654,7773" coordsize="597,854" path="m5953,7773l5654,8200,5953,8627,6251,8200,5953,7773xe" filled="true" fillcolor="#fdfdfd" stroked="false">
              <v:path arrowok="t"/>
              <v:fill type="solid"/>
            </v:shape>
            <v:shape style="position:absolute;left:5753;top:7915;width:398;height:570" coordorigin="5754,7915" coordsize="398,570" path="m5953,7915l5754,8200,5953,8485,6152,8200,5953,7915xe" filled="true" fillcolor="#fdfffd" stroked="false">
              <v:path arrowok="t"/>
              <v:fill type="solid"/>
            </v:shape>
            <v:shape style="position:absolute;left:5853;top:8057;width:199;height:285" coordorigin="5853,8058" coordsize="199,285" path="m5953,8058l5853,8200,5953,8342,6052,8200,5953,8058xe" filled="true" fillcolor="#ffffff" stroked="false">
              <v:path arrowok="t"/>
              <v:fill type="solid"/>
            </v:shape>
            <v:rect style="position:absolute;left:790;top:810;width:10326;height:14780" filled="false" stroked="true" strokeweight="1pt" strokecolor="#009391">
              <v:stroke dashstyle="solid"/>
            </v:rect>
            <v:shape style="position:absolute;left:1035;top:10620;width:9825;height:3910" coordorigin="1035,10620" coordsize="9825,3910" path="m5590,10660l1040,10660,1040,11000,1035,11000,1035,14530,5585,14530,5585,11000,5590,11000,5590,10660xm10860,10620l6160,10620,6160,10880,10860,10880,10860,10620xe" filled="true" fillcolor="#ffffff" stroked="false">
              <v:path arrowok="t"/>
              <v:fill type="solid"/>
            </v:shape>
            <v:shape style="position:absolute;left:1435;top:11595;width:1450;height:2413" coordorigin="1436,11595" coordsize="1450,2413" path="m1436,13518l1528,11595m1528,11595l1606,12520m1606,12520l1698,12590m1698,12590l1776,12608m1776,12608l1868,11928m1868,11928l1946,14008m1946,14008l2038,12085m2038,12085l2113,12958m2113,12958l2208,13080m2208,13080l2283,12033m2283,12033l2376,12295m2376,12295l2468,13763m2468,13763l2546,12103m2546,12103l2638,12033m2638,12033l2716,12348m2716,12348l2808,13658m2808,13658l2886,12538e" filled="false" stroked="true" strokeweight="1pt" strokecolor="#00a2a0">
              <v:path arrowok="t"/>
              <v:stroke dashstyle="solid"/>
            </v:shape>
            <v:shape style="position:absolute;left:2875;top:12527;width:545;height:370" type="#_x0000_t75" stroked="false">
              <v:imagedata r:id="rId97" o:title=""/>
            </v:shape>
            <v:shape style="position:absolute;left:3410;top:11735;width:1620;height:1555" coordorigin="3411,11735" coordsize="1620,1555" path="m3411,12625l3488,12190m3488,12190l3581,12608m3581,12608l3658,12818m3658,12818l3751,12975m3751,12975l3828,12905m3828,12905l3921,12520m3921,12520l3998,12625m3998,12625l4091,13063m4091,13063l4183,13115m4183,13115l4258,12120m4258,12120l4353,12538m4353,12538l4428,12783m4428,12783l4521,13290m4521,13290l4598,12383m4598,12383l4691,12503m4691,12503l4768,12835m4768,12835l4861,13220m4861,13220l4938,11735m4938,11735l5031,12660e" filled="false" stroked="true" strokeweight="1pt" strokecolor="#00a2a0">
              <v:path arrowok="t"/>
              <v:stroke dashstyle="solid"/>
            </v:shape>
            <v:shape style="position:absolute;left:1435;top:11875;width:2918;height:1765" coordorigin="1436,11875" coordsize="2918,1765" path="m1436,13623l1528,11875m1528,11875l1606,13098m1606,13098l1698,12678m1698,12678l1776,12450m1776,12450l1868,12590m1868,12590l1946,13640m1946,13640l2038,12383m2038,12383l2113,13098m2113,13098l2208,12993m2208,12993l2283,12260m2283,12260l2376,12538m2376,12538l2468,13518m2468,13518l2546,12660m2546,12660l2638,12190m2638,12190l2716,12835m2716,12835l2808,13413m2808,13413l2886,12468m2886,12468l2978,13045m2978,13045l3056,13273m3056,13273l3148,12538m3148,12538l3241,12590m3241,12590l3318,13413m3318,13413l3411,12243m3411,12243l3488,12313m3488,12313l3581,12905m3581,12905l3658,13185m3658,13185l3751,12538m3751,12538l3828,13360m3828,13360l3921,12468m3921,12468l3998,13255m3998,13255l4091,12625m4091,12625l4183,13220m4183,13220l4258,12173m4258,12173l4353,12783e" filled="false" stroked="true" strokeweight="1pt" strokecolor="#de8508">
              <v:path arrowok="t"/>
              <v:stroke dashstyle="solid"/>
            </v:shape>
            <v:line style="position:absolute" from="4343,12784" to="4438,12784" stroked="true" strokeweight="1.125pt" strokecolor="#de8508">
              <v:stroke dashstyle="solid"/>
            </v:line>
            <v:shape style="position:absolute;left:4428;top:12365;width:603;height:855" coordorigin="4428,12365" coordsize="603,855" path="m4428,12783l4521,13220m4521,13220l4598,12590m4598,12590l4691,13028m4691,13028l4768,12573m4768,12573l4861,13133m4861,13133l4938,12365m4938,12365l5031,12835e" filled="false" stroked="true" strokeweight="1pt" strokecolor="#de8508">
              <v:path arrowok="t"/>
              <v:stroke dashstyle="solid"/>
            </v:shape>
            <v:shape style="position:absolute;left:1251;top:11348;width:3997;height:2907" coordorigin="1251,11348" coordsize="3997,2907" path="m1338,11359l1251,11359m1338,11737l1251,11737m1338,12092l1251,12092m1338,12454l1251,12454m1338,12812l1251,12812m1338,13182l1251,13182m1338,13526l1251,13526m1338,13883l1251,13883m1338,14255l1251,14255m5248,11348l5161,11348m5248,11727l5161,11727m5248,12082l5161,12082m5248,12444l5161,12444m5248,12812l5161,12812m5248,13172l5161,13172m5248,13515l5161,13515m5248,13873l5161,13873m1413,12812l5101,12812m1434,14141l1434,14241m1790,14188l1790,14241m2122,14188l2122,14241m2458,14188l2458,14241m4877,14141l4877,14241m2808,14188l2808,14241m3149,14188l3149,14241m3521,14188l3521,14241m3837,14188l3837,14241m4186,14188l4186,14241m4541,14188l4541,14241e" filled="false" stroked="true" strokeweight=".5pt" strokecolor="#000000">
              <v:path arrowok="t"/>
              <v:stroke dashstyle="solid"/>
            </v:shape>
            <v:shape style="position:absolute;left:3016;top:11957;width:380;height:286" type="#_x0000_t75" stroked="false">
              <v:imagedata r:id="rId98" o:title=""/>
            </v:shape>
            <v:shape style="position:absolute;left:6155;top:1780;width:4705;height:12630" coordorigin="6155,1780" coordsize="4705,12630" path="m10855,10870l6155,10870,6155,14410,10855,14410,10855,10870xm10860,1780l6166,1780,6166,4780,10860,4780,10860,1780xe" filled="true" fillcolor="#ffffff" stroked="false">
              <v:path arrowok="t"/>
              <v:fill type="solid"/>
            </v:shape>
            <v:rect style="position:absolute;left:6395;top:13019;width:90;height:970" filled="true" fillcolor="#0099d9" stroked="false">
              <v:fill type="solid"/>
            </v:rect>
            <v:rect style="position:absolute;left:6395;top:13019;width:93;height:970" filled="false" stroked="true" strokeweight=".625pt" strokecolor="#000000">
              <v:stroke dashstyle="solid"/>
            </v:rect>
            <v:rect style="position:absolute;left:6955;top:12069;width:108;height:1920" filled="true" fillcolor="#0099d9" stroked="false">
              <v:fill type="solid"/>
            </v:rect>
            <v:rect style="position:absolute;left:6955;top:12069;width:108;height:1920" filled="false" stroked="true" strokeweight=".625pt" strokecolor="#000000">
              <v:stroke dashstyle="solid"/>
            </v:rect>
            <v:rect style="position:absolute;left:7530;top:11577;width:93;height:2413" filled="true" fillcolor="#0099d9" stroked="false">
              <v:fill type="solid"/>
            </v:rect>
            <v:rect style="position:absolute;left:7530;top:11577;width:95;height:2413" filled="false" stroked="true" strokeweight=".625pt" strokecolor="#000000">
              <v:stroke dashstyle="solid"/>
            </v:rect>
            <v:rect style="position:absolute;left:8093;top:12299;width:105;height:1690" filled="true" fillcolor="#0099d9" stroked="false">
              <v:fill type="solid"/>
            </v:rect>
            <v:rect style="position:absolute;left:8093;top:12299;width:108;height:1690" filled="false" stroked="true" strokeweight=".625pt" strokecolor="#000000">
              <v:stroke dashstyle="solid"/>
            </v:rect>
            <v:rect style="position:absolute;left:8668;top:12789;width:95;height:1200" filled="true" fillcolor="#0099d9" stroked="false">
              <v:fill type="solid"/>
            </v:rect>
            <v:rect style="position:absolute;left:8668;top:12789;width:95;height:1200" filled="false" stroked="true" strokeweight=".625pt" strokecolor="#000000">
              <v:stroke dashstyle="solid"/>
            </v:rect>
            <v:rect style="position:absolute;left:9230;top:11774;width:108;height:2215" filled="true" fillcolor="#0099d9" stroked="false">
              <v:fill type="solid"/>
            </v:rect>
            <v:rect style="position:absolute;left:9230;top:11774;width:108;height:2215" filled="false" stroked="true" strokeweight=".625pt" strokecolor="#000000">
              <v:stroke dashstyle="solid"/>
            </v:rect>
            <v:rect style="position:absolute;left:9805;top:12299;width:90;height:1690" filled="true" fillcolor="#0099d9" stroked="false">
              <v:fill type="solid"/>
            </v:rect>
            <v:rect style="position:absolute;left:9805;top:12299;width:93;height:1690" filled="false" stroked="true" strokeweight=".625pt" strokecolor="#000000">
              <v:stroke dashstyle="solid"/>
            </v:rect>
            <v:rect style="position:absolute;left:6485;top:12839;width:95;height:1150" filled="true" fillcolor="#efa900" stroked="false">
              <v:fill type="solid"/>
            </v:rect>
            <v:rect style="position:absolute;left:6485;top:12839;width:95;height:1150" filled="false" stroked="true" strokeweight=".625pt" strokecolor="#000000">
              <v:stroke dashstyle="solid"/>
            </v:rect>
            <v:rect style="position:absolute;left:7060;top:12512;width:95;height:1478" filled="true" fillcolor="#efa900" stroked="false">
              <v:fill type="solid"/>
            </v:rect>
            <v:rect style="position:absolute;left:7060;top:12512;width:95;height:1478" filled="false" stroked="true" strokeweight=".625pt" strokecolor="#000000">
              <v:stroke dashstyle="solid"/>
            </v:rect>
            <v:rect style="position:absolute;left:7623;top:11412;width:93;height:2578" filled="true" fillcolor="#efa900" stroked="false">
              <v:fill type="solid"/>
            </v:rect>
            <v:rect style="position:absolute;left:7623;top:11412;width:93;height:2578" filled="false" stroked="true" strokeweight=".625pt" strokecolor="#000000">
              <v:stroke dashstyle="solid"/>
            </v:rect>
            <v:rect style="position:absolute;left:8198;top:12004;width:93;height:1985" filled="true" fillcolor="#efa900" stroked="false">
              <v:fill type="solid"/>
            </v:rect>
            <v:rect style="position:absolute;left:8198;top:12004;width:93;height:1985" filled="false" stroked="true" strokeweight=".625pt" strokecolor="#000000">
              <v:stroke dashstyle="solid"/>
            </v:rect>
            <v:rect style="position:absolute;left:8760;top:12969;width:93;height:1020" filled="true" fillcolor="#efa900" stroked="false">
              <v:fill type="solid"/>
            </v:rect>
            <v:rect style="position:absolute;left:8760;top:12969;width:93;height:1020" filled="false" stroked="true" strokeweight=".625pt" strokecolor="#000000">
              <v:stroke dashstyle="solid"/>
            </v:rect>
            <v:rect style="position:absolute;left:9335;top:12199;width:93;height:1790" filled="true" fillcolor="#efa900" stroked="false">
              <v:fill type="solid"/>
            </v:rect>
            <v:rect style="position:absolute;left:9335;top:12199;width:93;height:1790" filled="false" stroked="true" strokeweight=".625pt" strokecolor="#000000">
              <v:stroke dashstyle="solid"/>
            </v:rect>
            <v:rect style="position:absolute;left:9895;top:12264;width:95;height:1725" filled="true" fillcolor="#efa900" stroked="false">
              <v:fill type="solid"/>
            </v:rect>
            <v:rect style="position:absolute;left:9895;top:12264;width:95;height:1725" filled="false" stroked="true" strokeweight=".625pt" strokecolor="#000000">
              <v:stroke dashstyle="solid"/>
            </v:rect>
            <v:shape style="position:absolute;left:8307;top:11668;width:200;height:336" type="#_x0000_t75" stroked="false">
              <v:imagedata r:id="rId99" o:title=""/>
            </v:shape>
            <v:shape style="position:absolute;left:6191;top:11086;width:3990;height:2912" coordorigin="6192,11086" coordsize="3990,2912" path="m6278,11095l6192,11095m6278,11577l6192,11577m6278,12541l6192,12541m6278,13015l6192,13015m6278,13508l6192,13508m6278,13998l6192,13998m8450,13880l8450,13980m6278,12082l6192,12082m10181,11086l10094,11086m10181,11568l10094,11568m10181,12532l10094,12532m10181,13006l10094,13006m10181,13499l10094,13499m10181,13989l10094,13989m10181,12073l10094,12073m6390,13994l9990,13994e" filled="false" stroked="true" strokeweight=".5pt" strokecolor="#000000">
              <v:path arrowok="t"/>
              <v:stroke dashstyle="solid"/>
            </v:shape>
            <v:rect style="position:absolute;left:6155;top:14409;width:4700;height:310" filled="true" fillcolor="#ffffff" stroked="false">
              <v:fill type="solid"/>
            </v:rect>
            <v:shape style="position:absolute;left:1020;top:2650;width:9826;height:12210" coordorigin="1020,2650" coordsize="9826,12210" path="m1040,10660l5580,10660m1020,14860l10846,14860m6150,10610l10810,10610m6160,4780l10840,4780m8126,2650l9430,2650m9660,2650l10846,2650e" filled="false" stroked="true" strokeweight=".125pt" strokecolor="#000000">
              <v:path arrowok="t"/>
              <v:stroke dashstyle="solid"/>
            </v:shape>
            <v:rect style="position:absolute;left:1039;top:14529;width:4550;height:191" filled="true" fillcolor="#ffffff" stroked="false">
              <v:fill type="solid"/>
            </v:rect>
            <v:shape style="position:absolute;left:1059;top:10641;width:4314;height:645" type="#_x0000_t202" filled="false" stroked="false">
              <v:textbox inset="0,0,0,0">
                <w:txbxContent>
                  <w:p>
                    <w:pPr>
                      <w:spacing w:line="221" w:lineRule="exact" w:before="0"/>
                      <w:ind w:left="0" w:right="0" w:firstLine="0"/>
                      <w:jc w:val="left"/>
                      <w:rPr>
                        <w:b/>
                        <w:sz w:val="20"/>
                      </w:rPr>
                    </w:pPr>
                    <w:r>
                      <w:rPr>
                        <w:b/>
                        <w:color w:val="0092C7"/>
                        <w:sz w:val="20"/>
                      </w:rPr>
                      <w:t>Chart A: Temperature and utilities output growth</w:t>
                    </w:r>
                  </w:p>
                  <w:p>
                    <w:pPr>
                      <w:spacing w:before="140"/>
                      <w:ind w:left="2153" w:right="0" w:firstLine="0"/>
                      <w:jc w:val="left"/>
                      <w:rPr>
                        <w:sz w:val="12"/>
                      </w:rPr>
                    </w:pPr>
                    <w:r>
                      <w:rPr>
                        <w:sz w:val="12"/>
                      </w:rPr>
                      <w:t>Change in seasonally adjusted temperature</w:t>
                    </w:r>
                  </w:p>
                  <w:p>
                    <w:pPr>
                      <w:spacing w:before="7"/>
                      <w:ind w:left="161" w:right="0" w:firstLine="0"/>
                      <w:jc w:val="left"/>
                      <w:rPr>
                        <w:sz w:val="12"/>
                      </w:rPr>
                    </w:pPr>
                    <w:r>
                      <w:rPr>
                        <w:sz w:val="12"/>
                      </w:rPr>
                      <w:t>Quarterly growth</w:t>
                    </w:r>
                  </w:p>
                </w:txbxContent>
              </v:textbox>
              <w10:wrap type="none"/>
            </v:shape>
            <v:shape style="position:absolute;left:1050;top:11295;width:170;height:133" type="#_x0000_t202" filled="false" stroked="false">
              <v:textbox inset="0,0,0,0">
                <w:txbxContent>
                  <w:p>
                    <w:pPr>
                      <w:spacing w:line="133" w:lineRule="exact" w:before="0"/>
                      <w:ind w:left="0" w:right="0" w:firstLine="0"/>
                      <w:jc w:val="left"/>
                      <w:rPr>
                        <w:sz w:val="12"/>
                      </w:rPr>
                    </w:pPr>
                    <w:r>
                      <w:rPr>
                        <w:sz w:val="12"/>
                      </w:rPr>
                      <w:t>8.0</w:t>
                    </w:r>
                  </w:p>
                </w:txbxContent>
              </v:textbox>
              <w10:wrap type="none"/>
            </v:shape>
            <v:shape style="position:absolute;left:4052;top:11152;width:1444;height:505" type="#_x0000_t202" filled="false" stroked="false">
              <v:textbox inset="0,0,0,0">
                <w:txbxContent>
                  <w:p>
                    <w:pPr>
                      <w:spacing w:line="125" w:lineRule="exact" w:before="0"/>
                      <w:ind w:left="384" w:right="0" w:firstLine="0"/>
                      <w:jc w:val="left"/>
                      <w:rPr>
                        <w:sz w:val="12"/>
                      </w:rPr>
                    </w:pPr>
                    <w:r>
                      <w:rPr>
                        <w:sz w:val="12"/>
                      </w:rPr>
                      <w:t>(degrees Celsius)</w:t>
                    </w:r>
                  </w:p>
                  <w:p>
                    <w:pPr>
                      <w:spacing w:line="113" w:lineRule="exact" w:before="0"/>
                      <w:ind w:left="1273" w:right="0" w:firstLine="0"/>
                      <w:jc w:val="left"/>
                      <w:rPr>
                        <w:sz w:val="12"/>
                      </w:rPr>
                    </w:pPr>
                    <w:r>
                      <w:rPr>
                        <w:sz w:val="12"/>
                      </w:rPr>
                      <w:t>4.0</w:t>
                    </w:r>
                  </w:p>
                  <w:p>
                    <w:pPr>
                      <w:spacing w:line="121" w:lineRule="exact" w:before="0"/>
                      <w:ind w:left="0" w:right="0" w:firstLine="0"/>
                      <w:jc w:val="left"/>
                      <w:rPr>
                        <w:sz w:val="12"/>
                      </w:rPr>
                    </w:pPr>
                    <w:r>
                      <w:rPr>
                        <w:sz w:val="12"/>
                      </w:rPr>
                      <w:t>Fall relative to</w:t>
                    </w:r>
                  </w:p>
                  <w:p>
                    <w:pPr>
                      <w:spacing w:before="7"/>
                      <w:ind w:left="30" w:right="0" w:firstLine="0"/>
                      <w:jc w:val="left"/>
                      <w:rPr>
                        <w:sz w:val="12"/>
                      </w:rPr>
                    </w:pPr>
                    <w:r>
                      <w:rPr>
                        <w:sz w:val="12"/>
                      </w:rPr>
                      <w:t>seasonal norms</w:t>
                    </w:r>
                  </w:p>
                </w:txbxContent>
              </v:textbox>
              <w10:wrap type="none"/>
            </v:shape>
            <v:shape style="position:absolute;left:1050;top:11663;width:170;height:133" type="#_x0000_t202" filled="false" stroked="false">
              <v:textbox inset="0,0,0,0">
                <w:txbxContent>
                  <w:p>
                    <w:pPr>
                      <w:spacing w:line="133" w:lineRule="exact" w:before="0"/>
                      <w:ind w:left="0" w:right="0" w:firstLine="0"/>
                      <w:jc w:val="left"/>
                      <w:rPr>
                        <w:sz w:val="12"/>
                      </w:rPr>
                    </w:pPr>
                    <w:r>
                      <w:rPr>
                        <w:sz w:val="12"/>
                      </w:rPr>
                      <w:t>6.0</w:t>
                    </w:r>
                  </w:p>
                </w:txbxContent>
              </v:textbox>
              <w10:wrap type="none"/>
            </v:shape>
            <v:shape style="position:absolute;left:2243;top:11527;width:1067;height:423" type="#_x0000_t202" filled="false" stroked="false">
              <v:textbox inset="0,0,0,0">
                <w:txbxContent>
                  <w:p>
                    <w:pPr>
                      <w:spacing w:line="252" w:lineRule="auto" w:before="0"/>
                      <w:ind w:left="30" w:right="18" w:hanging="30"/>
                      <w:jc w:val="left"/>
                      <w:rPr>
                        <w:sz w:val="12"/>
                      </w:rPr>
                    </w:pPr>
                    <w:r>
                      <w:rPr>
                        <w:sz w:val="12"/>
                      </w:rPr>
                      <w:t>Change in temperature anomaly (right-hand scale)</w:t>
                    </w:r>
                  </w:p>
                </w:txbxContent>
              </v:textbox>
              <w10:wrap type="none"/>
            </v:shape>
            <v:shape style="position:absolute;left:5325;top:11643;width:170;height:133" type="#_x0000_t202" filled="false" stroked="false">
              <v:textbox inset="0,0,0,0">
                <w:txbxContent>
                  <w:p>
                    <w:pPr>
                      <w:spacing w:line="133" w:lineRule="exact" w:before="0"/>
                      <w:ind w:left="0" w:right="0" w:firstLine="0"/>
                      <w:jc w:val="left"/>
                      <w:rPr>
                        <w:sz w:val="12"/>
                      </w:rPr>
                    </w:pPr>
                    <w:r>
                      <w:rPr>
                        <w:sz w:val="12"/>
                      </w:rPr>
                      <w:t>3.0</w:t>
                    </w:r>
                  </w:p>
                </w:txbxContent>
              </v:textbox>
              <w10:wrap type="none"/>
            </v:shape>
            <v:shape style="position:absolute;left:1050;top:11993;width:4445;height:153" type="#_x0000_t202" filled="false" stroked="false">
              <v:textbox inset="0,0,0,0">
                <w:txbxContent>
                  <w:p>
                    <w:pPr>
                      <w:tabs>
                        <w:tab w:pos="4274" w:val="left" w:leader="none"/>
                      </w:tabs>
                      <w:spacing w:line="153" w:lineRule="exact" w:before="0"/>
                      <w:ind w:left="0" w:right="0" w:firstLine="0"/>
                      <w:jc w:val="left"/>
                      <w:rPr>
                        <w:sz w:val="12"/>
                      </w:rPr>
                    </w:pPr>
                    <w:r>
                      <w:rPr>
                        <w:sz w:val="12"/>
                      </w:rPr>
                      <w:t>4.0</w:t>
                      <w:tab/>
                    </w:r>
                    <w:r>
                      <w:rPr>
                        <w:position w:val="2"/>
                        <w:sz w:val="12"/>
                      </w:rPr>
                      <w:t>2.0</w:t>
                    </w:r>
                  </w:p>
                </w:txbxContent>
              </v:textbox>
              <w10:wrap type="none"/>
            </v:shape>
            <v:shape style="position:absolute;left:1050;top:12380;width:170;height:133" type="#_x0000_t202" filled="false" stroked="false">
              <v:textbox inset="0,0,0,0">
                <w:txbxContent>
                  <w:p>
                    <w:pPr>
                      <w:spacing w:line="133" w:lineRule="exact" w:before="0"/>
                      <w:ind w:left="0" w:right="0" w:firstLine="0"/>
                      <w:jc w:val="left"/>
                      <w:rPr>
                        <w:sz w:val="12"/>
                      </w:rPr>
                    </w:pPr>
                    <w:r>
                      <w:rPr>
                        <w:sz w:val="12"/>
                      </w:rPr>
                      <w:t>2.0</w:t>
                    </w:r>
                  </w:p>
                </w:txbxContent>
              </v:textbox>
              <w10:wrap type="none"/>
            </v:shape>
            <v:shape style="position:absolute;left:5325;top:12360;width:170;height:133" type="#_x0000_t202" filled="false" stroked="false">
              <v:textbox inset="0,0,0,0">
                <w:txbxContent>
                  <w:p>
                    <w:pPr>
                      <w:spacing w:line="133" w:lineRule="exact" w:before="0"/>
                      <w:ind w:left="0" w:right="0" w:firstLine="0"/>
                      <w:jc w:val="left"/>
                      <w:rPr>
                        <w:sz w:val="12"/>
                      </w:rPr>
                    </w:pPr>
                    <w:r>
                      <w:rPr>
                        <w:sz w:val="12"/>
                      </w:rPr>
                      <w:t>1.0</w:t>
                    </w:r>
                  </w:p>
                </w:txbxContent>
              </v:textbox>
              <w10:wrap type="none"/>
            </v:shape>
            <v:shape style="position:absolute;left:1050;top:12745;width:170;height:133" type="#_x0000_t202" filled="false" stroked="false">
              <v:textbox inset="0,0,0,0">
                <w:txbxContent>
                  <w:p>
                    <w:pPr>
                      <w:spacing w:line="133" w:lineRule="exact" w:before="0"/>
                      <w:ind w:left="0" w:right="0" w:firstLine="0"/>
                      <w:jc w:val="left"/>
                      <w:rPr>
                        <w:sz w:val="12"/>
                      </w:rPr>
                    </w:pPr>
                    <w:r>
                      <w:rPr>
                        <w:sz w:val="12"/>
                      </w:rPr>
                      <w:t>0.0</w:t>
                    </w:r>
                  </w:p>
                </w:txbxContent>
              </v:textbox>
              <w10:wrap type="none"/>
            </v:shape>
            <v:shape style="position:absolute;left:1276;top:12530;width:111;height:498" type="#_x0000_t202" filled="false" stroked="false">
              <v:textbox inset="0,0,0,0">
                <w:txbxContent>
                  <w:p>
                    <w:pPr>
                      <w:spacing w:line="177" w:lineRule="exact" w:before="0"/>
                      <w:ind w:left="0" w:right="0" w:firstLine="0"/>
                      <w:jc w:val="left"/>
                      <w:rPr>
                        <w:sz w:val="16"/>
                      </w:rPr>
                    </w:pPr>
                    <w:r>
                      <w:rPr>
                        <w:sz w:val="16"/>
                      </w:rPr>
                      <w:t>+</w:t>
                    </w:r>
                  </w:p>
                  <w:p>
                    <w:pPr>
                      <w:spacing w:before="136"/>
                      <w:ind w:left="10" w:right="0" w:firstLine="0"/>
                      <w:jc w:val="left"/>
                      <w:rPr>
                        <w:sz w:val="16"/>
                      </w:rPr>
                    </w:pPr>
                    <w:r>
                      <w:rPr>
                        <w:sz w:val="16"/>
                      </w:rPr>
                      <w:t>–</w:t>
                    </w:r>
                  </w:p>
                </w:txbxContent>
              </v:textbox>
              <w10:wrap type="none"/>
            </v:shape>
            <v:shape style="position:absolute;left:5160;top:12518;width:10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v:shape style="position:absolute;left:5325;top:12725;width:170;height:133" type="#_x0000_t202" filled="false" stroked="false">
              <v:textbox inset="0,0,0,0">
                <w:txbxContent>
                  <w:p>
                    <w:pPr>
                      <w:spacing w:line="133" w:lineRule="exact" w:before="0"/>
                      <w:ind w:left="0" w:right="0" w:firstLine="0"/>
                      <w:jc w:val="left"/>
                      <w:rPr>
                        <w:sz w:val="12"/>
                      </w:rPr>
                    </w:pPr>
                    <w:r>
                      <w:rPr>
                        <w:sz w:val="12"/>
                      </w:rPr>
                      <w:t>0.0</w:t>
                    </w:r>
                  </w:p>
                </w:txbxContent>
              </v:textbox>
              <w10:wrap type="none"/>
            </v:shape>
            <v:shape style="position:absolute;left:5160;top:12888;width:11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v:shape style="position:absolute;left:1050;top:13075;width:4445;height:153" type="#_x0000_t202" filled="false" stroked="false">
              <v:textbox inset="0,0,0,0">
                <w:txbxContent>
                  <w:p>
                    <w:pPr>
                      <w:tabs>
                        <w:tab w:pos="4274" w:val="left" w:leader="none"/>
                      </w:tabs>
                      <w:spacing w:line="153" w:lineRule="exact" w:before="0"/>
                      <w:ind w:left="0" w:right="0" w:firstLine="0"/>
                      <w:jc w:val="left"/>
                      <w:rPr>
                        <w:sz w:val="12"/>
                      </w:rPr>
                    </w:pPr>
                    <w:r>
                      <w:rPr>
                        <w:sz w:val="12"/>
                      </w:rPr>
                      <w:t>2.0</w:t>
                      <w:tab/>
                    </w:r>
                    <w:r>
                      <w:rPr>
                        <w:position w:val="2"/>
                        <w:sz w:val="12"/>
                      </w:rPr>
                      <w:t>1.0</w:t>
                    </w:r>
                  </w:p>
                </w:txbxContent>
              </v:textbox>
              <w10:wrap type="none"/>
            </v:shape>
            <v:shape style="position:absolute;left:1050;top:13463;width:170;height:133" type="#_x0000_t202" filled="false" stroked="false">
              <v:textbox inset="0,0,0,0">
                <w:txbxContent>
                  <w:p>
                    <w:pPr>
                      <w:spacing w:line="133" w:lineRule="exact" w:before="0"/>
                      <w:ind w:left="0" w:right="0" w:firstLine="0"/>
                      <w:jc w:val="left"/>
                      <w:rPr>
                        <w:sz w:val="12"/>
                      </w:rPr>
                    </w:pPr>
                    <w:r>
                      <w:rPr>
                        <w:sz w:val="12"/>
                      </w:rPr>
                      <w:t>4.0</w:t>
                    </w:r>
                  </w:p>
                </w:txbxContent>
              </v:textbox>
              <w10:wrap type="none"/>
            </v:shape>
            <v:shape style="position:absolute;left:2853;top:13510;width:833;height:279" type="#_x0000_t202" filled="false" stroked="false">
              <v:textbox inset="0,0,0,0">
                <w:txbxContent>
                  <w:p>
                    <w:pPr>
                      <w:spacing w:line="252" w:lineRule="auto" w:before="0"/>
                      <w:ind w:left="30" w:right="18" w:hanging="30"/>
                      <w:jc w:val="left"/>
                      <w:rPr>
                        <w:sz w:val="12"/>
                      </w:rPr>
                    </w:pPr>
                    <w:r>
                      <w:rPr>
                        <w:sz w:val="12"/>
                      </w:rPr>
                      <w:t>Utilities growth (left-hand scale)</w:t>
                    </w:r>
                  </w:p>
                </w:txbxContent>
              </v:textbox>
              <w10:wrap type="none"/>
            </v:shape>
            <v:shape style="position:absolute;left:5325;top:13443;width:170;height:133" type="#_x0000_t202" filled="false" stroked="false">
              <v:textbox inset="0,0,0,0">
                <w:txbxContent>
                  <w:p>
                    <w:pPr>
                      <w:spacing w:line="133" w:lineRule="exact" w:before="0"/>
                      <w:ind w:left="0" w:right="0" w:firstLine="0"/>
                      <w:jc w:val="left"/>
                      <w:rPr>
                        <w:sz w:val="12"/>
                      </w:rPr>
                    </w:pPr>
                    <w:r>
                      <w:rPr>
                        <w:sz w:val="12"/>
                      </w:rPr>
                      <w:t>2.0</w:t>
                    </w:r>
                  </w:p>
                </w:txbxContent>
              </v:textbox>
              <w10:wrap type="none"/>
            </v:shape>
            <v:shape style="position:absolute;left:1050;top:13813;width:170;height:133" type="#_x0000_t202" filled="false" stroked="false">
              <v:textbox inset="0,0,0,0">
                <w:txbxContent>
                  <w:p>
                    <w:pPr>
                      <w:spacing w:line="133" w:lineRule="exact" w:before="0"/>
                      <w:ind w:left="0" w:right="0" w:firstLine="0"/>
                      <w:jc w:val="left"/>
                      <w:rPr>
                        <w:sz w:val="12"/>
                      </w:rPr>
                    </w:pPr>
                    <w:r>
                      <w:rPr>
                        <w:sz w:val="12"/>
                      </w:rPr>
                      <w:t>6.0</w:t>
                    </w:r>
                  </w:p>
                </w:txbxContent>
              </v:textbox>
              <w10:wrap type="none"/>
            </v:shape>
            <v:shape style="position:absolute;left:4052;top:13832;width:787;height:279" type="#_x0000_t202" filled="false" stroked="false">
              <v:textbox inset="0,0,0,0">
                <w:txbxContent>
                  <w:p>
                    <w:pPr>
                      <w:spacing w:line="252" w:lineRule="auto" w:before="0"/>
                      <w:ind w:left="30" w:right="0" w:hanging="30"/>
                      <w:jc w:val="left"/>
                      <w:rPr>
                        <w:sz w:val="12"/>
                      </w:rPr>
                    </w:pPr>
                    <w:r>
                      <w:rPr>
                        <w:sz w:val="12"/>
                      </w:rPr>
                      <w:t>Rise relative to seasonal norms</w:t>
                    </w:r>
                  </w:p>
                </w:txbxContent>
              </v:textbox>
              <w10:wrap type="none"/>
            </v:shape>
            <v:shape style="position:absolute;left:5325;top:13793;width:170;height:133" type="#_x0000_t202" filled="false" stroked="false">
              <v:textbox inset="0,0,0,0">
                <w:txbxContent>
                  <w:p>
                    <w:pPr>
                      <w:spacing w:line="133" w:lineRule="exact" w:before="0"/>
                      <w:ind w:left="0" w:right="0" w:firstLine="0"/>
                      <w:jc w:val="left"/>
                      <w:rPr>
                        <w:sz w:val="12"/>
                      </w:rPr>
                    </w:pPr>
                    <w:r>
                      <w:rPr>
                        <w:sz w:val="12"/>
                      </w:rPr>
                      <w:t>3.0</w:t>
                    </w:r>
                  </w:p>
                </w:txbxContent>
              </v:textbox>
              <w10:wrap type="none"/>
            </v:shape>
            <v:shape style="position:absolute;left:1050;top:14158;width:4445;height:502" type="#_x0000_t202" filled="false" stroked="false">
              <v:textbox inset="0,0,0,0">
                <w:txbxContent>
                  <w:p>
                    <w:pPr>
                      <w:tabs>
                        <w:tab w:pos="370" w:val="left" w:leader="none"/>
                        <w:tab w:pos="4197" w:val="left" w:leader="none"/>
                      </w:tabs>
                      <w:spacing w:line="144" w:lineRule="exact" w:before="0"/>
                      <w:ind w:left="0" w:right="0" w:firstLine="0"/>
                      <w:jc w:val="left"/>
                      <w:rPr>
                        <w:sz w:val="12"/>
                      </w:rPr>
                    </w:pPr>
                    <w:r>
                      <w:rPr>
                        <w:sz w:val="12"/>
                      </w:rPr>
                      <w:t>8.0</w:t>
                      <w:tab/>
                    </w:r>
                    <w:r>
                      <w:rPr>
                        <w:sz w:val="12"/>
                        <w:u w:val="single"/>
                      </w:rPr>
                      <w:t> </w:t>
                      <w:tab/>
                    </w:r>
                    <w:r>
                      <w:rPr>
                        <w:position w:val="2"/>
                        <w:sz w:val="12"/>
                      </w:rPr>
                      <w:t>4.0</w:t>
                    </w:r>
                  </w:p>
                  <w:p>
                    <w:pPr>
                      <w:tabs>
                        <w:tab w:pos="1187" w:val="left" w:leader="none"/>
                        <w:tab w:pos="1898" w:val="left" w:leader="none"/>
                        <w:tab w:pos="2594" w:val="left" w:leader="none"/>
                        <w:tab w:pos="3249" w:val="left" w:leader="none"/>
                        <w:tab w:pos="3862" w:val="left" w:leader="none"/>
                      </w:tabs>
                      <w:spacing w:line="129" w:lineRule="exact" w:before="0"/>
                      <w:ind w:left="430" w:right="0" w:firstLine="0"/>
                      <w:jc w:val="left"/>
                      <w:rPr>
                        <w:sz w:val="12"/>
                      </w:rPr>
                    </w:pPr>
                    <w:r>
                      <w:rPr>
                        <w:sz w:val="12"/>
                      </w:rPr>
                      <w:t>1990</w:t>
                      <w:tab/>
                      <w:t>92</w:t>
                      <w:tab/>
                      <w:t>94</w:t>
                      <w:tab/>
                      <w:t>96</w:t>
                      <w:tab/>
                      <w:t>98</w:t>
                      <w:tab/>
                      <w:t>2000</w:t>
                    </w:r>
                  </w:p>
                  <w:p>
                    <w:pPr>
                      <w:spacing w:before="90"/>
                      <w:ind w:left="9" w:right="0" w:firstLine="0"/>
                      <w:jc w:val="left"/>
                      <w:rPr>
                        <w:sz w:val="12"/>
                      </w:rPr>
                    </w:pPr>
                    <w:r>
                      <w:rPr>
                        <w:sz w:val="12"/>
                      </w:rPr>
                      <w:t>Sources: Meteorological Office and Bank of England.</w:t>
                    </w:r>
                  </w:p>
                </w:txbxContent>
              </v:textbox>
              <w10:wrap type="none"/>
            </v:shape>
            <w10:wrap type="none"/>
          </v:group>
        </w:pict>
      </w:r>
      <w:r>
        <w:rPr>
          <w:sz w:val="12"/>
        </w:rPr>
        <w:t>Shows growth in manufacturing and services. Excludes agriculture, mining, utilities and construction industries from aggregate</w:t>
      </w:r>
      <w:r>
        <w:rPr>
          <w:spacing w:val="-8"/>
          <w:sz w:val="12"/>
        </w:rPr>
        <w:t> </w:t>
      </w:r>
      <w:r>
        <w:rPr>
          <w:spacing w:val="-4"/>
          <w:sz w:val="12"/>
        </w:rPr>
        <w:t>GDP.</w:t>
      </w:r>
    </w:p>
    <w:p>
      <w:pPr>
        <w:pStyle w:val="BodyText"/>
        <w:spacing w:before="11"/>
        <w:rPr>
          <w:sz w:val="8"/>
        </w:rPr>
      </w:pPr>
    </w:p>
    <w:p>
      <w:pPr>
        <w:spacing w:line="208" w:lineRule="auto" w:before="113"/>
        <w:ind w:left="660" w:right="3398" w:hanging="240"/>
        <w:jc w:val="both"/>
        <w:rPr>
          <w:sz w:val="16"/>
        </w:rPr>
      </w:pPr>
      <w:r>
        <w:rPr>
          <w:sz w:val="16"/>
        </w:rPr>
        <w:t>(1) This anomalies series is based on a central England temperature series supplied by the Meteorological Office and seasonally adjusted by the Bank to remove normal seasonal variations in temperature. The Meteorological</w:t>
      </w:r>
      <w:r>
        <w:rPr>
          <w:spacing w:val="-6"/>
          <w:sz w:val="16"/>
        </w:rPr>
        <w:t> </w:t>
      </w:r>
      <w:r>
        <w:rPr>
          <w:sz w:val="16"/>
        </w:rPr>
        <w:t>Office</w:t>
      </w:r>
      <w:r>
        <w:rPr>
          <w:spacing w:val="-6"/>
          <w:sz w:val="16"/>
        </w:rPr>
        <w:t> </w:t>
      </w:r>
      <w:r>
        <w:rPr>
          <w:sz w:val="16"/>
        </w:rPr>
        <w:t>publishes</w:t>
      </w:r>
      <w:r>
        <w:rPr>
          <w:spacing w:val="-6"/>
          <w:sz w:val="16"/>
        </w:rPr>
        <w:t> </w:t>
      </w:r>
      <w:r>
        <w:rPr>
          <w:sz w:val="16"/>
        </w:rPr>
        <w:t>a</w:t>
      </w:r>
      <w:r>
        <w:rPr>
          <w:spacing w:val="-6"/>
          <w:sz w:val="16"/>
        </w:rPr>
        <w:t> </w:t>
      </w:r>
      <w:r>
        <w:rPr>
          <w:sz w:val="16"/>
        </w:rPr>
        <w:t>temperature</w:t>
      </w:r>
      <w:r>
        <w:rPr>
          <w:spacing w:val="-5"/>
          <w:sz w:val="16"/>
        </w:rPr>
        <w:t> </w:t>
      </w:r>
      <w:r>
        <w:rPr>
          <w:sz w:val="16"/>
        </w:rPr>
        <w:t>anomalies</w:t>
      </w:r>
      <w:r>
        <w:rPr>
          <w:spacing w:val="-6"/>
          <w:sz w:val="16"/>
        </w:rPr>
        <w:t> </w:t>
      </w:r>
      <w:r>
        <w:rPr>
          <w:sz w:val="16"/>
        </w:rPr>
        <w:t>series</w:t>
      </w:r>
      <w:r>
        <w:rPr>
          <w:spacing w:val="-6"/>
          <w:sz w:val="16"/>
        </w:rPr>
        <w:t> </w:t>
      </w:r>
      <w:r>
        <w:rPr>
          <w:sz w:val="16"/>
        </w:rPr>
        <w:t>but</w:t>
      </w:r>
      <w:r>
        <w:rPr>
          <w:spacing w:val="-6"/>
          <w:sz w:val="16"/>
        </w:rPr>
        <w:t> </w:t>
      </w:r>
      <w:r>
        <w:rPr>
          <w:sz w:val="16"/>
        </w:rPr>
        <w:t>it</w:t>
      </w:r>
      <w:r>
        <w:rPr>
          <w:spacing w:val="-5"/>
          <w:sz w:val="16"/>
        </w:rPr>
        <w:t> </w:t>
      </w:r>
      <w:r>
        <w:rPr>
          <w:sz w:val="16"/>
        </w:rPr>
        <w:t>has</w:t>
      </w:r>
      <w:r>
        <w:rPr>
          <w:spacing w:val="-6"/>
          <w:sz w:val="16"/>
        </w:rPr>
        <w:t> </w:t>
      </w:r>
      <w:r>
        <w:rPr>
          <w:sz w:val="16"/>
        </w:rPr>
        <w:t>too</w:t>
      </w:r>
      <w:r>
        <w:rPr>
          <w:spacing w:val="-6"/>
          <w:sz w:val="16"/>
        </w:rPr>
        <w:t> </w:t>
      </w:r>
      <w:r>
        <w:rPr>
          <w:sz w:val="16"/>
        </w:rPr>
        <w:t>short</w:t>
      </w:r>
      <w:r>
        <w:rPr>
          <w:spacing w:val="-6"/>
          <w:sz w:val="16"/>
        </w:rPr>
        <w:t> </w:t>
      </w:r>
      <w:r>
        <w:rPr>
          <w:sz w:val="16"/>
        </w:rPr>
        <w:t>a</w:t>
      </w:r>
      <w:r>
        <w:rPr>
          <w:spacing w:val="-5"/>
          <w:sz w:val="16"/>
        </w:rPr>
        <w:t> </w:t>
      </w:r>
      <w:r>
        <w:rPr>
          <w:sz w:val="16"/>
        </w:rPr>
        <w:t>sample</w:t>
      </w:r>
      <w:r>
        <w:rPr>
          <w:spacing w:val="-6"/>
          <w:sz w:val="16"/>
        </w:rPr>
        <w:t> </w:t>
      </w:r>
      <w:r>
        <w:rPr>
          <w:sz w:val="16"/>
        </w:rPr>
        <w:t>at</w:t>
      </w:r>
      <w:r>
        <w:rPr>
          <w:spacing w:val="-6"/>
          <w:sz w:val="16"/>
        </w:rPr>
        <w:t> </w:t>
      </w:r>
      <w:r>
        <w:rPr>
          <w:sz w:val="16"/>
        </w:rPr>
        <w:t>present to be used in statistical</w:t>
      </w:r>
      <w:r>
        <w:rPr>
          <w:spacing w:val="-7"/>
          <w:sz w:val="16"/>
        </w:rPr>
        <w:t> </w:t>
      </w:r>
      <w:r>
        <w:rPr>
          <w:sz w:val="16"/>
        </w:rPr>
        <w:t>analysis.</w:t>
      </w:r>
    </w:p>
    <w:p>
      <w:pPr>
        <w:spacing w:after="0" w:line="208" w:lineRule="auto"/>
        <w:jc w:val="both"/>
        <w:rPr>
          <w:sz w:val="16"/>
        </w:rPr>
        <w:sectPr>
          <w:type w:val="continuous"/>
          <w:pgSz w:w="11900" w:h="16840"/>
          <w:pgMar w:top="1260" w:bottom="280" w:left="640" w:right="640"/>
        </w:sectPr>
      </w:pPr>
    </w:p>
    <w:p>
      <w:pPr>
        <w:pStyle w:val="BodyText"/>
        <w:rPr>
          <w:sz w:val="20"/>
        </w:rPr>
      </w:pPr>
    </w:p>
    <w:p>
      <w:pPr>
        <w:spacing w:after="0"/>
        <w:rPr>
          <w:sz w:val="20"/>
        </w:rPr>
        <w:sectPr>
          <w:headerReference w:type="even" r:id="rId100"/>
          <w:headerReference w:type="default" r:id="rId101"/>
          <w:pgSz w:w="11900" w:h="16840"/>
          <w:pgMar w:header="601" w:footer="592" w:top="800" w:bottom="800" w:left="640" w:right="640"/>
        </w:sectPr>
      </w:pPr>
    </w:p>
    <w:p>
      <w:pPr>
        <w:pStyle w:val="BodyText"/>
        <w:rPr>
          <w:sz w:val="21"/>
        </w:rPr>
      </w:pPr>
    </w:p>
    <w:p>
      <w:pPr>
        <w:spacing w:before="0"/>
        <w:ind w:left="158" w:right="0" w:firstLine="0"/>
        <w:jc w:val="left"/>
        <w:rPr>
          <w:b/>
          <w:sz w:val="20"/>
        </w:rPr>
      </w:pPr>
      <w:r>
        <w:rPr>
          <w:b/>
          <w:color w:val="0092C7"/>
          <w:sz w:val="20"/>
        </w:rPr>
        <w:t>Table 2.C</w:t>
      </w:r>
    </w:p>
    <w:p>
      <w:pPr>
        <w:spacing w:before="10"/>
        <w:ind w:left="158" w:right="0" w:firstLine="0"/>
        <w:jc w:val="left"/>
        <w:rPr>
          <w:sz w:val="12"/>
        </w:rPr>
      </w:pPr>
      <w:r>
        <w:rPr>
          <w:b/>
          <w:color w:val="0092C7"/>
          <w:sz w:val="20"/>
        </w:rPr>
        <w:t>Manufacturing output prospects</w:t>
      </w:r>
      <w:r>
        <w:rPr>
          <w:position w:val="4"/>
          <w:sz w:val="12"/>
        </w:rPr>
        <w:t>(a)</w:t>
      </w:r>
    </w:p>
    <w:p>
      <w:pPr>
        <w:tabs>
          <w:tab w:pos="749" w:val="left" w:leader="none"/>
        </w:tabs>
        <w:spacing w:before="106"/>
        <w:ind w:left="0" w:right="542" w:firstLine="0"/>
        <w:jc w:val="right"/>
        <w:rPr>
          <w:sz w:val="14"/>
        </w:rPr>
      </w:pPr>
      <w:r>
        <w:rPr>
          <w:sz w:val="14"/>
        </w:rPr>
        <w:t>1999</w:t>
        <w:tab/>
      </w:r>
      <w:r>
        <w:rPr>
          <w:spacing w:val="-1"/>
          <w:sz w:val="14"/>
        </w:rPr>
        <w:t>2000</w:t>
      </w: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1"/>
        <w:gridCol w:w="530"/>
        <w:gridCol w:w="422"/>
        <w:gridCol w:w="395"/>
        <w:gridCol w:w="410"/>
        <w:gridCol w:w="410"/>
        <w:gridCol w:w="328"/>
      </w:tblGrid>
      <w:tr>
        <w:trPr>
          <w:trHeight w:val="147" w:hRule="atLeast"/>
        </w:trPr>
        <w:tc>
          <w:tcPr>
            <w:tcW w:w="2341" w:type="dxa"/>
            <w:gridSpan w:val="2"/>
          </w:tcPr>
          <w:p>
            <w:pPr>
              <w:pStyle w:val="TableParagraph"/>
              <w:spacing w:line="128" w:lineRule="exact"/>
              <w:ind w:right="217"/>
              <w:jc w:val="right"/>
              <w:rPr>
                <w:sz w:val="14"/>
              </w:rPr>
            </w:pPr>
            <w:r>
              <w:rPr>
                <w:sz w:val="14"/>
              </w:rPr>
              <w:t>Series</w:t>
            </w:r>
          </w:p>
        </w:tc>
        <w:tc>
          <w:tcPr>
            <w:tcW w:w="1965" w:type="dxa"/>
            <w:gridSpan w:val="5"/>
          </w:tcPr>
          <w:p>
            <w:pPr>
              <w:pStyle w:val="TableParagraph"/>
              <w:spacing w:line="240" w:lineRule="auto" w:before="3"/>
              <w:rPr>
                <w:sz w:val="3"/>
              </w:rPr>
            </w:pPr>
          </w:p>
          <w:p>
            <w:pPr>
              <w:pStyle w:val="TableParagraph"/>
              <w:spacing w:line="20" w:lineRule="exact"/>
              <w:ind w:left="188" w:right="-29"/>
              <w:rPr>
                <w:sz w:val="2"/>
              </w:rPr>
            </w:pPr>
            <w:r>
              <w:rPr>
                <w:sz w:val="2"/>
              </w:rPr>
              <w:pict>
                <v:group style="width:28.5pt;height:.15pt;mso-position-horizontal-relative:char;mso-position-vertical-relative:line" coordorigin="0,0" coordsize="570,3">
                  <v:line style="position:absolute" from="0,1" to="570,1" stroked="true" strokeweight=".125pt" strokecolor="#000000">
                    <v:stroke dashstyle="solid"/>
                  </v:line>
                </v:group>
              </w:pict>
            </w:r>
            <w:r>
              <w:rPr>
                <w:sz w:val="2"/>
              </w:rPr>
            </w:r>
            <w:r>
              <w:rPr>
                <w:spacing w:val="117"/>
                <w:sz w:val="2"/>
              </w:rPr>
              <w:t> </w:t>
            </w:r>
            <w:r>
              <w:rPr>
                <w:spacing w:val="117"/>
                <w:sz w:val="2"/>
              </w:rPr>
              <w:pict>
                <v:group style="width:50.5pt;height:.15pt;mso-position-horizontal-relative:char;mso-position-vertical-relative:line" coordorigin="0,0" coordsize="1010,3">
                  <v:line style="position:absolute" from="0,1" to="1010,1" stroked="true" strokeweight=".125pt" strokecolor="#000000">
                    <v:stroke dashstyle="solid"/>
                  </v:line>
                </v:group>
              </w:pict>
            </w:r>
            <w:r>
              <w:rPr>
                <w:spacing w:val="117"/>
                <w:sz w:val="2"/>
              </w:rPr>
            </w:r>
          </w:p>
        </w:tc>
      </w:tr>
      <w:tr>
        <w:trPr>
          <w:trHeight w:val="156" w:hRule="atLeast"/>
        </w:trPr>
        <w:tc>
          <w:tcPr>
            <w:tcW w:w="2341" w:type="dxa"/>
            <w:gridSpan w:val="2"/>
          </w:tcPr>
          <w:p>
            <w:pPr>
              <w:pStyle w:val="TableParagraph"/>
              <w:spacing w:line="133" w:lineRule="exact"/>
              <w:ind w:right="-58"/>
              <w:jc w:val="right"/>
              <w:rPr>
                <w:sz w:val="12"/>
              </w:rPr>
            </w:pPr>
            <w:r>
              <w:rPr>
                <w:sz w:val="14"/>
              </w:rPr>
              <w:t>average </w:t>
            </w:r>
            <w:r>
              <w:rPr>
                <w:sz w:val="12"/>
              </w:rPr>
              <w:t>(b)</w:t>
            </w:r>
          </w:p>
        </w:tc>
        <w:tc>
          <w:tcPr>
            <w:tcW w:w="422" w:type="dxa"/>
          </w:tcPr>
          <w:p>
            <w:pPr>
              <w:pStyle w:val="TableParagraph"/>
              <w:spacing w:line="133" w:lineRule="exact"/>
              <w:ind w:left="159"/>
              <w:rPr>
                <w:sz w:val="14"/>
              </w:rPr>
            </w:pPr>
            <w:r>
              <w:rPr>
                <w:sz w:val="14"/>
                <w:u w:val="single"/>
              </w:rPr>
              <w:t>Q3 </w:t>
            </w:r>
          </w:p>
        </w:tc>
        <w:tc>
          <w:tcPr>
            <w:tcW w:w="395" w:type="dxa"/>
          </w:tcPr>
          <w:p>
            <w:pPr>
              <w:pStyle w:val="TableParagraph"/>
              <w:spacing w:line="133" w:lineRule="exact"/>
              <w:ind w:left="117"/>
              <w:rPr>
                <w:sz w:val="14"/>
              </w:rPr>
            </w:pPr>
            <w:r>
              <w:rPr>
                <w:sz w:val="14"/>
                <w:u w:val="single"/>
              </w:rPr>
              <w:t>Q4 </w:t>
            </w:r>
          </w:p>
        </w:tc>
        <w:tc>
          <w:tcPr>
            <w:tcW w:w="410" w:type="dxa"/>
          </w:tcPr>
          <w:p>
            <w:pPr>
              <w:pStyle w:val="TableParagraph"/>
              <w:spacing w:line="133" w:lineRule="exact"/>
              <w:ind w:left="92"/>
              <w:rPr>
                <w:sz w:val="14"/>
              </w:rPr>
            </w:pPr>
            <w:r>
              <w:rPr>
                <w:sz w:val="14"/>
              </w:rPr>
              <w:t>Q</w:t>
            </w:r>
            <w:r>
              <w:rPr>
                <w:sz w:val="14"/>
                <w:u w:val="single"/>
              </w:rPr>
              <w:t>1 </w:t>
            </w:r>
          </w:p>
        </w:tc>
        <w:tc>
          <w:tcPr>
            <w:tcW w:w="410" w:type="dxa"/>
          </w:tcPr>
          <w:p>
            <w:pPr>
              <w:pStyle w:val="TableParagraph"/>
              <w:spacing w:line="133" w:lineRule="exact"/>
              <w:ind w:left="142"/>
              <w:rPr>
                <w:sz w:val="14"/>
              </w:rPr>
            </w:pPr>
            <w:r>
              <w:rPr>
                <w:sz w:val="14"/>
                <w:u w:val="single"/>
              </w:rPr>
              <w:t>Q2 </w:t>
            </w:r>
          </w:p>
        </w:tc>
        <w:tc>
          <w:tcPr>
            <w:tcW w:w="328" w:type="dxa"/>
          </w:tcPr>
          <w:p>
            <w:pPr>
              <w:pStyle w:val="TableParagraph"/>
              <w:spacing w:line="133" w:lineRule="exact"/>
              <w:ind w:right="52"/>
              <w:jc w:val="right"/>
              <w:rPr>
                <w:sz w:val="14"/>
              </w:rPr>
            </w:pPr>
            <w:r>
              <w:rPr>
                <w:sz w:val="14"/>
                <w:u w:val="single"/>
              </w:rPr>
              <w:t> Q3</w:t>
            </w:r>
          </w:p>
        </w:tc>
      </w:tr>
      <w:tr>
        <w:trPr>
          <w:trHeight w:val="258" w:hRule="atLeast"/>
        </w:trPr>
        <w:tc>
          <w:tcPr>
            <w:tcW w:w="1811" w:type="dxa"/>
          </w:tcPr>
          <w:p>
            <w:pPr>
              <w:pStyle w:val="TableParagraph"/>
              <w:spacing w:line="148" w:lineRule="exact" w:before="92"/>
              <w:ind w:left="50"/>
              <w:rPr>
                <w:sz w:val="14"/>
              </w:rPr>
            </w:pPr>
            <w:r>
              <w:rPr>
                <w:sz w:val="14"/>
              </w:rPr>
              <w:t>CBI total new orders,</w:t>
            </w:r>
          </w:p>
        </w:tc>
        <w:tc>
          <w:tcPr>
            <w:tcW w:w="530" w:type="dxa"/>
            <w:tcBorders>
              <w:top w:val="single" w:sz="2" w:space="0" w:color="000000"/>
            </w:tcBorders>
          </w:tcPr>
          <w:p>
            <w:pPr>
              <w:pStyle w:val="TableParagraph"/>
              <w:spacing w:line="240" w:lineRule="auto"/>
              <w:rPr>
                <w:sz w:val="18"/>
              </w:rPr>
            </w:pPr>
          </w:p>
        </w:tc>
        <w:tc>
          <w:tcPr>
            <w:tcW w:w="422" w:type="dxa"/>
          </w:tcPr>
          <w:p>
            <w:pPr>
              <w:pStyle w:val="TableParagraph"/>
              <w:spacing w:line="240" w:lineRule="auto"/>
              <w:rPr>
                <w:sz w:val="18"/>
              </w:rPr>
            </w:pPr>
          </w:p>
        </w:tc>
        <w:tc>
          <w:tcPr>
            <w:tcW w:w="395" w:type="dxa"/>
          </w:tcPr>
          <w:p>
            <w:pPr>
              <w:pStyle w:val="TableParagraph"/>
              <w:spacing w:line="240" w:lineRule="auto"/>
              <w:rPr>
                <w:sz w:val="18"/>
              </w:rPr>
            </w:pPr>
          </w:p>
        </w:tc>
        <w:tc>
          <w:tcPr>
            <w:tcW w:w="410" w:type="dxa"/>
          </w:tcPr>
          <w:p>
            <w:pPr>
              <w:pStyle w:val="TableParagraph"/>
              <w:spacing w:line="240" w:lineRule="auto"/>
              <w:rPr>
                <w:sz w:val="18"/>
              </w:rPr>
            </w:pPr>
          </w:p>
        </w:tc>
        <w:tc>
          <w:tcPr>
            <w:tcW w:w="410" w:type="dxa"/>
          </w:tcPr>
          <w:p>
            <w:pPr>
              <w:pStyle w:val="TableParagraph"/>
              <w:spacing w:line="240" w:lineRule="auto"/>
              <w:rPr>
                <w:sz w:val="18"/>
              </w:rPr>
            </w:pPr>
          </w:p>
        </w:tc>
        <w:tc>
          <w:tcPr>
            <w:tcW w:w="328" w:type="dxa"/>
          </w:tcPr>
          <w:p>
            <w:pPr>
              <w:pStyle w:val="TableParagraph"/>
              <w:spacing w:line="240" w:lineRule="auto"/>
              <w:rPr>
                <w:sz w:val="18"/>
              </w:rPr>
            </w:pPr>
          </w:p>
        </w:tc>
      </w:tr>
      <w:tr>
        <w:trPr>
          <w:trHeight w:val="140" w:hRule="atLeast"/>
        </w:trPr>
        <w:tc>
          <w:tcPr>
            <w:tcW w:w="1811" w:type="dxa"/>
          </w:tcPr>
          <w:p>
            <w:pPr>
              <w:pStyle w:val="TableParagraph"/>
              <w:ind w:left="120"/>
              <w:rPr>
                <w:sz w:val="14"/>
              </w:rPr>
            </w:pPr>
            <w:r>
              <w:rPr>
                <w:sz w:val="14"/>
              </w:rPr>
              <w:t>past four months</w:t>
            </w:r>
          </w:p>
        </w:tc>
        <w:tc>
          <w:tcPr>
            <w:tcW w:w="530" w:type="dxa"/>
          </w:tcPr>
          <w:p>
            <w:pPr>
              <w:pStyle w:val="TableParagraph"/>
              <w:ind w:right="169"/>
              <w:jc w:val="right"/>
              <w:rPr>
                <w:sz w:val="14"/>
              </w:rPr>
            </w:pPr>
            <w:r>
              <w:rPr>
                <w:sz w:val="14"/>
              </w:rPr>
              <w:t>-1</w:t>
            </w:r>
          </w:p>
        </w:tc>
        <w:tc>
          <w:tcPr>
            <w:tcW w:w="422" w:type="dxa"/>
          </w:tcPr>
          <w:p>
            <w:pPr>
              <w:pStyle w:val="TableParagraph"/>
              <w:ind w:left="182"/>
              <w:rPr>
                <w:sz w:val="14"/>
              </w:rPr>
            </w:pPr>
            <w:r>
              <w:rPr>
                <w:sz w:val="14"/>
              </w:rPr>
              <w:t>-5</w:t>
            </w:r>
          </w:p>
        </w:tc>
        <w:tc>
          <w:tcPr>
            <w:tcW w:w="395" w:type="dxa"/>
          </w:tcPr>
          <w:p>
            <w:pPr>
              <w:pStyle w:val="TableParagraph"/>
              <w:ind w:left="196"/>
              <w:rPr>
                <w:sz w:val="14"/>
              </w:rPr>
            </w:pPr>
            <w:r>
              <w:rPr>
                <w:sz w:val="14"/>
              </w:rPr>
              <w:t>9</w:t>
            </w:r>
          </w:p>
        </w:tc>
        <w:tc>
          <w:tcPr>
            <w:tcW w:w="410" w:type="dxa"/>
          </w:tcPr>
          <w:p>
            <w:pPr>
              <w:pStyle w:val="TableParagraph"/>
              <w:ind w:left="165"/>
              <w:rPr>
                <w:sz w:val="14"/>
              </w:rPr>
            </w:pPr>
            <w:r>
              <w:rPr>
                <w:sz w:val="14"/>
              </w:rPr>
              <w:t>-4</w:t>
            </w:r>
          </w:p>
        </w:tc>
        <w:tc>
          <w:tcPr>
            <w:tcW w:w="410" w:type="dxa"/>
          </w:tcPr>
          <w:p>
            <w:pPr>
              <w:pStyle w:val="TableParagraph"/>
              <w:ind w:left="175"/>
              <w:rPr>
                <w:sz w:val="14"/>
              </w:rPr>
            </w:pPr>
            <w:r>
              <w:rPr>
                <w:sz w:val="14"/>
              </w:rPr>
              <w:t>-8</w:t>
            </w:r>
          </w:p>
        </w:tc>
        <w:tc>
          <w:tcPr>
            <w:tcW w:w="328" w:type="dxa"/>
          </w:tcPr>
          <w:p>
            <w:pPr>
              <w:pStyle w:val="TableParagraph"/>
              <w:ind w:right="54"/>
              <w:jc w:val="right"/>
              <w:rPr>
                <w:sz w:val="14"/>
              </w:rPr>
            </w:pPr>
            <w:r>
              <w:rPr>
                <w:sz w:val="14"/>
              </w:rPr>
              <w:t>-9</w:t>
            </w:r>
          </w:p>
        </w:tc>
      </w:tr>
      <w:tr>
        <w:trPr>
          <w:trHeight w:val="140" w:hRule="atLeast"/>
        </w:trPr>
        <w:tc>
          <w:tcPr>
            <w:tcW w:w="1811" w:type="dxa"/>
          </w:tcPr>
          <w:p>
            <w:pPr>
              <w:pStyle w:val="TableParagraph"/>
              <w:ind w:left="50"/>
              <w:rPr>
                <w:sz w:val="14"/>
              </w:rPr>
            </w:pPr>
            <w:r>
              <w:rPr>
                <w:sz w:val="14"/>
              </w:rPr>
              <w:t>CBI volume of output,</w:t>
            </w:r>
          </w:p>
        </w:tc>
        <w:tc>
          <w:tcPr>
            <w:tcW w:w="530" w:type="dxa"/>
          </w:tcPr>
          <w:p>
            <w:pPr>
              <w:pStyle w:val="TableParagraph"/>
              <w:spacing w:line="240" w:lineRule="auto"/>
              <w:rPr>
                <w:sz w:val="8"/>
              </w:rPr>
            </w:pPr>
          </w:p>
        </w:tc>
        <w:tc>
          <w:tcPr>
            <w:tcW w:w="422" w:type="dxa"/>
          </w:tcPr>
          <w:p>
            <w:pPr>
              <w:pStyle w:val="TableParagraph"/>
              <w:spacing w:line="240" w:lineRule="auto"/>
              <w:rPr>
                <w:sz w:val="8"/>
              </w:rPr>
            </w:pPr>
          </w:p>
        </w:tc>
        <w:tc>
          <w:tcPr>
            <w:tcW w:w="395" w:type="dxa"/>
          </w:tcPr>
          <w:p>
            <w:pPr>
              <w:pStyle w:val="TableParagraph"/>
              <w:spacing w:line="240" w:lineRule="auto"/>
              <w:rPr>
                <w:sz w:val="8"/>
              </w:rPr>
            </w:pPr>
          </w:p>
        </w:tc>
        <w:tc>
          <w:tcPr>
            <w:tcW w:w="410" w:type="dxa"/>
          </w:tcPr>
          <w:p>
            <w:pPr>
              <w:pStyle w:val="TableParagraph"/>
              <w:spacing w:line="240" w:lineRule="auto"/>
              <w:rPr>
                <w:sz w:val="8"/>
              </w:rPr>
            </w:pPr>
          </w:p>
        </w:tc>
        <w:tc>
          <w:tcPr>
            <w:tcW w:w="410" w:type="dxa"/>
          </w:tcPr>
          <w:p>
            <w:pPr>
              <w:pStyle w:val="TableParagraph"/>
              <w:spacing w:line="240" w:lineRule="auto"/>
              <w:rPr>
                <w:sz w:val="8"/>
              </w:rPr>
            </w:pPr>
          </w:p>
        </w:tc>
        <w:tc>
          <w:tcPr>
            <w:tcW w:w="328" w:type="dxa"/>
          </w:tcPr>
          <w:p>
            <w:pPr>
              <w:pStyle w:val="TableParagraph"/>
              <w:spacing w:line="240" w:lineRule="auto"/>
              <w:rPr>
                <w:sz w:val="8"/>
              </w:rPr>
            </w:pPr>
          </w:p>
        </w:tc>
      </w:tr>
      <w:tr>
        <w:trPr>
          <w:trHeight w:val="140" w:hRule="atLeast"/>
        </w:trPr>
        <w:tc>
          <w:tcPr>
            <w:tcW w:w="1811" w:type="dxa"/>
          </w:tcPr>
          <w:p>
            <w:pPr>
              <w:pStyle w:val="TableParagraph"/>
              <w:ind w:left="120"/>
              <w:rPr>
                <w:sz w:val="14"/>
              </w:rPr>
            </w:pPr>
            <w:r>
              <w:rPr>
                <w:sz w:val="14"/>
              </w:rPr>
              <w:t>next four months</w:t>
            </w:r>
          </w:p>
        </w:tc>
        <w:tc>
          <w:tcPr>
            <w:tcW w:w="530" w:type="dxa"/>
          </w:tcPr>
          <w:p>
            <w:pPr>
              <w:pStyle w:val="TableParagraph"/>
              <w:ind w:right="169"/>
              <w:jc w:val="right"/>
              <w:rPr>
                <w:sz w:val="14"/>
              </w:rPr>
            </w:pPr>
            <w:r>
              <w:rPr>
                <w:sz w:val="14"/>
              </w:rPr>
              <w:t>8</w:t>
            </w:r>
          </w:p>
        </w:tc>
        <w:tc>
          <w:tcPr>
            <w:tcW w:w="422" w:type="dxa"/>
          </w:tcPr>
          <w:p>
            <w:pPr>
              <w:pStyle w:val="TableParagraph"/>
              <w:ind w:left="158"/>
              <w:rPr>
                <w:sz w:val="14"/>
              </w:rPr>
            </w:pPr>
            <w:r>
              <w:rPr>
                <w:sz w:val="14"/>
              </w:rPr>
              <w:t>12</w:t>
            </w:r>
          </w:p>
        </w:tc>
        <w:tc>
          <w:tcPr>
            <w:tcW w:w="395" w:type="dxa"/>
          </w:tcPr>
          <w:p>
            <w:pPr>
              <w:pStyle w:val="TableParagraph"/>
              <w:ind w:left="126"/>
              <w:rPr>
                <w:sz w:val="14"/>
              </w:rPr>
            </w:pPr>
            <w:r>
              <w:rPr>
                <w:sz w:val="14"/>
              </w:rPr>
              <w:t>11</w:t>
            </w:r>
          </w:p>
        </w:tc>
        <w:tc>
          <w:tcPr>
            <w:tcW w:w="410" w:type="dxa"/>
          </w:tcPr>
          <w:p>
            <w:pPr>
              <w:pStyle w:val="TableParagraph"/>
              <w:ind w:left="211"/>
              <w:rPr>
                <w:sz w:val="14"/>
              </w:rPr>
            </w:pPr>
            <w:r>
              <w:rPr>
                <w:sz w:val="14"/>
              </w:rPr>
              <w:t>1</w:t>
            </w:r>
          </w:p>
        </w:tc>
        <w:tc>
          <w:tcPr>
            <w:tcW w:w="410" w:type="dxa"/>
          </w:tcPr>
          <w:p>
            <w:pPr>
              <w:pStyle w:val="TableParagraph"/>
              <w:ind w:left="221"/>
              <w:rPr>
                <w:sz w:val="14"/>
              </w:rPr>
            </w:pPr>
            <w:r>
              <w:rPr>
                <w:sz w:val="14"/>
              </w:rPr>
              <w:t>3</w:t>
            </w:r>
          </w:p>
        </w:tc>
        <w:tc>
          <w:tcPr>
            <w:tcW w:w="328" w:type="dxa"/>
          </w:tcPr>
          <w:p>
            <w:pPr>
              <w:pStyle w:val="TableParagraph"/>
              <w:ind w:right="54"/>
              <w:jc w:val="right"/>
              <w:rPr>
                <w:sz w:val="14"/>
              </w:rPr>
            </w:pPr>
            <w:r>
              <w:rPr>
                <w:sz w:val="14"/>
              </w:rPr>
              <w:t>3</w:t>
            </w:r>
          </w:p>
        </w:tc>
      </w:tr>
      <w:tr>
        <w:trPr>
          <w:trHeight w:val="140" w:hRule="atLeast"/>
        </w:trPr>
        <w:tc>
          <w:tcPr>
            <w:tcW w:w="1811" w:type="dxa"/>
          </w:tcPr>
          <w:p>
            <w:pPr>
              <w:pStyle w:val="TableParagraph"/>
              <w:ind w:left="50"/>
              <w:rPr>
                <w:sz w:val="14"/>
              </w:rPr>
            </w:pPr>
            <w:r>
              <w:rPr>
                <w:sz w:val="14"/>
              </w:rPr>
              <w:t>CIPS new orders index,</w:t>
            </w:r>
          </w:p>
        </w:tc>
        <w:tc>
          <w:tcPr>
            <w:tcW w:w="530" w:type="dxa"/>
          </w:tcPr>
          <w:p>
            <w:pPr>
              <w:pStyle w:val="TableParagraph"/>
              <w:spacing w:line="240" w:lineRule="auto"/>
              <w:rPr>
                <w:sz w:val="8"/>
              </w:rPr>
            </w:pPr>
          </w:p>
        </w:tc>
        <w:tc>
          <w:tcPr>
            <w:tcW w:w="422" w:type="dxa"/>
          </w:tcPr>
          <w:p>
            <w:pPr>
              <w:pStyle w:val="TableParagraph"/>
              <w:spacing w:line="240" w:lineRule="auto"/>
              <w:rPr>
                <w:sz w:val="8"/>
              </w:rPr>
            </w:pPr>
          </w:p>
        </w:tc>
        <w:tc>
          <w:tcPr>
            <w:tcW w:w="395" w:type="dxa"/>
          </w:tcPr>
          <w:p>
            <w:pPr>
              <w:pStyle w:val="TableParagraph"/>
              <w:spacing w:line="240" w:lineRule="auto"/>
              <w:rPr>
                <w:sz w:val="8"/>
              </w:rPr>
            </w:pPr>
          </w:p>
        </w:tc>
        <w:tc>
          <w:tcPr>
            <w:tcW w:w="410" w:type="dxa"/>
          </w:tcPr>
          <w:p>
            <w:pPr>
              <w:pStyle w:val="TableParagraph"/>
              <w:spacing w:line="240" w:lineRule="auto"/>
              <w:rPr>
                <w:sz w:val="8"/>
              </w:rPr>
            </w:pPr>
          </w:p>
        </w:tc>
        <w:tc>
          <w:tcPr>
            <w:tcW w:w="410" w:type="dxa"/>
          </w:tcPr>
          <w:p>
            <w:pPr>
              <w:pStyle w:val="TableParagraph"/>
              <w:spacing w:line="240" w:lineRule="auto"/>
              <w:rPr>
                <w:sz w:val="8"/>
              </w:rPr>
            </w:pPr>
          </w:p>
        </w:tc>
        <w:tc>
          <w:tcPr>
            <w:tcW w:w="328" w:type="dxa"/>
          </w:tcPr>
          <w:p>
            <w:pPr>
              <w:pStyle w:val="TableParagraph"/>
              <w:spacing w:line="240" w:lineRule="auto"/>
              <w:rPr>
                <w:sz w:val="8"/>
              </w:rPr>
            </w:pPr>
          </w:p>
        </w:tc>
      </w:tr>
      <w:tr>
        <w:trPr>
          <w:trHeight w:val="140" w:hRule="atLeast"/>
        </w:trPr>
        <w:tc>
          <w:tcPr>
            <w:tcW w:w="1811" w:type="dxa"/>
          </w:tcPr>
          <w:p>
            <w:pPr>
              <w:pStyle w:val="TableParagraph"/>
              <w:ind w:left="120"/>
              <w:rPr>
                <w:sz w:val="12"/>
              </w:rPr>
            </w:pPr>
            <w:r>
              <w:rPr>
                <w:sz w:val="14"/>
              </w:rPr>
              <w:t>past month </w:t>
            </w:r>
            <w:r>
              <w:rPr>
                <w:sz w:val="12"/>
              </w:rPr>
              <w:t>(c)</w:t>
            </w:r>
          </w:p>
        </w:tc>
        <w:tc>
          <w:tcPr>
            <w:tcW w:w="530" w:type="dxa"/>
          </w:tcPr>
          <w:p>
            <w:pPr>
              <w:pStyle w:val="TableParagraph"/>
              <w:ind w:right="170"/>
              <w:jc w:val="right"/>
              <w:rPr>
                <w:sz w:val="14"/>
              </w:rPr>
            </w:pPr>
            <w:r>
              <w:rPr>
                <w:sz w:val="14"/>
              </w:rPr>
              <w:t>52.9</w:t>
            </w:r>
          </w:p>
        </w:tc>
        <w:tc>
          <w:tcPr>
            <w:tcW w:w="422" w:type="dxa"/>
          </w:tcPr>
          <w:p>
            <w:pPr>
              <w:pStyle w:val="TableParagraph"/>
              <w:ind w:left="54"/>
              <w:rPr>
                <w:sz w:val="14"/>
              </w:rPr>
            </w:pPr>
            <w:r>
              <w:rPr>
                <w:sz w:val="14"/>
              </w:rPr>
              <w:t>58.6</w:t>
            </w:r>
          </w:p>
        </w:tc>
        <w:tc>
          <w:tcPr>
            <w:tcW w:w="395" w:type="dxa"/>
          </w:tcPr>
          <w:p>
            <w:pPr>
              <w:pStyle w:val="TableParagraph"/>
              <w:ind w:left="22"/>
              <w:rPr>
                <w:sz w:val="14"/>
              </w:rPr>
            </w:pPr>
            <w:r>
              <w:rPr>
                <w:sz w:val="14"/>
              </w:rPr>
              <w:t>56.7</w:t>
            </w:r>
          </w:p>
        </w:tc>
        <w:tc>
          <w:tcPr>
            <w:tcW w:w="410" w:type="dxa"/>
          </w:tcPr>
          <w:p>
            <w:pPr>
              <w:pStyle w:val="TableParagraph"/>
              <w:ind w:left="37"/>
              <w:rPr>
                <w:sz w:val="14"/>
              </w:rPr>
            </w:pPr>
            <w:r>
              <w:rPr>
                <w:sz w:val="14"/>
              </w:rPr>
              <w:t>52.4</w:t>
            </w:r>
          </w:p>
        </w:tc>
        <w:tc>
          <w:tcPr>
            <w:tcW w:w="410" w:type="dxa"/>
          </w:tcPr>
          <w:p>
            <w:pPr>
              <w:pStyle w:val="TableParagraph"/>
              <w:ind w:left="47"/>
              <w:rPr>
                <w:sz w:val="14"/>
              </w:rPr>
            </w:pPr>
            <w:r>
              <w:rPr>
                <w:sz w:val="14"/>
              </w:rPr>
              <w:t>51.4</w:t>
            </w:r>
          </w:p>
        </w:tc>
        <w:tc>
          <w:tcPr>
            <w:tcW w:w="328" w:type="dxa"/>
          </w:tcPr>
          <w:p>
            <w:pPr>
              <w:pStyle w:val="TableParagraph"/>
              <w:ind w:right="53"/>
              <w:jc w:val="right"/>
              <w:rPr>
                <w:sz w:val="14"/>
              </w:rPr>
            </w:pPr>
            <w:r>
              <w:rPr>
                <w:sz w:val="14"/>
              </w:rPr>
              <w:t>52.8</w:t>
            </w:r>
          </w:p>
        </w:tc>
      </w:tr>
      <w:tr>
        <w:trPr>
          <w:trHeight w:val="140" w:hRule="atLeast"/>
        </w:trPr>
        <w:tc>
          <w:tcPr>
            <w:tcW w:w="1811" w:type="dxa"/>
          </w:tcPr>
          <w:p>
            <w:pPr>
              <w:pStyle w:val="TableParagraph"/>
              <w:ind w:left="50"/>
              <w:rPr>
                <w:sz w:val="14"/>
              </w:rPr>
            </w:pPr>
            <w:r>
              <w:rPr>
                <w:sz w:val="14"/>
              </w:rPr>
              <w:t>BCC home orders,</w:t>
            </w:r>
          </w:p>
        </w:tc>
        <w:tc>
          <w:tcPr>
            <w:tcW w:w="530" w:type="dxa"/>
          </w:tcPr>
          <w:p>
            <w:pPr>
              <w:pStyle w:val="TableParagraph"/>
              <w:spacing w:line="240" w:lineRule="auto"/>
              <w:rPr>
                <w:sz w:val="8"/>
              </w:rPr>
            </w:pPr>
          </w:p>
        </w:tc>
        <w:tc>
          <w:tcPr>
            <w:tcW w:w="422" w:type="dxa"/>
          </w:tcPr>
          <w:p>
            <w:pPr>
              <w:pStyle w:val="TableParagraph"/>
              <w:spacing w:line="240" w:lineRule="auto"/>
              <w:rPr>
                <w:sz w:val="8"/>
              </w:rPr>
            </w:pPr>
          </w:p>
        </w:tc>
        <w:tc>
          <w:tcPr>
            <w:tcW w:w="395" w:type="dxa"/>
          </w:tcPr>
          <w:p>
            <w:pPr>
              <w:pStyle w:val="TableParagraph"/>
              <w:spacing w:line="240" w:lineRule="auto"/>
              <w:rPr>
                <w:sz w:val="8"/>
              </w:rPr>
            </w:pPr>
          </w:p>
        </w:tc>
        <w:tc>
          <w:tcPr>
            <w:tcW w:w="410" w:type="dxa"/>
          </w:tcPr>
          <w:p>
            <w:pPr>
              <w:pStyle w:val="TableParagraph"/>
              <w:spacing w:line="240" w:lineRule="auto"/>
              <w:rPr>
                <w:sz w:val="8"/>
              </w:rPr>
            </w:pPr>
          </w:p>
        </w:tc>
        <w:tc>
          <w:tcPr>
            <w:tcW w:w="410" w:type="dxa"/>
          </w:tcPr>
          <w:p>
            <w:pPr>
              <w:pStyle w:val="TableParagraph"/>
              <w:spacing w:line="240" w:lineRule="auto"/>
              <w:rPr>
                <w:sz w:val="8"/>
              </w:rPr>
            </w:pPr>
          </w:p>
        </w:tc>
        <w:tc>
          <w:tcPr>
            <w:tcW w:w="328" w:type="dxa"/>
          </w:tcPr>
          <w:p>
            <w:pPr>
              <w:pStyle w:val="TableParagraph"/>
              <w:spacing w:line="240" w:lineRule="auto"/>
              <w:rPr>
                <w:sz w:val="8"/>
              </w:rPr>
            </w:pPr>
          </w:p>
        </w:tc>
      </w:tr>
      <w:tr>
        <w:trPr>
          <w:trHeight w:val="140" w:hRule="atLeast"/>
        </w:trPr>
        <w:tc>
          <w:tcPr>
            <w:tcW w:w="1811" w:type="dxa"/>
          </w:tcPr>
          <w:p>
            <w:pPr>
              <w:pStyle w:val="TableParagraph"/>
              <w:ind w:left="120"/>
              <w:rPr>
                <w:sz w:val="14"/>
              </w:rPr>
            </w:pPr>
            <w:r>
              <w:rPr>
                <w:sz w:val="14"/>
              </w:rPr>
              <w:t>past three months</w:t>
            </w:r>
          </w:p>
        </w:tc>
        <w:tc>
          <w:tcPr>
            <w:tcW w:w="530" w:type="dxa"/>
          </w:tcPr>
          <w:p>
            <w:pPr>
              <w:pStyle w:val="TableParagraph"/>
              <w:ind w:right="169"/>
              <w:jc w:val="right"/>
              <w:rPr>
                <w:sz w:val="14"/>
              </w:rPr>
            </w:pPr>
            <w:r>
              <w:rPr>
                <w:sz w:val="14"/>
              </w:rPr>
              <w:t>6</w:t>
            </w:r>
          </w:p>
        </w:tc>
        <w:tc>
          <w:tcPr>
            <w:tcW w:w="422" w:type="dxa"/>
          </w:tcPr>
          <w:p>
            <w:pPr>
              <w:pStyle w:val="TableParagraph"/>
              <w:ind w:left="158"/>
              <w:rPr>
                <w:sz w:val="14"/>
              </w:rPr>
            </w:pPr>
            <w:r>
              <w:rPr>
                <w:sz w:val="14"/>
              </w:rPr>
              <w:t>19</w:t>
            </w:r>
          </w:p>
        </w:tc>
        <w:tc>
          <w:tcPr>
            <w:tcW w:w="395" w:type="dxa"/>
          </w:tcPr>
          <w:p>
            <w:pPr>
              <w:pStyle w:val="TableParagraph"/>
              <w:ind w:left="126"/>
              <w:rPr>
                <w:sz w:val="14"/>
              </w:rPr>
            </w:pPr>
            <w:r>
              <w:rPr>
                <w:sz w:val="14"/>
              </w:rPr>
              <w:t>20</w:t>
            </w:r>
          </w:p>
        </w:tc>
        <w:tc>
          <w:tcPr>
            <w:tcW w:w="410" w:type="dxa"/>
          </w:tcPr>
          <w:p>
            <w:pPr>
              <w:pStyle w:val="TableParagraph"/>
              <w:ind w:left="141"/>
              <w:rPr>
                <w:sz w:val="14"/>
              </w:rPr>
            </w:pPr>
            <w:r>
              <w:rPr>
                <w:sz w:val="14"/>
              </w:rPr>
              <w:t>15</w:t>
            </w:r>
          </w:p>
        </w:tc>
        <w:tc>
          <w:tcPr>
            <w:tcW w:w="410" w:type="dxa"/>
          </w:tcPr>
          <w:p>
            <w:pPr>
              <w:pStyle w:val="TableParagraph"/>
              <w:ind w:left="221"/>
              <w:rPr>
                <w:sz w:val="14"/>
              </w:rPr>
            </w:pPr>
            <w:r>
              <w:rPr>
                <w:sz w:val="14"/>
              </w:rPr>
              <w:t>5</w:t>
            </w:r>
          </w:p>
        </w:tc>
        <w:tc>
          <w:tcPr>
            <w:tcW w:w="328" w:type="dxa"/>
          </w:tcPr>
          <w:p>
            <w:pPr>
              <w:pStyle w:val="TableParagraph"/>
              <w:ind w:right="54"/>
              <w:jc w:val="right"/>
              <w:rPr>
                <w:sz w:val="14"/>
              </w:rPr>
            </w:pPr>
            <w:r>
              <w:rPr>
                <w:sz w:val="14"/>
              </w:rPr>
              <w:t>11</w:t>
            </w:r>
          </w:p>
        </w:tc>
      </w:tr>
      <w:tr>
        <w:trPr>
          <w:trHeight w:val="140" w:hRule="atLeast"/>
        </w:trPr>
        <w:tc>
          <w:tcPr>
            <w:tcW w:w="1811" w:type="dxa"/>
          </w:tcPr>
          <w:p>
            <w:pPr>
              <w:pStyle w:val="TableParagraph"/>
              <w:ind w:left="50"/>
              <w:rPr>
                <w:sz w:val="14"/>
              </w:rPr>
            </w:pPr>
            <w:r>
              <w:rPr>
                <w:sz w:val="14"/>
              </w:rPr>
              <w:t>EEF volume of new orders,</w:t>
            </w:r>
          </w:p>
        </w:tc>
        <w:tc>
          <w:tcPr>
            <w:tcW w:w="530" w:type="dxa"/>
          </w:tcPr>
          <w:p>
            <w:pPr>
              <w:pStyle w:val="TableParagraph"/>
              <w:spacing w:line="240" w:lineRule="auto"/>
              <w:rPr>
                <w:sz w:val="8"/>
              </w:rPr>
            </w:pPr>
          </w:p>
        </w:tc>
        <w:tc>
          <w:tcPr>
            <w:tcW w:w="422" w:type="dxa"/>
          </w:tcPr>
          <w:p>
            <w:pPr>
              <w:pStyle w:val="TableParagraph"/>
              <w:spacing w:line="240" w:lineRule="auto"/>
              <w:rPr>
                <w:sz w:val="8"/>
              </w:rPr>
            </w:pPr>
          </w:p>
        </w:tc>
        <w:tc>
          <w:tcPr>
            <w:tcW w:w="395" w:type="dxa"/>
          </w:tcPr>
          <w:p>
            <w:pPr>
              <w:pStyle w:val="TableParagraph"/>
              <w:spacing w:line="240" w:lineRule="auto"/>
              <w:rPr>
                <w:sz w:val="8"/>
              </w:rPr>
            </w:pPr>
          </w:p>
        </w:tc>
        <w:tc>
          <w:tcPr>
            <w:tcW w:w="410" w:type="dxa"/>
          </w:tcPr>
          <w:p>
            <w:pPr>
              <w:pStyle w:val="TableParagraph"/>
              <w:spacing w:line="240" w:lineRule="auto"/>
              <w:rPr>
                <w:sz w:val="8"/>
              </w:rPr>
            </w:pPr>
          </w:p>
        </w:tc>
        <w:tc>
          <w:tcPr>
            <w:tcW w:w="410" w:type="dxa"/>
          </w:tcPr>
          <w:p>
            <w:pPr>
              <w:pStyle w:val="TableParagraph"/>
              <w:spacing w:line="240" w:lineRule="auto"/>
              <w:rPr>
                <w:sz w:val="8"/>
              </w:rPr>
            </w:pPr>
          </w:p>
        </w:tc>
        <w:tc>
          <w:tcPr>
            <w:tcW w:w="328" w:type="dxa"/>
          </w:tcPr>
          <w:p>
            <w:pPr>
              <w:pStyle w:val="TableParagraph"/>
              <w:spacing w:line="240" w:lineRule="auto"/>
              <w:rPr>
                <w:sz w:val="8"/>
              </w:rPr>
            </w:pPr>
          </w:p>
        </w:tc>
      </w:tr>
      <w:tr>
        <w:trPr>
          <w:trHeight w:val="140" w:hRule="atLeast"/>
        </w:trPr>
        <w:tc>
          <w:tcPr>
            <w:tcW w:w="1811" w:type="dxa"/>
          </w:tcPr>
          <w:p>
            <w:pPr>
              <w:pStyle w:val="TableParagraph"/>
              <w:ind w:left="120"/>
              <w:rPr>
                <w:sz w:val="14"/>
              </w:rPr>
            </w:pPr>
            <w:r>
              <w:rPr>
                <w:sz w:val="14"/>
              </w:rPr>
              <w:t>past three months</w:t>
            </w:r>
          </w:p>
        </w:tc>
        <w:tc>
          <w:tcPr>
            <w:tcW w:w="530" w:type="dxa"/>
          </w:tcPr>
          <w:p>
            <w:pPr>
              <w:pStyle w:val="TableParagraph"/>
              <w:ind w:right="169"/>
              <w:jc w:val="right"/>
              <w:rPr>
                <w:sz w:val="14"/>
              </w:rPr>
            </w:pPr>
            <w:r>
              <w:rPr>
                <w:sz w:val="14"/>
              </w:rPr>
              <w:t>6</w:t>
            </w:r>
          </w:p>
        </w:tc>
        <w:tc>
          <w:tcPr>
            <w:tcW w:w="422" w:type="dxa"/>
          </w:tcPr>
          <w:p>
            <w:pPr>
              <w:pStyle w:val="TableParagraph"/>
              <w:ind w:left="228"/>
              <w:rPr>
                <w:sz w:val="14"/>
              </w:rPr>
            </w:pPr>
            <w:r>
              <w:rPr>
                <w:sz w:val="14"/>
              </w:rPr>
              <w:t>3</w:t>
            </w:r>
          </w:p>
        </w:tc>
        <w:tc>
          <w:tcPr>
            <w:tcW w:w="395" w:type="dxa"/>
          </w:tcPr>
          <w:p>
            <w:pPr>
              <w:pStyle w:val="TableParagraph"/>
              <w:ind w:left="196"/>
              <w:rPr>
                <w:sz w:val="14"/>
              </w:rPr>
            </w:pPr>
            <w:r>
              <w:rPr>
                <w:sz w:val="14"/>
              </w:rPr>
              <w:t>8</w:t>
            </w:r>
          </w:p>
        </w:tc>
        <w:tc>
          <w:tcPr>
            <w:tcW w:w="410" w:type="dxa"/>
          </w:tcPr>
          <w:p>
            <w:pPr>
              <w:pStyle w:val="TableParagraph"/>
              <w:ind w:left="211"/>
              <w:rPr>
                <w:sz w:val="14"/>
              </w:rPr>
            </w:pPr>
            <w:r>
              <w:rPr>
                <w:sz w:val="14"/>
              </w:rPr>
              <w:t>6</w:t>
            </w:r>
          </w:p>
        </w:tc>
        <w:tc>
          <w:tcPr>
            <w:tcW w:w="410" w:type="dxa"/>
          </w:tcPr>
          <w:p>
            <w:pPr>
              <w:pStyle w:val="TableParagraph"/>
              <w:ind w:left="175"/>
              <w:rPr>
                <w:sz w:val="14"/>
              </w:rPr>
            </w:pPr>
            <w:r>
              <w:rPr>
                <w:sz w:val="14"/>
              </w:rPr>
              <w:t>-8</w:t>
            </w:r>
          </w:p>
        </w:tc>
        <w:tc>
          <w:tcPr>
            <w:tcW w:w="328" w:type="dxa"/>
          </w:tcPr>
          <w:p>
            <w:pPr>
              <w:pStyle w:val="TableParagraph"/>
              <w:ind w:right="54"/>
              <w:jc w:val="right"/>
              <w:rPr>
                <w:sz w:val="14"/>
              </w:rPr>
            </w:pPr>
            <w:r>
              <w:rPr>
                <w:sz w:val="14"/>
              </w:rPr>
              <w:t>5</w:t>
            </w:r>
          </w:p>
        </w:tc>
      </w:tr>
      <w:tr>
        <w:trPr>
          <w:trHeight w:val="140" w:hRule="atLeast"/>
        </w:trPr>
        <w:tc>
          <w:tcPr>
            <w:tcW w:w="1811" w:type="dxa"/>
          </w:tcPr>
          <w:p>
            <w:pPr>
              <w:pStyle w:val="TableParagraph"/>
              <w:ind w:left="50"/>
              <w:rPr>
                <w:sz w:val="14"/>
              </w:rPr>
            </w:pPr>
            <w:r>
              <w:rPr>
                <w:sz w:val="14"/>
              </w:rPr>
              <w:t>Dun &amp; Bradstreet expected</w:t>
            </w:r>
          </w:p>
        </w:tc>
        <w:tc>
          <w:tcPr>
            <w:tcW w:w="530" w:type="dxa"/>
          </w:tcPr>
          <w:p>
            <w:pPr>
              <w:pStyle w:val="TableParagraph"/>
              <w:spacing w:line="240" w:lineRule="auto"/>
              <w:rPr>
                <w:sz w:val="8"/>
              </w:rPr>
            </w:pPr>
          </w:p>
        </w:tc>
        <w:tc>
          <w:tcPr>
            <w:tcW w:w="422" w:type="dxa"/>
          </w:tcPr>
          <w:p>
            <w:pPr>
              <w:pStyle w:val="TableParagraph"/>
              <w:spacing w:line="240" w:lineRule="auto"/>
              <w:rPr>
                <w:sz w:val="8"/>
              </w:rPr>
            </w:pPr>
          </w:p>
        </w:tc>
        <w:tc>
          <w:tcPr>
            <w:tcW w:w="395" w:type="dxa"/>
          </w:tcPr>
          <w:p>
            <w:pPr>
              <w:pStyle w:val="TableParagraph"/>
              <w:spacing w:line="240" w:lineRule="auto"/>
              <w:rPr>
                <w:sz w:val="8"/>
              </w:rPr>
            </w:pPr>
          </w:p>
        </w:tc>
        <w:tc>
          <w:tcPr>
            <w:tcW w:w="410" w:type="dxa"/>
          </w:tcPr>
          <w:p>
            <w:pPr>
              <w:pStyle w:val="TableParagraph"/>
              <w:spacing w:line="240" w:lineRule="auto"/>
              <w:rPr>
                <w:sz w:val="8"/>
              </w:rPr>
            </w:pPr>
          </w:p>
        </w:tc>
        <w:tc>
          <w:tcPr>
            <w:tcW w:w="410" w:type="dxa"/>
          </w:tcPr>
          <w:p>
            <w:pPr>
              <w:pStyle w:val="TableParagraph"/>
              <w:spacing w:line="240" w:lineRule="auto"/>
              <w:rPr>
                <w:sz w:val="8"/>
              </w:rPr>
            </w:pPr>
          </w:p>
        </w:tc>
        <w:tc>
          <w:tcPr>
            <w:tcW w:w="328" w:type="dxa"/>
          </w:tcPr>
          <w:p>
            <w:pPr>
              <w:pStyle w:val="TableParagraph"/>
              <w:spacing w:line="240" w:lineRule="auto"/>
              <w:rPr>
                <w:sz w:val="8"/>
              </w:rPr>
            </w:pPr>
          </w:p>
        </w:tc>
      </w:tr>
      <w:tr>
        <w:trPr>
          <w:trHeight w:val="147" w:hRule="atLeast"/>
        </w:trPr>
        <w:tc>
          <w:tcPr>
            <w:tcW w:w="1811" w:type="dxa"/>
          </w:tcPr>
          <w:p>
            <w:pPr>
              <w:pStyle w:val="TableParagraph"/>
              <w:spacing w:line="128" w:lineRule="exact"/>
              <w:ind w:left="120"/>
              <w:rPr>
                <w:sz w:val="14"/>
              </w:rPr>
            </w:pPr>
            <w:r>
              <w:rPr>
                <w:sz w:val="14"/>
              </w:rPr>
              <w:t>net sales, next quarter</w:t>
            </w:r>
          </w:p>
        </w:tc>
        <w:tc>
          <w:tcPr>
            <w:tcW w:w="530" w:type="dxa"/>
          </w:tcPr>
          <w:p>
            <w:pPr>
              <w:pStyle w:val="TableParagraph"/>
              <w:spacing w:line="128" w:lineRule="exact"/>
              <w:ind w:right="169"/>
              <w:jc w:val="right"/>
              <w:rPr>
                <w:sz w:val="14"/>
              </w:rPr>
            </w:pPr>
            <w:r>
              <w:rPr>
                <w:sz w:val="14"/>
              </w:rPr>
              <w:t>35</w:t>
            </w:r>
          </w:p>
        </w:tc>
        <w:tc>
          <w:tcPr>
            <w:tcW w:w="422" w:type="dxa"/>
          </w:tcPr>
          <w:p>
            <w:pPr>
              <w:pStyle w:val="TableParagraph"/>
              <w:spacing w:line="128" w:lineRule="exact"/>
              <w:ind w:left="158"/>
              <w:rPr>
                <w:sz w:val="14"/>
              </w:rPr>
            </w:pPr>
            <w:r>
              <w:rPr>
                <w:sz w:val="14"/>
              </w:rPr>
              <w:t>45</w:t>
            </w:r>
          </w:p>
        </w:tc>
        <w:tc>
          <w:tcPr>
            <w:tcW w:w="395" w:type="dxa"/>
          </w:tcPr>
          <w:p>
            <w:pPr>
              <w:pStyle w:val="TableParagraph"/>
              <w:spacing w:line="128" w:lineRule="exact"/>
              <w:ind w:left="126"/>
              <w:rPr>
                <w:sz w:val="14"/>
              </w:rPr>
            </w:pPr>
            <w:r>
              <w:rPr>
                <w:sz w:val="14"/>
              </w:rPr>
              <w:t>47</w:t>
            </w:r>
          </w:p>
        </w:tc>
        <w:tc>
          <w:tcPr>
            <w:tcW w:w="410" w:type="dxa"/>
          </w:tcPr>
          <w:p>
            <w:pPr>
              <w:pStyle w:val="TableParagraph"/>
              <w:spacing w:line="128" w:lineRule="exact"/>
              <w:ind w:left="141"/>
              <w:rPr>
                <w:sz w:val="14"/>
              </w:rPr>
            </w:pPr>
            <w:r>
              <w:rPr>
                <w:sz w:val="14"/>
              </w:rPr>
              <w:t>51</w:t>
            </w:r>
          </w:p>
        </w:tc>
        <w:tc>
          <w:tcPr>
            <w:tcW w:w="410" w:type="dxa"/>
          </w:tcPr>
          <w:p>
            <w:pPr>
              <w:pStyle w:val="TableParagraph"/>
              <w:spacing w:line="128" w:lineRule="exact"/>
              <w:ind w:left="151"/>
              <w:rPr>
                <w:sz w:val="14"/>
              </w:rPr>
            </w:pPr>
            <w:r>
              <w:rPr>
                <w:sz w:val="14"/>
              </w:rPr>
              <w:t>47</w:t>
            </w:r>
          </w:p>
        </w:tc>
        <w:tc>
          <w:tcPr>
            <w:tcW w:w="328" w:type="dxa"/>
          </w:tcPr>
          <w:p>
            <w:pPr>
              <w:pStyle w:val="TableParagraph"/>
              <w:spacing w:line="128" w:lineRule="exact"/>
              <w:ind w:right="54"/>
              <w:jc w:val="right"/>
              <w:rPr>
                <w:sz w:val="14"/>
              </w:rPr>
            </w:pPr>
            <w:r>
              <w:rPr>
                <w:sz w:val="14"/>
              </w:rPr>
              <w:t>38</w:t>
            </w:r>
          </w:p>
        </w:tc>
      </w:tr>
    </w:tbl>
    <w:p>
      <w:pPr>
        <w:spacing w:before="103"/>
        <w:ind w:left="158" w:right="0" w:firstLine="0"/>
        <w:jc w:val="left"/>
        <w:rPr>
          <w:sz w:val="12"/>
        </w:rPr>
      </w:pPr>
      <w:r>
        <w:rPr>
          <w:sz w:val="12"/>
        </w:rPr>
        <w:t>Sources: BCC, CIPS, CBI, EEF and Dun &amp; Bradstreet.</w:t>
      </w:r>
    </w:p>
    <w:p>
      <w:pPr>
        <w:pStyle w:val="BodyText"/>
        <w:spacing w:before="1"/>
        <w:rPr>
          <w:sz w:val="10"/>
        </w:rPr>
      </w:pPr>
    </w:p>
    <w:p>
      <w:pPr>
        <w:pStyle w:val="ListParagraph"/>
        <w:numPr>
          <w:ilvl w:val="0"/>
          <w:numId w:val="22"/>
        </w:numPr>
        <w:tabs>
          <w:tab w:pos="400" w:val="left" w:leader="none"/>
        </w:tabs>
        <w:spacing w:line="208" w:lineRule="auto" w:before="0" w:after="0"/>
        <w:ind w:left="398" w:right="271" w:hanging="240"/>
        <w:jc w:val="left"/>
        <w:rPr>
          <w:sz w:val="12"/>
        </w:rPr>
      </w:pPr>
      <w:r>
        <w:rPr>
          <w:sz w:val="12"/>
        </w:rPr>
        <w:t>Numbers reported are survey balances. An increase suggests a rise in the proportion</w:t>
      </w:r>
      <w:r>
        <w:rPr>
          <w:spacing w:val="-4"/>
          <w:sz w:val="12"/>
        </w:rPr>
        <w:t> </w:t>
      </w:r>
      <w:r>
        <w:rPr>
          <w:sz w:val="12"/>
        </w:rPr>
        <w:t>of</w:t>
      </w:r>
      <w:r>
        <w:rPr>
          <w:spacing w:val="-3"/>
          <w:sz w:val="12"/>
        </w:rPr>
        <w:t> </w:t>
      </w:r>
      <w:r>
        <w:rPr>
          <w:sz w:val="12"/>
        </w:rPr>
        <w:t>respondents</w:t>
      </w:r>
      <w:r>
        <w:rPr>
          <w:spacing w:val="-3"/>
          <w:sz w:val="12"/>
        </w:rPr>
        <w:t> </w:t>
      </w:r>
      <w:r>
        <w:rPr>
          <w:sz w:val="12"/>
        </w:rPr>
        <w:t>reporting</w:t>
      </w:r>
      <w:r>
        <w:rPr>
          <w:spacing w:val="-2"/>
          <w:sz w:val="12"/>
        </w:rPr>
        <w:t> </w:t>
      </w:r>
      <w:r>
        <w:rPr>
          <w:sz w:val="12"/>
        </w:rPr>
        <w:t>‘higher’</w:t>
      </w:r>
      <w:r>
        <w:rPr>
          <w:spacing w:val="-11"/>
          <w:sz w:val="12"/>
        </w:rPr>
        <w:t> </w:t>
      </w:r>
      <w:r>
        <w:rPr>
          <w:sz w:val="12"/>
        </w:rPr>
        <w:t>relative</w:t>
      </w:r>
      <w:r>
        <w:rPr>
          <w:spacing w:val="-3"/>
          <w:sz w:val="12"/>
        </w:rPr>
        <w:t> </w:t>
      </w:r>
      <w:r>
        <w:rPr>
          <w:sz w:val="12"/>
        </w:rPr>
        <w:t>to</w:t>
      </w:r>
      <w:r>
        <w:rPr>
          <w:spacing w:val="-2"/>
          <w:sz w:val="12"/>
        </w:rPr>
        <w:t> </w:t>
      </w:r>
      <w:r>
        <w:rPr>
          <w:sz w:val="12"/>
        </w:rPr>
        <w:t>‘lower’.</w:t>
      </w:r>
    </w:p>
    <w:p>
      <w:pPr>
        <w:pStyle w:val="ListParagraph"/>
        <w:numPr>
          <w:ilvl w:val="0"/>
          <w:numId w:val="22"/>
        </w:numPr>
        <w:tabs>
          <w:tab w:pos="400" w:val="left" w:leader="none"/>
        </w:tabs>
        <w:spacing w:line="208" w:lineRule="auto" w:before="0" w:after="0"/>
        <w:ind w:left="398" w:right="376" w:hanging="240"/>
        <w:jc w:val="left"/>
        <w:rPr>
          <w:sz w:val="12"/>
        </w:rPr>
      </w:pPr>
      <w:r>
        <w:rPr>
          <w:sz w:val="12"/>
        </w:rPr>
        <w:t>CBI since 1975; CIPS since 1992; BCC since 1989; EEF since 1994; Dun &amp; Bradstreet since</w:t>
      </w:r>
      <w:r>
        <w:rPr>
          <w:spacing w:val="-6"/>
          <w:sz w:val="12"/>
        </w:rPr>
        <w:t> </w:t>
      </w:r>
      <w:r>
        <w:rPr>
          <w:sz w:val="12"/>
        </w:rPr>
        <w:t>1989.</w:t>
      </w:r>
    </w:p>
    <w:p>
      <w:pPr>
        <w:pStyle w:val="ListParagraph"/>
        <w:numPr>
          <w:ilvl w:val="0"/>
          <w:numId w:val="22"/>
        </w:numPr>
        <w:tabs>
          <w:tab w:pos="400" w:val="left" w:leader="none"/>
        </w:tabs>
        <w:spacing w:line="208" w:lineRule="auto" w:before="0" w:after="0"/>
        <w:ind w:left="398" w:right="38" w:hanging="240"/>
        <w:jc w:val="left"/>
        <w:rPr>
          <w:sz w:val="12"/>
        </w:rPr>
      </w:pPr>
      <w:r>
        <w:rPr>
          <w:spacing w:val="-3"/>
          <w:sz w:val="12"/>
        </w:rPr>
        <w:t>Average </w:t>
      </w:r>
      <w:r>
        <w:rPr>
          <w:sz w:val="12"/>
        </w:rPr>
        <w:t>of seasonally adjusted monthly indices. A reading above 50 suggests expansion, a reading below 50 suggests</w:t>
      </w:r>
      <w:r>
        <w:rPr>
          <w:spacing w:val="-10"/>
          <w:sz w:val="12"/>
        </w:rPr>
        <w:t> </w:t>
      </w:r>
      <w:r>
        <w:rPr>
          <w:sz w:val="12"/>
        </w:rPr>
        <w:t>contraction.</w:t>
      </w:r>
    </w:p>
    <w:p>
      <w:pPr>
        <w:pStyle w:val="BodyText"/>
        <w:rPr>
          <w:sz w:val="12"/>
        </w:rPr>
      </w:pPr>
    </w:p>
    <w:p>
      <w:pPr>
        <w:pStyle w:val="BodyText"/>
        <w:rPr>
          <w:sz w:val="12"/>
        </w:rPr>
      </w:pPr>
    </w:p>
    <w:p>
      <w:pPr>
        <w:pStyle w:val="BodyText"/>
        <w:rPr>
          <w:sz w:val="12"/>
        </w:rPr>
      </w:pPr>
    </w:p>
    <w:p>
      <w:pPr>
        <w:spacing w:line="249" w:lineRule="auto" w:before="77"/>
        <w:ind w:left="199" w:right="1793" w:firstLine="0"/>
        <w:jc w:val="left"/>
        <w:rPr>
          <w:b/>
          <w:sz w:val="20"/>
        </w:rPr>
      </w:pPr>
      <w:r>
        <w:rPr>
          <w:b/>
          <w:color w:val="0092C7"/>
          <w:sz w:val="20"/>
        </w:rPr>
        <w:t>Chart 2.17 Manufacturing growth</w:t>
      </w:r>
    </w:p>
    <w:p>
      <w:pPr>
        <w:tabs>
          <w:tab w:pos="2183" w:val="left" w:leader="none"/>
        </w:tabs>
        <w:spacing w:before="53"/>
        <w:ind w:left="221" w:right="0" w:firstLine="0"/>
        <w:jc w:val="left"/>
        <w:rPr>
          <w:sz w:val="12"/>
        </w:rPr>
      </w:pPr>
      <w:r>
        <w:rPr>
          <w:b/>
          <w:position w:val="2"/>
          <w:sz w:val="16"/>
        </w:rPr>
        <w:t>United</w:t>
      </w:r>
      <w:r>
        <w:rPr>
          <w:b/>
          <w:spacing w:val="-1"/>
          <w:position w:val="2"/>
          <w:sz w:val="16"/>
        </w:rPr>
        <w:t> </w:t>
      </w:r>
      <w:r>
        <w:rPr>
          <w:b/>
          <w:position w:val="2"/>
          <w:sz w:val="16"/>
        </w:rPr>
        <w:t>Kingdom</w:t>
        <w:tab/>
      </w:r>
      <w:r>
        <w:rPr>
          <w:sz w:val="12"/>
        </w:rPr>
        <w:t>Annual percentage changes</w:t>
      </w:r>
    </w:p>
    <w:p>
      <w:pPr>
        <w:spacing w:before="30"/>
        <w:ind w:left="0" w:right="498" w:firstLine="0"/>
        <w:jc w:val="right"/>
        <w:rPr>
          <w:sz w:val="12"/>
        </w:rPr>
      </w:pPr>
      <w:r>
        <w:rPr/>
        <w:pict>
          <v:line style="position:absolute;mso-position-horizontal-relative:page;mso-position-vertical-relative:paragraph;z-index:15949824" from="47.847pt,5.264977pt" to="43.513pt,5.264977pt" stroked="true" strokeweight=".5pt" strokecolor="#000000">
            <v:stroke dashstyle="solid"/>
            <w10:wrap type="none"/>
          </v:line>
        </w:pict>
      </w:r>
      <w:r>
        <w:rPr/>
        <w:pict>
          <v:line style="position:absolute;mso-position-horizontal-relative:page;mso-position-vertical-relative:paragraph;z-index:15956480" from="207.046997pt,4.873977pt" to="202.712997pt,4.873977pt" stroked="true" strokeweight=".5pt" strokecolor="#000000">
            <v:stroke dashstyle="solid"/>
            <w10:wrap type="none"/>
          </v:line>
        </w:pict>
      </w:r>
      <w:r>
        <w:rPr>
          <w:sz w:val="12"/>
        </w:rPr>
        <w:t>60</w:t>
      </w:r>
    </w:p>
    <w:p>
      <w:pPr>
        <w:spacing w:before="72"/>
        <w:ind w:left="3562" w:right="0" w:firstLine="0"/>
        <w:jc w:val="left"/>
        <w:rPr>
          <w:sz w:val="12"/>
        </w:rPr>
      </w:pPr>
      <w:r>
        <w:rPr/>
        <w:pict>
          <v:line style="position:absolute;mso-position-horizontal-relative:page;mso-position-vertical-relative:paragraph;z-index:15950336" from="47.847pt,7.771946pt" to="43.513pt,7.771946pt" stroked="true" strokeweight=".5pt" strokecolor="#000000">
            <v:stroke dashstyle="solid"/>
            <w10:wrap type="none"/>
          </v:line>
        </w:pict>
      </w:r>
      <w:r>
        <w:rPr/>
        <w:pict>
          <v:line style="position:absolute;mso-position-horizontal-relative:page;mso-position-vertical-relative:paragraph;z-index:15956992" from="207.046997pt,7.380946pt" to="202.712997pt,7.380946pt" stroked="true" strokeweight=".5pt" strokecolor="#000000">
            <v:stroke dashstyle="solid"/>
            <w10:wrap type="none"/>
          </v:line>
        </w:pict>
      </w:r>
      <w:r>
        <w:rPr>
          <w:sz w:val="12"/>
        </w:rPr>
        <w:t>50</w:t>
      </w:r>
    </w:p>
    <w:p>
      <w:pPr>
        <w:spacing w:before="60"/>
        <w:ind w:left="3562" w:right="0" w:firstLine="0"/>
        <w:jc w:val="left"/>
        <w:rPr>
          <w:sz w:val="12"/>
        </w:rPr>
      </w:pPr>
      <w:r>
        <w:rPr/>
        <w:pict>
          <v:line style="position:absolute;mso-position-horizontal-relative:page;mso-position-vertical-relative:paragraph;z-index:15946752" from="47.847pt,6.510159pt" to="43.513pt,6.510159pt" stroked="true" strokeweight=".5pt" strokecolor="#000000">
            <v:stroke dashstyle="solid"/>
            <w10:wrap type="none"/>
          </v:line>
        </w:pict>
      </w:r>
      <w:r>
        <w:rPr/>
        <w:pict>
          <v:line style="position:absolute;mso-position-horizontal-relative:page;mso-position-vertical-relative:paragraph;z-index:15953920" from="207.046997pt,6.11916pt" to="202.712997pt,6.11916pt" stroked="true" strokeweight=".5pt" strokecolor="#000000">
            <v:stroke dashstyle="solid"/>
            <w10:wrap type="none"/>
          </v:line>
        </w:pict>
      </w:r>
      <w:r>
        <w:rPr>
          <w:sz w:val="12"/>
        </w:rPr>
        <w:t>40</w:t>
      </w:r>
    </w:p>
    <w:p>
      <w:pPr>
        <w:spacing w:before="69"/>
        <w:ind w:left="3562" w:right="0" w:firstLine="0"/>
        <w:jc w:val="left"/>
        <w:rPr>
          <w:sz w:val="12"/>
        </w:rPr>
      </w:pPr>
      <w:r>
        <w:rPr/>
        <w:pict>
          <v:group style="position:absolute;margin-left:52.029999pt;margin-top:2.899187pt;width:145.15pt;height:38.450pt;mso-position-horizontal-relative:page;mso-position-vertical-relative:paragraph;z-index:-22709248" coordorigin="1041,58" coordsize="2903,769">
            <v:shape style="position:absolute;left:1050;top:374;width:1760;height:408" coordorigin="1051,374" coordsize="1760,408" path="m1051,594l1216,689m1216,689l1371,782m1371,782l1536,757m1536,757l1688,559m1688,559l1853,502m1853,502l2008,524m2008,524l2173,432m2173,432l2328,502m2328,502l2493,524m2493,524l2658,409m2658,409l2811,374e" filled="false" stroked="true" strokeweight="1pt" strokecolor="#44af34">
              <v:path arrowok="t"/>
              <v:stroke dashstyle="solid"/>
            </v:shape>
            <v:line style="position:absolute" from="2801,368" to="2986,368" stroked="true" strokeweight="1.625pt" strokecolor="#44af34">
              <v:stroke dashstyle="solid"/>
            </v:line>
            <v:shape style="position:absolute;left:2975;top:211;width:958;height:360" coordorigin="2976,212" coordsize="958,360" path="m2976,362l3131,397m3131,397l3296,467m3296,467l3451,549m3451,549l3616,572m3616,572l3768,387m3768,387l3933,212e" filled="false" stroked="true" strokeweight="1pt" strokecolor="#44af34">
              <v:path arrowok="t"/>
              <v:stroke dashstyle="solid"/>
            </v:shape>
            <v:shape style="position:absolute;left:1040;top:762;width:340;height:2" coordorigin="1041,763" coordsize="340,0" path="m1041,763l1226,763m1206,763l1381,763e" filled="false" stroked="true" strokeweight="1.625pt" strokecolor="#de0035">
              <v:path arrowok="t"/>
              <v:stroke dashstyle="solid"/>
            </v:shape>
            <v:line style="position:absolute" from="1361,752" to="1546,752" stroked="true" strokeweight="1.5pt" strokecolor="#de0035">
              <v:stroke dashstyle="solid"/>
            </v:line>
            <v:shape style="position:absolute;left:1525;top:747;width:338;height:2" coordorigin="1526,748" coordsize="338,0" path="m1526,748l1698,748m1678,748l1863,748e" filled="false" stroked="true" strokeweight="1.125pt" strokecolor="#de0035">
              <v:path arrowok="t"/>
              <v:stroke dashstyle="solid"/>
            </v:shape>
            <v:line style="position:absolute" from="1843,740" to="2018,740" stroked="true" strokeweight="1.625pt" strokecolor="#de0035">
              <v:stroke dashstyle="solid"/>
            </v:line>
            <v:line style="position:absolute" from="2008,734" to="2173,757" stroked="true" strokeweight="1pt" strokecolor="#de0035">
              <v:stroke dashstyle="solid"/>
            </v:line>
            <v:line style="position:absolute" from="2163,758" to="2338,758" stroked="true" strokeweight="1.125pt" strokecolor="#de0035">
              <v:stroke dashstyle="solid"/>
            </v:line>
            <v:line style="position:absolute" from="2318,752" to="2503,752" stroked="true" strokeweight="1.5pt" strokecolor="#de0035">
              <v:stroke dashstyle="solid"/>
            </v:line>
            <v:shape style="position:absolute;left:2493;top:734;width:1440;height:83" coordorigin="2493,734" coordsize="1440,83" path="m2493,747l2658,769m2658,769l2811,792m2811,792l2976,817m3131,817l3296,769m3296,769l3451,734m3616,734l3768,757m3768,757l3933,792e" filled="false" stroked="true" strokeweight="1pt" strokecolor="#de0035">
              <v:path arrowok="t"/>
              <v:stroke dashstyle="solid"/>
            </v:shape>
            <v:line style="position:absolute" from="1046,753" to="3942,753" stroked="true" strokeweight=".5pt" strokecolor="#000000">
              <v:stroke dashstyle="solid"/>
            </v:line>
            <v:shape style="position:absolute;left:1040;top:57;width:2903;height:769" type="#_x0000_t202" filled="false" stroked="false">
              <v:textbox inset="0,0,0,0">
                <w:txbxContent>
                  <w:p>
                    <w:pPr>
                      <w:spacing w:line="206" w:lineRule="auto" w:before="40"/>
                      <w:ind w:left="1037" w:right="353" w:hanging="32"/>
                      <w:jc w:val="left"/>
                      <w:rPr>
                        <w:sz w:val="12"/>
                      </w:rPr>
                    </w:pPr>
                    <w:r>
                      <w:rPr>
                        <w:sz w:val="12"/>
                      </w:rPr>
                      <w:t>Computing, electronics and communications equipment (a)</w:t>
                    </w:r>
                  </w:p>
                  <w:p>
                    <w:pPr>
                      <w:spacing w:line="240" w:lineRule="auto" w:before="0"/>
                      <w:rPr>
                        <w:sz w:val="12"/>
                      </w:rPr>
                    </w:pPr>
                  </w:p>
                  <w:p>
                    <w:pPr>
                      <w:tabs>
                        <w:tab w:pos="2399" w:val="left" w:leader="none"/>
                      </w:tabs>
                      <w:spacing w:before="99"/>
                      <w:ind w:left="1924" w:right="0" w:firstLine="0"/>
                      <w:jc w:val="left"/>
                      <w:rPr>
                        <w:sz w:val="16"/>
                      </w:rPr>
                    </w:pPr>
                    <w:r>
                      <w:rPr>
                        <w:sz w:val="16"/>
                        <w:u w:val="thick" w:color="DE0035"/>
                      </w:rPr>
                      <w:t>   </w:t>
                    </w:r>
                    <w:r>
                      <w:rPr>
                        <w:spacing w:val="15"/>
                        <w:sz w:val="16"/>
                        <w:u w:val="thick" w:color="DE0035"/>
                      </w:rPr>
                      <w:t> </w:t>
                    </w:r>
                    <w:r>
                      <w:rPr>
                        <w:sz w:val="16"/>
                      </w:rPr>
                      <w:tab/>
                    </w:r>
                    <w:r>
                      <w:rPr>
                        <w:sz w:val="16"/>
                        <w:u w:val="thick" w:color="DE0035"/>
                      </w:rPr>
                      <w:t> </w:t>
                    </w:r>
                    <w:r>
                      <w:rPr>
                        <w:spacing w:val="-15"/>
                        <w:sz w:val="16"/>
                        <w:u w:val="thick" w:color="DE0035"/>
                      </w:rPr>
                      <w:t> </w:t>
                    </w:r>
                  </w:p>
                </w:txbxContent>
              </v:textbox>
              <w10:wrap type="none"/>
            </v:shape>
            <w10:wrap type="none"/>
          </v:group>
        </w:pict>
      </w:r>
      <w:r>
        <w:rPr/>
        <w:pict>
          <v:line style="position:absolute;mso-position-horizontal-relative:page;mso-position-vertical-relative:paragraph;z-index:15947264" from="47.847pt,7.491946pt" to="43.513pt,7.491946pt" stroked="true" strokeweight=".5pt" strokecolor="#000000">
            <v:stroke dashstyle="solid"/>
            <w10:wrap type="none"/>
          </v:line>
        </w:pict>
      </w:r>
      <w:r>
        <w:rPr/>
        <w:pict>
          <v:line style="position:absolute;mso-position-horizontal-relative:page;mso-position-vertical-relative:paragraph;z-index:15954432" from="207.046997pt,7.100946pt" to="202.712997pt,7.100946pt" stroked="true" strokeweight=".5pt" strokecolor="#000000">
            <v:stroke dashstyle="solid"/>
            <w10:wrap type="none"/>
          </v:line>
        </w:pict>
      </w:r>
      <w:r>
        <w:rPr>
          <w:sz w:val="12"/>
        </w:rPr>
        <w:t>30</w:t>
      </w:r>
    </w:p>
    <w:p>
      <w:pPr>
        <w:spacing w:before="72"/>
        <w:ind w:left="3562" w:right="0" w:firstLine="0"/>
        <w:jc w:val="left"/>
        <w:rPr>
          <w:sz w:val="12"/>
        </w:rPr>
      </w:pPr>
      <w:r>
        <w:rPr/>
        <w:pict>
          <v:line style="position:absolute;mso-position-horizontal-relative:page;mso-position-vertical-relative:paragraph;z-index:15947776" from="47.847pt,6.500946pt" to="43.513pt,6.500946pt" stroked="true" strokeweight=".5pt" strokecolor="#000000">
            <v:stroke dashstyle="solid"/>
            <w10:wrap type="none"/>
          </v:line>
        </w:pict>
      </w:r>
      <w:r>
        <w:rPr/>
        <w:pict>
          <v:line style="position:absolute;mso-position-horizontal-relative:page;mso-position-vertical-relative:paragraph;z-index:15954944" from="207.046997pt,6.108946pt" to="202.712997pt,6.108946pt" stroked="true" strokeweight=".5pt" strokecolor="#000000">
            <v:stroke dashstyle="solid"/>
            <w10:wrap type="none"/>
          </v:line>
        </w:pict>
      </w:r>
      <w:r>
        <w:rPr>
          <w:sz w:val="12"/>
        </w:rPr>
        <w:t>20</w:t>
      </w:r>
    </w:p>
    <w:p>
      <w:pPr>
        <w:spacing w:line="111" w:lineRule="exact" w:before="72"/>
        <w:ind w:left="3562" w:right="0" w:firstLine="0"/>
        <w:jc w:val="left"/>
        <w:rPr>
          <w:sz w:val="12"/>
        </w:rPr>
      </w:pPr>
      <w:r>
        <w:rPr/>
        <w:pict>
          <v:line style="position:absolute;mso-position-horizontal-relative:page;mso-position-vertical-relative:paragraph;z-index:15948288" from="47.847pt,6.908946pt" to="43.513pt,6.908946pt" stroked="true" strokeweight=".5pt" strokecolor="#000000">
            <v:stroke dashstyle="solid"/>
            <w10:wrap type="none"/>
          </v:line>
        </w:pict>
      </w:r>
      <w:r>
        <w:rPr/>
        <w:pict>
          <v:line style="position:absolute;mso-position-horizontal-relative:page;mso-position-vertical-relative:paragraph;z-index:15955456" from="207.046997pt,6.516946pt" to="202.712997pt,6.516946pt" stroked="true" strokeweight=".5pt" strokecolor="#000000">
            <v:stroke dashstyle="solid"/>
            <w10:wrap type="none"/>
          </v:line>
        </w:pict>
      </w:r>
      <w:r>
        <w:rPr>
          <w:sz w:val="12"/>
        </w:rPr>
        <w:t>10</w:t>
      </w:r>
    </w:p>
    <w:p>
      <w:pPr>
        <w:spacing w:line="110" w:lineRule="auto" w:before="15"/>
        <w:ind w:left="3414" w:right="0" w:firstLine="0"/>
        <w:jc w:val="left"/>
        <w:rPr>
          <w:sz w:val="12"/>
        </w:rPr>
      </w:pPr>
      <w:r>
        <w:rPr/>
        <w:pict>
          <v:line style="position:absolute;mso-position-horizontal-relative:page;mso-position-vertical-relative:paragraph;z-index:15948800" from="47.847pt,7.667012pt" to="43.513pt,7.667012pt" stroked="true" strokeweight=".5pt" strokecolor="#000000">
            <v:stroke dashstyle="solid"/>
            <w10:wrap type="none"/>
          </v:line>
        </w:pict>
      </w:r>
      <w:r>
        <w:rPr>
          <w:sz w:val="16"/>
          <w:u w:val="single"/>
        </w:rPr>
        <w:t> </w:t>
      </w:r>
      <w:r>
        <w:rPr>
          <w:spacing w:val="-22"/>
          <w:sz w:val="16"/>
          <w:u w:val="single"/>
        </w:rPr>
        <w:t> </w:t>
      </w:r>
      <w:r>
        <w:rPr>
          <w:sz w:val="16"/>
        </w:rPr>
        <w:t>+</w:t>
      </w:r>
      <w:r>
        <w:rPr>
          <w:spacing w:val="19"/>
          <w:sz w:val="16"/>
        </w:rPr>
        <w:t> </w:t>
      </w:r>
      <w:r>
        <w:rPr>
          <w:position w:val="-7"/>
          <w:sz w:val="12"/>
        </w:rPr>
        <w:t>0</w:t>
      </w:r>
    </w:p>
    <w:p>
      <w:pPr>
        <w:tabs>
          <w:tab w:pos="3482" w:val="left" w:leader="none"/>
        </w:tabs>
        <w:spacing w:line="151" w:lineRule="exact" w:before="0"/>
        <w:ind w:left="1550" w:right="0" w:firstLine="0"/>
        <w:jc w:val="left"/>
        <w:rPr>
          <w:sz w:val="16"/>
        </w:rPr>
      </w:pPr>
      <w:r>
        <w:rPr>
          <w:sz w:val="12"/>
        </w:rPr>
        <w:t>Rest of manufacturing</w:t>
        <w:tab/>
      </w:r>
      <w:r>
        <w:rPr>
          <w:position w:val="6"/>
          <w:sz w:val="16"/>
        </w:rPr>
        <w:t>_</w:t>
      </w:r>
    </w:p>
    <w:p>
      <w:pPr>
        <w:spacing w:line="104" w:lineRule="exact" w:before="0"/>
        <w:ind w:left="3562" w:right="0" w:firstLine="0"/>
        <w:jc w:val="left"/>
        <w:rPr>
          <w:sz w:val="12"/>
        </w:rPr>
      </w:pPr>
      <w:r>
        <w:rPr/>
        <w:pict>
          <v:line style="position:absolute;mso-position-horizontal-relative:page;mso-position-vertical-relative:paragraph;z-index:15949312" from="47.847pt,2.86348pt" to="43.513pt,2.86348pt" stroked="true" strokeweight=".5pt" strokecolor="#000000">
            <v:stroke dashstyle="solid"/>
            <w10:wrap type="none"/>
          </v:line>
        </w:pict>
      </w:r>
      <w:r>
        <w:rPr/>
        <w:pict>
          <v:line style="position:absolute;mso-position-horizontal-relative:page;mso-position-vertical-relative:paragraph;z-index:15955968" from="207.046997pt,2.47248pt" to="202.712997pt,2.47248pt" stroked="true" strokeweight=".5pt" strokecolor="#000000">
            <v:stroke dashstyle="solid"/>
            <w10:wrap type="none"/>
          </v:line>
        </w:pict>
      </w:r>
      <w:r>
        <w:rPr>
          <w:sz w:val="12"/>
        </w:rPr>
        <w:t>10</w:t>
      </w:r>
    </w:p>
    <w:p>
      <w:pPr>
        <w:tabs>
          <w:tab w:pos="2183" w:val="left" w:leader="none"/>
        </w:tabs>
        <w:spacing w:line="169" w:lineRule="exact" w:before="0"/>
        <w:ind w:left="237" w:right="0" w:firstLine="0"/>
        <w:jc w:val="left"/>
        <w:rPr>
          <w:sz w:val="12"/>
        </w:rPr>
      </w:pPr>
      <w:r>
        <w:rPr>
          <w:b/>
          <w:sz w:val="16"/>
        </w:rPr>
        <w:t>United</w:t>
      </w:r>
      <w:r>
        <w:rPr>
          <w:b/>
          <w:spacing w:val="-1"/>
          <w:sz w:val="16"/>
        </w:rPr>
        <w:t> </w:t>
      </w:r>
      <w:r>
        <w:rPr>
          <w:b/>
          <w:sz w:val="16"/>
        </w:rPr>
        <w:t>States</w:t>
        <w:tab/>
      </w:r>
      <w:r>
        <w:rPr>
          <w:position w:val="2"/>
          <w:sz w:val="12"/>
        </w:rPr>
        <w:t>Annual percentage changes</w:t>
      </w:r>
    </w:p>
    <w:p>
      <w:pPr>
        <w:spacing w:line="130" w:lineRule="exact" w:before="0"/>
        <w:ind w:left="3562" w:right="0" w:firstLine="0"/>
        <w:jc w:val="left"/>
        <w:rPr>
          <w:sz w:val="12"/>
        </w:rPr>
      </w:pPr>
      <w:r>
        <w:rPr/>
        <w:pict>
          <v:line style="position:absolute;mso-position-horizontal-relative:page;mso-position-vertical-relative:paragraph;z-index:15945728" from="47.847pt,2.719839pt" to="43.513pt,2.719839pt" stroked="true" strokeweight=".5pt" strokecolor="#000000">
            <v:stroke dashstyle="solid"/>
            <w10:wrap type="none"/>
          </v:line>
        </w:pict>
      </w:r>
      <w:r>
        <w:rPr/>
        <w:pict>
          <v:line style="position:absolute;mso-position-horizontal-relative:page;mso-position-vertical-relative:paragraph;z-index:15952896" from="207.046997pt,2.327839pt" to="202.712997pt,2.327839pt" stroked="true" strokeweight=".5pt" strokecolor="#000000">
            <v:stroke dashstyle="solid"/>
            <w10:wrap type="none"/>
          </v:line>
        </w:pict>
      </w:r>
      <w:r>
        <w:rPr>
          <w:sz w:val="12"/>
        </w:rPr>
        <w:t>60</w:t>
      </w:r>
    </w:p>
    <w:p>
      <w:pPr>
        <w:spacing w:before="72"/>
        <w:ind w:left="3562" w:right="0" w:firstLine="0"/>
        <w:jc w:val="left"/>
        <w:rPr>
          <w:sz w:val="12"/>
        </w:rPr>
      </w:pPr>
      <w:r>
        <w:rPr/>
        <w:pict>
          <v:group style="position:absolute;margin-left:52.279999pt;margin-top:4.35116pt;width:144.65pt;height:17.25pt;mso-position-horizontal-relative:page;mso-position-vertical-relative:paragraph;z-index:15942656" coordorigin="1046,87" coordsize="2893,345">
            <v:line style="position:absolute" from="1046,365" to="1226,365" stroked="true" strokeweight="1.5pt" strokecolor="#44af34">
              <v:stroke dashstyle="solid"/>
            </v:line>
            <v:shape style="position:absolute;left:1215;top:97;width:2713;height:325" coordorigin="1216,97" coordsize="2713,325" path="m1216,360l1378,317m1378,317l1538,360m1538,360l1691,337m1691,337l1851,307m1851,307l2013,327m2013,327l2173,412m2173,412l2336,347m2336,347l2498,422m2498,422l2648,327m2648,327l2811,265m2811,265l2971,360m2971,360l3133,265m3133,265l3293,347m3293,347l3456,390m3456,390l3606,202m3606,202l3768,117m3768,117l3928,97e" filled="false" stroked="true" strokeweight="1pt" strokecolor="#44af34">
              <v:path arrowok="t"/>
              <v:stroke dashstyle="solid"/>
            </v:shape>
            <w10:wrap type="none"/>
          </v:group>
        </w:pict>
      </w:r>
      <w:r>
        <w:rPr/>
        <w:pict>
          <v:line style="position:absolute;mso-position-horizontal-relative:page;mso-position-vertical-relative:paragraph;z-index:15946240" from="47.847pt,7.13016pt" to="43.513pt,7.13016pt" stroked="true" strokeweight=".5pt" strokecolor="#000000">
            <v:stroke dashstyle="solid"/>
            <w10:wrap type="none"/>
          </v:line>
        </w:pict>
      </w:r>
      <w:r>
        <w:rPr/>
        <w:pict>
          <v:line style="position:absolute;mso-position-horizontal-relative:page;mso-position-vertical-relative:paragraph;z-index:15953408" from="207.046997pt,6.73916pt" to="202.712997pt,6.73916pt" stroked="true" strokeweight=".5pt" strokecolor="#000000">
            <v:stroke dashstyle="solid"/>
            <w10:wrap type="none"/>
          </v:line>
        </w:pict>
      </w:r>
      <w:r>
        <w:rPr>
          <w:sz w:val="12"/>
        </w:rPr>
        <w:t>50</w:t>
      </w:r>
    </w:p>
    <w:p>
      <w:pPr>
        <w:spacing w:before="62"/>
        <w:ind w:left="3562" w:right="0" w:firstLine="0"/>
        <w:jc w:val="left"/>
        <w:rPr>
          <w:sz w:val="12"/>
        </w:rPr>
      </w:pPr>
      <w:r>
        <w:rPr/>
        <w:pict>
          <v:line style="position:absolute;mso-position-horizontal-relative:page;mso-position-vertical-relative:paragraph;z-index:15944192" from="47.847pt,5.842946pt" to="43.513pt,5.842946pt" stroked="true" strokeweight=".5pt" strokecolor="#000000">
            <v:stroke dashstyle="solid"/>
            <w10:wrap type="none"/>
          </v:line>
        </w:pict>
      </w:r>
      <w:r>
        <w:rPr/>
        <w:pict>
          <v:line style="position:absolute;mso-position-horizontal-relative:page;mso-position-vertical-relative:paragraph;z-index:15950848" from="207.046997pt,5.451946pt" to="202.712997pt,5.451946pt" stroked="true" strokeweight=".5pt" strokecolor="#000000">
            <v:stroke dashstyle="solid"/>
            <w10:wrap type="none"/>
          </v:line>
        </w:pict>
      </w:r>
      <w:r>
        <w:rPr>
          <w:sz w:val="12"/>
        </w:rPr>
        <w:t>40</w:t>
      </w:r>
    </w:p>
    <w:p>
      <w:pPr>
        <w:spacing w:line="189" w:lineRule="auto" w:before="38"/>
        <w:ind w:left="814" w:right="2020" w:hanging="64"/>
        <w:jc w:val="left"/>
        <w:rPr>
          <w:sz w:val="12"/>
        </w:rPr>
      </w:pPr>
      <w:r>
        <w:rPr/>
        <w:pict>
          <v:line style="position:absolute;mso-position-horizontal-relative:page;mso-position-vertical-relative:paragraph;z-index:15944704" from="47.847pt,6.724296pt" to="43.513pt,6.724296pt" stroked="true" strokeweight=".5pt" strokecolor="#000000">
            <v:stroke dashstyle="solid"/>
            <w10:wrap type="none"/>
          </v:line>
        </w:pict>
      </w:r>
      <w:r>
        <w:rPr/>
        <w:pict>
          <v:line style="position:absolute;mso-position-horizontal-relative:page;mso-position-vertical-relative:paragraph;z-index:15951360" from="207.046997pt,6.333295pt" to="202.712997pt,6.333295pt" stroked="true" strokeweight=".5pt" strokecolor="#000000">
            <v:stroke dashstyle="solid"/>
            <w10:wrap type="none"/>
          </v:line>
        </w:pict>
      </w:r>
      <w:r>
        <w:rPr/>
        <w:pict>
          <v:shape style="position:absolute;margin-left:210.130402pt;margin-top:3.828021pt;width:6pt;height:6.65pt;mso-position-horizontal-relative:page;mso-position-vertical-relative:paragraph;z-index:15961600" type="#_x0000_t202" filled="false" stroked="false">
            <v:textbox inset="0,0,0,0">
              <w:txbxContent>
                <w:p>
                  <w:pPr>
                    <w:spacing w:line="133" w:lineRule="exact" w:before="0"/>
                    <w:ind w:left="0" w:right="0" w:firstLine="0"/>
                    <w:jc w:val="left"/>
                    <w:rPr>
                      <w:sz w:val="12"/>
                    </w:rPr>
                  </w:pPr>
                  <w:r>
                    <w:rPr>
                      <w:sz w:val="12"/>
                    </w:rPr>
                    <w:t>30</w:t>
                  </w:r>
                </w:p>
              </w:txbxContent>
            </v:textbox>
            <w10:wrap type="none"/>
          </v:shape>
        </w:pict>
      </w:r>
      <w:r>
        <w:rPr>
          <w:sz w:val="12"/>
        </w:rPr>
        <w:t>Computing, electronics and communications equipment</w:t>
      </w:r>
    </w:p>
    <w:p>
      <w:pPr>
        <w:spacing w:before="16"/>
        <w:ind w:left="3562" w:right="0" w:firstLine="0"/>
        <w:jc w:val="left"/>
        <w:rPr>
          <w:sz w:val="12"/>
        </w:rPr>
      </w:pPr>
      <w:r>
        <w:rPr/>
        <w:pict>
          <v:line style="position:absolute;mso-position-horizontal-relative:page;mso-position-vertical-relative:paragraph;z-index:15945216" from="47.847pt,3.308763pt" to="43.513pt,3.308763pt" stroked="true" strokeweight=".5pt" strokecolor="#000000">
            <v:stroke dashstyle="solid"/>
            <w10:wrap type="none"/>
          </v:line>
        </w:pict>
      </w:r>
      <w:r>
        <w:rPr/>
        <w:pict>
          <v:line style="position:absolute;mso-position-horizontal-relative:page;mso-position-vertical-relative:paragraph;z-index:15951872" from="207.046997pt,2.916763pt" to="202.712997pt,2.916763pt" stroked="true" strokeweight=".5pt" strokecolor="#000000">
            <v:stroke dashstyle="solid"/>
            <w10:wrap type="none"/>
          </v:line>
        </w:pict>
      </w:r>
      <w:r>
        <w:rPr>
          <w:sz w:val="12"/>
        </w:rPr>
        <w:t>20</w:t>
      </w:r>
    </w:p>
    <w:p>
      <w:pPr>
        <w:pStyle w:val="BodyText"/>
        <w:spacing w:before="2"/>
        <w:rPr>
          <w:sz w:val="10"/>
        </w:rPr>
      </w:pPr>
    </w:p>
    <w:p>
      <w:pPr>
        <w:tabs>
          <w:tab w:pos="3409" w:val="left" w:leader="none"/>
        </w:tabs>
        <w:spacing w:line="20" w:lineRule="exact"/>
        <w:ind w:left="225" w:right="0" w:firstLine="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pStyle w:val="BodyText"/>
        <w:spacing w:line="242" w:lineRule="auto" w:before="212"/>
        <w:ind w:left="158" w:right="534"/>
      </w:pPr>
      <w:r>
        <w:rPr/>
        <w:br w:type="column"/>
      </w:r>
      <w:r>
        <w:rPr/>
        <w:t>from the Bank’s regional Agents generally point to continued moderate manufacturing growth in the near term. However, recent CIPS surveys have noted that fuel supply disruptions perhaps depressed manufacturing output in September and that growth slowed further in October.</w:t>
      </w:r>
    </w:p>
    <w:p>
      <w:pPr>
        <w:pStyle w:val="BodyText"/>
        <w:spacing w:before="6"/>
        <w:rPr>
          <w:sz w:val="21"/>
        </w:rPr>
      </w:pPr>
    </w:p>
    <w:p>
      <w:pPr>
        <w:pStyle w:val="BodyText"/>
        <w:spacing w:line="242" w:lineRule="auto"/>
        <w:ind w:left="158" w:right="195" w:hanging="1"/>
      </w:pPr>
      <w:r>
        <w:rPr/>
        <w:t>Previous </w:t>
      </w:r>
      <w:r>
        <w:rPr>
          <w:i/>
        </w:rPr>
        <w:t>Reports </w:t>
      </w:r>
      <w:r>
        <w:rPr/>
        <w:t>have noted that output in recent years has tended to be strongest in sectors primarily orientated towards domestic markets. By contrast, sectors heavily exposed to international competition have generally fared less well, reflecting the impact of the sharp appreciation of sterling on their competitiveness. But sectoral growth patterns indicate that other forces have also been at work. For example predominantly</w:t>
      </w:r>
    </w:p>
    <w:p>
      <w:pPr>
        <w:pStyle w:val="BodyText"/>
        <w:spacing w:line="242" w:lineRule="auto" w:before="10"/>
        <w:ind w:left="158" w:right="309"/>
      </w:pPr>
      <w:r>
        <w:rPr/>
        <w:t>high-technology sectors within manufacturing, such as computing, electronics and communications equipment industries, have grown rapidly recently despite being exposed to strong international competition (see</w:t>
      </w:r>
    </w:p>
    <w:p>
      <w:pPr>
        <w:pStyle w:val="BodyText"/>
        <w:spacing w:before="5"/>
        <w:ind w:left="158"/>
      </w:pPr>
      <w:r>
        <w:rPr/>
        <w:t>Chart 2.17).</w:t>
      </w:r>
    </w:p>
    <w:p>
      <w:pPr>
        <w:pStyle w:val="BodyText"/>
        <w:spacing w:before="3"/>
        <w:rPr>
          <w:sz w:val="21"/>
        </w:rPr>
      </w:pPr>
    </w:p>
    <w:p>
      <w:pPr>
        <w:pStyle w:val="BodyText"/>
        <w:spacing w:line="242" w:lineRule="auto"/>
        <w:ind w:left="158" w:right="161"/>
      </w:pPr>
      <w:r>
        <w:rPr/>
        <w:t>This trend has been </w:t>
      </w:r>
      <w:r>
        <w:rPr>
          <w:spacing w:val="-3"/>
        </w:rPr>
        <w:t>even </w:t>
      </w:r>
      <w:r>
        <w:rPr/>
        <w:t>more marked in the United States, which has also seen a large appreciation in its exchange rate in recent years.  That may partly reflect the</w:t>
      </w:r>
      <w:r>
        <w:rPr>
          <w:spacing w:val="-9"/>
        </w:rPr>
        <w:t> </w:t>
      </w:r>
      <w:r>
        <w:rPr/>
        <w:t>relatively</w:t>
      </w:r>
      <w:r>
        <w:rPr>
          <w:spacing w:val="-8"/>
        </w:rPr>
        <w:t> </w:t>
      </w:r>
      <w:r>
        <w:rPr/>
        <w:t>lower</w:t>
      </w:r>
      <w:r>
        <w:rPr>
          <w:spacing w:val="-8"/>
        </w:rPr>
        <w:t> </w:t>
      </w:r>
      <w:r>
        <w:rPr/>
        <w:t>dependence</w:t>
      </w:r>
      <w:r>
        <w:rPr>
          <w:spacing w:val="-8"/>
        </w:rPr>
        <w:t> </w:t>
      </w:r>
      <w:r>
        <w:rPr/>
        <w:t>of</w:t>
      </w:r>
      <w:r>
        <w:rPr>
          <w:spacing w:val="-8"/>
        </w:rPr>
        <w:t> </w:t>
      </w:r>
      <w:r>
        <w:rPr/>
        <w:t>the</w:t>
      </w:r>
      <w:r>
        <w:rPr>
          <w:spacing w:val="-9"/>
        </w:rPr>
        <w:t> </w:t>
      </w:r>
      <w:r>
        <w:rPr/>
        <w:t>US</w:t>
      </w:r>
      <w:r>
        <w:rPr>
          <w:spacing w:val="-8"/>
        </w:rPr>
        <w:t> </w:t>
      </w:r>
      <w:r>
        <w:rPr/>
        <w:t>manufacturing sector on international trade. It is also possible that international variations in measured growth in these sectors might partly reflect cross-country differences in the measurement of real output. The United</w:t>
      </w:r>
      <w:r>
        <w:rPr>
          <w:spacing w:val="-26"/>
        </w:rPr>
        <w:t> </w:t>
      </w:r>
      <w:r>
        <w:rPr/>
        <w:t>States</w:t>
      </w:r>
    </w:p>
    <w:p>
      <w:pPr>
        <w:spacing w:after="0" w:line="242" w:lineRule="auto"/>
        <w:sectPr>
          <w:type w:val="continuous"/>
          <w:pgSz w:w="11900" w:h="16840"/>
          <w:pgMar w:top="1260" w:bottom="280" w:left="640" w:right="640"/>
          <w:cols w:num="2" w:equalWidth="0">
            <w:col w:w="4184" w:space="637"/>
            <w:col w:w="5799"/>
          </w:cols>
        </w:sectPr>
      </w:pPr>
    </w:p>
    <w:p>
      <w:pPr>
        <w:spacing w:line="81" w:lineRule="exact" w:before="0"/>
        <w:ind w:left="728" w:right="0" w:firstLine="0"/>
        <w:jc w:val="left"/>
        <w:rPr>
          <w:sz w:val="12"/>
        </w:rPr>
      </w:pPr>
      <w:r>
        <w:rPr>
          <w:sz w:val="12"/>
          <w:u w:val="thick" w:color="DE0035"/>
        </w:rPr>
        <w:t>      </w:t>
      </w:r>
      <w:r>
        <w:rPr>
          <w:sz w:val="12"/>
        </w:rPr>
        <w:t>    </w:t>
      </w:r>
      <w:r>
        <w:rPr>
          <w:sz w:val="12"/>
          <w:u w:val="thick" w:color="DE0035"/>
        </w:rPr>
        <w:t>    Res</w:t>
      </w:r>
      <w:r>
        <w:rPr>
          <w:sz w:val="12"/>
        </w:rPr>
        <w:t>t of manufacturing</w:t>
      </w:r>
    </w:p>
    <w:p>
      <w:pPr>
        <w:spacing w:line="125" w:lineRule="exact"/>
        <w:ind w:left="225" w:right="0" w:firstLine="0"/>
        <w:rPr>
          <w:sz w:val="12"/>
        </w:rPr>
      </w:pPr>
      <w:r>
        <w:rPr>
          <w:position w:val="0"/>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position w:val="0"/>
          <w:sz w:val="2"/>
        </w:rPr>
      </w:r>
      <w:r>
        <w:rPr>
          <w:spacing w:val="22"/>
          <w:position w:val="0"/>
          <w:sz w:val="12"/>
        </w:rPr>
        <w:t> </w:t>
      </w:r>
      <w:r>
        <w:rPr>
          <w:spacing w:val="22"/>
          <w:position w:val="-2"/>
          <w:sz w:val="12"/>
        </w:rPr>
        <w:pict>
          <v:group style="width:145.050pt;height:6.25pt;mso-position-horizontal-relative:char;mso-position-vertical-relative:line" coordorigin="0,0" coordsize="2901,125">
            <v:shape style="position:absolute;left:18;top:10;width:1593;height:105" coordorigin="18,10" coordsize="1593,105" path="m18,115l178,73m178,73l340,53m500,53l653,20m975,30l1135,10m1135,10l1298,40m1298,40l1460,63m1460,63l1610,93e" filled="false" stroked="true" strokeweight="1pt" strokecolor="#de0035">
              <v:path arrowok="t"/>
              <v:stroke dashstyle="solid"/>
            </v:shape>
            <v:line style="position:absolute" from="1601,99" to="1783,99" stroked="true" strokeweight="1.625pt" strokecolor="#de0035">
              <v:stroke dashstyle="solid"/>
            </v:line>
            <v:shape style="position:absolute;left:1763;top:106;width:343;height:2" coordorigin="1763,106" coordsize="343,0" path="m1763,106l1943,106m1923,106l2106,106e" filled="false" stroked="true" strokeweight="1.125pt" strokecolor="#de0035">
              <v:path arrowok="t"/>
              <v:stroke dashstyle="solid"/>
            </v:shape>
            <v:line style="position:absolute" from="2086,99" to="2266,99" stroked="true" strokeweight="1.625pt" strokecolor="#de0035">
              <v:stroke dashstyle="solid"/>
            </v:line>
            <v:shape style="position:absolute;left:2245;top:77;width:333;height:10" coordorigin="2246,78" coordsize="333,10" path="m2246,88l2428,88m2408,78l2578,78e" filled="false" stroked="true" strokeweight="1.5pt" strokecolor="#de0035">
              <v:path arrowok="t"/>
              <v:stroke dashstyle="solid"/>
            </v:shape>
            <v:line style="position:absolute" from="2558,74" to="2740,74" stroked="true" strokeweight="1.125pt" strokecolor="#de0035">
              <v:stroke dashstyle="solid"/>
            </v:line>
            <v:line style="position:absolute" from="2720,78" to="2900,78" stroked="true" strokeweight="1.5pt" strokecolor="#de0035">
              <v:stroke dashstyle="solid"/>
            </v:line>
            <v:line style="position:absolute" from="0,101" to="2896,101" stroked="true" strokeweight=".5pt" strokecolor="#000000">
              <v:stroke dashstyle="solid"/>
            </v:line>
          </v:group>
        </w:pict>
      </w:r>
      <w:r>
        <w:rPr>
          <w:spacing w:val="22"/>
          <w:position w:val="-2"/>
          <w:sz w:val="12"/>
        </w:rPr>
      </w:r>
    </w:p>
    <w:p>
      <w:pPr>
        <w:pStyle w:val="BodyText"/>
        <w:spacing w:before="8"/>
        <w:rPr>
          <w:sz w:val="8"/>
        </w:rPr>
      </w:pPr>
    </w:p>
    <w:p>
      <w:pPr>
        <w:spacing w:line="115" w:lineRule="exact"/>
        <w:ind w:left="225" w:right="0" w:firstLine="0"/>
        <w:rPr>
          <w:sz w:val="11"/>
        </w:rPr>
      </w:pPr>
      <w:r>
        <w:rPr>
          <w:position w:val="-1"/>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position w:val="-1"/>
          <w:sz w:val="2"/>
        </w:rPr>
      </w:r>
      <w:r>
        <w:rPr>
          <w:spacing w:val="44"/>
          <w:position w:val="-1"/>
          <w:sz w:val="11"/>
        </w:rPr>
        <w:t> </w:t>
      </w:r>
      <w:r>
        <w:rPr>
          <w:spacing w:val="44"/>
          <w:position w:val="-1"/>
          <w:sz w:val="11"/>
        </w:rPr>
        <w:pict>
          <v:group style="width:145.050pt;height:5.55pt;mso-position-horizontal-relative:char;mso-position-vertical-relative:line" coordorigin="0,0" coordsize="2901,111">
            <v:shape style="position:absolute;left:5;top:0;width:2559;height:100" coordorigin="5,0" coordsize="2559,100" path="m5,47l5,100m641,47l641,100m1281,47l1281,100m2564,0l2564,100m1910,47l1910,100e" filled="false" stroked="true" strokeweight=".5pt" strokecolor="#000000">
              <v:path arrowok="t"/>
              <v:stroke dashstyle="solid"/>
            </v:shape>
            <v:line style="position:absolute" from="4,106" to="2900,106" stroked="true" strokeweight=".5pt" strokecolor="#000000">
              <v:stroke dashstyle="solid"/>
            </v:line>
          </v:group>
        </w:pict>
      </w:r>
      <w:r>
        <w:rPr>
          <w:spacing w:val="44"/>
          <w:position w:val="-1"/>
          <w:sz w:val="11"/>
        </w:rPr>
      </w:r>
    </w:p>
    <w:p>
      <w:pPr>
        <w:tabs>
          <w:tab w:pos="1303" w:val="left" w:leader="none"/>
          <w:tab w:pos="1942" w:val="left" w:leader="none"/>
          <w:tab w:pos="2529" w:val="left" w:leader="none"/>
          <w:tab w:pos="3061" w:val="left" w:leader="none"/>
        </w:tabs>
        <w:spacing w:before="57"/>
        <w:ind w:left="600" w:right="0" w:firstLine="0"/>
        <w:jc w:val="left"/>
        <w:rPr>
          <w:sz w:val="12"/>
        </w:rPr>
      </w:pPr>
      <w:r>
        <w:rPr>
          <w:sz w:val="12"/>
        </w:rPr>
        <w:t>1996</w:t>
        <w:tab/>
        <w:t>97</w:t>
        <w:tab/>
        <w:t>98</w:t>
        <w:tab/>
        <w:t>99</w:t>
        <w:tab/>
        <w:t>2000</w:t>
      </w:r>
    </w:p>
    <w:p>
      <w:pPr>
        <w:pStyle w:val="BodyText"/>
        <w:rPr>
          <w:sz w:val="15"/>
        </w:rPr>
      </w:pPr>
    </w:p>
    <w:p>
      <w:pPr>
        <w:pStyle w:val="ListParagraph"/>
        <w:numPr>
          <w:ilvl w:val="0"/>
          <w:numId w:val="23"/>
        </w:numPr>
        <w:tabs>
          <w:tab w:pos="406" w:val="left" w:leader="none"/>
        </w:tabs>
        <w:spacing w:line="208" w:lineRule="auto" w:before="1" w:after="0"/>
        <w:ind w:left="405" w:right="0" w:hanging="240"/>
        <w:jc w:val="left"/>
        <w:rPr>
          <w:sz w:val="12"/>
        </w:rPr>
      </w:pPr>
      <w:r>
        <w:rPr>
          <w:sz w:val="12"/>
        </w:rPr>
        <w:t>Defined</w:t>
      </w:r>
      <w:r>
        <w:rPr>
          <w:spacing w:val="-5"/>
          <w:sz w:val="12"/>
        </w:rPr>
        <w:t> </w:t>
      </w:r>
      <w:r>
        <w:rPr>
          <w:sz w:val="12"/>
        </w:rPr>
        <w:t>to</w:t>
      </w:r>
      <w:r>
        <w:rPr>
          <w:spacing w:val="-5"/>
          <w:sz w:val="12"/>
        </w:rPr>
        <w:t> </w:t>
      </w:r>
      <w:r>
        <w:rPr>
          <w:sz w:val="12"/>
        </w:rPr>
        <w:t>be</w:t>
      </w:r>
      <w:r>
        <w:rPr>
          <w:spacing w:val="-5"/>
          <w:sz w:val="12"/>
        </w:rPr>
        <w:t> </w:t>
      </w:r>
      <w:r>
        <w:rPr>
          <w:sz w:val="12"/>
        </w:rPr>
        <w:t>broadly</w:t>
      </w:r>
      <w:r>
        <w:rPr>
          <w:spacing w:val="-5"/>
          <w:sz w:val="12"/>
        </w:rPr>
        <w:t> </w:t>
      </w:r>
      <w:r>
        <w:rPr>
          <w:sz w:val="12"/>
        </w:rPr>
        <w:t>comparable</w:t>
      </w:r>
      <w:r>
        <w:rPr>
          <w:spacing w:val="-5"/>
          <w:sz w:val="12"/>
        </w:rPr>
        <w:t> </w:t>
      </w:r>
      <w:r>
        <w:rPr>
          <w:sz w:val="12"/>
        </w:rPr>
        <w:t>with</w:t>
      </w:r>
      <w:r>
        <w:rPr>
          <w:spacing w:val="-5"/>
          <w:sz w:val="12"/>
        </w:rPr>
        <w:t> </w:t>
      </w:r>
      <w:r>
        <w:rPr>
          <w:sz w:val="12"/>
        </w:rPr>
        <w:t>the</w:t>
      </w:r>
      <w:r>
        <w:rPr>
          <w:spacing w:val="-5"/>
          <w:sz w:val="12"/>
        </w:rPr>
        <w:t> </w:t>
      </w:r>
      <w:r>
        <w:rPr>
          <w:sz w:val="12"/>
        </w:rPr>
        <w:t>US</w:t>
      </w:r>
      <w:r>
        <w:rPr>
          <w:spacing w:val="-5"/>
          <w:sz w:val="12"/>
        </w:rPr>
        <w:t> </w:t>
      </w:r>
      <w:r>
        <w:rPr>
          <w:sz w:val="12"/>
        </w:rPr>
        <w:t>computers</w:t>
      </w:r>
      <w:r>
        <w:rPr>
          <w:spacing w:val="-5"/>
          <w:sz w:val="12"/>
        </w:rPr>
        <w:t> </w:t>
      </w:r>
      <w:r>
        <w:rPr>
          <w:sz w:val="12"/>
        </w:rPr>
        <w:t>and communications sector. Includes manufacture of computer, electronics and communications equipment, which together account for about 6% of UK manufacturing</w:t>
      </w:r>
      <w:r>
        <w:rPr>
          <w:spacing w:val="-17"/>
          <w:sz w:val="12"/>
        </w:rPr>
        <w:t> </w:t>
      </w:r>
      <w:r>
        <w:rPr>
          <w:sz w:val="12"/>
        </w:rPr>
        <w:t>output.</w:t>
      </w:r>
    </w:p>
    <w:p>
      <w:pPr>
        <w:pStyle w:val="BodyText"/>
        <w:rPr>
          <w:sz w:val="12"/>
        </w:rPr>
      </w:pPr>
    </w:p>
    <w:p>
      <w:pPr>
        <w:pStyle w:val="BodyText"/>
        <w:rPr>
          <w:sz w:val="12"/>
        </w:rPr>
      </w:pPr>
    </w:p>
    <w:p>
      <w:pPr>
        <w:pStyle w:val="BodyText"/>
        <w:rPr>
          <w:sz w:val="12"/>
        </w:rPr>
      </w:pPr>
    </w:p>
    <w:p>
      <w:pPr>
        <w:pStyle w:val="BodyText"/>
        <w:rPr>
          <w:sz w:val="12"/>
        </w:rPr>
      </w:pPr>
    </w:p>
    <w:p>
      <w:pPr>
        <w:spacing w:before="69"/>
        <w:ind w:left="171" w:right="0" w:firstLine="0"/>
        <w:jc w:val="left"/>
        <w:rPr>
          <w:b/>
          <w:sz w:val="20"/>
        </w:rPr>
      </w:pPr>
      <w:r>
        <w:rPr>
          <w:b/>
          <w:color w:val="0092C7"/>
          <w:sz w:val="20"/>
        </w:rPr>
        <w:t>Chart 2.18</w:t>
      </w:r>
    </w:p>
    <w:p>
      <w:pPr>
        <w:spacing w:before="10"/>
        <w:ind w:left="171" w:right="0" w:firstLine="0"/>
        <w:jc w:val="left"/>
        <w:rPr>
          <w:b/>
          <w:sz w:val="20"/>
        </w:rPr>
      </w:pPr>
      <w:r>
        <w:rPr>
          <w:b/>
          <w:color w:val="0092C7"/>
          <w:sz w:val="20"/>
        </w:rPr>
        <w:t>Service sector growth</w:t>
      </w:r>
    </w:p>
    <w:p>
      <w:pPr>
        <w:spacing w:line="74" w:lineRule="auto" w:before="0"/>
        <w:ind w:left="-4" w:right="0" w:firstLine="0"/>
        <w:jc w:val="left"/>
        <w:rPr>
          <w:sz w:val="12"/>
        </w:rPr>
      </w:pPr>
      <w:r>
        <w:rPr/>
        <w:br w:type="column"/>
      </w:r>
      <w:r>
        <w:rPr>
          <w:position w:val="-8"/>
          <w:sz w:val="16"/>
          <w:u w:val="single"/>
        </w:rPr>
        <w:t> </w:t>
      </w:r>
      <w:r>
        <w:rPr>
          <w:spacing w:val="-22"/>
          <w:position w:val="-8"/>
          <w:sz w:val="16"/>
          <w:u w:val="single"/>
        </w:rPr>
        <w:t> </w:t>
      </w:r>
      <w:r>
        <w:rPr>
          <w:position w:val="-8"/>
          <w:sz w:val="16"/>
        </w:rPr>
        <w:t>+</w:t>
      </w:r>
      <w:r>
        <w:rPr>
          <w:sz w:val="12"/>
        </w:rPr>
        <w:t>10</w:t>
      </w:r>
    </w:p>
    <w:p>
      <w:pPr>
        <w:spacing w:before="13"/>
        <w:ind w:left="65" w:right="0" w:firstLine="0"/>
        <w:jc w:val="left"/>
        <w:rPr>
          <w:sz w:val="12"/>
        </w:rPr>
      </w:pPr>
      <w:r>
        <w:rPr>
          <w:position w:val="-2"/>
          <w:sz w:val="16"/>
        </w:rPr>
        <w:t>_</w:t>
      </w:r>
      <w:r>
        <w:rPr>
          <w:spacing w:val="19"/>
          <w:position w:val="-2"/>
          <w:sz w:val="16"/>
        </w:rPr>
        <w:t> </w:t>
      </w:r>
      <w:r>
        <w:rPr>
          <w:sz w:val="12"/>
        </w:rPr>
        <w:t>0</w:t>
      </w:r>
    </w:p>
    <w:p>
      <w:pPr>
        <w:spacing w:before="34"/>
        <w:ind w:left="144" w:right="0" w:firstLine="0"/>
        <w:jc w:val="left"/>
        <w:rPr>
          <w:sz w:val="12"/>
        </w:rPr>
      </w:pPr>
      <w:r>
        <w:rPr/>
        <w:pict>
          <v:line style="position:absolute;mso-position-horizontal-relative:page;mso-position-vertical-relative:paragraph;z-index:15952384" from="207.046997pt,5.420946pt" to="202.712997pt,5.420946pt" stroked="true" strokeweight=".5pt" strokecolor="#000000">
            <v:stroke dashstyle="solid"/>
            <w10:wrap type="none"/>
          </v:line>
        </w:pict>
      </w:r>
      <w:r>
        <w:rPr>
          <w:sz w:val="12"/>
        </w:rPr>
        <w:t>10</w:t>
      </w:r>
    </w:p>
    <w:p>
      <w:pPr>
        <w:pStyle w:val="BodyText"/>
        <w:spacing w:line="242" w:lineRule="auto" w:before="6"/>
        <w:ind w:left="165" w:right="162"/>
      </w:pPr>
      <w:r>
        <w:rPr/>
        <w:br w:type="column"/>
      </w:r>
      <w:r>
        <w:rPr/>
        <w:t>deflates nominal computer output using ‘hedonic’ price indices to take account of the impact of quality improvements, whereas UK price deflators make alternative quality adjustments. A recent National Statistics review has noted that if UK indices have underestimated quality change, output growth would be stronger, particularly in the computing sector.</w:t>
      </w:r>
      <w:r>
        <w:rPr>
          <w:position w:val="5"/>
          <w:sz w:val="16"/>
        </w:rPr>
        <w:t>(1) </w:t>
      </w:r>
      <w:r>
        <w:rPr/>
        <w:t>Nevertheless, variations in growth within UK</w:t>
      </w:r>
    </w:p>
    <w:p>
      <w:pPr>
        <w:pStyle w:val="BodyText"/>
        <w:spacing w:line="179" w:lineRule="exact" w:before="10"/>
        <w:ind w:left="165"/>
      </w:pPr>
      <w:r>
        <w:rPr/>
        <w:t>manufacturing suggest that structural change, as well as</w:t>
      </w:r>
    </w:p>
    <w:p>
      <w:pPr>
        <w:spacing w:after="0" w:line="179" w:lineRule="exact"/>
        <w:sectPr>
          <w:type w:val="continuous"/>
          <w:pgSz w:w="11900" w:h="16840"/>
          <w:pgMar w:top="1260" w:bottom="280" w:left="640" w:right="640"/>
          <w:cols w:num="3" w:equalWidth="0">
            <w:col w:w="3378" w:space="40"/>
            <w:col w:w="305" w:space="1091"/>
            <w:col w:w="5806"/>
          </w:cols>
        </w:sectPr>
      </w:pPr>
    </w:p>
    <w:p>
      <w:pPr>
        <w:spacing w:line="230" w:lineRule="auto" w:before="0"/>
        <w:ind w:left="1624" w:right="0" w:firstLine="0"/>
        <w:jc w:val="left"/>
        <w:rPr>
          <w:sz w:val="12"/>
        </w:rPr>
      </w:pPr>
      <w:r>
        <w:rPr/>
        <w:pict>
          <v:line style="position:absolute;mso-position-horizontal-relative:page;mso-position-vertical-relative:paragraph;z-index:15961088" from="42.298pt,7.901941pt" to="46.631pt,7.901941pt" stroked="true" strokeweight=".5pt" strokecolor="#000000">
            <v:stroke dashstyle="solid"/>
            <w10:wrap type="none"/>
          </v:line>
        </w:pict>
      </w:r>
      <w:r>
        <w:rPr>
          <w:sz w:val="12"/>
        </w:rPr>
        <w:t>Percentage changes on a year earli</w:t>
      </w:r>
      <w:r>
        <w:rPr>
          <w:sz w:val="12"/>
          <w:u w:val="single"/>
        </w:rPr>
        <w:t>er</w:t>
      </w:r>
      <w:r>
        <w:rPr>
          <w:spacing w:val="-4"/>
          <w:sz w:val="12"/>
        </w:rPr>
        <w:t> </w:t>
      </w:r>
      <w:r>
        <w:rPr>
          <w:position w:val="-7"/>
          <w:sz w:val="12"/>
        </w:rPr>
        <w:t>12</w:t>
      </w:r>
    </w:p>
    <w:p>
      <w:pPr>
        <w:pStyle w:val="BodyText"/>
        <w:spacing w:before="7"/>
        <w:rPr>
          <w:sz w:val="29"/>
        </w:rPr>
      </w:pPr>
    </w:p>
    <w:p>
      <w:pPr>
        <w:spacing w:before="0"/>
        <w:ind w:left="0" w:right="38" w:firstLine="0"/>
        <w:jc w:val="right"/>
        <w:rPr>
          <w:sz w:val="12"/>
        </w:rPr>
      </w:pPr>
      <w:r>
        <w:rPr/>
        <w:pict>
          <v:group style="position:absolute;margin-left:42.298pt;margin-top:1.069962pt;width:158.4pt;height:112pt;mso-position-horizontal-relative:page;mso-position-vertical-relative:paragraph;z-index:15960064" coordorigin="846,21" coordsize="3168,2240">
            <v:shape style="position:absolute;left:997;top:1423;width:1755;height:828" coordorigin="997,1424" coordsize="1755,828" path="m997,2251l1157,1521m1157,1521l1320,1424m1320,1424l1480,1656m1480,1656l1640,1589m1640,1589l1800,1721m1800,1721l1960,1789m1960,1789l2122,1754m2122,1754l2282,1621m2282,1621l2442,1936m2442,1936l2592,1904m2592,1904l2752,2086e" filled="false" stroked="true" strokeweight="1pt" strokecolor="#00a2a0">
              <v:path arrowok="t"/>
              <v:stroke dashstyle="solid"/>
            </v:shape>
            <v:line style="position:absolute" from="997,1406" to="1157,1621" stroked="true" strokeweight="1pt" strokecolor="#c0a2c7">
              <v:stroke dashstyle="solid"/>
            </v:line>
            <v:line style="position:absolute" from="1147,1623" to="1330,1623" stroked="true" strokeweight="1.125pt" strokecolor="#c0a2c7">
              <v:stroke dashstyle="solid"/>
            </v:line>
            <v:shape style="position:absolute;left:1319;top:31;width:2395;height:1590" coordorigin="1320,31" coordsize="2395,1590" path="m1320,1621l1480,1206m1480,1206l1640,926m1640,926l1800,529m1800,529l1960,64m1960,64l2122,31m2122,31l2282,576m2282,576l2442,676m2442,676l2592,809m2592,809l2752,991m2752,991l2912,794m2912,794l3075,561m3075,561l3235,644m3235,644l3395,511m3395,511l3555,561m3555,561l3715,859e" filled="false" stroked="true" strokeweight="1pt" strokecolor="#c0a2c7">
              <v:path arrowok="t"/>
              <v:stroke dashstyle="solid"/>
            </v:shape>
            <v:shape style="position:absolute;left:997;top:708;width:1915;height:813" coordorigin="997,709" coordsize="1915,813" path="m997,1489l1157,1374m1157,1374l1320,1521m1320,1521l1480,1324m1480,1324l1640,1191m1640,1191l1800,1024m1800,1024l1960,709m1960,709l2122,759m2122,759l2282,959m2282,959l2442,809m2442,809l2592,1074m2592,1074l2752,1241m2752,1241l2912,1456e" filled="false" stroked="true" strokeweight="1pt" strokecolor="#006caa">
              <v:path arrowok="t"/>
              <v:stroke dashstyle="solid"/>
            </v:shape>
            <v:shape style="position:absolute;left:2912;top:1738;width:963;height:430" coordorigin="2912,1739" coordsize="963,430" path="m2912,2086l3075,2169m3075,2169l3235,1986m3235,1986l3395,1886m3395,1886l3555,2004m3555,2004l3715,1739m3715,1739l3875,1886e" filled="false" stroked="true" strokeweight="1pt" strokecolor="#00a2a0">
              <v:path arrowok="t"/>
              <v:stroke dashstyle="solid"/>
            </v:shape>
            <v:shape style="position:absolute;left:2912;top:1438;width:643;height:265" coordorigin="2912,1439" coordsize="643,265" path="m2912,1456l3075,1704m3075,1704l3235,1671m3235,1671l3395,1489m3395,1489l3555,1439e" filled="false" stroked="true" strokeweight="1pt" strokecolor="#006caa">
              <v:path arrowok="t"/>
              <v:stroke dashstyle="solid"/>
            </v:shape>
            <v:line style="position:absolute" from="997,1839" to="1157,1656" stroked="true" strokeweight="1pt" strokecolor="#efa900">
              <v:stroke dashstyle="solid"/>
            </v:line>
            <v:line style="position:absolute" from="1147,1664" to="1330,1664" stroked="true" strokeweight="1.75pt" strokecolor="#efa900">
              <v:stroke dashstyle="solid"/>
            </v:line>
            <v:shape style="position:absolute;left:1319;top:1323;width:963;height:348" coordorigin="1320,1324" coordsize="963,348" path="m1320,1671l1480,1571m1480,1571l1640,1539m1640,1539l1800,1474m1800,1474l1960,1324m2122,1341l2282,1389e" filled="false" stroked="true" strokeweight="1pt" strokecolor="#efa900">
              <v:path arrowok="t"/>
              <v:stroke dashstyle="solid"/>
            </v:shape>
            <v:line style="position:absolute" from="2272,1390" to="2452,1390" stroked="true" strokeweight="1.125pt" strokecolor="#efa900">
              <v:stroke dashstyle="solid"/>
            </v:line>
            <v:shape style="position:absolute;left:2442;top:1388;width:1433;height:465" coordorigin="2442,1389" coordsize="1433,465" path="m2442,1389l2592,1539m2592,1539l2752,1671m2752,1671l2912,1754m2912,1754l3075,1854m3075,1854l3235,1804m3235,1804l3395,1671m3555,1689l3715,1656m3715,1656l3875,1704e" filled="false" stroked="true" strokeweight="1pt" strokecolor="#efa900">
              <v:path arrowok="t"/>
              <v:stroke dashstyle="solid"/>
            </v:shape>
            <v:shape style="position:absolute;left:845;top:75;width:3168;height:1930" coordorigin="846,76" coordsize="3168,1930" path="m846,82l933,82m846,563l933,563m846,1044l933,1044m846,2006l933,2006m846,1525l933,1525m3927,76l4014,76m3927,557l4014,557m3927,1038l4014,1038m3927,1999l4014,1999m3927,1518l4014,1518e" filled="false" stroked="true" strokeweight=".5pt" strokecolor="#000000">
              <v:path arrowok="t"/>
              <v:stroke dashstyle="solid"/>
            </v:shape>
            <v:shape style="position:absolute;left:2223;top:159;width:1077;height:254" type="#_x0000_t202" filled="false" stroked="false">
              <v:textbox inset="0,0,0,0">
                <w:txbxContent>
                  <w:p>
                    <w:pPr>
                      <w:spacing w:line="208" w:lineRule="auto" w:before="9"/>
                      <w:ind w:left="60" w:right="18" w:hanging="60"/>
                      <w:jc w:val="left"/>
                      <w:rPr>
                        <w:sz w:val="12"/>
                      </w:rPr>
                    </w:pPr>
                    <w:r>
                      <w:rPr>
                        <w:sz w:val="12"/>
                      </w:rPr>
                      <w:t>Transport, storage and</w:t>
                    </w:r>
                    <w:r>
                      <w:rPr>
                        <w:spacing w:val="-11"/>
                        <w:sz w:val="12"/>
                      </w:rPr>
                      <w:t> </w:t>
                    </w:r>
                    <w:r>
                      <w:rPr>
                        <w:sz w:val="12"/>
                      </w:rPr>
                      <w:t>communications</w:t>
                    </w:r>
                  </w:p>
                </w:txbxContent>
              </v:textbox>
              <w10:wrap type="none"/>
            </v:shape>
            <v:shape style="position:absolute;left:1857;top:1180;width:690;height:134" type="#_x0000_t202" filled="false" stroked="false">
              <v:textbox inset="0,0,0,0">
                <w:txbxContent>
                  <w:p>
                    <w:pPr>
                      <w:spacing w:line="133" w:lineRule="exact" w:before="0"/>
                      <w:ind w:left="0" w:right="0" w:firstLine="0"/>
                      <w:jc w:val="left"/>
                      <w:rPr>
                        <w:sz w:val="12"/>
                      </w:rPr>
                    </w:pPr>
                    <w:r>
                      <w:rPr>
                        <w:sz w:val="12"/>
                      </w:rPr>
                      <w:t>Total services</w:t>
                    </w:r>
                  </w:p>
                </w:txbxContent>
              </v:textbox>
              <w10:wrap type="none"/>
            </v:shape>
            <v:shape style="position:absolute;left:1949;top:1247;width:203;height:133" type="#_x0000_t202" filled="false" stroked="false">
              <v:textbox inset="0,0,0,0">
                <w:txbxContent>
                  <w:p>
                    <w:pPr>
                      <w:spacing w:line="133" w:lineRule="exact" w:before="0"/>
                      <w:ind w:left="0" w:right="0" w:firstLine="0"/>
                      <w:jc w:val="left"/>
                      <w:rPr>
                        <w:sz w:val="12"/>
                      </w:rPr>
                    </w:pPr>
                    <w:r>
                      <w:rPr>
                        <w:sz w:val="12"/>
                        <w:u w:val="thick" w:color="EFA900"/>
                      </w:rPr>
                      <w:t> </w:t>
                    </w:r>
                    <w:r>
                      <w:rPr>
                        <w:spacing w:val="2"/>
                        <w:sz w:val="12"/>
                        <w:u w:val="thick" w:color="EFA900"/>
                      </w:rPr>
                      <w:t> </w:t>
                    </w:r>
                  </w:p>
                </w:txbxContent>
              </v:textbox>
              <w10:wrap type="none"/>
            </v:shape>
            <v:shape style="position:absolute;left:2813;top:1127;width:932;height:453" type="#_x0000_t202" filled="false" stroked="false">
              <v:textbox inset="0,0,0,0">
                <w:txbxContent>
                  <w:p>
                    <w:pPr>
                      <w:spacing w:line="208" w:lineRule="auto" w:before="9"/>
                      <w:ind w:left="60" w:right="0" w:hanging="60"/>
                      <w:jc w:val="left"/>
                      <w:rPr>
                        <w:sz w:val="12"/>
                      </w:rPr>
                    </w:pPr>
                    <w:r>
                      <w:rPr>
                        <w:sz w:val="12"/>
                      </w:rPr>
                      <w:t>Business services and finance    </w:t>
                    </w:r>
                    <w:r>
                      <w:rPr>
                        <w:sz w:val="12"/>
                        <w:u w:val="thick" w:color="006CAA"/>
                      </w:rPr>
                      <w:t> </w:t>
                    </w:r>
                  </w:p>
                  <w:p>
                    <w:pPr>
                      <w:spacing w:before="66"/>
                      <w:ind w:left="571" w:right="0" w:firstLine="0"/>
                      <w:jc w:val="left"/>
                      <w:rPr>
                        <w:sz w:val="12"/>
                      </w:rPr>
                    </w:pPr>
                    <w:r>
                      <w:rPr>
                        <w:sz w:val="12"/>
                        <w:u w:val="thick" w:color="EFA900"/>
                      </w:rPr>
                      <w:t> </w:t>
                    </w:r>
                  </w:p>
                </w:txbxContent>
              </v:textbox>
              <w10:wrap type="none"/>
            </v:shape>
            <v:shape style="position:absolute;left:1720;top:1943;width:1222;height:254" type="#_x0000_t202" filled="false" stroked="false">
              <v:textbox inset="0,0,0,0">
                <w:txbxContent>
                  <w:p>
                    <w:pPr>
                      <w:spacing w:line="208" w:lineRule="auto" w:before="9"/>
                      <w:ind w:left="60" w:right="32" w:hanging="60"/>
                      <w:jc w:val="left"/>
                      <w:rPr>
                        <w:sz w:val="12"/>
                      </w:rPr>
                    </w:pPr>
                    <w:r>
                      <w:rPr>
                        <w:sz w:val="12"/>
                      </w:rPr>
                      <w:t>Distribution,    hotels and catering</w:t>
                    </w:r>
                  </w:p>
                </w:txbxContent>
              </v:textbox>
              <w10:wrap type="none"/>
            </v:shape>
            <w10:wrap type="none"/>
          </v:group>
        </w:pict>
      </w:r>
      <w:r>
        <w:rPr>
          <w:sz w:val="12"/>
        </w:rPr>
        <w:t>10</w:t>
      </w:r>
    </w:p>
    <w:p>
      <w:pPr>
        <w:pStyle w:val="BodyText"/>
        <w:rPr>
          <w:sz w:val="12"/>
        </w:rPr>
      </w:pPr>
    </w:p>
    <w:p>
      <w:pPr>
        <w:pStyle w:val="BodyText"/>
        <w:spacing w:before="9"/>
        <w:rPr>
          <w:sz w:val="17"/>
        </w:rPr>
      </w:pPr>
    </w:p>
    <w:p>
      <w:pPr>
        <w:spacing w:before="1"/>
        <w:ind w:left="0" w:right="38" w:firstLine="0"/>
        <w:jc w:val="right"/>
        <w:rPr>
          <w:sz w:val="12"/>
        </w:rPr>
      </w:pPr>
      <w:r>
        <w:rPr>
          <w:sz w:val="12"/>
        </w:rPr>
        <w:t>8</w:t>
      </w:r>
    </w:p>
    <w:p>
      <w:pPr>
        <w:pStyle w:val="BodyText"/>
        <w:rPr>
          <w:sz w:val="12"/>
        </w:rPr>
      </w:pPr>
    </w:p>
    <w:p>
      <w:pPr>
        <w:pStyle w:val="BodyText"/>
        <w:spacing w:before="9"/>
        <w:rPr>
          <w:sz w:val="17"/>
        </w:rPr>
      </w:pPr>
    </w:p>
    <w:p>
      <w:pPr>
        <w:spacing w:before="0"/>
        <w:ind w:left="0" w:right="38" w:firstLine="0"/>
        <w:jc w:val="right"/>
        <w:rPr>
          <w:sz w:val="12"/>
        </w:rPr>
      </w:pPr>
      <w:r>
        <w:rPr>
          <w:sz w:val="12"/>
        </w:rPr>
        <w:t>6</w:t>
      </w:r>
    </w:p>
    <w:p>
      <w:pPr>
        <w:pStyle w:val="BodyText"/>
        <w:rPr>
          <w:sz w:val="12"/>
        </w:rPr>
      </w:pPr>
    </w:p>
    <w:p>
      <w:pPr>
        <w:pStyle w:val="BodyText"/>
        <w:spacing w:before="9"/>
        <w:rPr>
          <w:sz w:val="17"/>
        </w:rPr>
      </w:pPr>
    </w:p>
    <w:p>
      <w:pPr>
        <w:spacing w:before="0"/>
        <w:ind w:left="0" w:right="38" w:firstLine="0"/>
        <w:jc w:val="right"/>
        <w:rPr>
          <w:sz w:val="12"/>
        </w:rPr>
      </w:pPr>
      <w:r>
        <w:rPr>
          <w:sz w:val="12"/>
        </w:rPr>
        <w:t>4</w:t>
      </w:r>
    </w:p>
    <w:p>
      <w:pPr>
        <w:pStyle w:val="BodyText"/>
        <w:rPr>
          <w:sz w:val="12"/>
        </w:rPr>
      </w:pPr>
    </w:p>
    <w:p>
      <w:pPr>
        <w:pStyle w:val="BodyText"/>
        <w:spacing w:before="10"/>
        <w:rPr>
          <w:sz w:val="17"/>
        </w:rPr>
      </w:pPr>
    </w:p>
    <w:p>
      <w:pPr>
        <w:spacing w:before="0"/>
        <w:ind w:left="0" w:right="38" w:firstLine="0"/>
        <w:jc w:val="right"/>
        <w:rPr>
          <w:sz w:val="12"/>
        </w:rPr>
      </w:pPr>
      <w:r>
        <w:rPr>
          <w:sz w:val="12"/>
        </w:rPr>
        <w:t>2</w:t>
      </w:r>
    </w:p>
    <w:p>
      <w:pPr>
        <w:pStyle w:val="BodyText"/>
        <w:rPr>
          <w:sz w:val="12"/>
        </w:rPr>
      </w:pPr>
    </w:p>
    <w:p>
      <w:pPr>
        <w:pStyle w:val="BodyText"/>
        <w:spacing w:before="7"/>
        <w:rPr>
          <w:sz w:val="17"/>
        </w:rPr>
      </w:pPr>
    </w:p>
    <w:p>
      <w:pPr>
        <w:tabs>
          <w:tab w:pos="1278" w:val="left" w:leader="none"/>
          <w:tab w:pos="1918" w:val="left" w:leader="none"/>
          <w:tab w:pos="2550" w:val="left" w:leader="none"/>
          <w:tab w:pos="3000" w:val="left" w:leader="none"/>
          <w:tab w:pos="3459" w:val="left" w:leader="none"/>
        </w:tabs>
        <w:spacing w:before="0"/>
        <w:ind w:left="545" w:right="0" w:firstLine="0"/>
        <w:jc w:val="left"/>
        <w:rPr>
          <w:sz w:val="12"/>
        </w:rPr>
      </w:pPr>
      <w:r>
        <w:rPr/>
        <w:pict>
          <v:shape style="position:absolute;margin-left:42.298pt;margin-top:.538417pt;width:158.4pt;height:3.7pt;mso-position-horizontal-relative:page;mso-position-vertical-relative:paragraph;z-index:-22692352" coordorigin="846,11" coordsize="3168,74" path="m1004,78l3884,78m1001,11l1001,78m1640,11l1640,78m2279,11l2279,78m2918,11l2918,78m3557,11l3557,78m846,84l933,84m3927,78l4014,78e" filled="false" stroked="true" strokeweight=".5pt" strokecolor="#000000">
            <v:path arrowok="t"/>
            <v:stroke dashstyle="solid"/>
            <w10:wrap type="none"/>
          </v:shape>
        </w:pict>
      </w:r>
      <w:r>
        <w:rPr>
          <w:sz w:val="12"/>
        </w:rPr>
        <w:t>1996</w:t>
        <w:tab/>
        <w:t>97</w:t>
        <w:tab/>
        <w:t>98</w:t>
        <w:tab/>
        <w:t>99</w:t>
        <w:tab/>
        <w:t>2000</w:t>
        <w:tab/>
      </w:r>
      <w:r>
        <w:rPr>
          <w:position w:val="9"/>
          <w:sz w:val="12"/>
        </w:rPr>
        <w:t>0</w:t>
      </w:r>
    </w:p>
    <w:p>
      <w:pPr>
        <w:pStyle w:val="BodyText"/>
        <w:spacing w:line="242" w:lineRule="auto" w:before="101"/>
        <w:ind w:left="545" w:right="122"/>
      </w:pPr>
      <w:r>
        <w:rPr/>
        <w:br w:type="column"/>
      </w:r>
      <w:r>
        <w:rPr/>
        <w:t>ongoing effects from sterling’s appreciation, has helped to explain the diverse pattern of growth within UK manufacturing in recent years.</w:t>
      </w:r>
    </w:p>
    <w:p>
      <w:pPr>
        <w:pStyle w:val="BodyText"/>
        <w:spacing w:before="2"/>
        <w:rPr>
          <w:sz w:val="21"/>
        </w:rPr>
      </w:pPr>
    </w:p>
    <w:p>
      <w:pPr>
        <w:pStyle w:val="BodyText"/>
        <w:spacing w:line="242" w:lineRule="auto"/>
        <w:ind w:left="545" w:right="307"/>
        <w:jc w:val="both"/>
      </w:pPr>
      <w:r>
        <w:rPr/>
        <w:t>Preliminary estimates suggest that service sector output rose by 0.7% in 2000 Q3 and by 3.3% on a year earlier (see Chart 2.18), slightly slower growth than in Q2.</w:t>
      </w:r>
    </w:p>
    <w:p>
      <w:pPr>
        <w:pStyle w:val="BodyText"/>
        <w:spacing w:line="242" w:lineRule="auto" w:before="4"/>
        <w:ind w:left="545" w:right="175"/>
      </w:pPr>
      <w:r>
        <w:rPr/>
        <w:t>Continuing recent trends, service sector growth in the second</w:t>
      </w:r>
      <w:r>
        <w:rPr>
          <w:spacing w:val="-7"/>
        </w:rPr>
        <w:t> </w:t>
      </w:r>
      <w:r>
        <w:rPr/>
        <w:t>quarter</w:t>
      </w:r>
      <w:r>
        <w:rPr>
          <w:spacing w:val="-6"/>
        </w:rPr>
        <w:t> </w:t>
      </w:r>
      <w:r>
        <w:rPr/>
        <w:t>was</w:t>
      </w:r>
      <w:r>
        <w:rPr>
          <w:spacing w:val="-6"/>
        </w:rPr>
        <w:t> </w:t>
      </w:r>
      <w:r>
        <w:rPr/>
        <w:t>strongest</w:t>
      </w:r>
      <w:r>
        <w:rPr>
          <w:spacing w:val="-7"/>
        </w:rPr>
        <w:t> </w:t>
      </w:r>
      <w:r>
        <w:rPr/>
        <w:t>in</w:t>
      </w:r>
      <w:r>
        <w:rPr>
          <w:spacing w:val="-6"/>
        </w:rPr>
        <w:t> </w:t>
      </w:r>
      <w:r>
        <w:rPr/>
        <w:t>the</w:t>
      </w:r>
      <w:r>
        <w:rPr>
          <w:spacing w:val="-6"/>
        </w:rPr>
        <w:t> </w:t>
      </w:r>
      <w:r>
        <w:rPr/>
        <w:t>business</w:t>
      </w:r>
      <w:r>
        <w:rPr>
          <w:spacing w:val="-7"/>
        </w:rPr>
        <w:t> </w:t>
      </w:r>
      <w:r>
        <w:rPr/>
        <w:t>services</w:t>
      </w:r>
      <w:r>
        <w:rPr>
          <w:spacing w:val="-6"/>
        </w:rPr>
        <w:t> </w:t>
      </w:r>
      <w:r>
        <w:rPr/>
        <w:t>and transport and communications sectors.  Looking forward, surveys suggest further easing in growth. The BCC survey for Q3 recorded a lower balance of</w:t>
      </w:r>
      <w:r>
        <w:rPr>
          <w:spacing w:val="-43"/>
        </w:rPr>
        <w:t> </w:t>
      </w:r>
      <w:r>
        <w:rPr/>
        <w:t>service</w:t>
      </w:r>
    </w:p>
    <w:p>
      <w:pPr>
        <w:pStyle w:val="BodyText"/>
        <w:spacing w:before="5"/>
        <w:rPr>
          <w:sz w:val="10"/>
        </w:rPr>
      </w:pPr>
    </w:p>
    <w:p>
      <w:pPr>
        <w:pStyle w:val="BodyText"/>
        <w:spacing w:line="20" w:lineRule="exact"/>
        <w:ind w:left="484"/>
        <w:rPr>
          <w:sz w:val="2"/>
        </w:rPr>
      </w:pPr>
      <w:r>
        <w:rPr>
          <w:sz w:val="2"/>
        </w:rPr>
        <w:pict>
          <v:group style="width:278pt;height:.15pt;mso-position-horizontal-relative:char;mso-position-vertical-relative:line" coordorigin="0,0" coordsize="5560,3">
            <v:line style="position:absolute" from="0,1" to="5560,1" stroked="true" strokeweight=".125pt" strokecolor="#000000">
              <v:stroke dashstyle="solid"/>
            </v:line>
          </v:group>
        </w:pict>
      </w:r>
      <w:r>
        <w:rPr>
          <w:sz w:val="2"/>
        </w:rPr>
      </w:r>
    </w:p>
    <w:p>
      <w:pPr>
        <w:pStyle w:val="ListParagraph"/>
        <w:numPr>
          <w:ilvl w:val="1"/>
          <w:numId w:val="23"/>
        </w:numPr>
        <w:tabs>
          <w:tab w:pos="787" w:val="left" w:leader="none"/>
        </w:tabs>
        <w:spacing w:line="208" w:lineRule="auto" w:before="4" w:after="0"/>
        <w:ind w:left="786" w:right="1034" w:hanging="240"/>
        <w:jc w:val="left"/>
        <w:rPr>
          <w:sz w:val="16"/>
        </w:rPr>
      </w:pPr>
      <w:r>
        <w:rPr>
          <w:sz w:val="16"/>
        </w:rPr>
        <w:t>‘Review</w:t>
      </w:r>
      <w:r>
        <w:rPr>
          <w:spacing w:val="-9"/>
          <w:sz w:val="16"/>
        </w:rPr>
        <w:t> </w:t>
      </w:r>
      <w:r>
        <w:rPr>
          <w:sz w:val="16"/>
        </w:rPr>
        <w:t>of</w:t>
      </w:r>
      <w:r>
        <w:rPr>
          <w:spacing w:val="-8"/>
          <w:sz w:val="16"/>
        </w:rPr>
        <w:t> </w:t>
      </w:r>
      <w:r>
        <w:rPr>
          <w:sz w:val="16"/>
        </w:rPr>
        <w:t>short-term</w:t>
      </w:r>
      <w:r>
        <w:rPr>
          <w:spacing w:val="-8"/>
          <w:sz w:val="16"/>
        </w:rPr>
        <w:t> </w:t>
      </w:r>
      <w:r>
        <w:rPr>
          <w:sz w:val="16"/>
        </w:rPr>
        <w:t>output</w:t>
      </w:r>
      <w:r>
        <w:rPr>
          <w:spacing w:val="-8"/>
          <w:sz w:val="16"/>
        </w:rPr>
        <w:t> </w:t>
      </w:r>
      <w:r>
        <w:rPr>
          <w:sz w:val="16"/>
        </w:rPr>
        <w:t>indicators’,</w:t>
      </w:r>
      <w:r>
        <w:rPr>
          <w:spacing w:val="-7"/>
          <w:sz w:val="16"/>
        </w:rPr>
        <w:t> </w:t>
      </w:r>
      <w:r>
        <w:rPr>
          <w:i/>
          <w:sz w:val="16"/>
        </w:rPr>
        <w:t>National</w:t>
      </w:r>
      <w:r>
        <w:rPr>
          <w:i/>
          <w:spacing w:val="-8"/>
          <w:sz w:val="16"/>
        </w:rPr>
        <w:t> </w:t>
      </w:r>
      <w:r>
        <w:rPr>
          <w:i/>
          <w:sz w:val="16"/>
        </w:rPr>
        <w:t>Statistics</w:t>
      </w:r>
      <w:r>
        <w:rPr>
          <w:i/>
          <w:spacing w:val="-8"/>
          <w:sz w:val="16"/>
        </w:rPr>
        <w:t> </w:t>
      </w:r>
      <w:r>
        <w:rPr>
          <w:i/>
          <w:sz w:val="16"/>
        </w:rPr>
        <w:t>Quality </w:t>
      </w:r>
      <w:r>
        <w:rPr>
          <w:i/>
          <w:sz w:val="16"/>
        </w:rPr>
        <w:t>Review Series</w:t>
      </w:r>
      <w:r>
        <w:rPr>
          <w:sz w:val="16"/>
        </w:rPr>
        <w:t>, No 1, October</w:t>
      </w:r>
      <w:r>
        <w:rPr>
          <w:spacing w:val="-6"/>
          <w:sz w:val="16"/>
        </w:rPr>
        <w:t> </w:t>
      </w:r>
      <w:r>
        <w:rPr>
          <w:sz w:val="16"/>
        </w:rPr>
        <w:t>2000.</w:t>
      </w:r>
    </w:p>
    <w:p>
      <w:pPr>
        <w:spacing w:after="0" w:line="208" w:lineRule="auto"/>
        <w:jc w:val="left"/>
        <w:rPr>
          <w:sz w:val="16"/>
        </w:rPr>
        <w:sectPr>
          <w:type w:val="continuous"/>
          <w:pgSz w:w="11900" w:h="16840"/>
          <w:pgMar w:top="1260" w:bottom="280" w:left="640" w:right="640"/>
          <w:cols w:num="2" w:equalWidth="0">
            <w:col w:w="3561" w:space="873"/>
            <w:col w:w="6186"/>
          </w:cols>
        </w:sectPr>
      </w:pPr>
    </w:p>
    <w:p>
      <w:pPr>
        <w:pStyle w:val="BodyText"/>
        <w:rPr>
          <w:sz w:val="20"/>
        </w:rPr>
      </w:pPr>
    </w:p>
    <w:p>
      <w:pPr>
        <w:spacing w:after="0"/>
        <w:rPr>
          <w:sz w:val="20"/>
        </w:rPr>
        <w:sectPr>
          <w:footerReference w:type="even" r:id="rId102"/>
          <w:footerReference w:type="default" r:id="rId103"/>
          <w:pgSz w:w="11900" w:h="16840"/>
          <w:pgMar w:footer="592" w:header="601" w:top="780" w:bottom="780" w:left="640" w:right="640"/>
          <w:pgNumType w:start="24"/>
        </w:sectPr>
      </w:pPr>
    </w:p>
    <w:p>
      <w:pPr>
        <w:pStyle w:val="BodyText"/>
        <w:rPr>
          <w:sz w:val="21"/>
        </w:rPr>
      </w:pPr>
    </w:p>
    <w:p>
      <w:pPr>
        <w:spacing w:before="0"/>
        <w:ind w:left="172" w:right="0" w:firstLine="0"/>
        <w:jc w:val="left"/>
        <w:rPr>
          <w:b/>
          <w:sz w:val="20"/>
        </w:rPr>
      </w:pPr>
      <w:bookmarkStart w:name="Summary" w:id="45"/>
      <w:bookmarkEnd w:id="45"/>
      <w:r>
        <w:rPr/>
      </w:r>
      <w:bookmarkStart w:name="_bookmark18" w:id="46"/>
      <w:bookmarkEnd w:id="46"/>
      <w:r>
        <w:rPr/>
      </w:r>
      <w:r>
        <w:rPr>
          <w:b/>
          <w:color w:val="0092C7"/>
          <w:sz w:val="20"/>
        </w:rPr>
        <w:t>Chart 2.19</w:t>
      </w:r>
    </w:p>
    <w:p>
      <w:pPr>
        <w:spacing w:before="10"/>
        <w:ind w:left="172" w:right="0" w:firstLine="0"/>
        <w:jc w:val="left"/>
        <w:rPr>
          <w:sz w:val="12"/>
        </w:rPr>
      </w:pPr>
      <w:r>
        <w:rPr>
          <w:b/>
          <w:color w:val="0092C7"/>
          <w:sz w:val="20"/>
        </w:rPr>
        <w:t>CIPS construction survey</w:t>
      </w:r>
      <w:r>
        <w:rPr>
          <w:position w:val="4"/>
          <w:sz w:val="12"/>
        </w:rPr>
        <w:t>(a)</w:t>
      </w:r>
    </w:p>
    <w:p>
      <w:pPr>
        <w:pStyle w:val="BodyText"/>
        <w:spacing w:before="3" w:after="39"/>
        <w:rPr>
          <w:sz w:val="15"/>
        </w:rPr>
      </w:pPr>
    </w:p>
    <w:p>
      <w:pPr>
        <w:pStyle w:val="BodyText"/>
        <w:spacing w:line="20" w:lineRule="exact"/>
        <w:ind w:left="20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2"/>
        <w:rPr>
          <w:sz w:val="26"/>
        </w:rPr>
      </w:pPr>
      <w:r>
        <w:rPr/>
        <w:pict>
          <v:shape style="position:absolute;margin-left:42.299999pt;margin-top:17.25pt;width:4.350pt;height:.1pt;mso-position-horizontal-relative:page;mso-position-vertical-relative:paragraph;z-index:-15494656;mso-wrap-distance-left:0;mso-wrap-distance-right:0" coordorigin="846,345" coordsize="87,0" path="m846,345l933,345e" filled="false" stroked="true" strokeweight=".5pt" strokecolor="#000000">
            <v:path arrowok="t"/>
            <v:stroke dashstyle="solid"/>
            <w10:wrap type="topAndBottom"/>
          </v:shape>
        </w:pict>
      </w:r>
    </w:p>
    <w:p>
      <w:pPr>
        <w:pStyle w:val="BodyText"/>
        <w:rPr>
          <w:sz w:val="20"/>
        </w:rPr>
      </w:pPr>
      <w:r>
        <w:rPr/>
        <w:br w:type="column"/>
      </w:r>
      <w:r>
        <w:rPr>
          <w:sz w:val="20"/>
        </w:rPr>
      </w:r>
    </w:p>
    <w:p>
      <w:pPr>
        <w:pStyle w:val="BodyText"/>
        <w:rPr>
          <w:sz w:val="20"/>
        </w:rPr>
      </w:pPr>
    </w:p>
    <w:p>
      <w:pPr>
        <w:pStyle w:val="BodyText"/>
        <w:rPr>
          <w:sz w:val="27"/>
        </w:rPr>
      </w:pPr>
    </w:p>
    <w:p>
      <w:pPr>
        <w:spacing w:before="1"/>
        <w:ind w:left="172" w:right="0" w:firstLine="0"/>
        <w:jc w:val="left"/>
        <w:rPr>
          <w:sz w:val="12"/>
        </w:rPr>
      </w:pPr>
      <w:r>
        <w:rPr/>
        <w:pict>
          <v:group style="position:absolute;margin-left:50.639999pt;margin-top:16.53944pt;width:161.550pt;height:109pt;mso-position-horizontal-relative:page;mso-position-vertical-relative:paragraph;z-index:15983616" coordorigin="1013,331" coordsize="3231,2180">
            <v:shape style="position:absolute;left:1022;top:1338;width:1243;height:1088" coordorigin="1023,1338" coordsize="1243,1088" path="m1023,2426l1158,2158m1158,2158l1303,1936m1303,1936l1438,1666m1438,1666l1570,1428m1570,1428l1705,1338m1705,1338l1850,1443m1850,1443l1985,1576m1985,1576l2120,1681m2120,1681l2265,1771e" filled="false" stroked="true" strokeweight="1pt" strokecolor="#de0035">
              <v:path arrowok="t"/>
              <v:stroke dashstyle="solid"/>
            </v:shape>
            <v:line style="position:absolute" from="2255,1763" to="2410,1763" stroked="true" strokeweight="1.75pt" strokecolor="#de0035">
              <v:stroke dashstyle="solid"/>
            </v:line>
            <v:shape style="position:absolute;left:2400;top:1383;width:1510;height:508" coordorigin="2400,1383" coordsize="1510,508" path="m2400,1756l2533,1726m2533,1726l2668,1606m2668,1606l2813,1413m2813,1413l2948,1383m2948,1383l3080,1473m3080,1473l3228,1503m3228,1503l3360,1576m3360,1576l3495,1696m3495,1696l3628,1741m3628,1741l3775,1681m3775,1681l3910,1891e" filled="false" stroked="true" strokeweight="1pt" strokecolor="#de0035">
              <v:path arrowok="t"/>
              <v:stroke dashstyle="solid"/>
            </v:shape>
            <v:shape style="position:absolute;left:1022;top:1070;width:548;height:1430" coordorigin="1023,1071" coordsize="548,1430" path="m1023,2501l1158,1921m1158,1921l1303,1548m1303,1548l1438,1308m1438,1308l1570,1071e" filled="false" stroked="true" strokeweight="1pt" strokecolor="#008360">
              <v:path arrowok="t"/>
              <v:stroke dashstyle="solid"/>
            </v:shape>
            <v:line style="position:absolute" from="1560,1063" to="1715,1063" stroked="true" strokeweight="1.75pt" strokecolor="#008360">
              <v:stroke dashstyle="solid"/>
            </v:line>
            <v:shape style="position:absolute;left:1705;top:1055;width:2205;height:1043" coordorigin="1705,1056" coordsize="2205,1043" path="m1705,1056l1850,1146m1850,1146l1985,1188m1985,1188l2120,1368m2120,1368l2265,1458m2265,1458l2400,1353m2400,1353l2533,1458m2533,1458l2668,1576m2668,1576l2813,1368m2813,1368l2948,1116m2948,1116l3080,1188m3080,1188l3228,1368m3228,1368l3360,1591m3360,1591l3495,1801m3495,1801l3628,1951m3628,1951l3775,2008m3775,2008l3910,2098e" filled="false" stroked="true" strokeweight="1pt" strokecolor="#008360">
              <v:path arrowok="t"/>
              <v:stroke dashstyle="solid"/>
            </v:shape>
            <v:shape style="position:absolute;left:1022;top:340;width:2888;height:655" coordorigin="1023,341" coordsize="2888,655" path="m1023,876l1158,981m1158,981l1303,936m1303,936l1438,683m1438,683l1570,578m1570,578l1705,341m1705,341l1850,801m1850,801l1985,428m1985,428l2120,608m2120,608l2265,801m2265,801l2400,608m2400,608l2533,861m2533,861l2668,713m2668,713l2813,996m2813,996l2948,906m2948,906l3080,786m3080,786l3228,743m3228,743l3360,801m3360,801l3495,728m3495,728l3628,861m3628,861l3775,981m3775,981l3910,771e" filled="false" stroked="true" strokeweight="1pt" strokecolor="#0099d9">
              <v:path arrowok="t"/>
              <v:stroke dashstyle="solid"/>
            </v:shape>
            <v:shape style="position:absolute;left:3980;top:514;width:87;height:1440" coordorigin="3980,514" coordsize="87,1440" path="m3980,514l4067,514m3980,874l4067,874m3980,1234l4067,1234m3980,1594l4067,1594m3980,1954l4067,1954e" filled="false" stroked="true" strokeweight=".5pt" strokecolor="#000000">
              <v:path arrowok="t"/>
              <v:stroke dashstyle="solid"/>
            </v:shape>
            <v:shape style="position:absolute;left:2066;top:377;width:1330;height:134" type="#_x0000_t202" filled="false" stroked="false">
              <v:textbox inset="0,0,0,0">
                <w:txbxContent>
                  <w:p>
                    <w:pPr>
                      <w:spacing w:line="133" w:lineRule="exact" w:before="0"/>
                      <w:ind w:left="0" w:right="0" w:firstLine="0"/>
                      <w:jc w:val="left"/>
                      <w:rPr>
                        <w:sz w:val="12"/>
                      </w:rPr>
                    </w:pPr>
                    <w:r>
                      <w:rPr>
                        <w:sz w:val="12"/>
                      </w:rPr>
                      <w:t>Future business activity (b)</w:t>
                    </w:r>
                  </w:p>
                </w:txbxContent>
              </v:textbox>
              <w10:wrap type="none"/>
            </v:shape>
            <v:shape style="position:absolute;left:4103;top:445;width:140;height:493" type="#_x0000_t202" filled="false" stroked="false">
              <v:textbox inset="0,0,0,0">
                <w:txbxContent>
                  <w:p>
                    <w:pPr>
                      <w:spacing w:line="133" w:lineRule="exact" w:before="0"/>
                      <w:ind w:left="0" w:right="0" w:firstLine="0"/>
                      <w:jc w:val="left"/>
                      <w:rPr>
                        <w:sz w:val="12"/>
                      </w:rPr>
                    </w:pPr>
                    <w:r>
                      <w:rPr>
                        <w:sz w:val="12"/>
                      </w:rPr>
                      <w:t>75</w:t>
                    </w:r>
                  </w:p>
                  <w:p>
                    <w:pPr>
                      <w:spacing w:line="240" w:lineRule="auto" w:before="0"/>
                      <w:rPr>
                        <w:sz w:val="12"/>
                      </w:rPr>
                    </w:pPr>
                  </w:p>
                  <w:p>
                    <w:pPr>
                      <w:spacing w:before="83"/>
                      <w:ind w:left="0" w:right="0" w:firstLine="0"/>
                      <w:jc w:val="left"/>
                      <w:rPr>
                        <w:sz w:val="12"/>
                      </w:rPr>
                    </w:pPr>
                    <w:r>
                      <w:rPr>
                        <w:sz w:val="12"/>
                      </w:rPr>
                      <w:t>70</w:t>
                    </w:r>
                  </w:p>
                </w:txbxContent>
              </v:textbox>
              <w10:wrap type="none"/>
            </v:shape>
            <v:shape style="position:absolute;left:3155;top:1141;width:427;height:133" type="#_x0000_t202" filled="false" stroked="false">
              <v:textbox inset="0,0,0,0">
                <w:txbxContent>
                  <w:p>
                    <w:pPr>
                      <w:spacing w:line="133" w:lineRule="exact" w:before="0"/>
                      <w:ind w:left="0" w:right="0" w:firstLine="0"/>
                      <w:jc w:val="left"/>
                      <w:rPr>
                        <w:sz w:val="12"/>
                      </w:rPr>
                    </w:pPr>
                    <w:r>
                      <w:rPr>
                        <w:sz w:val="12"/>
                      </w:rPr>
                      <w:t>Housing</w:t>
                    </w:r>
                  </w:p>
                </w:txbxContent>
              </v:textbox>
              <w10:wrap type="none"/>
            </v:shape>
            <v:shape style="position:absolute;left:4103;top:1165;width:140;height:853" type="#_x0000_t202" filled="false" stroked="false">
              <v:textbox inset="0,0,0,0">
                <w:txbxContent>
                  <w:p>
                    <w:pPr>
                      <w:spacing w:line="133" w:lineRule="exact" w:before="0"/>
                      <w:ind w:left="0" w:right="0" w:firstLine="0"/>
                      <w:jc w:val="left"/>
                      <w:rPr>
                        <w:sz w:val="12"/>
                      </w:rPr>
                    </w:pPr>
                    <w:r>
                      <w:rPr>
                        <w:sz w:val="12"/>
                      </w:rPr>
                      <w:t>65</w:t>
                    </w:r>
                  </w:p>
                  <w:p>
                    <w:pPr>
                      <w:spacing w:line="240" w:lineRule="auto" w:before="0"/>
                      <w:rPr>
                        <w:sz w:val="12"/>
                      </w:rPr>
                    </w:pPr>
                  </w:p>
                  <w:p>
                    <w:pPr>
                      <w:spacing w:before="83"/>
                      <w:ind w:left="0" w:right="0" w:firstLine="0"/>
                      <w:jc w:val="left"/>
                      <w:rPr>
                        <w:sz w:val="12"/>
                      </w:rPr>
                    </w:pPr>
                    <w:r>
                      <w:rPr>
                        <w:sz w:val="12"/>
                      </w:rPr>
                      <w:t>60</w:t>
                    </w:r>
                  </w:p>
                  <w:p>
                    <w:pPr>
                      <w:spacing w:line="240" w:lineRule="auto" w:before="0"/>
                      <w:rPr>
                        <w:sz w:val="12"/>
                      </w:rPr>
                    </w:pPr>
                  </w:p>
                  <w:p>
                    <w:pPr>
                      <w:spacing w:before="84"/>
                      <w:ind w:left="0" w:right="0" w:firstLine="0"/>
                      <w:jc w:val="left"/>
                      <w:rPr>
                        <w:sz w:val="12"/>
                      </w:rPr>
                    </w:pPr>
                    <w:r>
                      <w:rPr>
                        <w:sz w:val="12"/>
                      </w:rPr>
                      <w:t>55</w:t>
                    </w:r>
                  </w:p>
                </w:txbxContent>
              </v:textbox>
              <w10:wrap type="none"/>
            </v:shape>
            <v:shape style="position:absolute;left:1013;top:1978;width:3231;height:399" type="#_x0000_t202" filled="false" stroked="false">
              <v:textbox inset="0,0,0,0">
                <w:txbxContent>
                  <w:p>
                    <w:pPr>
                      <w:spacing w:line="133" w:lineRule="exact" w:before="0"/>
                      <w:ind w:left="304" w:right="0" w:firstLine="0"/>
                      <w:jc w:val="left"/>
                      <w:rPr>
                        <w:sz w:val="12"/>
                      </w:rPr>
                    </w:pPr>
                    <w:r>
                      <w:rPr>
                        <w:sz w:val="12"/>
                      </w:rPr>
                      <w:t>Total construction activity</w:t>
                    </w:r>
                  </w:p>
                  <w:p>
                    <w:pPr>
                      <w:spacing w:line="240" w:lineRule="auto" w:before="0"/>
                      <w:rPr>
                        <w:sz w:val="11"/>
                      </w:rPr>
                    </w:pPr>
                  </w:p>
                  <w:p>
                    <w:pPr>
                      <w:tabs>
                        <w:tab w:pos="2889" w:val="left" w:leader="none"/>
                      </w:tabs>
                      <w:spacing w:before="1"/>
                      <w:ind w:left="0" w:right="0" w:firstLine="0"/>
                      <w:jc w:val="left"/>
                      <w:rPr>
                        <w:sz w:val="12"/>
                      </w:rPr>
                    </w:pPr>
                    <w:r>
                      <w:rPr>
                        <w:sz w:val="12"/>
                        <w:u w:val="dotted"/>
                      </w:rPr>
                      <w:t> </w:t>
                      <w:tab/>
                    </w:r>
                    <w:r>
                      <w:rPr>
                        <w:sz w:val="12"/>
                      </w:rPr>
                      <w:t>  </w:t>
                    </w:r>
                    <w:r>
                      <w:rPr>
                        <w:spacing w:val="-14"/>
                        <w:sz w:val="12"/>
                      </w:rPr>
                      <w:t> </w:t>
                    </w:r>
                    <w:r>
                      <w:rPr>
                        <w:sz w:val="12"/>
                        <w:u w:val="dotted"/>
                      </w:rPr>
                      <w:t>  </w:t>
                    </w:r>
                    <w:r>
                      <w:rPr>
                        <w:spacing w:val="-4"/>
                        <w:sz w:val="12"/>
                        <w:u w:val="dotted"/>
                      </w:rPr>
                      <w:t> </w:t>
                    </w:r>
                    <w:r>
                      <w:rPr>
                        <w:spacing w:val="6"/>
                        <w:sz w:val="12"/>
                      </w:rPr>
                      <w:t> </w:t>
                    </w:r>
                    <w:r>
                      <w:rPr>
                        <w:sz w:val="12"/>
                      </w:rPr>
                      <w:t>50</w:t>
                    </w:r>
                  </w:p>
                </w:txbxContent>
              </v:textbox>
              <w10:wrap type="none"/>
            </v:shape>
            <w10:wrap type="none"/>
          </v:group>
        </w:pict>
      </w:r>
      <w:r>
        <w:rPr>
          <w:sz w:val="12"/>
        </w:rPr>
        <w:t>Ind</w:t>
      </w:r>
      <w:r>
        <w:rPr>
          <w:sz w:val="12"/>
          <w:u w:val="single"/>
        </w:rPr>
        <w:t>ex</w:t>
      </w:r>
      <w:r>
        <w:rPr>
          <w:sz w:val="12"/>
        </w:rPr>
        <w:t> </w:t>
      </w:r>
      <w:r>
        <w:rPr>
          <w:position w:val="-7"/>
          <w:sz w:val="12"/>
        </w:rPr>
        <w:t>80</w:t>
      </w:r>
    </w:p>
    <w:p>
      <w:pPr>
        <w:pStyle w:val="BodyText"/>
        <w:spacing w:before="5"/>
        <w:rPr>
          <w:sz w:val="21"/>
        </w:rPr>
      </w:pPr>
      <w:r>
        <w:rPr/>
        <w:br w:type="column"/>
      </w:r>
      <w:r>
        <w:rPr>
          <w:sz w:val="21"/>
        </w:rPr>
      </w:r>
    </w:p>
    <w:p>
      <w:pPr>
        <w:pStyle w:val="BodyText"/>
        <w:spacing w:line="242" w:lineRule="auto"/>
        <w:ind w:left="172" w:right="21"/>
      </w:pPr>
      <w:r>
        <w:rPr/>
        <w:t>sector orders and business confidence in future turnover. In addition, the latest CIPS survey noted that growth in new business had eased from levels seen prior to the fuel supply disruptions in September.</w:t>
      </w:r>
    </w:p>
    <w:p>
      <w:pPr>
        <w:spacing w:after="0" w:line="242" w:lineRule="auto"/>
        <w:sectPr>
          <w:type w:val="continuous"/>
          <w:pgSz w:w="11900" w:h="16840"/>
          <w:pgMar w:top="1260" w:bottom="280" w:left="640" w:right="640"/>
          <w:cols w:num="3" w:equalWidth="0">
            <w:col w:w="2530" w:space="451"/>
            <w:col w:w="643" w:space="1184"/>
            <w:col w:w="5812"/>
          </w:cols>
        </w:sectPr>
      </w:pPr>
    </w:p>
    <w:p>
      <w:pPr>
        <w:pStyle w:val="BodyText"/>
        <w:spacing w:before="8"/>
      </w:pPr>
    </w:p>
    <w:p>
      <w:pPr>
        <w:pStyle w:val="BodyText"/>
        <w:spacing w:line="20" w:lineRule="exact"/>
        <w:ind w:left="20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spacing w:after="0" w:line="20" w:lineRule="exact"/>
        <w:rPr>
          <w:sz w:val="2"/>
        </w:rPr>
        <w:sectPr>
          <w:type w:val="continuous"/>
          <w:pgSz w:w="11900" w:h="16840"/>
          <w:pgMar w:top="1260" w:bottom="280" w:left="640" w:right="640"/>
        </w:sectPr>
      </w:pPr>
    </w:p>
    <w:p>
      <w:pPr>
        <w:pStyle w:val="BodyText"/>
        <w:spacing w:before="6"/>
        <w:rPr>
          <w:sz w:val="29"/>
        </w:rPr>
      </w:pPr>
    </w:p>
    <w:p>
      <w:pPr>
        <w:pStyle w:val="BodyText"/>
        <w:spacing w:line="20" w:lineRule="exact"/>
        <w:ind w:left="201"/>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2"/>
        <w:rPr>
          <w:sz w:val="26"/>
        </w:rPr>
      </w:pPr>
      <w:r>
        <w:rPr/>
        <w:pict>
          <v:shape style="position:absolute;margin-left:42.299999pt;margin-top:17.25pt;width:4.350pt;height:.1pt;mso-position-horizontal-relative:page;mso-position-vertical-relative:paragraph;z-index:-15493120;mso-wrap-distance-left:0;mso-wrap-distance-right:0" coordorigin="846,345" coordsize="87,0" path="m846,345l933,345e" filled="false" stroked="true" strokeweight=".5pt" strokecolor="#000000">
            <v:path arrowok="t"/>
            <v:stroke dashstyle="solid"/>
            <w10:wrap type="topAndBottom"/>
          </v:shape>
        </w:pict>
      </w:r>
      <w:r>
        <w:rPr/>
        <w:pict>
          <v:shape style="position:absolute;margin-left:42.299999pt;margin-top:35.25pt;width:4.350pt;height:.1pt;mso-position-horizontal-relative:page;mso-position-vertical-relative:paragraph;z-index:-15492608;mso-wrap-distance-left:0;mso-wrap-distance-right:0" coordorigin="846,705" coordsize="87,0" path="m846,705l933,705e" filled="false" stroked="true" strokeweight=".5pt" strokecolor="#000000">
            <v:path arrowok="t"/>
            <v:stroke dashstyle="solid"/>
            <w10:wrap type="topAndBottom"/>
          </v:shape>
        </w:pict>
      </w:r>
      <w:r>
        <w:rPr/>
        <w:pict>
          <v:shape style="position:absolute;margin-left:42.299999pt;margin-top:53.745998pt;width:4.350pt;height:.1pt;mso-position-horizontal-relative:page;mso-position-vertical-relative:paragraph;z-index:-15492096;mso-wrap-distance-left:0;mso-wrap-distance-right:0" coordorigin="846,1075" coordsize="87,0" path="m846,1075l933,1075e" filled="false" stroked="true" strokeweight=".5pt" strokecolor="#000000">
            <v:path arrowok="t"/>
            <v:stroke dashstyle="solid"/>
            <w10:wrap type="topAndBottom"/>
          </v:shape>
        </w:pict>
      </w:r>
      <w:r>
        <w:rPr/>
        <w:pict>
          <v:shape style="position:absolute;margin-left:42.299999pt;margin-top:71.25pt;width:4.350pt;height:.1pt;mso-position-horizontal-relative:page;mso-position-vertical-relative:paragraph;z-index:-15491584;mso-wrap-distance-left:0;mso-wrap-distance-right:0" coordorigin="846,1425" coordsize="87,0" path="m846,1425l933,1425e" filled="false" stroked="true" strokeweight=".5pt" strokecolor="#000000">
            <v:path arrowok="t"/>
            <v:stroke dashstyle="solid"/>
            <w10:wrap type="topAndBottom"/>
          </v:shape>
        </w:pict>
      </w:r>
      <w:r>
        <w:rPr/>
        <w:pict>
          <v:shape style="position:absolute;margin-left:42.299999pt;margin-top:89.25pt;width:4.350pt;height:.1pt;mso-position-horizontal-relative:page;mso-position-vertical-relative:paragraph;z-index:-15491072;mso-wrap-distance-left:0;mso-wrap-distance-right:0" coordorigin="846,1785" coordsize="87,0" path="m846,1785l933,1785e" filled="false" stroked="true" strokeweight=".5pt" strokecolor="#000000">
            <v:path arrowok="t"/>
            <v:stroke dashstyle="solid"/>
            <w10:wrap type="topAndBottom"/>
          </v:shape>
        </w:pict>
      </w:r>
    </w:p>
    <w:p>
      <w:pPr>
        <w:pStyle w:val="BodyText"/>
        <w:spacing w:before="6"/>
      </w:pPr>
    </w:p>
    <w:p>
      <w:pPr>
        <w:pStyle w:val="BodyText"/>
        <w:spacing w:before="4"/>
        <w:rPr>
          <w:sz w:val="25"/>
        </w:rPr>
      </w:pPr>
    </w:p>
    <w:p>
      <w:pPr>
        <w:pStyle w:val="BodyText"/>
        <w:spacing w:before="7"/>
        <w:rPr>
          <w:sz w:val="23"/>
        </w:rPr>
      </w:pPr>
    </w:p>
    <w:p>
      <w:pPr>
        <w:pStyle w:val="BodyText"/>
        <w:spacing w:before="6"/>
      </w:pPr>
    </w:p>
    <w:p>
      <w:pPr>
        <w:pStyle w:val="BodyText"/>
        <w:rPr>
          <w:sz w:val="12"/>
        </w:rPr>
      </w:pPr>
    </w:p>
    <w:p>
      <w:pPr>
        <w:spacing w:line="107" w:lineRule="exact" w:before="87"/>
        <w:ind w:left="192" w:right="0" w:firstLine="0"/>
        <w:jc w:val="left"/>
        <w:rPr>
          <w:sz w:val="12"/>
        </w:rPr>
      </w:pPr>
      <w:r>
        <w:rPr>
          <w:sz w:val="12"/>
        </w:rPr>
        <w:t>Source: CIPS.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6"/>
        </w:rPr>
      </w:pPr>
    </w:p>
    <w:p>
      <w:pPr>
        <w:spacing w:before="0"/>
        <w:ind w:left="2521" w:right="0" w:firstLine="0"/>
        <w:jc w:val="left"/>
        <w:rPr>
          <w:sz w:val="12"/>
        </w:rPr>
      </w:pPr>
      <w:r>
        <w:rPr>
          <w:sz w:val="12"/>
        </w:rPr>
        <w:t>45</w:t>
      </w:r>
    </w:p>
    <w:p>
      <w:pPr>
        <w:pStyle w:val="BodyText"/>
        <w:rPr>
          <w:sz w:val="12"/>
        </w:rPr>
      </w:pPr>
    </w:p>
    <w:p>
      <w:pPr>
        <w:spacing w:line="122" w:lineRule="exact" w:before="84"/>
        <w:ind w:left="2521" w:right="0" w:firstLine="0"/>
        <w:jc w:val="left"/>
        <w:rPr>
          <w:sz w:val="12"/>
        </w:rPr>
      </w:pPr>
      <w:r>
        <w:rPr/>
        <w:pict>
          <v:shape style="position:absolute;margin-left:50.991001pt;margin-top:2.518535pt;width:152.4pt;height:5.8pt;mso-position-horizontal-relative:page;mso-position-vertical-relative:paragraph;z-index:15984128" coordorigin="1020,50" coordsize="3048,116" path="m1020,166l3914,166m1021,50l1021,166m1296,120l1296,166m1572,120l1572,166m1710,120l1710,166m1847,120l1847,166m1985,120l1985,166m2260,120l2260,166m2123,120l2123,166m2398,120l2398,166m2536,120l2536,166m1159,120l1159,166m1434,120l1434,166m2673,50l2673,166m2949,120l2949,166m3224,120l3224,166m3362,120l3362,166m3500,120l3500,166m3637,120l3637,166m3913,120l3913,166m3775,120l3775,166m2811,120l2811,166m3087,120l3087,166m3980,159l4067,159e" filled="false" stroked="true" strokeweight=".5pt" strokecolor="#000000">
            <v:path arrowok="t"/>
            <v:stroke dashstyle="solid"/>
            <w10:wrap type="none"/>
          </v:shape>
        </w:pict>
      </w:r>
      <w:r>
        <w:rPr/>
        <w:pict>
          <v:line style="position:absolute;mso-position-horizontal-relative:page;mso-position-vertical-relative:paragraph;z-index:15984640" from="199.022995pt,-10.028465pt" to="203.354995pt,-10.028465pt" stroked="true" strokeweight=".5pt" strokecolor="#000000">
            <v:stroke dashstyle="solid"/>
            <w10:wrap type="none"/>
          </v:line>
        </w:pict>
      </w:r>
      <w:r>
        <w:rPr>
          <w:sz w:val="12"/>
        </w:rPr>
        <w:t>40</w:t>
      </w:r>
    </w:p>
    <w:p>
      <w:pPr>
        <w:tabs>
          <w:tab w:pos="1676" w:val="left" w:leader="none"/>
        </w:tabs>
        <w:spacing w:line="122" w:lineRule="exact" w:before="0"/>
        <w:ind w:left="41" w:right="0" w:firstLine="0"/>
        <w:jc w:val="left"/>
        <w:rPr>
          <w:sz w:val="12"/>
        </w:rPr>
      </w:pPr>
      <w:r>
        <w:rPr>
          <w:sz w:val="12"/>
        </w:rPr>
        <w:t>1999</w:t>
        <w:tab/>
        <w:t>2000</w:t>
      </w:r>
    </w:p>
    <w:p>
      <w:pPr>
        <w:pStyle w:val="BodyText"/>
        <w:spacing w:line="257" w:lineRule="exact"/>
        <w:ind w:left="192"/>
      </w:pPr>
      <w:r>
        <w:rPr/>
        <w:br w:type="column"/>
      </w:r>
      <w:r>
        <w:rPr/>
        <w:t>Construction sector output has been particularly erratic</w:t>
      </w:r>
    </w:p>
    <w:p>
      <w:pPr>
        <w:pStyle w:val="BodyText"/>
        <w:spacing w:line="242" w:lineRule="auto" w:before="4"/>
        <w:ind w:left="192" w:right="148"/>
      </w:pPr>
      <w:r>
        <w:rPr/>
        <w:t>this year and fell by 1.7% in Q2 following an unusually strong rise of 3.1% in the first quarter, perhaps reflecting abnormal fluctuations in the weather. Survey indicators and evidence from the Bank’s regional Agents point to a bounce-back in growth in the third quarter. The Euler Trade Indemnity Quarterly Financial Trends survey reported a marked rise in construction activity in Q3.</w:t>
      </w:r>
    </w:p>
    <w:p>
      <w:pPr>
        <w:pStyle w:val="BodyText"/>
        <w:spacing w:before="9"/>
        <w:ind w:left="192"/>
      </w:pPr>
      <w:r>
        <w:rPr/>
        <w:t>The CIPS survey of construction also pointed to robust</w:t>
      </w:r>
    </w:p>
    <w:p>
      <w:pPr>
        <w:spacing w:after="0"/>
        <w:sectPr>
          <w:type w:val="continuous"/>
          <w:pgSz w:w="11900" w:h="16840"/>
          <w:pgMar w:top="1260" w:bottom="280" w:left="640" w:right="640"/>
          <w:cols w:num="3" w:equalWidth="0">
            <w:col w:w="903" w:space="40"/>
            <w:col w:w="2682" w:space="1163"/>
            <w:col w:w="5832"/>
          </w:cols>
        </w:sectPr>
      </w:pPr>
    </w:p>
    <w:p>
      <w:pPr>
        <w:pStyle w:val="BodyText"/>
        <w:spacing w:before="9"/>
        <w:rPr>
          <w:sz w:val="12"/>
        </w:rPr>
      </w:pPr>
    </w:p>
    <w:p>
      <w:pPr>
        <w:pStyle w:val="ListParagraph"/>
        <w:numPr>
          <w:ilvl w:val="0"/>
          <w:numId w:val="24"/>
        </w:numPr>
        <w:tabs>
          <w:tab w:pos="433" w:val="left" w:leader="none"/>
        </w:tabs>
        <w:spacing w:line="208" w:lineRule="auto" w:before="1" w:after="0"/>
        <w:ind w:left="432" w:right="38" w:hanging="240"/>
        <w:jc w:val="left"/>
        <w:rPr>
          <w:sz w:val="12"/>
        </w:rPr>
      </w:pPr>
      <w:r>
        <w:rPr>
          <w:sz w:val="12"/>
        </w:rPr>
        <w:t>A</w:t>
      </w:r>
      <w:r>
        <w:rPr>
          <w:spacing w:val="-6"/>
          <w:sz w:val="12"/>
        </w:rPr>
        <w:t> </w:t>
      </w:r>
      <w:r>
        <w:rPr>
          <w:sz w:val="12"/>
        </w:rPr>
        <w:t>reading</w:t>
      </w:r>
      <w:r>
        <w:rPr>
          <w:spacing w:val="-5"/>
          <w:sz w:val="12"/>
        </w:rPr>
        <w:t> </w:t>
      </w:r>
      <w:r>
        <w:rPr>
          <w:sz w:val="12"/>
        </w:rPr>
        <w:t>above</w:t>
      </w:r>
      <w:r>
        <w:rPr>
          <w:spacing w:val="-5"/>
          <w:sz w:val="12"/>
        </w:rPr>
        <w:t> </w:t>
      </w:r>
      <w:r>
        <w:rPr>
          <w:sz w:val="12"/>
        </w:rPr>
        <w:t>50</w:t>
      </w:r>
      <w:r>
        <w:rPr>
          <w:spacing w:val="-5"/>
          <w:sz w:val="12"/>
        </w:rPr>
        <w:t> </w:t>
      </w:r>
      <w:r>
        <w:rPr>
          <w:sz w:val="12"/>
        </w:rPr>
        <w:t>suggests</w:t>
      </w:r>
      <w:r>
        <w:rPr>
          <w:spacing w:val="-5"/>
          <w:sz w:val="12"/>
        </w:rPr>
        <w:t> </w:t>
      </w:r>
      <w:r>
        <w:rPr>
          <w:sz w:val="12"/>
        </w:rPr>
        <w:t>expansion,</w:t>
      </w:r>
      <w:r>
        <w:rPr>
          <w:spacing w:val="-5"/>
          <w:sz w:val="12"/>
        </w:rPr>
        <w:t> </w:t>
      </w:r>
      <w:r>
        <w:rPr>
          <w:sz w:val="12"/>
        </w:rPr>
        <w:t>a</w:t>
      </w:r>
      <w:r>
        <w:rPr>
          <w:spacing w:val="-5"/>
          <w:sz w:val="12"/>
        </w:rPr>
        <w:t> </w:t>
      </w:r>
      <w:r>
        <w:rPr>
          <w:sz w:val="12"/>
        </w:rPr>
        <w:t>reading</w:t>
      </w:r>
      <w:r>
        <w:rPr>
          <w:spacing w:val="-5"/>
          <w:sz w:val="12"/>
        </w:rPr>
        <w:t> </w:t>
      </w:r>
      <w:r>
        <w:rPr>
          <w:sz w:val="12"/>
        </w:rPr>
        <w:t>below</w:t>
      </w:r>
      <w:r>
        <w:rPr>
          <w:spacing w:val="-5"/>
          <w:sz w:val="12"/>
        </w:rPr>
        <w:t> </w:t>
      </w:r>
      <w:r>
        <w:rPr>
          <w:sz w:val="12"/>
        </w:rPr>
        <w:t>50</w:t>
      </w:r>
      <w:r>
        <w:rPr>
          <w:spacing w:val="-6"/>
          <w:sz w:val="12"/>
        </w:rPr>
        <w:t> </w:t>
      </w:r>
      <w:r>
        <w:rPr>
          <w:sz w:val="12"/>
        </w:rPr>
        <w:t>suggests contraction.</w:t>
      </w:r>
    </w:p>
    <w:p>
      <w:pPr>
        <w:pStyle w:val="ListParagraph"/>
        <w:numPr>
          <w:ilvl w:val="0"/>
          <w:numId w:val="24"/>
        </w:numPr>
        <w:tabs>
          <w:tab w:pos="433" w:val="left" w:leader="none"/>
        </w:tabs>
        <w:spacing w:line="123" w:lineRule="exact" w:before="0" w:after="0"/>
        <w:ind w:left="432" w:right="0" w:hanging="241"/>
        <w:jc w:val="left"/>
        <w:rPr>
          <w:sz w:val="12"/>
        </w:rPr>
      </w:pPr>
      <w:r>
        <w:rPr>
          <w:sz w:val="12"/>
        </w:rPr>
        <w:t>Not seasonally</w:t>
      </w:r>
      <w:r>
        <w:rPr>
          <w:spacing w:val="-3"/>
          <w:sz w:val="12"/>
        </w:rPr>
        <w:t> </w:t>
      </w:r>
      <w:r>
        <w:rPr>
          <w:sz w:val="12"/>
        </w:rPr>
        <w:t>adjusted.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3"/>
        </w:rPr>
      </w:pPr>
    </w:p>
    <w:p>
      <w:pPr>
        <w:spacing w:before="0"/>
        <w:ind w:left="185" w:right="0" w:firstLine="0"/>
        <w:jc w:val="left"/>
        <w:rPr>
          <w:b/>
          <w:sz w:val="20"/>
        </w:rPr>
      </w:pPr>
      <w:r>
        <w:rPr>
          <w:b/>
          <w:color w:val="0092C7"/>
          <w:sz w:val="20"/>
        </w:rPr>
        <w:t>Chart 2.20</w:t>
      </w:r>
    </w:p>
    <w:p>
      <w:pPr>
        <w:spacing w:line="249" w:lineRule="auto" w:before="10"/>
        <w:ind w:left="185" w:right="0" w:firstLine="0"/>
        <w:jc w:val="left"/>
        <w:rPr>
          <w:sz w:val="12"/>
        </w:rPr>
      </w:pPr>
      <w:r>
        <w:rPr>
          <w:b/>
          <w:color w:val="0092C7"/>
          <w:sz w:val="20"/>
        </w:rPr>
        <w:t>Private housing starts, net site visits and reservations</w:t>
      </w:r>
      <w:r>
        <w:rPr>
          <w:position w:val="4"/>
          <w:sz w:val="12"/>
        </w:rPr>
        <w:t>(a)</w:t>
      </w:r>
    </w:p>
    <w:p>
      <w:pPr>
        <w:pStyle w:val="BodyText"/>
        <w:spacing w:line="242" w:lineRule="auto"/>
        <w:ind w:left="185" w:right="209"/>
      </w:pPr>
      <w:r>
        <w:rPr/>
        <w:br w:type="column"/>
      </w:r>
      <w:r>
        <w:rPr/>
        <w:t>growth in output although the index has fallen recently, driven by weaker expansion in housebuilding activity (see Chart 2.19). Other indicators of housing market activity remain subdued compared with the recent past. For example, recent House Builders’ Federation survey balances suggest that site visits and net reservations remain well below levels a year earlier (see Chart 2.20).</w:t>
      </w:r>
    </w:p>
    <w:p>
      <w:pPr>
        <w:spacing w:after="0" w:line="242" w:lineRule="auto"/>
        <w:sectPr>
          <w:type w:val="continuous"/>
          <w:pgSz w:w="11900" w:h="16840"/>
          <w:pgMar w:top="1260" w:bottom="280" w:left="640" w:right="640"/>
          <w:cols w:num="2" w:equalWidth="0">
            <w:col w:w="3773" w:space="1021"/>
            <w:col w:w="5826"/>
          </w:cols>
        </w:sectPr>
      </w:pPr>
    </w:p>
    <w:p>
      <w:pPr>
        <w:pStyle w:val="BodyText"/>
        <w:spacing w:before="4"/>
        <w:rPr>
          <w:sz w:val="15"/>
        </w:rPr>
      </w:pPr>
    </w:p>
    <w:p>
      <w:pPr>
        <w:spacing w:line="130" w:lineRule="exact" w:before="0"/>
        <w:ind w:left="393" w:right="0" w:firstLine="0"/>
        <w:jc w:val="left"/>
        <w:rPr>
          <w:sz w:val="12"/>
        </w:rPr>
      </w:pPr>
      <w:r>
        <w:rPr>
          <w:sz w:val="12"/>
        </w:rPr>
        <w:t>Net balances</w:t>
      </w:r>
    </w:p>
    <w:p>
      <w:pPr>
        <w:spacing w:line="130" w:lineRule="exact" w:before="0"/>
        <w:ind w:left="225" w:right="0" w:firstLine="0"/>
        <w:jc w:val="left"/>
        <w:rPr>
          <w:sz w:val="12"/>
        </w:rPr>
      </w:pPr>
      <w:r>
        <w:rPr/>
        <w:pict>
          <v:line style="position:absolute;mso-position-horizontal-relative:page;mso-position-vertical-relative:paragraph;z-index:15968768" from="56.113999pt,3.469387pt" to="51.779999pt,3.469387pt" stroked="true" strokeweight=".5pt" strokecolor="#000000">
            <v:stroke dashstyle="solid"/>
            <w10:wrap type="none"/>
          </v:line>
        </w:pict>
      </w:r>
      <w:r>
        <w:rPr>
          <w:sz w:val="12"/>
        </w:rPr>
        <w:t>50</w:t>
      </w:r>
    </w:p>
    <w:p>
      <w:pPr>
        <w:pStyle w:val="BodyText"/>
        <w:spacing w:before="3"/>
        <w:rPr>
          <w:sz w:val="13"/>
        </w:rPr>
      </w:pPr>
    </w:p>
    <w:p>
      <w:pPr>
        <w:spacing w:before="0"/>
        <w:ind w:left="225" w:right="0" w:firstLine="0"/>
        <w:jc w:val="left"/>
        <w:rPr>
          <w:sz w:val="12"/>
        </w:rPr>
      </w:pPr>
      <w:r>
        <w:rPr/>
        <w:pict>
          <v:line style="position:absolute;mso-position-horizontal-relative:page;mso-position-vertical-relative:paragraph;z-index:15973888" from="56.113999pt,3.834136pt" to="51.779999pt,3.834136pt" stroked="true" strokeweight=".5pt" strokecolor="#000000">
            <v:stroke dashstyle="solid"/>
            <w10:wrap type="none"/>
          </v:line>
        </w:pict>
      </w:r>
      <w:r>
        <w:rPr>
          <w:sz w:val="12"/>
        </w:rPr>
        <w:t>40</w:t>
      </w:r>
    </w:p>
    <w:p>
      <w:pPr>
        <w:pStyle w:val="BodyText"/>
        <w:spacing w:before="2"/>
        <w:rPr>
          <w:sz w:val="13"/>
        </w:rPr>
      </w:pPr>
    </w:p>
    <w:p>
      <w:pPr>
        <w:spacing w:before="0"/>
        <w:ind w:left="225" w:right="0" w:firstLine="0"/>
        <w:jc w:val="left"/>
        <w:rPr>
          <w:sz w:val="12"/>
        </w:rPr>
      </w:pPr>
      <w:r>
        <w:rPr/>
        <w:pict>
          <v:line style="position:absolute;mso-position-horizontal-relative:page;mso-position-vertical-relative:paragraph;z-index:15969280" from="56.113999pt,3.777953pt" to="51.779999pt,3.777953pt" stroked="true" strokeweight=".5pt" strokecolor="#000000">
            <v:stroke dashstyle="solid"/>
            <w10:wrap type="none"/>
          </v:line>
        </w:pict>
      </w:r>
      <w:r>
        <w:rPr>
          <w:sz w:val="12"/>
        </w:rPr>
        <w:t>30</w:t>
      </w:r>
    </w:p>
    <w:p>
      <w:pPr>
        <w:pStyle w:val="BodyText"/>
        <w:spacing w:before="3"/>
        <w:rPr>
          <w:sz w:val="13"/>
        </w:rPr>
      </w:pPr>
    </w:p>
    <w:p>
      <w:pPr>
        <w:spacing w:before="0"/>
        <w:ind w:left="225" w:right="0" w:firstLine="0"/>
        <w:jc w:val="left"/>
        <w:rPr>
          <w:sz w:val="12"/>
        </w:rPr>
      </w:pPr>
      <w:r>
        <w:rPr/>
        <w:pict>
          <v:line style="position:absolute;mso-position-horizontal-relative:page;mso-position-vertical-relative:paragraph;z-index:15974400" from="56.113999pt,3.791739pt" to="51.779999pt,3.791739pt" stroked="true" strokeweight=".5pt" strokecolor="#000000">
            <v:stroke dashstyle="solid"/>
            <w10:wrap type="none"/>
          </v:line>
        </w:pict>
      </w:r>
      <w:r>
        <w:rPr>
          <w:sz w:val="12"/>
        </w:rPr>
        <w:t>20</w:t>
      </w:r>
    </w:p>
    <w:p>
      <w:pPr>
        <w:pStyle w:val="BodyText"/>
        <w:spacing w:before="2"/>
        <w:rPr>
          <w:sz w:val="13"/>
        </w:rPr>
      </w:pPr>
    </w:p>
    <w:p>
      <w:pPr>
        <w:spacing w:line="72" w:lineRule="exact" w:before="1"/>
        <w:ind w:left="225" w:right="0" w:firstLine="0"/>
        <w:jc w:val="left"/>
        <w:rPr>
          <w:sz w:val="12"/>
        </w:rPr>
      </w:pPr>
      <w:r>
        <w:rPr>
          <w:sz w:val="12"/>
        </w:rPr>
        <w:t>10</w:t>
      </w:r>
    </w:p>
    <w:p>
      <w:pPr>
        <w:pStyle w:val="BodyText"/>
        <w:spacing w:line="20" w:lineRule="exact"/>
        <w:ind w:left="390"/>
        <w:rPr>
          <w:sz w:val="2"/>
        </w:rPr>
      </w:pPr>
      <w:r>
        <w:rPr>
          <w:sz w:val="2"/>
        </w:rPr>
        <w:pict>
          <v:group style="width:4.350pt;height:.5pt;mso-position-horizontal-relative:char;mso-position-vertical-relative:line" coordorigin="0,0" coordsize="87,10">
            <v:line style="position:absolute" from="87,5" to="0,5" stroked="true" strokeweight=".5pt" strokecolor="#000000">
              <v:stroke dashstyle="solid"/>
            </v:line>
          </v:group>
        </w:pict>
      </w:r>
      <w:r>
        <w:rPr>
          <w:sz w:val="2"/>
        </w:rPr>
      </w:r>
    </w:p>
    <w:p>
      <w:pPr>
        <w:spacing w:line="196" w:lineRule="auto" w:before="84"/>
        <w:ind w:left="262" w:right="216" w:hanging="37"/>
        <w:jc w:val="left"/>
        <w:rPr>
          <w:sz w:val="12"/>
        </w:rPr>
      </w:pPr>
      <w:r>
        <w:rPr/>
        <w:br w:type="column"/>
      </w:r>
      <w:r>
        <w:rPr>
          <w:sz w:val="12"/>
        </w:rPr>
        <w:t>Percentage change, three months on a year earlier</w:t>
      </w:r>
    </w:p>
    <w:p>
      <w:pPr>
        <w:spacing w:line="135" w:lineRule="exact" w:before="0"/>
        <w:ind w:left="1497" w:right="0" w:firstLine="0"/>
        <w:jc w:val="left"/>
        <w:rPr>
          <w:sz w:val="12"/>
        </w:rPr>
      </w:pPr>
      <w:r>
        <w:rPr/>
        <w:pict>
          <v:group style="position:absolute;margin-left:60.154999pt;margin-top:10.828505pt;width:144.9pt;height:100.05pt;mso-position-horizontal-relative:page;mso-position-vertical-relative:paragraph;z-index:-22684672" coordorigin="1203,217" coordsize="2898,2001">
            <v:shape style="position:absolute;left:1203;top:1536;width:383;height:665" type="#_x0000_t75" stroked="false">
              <v:imagedata r:id="rId104" o:title=""/>
            </v:shape>
            <v:shape style="position:absolute;left:1575;top:419;width:768;height:1160" coordorigin="1576,419" coordsize="768,1160" path="m1576,1547l1631,1064m1631,1064l1671,839m1671,839l1726,517m1726,517l1778,644m1778,644l1833,484m1833,484l1886,532m1886,532l1941,419m1941,419l1981,724m1981,724l2033,1014m2033,1014l2088,1177m2088,1177l2141,1272m2141,1272l2196,1322m2196,1322l2236,1529m2236,1529l2291,1499m2291,1499l2343,1579e" filled="false" stroked="true" strokeweight="1pt" strokecolor="#c0a2c7">
              <v:path arrowok="t"/>
              <v:stroke dashstyle="solid"/>
            </v:shape>
            <v:line style="position:absolute" from="2333,1580" to="2408,1580" stroked="true" strokeweight="1.125pt" strokecolor="#c0a2c7">
              <v:stroke dashstyle="solid"/>
            </v:line>
            <v:shape style="position:absolute;left:2398;top:1354;width:403;height:483" coordorigin="2398,1354" coordsize="403,483" path="m2398,1579l2451,1772m2451,1772l2506,1739m2506,1739l2546,1837m2546,1837l2598,1804m2598,1804l2653,1659m2653,1659l2706,1529m2706,1529l2761,1354m2761,1354l2801,1659e" filled="false" stroked="true" strokeweight="1pt" strokecolor="#c0a2c7">
              <v:path arrowok="t"/>
              <v:stroke dashstyle="solid"/>
            </v:shape>
            <v:line style="position:absolute" from="2791,1660" to="2863,1660" stroked="true" strokeweight="1.125pt" strokecolor="#c0a2c7">
              <v:stroke dashstyle="solid"/>
            </v:line>
            <v:shape style="position:absolute;left:2853;top:1659;width:215;height:290" coordorigin="2853,1659" coordsize="215,290" path="m2853,1659l2908,1949m2908,1949l2961,1852m2961,1852l3016,1819m3016,1819l3068,1707e" filled="false" stroked="true" strokeweight="1pt" strokecolor="#c0a2c7">
              <v:path arrowok="t"/>
              <v:stroke dashstyle="solid"/>
            </v:shape>
            <v:shape style="position:absolute;left:3058;top:1707;width:115;height:2" coordorigin="3058,1708" coordsize="115,0" path="m3058,1708l3121,1708m3101,1708l3173,1708e" filled="false" stroked="true" strokeweight="1.125pt" strokecolor="#c0a2c7">
              <v:path arrowok="t"/>
              <v:stroke dashstyle="solid"/>
            </v:shape>
            <v:shape style="position:absolute;left:3163;top:1256;width:928;height:450" coordorigin="3163,1257" coordsize="928,450" path="m3163,1707l3218,1499m3218,1499l3271,1547m3271,1547l3326,1482m3326,1482l3378,1707m3378,1707l3418,1449m3418,1449l3473,1529m3473,1529l3526,1257m3526,1257l3581,1322m3581,1322l3633,1337m3633,1337l3676,1369m3676,1369l3728,1449m3728,1449l3783,1322m3783,1322l3836,1579m3836,1579l3891,1482m3891,1482l3943,1514m3943,1514l3983,1337m3983,1337l4038,1434m4038,1434l4091,1562e" filled="false" stroked="true" strokeweight="1pt" strokecolor="#c0a2c7">
              <v:path arrowok="t"/>
              <v:stroke dashstyle="solid"/>
            </v:shape>
            <v:shape style="position:absolute;left:1213;top:354;width:513;height:1418" coordorigin="1213,354" coordsize="513,1418" path="m1213,1772l1268,1659m1268,1659l1321,1579m1321,1579l1361,1417m1361,1417l1416,1127m1416,1127l1468,789m1468,789l1523,662m1523,662l1576,484m1576,484l1631,467m1631,467l1671,354m1671,354l1726,387e" filled="false" stroked="true" strokeweight="1pt" strokecolor="#44af34">
              <v:path arrowok="t"/>
              <v:stroke dashstyle="solid"/>
            </v:shape>
            <v:line style="position:absolute" from="1716,388" to="1788,388" stroked="true" strokeweight="1.125pt" strokecolor="#44af34">
              <v:stroke dashstyle="solid"/>
            </v:line>
            <v:shape style="position:absolute;left:1778;top:226;width:2313;height:1980" coordorigin="1778,227" coordsize="2313,1980" path="m1778,387l1833,372m1833,372l1886,419m1886,419l1941,517m1941,517l1981,724m1981,724l2033,952m2033,952l2088,887m2088,887l2141,757m2141,757l2196,709m2196,709l2236,822m2236,822l2291,1097m2291,1097l2343,1159m2343,1159l2398,1224m2398,1224l2451,1337m2451,1337l2506,1482m2506,1482l2546,1529m2546,1529l2598,1499m2598,1499l2653,1467m2653,1467l2706,1514m2706,1514l2761,1594m2761,1594l2801,1562m2801,1562l2853,1659m2853,1659l2908,1514m2908,1514l2961,1594m2961,1594l3016,1547m3016,1547l3068,1449m3068,1449l3111,1127m3111,1127l3163,982m3163,982l3218,1014m3218,1014l3271,1064m3271,1064l3326,854m3326,854l3378,549m3378,549l3418,322m3418,322l3473,227m3473,227l3526,387m3526,387l3581,549m3581,549l3633,742m3633,742l3676,967m3676,967l3728,1257m3728,1257l3783,1449m3783,1449l3836,1547m3836,1547l3891,1627m3891,1627l3943,1837m3943,1837l3983,2077m3983,2077l4038,2192m4038,2192l4091,2207e" filled="false" stroked="true" strokeweight="1pt" strokecolor="#44af34">
              <v:path arrowok="t"/>
              <v:stroke dashstyle="solid"/>
            </v:shape>
            <v:shape style="position:absolute;left:1213;top:789;width:458;height:1128" coordorigin="1213,789" coordsize="458,1128" path="m1213,1917l1268,1869m1268,1869l1321,1804m1321,1804l1361,1739m1361,1739l1416,1467m1416,1467l1468,1209m1468,1209l1523,1192m1523,1192l1576,1097m1576,1097l1631,1014m1631,1014l1671,789e" filled="false" stroked="true" strokeweight="1pt" strokecolor="#006caa">
              <v:path arrowok="t"/>
              <v:stroke dashstyle="solid"/>
            </v:shape>
            <v:line style="position:absolute" from="1661,790" to="1736,790" stroked="true" strokeweight="1.125pt" strokecolor="#006caa">
              <v:stroke dashstyle="solid"/>
            </v:line>
            <v:shape style="position:absolute;left:1725;top:709;width:780;height:773" coordorigin="1726,709" coordsize="780,773" path="m1726,789l1778,709m1778,709l1833,742m1833,742l1886,919m1886,919l1941,952m1941,952l1981,1144m1981,1144l2033,1272m2033,1272l2088,1322m2088,1322l2141,1014m2141,1014l2196,952m2196,952l2236,1112m2236,1112l2291,1354m2291,1354l2343,1322m2343,1322l2398,1289m2398,1289l2451,1402m2451,1402l2506,1482e" filled="false" stroked="true" strokeweight="1pt" strokecolor="#006caa">
              <v:path arrowok="t"/>
              <v:stroke dashstyle="solid"/>
            </v:shape>
            <v:line style="position:absolute" from="2496,1483" to="2556,1483" stroked="true" strokeweight="1.125pt" strokecolor="#006caa">
              <v:stroke dashstyle="solid"/>
            </v:line>
            <v:shape style="position:absolute;left:2545;top:1401;width:108;height:80" coordorigin="2546,1402" coordsize="108,80" path="m2546,1482l2598,1434m2598,1434l2653,1402e" filled="false" stroked="true" strokeweight="1pt" strokecolor="#006caa">
              <v:path arrowok="t"/>
              <v:stroke dashstyle="solid"/>
            </v:shape>
            <v:shape style="position:absolute;left:2643;top:1402;width:128;height:2" coordorigin="2643,1403" coordsize="128,0" path="m2643,1403l2716,1403m2696,1403l2771,1403e" filled="false" stroked="true" strokeweight="1.125pt" strokecolor="#006caa">
              <v:path arrowok="t"/>
              <v:stroke dashstyle="solid"/>
            </v:shape>
            <v:shape style="position:absolute;left:2760;top:741;width:1330;height:1305" coordorigin="2761,742" coordsize="1330,1305" path="m2761,1402l2801,1482m2801,1482l2853,1579m2853,1579l2908,1739m2908,1739l2961,1789m2961,1789l3016,1837m3016,1837l3068,1707m3068,1707l3111,1547m3111,1547l3163,1449m3163,1449l3218,1499m3218,1499l3271,1514m3271,1514l3326,1434m3326,1434l3378,1257m3378,1257l3418,1014m3418,1014l3473,887m3473,887l3526,742m3526,742l3581,919m3581,919l3633,1079m3633,1079l3676,1304m3676,1304l3728,1417m3728,1417l3783,1514m3783,1514l3836,1579m3836,1579l3891,1804m3891,1804l3943,1982m3943,1982l3983,2047m3983,2047l4038,2014m4038,2014l4091,1949e" filled="false" stroked="true" strokeweight="1pt" strokecolor="#006caa">
              <v:path arrowok="t"/>
              <v:stroke dashstyle="solid"/>
            </v:shape>
            <v:line style="position:absolute" from="1874,1769" to="1874,1041" stroked="true" strokeweight=".625pt" strokecolor="#000000">
              <v:stroke dashstyle="solid"/>
            </v:line>
            <v:shape style="position:absolute;left:1842;top:956;width:64;height:106" coordorigin="1842,956" coordsize="64,106" path="m1874,956l1856,1026,1842,1062,1905,1062,1882,995,1875,967,1874,956xe" filled="true" fillcolor="#000000" stroked="false">
              <v:path arrowok="t"/>
              <v:fill type="solid"/>
            </v:shape>
            <v:line style="position:absolute" from="3378,2217" to="3378,1827" stroked="true" strokeweight=".625pt" strokecolor="#000000">
              <v:stroke dashstyle="solid"/>
            </v:line>
            <v:shape style="position:absolute;left:3346;top:1742;width:64;height:106" coordorigin="3346,1743" coordsize="64,106" path="m3378,1743l3360,1812,3346,1849,3409,1849,3386,1782,3379,1754,3378,1743xe" filled="true" fillcolor="#000000" stroked="false">
              <v:path arrowok="t"/>
              <v:fill type="solid"/>
            </v:shape>
            <v:line style="position:absolute" from="1206,1505" to="4094,1505" stroked="true" strokeweight=".5pt" strokecolor="#000000">
              <v:stroke dashstyle="solid"/>
            </v:line>
            <v:shape style="position:absolute;left:2253;top:472;width:841;height:358" type="#_x0000_t202" filled="false" stroked="false">
              <v:textbox inset="0,0,0,0">
                <w:txbxContent>
                  <w:p>
                    <w:pPr>
                      <w:spacing w:line="196" w:lineRule="auto" w:before="15"/>
                      <w:ind w:left="37" w:right="18" w:hanging="38"/>
                      <w:jc w:val="left"/>
                      <w:rPr>
                        <w:sz w:val="12"/>
                      </w:rPr>
                    </w:pPr>
                    <w:r>
                      <w:rPr>
                        <w:sz w:val="12"/>
                      </w:rPr>
                      <w:t>Net site reservations (b) (left-hand scale)</w:t>
                    </w:r>
                  </w:p>
                </w:txbxContent>
              </v:textbox>
              <w10:wrap type="none"/>
            </v:shape>
            <v:shape style="position:absolute;left:1583;top:1818;width:832;height:240" type="#_x0000_t202" filled="false" stroked="false">
              <v:textbox inset="0,0,0,0">
                <w:txbxContent>
                  <w:p>
                    <w:pPr>
                      <w:spacing w:line="184" w:lineRule="auto" w:before="20"/>
                      <w:ind w:left="28" w:right="18" w:hanging="29"/>
                      <w:jc w:val="left"/>
                      <w:rPr>
                        <w:sz w:val="12"/>
                      </w:rPr>
                    </w:pPr>
                    <w:r>
                      <w:rPr>
                        <w:sz w:val="12"/>
                      </w:rPr>
                      <w:t>Site visits (b) (left-hand scale)</w:t>
                    </w:r>
                  </w:p>
                </w:txbxContent>
              </v:textbox>
              <w10:wrap type="none"/>
            </v:shape>
            <w10:wrap type="none"/>
          </v:group>
        </w:pict>
      </w:r>
      <w:r>
        <w:rPr/>
        <w:pict>
          <v:line style="position:absolute;mso-position-horizontal-relative:page;mso-position-vertical-relative:paragraph;z-index:15976448" from="213.048005pt,3.276505pt" to="208.714005pt,3.276505pt" stroked="true" strokeweight=".5pt" strokecolor="#000000">
            <v:stroke dashstyle="solid"/>
            <w10:wrap type="none"/>
          </v:line>
        </w:pict>
      </w:r>
      <w:r>
        <w:rPr>
          <w:sz w:val="12"/>
        </w:rPr>
        <w:t>40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5978496" from="213.048005pt,7.289372pt" to="208.714005pt,7.289372pt" stroked="true" strokeweight=".5pt" strokecolor="#000000">
            <v:stroke dashstyle="solid"/>
            <w10:wrap type="none"/>
          </v:line>
        </w:pict>
      </w:r>
      <w:r>
        <w:rPr>
          <w:sz w:val="12"/>
        </w:rPr>
        <w:t>30</w:t>
      </w:r>
    </w:p>
    <w:p>
      <w:pPr>
        <w:pStyle w:val="BodyText"/>
        <w:rPr>
          <w:sz w:val="12"/>
        </w:rPr>
      </w:pPr>
    </w:p>
    <w:p>
      <w:pPr>
        <w:spacing w:before="94"/>
        <w:ind w:left="0" w:right="38" w:firstLine="0"/>
        <w:jc w:val="right"/>
        <w:rPr>
          <w:sz w:val="12"/>
        </w:rPr>
      </w:pPr>
      <w:r>
        <w:rPr/>
        <w:pict>
          <v:line style="position:absolute;mso-position-horizontal-relative:page;mso-position-vertical-relative:paragraph;z-index:15979008" from="213.048005pt,8.096556pt" to="208.714005pt,8.096556pt" stroked="true" strokeweight=".5pt" strokecolor="#000000">
            <v:stroke dashstyle="solid"/>
            <w10:wrap type="none"/>
          </v:line>
        </w:pict>
      </w:r>
      <w:r>
        <w:rPr>
          <w:sz w:val="12"/>
        </w:rPr>
        <w:t>20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5976960" from="213.048005pt,7.239769pt" to="208.714005pt,7.239769pt" stroked="true" strokeweight=".5pt" strokecolor="#000000">
            <v:stroke dashstyle="solid"/>
            <w10:wrap type="none"/>
          </v:line>
        </w:pict>
      </w:r>
      <w:r>
        <w:rPr>
          <w:sz w:val="12"/>
        </w:rPr>
        <w:t>10</w:t>
      </w:r>
    </w:p>
    <w:p>
      <w:pPr>
        <w:pStyle w:val="Heading4"/>
        <w:numPr>
          <w:ilvl w:val="1"/>
          <w:numId w:val="20"/>
        </w:numPr>
        <w:tabs>
          <w:tab w:pos="4323" w:val="left" w:leader="none"/>
          <w:tab w:pos="4324" w:val="left" w:leader="none"/>
          <w:tab w:pos="5725" w:val="left" w:leader="none"/>
        </w:tabs>
        <w:spacing w:line="308" w:lineRule="exact" w:before="0" w:after="0"/>
        <w:ind w:left="4323" w:right="0" w:hanging="4099"/>
        <w:jc w:val="left"/>
        <w:rPr>
          <w:color w:val="009391"/>
        </w:rPr>
      </w:pPr>
      <w:r>
        <w:rPr>
          <w:color w:val="009391"/>
          <w:spacing w:val="-1"/>
          <w:u w:val="thick" w:color="0092C7"/>
        </w:rPr>
        <w:br w:type="column"/>
      </w:r>
      <w:r>
        <w:rPr>
          <w:color w:val="009391"/>
          <w:u w:val="thick" w:color="0092C7"/>
        </w:rPr>
        <w:t>Summary</w:t>
        <w:tab/>
      </w:r>
    </w:p>
    <w:p>
      <w:pPr>
        <w:pStyle w:val="BodyText"/>
        <w:spacing w:line="280" w:lineRule="atLeast" w:before="260"/>
        <w:ind w:left="225" w:right="354"/>
        <w:jc w:val="both"/>
      </w:pPr>
      <w:r>
        <w:rPr/>
        <w:t>Overall prospects for UK demand and output are little changed from the August </w:t>
      </w:r>
      <w:r>
        <w:rPr>
          <w:i/>
        </w:rPr>
        <w:t>Inflation Report </w:t>
      </w:r>
      <w:r>
        <w:rPr/>
        <w:t>projections. Despite erratic quarter-to-quarter fluctuations in GDP growth, its underlying pace seems to have eased. Final</w:t>
      </w:r>
    </w:p>
    <w:p>
      <w:pPr>
        <w:spacing w:after="0" w:line="280" w:lineRule="atLeast"/>
        <w:jc w:val="both"/>
        <w:sectPr>
          <w:type w:val="continuous"/>
          <w:pgSz w:w="11900" w:h="16840"/>
          <w:pgMar w:top="1260" w:bottom="280" w:left="640" w:right="640"/>
          <w:cols w:num="3" w:equalWidth="0">
            <w:col w:w="1050" w:space="1117"/>
            <w:col w:w="1658" w:space="929"/>
            <w:col w:w="5866"/>
          </w:cols>
        </w:sectPr>
      </w:pPr>
    </w:p>
    <w:p>
      <w:pPr>
        <w:tabs>
          <w:tab w:pos="3603" w:val="left" w:leader="none"/>
        </w:tabs>
        <w:spacing w:line="-19" w:lineRule="auto" w:before="0"/>
        <w:ind w:left="310" w:right="0" w:firstLine="0"/>
        <w:jc w:val="left"/>
        <w:rPr>
          <w:sz w:val="16"/>
        </w:rPr>
      </w:pPr>
      <w:r>
        <w:rPr>
          <w:position w:val="-2"/>
          <w:sz w:val="16"/>
        </w:rPr>
        <w:t>+</w:t>
        <w:tab/>
      </w:r>
      <w:r>
        <w:rPr>
          <w:sz w:val="16"/>
        </w:rPr>
        <w:t>+</w:t>
      </w:r>
    </w:p>
    <w:p>
      <w:pPr>
        <w:pStyle w:val="BodyText"/>
        <w:tabs>
          <w:tab w:pos="3724" w:val="left" w:leader="none"/>
          <w:tab w:pos="4979" w:val="left" w:leader="none"/>
        </w:tabs>
        <w:spacing w:line="231" w:lineRule="exact"/>
        <w:ind w:left="285"/>
      </w:pPr>
      <w:r>
        <w:rPr/>
        <w:pict>
          <v:line style="position:absolute;mso-position-horizontal-relative:page;mso-position-vertical-relative:paragraph;z-index:-22678016" from="56.113999pt,6.19051pt" to="51.779999pt,6.19051pt" stroked="true" strokeweight=".5pt" strokecolor="#000000">
            <v:stroke dashstyle="solid"/>
            <w10:wrap type="none"/>
          </v:line>
        </w:pict>
      </w:r>
      <w:r>
        <w:rPr/>
        <w:pict>
          <v:line style="position:absolute;mso-position-horizontal-relative:page;mso-position-vertical-relative:paragraph;z-index:-22673408" from="213.048005pt,6.14651pt" to="208.714005pt,6.14651pt" stroked="true" strokeweight=".5pt" strokecolor="#000000">
            <v:stroke dashstyle="solid"/>
            <w10:wrap type="none"/>
          </v:line>
        </w:pict>
      </w:r>
      <w:r>
        <w:rPr/>
        <w:pict>
          <v:shape style="position:absolute;margin-left:47.529999pt;margin-top:8.262604pt;width:4pt;height:8.9pt;mso-position-horizontal-relative:page;mso-position-vertical-relative:paragraph;z-index:-22667776" type="#_x0000_t202" filled="false" stroked="false">
            <v:textbox inset="0,0,0,0">
              <w:txbxContent>
                <w:p>
                  <w:pPr>
                    <w:spacing w:line="177" w:lineRule="exact" w:before="0"/>
                    <w:ind w:left="0" w:right="0" w:firstLine="0"/>
                    <w:jc w:val="left"/>
                    <w:rPr>
                      <w:sz w:val="16"/>
                    </w:rPr>
                  </w:pPr>
                  <w:r>
                    <w:rPr>
                      <w:sz w:val="16"/>
                    </w:rPr>
                    <w:t>–</w:t>
                  </w:r>
                </w:p>
              </w:txbxContent>
            </v:textbox>
            <w10:wrap type="none"/>
          </v:shape>
        </w:pict>
      </w:r>
      <w:r>
        <w:rPr>
          <w:position w:val="7"/>
          <w:sz w:val="12"/>
        </w:rPr>
        <w:t>0</w:t>
        <w:tab/>
      </w:r>
      <w:r>
        <w:rPr>
          <w:position w:val="5"/>
          <w:sz w:val="12"/>
        </w:rPr>
        <w:t>0</w:t>
        <w:tab/>
      </w:r>
      <w:r>
        <w:rPr/>
        <w:t>domestic demand </w:t>
      </w:r>
      <w:r>
        <w:rPr>
          <w:spacing w:val="-3"/>
        </w:rPr>
        <w:t>grew </w:t>
      </w:r>
      <w:r>
        <w:rPr/>
        <w:t>relatively robustly in 2000</w:t>
      </w:r>
      <w:r>
        <w:rPr>
          <w:spacing w:val="-25"/>
        </w:rPr>
        <w:t> </w:t>
      </w:r>
      <w:r>
        <w:rPr/>
        <w:t>Q2,</w:t>
      </w:r>
    </w:p>
    <w:p>
      <w:pPr>
        <w:spacing w:line="59" w:lineRule="exact" w:before="0"/>
        <w:ind w:left="0" w:right="3310" w:firstLine="0"/>
        <w:jc w:val="center"/>
        <w:rPr>
          <w:sz w:val="16"/>
        </w:rPr>
      </w:pPr>
      <w:r>
        <w:rPr>
          <w:sz w:val="16"/>
        </w:rPr>
        <w:t>–</w:t>
      </w:r>
    </w:p>
    <w:p>
      <w:pPr>
        <w:spacing w:after="0" w:line="59" w:lineRule="exact"/>
        <w:jc w:val="center"/>
        <w:rPr>
          <w:sz w:val="16"/>
        </w:rPr>
        <w:sectPr>
          <w:type w:val="continuous"/>
          <w:pgSz w:w="11900" w:h="16840"/>
          <w:pgMar w:top="1260" w:bottom="280" w:left="640" w:right="640"/>
        </w:sectPr>
      </w:pPr>
    </w:p>
    <w:p>
      <w:pPr>
        <w:spacing w:line="114" w:lineRule="exact" w:before="28"/>
        <w:ind w:left="225" w:right="0" w:firstLine="0"/>
        <w:jc w:val="left"/>
        <w:rPr>
          <w:sz w:val="12"/>
        </w:rPr>
      </w:pPr>
      <w:r>
        <w:rPr/>
        <w:pict>
          <v:line style="position:absolute;mso-position-horizontal-relative:page;mso-position-vertical-relative:paragraph;z-index:15969792" from="56.113999pt,5.518557pt" to="51.779999pt,5.518557pt" stroked="true" strokeweight=".5pt" strokecolor="#000000">
            <v:stroke dashstyle="solid"/>
            <w10:wrap type="none"/>
          </v:line>
        </w:pict>
      </w:r>
      <w:r>
        <w:rPr>
          <w:sz w:val="12"/>
        </w:rPr>
        <w:t>10</w:t>
      </w:r>
    </w:p>
    <w:p>
      <w:pPr>
        <w:spacing w:line="114" w:lineRule="exact" w:before="0"/>
        <w:ind w:left="3664" w:right="0" w:firstLine="0"/>
        <w:jc w:val="left"/>
        <w:rPr>
          <w:sz w:val="12"/>
        </w:rPr>
      </w:pPr>
      <w:r>
        <w:rPr/>
        <w:pict>
          <v:line style="position:absolute;mso-position-horizontal-relative:page;mso-position-vertical-relative:paragraph;z-index:15980032" from="213.048005pt,2.190154pt" to="208.714005pt,2.190154pt" stroked="true" strokeweight=".5pt" strokecolor="#000000">
            <v:stroke dashstyle="solid"/>
            <w10:wrap type="none"/>
          </v:line>
        </w:pict>
      </w:r>
      <w:r>
        <w:rPr>
          <w:sz w:val="12"/>
        </w:rPr>
        <w:t>10</w:t>
      </w:r>
    </w:p>
    <w:p>
      <w:pPr>
        <w:spacing w:before="62"/>
        <w:ind w:left="225" w:right="0" w:firstLine="0"/>
        <w:jc w:val="left"/>
        <w:rPr>
          <w:sz w:val="12"/>
        </w:rPr>
      </w:pPr>
      <w:r>
        <w:rPr/>
        <w:pict>
          <v:line style="position:absolute;mso-position-horizontal-relative:page;mso-position-vertical-relative:paragraph;z-index:15975424" from="56.113999pt,7.346343pt" to="51.779999pt,7.346343pt" stroked="true" strokeweight=".5pt" strokecolor="#000000">
            <v:stroke dashstyle="solid"/>
            <w10:wrap type="none"/>
          </v:line>
        </w:pict>
      </w:r>
      <w:r>
        <w:rPr>
          <w:sz w:val="12"/>
        </w:rPr>
        <w:t>20</w:t>
      </w:r>
    </w:p>
    <w:p>
      <w:pPr>
        <w:tabs>
          <w:tab w:pos="3784" w:val="right" w:leader="none"/>
        </w:tabs>
        <w:spacing w:line="167" w:lineRule="exact" w:before="20"/>
        <w:ind w:left="2395" w:right="0" w:firstLine="0"/>
        <w:jc w:val="left"/>
        <w:rPr>
          <w:sz w:val="12"/>
        </w:rPr>
      </w:pPr>
      <w:r>
        <w:rPr/>
        <w:pict>
          <v:line style="position:absolute;mso-position-horizontal-relative:page;mso-position-vertical-relative:paragraph;z-index:-22675456" from="213.048005pt,4.146837pt" to="208.714005pt,4.146837pt" stroked="true" strokeweight=".5pt" strokecolor="#000000">
            <v:stroke dashstyle="solid"/>
            <w10:wrap type="none"/>
          </v:line>
        </w:pict>
      </w:r>
      <w:r>
        <w:rPr>
          <w:sz w:val="12"/>
        </w:rPr>
        <w:t>Housing starts</w:t>
        <w:tab/>
      </w:r>
      <w:r>
        <w:rPr>
          <w:position w:val="6"/>
          <w:sz w:val="12"/>
        </w:rPr>
        <w:t>20</w:t>
      </w:r>
    </w:p>
    <w:p>
      <w:pPr>
        <w:tabs>
          <w:tab w:pos="2415" w:val="left" w:leader="none"/>
        </w:tabs>
        <w:spacing w:line="137" w:lineRule="exact" w:before="0"/>
        <w:ind w:left="225" w:right="0" w:firstLine="0"/>
        <w:jc w:val="left"/>
        <w:rPr>
          <w:sz w:val="12"/>
        </w:rPr>
      </w:pPr>
      <w:r>
        <w:rPr/>
        <w:pict>
          <v:line style="position:absolute;mso-position-horizontal-relative:page;mso-position-vertical-relative:paragraph;z-index:-22682624" from="56.113999pt,2.427441pt" to="51.779999pt,2.427441pt" stroked="true" strokeweight=".5pt" strokecolor="#000000">
            <v:stroke dashstyle="solid"/>
            <w10:wrap type="none"/>
          </v:line>
        </w:pict>
      </w:r>
      <w:r>
        <w:rPr>
          <w:position w:val="3"/>
          <w:sz w:val="12"/>
        </w:rPr>
        <w:t>30</w:t>
        <w:tab/>
      </w:r>
      <w:r>
        <w:rPr>
          <w:sz w:val="12"/>
        </w:rPr>
        <w:t>(right-hand scale)</w:t>
      </w:r>
    </w:p>
    <w:p>
      <w:pPr>
        <w:tabs>
          <w:tab w:pos="3664" w:val="left" w:leader="none"/>
        </w:tabs>
        <w:spacing w:before="60"/>
        <w:ind w:left="225" w:right="0" w:firstLine="0"/>
        <w:jc w:val="left"/>
        <w:rPr>
          <w:sz w:val="12"/>
        </w:rPr>
      </w:pPr>
      <w:r>
        <w:rPr/>
        <w:pict>
          <v:line style="position:absolute;mso-position-horizontal-relative:page;mso-position-vertical-relative:paragraph;z-index:-22676992" from="56.113999pt,10.003349pt" to="51.779999pt,10.003349pt" stroked="true" strokeweight=".5pt" strokecolor="#000000">
            <v:stroke dashstyle="solid"/>
            <w10:wrap type="none"/>
          </v:line>
        </w:pict>
      </w:r>
      <w:r>
        <w:rPr/>
        <w:pict>
          <v:line style="position:absolute;mso-position-horizontal-relative:page;mso-position-vertical-relative:paragraph;z-index:-22672384" from="213.048005pt,6.359349pt" to="208.714005pt,6.359349pt" stroked="true" strokeweight=".5pt" strokecolor="#000000">
            <v:stroke dashstyle="solid"/>
            <w10:wrap type="none"/>
          </v:line>
        </w:pict>
      </w:r>
      <w:r>
        <w:rPr>
          <w:position w:val="-5"/>
          <w:sz w:val="12"/>
        </w:rPr>
        <w:t>40</w:t>
        <w:tab/>
      </w:r>
      <w:r>
        <w:rPr>
          <w:sz w:val="12"/>
        </w:rPr>
        <w:t>30</w:t>
      </w:r>
    </w:p>
    <w:p>
      <w:pPr>
        <w:tabs>
          <w:tab w:pos="577" w:val="left" w:leader="none"/>
          <w:tab w:pos="3441" w:val="left" w:leader="none"/>
          <w:tab w:pos="3664" w:val="left" w:leader="none"/>
        </w:tabs>
        <w:spacing w:before="147"/>
        <w:ind w:left="225" w:right="0" w:firstLine="0"/>
        <w:jc w:val="left"/>
        <w:rPr>
          <w:sz w:val="12"/>
        </w:rPr>
      </w:pPr>
      <w:r>
        <w:rPr/>
        <w:pict>
          <v:line style="position:absolute;mso-position-horizontal-relative:page;mso-position-vertical-relative:paragraph;z-index:-22682112" from="56.113999pt,11.547563pt" to="51.779999pt,11.547563pt" stroked="true" strokeweight=".5pt" strokecolor="#000000">
            <v:stroke dashstyle="solid"/>
            <w10:wrap type="none"/>
          </v:line>
        </w:pict>
      </w:r>
      <w:r>
        <w:rPr/>
        <w:pict>
          <v:line style="position:absolute;mso-position-horizontal-relative:page;mso-position-vertical-relative:paragraph;z-index:-22681600" from="61.113998pt,8.193563pt" to="61.113998pt,10.859563pt" stroked="true" strokeweight=".5pt" strokecolor="#000000">
            <v:stroke dashstyle="solid"/>
            <w10:wrap type="none"/>
          </v:line>
        </w:pict>
      </w:r>
      <w:r>
        <w:rPr/>
        <w:pict>
          <v:line style="position:absolute;mso-position-horizontal-relative:page;mso-position-vertical-relative:paragraph;z-index:-22681088" from="91.314003pt,8.193563pt" to="91.314003pt,10.859563pt" stroked="true" strokeweight=".5pt" strokecolor="#000000">
            <v:stroke dashstyle="solid"/>
            <w10:wrap type="none"/>
          </v:line>
        </w:pict>
      </w:r>
      <w:r>
        <w:rPr/>
        <w:pict>
          <v:line style="position:absolute;mso-position-horizontal-relative:page;mso-position-vertical-relative:paragraph;z-index:-22680576" from="122.513pt,8.193563pt" to="122.513pt,10.859563pt" stroked="true" strokeweight=".5pt" strokecolor="#000000">
            <v:stroke dashstyle="solid"/>
            <w10:wrap type="none"/>
          </v:line>
        </w:pict>
      </w:r>
      <w:r>
        <w:rPr/>
        <w:pict>
          <v:line style="position:absolute;mso-position-horizontal-relative:page;mso-position-vertical-relative:paragraph;z-index:-22680064" from="183.847pt,5.859562pt" to="183.847pt,10.859562pt" stroked="true" strokeweight=".5pt" strokecolor="#000000">
            <v:stroke dashstyle="solid"/>
            <w10:wrap type="none"/>
          </v:line>
        </w:pict>
      </w:r>
      <w:r>
        <w:rPr/>
        <w:pict>
          <v:line style="position:absolute;mso-position-horizontal-relative:page;mso-position-vertical-relative:paragraph;z-index:-22679552" from="153.578995pt,8.193563pt" to="153.578995pt,10.859563pt" stroked="true" strokeweight=".5pt" strokecolor="#000000">
            <v:stroke dashstyle="solid"/>
            <w10:wrap type="none"/>
          </v:line>
        </w:pict>
      </w:r>
      <w:r>
        <w:rPr/>
        <w:pict>
          <v:line style="position:absolute;mso-position-horizontal-relative:page;mso-position-vertical-relative:paragraph;z-index:-22674944" from="213.048005pt,11.547563pt" to="208.714005pt,11.547563pt" stroked="true" strokeweight=".5pt" strokecolor="#000000">
            <v:stroke dashstyle="solid"/>
            <w10:wrap type="none"/>
          </v:line>
        </w:pict>
      </w:r>
      <w:r>
        <w:rPr>
          <w:position w:val="1"/>
          <w:sz w:val="12"/>
        </w:rPr>
        <w:t>50</w:t>
        <w:tab/>
      </w:r>
      <w:r>
        <w:rPr>
          <w:position w:val="1"/>
          <w:sz w:val="12"/>
          <w:u w:val="single"/>
        </w:rPr>
        <w:t> </w:t>
        <w:tab/>
      </w:r>
      <w:r>
        <w:rPr>
          <w:position w:val="1"/>
          <w:sz w:val="12"/>
        </w:rPr>
        <w:tab/>
      </w:r>
      <w:r>
        <w:rPr>
          <w:sz w:val="12"/>
        </w:rPr>
        <w:t>40</w:t>
      </w:r>
    </w:p>
    <w:p>
      <w:pPr>
        <w:tabs>
          <w:tab w:pos="1440" w:val="left" w:leader="none"/>
          <w:tab w:pos="2044" w:val="left" w:leader="none"/>
          <w:tab w:pos="2702" w:val="left" w:leader="none"/>
          <w:tab w:pos="3173" w:val="left" w:leader="none"/>
        </w:tabs>
        <w:spacing w:before="8"/>
        <w:ind w:left="747" w:right="0" w:firstLine="0"/>
        <w:jc w:val="left"/>
        <w:rPr>
          <w:sz w:val="12"/>
        </w:rPr>
      </w:pPr>
      <w:r>
        <w:rPr>
          <w:sz w:val="12"/>
        </w:rPr>
        <w:t>1996</w:t>
        <w:tab/>
        <w:t>97</w:t>
        <w:tab/>
        <w:t>98</w:t>
        <w:tab/>
        <w:t>99</w:t>
        <w:tab/>
        <w:t>2000</w:t>
      </w:r>
    </w:p>
    <w:p>
      <w:pPr>
        <w:pStyle w:val="BodyText"/>
        <w:spacing w:before="1"/>
        <w:rPr>
          <w:sz w:val="11"/>
        </w:rPr>
      </w:pPr>
    </w:p>
    <w:p>
      <w:pPr>
        <w:spacing w:before="0"/>
        <w:ind w:left="175" w:right="0" w:firstLine="0"/>
        <w:jc w:val="left"/>
        <w:rPr>
          <w:sz w:val="12"/>
        </w:rPr>
      </w:pPr>
      <w:r>
        <w:rPr>
          <w:sz w:val="12"/>
        </w:rPr>
        <w:t>Sources: DETR and House Builders’ Federation.</w:t>
      </w:r>
    </w:p>
    <w:p>
      <w:pPr>
        <w:pStyle w:val="ListParagraph"/>
        <w:numPr>
          <w:ilvl w:val="0"/>
          <w:numId w:val="25"/>
        </w:numPr>
        <w:tabs>
          <w:tab w:pos="416" w:val="left" w:leader="none"/>
        </w:tabs>
        <w:spacing w:line="129" w:lineRule="exact" w:before="102" w:after="0"/>
        <w:ind w:left="415" w:right="0" w:hanging="241"/>
        <w:jc w:val="left"/>
        <w:rPr>
          <w:sz w:val="12"/>
        </w:rPr>
      </w:pPr>
      <w:r>
        <w:rPr>
          <w:sz w:val="12"/>
        </w:rPr>
        <w:t>Three-month backward-looking moving</w:t>
      </w:r>
      <w:r>
        <w:rPr>
          <w:spacing w:val="-7"/>
          <w:sz w:val="12"/>
        </w:rPr>
        <w:t> </w:t>
      </w:r>
      <w:r>
        <w:rPr>
          <w:sz w:val="12"/>
        </w:rPr>
        <w:t>average.</w:t>
      </w:r>
    </w:p>
    <w:p>
      <w:pPr>
        <w:pStyle w:val="ListParagraph"/>
        <w:numPr>
          <w:ilvl w:val="0"/>
          <w:numId w:val="25"/>
        </w:numPr>
        <w:tabs>
          <w:tab w:pos="416" w:val="left" w:leader="none"/>
        </w:tabs>
        <w:spacing w:line="208" w:lineRule="auto" w:before="6" w:after="0"/>
        <w:ind w:left="415" w:right="118" w:hanging="240"/>
        <w:jc w:val="left"/>
        <w:rPr>
          <w:sz w:val="12"/>
        </w:rPr>
      </w:pPr>
      <w:r>
        <w:rPr>
          <w:sz w:val="12"/>
        </w:rPr>
        <w:t>Net</w:t>
      </w:r>
      <w:r>
        <w:rPr>
          <w:spacing w:val="-6"/>
          <w:sz w:val="12"/>
        </w:rPr>
        <w:t> </w:t>
      </w:r>
      <w:r>
        <w:rPr>
          <w:sz w:val="12"/>
        </w:rPr>
        <w:t>balance</w:t>
      </w:r>
      <w:r>
        <w:rPr>
          <w:spacing w:val="-5"/>
          <w:sz w:val="12"/>
        </w:rPr>
        <w:t> </w:t>
      </w:r>
      <w:r>
        <w:rPr>
          <w:sz w:val="12"/>
        </w:rPr>
        <w:t>of</w:t>
      </w:r>
      <w:r>
        <w:rPr>
          <w:spacing w:val="-5"/>
          <w:sz w:val="12"/>
        </w:rPr>
        <w:t> </w:t>
      </w:r>
      <w:r>
        <w:rPr>
          <w:sz w:val="12"/>
        </w:rPr>
        <w:t>survey</w:t>
      </w:r>
      <w:r>
        <w:rPr>
          <w:spacing w:val="-6"/>
          <w:sz w:val="12"/>
        </w:rPr>
        <w:t> </w:t>
      </w:r>
      <w:r>
        <w:rPr>
          <w:sz w:val="12"/>
        </w:rPr>
        <w:t>respondents</w:t>
      </w:r>
      <w:r>
        <w:rPr>
          <w:spacing w:val="-5"/>
          <w:sz w:val="12"/>
        </w:rPr>
        <w:t> </w:t>
      </w:r>
      <w:r>
        <w:rPr>
          <w:sz w:val="12"/>
        </w:rPr>
        <w:t>reporting</w:t>
      </w:r>
      <w:r>
        <w:rPr>
          <w:spacing w:val="-5"/>
          <w:sz w:val="12"/>
        </w:rPr>
        <w:t> </w:t>
      </w:r>
      <w:r>
        <w:rPr>
          <w:sz w:val="12"/>
        </w:rPr>
        <w:t>an</w:t>
      </w:r>
      <w:r>
        <w:rPr>
          <w:spacing w:val="-6"/>
          <w:sz w:val="12"/>
        </w:rPr>
        <w:t> </w:t>
      </w:r>
      <w:r>
        <w:rPr>
          <w:sz w:val="12"/>
        </w:rPr>
        <w:t>increase</w:t>
      </w:r>
      <w:r>
        <w:rPr>
          <w:spacing w:val="-5"/>
          <w:sz w:val="12"/>
        </w:rPr>
        <w:t> </w:t>
      </w:r>
      <w:r>
        <w:rPr>
          <w:sz w:val="12"/>
        </w:rPr>
        <w:t>in</w:t>
      </w:r>
      <w:r>
        <w:rPr>
          <w:spacing w:val="-5"/>
          <w:sz w:val="12"/>
        </w:rPr>
        <w:t> </w:t>
      </w:r>
      <w:r>
        <w:rPr>
          <w:sz w:val="12"/>
        </w:rPr>
        <w:t>site</w:t>
      </w:r>
      <w:r>
        <w:rPr>
          <w:spacing w:val="-5"/>
          <w:sz w:val="12"/>
        </w:rPr>
        <w:t> </w:t>
      </w:r>
      <w:r>
        <w:rPr>
          <w:sz w:val="12"/>
        </w:rPr>
        <w:t>visits or reservations compared with a year</w:t>
      </w:r>
      <w:r>
        <w:rPr>
          <w:spacing w:val="-12"/>
          <w:sz w:val="12"/>
        </w:rPr>
        <w:t> </w:t>
      </w:r>
      <w:r>
        <w:rPr>
          <w:sz w:val="12"/>
        </w:rPr>
        <w:t>earlier.</w:t>
      </w:r>
    </w:p>
    <w:p>
      <w:pPr>
        <w:pStyle w:val="BodyText"/>
        <w:spacing w:line="254" w:lineRule="exact"/>
        <w:ind w:left="175"/>
      </w:pPr>
      <w:r>
        <w:rPr/>
        <w:br w:type="column"/>
      </w:r>
      <w:r>
        <w:rPr/>
        <w:t>supported by strong private and public sector</w:t>
      </w:r>
    </w:p>
    <w:p>
      <w:pPr>
        <w:pStyle w:val="BodyText"/>
        <w:spacing w:line="242" w:lineRule="auto" w:before="4"/>
        <w:ind w:left="175" w:right="163"/>
      </w:pPr>
      <w:r>
        <w:rPr/>
        <w:t>consumption spending growth. But factors contributing to strong private consumption in recent years—rising wealth and incomes—seem less likely to boost spending over the next two years. Investment levels were little changed in the first half of 2000. Continuing robust investment intentions in surveys point to higher growth in coming quarters, although relatively subdued profit expectations in some surveys suggest only a moderate recovery.</w:t>
      </w:r>
    </w:p>
    <w:p>
      <w:pPr>
        <w:pStyle w:val="BodyText"/>
        <w:spacing w:before="3"/>
        <w:rPr>
          <w:sz w:val="25"/>
        </w:rPr>
      </w:pPr>
    </w:p>
    <w:p>
      <w:pPr>
        <w:pStyle w:val="BodyText"/>
        <w:spacing w:line="242" w:lineRule="auto" w:before="1"/>
        <w:ind w:left="175" w:right="161"/>
      </w:pPr>
      <w:r>
        <w:rPr/>
        <w:t>The international outlook remains strong and world output and trade are set to grow rapidly. However there are clear signs that growth has peaked and risks remain weighted to the downside. Buoyant world demand has boosted UK exports over the past year. But looking forward, the high level of sterling is likely to continue to depress net trade and, together with slowing private sector demand growth, that more than offsets more rapid growth in public sector spending. As such, the MPC continues to judge that real annual GDP growth is likely to slow slightly over the forecast period to around 2.5%.</w:t>
      </w:r>
    </w:p>
    <w:p>
      <w:pPr>
        <w:spacing w:after="0" w:line="242" w:lineRule="auto"/>
        <w:sectPr>
          <w:type w:val="continuous"/>
          <w:pgSz w:w="11900" w:h="16840"/>
          <w:pgMar w:top="1260" w:bottom="280" w:left="640" w:right="640"/>
          <w:cols w:num="2" w:equalWidth="0">
            <w:col w:w="3825" w:space="980"/>
            <w:col w:w="5815"/>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pStyle w:val="BodyText"/>
        <w:spacing w:before="9"/>
        <w:rPr>
          <w:sz w:val="18"/>
        </w:rPr>
      </w:pPr>
      <w:r>
        <w:rPr/>
        <w:pict>
          <v:shape style="position:absolute;margin-left:40pt;margin-top:12.000977pt;width:516pt;height:48pt;mso-position-horizontal-relative:page;mso-position-vertical-relative:paragraph;z-index:-15471104;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The labour market" w:id="47"/>
                  <w:bookmarkEnd w:id="47"/>
                  <w:r>
                    <w:rPr/>
                  </w:r>
                  <w:bookmarkStart w:name="Employment and unemployment" w:id="48"/>
                  <w:bookmarkEnd w:id="48"/>
                  <w:r>
                    <w:rPr/>
                  </w:r>
                  <w:bookmarkStart w:name="_bookmark19" w:id="49"/>
                  <w:bookmarkEnd w:id="49"/>
                  <w:r>
                    <w:rPr/>
                  </w:r>
                  <w:r>
                    <w:rPr>
                      <w:b/>
                      <w:color w:val="009391"/>
                      <w:sz w:val="48"/>
                    </w:rPr>
                    <w:t>The</w:t>
                  </w:r>
                  <w:r>
                    <w:rPr>
                      <w:b/>
                      <w:color w:val="009391"/>
                      <w:spacing w:val="-2"/>
                      <w:sz w:val="48"/>
                    </w:rPr>
                    <w:t> </w:t>
                  </w:r>
                  <w:r>
                    <w:rPr>
                      <w:b/>
                      <w:color w:val="009391"/>
                      <w:sz w:val="48"/>
                    </w:rPr>
                    <w:t>labour</w:t>
                  </w:r>
                  <w:r>
                    <w:rPr>
                      <w:b/>
                      <w:color w:val="009391"/>
                      <w:spacing w:val="-1"/>
                      <w:sz w:val="48"/>
                    </w:rPr>
                    <w:t> </w:t>
                  </w:r>
                  <w:r>
                    <w:rPr>
                      <w:b/>
                      <w:color w:val="009391"/>
                      <w:sz w:val="48"/>
                    </w:rPr>
                    <w:t>market</w:t>
                    <w:tab/>
                  </w:r>
                  <w:r>
                    <w:rPr>
                      <w:b/>
                      <w:color w:val="009391"/>
                      <w:sz w:val="72"/>
                    </w:rPr>
                    <w:t>3</w:t>
                  </w:r>
                </w:p>
              </w:txbxContent>
            </v:textbox>
            <v:fill type="solid"/>
            <w10:wrap type="topAndBottom"/>
          </v:shape>
        </w:pict>
      </w:r>
    </w:p>
    <w:p>
      <w:pPr>
        <w:pStyle w:val="BodyText"/>
        <w:rPr>
          <w:sz w:val="20"/>
        </w:rPr>
      </w:pPr>
    </w:p>
    <w:p>
      <w:pPr>
        <w:pStyle w:val="BodyText"/>
        <w:rPr>
          <w:sz w:val="20"/>
        </w:rPr>
      </w:pPr>
    </w:p>
    <w:p>
      <w:pPr>
        <w:spacing w:after="0"/>
        <w:rPr>
          <w:sz w:val="20"/>
        </w:rPr>
        <w:sectPr>
          <w:headerReference w:type="even" r:id="rId105"/>
          <w:pgSz w:w="11900" w:h="16840"/>
          <w:pgMar w:header="0" w:footer="592" w:top="800" w:bottom="80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32"/>
        </w:rPr>
      </w:pPr>
    </w:p>
    <w:p>
      <w:pPr>
        <w:spacing w:before="0"/>
        <w:ind w:left="180" w:right="0" w:firstLine="0"/>
        <w:jc w:val="left"/>
        <w:rPr>
          <w:b/>
          <w:sz w:val="20"/>
        </w:rPr>
      </w:pPr>
      <w:r>
        <w:rPr>
          <w:b/>
          <w:color w:val="0092C7"/>
          <w:sz w:val="20"/>
        </w:rPr>
        <w:t>Chart 3.1</w:t>
      </w:r>
    </w:p>
    <w:p>
      <w:pPr>
        <w:spacing w:line="249" w:lineRule="auto" w:before="10"/>
        <w:ind w:left="180" w:right="150" w:firstLine="0"/>
        <w:jc w:val="left"/>
        <w:rPr>
          <w:sz w:val="12"/>
        </w:rPr>
      </w:pPr>
      <w:r>
        <w:rPr>
          <w:b/>
          <w:color w:val="0092C7"/>
          <w:sz w:val="20"/>
        </w:rPr>
        <w:t>Growth in LFS employment and hours worked</w:t>
      </w:r>
      <w:r>
        <w:rPr>
          <w:position w:val="4"/>
          <w:sz w:val="12"/>
        </w:rPr>
        <w:t>(a)</w:t>
      </w:r>
    </w:p>
    <w:p>
      <w:pPr>
        <w:spacing w:line="115" w:lineRule="exact" w:before="73"/>
        <w:ind w:left="1265" w:right="0" w:firstLine="0"/>
        <w:jc w:val="left"/>
        <w:rPr>
          <w:sz w:val="12"/>
        </w:rPr>
      </w:pPr>
      <w:r>
        <w:rPr>
          <w:sz w:val="12"/>
        </w:rPr>
        <w:t>Percentage changes on three months earlier</w:t>
      </w:r>
    </w:p>
    <w:p>
      <w:pPr>
        <w:spacing w:line="115" w:lineRule="exact" w:before="0"/>
        <w:ind w:left="3387" w:right="0" w:firstLine="0"/>
        <w:jc w:val="left"/>
        <w:rPr>
          <w:sz w:val="12"/>
        </w:rPr>
      </w:pPr>
      <w:r>
        <w:rPr/>
        <w:pict>
          <v:line style="position:absolute;mso-position-horizontal-relative:page;mso-position-vertical-relative:paragraph;z-index:15990272" from="41.727001pt,2.315837pt" to="45.498001pt,2.315837pt" stroked="true" strokeweight=".5pt" strokecolor="#000000">
            <v:stroke dashstyle="solid"/>
            <w10:wrap type="none"/>
          </v:line>
        </w:pict>
      </w:r>
      <w:r>
        <w:rPr/>
        <w:pict>
          <v:line style="position:absolute;mso-position-horizontal-relative:page;mso-position-vertical-relative:paragraph;z-index:15990784" from="195.613998pt,2.599837pt" to="199.385998pt,2.599837pt" stroked="true" strokeweight=".5pt" strokecolor="#000000">
            <v:stroke dashstyle="solid"/>
            <w10:wrap type="none"/>
          </v:line>
        </w:pict>
      </w:r>
      <w:r>
        <w:rPr>
          <w:sz w:val="12"/>
        </w:rPr>
        <w:t>0.8</w:t>
      </w:r>
    </w:p>
    <w:p>
      <w:pPr>
        <w:pStyle w:val="BodyText"/>
        <w:spacing w:before="7"/>
        <w:rPr>
          <w:sz w:val="15"/>
        </w:rPr>
      </w:pPr>
    </w:p>
    <w:p>
      <w:pPr>
        <w:spacing w:before="0"/>
        <w:ind w:left="3387" w:right="0" w:firstLine="0"/>
        <w:jc w:val="left"/>
        <w:rPr>
          <w:sz w:val="12"/>
        </w:rPr>
      </w:pPr>
      <w:r>
        <w:rPr/>
        <w:pict>
          <v:group style="position:absolute;margin-left:41.727001pt;margin-top:-4.430035pt;width:157.7pt;height:135.8pt;mso-position-horizontal-relative:page;mso-position-vertical-relative:paragraph;z-index:-22663168" coordorigin="835,-89" coordsize="3154,2716">
            <v:shape style="position:absolute;left:980;top:2482;width:2889;height:140" coordorigin="980,2482" coordsize="2889,140" path="m982,2622l3868,2622m980,2554l980,2622m1556,2554l1556,2622m2132,2482l2132,2622m2708,2554l2708,2622m3284,2554l3284,2622m3860,2554l3860,2622e" filled="false" stroked="true" strokeweight=".5pt" strokecolor="#000000">
              <v:path arrowok="t"/>
              <v:stroke dashstyle="solid"/>
            </v:shape>
            <v:rect style="position:absolute;left:1779;top:1011;width:135;height:1433" filled="true" fillcolor="#9ed01a" stroked="false">
              <v:fill type="solid"/>
            </v:rect>
            <v:rect style="position:absolute;left:1779;top:1011;width:135;height:1433" filled="false" stroked="true" strokeweight=".5pt" strokecolor="#000000">
              <v:stroke dashstyle="solid"/>
            </v:rect>
            <v:rect style="position:absolute;left:2354;top:696;width:125;height:318" filled="true" fillcolor="#9ed01a" stroked="false">
              <v:fill type="solid"/>
            </v:rect>
            <v:rect style="position:absolute;left:2354;top:696;width:125;height:318" filled="false" stroked="true" strokeweight=".5pt" strokecolor="#000000">
              <v:stroke dashstyle="solid"/>
            </v:rect>
            <v:rect style="position:absolute;left:2920;top:1014;width:133;height:168" filled="true" fillcolor="#9ed01a" stroked="false">
              <v:fill type="solid"/>
            </v:rect>
            <v:rect style="position:absolute;left:2920;top:1011;width:133;height:170" filled="false" stroked="true" strokeweight=".5pt" strokecolor="#000000">
              <v:stroke dashstyle="solid"/>
            </v:rect>
            <v:rect style="position:absolute;left:3494;top:546;width:125;height:468" filled="true" fillcolor="#9ed01a" stroked="false">
              <v:fill type="solid"/>
            </v:rect>
            <v:rect style="position:absolute;left:3494;top:546;width:125;height:468" filled="false" stroked="true" strokeweight=".5pt" strokecolor="#000000">
              <v:stroke dashstyle="solid"/>
            </v:rect>
            <v:rect style="position:absolute;left:1216;top:1011;width:125;height:1283" filled="true" fillcolor="#9ed01a" stroked="false">
              <v:fill type="solid"/>
            </v:rect>
            <v:rect style="position:absolute;left:1216;top:1011;width:125;height:1283" filled="false" stroked="true" strokeweight=".5pt" strokecolor="#000000">
              <v:stroke dashstyle="solid"/>
            </v:rect>
            <v:rect style="position:absolute;left:1216;top:546;width:125;height:468" filled="true" fillcolor="#00a2a0" stroked="false">
              <v:fill type="solid"/>
            </v:rect>
            <v:rect style="position:absolute;left:1216;top:546;width:125;height:468" filled="false" stroked="true" strokeweight=".5pt" strokecolor="#000000">
              <v:stroke dashstyle="solid"/>
            </v:rect>
            <v:rect style="position:absolute;left:1779;top:696;width:135;height:318" filled="true" fillcolor="#00a2a0" stroked="false">
              <v:fill type="solid"/>
            </v:rect>
            <v:rect style="position:absolute;left:1779;top:696;width:135;height:318" filled="false" stroked="true" strokeweight=".5pt" strokecolor="#000000">
              <v:stroke dashstyle="solid"/>
            </v:rect>
            <v:rect style="position:absolute;left:2354;top:381;width:125;height:318" filled="true" fillcolor="#00a2a0" stroked="false">
              <v:fill type="solid"/>
            </v:rect>
            <v:rect style="position:absolute;left:2354;top:381;width:125;height:318" filled="false" stroked="true" strokeweight=".5pt" strokecolor="#000000">
              <v:stroke dashstyle="solid"/>
            </v:rect>
            <v:rect style="position:absolute;left:2920;top:231;width:133;height:783" filled="true" fillcolor="#00a2a0" stroked="false">
              <v:fill type="solid"/>
            </v:rect>
            <v:rect style="position:absolute;left:2920;top:231;width:133;height:783" filled="false" stroked="true" strokeweight=".5pt" strokecolor="#000000">
              <v:stroke dashstyle="solid"/>
            </v:rect>
            <v:rect style="position:absolute;left:3494;top:66;width:125;height:483" filled="true" fillcolor="#00a2a0" stroked="false">
              <v:fill type="solid"/>
            </v:rect>
            <v:rect style="position:absolute;left:3494;top:66;width:125;height:483" filled="false" stroked="true" strokeweight=".5pt" strokecolor="#000000">
              <v:stroke dashstyle="solid"/>
            </v:rect>
            <v:shape style="position:absolute;left:1273;top:-79;width:2279;height:1887" coordorigin="1273,-79" coordsize="2279,1887" path="m1273,1652l1854,1808,2422,539,2984,546,3552,-79e" filled="false" stroked="true" strokeweight="1pt" strokecolor="#de0035">
              <v:path arrowok="t"/>
              <v:stroke dashstyle="solid"/>
            </v:shape>
            <v:shape style="position:absolute;left:834;top:69;width:3154;height:2548" coordorigin="835,70" coordsize="3154,2548" path="m835,70l910,70m835,387l910,387m835,705l910,705m835,1015l910,1015m835,1341l910,1341m835,1659l910,1659m835,2294l910,2294m835,1976l910,1976m835,2612l910,2612m3912,75l3988,75m3912,393l3988,393m3912,711l3988,711m3912,1015l3988,1015m3912,1346l3988,1346m3912,1664l3988,1664m3912,2300l3988,2300m3912,1982l3988,1982m3912,2618l3988,2618m973,1015l3860,1015e" filled="false" stroked="true" strokeweight=".5pt" strokecolor="#000000">
              <v:path arrowok="t"/>
              <v:stroke dashstyle="solid"/>
            </v:shape>
            <v:shape style="position:absolute;left:2127;top:1314;width:380;height:279" type="#_x0000_t75" stroked="false">
              <v:imagedata r:id="rId106" o:title=""/>
            </v:shape>
            <w10:wrap type="none"/>
          </v:group>
        </w:pict>
      </w:r>
      <w:r>
        <w:rPr>
          <w:sz w:val="12"/>
        </w:rPr>
        <w:t>0.6</w:t>
      </w:r>
    </w:p>
    <w:p>
      <w:pPr>
        <w:pStyle w:val="BodyText"/>
        <w:spacing w:line="242" w:lineRule="auto" w:before="208"/>
        <w:ind w:left="180" w:right="187"/>
      </w:pPr>
      <w:r>
        <w:rPr/>
        <w:br w:type="column"/>
      </w:r>
      <w:r>
        <w:rPr/>
        <w:t>Recent developments in earnings growth are surprising </w:t>
      </w:r>
      <w:r>
        <w:rPr>
          <w:spacing w:val="-3"/>
        </w:rPr>
        <w:t>given </w:t>
      </w:r>
      <w:r>
        <w:rPr/>
        <w:t>trends in employment, unemployment and skill shortages. </w:t>
      </w:r>
      <w:r>
        <w:rPr>
          <w:spacing w:val="-5"/>
        </w:rPr>
        <w:t>Total </w:t>
      </w:r>
      <w:r>
        <w:rPr/>
        <w:t>hours worked and LFS employment continue to rise </w:t>
      </w:r>
      <w:r>
        <w:rPr>
          <w:spacing w:val="-3"/>
        </w:rPr>
        <w:t>quickly, </w:t>
      </w:r>
      <w:r>
        <w:rPr/>
        <w:t>and surveys suggest that further growth in employment is </w:t>
      </w:r>
      <w:r>
        <w:rPr>
          <w:spacing w:val="-4"/>
        </w:rPr>
        <w:t>likely. </w:t>
      </w:r>
      <w:r>
        <w:rPr/>
        <w:t>There </w:t>
      </w:r>
      <w:r>
        <w:rPr>
          <w:spacing w:val="-3"/>
        </w:rPr>
        <w:t>have </w:t>
      </w:r>
      <w:r>
        <w:rPr/>
        <w:t>been large falls in LFS unemployment, and claimant count unemployment has hit fresh 25-year lows. Reports of skill shortages and recruitment difficulties are increasing. </w:t>
      </w:r>
      <w:r>
        <w:rPr>
          <w:spacing w:val="-9"/>
        </w:rPr>
        <w:t>Yet </w:t>
      </w:r>
      <w:r>
        <w:rPr/>
        <w:t>headline earnings growth has fallen to its lowest </w:t>
      </w:r>
      <w:r>
        <w:rPr>
          <w:spacing w:val="-3"/>
        </w:rPr>
        <w:t>level </w:t>
      </w:r>
      <w:r>
        <w:rPr/>
        <w:t>in four years, partly reflecting falling bonuses. </w:t>
      </w:r>
      <w:r>
        <w:rPr>
          <w:spacing w:val="-6"/>
        </w:rPr>
        <w:t>Wage </w:t>
      </w:r>
      <w:r>
        <w:rPr/>
        <w:t>settlements are little changed on a year ago, although indications of upward pressure </w:t>
      </w:r>
      <w:r>
        <w:rPr>
          <w:spacing w:val="-3"/>
        </w:rPr>
        <w:t>have </w:t>
      </w:r>
      <w:r>
        <w:rPr/>
        <w:t>increased. Productivity growth has increased</w:t>
      </w:r>
      <w:r>
        <w:rPr>
          <w:spacing w:val="-19"/>
        </w:rPr>
        <w:t> </w:t>
      </w:r>
      <w:r>
        <w:rPr/>
        <w:t>to</w:t>
      </w:r>
    </w:p>
    <w:p>
      <w:pPr>
        <w:pStyle w:val="BodyText"/>
        <w:spacing w:line="242" w:lineRule="auto" w:before="17"/>
        <w:ind w:left="180" w:right="437"/>
      </w:pPr>
      <w:r>
        <w:rPr/>
        <w:t>slightly above its long-run average and unit labour cost growth has slowed to its lowest rate in more than five years.</w:t>
      </w:r>
    </w:p>
    <w:p>
      <w:pPr>
        <w:pStyle w:val="BodyText"/>
        <w:spacing w:before="10"/>
      </w:pPr>
    </w:p>
    <w:p>
      <w:pPr>
        <w:pStyle w:val="Heading4"/>
        <w:numPr>
          <w:ilvl w:val="1"/>
          <w:numId w:val="26"/>
        </w:numPr>
        <w:tabs>
          <w:tab w:pos="1540" w:val="left" w:leader="none"/>
          <w:tab w:pos="1541" w:val="left" w:leader="none"/>
          <w:tab w:pos="5679" w:val="left" w:leader="none"/>
        </w:tabs>
        <w:spacing w:line="240" w:lineRule="auto" w:before="0" w:after="0"/>
        <w:ind w:left="1540" w:right="0" w:hanging="1361"/>
        <w:jc w:val="left"/>
        <w:rPr>
          <w:color w:val="009391"/>
        </w:rPr>
      </w:pPr>
      <w:r>
        <w:rPr>
          <w:color w:val="009391"/>
          <w:u w:val="thick" w:color="0092C7"/>
        </w:rPr>
        <w:t>Employment and</w:t>
      </w:r>
      <w:r>
        <w:rPr>
          <w:color w:val="009391"/>
          <w:spacing w:val="-24"/>
          <w:u w:val="thick" w:color="0092C7"/>
        </w:rPr>
        <w:t> </w:t>
      </w:r>
      <w:r>
        <w:rPr>
          <w:color w:val="009391"/>
          <w:u w:val="thick" w:color="0092C7"/>
        </w:rPr>
        <w:t>unemployment</w:t>
        <w:tab/>
      </w:r>
    </w:p>
    <w:p>
      <w:pPr>
        <w:spacing w:after="0" w:line="240" w:lineRule="auto"/>
        <w:jc w:val="left"/>
        <w:sectPr>
          <w:type w:val="continuous"/>
          <w:pgSz w:w="11900" w:h="16840"/>
          <w:pgMar w:top="1260" w:bottom="280" w:left="640" w:right="640"/>
          <w:cols w:num="2" w:equalWidth="0">
            <w:col w:w="3578" w:space="1212"/>
            <w:col w:w="5830"/>
          </w:cols>
        </w:sectPr>
      </w:pPr>
    </w:p>
    <w:p>
      <w:pPr>
        <w:pStyle w:val="BodyText"/>
        <w:spacing w:before="6"/>
        <w:rPr>
          <w:b/>
          <w:sz w:val="14"/>
        </w:rPr>
      </w:pPr>
    </w:p>
    <w:p>
      <w:pPr>
        <w:spacing w:before="0"/>
        <w:ind w:left="1040" w:right="0" w:firstLine="0"/>
        <w:jc w:val="left"/>
        <w:rPr>
          <w:sz w:val="12"/>
        </w:rPr>
      </w:pPr>
      <w:r>
        <w:rPr>
          <w:sz w:val="12"/>
        </w:rPr>
        <w:t>Employment</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4"/>
        </w:rPr>
      </w:pPr>
    </w:p>
    <w:p>
      <w:pPr>
        <w:spacing w:before="0"/>
        <w:ind w:left="189" w:right="0" w:firstLine="0"/>
        <w:jc w:val="left"/>
        <w:rPr>
          <w:sz w:val="12"/>
        </w:rPr>
      </w:pPr>
      <w:r>
        <w:rPr>
          <w:sz w:val="12"/>
        </w:rPr>
        <w:t>Total hours worked</w:t>
      </w:r>
    </w:p>
    <w:p>
      <w:pPr>
        <w:pStyle w:val="BodyText"/>
        <w:spacing w:before="7"/>
        <w:rPr>
          <w:sz w:val="15"/>
        </w:rPr>
      </w:pPr>
      <w:r>
        <w:rPr/>
        <w:br w:type="column"/>
      </w:r>
      <w:r>
        <w:rPr>
          <w:sz w:val="15"/>
        </w:rPr>
      </w:r>
    </w:p>
    <w:p>
      <w:pPr>
        <w:spacing w:before="0"/>
        <w:ind w:left="0" w:right="38" w:firstLine="0"/>
        <w:jc w:val="right"/>
        <w:rPr>
          <w:sz w:val="12"/>
        </w:rPr>
      </w:pPr>
      <w:r>
        <w:rPr>
          <w:sz w:val="12"/>
        </w:rPr>
        <w:t>0.4</w:t>
      </w:r>
    </w:p>
    <w:p>
      <w:pPr>
        <w:pStyle w:val="BodyText"/>
        <w:spacing w:before="7"/>
        <w:rPr>
          <w:sz w:val="15"/>
        </w:rPr>
      </w:pPr>
    </w:p>
    <w:p>
      <w:pPr>
        <w:spacing w:line="131" w:lineRule="exact" w:before="0"/>
        <w:ind w:left="517" w:right="0" w:firstLine="0"/>
        <w:jc w:val="left"/>
        <w:rPr>
          <w:sz w:val="12"/>
        </w:rPr>
      </w:pPr>
      <w:r>
        <w:rPr>
          <w:sz w:val="12"/>
        </w:rPr>
        <w:t>0.2</w:t>
      </w:r>
    </w:p>
    <w:p>
      <w:pPr>
        <w:spacing w:line="177" w:lineRule="exact" w:before="0"/>
        <w:ind w:left="453" w:right="0" w:firstLine="0"/>
        <w:jc w:val="left"/>
        <w:rPr>
          <w:sz w:val="16"/>
        </w:rPr>
      </w:pPr>
      <w:r>
        <w:rPr>
          <w:sz w:val="16"/>
        </w:rPr>
        <w:t>+</w:t>
      </w:r>
    </w:p>
    <w:p>
      <w:pPr>
        <w:spacing w:before="9"/>
        <w:ind w:left="465" w:right="0" w:firstLine="0"/>
        <w:jc w:val="left"/>
        <w:rPr>
          <w:sz w:val="12"/>
        </w:rPr>
      </w:pPr>
      <w:r>
        <w:rPr>
          <w:spacing w:val="-7"/>
          <w:position w:val="-7"/>
          <w:sz w:val="16"/>
        </w:rPr>
        <w:t>_</w:t>
      </w:r>
      <w:r>
        <w:rPr>
          <w:spacing w:val="-7"/>
          <w:sz w:val="12"/>
        </w:rPr>
        <w:t>0.0</w:t>
      </w:r>
    </w:p>
    <w:p>
      <w:pPr>
        <w:spacing w:before="91"/>
        <w:ind w:left="0" w:right="38" w:firstLine="0"/>
        <w:jc w:val="right"/>
        <w:rPr>
          <w:sz w:val="12"/>
        </w:rPr>
      </w:pPr>
      <w:r>
        <w:rPr>
          <w:sz w:val="12"/>
        </w:rPr>
        <w:t>0.2</w:t>
      </w:r>
    </w:p>
    <w:p>
      <w:pPr>
        <w:pStyle w:val="BodyText"/>
        <w:spacing w:before="7"/>
        <w:rPr>
          <w:sz w:val="15"/>
        </w:rPr>
      </w:pPr>
    </w:p>
    <w:p>
      <w:pPr>
        <w:spacing w:before="0"/>
        <w:ind w:left="0" w:right="38" w:firstLine="0"/>
        <w:jc w:val="right"/>
        <w:rPr>
          <w:sz w:val="12"/>
        </w:rPr>
      </w:pPr>
      <w:r>
        <w:rPr>
          <w:sz w:val="12"/>
        </w:rPr>
        <w:t>0.4</w:t>
      </w:r>
    </w:p>
    <w:p>
      <w:pPr>
        <w:pStyle w:val="BodyText"/>
        <w:spacing w:before="7"/>
        <w:rPr>
          <w:sz w:val="15"/>
        </w:rPr>
      </w:pPr>
    </w:p>
    <w:p>
      <w:pPr>
        <w:spacing w:before="0"/>
        <w:ind w:left="0" w:right="38" w:firstLine="0"/>
        <w:jc w:val="right"/>
        <w:rPr>
          <w:sz w:val="12"/>
        </w:rPr>
      </w:pPr>
      <w:r>
        <w:rPr>
          <w:sz w:val="12"/>
        </w:rPr>
        <w:t>0.6</w:t>
      </w:r>
    </w:p>
    <w:p>
      <w:pPr>
        <w:pStyle w:val="BodyText"/>
        <w:spacing w:line="242" w:lineRule="auto" w:before="56"/>
        <w:ind w:left="1040" w:right="152"/>
      </w:pPr>
      <w:r>
        <w:rPr/>
        <w:br w:type="column"/>
      </w:r>
      <w:r>
        <w:rPr/>
        <w:t>Labour demand has continued to grow </w:t>
      </w:r>
      <w:r>
        <w:rPr>
          <w:spacing w:val="-3"/>
        </w:rPr>
        <w:t>strongly. </w:t>
      </w:r>
      <w:r>
        <w:rPr>
          <w:spacing w:val="-5"/>
        </w:rPr>
        <w:t>Total </w:t>
      </w:r>
      <w:r>
        <w:rPr/>
        <w:t>hours worked, the most comprehensive measure of labour usage available, rose by 0.7% in the three months to August (see Chart 3.1), up from the 0.3% increase in the three months to </w:t>
      </w:r>
      <w:r>
        <w:rPr>
          <w:spacing w:val="-5"/>
        </w:rPr>
        <w:t>May. </w:t>
      </w:r>
      <w:r>
        <w:rPr>
          <w:spacing w:val="-3"/>
        </w:rPr>
        <w:t>Within </w:t>
      </w:r>
      <w:r>
        <w:rPr/>
        <w:t>that, average hours worked rose by 0.3% in the three months to August, and may be stabilising following reductions </w:t>
      </w:r>
      <w:r>
        <w:rPr>
          <w:spacing w:val="-3"/>
        </w:rPr>
        <w:t>over </w:t>
      </w:r>
      <w:r>
        <w:rPr/>
        <w:t>the past two</w:t>
      </w:r>
    </w:p>
    <w:p>
      <w:pPr>
        <w:spacing w:after="0" w:line="242" w:lineRule="auto"/>
        <w:sectPr>
          <w:type w:val="continuous"/>
          <w:pgSz w:w="11900" w:h="16840"/>
          <w:pgMar w:top="1260" w:bottom="280" w:left="640" w:right="640"/>
          <w:cols w:num="4" w:equalWidth="0">
            <w:col w:w="1661" w:space="40"/>
            <w:col w:w="1130" w:space="39"/>
            <w:col w:w="708" w:space="351"/>
            <w:col w:w="6691"/>
          </w:cols>
        </w:sectPr>
      </w:pPr>
    </w:p>
    <w:p>
      <w:pPr>
        <w:spacing w:before="25"/>
        <w:ind w:left="1306" w:right="0" w:firstLine="0"/>
        <w:jc w:val="left"/>
        <w:rPr>
          <w:sz w:val="12"/>
        </w:rPr>
      </w:pPr>
      <w:r>
        <w:rPr>
          <w:sz w:val="12"/>
        </w:rPr>
        <w:t>Average hours worked</w:t>
      </w:r>
    </w:p>
    <w:p>
      <w:pPr>
        <w:pStyle w:val="BodyText"/>
        <w:rPr>
          <w:sz w:val="12"/>
        </w:rPr>
      </w:pPr>
    </w:p>
    <w:p>
      <w:pPr>
        <w:pStyle w:val="BodyText"/>
        <w:spacing w:before="6"/>
        <w:rPr>
          <w:sz w:val="16"/>
        </w:rPr>
      </w:pPr>
    </w:p>
    <w:p>
      <w:pPr>
        <w:tabs>
          <w:tab w:pos="1093" w:val="left" w:leader="none"/>
          <w:tab w:pos="1684" w:val="left" w:leader="none"/>
          <w:tab w:pos="2257" w:val="left" w:leader="none"/>
          <w:tab w:pos="2827" w:val="left" w:leader="none"/>
        </w:tabs>
        <w:spacing w:line="88" w:lineRule="exact" w:before="0"/>
        <w:ind w:left="515" w:right="0" w:firstLine="0"/>
        <w:jc w:val="left"/>
        <w:rPr>
          <w:sz w:val="12"/>
        </w:rPr>
      </w:pPr>
      <w:r>
        <w:rPr>
          <w:sz w:val="12"/>
        </w:rPr>
        <w:t>Aug.</w:t>
        <w:tab/>
        <w:t>Nov.</w:t>
        <w:tab/>
        <w:t>Feb.</w:t>
        <w:tab/>
        <w:t>May</w:t>
        <w:tab/>
      </w:r>
      <w:r>
        <w:rPr>
          <w:spacing w:val="-5"/>
          <w:sz w:val="12"/>
        </w:rPr>
        <w:t>Aug.</w:t>
      </w:r>
    </w:p>
    <w:p>
      <w:pPr>
        <w:spacing w:before="77"/>
        <w:ind w:left="283" w:right="0" w:firstLine="0"/>
        <w:jc w:val="left"/>
        <w:rPr>
          <w:sz w:val="12"/>
        </w:rPr>
      </w:pPr>
      <w:r>
        <w:rPr/>
        <w:br w:type="column"/>
      </w:r>
      <w:r>
        <w:rPr>
          <w:sz w:val="12"/>
        </w:rPr>
        <w:t>0.8</w:t>
      </w:r>
    </w:p>
    <w:p>
      <w:pPr>
        <w:pStyle w:val="BodyText"/>
        <w:spacing w:before="7"/>
        <w:rPr>
          <w:sz w:val="15"/>
        </w:rPr>
      </w:pPr>
    </w:p>
    <w:p>
      <w:pPr>
        <w:spacing w:before="0"/>
        <w:ind w:left="283" w:right="0" w:firstLine="0"/>
        <w:jc w:val="left"/>
        <w:rPr>
          <w:sz w:val="12"/>
        </w:rPr>
      </w:pPr>
      <w:r>
        <w:rPr>
          <w:sz w:val="12"/>
        </w:rPr>
        <w:t>1.0</w:t>
      </w:r>
    </w:p>
    <w:p>
      <w:pPr>
        <w:pStyle w:val="BodyText"/>
        <w:spacing w:line="242" w:lineRule="auto" w:before="9"/>
        <w:ind w:left="515"/>
      </w:pPr>
      <w:r>
        <w:rPr/>
        <w:br w:type="column"/>
      </w:r>
      <w:r>
        <w:rPr/>
        <w:t>and a half years (see Chart 3.2). Those falls may partly reflect the effects of structural factors such as the</w:t>
      </w:r>
    </w:p>
    <w:p>
      <w:pPr>
        <w:spacing w:after="0" w:line="242" w:lineRule="auto"/>
        <w:sectPr>
          <w:type w:val="continuous"/>
          <w:pgSz w:w="11900" w:h="16840"/>
          <w:pgMar w:top="1260" w:bottom="280" w:left="640" w:right="640"/>
          <w:cols w:num="3" w:equalWidth="0">
            <w:col w:w="3064" w:space="40"/>
            <w:col w:w="474" w:space="877"/>
            <w:col w:w="6165"/>
          </w:cols>
        </w:sectPr>
      </w:pPr>
    </w:p>
    <w:p>
      <w:pPr>
        <w:tabs>
          <w:tab w:pos="2255" w:val="left" w:leader="none"/>
        </w:tabs>
        <w:spacing w:before="79"/>
        <w:ind w:left="783" w:right="0" w:firstLine="0"/>
        <w:jc w:val="left"/>
        <w:rPr>
          <w:sz w:val="12"/>
        </w:rPr>
      </w:pPr>
      <w:r>
        <w:rPr>
          <w:sz w:val="12"/>
        </w:rPr>
        <w:t>1999</w:t>
        <w:tab/>
        <w:t>2000</w:t>
      </w:r>
    </w:p>
    <w:p>
      <w:pPr>
        <w:pStyle w:val="BodyText"/>
        <w:spacing w:before="9"/>
        <w:rPr>
          <w:sz w:val="12"/>
        </w:rPr>
      </w:pPr>
    </w:p>
    <w:p>
      <w:pPr>
        <w:spacing w:line="208" w:lineRule="auto" w:before="0"/>
        <w:ind w:left="414" w:right="41" w:hanging="240"/>
        <w:jc w:val="left"/>
        <w:rPr>
          <w:sz w:val="12"/>
        </w:rPr>
      </w:pPr>
      <w:r>
        <w:rPr>
          <w:sz w:val="12"/>
        </w:rPr>
        <w:t>(a)   Growth of employment plus growth of average hours worked may</w:t>
      </w:r>
      <w:r>
        <w:rPr>
          <w:spacing w:val="-5"/>
          <w:sz w:val="12"/>
        </w:rPr>
        <w:t> </w:t>
      </w:r>
      <w:r>
        <w:rPr>
          <w:sz w:val="12"/>
        </w:rPr>
        <w:t>not</w:t>
      </w:r>
      <w:r>
        <w:rPr>
          <w:spacing w:val="-5"/>
          <w:sz w:val="12"/>
        </w:rPr>
        <w:t> </w:t>
      </w:r>
      <w:r>
        <w:rPr>
          <w:sz w:val="12"/>
        </w:rPr>
        <w:t>equal</w:t>
      </w:r>
      <w:r>
        <w:rPr>
          <w:spacing w:val="-5"/>
          <w:sz w:val="12"/>
        </w:rPr>
        <w:t> </w:t>
      </w:r>
      <w:r>
        <w:rPr>
          <w:sz w:val="12"/>
        </w:rPr>
        <w:t>growth</w:t>
      </w:r>
      <w:r>
        <w:rPr>
          <w:spacing w:val="-5"/>
          <w:sz w:val="12"/>
        </w:rPr>
        <w:t> </w:t>
      </w:r>
      <w:r>
        <w:rPr>
          <w:sz w:val="12"/>
        </w:rPr>
        <w:t>of</w:t>
      </w:r>
      <w:r>
        <w:rPr>
          <w:spacing w:val="-5"/>
          <w:sz w:val="12"/>
        </w:rPr>
        <w:t> </w:t>
      </w:r>
      <w:r>
        <w:rPr>
          <w:sz w:val="12"/>
        </w:rPr>
        <w:t>total</w:t>
      </w:r>
      <w:r>
        <w:rPr>
          <w:spacing w:val="-5"/>
          <w:sz w:val="12"/>
        </w:rPr>
        <w:t> </w:t>
      </w:r>
      <w:r>
        <w:rPr>
          <w:sz w:val="12"/>
        </w:rPr>
        <w:t>hours</w:t>
      </w:r>
      <w:r>
        <w:rPr>
          <w:spacing w:val="-5"/>
          <w:sz w:val="12"/>
        </w:rPr>
        <w:t> </w:t>
      </w:r>
      <w:r>
        <w:rPr>
          <w:sz w:val="12"/>
        </w:rPr>
        <w:t>worked</w:t>
      </w:r>
      <w:r>
        <w:rPr>
          <w:spacing w:val="-5"/>
          <w:sz w:val="12"/>
        </w:rPr>
        <w:t> </w:t>
      </w:r>
      <w:r>
        <w:rPr>
          <w:sz w:val="12"/>
        </w:rPr>
        <w:t>because</w:t>
      </w:r>
      <w:r>
        <w:rPr>
          <w:spacing w:val="-5"/>
          <w:sz w:val="12"/>
        </w:rPr>
        <w:t> </w:t>
      </w:r>
      <w:r>
        <w:rPr>
          <w:sz w:val="12"/>
        </w:rPr>
        <w:t>of</w:t>
      </w:r>
      <w:r>
        <w:rPr>
          <w:spacing w:val="-5"/>
          <w:sz w:val="12"/>
        </w:rPr>
        <w:t> </w:t>
      </w:r>
      <w:r>
        <w:rPr>
          <w:sz w:val="12"/>
        </w:rPr>
        <w:t>rounding.</w:t>
      </w:r>
    </w:p>
    <w:p>
      <w:pPr>
        <w:pStyle w:val="BodyText"/>
        <w:rPr>
          <w:sz w:val="12"/>
        </w:rPr>
      </w:pPr>
    </w:p>
    <w:p>
      <w:pPr>
        <w:pStyle w:val="BodyText"/>
        <w:rPr>
          <w:sz w:val="12"/>
        </w:rPr>
      </w:pPr>
    </w:p>
    <w:p>
      <w:pPr>
        <w:pStyle w:val="BodyText"/>
        <w:spacing w:before="3"/>
        <w:rPr>
          <w:sz w:val="15"/>
        </w:rPr>
      </w:pPr>
    </w:p>
    <w:p>
      <w:pPr>
        <w:spacing w:before="0"/>
        <w:ind w:left="169" w:right="0" w:firstLine="0"/>
        <w:jc w:val="left"/>
        <w:rPr>
          <w:b/>
          <w:sz w:val="20"/>
        </w:rPr>
      </w:pPr>
      <w:r>
        <w:rPr>
          <w:b/>
          <w:color w:val="0092C7"/>
          <w:sz w:val="20"/>
        </w:rPr>
        <w:t>Chart 3.2</w:t>
      </w:r>
    </w:p>
    <w:p>
      <w:pPr>
        <w:spacing w:line="144" w:lineRule="exact" w:before="10"/>
        <w:ind w:left="169" w:right="0" w:firstLine="0"/>
        <w:jc w:val="left"/>
        <w:rPr>
          <w:b/>
          <w:sz w:val="20"/>
        </w:rPr>
      </w:pPr>
      <w:r>
        <w:rPr>
          <w:b/>
          <w:color w:val="0092C7"/>
          <w:sz w:val="20"/>
        </w:rPr>
        <w:t>Average hours worked per week</w:t>
      </w:r>
    </w:p>
    <w:p>
      <w:pPr>
        <w:pStyle w:val="BodyText"/>
        <w:spacing w:line="266" w:lineRule="exact"/>
        <w:ind w:left="169"/>
      </w:pPr>
      <w:r>
        <w:rPr/>
        <w:br w:type="column"/>
      </w:r>
      <w:r>
        <w:rPr/>
        <w:t>Working Time Directive (WTD).</w:t>
      </w:r>
    </w:p>
    <w:p>
      <w:pPr>
        <w:pStyle w:val="BodyText"/>
        <w:spacing w:before="2"/>
        <w:rPr>
          <w:sz w:val="28"/>
        </w:rPr>
      </w:pPr>
    </w:p>
    <w:p>
      <w:pPr>
        <w:pStyle w:val="BodyText"/>
        <w:spacing w:line="242" w:lineRule="auto"/>
        <w:ind w:left="169"/>
      </w:pPr>
      <w:r>
        <w:rPr/>
        <w:t>The future path of average hours worked is difficult to judge and depends on the balance between structural factors, which have lowered average hours worked in</w:t>
      </w:r>
    </w:p>
    <w:p>
      <w:pPr>
        <w:spacing w:after="0" w:line="242" w:lineRule="auto"/>
        <w:sectPr>
          <w:type w:val="continuous"/>
          <w:pgSz w:w="11900" w:h="16840"/>
          <w:pgMar w:top="1260" w:bottom="280" w:left="640" w:right="640"/>
          <w:cols w:num="2" w:equalWidth="0">
            <w:col w:w="3591" w:space="1208"/>
            <w:col w:w="5821"/>
          </w:cols>
        </w:sectPr>
      </w:pPr>
    </w:p>
    <w:p>
      <w:pPr>
        <w:pStyle w:val="BodyText"/>
        <w:spacing w:before="2"/>
        <w:rPr>
          <w:sz w:val="12"/>
        </w:rPr>
      </w:pPr>
    </w:p>
    <w:p>
      <w:pPr>
        <w:spacing w:before="0"/>
        <w:ind w:left="0" w:right="0" w:firstLine="0"/>
        <w:jc w:val="right"/>
        <w:rPr>
          <w:sz w:val="12"/>
        </w:rPr>
      </w:pPr>
      <w:r>
        <w:rPr>
          <w:sz w:val="12"/>
        </w:rPr>
        <w:t>Hours</w:t>
      </w:r>
    </w:p>
    <w:p>
      <w:pPr>
        <w:pStyle w:val="BodyText"/>
        <w:spacing w:before="4"/>
        <w:rPr>
          <w:sz w:val="2"/>
        </w:rPr>
      </w:pPr>
    </w:p>
    <w:p>
      <w:pPr>
        <w:tabs>
          <w:tab w:pos="3302" w:val="left" w:leader="none"/>
        </w:tabs>
        <w:spacing w:line="20" w:lineRule="exact"/>
        <w:ind w:left="182" w:right="-87"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15"/>
        </w:rPr>
      </w:pPr>
      <w:r>
        <w:rPr/>
        <w:pict>
          <v:shape style="position:absolute;margin-left:41.355pt;margin-top:10.870753pt;width:4.350pt;height:.1pt;mso-position-horizontal-relative:page;mso-position-vertical-relative:paragraph;z-index:-15469568;mso-wrap-distance-left:0;mso-wrap-distance-right:0" coordorigin="827,217" coordsize="87,0" path="m827,217l914,217e" filled="false" stroked="true" strokeweight=".5pt" strokecolor="#000000">
            <v:path arrowok="t"/>
            <v:stroke dashstyle="solid"/>
            <w10:wrap type="topAndBottom"/>
          </v:shape>
        </w:pict>
      </w:r>
    </w:p>
    <w:p>
      <w:pPr>
        <w:pStyle w:val="BodyText"/>
        <w:rPr>
          <w:sz w:val="12"/>
        </w:rPr>
      </w:pPr>
      <w:r>
        <w:rPr/>
        <w:br w:type="column"/>
      </w:r>
      <w:r>
        <w:rPr>
          <w:sz w:val="12"/>
        </w:rPr>
      </w:r>
    </w:p>
    <w:p>
      <w:pPr>
        <w:spacing w:before="101"/>
        <w:ind w:left="15" w:right="0" w:firstLine="0"/>
        <w:jc w:val="left"/>
        <w:rPr>
          <w:sz w:val="12"/>
        </w:rPr>
      </w:pPr>
      <w:r>
        <w:rPr>
          <w:sz w:val="12"/>
        </w:rPr>
        <w:t>33.8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4"/>
        <w:ind w:left="15" w:right="0" w:firstLine="0"/>
        <w:jc w:val="left"/>
        <w:rPr>
          <w:sz w:val="12"/>
        </w:rPr>
      </w:pPr>
      <w:r>
        <w:rPr>
          <w:sz w:val="12"/>
        </w:rPr>
        <w:t>33.3</w:t>
      </w:r>
    </w:p>
    <w:p>
      <w:pPr>
        <w:pStyle w:val="BodyText"/>
        <w:spacing w:line="242" w:lineRule="auto"/>
        <w:ind w:left="1278" w:right="186"/>
      </w:pPr>
      <w:r>
        <w:rPr/>
        <w:br w:type="column"/>
      </w:r>
      <w:r>
        <w:rPr/>
        <w:t>recent years, and cyclical influences, which may be putting upward pressure on average hours worked. While considerable uncertainty remains, the MPC</w:t>
      </w:r>
      <w:r>
        <w:rPr>
          <w:spacing w:val="-42"/>
        </w:rPr>
        <w:t> </w:t>
      </w:r>
      <w:r>
        <w:rPr/>
        <w:t>judges that average hours worked are likely to remain around their current </w:t>
      </w:r>
      <w:r>
        <w:rPr>
          <w:spacing w:val="-3"/>
        </w:rPr>
        <w:t>levels over </w:t>
      </w:r>
      <w:r>
        <w:rPr/>
        <w:t>the next two</w:t>
      </w:r>
      <w:r>
        <w:rPr>
          <w:spacing w:val="-6"/>
        </w:rPr>
        <w:t> </w:t>
      </w:r>
      <w:r>
        <w:rPr/>
        <w:t>years.</w:t>
      </w:r>
    </w:p>
    <w:p>
      <w:pPr>
        <w:spacing w:after="0" w:line="242" w:lineRule="auto"/>
        <w:sectPr>
          <w:type w:val="continuous"/>
          <w:pgSz w:w="11900" w:h="16840"/>
          <w:pgMar w:top="1260" w:bottom="280" w:left="640" w:right="640"/>
          <w:cols w:num="3" w:equalWidth="0">
            <w:col w:w="3386" w:space="40"/>
            <w:col w:w="226" w:space="39"/>
            <w:col w:w="6929"/>
          </w:cols>
        </w:sectPr>
      </w:pPr>
    </w:p>
    <w:p>
      <w:pPr>
        <w:pStyle w:val="BodyText"/>
        <w:spacing w:before="8"/>
        <w:rPr>
          <w:sz w:val="19"/>
        </w:rPr>
      </w:pPr>
    </w:p>
    <w:p>
      <w:pPr>
        <w:spacing w:after="0"/>
        <w:rPr>
          <w:sz w:val="19"/>
        </w:rPr>
        <w:sectPr>
          <w:type w:val="continuous"/>
          <w:pgSz w:w="11900" w:h="16840"/>
          <w:pgMar w:top="1260" w:bottom="280" w:left="640" w:right="640"/>
        </w:sectPr>
      </w:pPr>
    </w:p>
    <w:p>
      <w:pPr>
        <w:pStyle w:val="BodyText"/>
        <w:rPr>
          <w:sz w:val="20"/>
        </w:rPr>
      </w:pPr>
    </w:p>
    <w:p>
      <w:pPr>
        <w:pStyle w:val="BodyText"/>
        <w:spacing w:before="11"/>
        <w:rPr>
          <w:sz w:val="25"/>
        </w:rPr>
      </w:pPr>
    </w:p>
    <w:p>
      <w:pPr>
        <w:pStyle w:val="BodyText"/>
        <w:spacing w:line="20" w:lineRule="exact"/>
        <w:ind w:left="182"/>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0"/>
        <w:ind w:left="242" w:right="0" w:firstLine="0"/>
        <w:jc w:val="left"/>
        <w:rPr>
          <w:sz w:val="12"/>
        </w:rPr>
      </w:pPr>
      <w:r>
        <w:rPr>
          <w:sz w:val="12"/>
        </w:rPr>
        <w:t>1992</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921" w:val="left" w:leader="none"/>
          <w:tab w:pos="1589" w:val="left" w:leader="none"/>
        </w:tabs>
        <w:spacing w:before="97"/>
        <w:ind w:left="242" w:right="0" w:firstLine="0"/>
        <w:jc w:val="left"/>
        <w:rPr>
          <w:sz w:val="12"/>
        </w:rPr>
      </w:pPr>
      <w:r>
        <w:rPr>
          <w:sz w:val="12"/>
        </w:rPr>
        <w:t>94</w:t>
        <w:tab/>
        <w:t>96</w:t>
        <w:tab/>
        <w:t>98</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1"/>
        <w:ind w:left="242" w:right="0" w:firstLine="0"/>
        <w:jc w:val="left"/>
        <w:rPr>
          <w:sz w:val="12"/>
        </w:rPr>
      </w:pPr>
      <w:r>
        <w:rPr>
          <w:sz w:val="12"/>
        </w:rPr>
        <w:t>2000</w:t>
      </w:r>
    </w:p>
    <w:p>
      <w:pPr>
        <w:pStyle w:val="BodyText"/>
        <w:rPr>
          <w:sz w:val="12"/>
        </w:rPr>
      </w:pPr>
      <w:r>
        <w:rPr/>
        <w:br w:type="column"/>
      </w:r>
      <w:r>
        <w:rPr>
          <w:sz w:val="12"/>
        </w:rPr>
      </w:r>
    </w:p>
    <w:p>
      <w:pPr>
        <w:pStyle w:val="BodyText"/>
        <w:rPr>
          <w:sz w:val="12"/>
        </w:rPr>
      </w:pPr>
    </w:p>
    <w:p>
      <w:pPr>
        <w:pStyle w:val="BodyText"/>
        <w:spacing w:before="2"/>
        <w:rPr>
          <w:sz w:val="16"/>
        </w:rPr>
      </w:pPr>
    </w:p>
    <w:p>
      <w:pPr>
        <w:spacing w:before="0"/>
        <w:ind w:left="203" w:right="0" w:firstLine="0"/>
        <w:jc w:val="left"/>
        <w:rPr>
          <w:sz w:val="12"/>
        </w:rPr>
      </w:pPr>
      <w:r>
        <w:rPr>
          <w:sz w:val="12"/>
        </w:rPr>
        <w:t>32.8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31" w:lineRule="exact" w:before="94"/>
        <w:ind w:left="203" w:right="0" w:firstLine="0"/>
        <w:jc w:val="left"/>
        <w:rPr>
          <w:sz w:val="12"/>
        </w:rPr>
      </w:pPr>
      <w:r>
        <w:rPr/>
        <w:pict>
          <v:group style="position:absolute;margin-left:53.625pt;margin-top:-116.785439pt;width:148.1pt;height:93.4pt;mso-position-horizontal-relative:page;mso-position-vertical-relative:paragraph;z-index:15988736" coordorigin="1073,-2336" coordsize="2962,1868">
            <v:line style="position:absolute" from="1095,-1604" to="1095,-1200" stroked="true" strokeweight="2.25pt" strokecolor="#a64991">
              <v:stroke dashstyle="solid"/>
            </v:line>
            <v:shape style="position:absolute;left:1097;top:-1604;width:470;height:407" type="#_x0000_t75" stroked="false">
              <v:imagedata r:id="rId107" o:title=""/>
            </v:shape>
            <v:shape style="position:absolute;left:1547;top:-1422;width:80;height:404" coordorigin="1548,-1421" coordsize="80,404" path="m1628,-1421l1603,-1421,1583,-1421,1548,-1421,1548,-1017,1583,-1017,1603,-1017,1628,-1017,1628,-1421xe" filled="true" fillcolor="#a64991" stroked="false">
              <v:path arrowok="t"/>
              <v:fill type="solid"/>
            </v:shape>
            <v:line style="position:absolute" from="1618,-1411" to="1643,-1210" stroked="true" strokeweight="1pt" strokecolor="#a64991">
              <v:stroke dashstyle="solid"/>
            </v:line>
            <v:line style="position:absolute" from="1660,-1604" to="1660,-1200" stroked="true" strokeweight="2.75pt" strokecolor="#a64991">
              <v:stroke dashstyle="solid"/>
            </v:line>
            <v:line style="position:absolute" from="1668,-1593" to="1713,-1593" stroked="true" strokeweight="1.120pt" strokecolor="#a64991">
              <v:stroke dashstyle="solid"/>
            </v:line>
            <v:line style="position:absolute" from="1703,-1594" to="1728,-1776" stroked="true" strokeweight="1pt" strokecolor="#a64991">
              <v:stroke dashstyle="solid"/>
            </v:line>
            <v:line style="position:absolute" from="1718,-1775" to="1773,-1775" stroked="true" strokeweight="1.120pt" strokecolor="#a64991">
              <v:stroke dashstyle="solid"/>
            </v:line>
            <v:line style="position:absolute" from="1763,-1776" to="1788,-1594" stroked="true" strokeweight="1pt" strokecolor="#a64991">
              <v:stroke dashstyle="solid"/>
            </v:line>
            <v:line style="position:absolute" from="1778,-1593" to="1823,-1593" stroked="true" strokeweight="1.120pt" strokecolor="#a64991">
              <v:stroke dashstyle="solid"/>
            </v:line>
            <v:line style="position:absolute" from="1813,-1594" to="1848,-1776" stroked="true" strokeweight="1pt" strokecolor="#a64991">
              <v:stroke dashstyle="solid"/>
            </v:line>
            <v:shape style="position:absolute;left:1837;top:-1775;width:70;height:2" coordorigin="1838,-1775" coordsize="70,0" path="m1838,-1775l1883,-1775m1863,-1775l1908,-1775e" filled="false" stroked="true" strokeweight="1.120pt" strokecolor="#a64991">
              <v:path arrowok="t"/>
              <v:stroke dashstyle="solid"/>
            </v:shape>
            <v:shape style="position:absolute;left:1897;top:-2326;width:170;height:550" coordorigin="1898,-2326" coordsize="170,550" path="m1898,-1776l1933,-1959m1933,-1959l1958,-2143m1958,-2143l1983,-2326m1983,-2326l2018,-2143m2018,-2143l2043,-1959m2043,-1959l2068,-2143e" filled="false" stroked="true" strokeweight="1pt" strokecolor="#a64991">
              <v:path arrowok="t"/>
              <v:stroke dashstyle="solid"/>
            </v:shape>
            <v:line style="position:absolute" from="2058,-2142" to="2113,-2142" stroked="true" strokeweight="1.120pt" strokecolor="#a64991">
              <v:stroke dashstyle="solid"/>
            </v:line>
            <v:line style="position:absolute" from="2103,-2143" to="2128,-1959" stroked="true" strokeweight="1pt" strokecolor="#a64991">
              <v:stroke dashstyle="solid"/>
            </v:line>
            <v:line style="position:absolute" from="2118,-1957" to="2163,-1957" stroked="true" strokeweight="1.120pt" strokecolor="#a64991">
              <v:stroke dashstyle="solid"/>
            </v:line>
            <v:line style="position:absolute" from="2153,-1959" to="2188,-1776" stroked="true" strokeweight="1pt" strokecolor="#a64991">
              <v:stroke dashstyle="solid"/>
            </v:line>
            <v:line style="position:absolute" from="2178,-1775" to="2223,-1775" stroked="true" strokeweight="1.120pt" strokecolor="#a64991">
              <v:stroke dashstyle="solid"/>
            </v:line>
            <v:line style="position:absolute" from="2213,-1776" to="2238,-1594" stroked="true" strokeweight="1pt" strokecolor="#a64991">
              <v:stroke dashstyle="solid"/>
            </v:line>
            <v:line style="position:absolute" from="2228,-1593" to="2283,-1593" stroked="true" strokeweight="1.120pt" strokecolor="#a64991">
              <v:stroke dashstyle="solid"/>
            </v:line>
            <v:line style="position:absolute" from="2273,-1594" to="2298,-1776" stroked="true" strokeweight="1pt" strokecolor="#a64991">
              <v:stroke dashstyle="solid"/>
            </v:line>
            <v:shape style="position:absolute;left:2287;top:-1775;width:130;height:2" coordorigin="2288,-1775" coordsize="130,0" path="m2288,-1775l2333,-1775m2313,-1775l2368,-1775m2348,-1775l2393,-1775m2373,-1775l2418,-1775e" filled="false" stroked="true" strokeweight="1.120pt" strokecolor="#a64991">
              <v:path arrowok="t"/>
              <v:stroke dashstyle="solid"/>
            </v:shape>
            <v:line style="position:absolute" from="2408,-1776" to="2443,-1959" stroked="true" strokeweight="1pt" strokecolor="#a64991">
              <v:stroke dashstyle="solid"/>
            </v:line>
            <v:shape style="position:absolute;left:2432;top:-1958;width:70;height:2" coordorigin="2433,-1957" coordsize="70,0" path="m2433,-1957l2478,-1957m2458,-1957l2503,-1957e" filled="false" stroked="true" strokeweight="1.120pt" strokecolor="#a64991">
              <v:path arrowok="t"/>
              <v:stroke dashstyle="solid"/>
            </v:shape>
            <v:line style="position:absolute" from="2493,-1959" to="2515,-1956" stroked="true" strokeweight="1pt" strokecolor="#a64991">
              <v:stroke dashstyle="solid"/>
            </v:line>
            <v:shape style="position:absolute;left:2505;top:-1958;width:83;height:2" coordorigin="2505,-1957" coordsize="83,0" path="m2505,-1957l2563,-1957m2543,-1957l2588,-1957e" filled="false" stroked="true" strokeweight="1.120pt" strokecolor="#a64991">
              <v:path arrowok="t"/>
              <v:stroke dashstyle="solid"/>
            </v:shape>
            <v:line style="position:absolute" from="2578,-1959" to="2600,-1956" stroked="true" strokeweight="1pt" strokecolor="#a64991">
              <v:stroke dashstyle="solid"/>
            </v:line>
            <v:line style="position:absolute" from="2619,-1969" to="2619,-1584" stroked="true" strokeweight="2.875pt" strokecolor="#a64991">
              <v:stroke dashstyle="solid"/>
            </v:line>
            <v:shape style="position:absolute;left:2637;top:-1959;width:110;height:548" coordorigin="2638,-1959" coordsize="110,548" path="m2638,-1594l2663,-1411m2663,-1411l2685,-1594m2685,-1594l2723,-1776m2723,-1776l2748,-1959e" filled="false" stroked="true" strokeweight="1pt" strokecolor="#a64991">
              <v:path arrowok="t"/>
              <v:stroke dashstyle="solid"/>
            </v:shape>
            <v:line style="position:absolute" from="2759,-1969" to="2759,-1584" stroked="true" strokeweight="2.125pt" strokecolor="#a64991">
              <v:stroke dashstyle="solid"/>
            </v:line>
            <v:shape style="position:absolute;left:2770;top:-1777;width:85;height:183" coordorigin="2770,-1776" coordsize="85,183" path="m2770,-1594l2808,-1776m2808,-1776l2833,-1594m2833,-1594l2855,-1776e" filled="false" stroked="true" strokeweight="1pt" strokecolor="#a64991">
              <v:path arrowok="t"/>
              <v:stroke dashstyle="solid"/>
            </v:shape>
            <v:line style="position:absolute" from="2845,-1775" to="2903,-1775" stroked="true" strokeweight="1.120pt" strokecolor="#a64991">
              <v:stroke dashstyle="solid"/>
            </v:line>
            <v:shape style="position:absolute;left:2892;top:-2144;width:85;height:732" coordorigin="2893,-2143" coordsize="85,732" path="m2893,-1776l2918,-1959m2918,-1959l2940,-2143m2940,-2143l2978,-1411e" filled="false" stroked="true" strokeweight="1pt" strokecolor="#a64991">
              <v:path arrowok="t"/>
              <v:stroke dashstyle="solid"/>
            </v:shape>
            <v:shape style="position:absolute;left:2967;top:-1969;width:323;height:568" type="#_x0000_t75" stroked="false">
              <v:imagedata r:id="rId108" o:title=""/>
            </v:shape>
            <v:shape style="position:absolute;left:3280;top:-1594;width:123;height:752" coordorigin="3280,-1594" coordsize="123,752" path="m3280,-1594l3318,-843m3318,-843l3343,-1411m3343,-1411l3365,-1409m3365,-1411l3403,-1210e" filled="false" stroked="true" strokeweight="1pt" strokecolor="#a64991">
              <v:path arrowok="t"/>
              <v:stroke dashstyle="solid"/>
            </v:shape>
            <v:line style="position:absolute" from="3393,-1209" to="3438,-1209" stroked="true" strokeweight="1.120pt" strokecolor="#a64991">
              <v:stroke dashstyle="solid"/>
            </v:line>
            <v:line style="position:absolute" from="3428,-1210" to="3450,-1776" stroked="true" strokeweight="1pt" strokecolor="#a64991">
              <v:stroke dashstyle="solid"/>
            </v:line>
            <v:line style="position:absolute" from="3463,-1786" to="3463,-1401" stroked="true" strokeweight="2.25pt" strokecolor="#a64991">
              <v:stroke dashstyle="solid"/>
            </v:line>
            <v:line style="position:absolute" from="3465,-1410" to="3520,-1410" stroked="true" strokeweight="1.120pt" strokecolor="#a64991">
              <v:stroke dashstyle="solid"/>
            </v:line>
            <v:line style="position:absolute" from="3510,-1411" to="3535,-1210" stroked="true" strokeweight="1pt" strokecolor="#a64991">
              <v:stroke dashstyle="solid"/>
            </v:line>
            <v:line style="position:absolute" from="3525,-1209" to="3570,-1209" stroked="true" strokeweight="1.120pt" strokecolor="#a64991">
              <v:stroke dashstyle="solid"/>
            </v:line>
            <v:line style="position:absolute" from="3560,-1210" to="3595,-1027" stroked="true" strokeweight="1pt" strokecolor="#a64991">
              <v:stroke dashstyle="solid"/>
            </v:line>
            <v:shape style="position:absolute;left:3585;top:-1038;width:70;height:388" coordorigin="3585,-1037" coordsize="70,388" path="m3655,-1037l3630,-1037,3610,-1037,3585,-1037,3585,-650,3610,-650,3630,-650,3655,-650,3655,-1037xe" filled="true" fillcolor="#a64991" stroked="false">
              <v:path arrowok="t"/>
              <v:fill type="solid"/>
            </v:shape>
            <v:line style="position:absolute" from="3645,-1027" to="3680,-843" stroked="true" strokeweight="1pt" strokecolor="#a64991">
              <v:stroke dashstyle="solid"/>
            </v:line>
            <v:line style="position:absolute" from="3670,-841" to="3715,-841" stroked="true" strokeweight="1.120pt" strokecolor="#a64991">
              <v:stroke dashstyle="solid"/>
            </v:line>
            <v:shape style="position:absolute;left:3695;top:-853;width:80;height:385" coordorigin="3695,-853" coordsize="80,385" path="m3775,-853l3740,-853,3720,-853,3695,-853,3695,-468,3720,-468,3740,-468,3775,-468,3775,-853xe" filled="true" fillcolor="#a64991" stroked="false">
              <v:path arrowok="t"/>
              <v:fill type="solid"/>
            </v:shape>
            <v:shape style="position:absolute;left:3765;top:-843;width:50;height:183" coordorigin="3765,-843" coordsize="50,183" path="m3765,-843l3790,-660m3790,-660l3815,-843e" filled="false" stroked="true" strokeweight="1pt" strokecolor="#a64991">
              <v:path arrowok="t"/>
              <v:stroke dashstyle="solid"/>
            </v:shape>
            <v:shape style="position:absolute;left:3805;top:-842;width:80;height:2" coordorigin="3805,-841" coordsize="80,0" path="m3805,-841l3860,-841m3840,-841l3885,-841e" filled="false" stroked="true" strokeweight="1.120pt" strokecolor="#a64991">
              <v:path arrowok="t"/>
              <v:stroke dashstyle="solid"/>
            </v:shape>
            <v:shape style="position:absolute;left:3947;top:-1675;width:87;height:922" coordorigin="3947,-1674" coordsize="87,922" path="m3947,-753l4034,-753m3947,-1674l4034,-1674e" filled="false" stroked="true" strokeweight=".5pt" strokecolor="#000000">
              <v:path arrowok="t"/>
              <v:stroke dashstyle="solid"/>
            </v:shape>
            <w10:wrap type="none"/>
          </v:group>
        </w:pict>
      </w:r>
      <w:r>
        <w:rPr/>
        <w:pict>
          <v:group style="position:absolute;margin-left:41.355pt;margin-top:8.011559pt;width:161.4pt;height:6.8pt;mso-position-horizontal-relative:page;mso-position-vertical-relative:paragraph;z-index:15989248" coordorigin="827,160" coordsize="3228,136">
            <v:shape style="position:absolute;left:995;top:223;width:2882;height:65" coordorigin="995,224" coordsize="2882,65" path="m998,288l3877,288m995,224l995,288m1673,224l1673,288m2351,224l2351,288m3029,224l3029,288m3707,224l3707,288e" filled="false" stroked="true" strokeweight=".5pt" strokecolor="#000000">
              <v:path arrowok="t"/>
              <v:stroke dashstyle="solid"/>
            </v:shape>
            <v:shape style="position:absolute;left:3821;top:163;width:234;height:132" type="#_x0000_t75" stroked="false">
              <v:imagedata r:id="rId109" o:title=""/>
            </v:shape>
            <v:shape style="position:absolute;left:827;top:165;width:213;height:126" coordorigin="827,165" coordsize="213,126" path="m827,165l914,165m913,169l913,194,893,210,933,223,893,242,933,258,910,268,909,290m827,288l1040,288e" filled="false" stroked="true" strokeweight=".5pt" strokecolor="#000000">
              <v:path arrowok="t"/>
              <v:stroke dashstyle="solid"/>
            </v:shape>
            <w10:wrap type="none"/>
          </v:group>
        </w:pict>
      </w:r>
      <w:r>
        <w:rPr>
          <w:sz w:val="12"/>
        </w:rPr>
        <w:t>32.3</w:t>
      </w:r>
    </w:p>
    <w:p>
      <w:pPr>
        <w:spacing w:line="131" w:lineRule="exact" w:before="0"/>
        <w:ind w:left="263" w:right="0" w:firstLine="0"/>
        <w:jc w:val="left"/>
        <w:rPr>
          <w:sz w:val="12"/>
        </w:rPr>
      </w:pPr>
      <w:r>
        <w:rPr>
          <w:sz w:val="12"/>
        </w:rPr>
        <w:t>0.0</w:t>
      </w:r>
    </w:p>
    <w:p>
      <w:pPr>
        <w:pStyle w:val="BodyText"/>
        <w:spacing w:line="242" w:lineRule="auto" w:before="90"/>
        <w:ind w:left="242" w:right="165"/>
      </w:pPr>
      <w:r>
        <w:rPr/>
        <w:br w:type="column"/>
      </w:r>
      <w:r>
        <w:rPr/>
        <w:t>LFS employment growth has eased a little in recent months, although it remains strong. In the three months to August LFS employment rose by 80,000 (0.3%), compared with the 0.5% rise in the three months to May. The recent growth reflected a sharp rise in part-time employment, with full-time employment falling slightly.</w:t>
      </w:r>
    </w:p>
    <w:p>
      <w:pPr>
        <w:spacing w:after="0" w:line="242" w:lineRule="auto"/>
        <w:sectPr>
          <w:type w:val="continuous"/>
          <w:pgSz w:w="11900" w:h="16840"/>
          <w:pgMar w:top="1260" w:bottom="280" w:left="640" w:right="640"/>
          <w:cols w:num="5" w:equalWidth="0">
            <w:col w:w="523" w:space="207"/>
            <w:col w:w="1750" w:space="235"/>
            <w:col w:w="483" w:space="40"/>
            <w:col w:w="454" w:space="1035"/>
            <w:col w:w="5893"/>
          </w:cols>
        </w:sectPr>
      </w:pPr>
    </w:p>
    <w:p>
      <w:pPr>
        <w:pStyle w:val="BodyText"/>
        <w:rPr>
          <w:sz w:val="20"/>
        </w:rPr>
      </w:pPr>
    </w:p>
    <w:p>
      <w:pPr>
        <w:spacing w:after="0"/>
        <w:rPr>
          <w:sz w:val="20"/>
        </w:rPr>
        <w:sectPr>
          <w:headerReference w:type="even" r:id="rId110"/>
          <w:headerReference w:type="default" r:id="rId111"/>
          <w:footerReference w:type="even" r:id="rId112"/>
          <w:footerReference w:type="default" r:id="rId113"/>
          <w:pgSz w:w="11900" w:h="16840"/>
          <w:pgMar w:header="586" w:footer="592" w:top="780" w:bottom="780" w:left="640" w:right="640"/>
          <w:pgNumType w:start="26"/>
        </w:sectPr>
      </w:pPr>
    </w:p>
    <w:p>
      <w:pPr>
        <w:pStyle w:val="BodyText"/>
        <w:spacing w:before="1"/>
        <w:rPr>
          <w:sz w:val="21"/>
        </w:rPr>
      </w:pPr>
    </w:p>
    <w:p>
      <w:pPr>
        <w:spacing w:before="0"/>
        <w:ind w:left="170" w:right="0" w:firstLine="0"/>
        <w:jc w:val="left"/>
        <w:rPr>
          <w:b/>
          <w:sz w:val="20"/>
        </w:rPr>
      </w:pPr>
      <w:r>
        <w:rPr>
          <w:b/>
          <w:color w:val="0092C7"/>
          <w:sz w:val="20"/>
        </w:rPr>
        <w:t>Chart 3.3</w:t>
      </w:r>
    </w:p>
    <w:p>
      <w:pPr>
        <w:spacing w:line="249" w:lineRule="auto" w:before="10"/>
        <w:ind w:left="170" w:right="0" w:firstLine="0"/>
        <w:jc w:val="left"/>
        <w:rPr>
          <w:sz w:val="12"/>
        </w:rPr>
      </w:pPr>
      <w:r>
        <w:rPr>
          <w:b/>
          <w:color w:val="0092C7"/>
          <w:sz w:val="20"/>
        </w:rPr>
        <w:t>Proportion of part-timers in LFS employment</w:t>
      </w:r>
      <w:r>
        <w:rPr>
          <w:position w:val="4"/>
          <w:sz w:val="12"/>
        </w:rPr>
        <w:t>(a)</w:t>
      </w:r>
    </w:p>
    <w:p>
      <w:pPr>
        <w:spacing w:before="67"/>
        <w:ind w:left="2978" w:right="0" w:firstLine="0"/>
        <w:jc w:val="left"/>
        <w:rPr>
          <w:sz w:val="12"/>
        </w:rPr>
      </w:pPr>
      <w:r>
        <w:rPr/>
        <w:pict>
          <v:line style="position:absolute;mso-position-horizontal-relative:page;mso-position-vertical-relative:paragraph;z-index:15998976" from="42.368999pt,12.047466pt" to="46.701999pt,12.047466pt" stroked="true" strokeweight=".5pt" strokecolor="#000000">
            <v:stroke dashstyle="solid"/>
            <w10:wrap type="none"/>
          </v:line>
        </w:pict>
      </w:r>
      <w:r>
        <w:rPr/>
        <w:pict>
          <v:line style="position:absolute;mso-position-horizontal-relative:page;mso-position-vertical-relative:paragraph;z-index:-22653440" from="196.089996pt,12.047466pt" to="200.421996pt,12.047466pt" stroked="true" strokeweight=".5pt" strokecolor="#000000">
            <v:stroke dashstyle="solid"/>
            <w10:wrap type="none"/>
          </v:line>
        </w:pict>
      </w:r>
      <w:r>
        <w:rPr>
          <w:sz w:val="12"/>
        </w:rPr>
        <w:t>Per cent</w:t>
      </w:r>
      <w:r>
        <w:rPr>
          <w:spacing w:val="6"/>
          <w:sz w:val="12"/>
        </w:rPr>
        <w:t> </w:t>
      </w:r>
      <w:r>
        <w:rPr>
          <w:position w:val="-8"/>
          <w:sz w:val="12"/>
        </w:rPr>
        <w:t>26</w:t>
      </w:r>
    </w:p>
    <w:p>
      <w:pPr>
        <w:pStyle w:val="BodyText"/>
        <w:spacing w:before="8"/>
        <w:rPr>
          <w:sz w:val="28"/>
        </w:rPr>
      </w:pPr>
    </w:p>
    <w:p>
      <w:pPr>
        <w:spacing w:before="0"/>
        <w:ind w:left="0" w:right="38" w:firstLine="0"/>
        <w:jc w:val="right"/>
        <w:rPr>
          <w:sz w:val="12"/>
        </w:rPr>
      </w:pPr>
      <w:r>
        <w:rPr/>
        <w:pict>
          <v:group style="position:absolute;margin-left:53.5pt;margin-top:1.165972pt;width:146.950pt;height:107.25pt;mso-position-horizontal-relative:page;mso-position-vertical-relative:paragraph;z-index:15995392" coordorigin="1070,23" coordsize="2939,2145">
            <v:shape style="position:absolute;left:1080;top:108;width:2678;height:2050" coordorigin="1080,108" coordsize="2678,2050" path="m1080,2158l1243,2026m1243,2026l1418,1968m1418,1968l1593,1758m1593,1758l1765,1836m1765,1836l1928,1646m1928,1646l2103,1626m2103,1626l2275,1398m2275,1398l2450,906m2450,906l2475,831m2475,831l2488,848m2488,848l2500,831m2500,831l2513,811m2513,811l2525,773m2525,773l2550,776m2550,773l2563,791m2563,791l2575,736m2575,736l2588,678m2588,678l2600,658m2600,658l2613,641m2613,641l2625,658m2625,658l2650,621m2650,621l2663,583m2663,583l2675,563m2675,563l2700,488m2700,488l2713,508m2713,508l2725,468m2725,468l2750,526m2750,526l2763,468m2763,468l2775,451m2775,451l2788,431m2788,431l2800,451m2800,451l2810,431m2810,431l2835,433m2835,431l2848,413m2848,413l2860,431m2860,431l2873,488m2873,488l2885,491m2885,488l2898,508m2898,508l2910,468m2910,468l2935,508m2935,508l2948,488m2948,488l2960,491m2960,488l2973,431m2973,431l2985,413m2985,413l2998,373m2998,373l3010,393m3010,393l3035,356m3035,356l3060,241m3060,241l3073,203m3073,203l3085,206m3085,203l3098,108m3098,108l3110,166m3110,166l3135,186m3135,186l3148,203m3148,203l3160,128m3160,128l3173,131m3173,128l3185,166m3185,166l3198,146m3198,146l3210,166m3210,166l3235,108m3235,108l3248,146m3248,146l3260,128m3260,128l3273,166m3273,166l3285,168m3285,166l3298,146m3298,146l3310,148m3310,146l3335,148m3335,146l3348,148m3348,146l3360,108m3360,108l3373,128m3373,128l3385,186m3385,186l3398,261m3398,261l3408,298m3408,298l3433,241m3433,241l3445,223m3445,223l3458,203m3458,203l3470,186m3470,186l3483,166m3483,166l3495,223m3495,223l3520,261m3520,261l3533,263m3533,261l3545,223m3545,223l3558,166m3558,166l3570,168m3570,166l3583,128m3583,128l3595,146m3595,146l3620,148m3620,146l3633,166m3633,166l3645,168m3645,166l3658,186m3658,186l3683,146m3683,146l3695,186m3695,186l3720,203m3720,203l3733,241m3733,241l3745,203m3745,203l3758,241e" filled="false" stroked="true" strokeweight="1pt" strokecolor="#f6bd61">
              <v:path arrowok="t"/>
              <v:stroke dashstyle="solid"/>
            </v:shape>
            <v:line style="position:absolute" from="3764,118" to="3764,251" stroked="true" strokeweight="1.625pt" strokecolor="#f6bd61">
              <v:stroke dashstyle="solid"/>
            </v:line>
            <v:shape style="position:absolute;left:3770;top:33;width:88;height:113" coordorigin="3770,33" coordsize="88,113" path="m3770,128l3783,131m3783,128l3795,131m3795,128l3820,146m3820,146l3833,128m3833,128l3845,71m3845,71l3858,33e" filled="false" stroked="true" strokeweight="1pt" strokecolor="#f6bd61">
              <v:path arrowok="t"/>
              <v:stroke dashstyle="solid"/>
            </v:shape>
            <v:shape style="position:absolute;left:3921;top:87;width:87;height:1885" coordorigin="3922,87" coordsize="87,1885" path="m3922,87l4008,87m3922,558l4008,558m3922,1030l4008,1030m3922,1501l4008,1501m3922,1972l4008,1972e" filled="false" stroked="true" strokeweight=".5pt" strokecolor="#000000">
              <v:path arrowok="t"/>
              <v:stroke dashstyle="solid"/>
            </v:shape>
            <w10:wrap type="none"/>
          </v:group>
        </w:pict>
      </w:r>
      <w:r>
        <w:rPr/>
        <w:pict>
          <v:line style="position:absolute;mso-position-horizontal-relative:page;mso-position-vertical-relative:paragraph;z-index:15996416" from="42.368999pt,4.352972pt" to="46.701999pt,4.352972pt" stroked="true" strokeweight=".5pt" strokecolor="#000000">
            <v:stroke dashstyle="solid"/>
            <w10:wrap type="none"/>
          </v:line>
        </w:pict>
      </w:r>
      <w:r>
        <w:rPr>
          <w:sz w:val="12"/>
        </w:rPr>
        <w:t>25</w:t>
      </w:r>
    </w:p>
    <w:p>
      <w:pPr>
        <w:pStyle w:val="BodyText"/>
        <w:rPr>
          <w:sz w:val="12"/>
        </w:rPr>
      </w:pPr>
    </w:p>
    <w:p>
      <w:pPr>
        <w:pStyle w:val="BodyText"/>
        <w:spacing w:before="11"/>
        <w:rPr>
          <w:sz w:val="16"/>
        </w:rPr>
      </w:pPr>
    </w:p>
    <w:p>
      <w:pPr>
        <w:spacing w:before="0"/>
        <w:ind w:left="0" w:right="38" w:firstLine="0"/>
        <w:jc w:val="right"/>
        <w:rPr>
          <w:sz w:val="12"/>
        </w:rPr>
      </w:pPr>
      <w:r>
        <w:rPr/>
        <w:pict>
          <v:line style="position:absolute;mso-position-horizontal-relative:page;mso-position-vertical-relative:paragraph;z-index:15996928" from="42.368999pt,4.374956pt" to="46.701999pt,4.374956pt" stroked="true" strokeweight=".5pt" strokecolor="#000000">
            <v:stroke dashstyle="solid"/>
            <w10:wrap type="none"/>
          </v:line>
        </w:pict>
      </w:r>
      <w:r>
        <w:rPr>
          <w:sz w:val="12"/>
        </w:rPr>
        <w:t>24</w:t>
      </w:r>
    </w:p>
    <w:p>
      <w:pPr>
        <w:pStyle w:val="BodyText"/>
        <w:rPr>
          <w:sz w:val="12"/>
        </w:rPr>
      </w:pPr>
    </w:p>
    <w:p>
      <w:pPr>
        <w:pStyle w:val="BodyText"/>
        <w:spacing w:before="11"/>
        <w:rPr>
          <w:sz w:val="16"/>
        </w:rPr>
      </w:pPr>
    </w:p>
    <w:p>
      <w:pPr>
        <w:spacing w:before="0"/>
        <w:ind w:left="0" w:right="38" w:firstLine="0"/>
        <w:jc w:val="right"/>
        <w:rPr>
          <w:sz w:val="12"/>
        </w:rPr>
      </w:pPr>
      <w:r>
        <w:rPr/>
        <w:pict>
          <v:line style="position:absolute;mso-position-horizontal-relative:page;mso-position-vertical-relative:paragraph;z-index:15997440" from="42.368999pt,4.395940pt" to="46.701999pt,4.395940pt" stroked="true" strokeweight=".5pt" strokecolor="#000000">
            <v:stroke dashstyle="solid"/>
            <w10:wrap type="none"/>
          </v:line>
        </w:pict>
      </w:r>
      <w:r>
        <w:rPr>
          <w:sz w:val="12"/>
        </w:rPr>
        <w:t>23</w:t>
      </w:r>
    </w:p>
    <w:p>
      <w:pPr>
        <w:pStyle w:val="BodyText"/>
        <w:rPr>
          <w:sz w:val="12"/>
        </w:rPr>
      </w:pPr>
    </w:p>
    <w:p>
      <w:pPr>
        <w:pStyle w:val="BodyText"/>
        <w:spacing w:before="10"/>
        <w:rPr>
          <w:sz w:val="16"/>
        </w:rPr>
      </w:pPr>
    </w:p>
    <w:p>
      <w:pPr>
        <w:spacing w:before="1"/>
        <w:ind w:left="0" w:right="38" w:firstLine="0"/>
        <w:jc w:val="right"/>
        <w:rPr>
          <w:sz w:val="12"/>
        </w:rPr>
      </w:pPr>
      <w:r>
        <w:rPr/>
        <w:pict>
          <v:line style="position:absolute;mso-position-horizontal-relative:page;mso-position-vertical-relative:paragraph;z-index:15997952" from="42.368999pt,4.466765pt" to="46.701999pt,4.466765pt" stroked="true" strokeweight=".5pt" strokecolor="#000000">
            <v:stroke dashstyle="solid"/>
            <w10:wrap type="none"/>
          </v:line>
        </w:pict>
      </w:r>
      <w:r>
        <w:rPr>
          <w:sz w:val="12"/>
        </w:rPr>
        <w:t>22</w:t>
      </w:r>
    </w:p>
    <w:p>
      <w:pPr>
        <w:pStyle w:val="BodyText"/>
        <w:rPr>
          <w:sz w:val="12"/>
        </w:rPr>
      </w:pPr>
    </w:p>
    <w:p>
      <w:pPr>
        <w:pStyle w:val="BodyText"/>
        <w:spacing w:before="10"/>
        <w:rPr>
          <w:sz w:val="16"/>
        </w:rPr>
      </w:pPr>
    </w:p>
    <w:p>
      <w:pPr>
        <w:spacing w:before="1"/>
        <w:ind w:left="0" w:right="38" w:firstLine="0"/>
        <w:jc w:val="right"/>
        <w:rPr>
          <w:sz w:val="12"/>
        </w:rPr>
      </w:pPr>
      <w:r>
        <w:rPr/>
        <w:pict>
          <v:line style="position:absolute;mso-position-horizontal-relative:page;mso-position-vertical-relative:paragraph;z-index:15998464" from="42.368999pt,4.486590pt" to="46.701999pt,4.486590pt" stroked="true" strokeweight=".5pt" strokecolor="#000000">
            <v:stroke dashstyle="solid"/>
            <w10:wrap type="none"/>
          </v:line>
        </w:pict>
      </w:r>
      <w:r>
        <w:rPr>
          <w:sz w:val="12"/>
        </w:rPr>
        <w:t>21</w:t>
      </w:r>
    </w:p>
    <w:p>
      <w:pPr>
        <w:pStyle w:val="BodyText"/>
        <w:rPr>
          <w:sz w:val="12"/>
        </w:rPr>
      </w:pPr>
    </w:p>
    <w:p>
      <w:pPr>
        <w:pStyle w:val="BodyText"/>
        <w:spacing w:before="10"/>
        <w:rPr>
          <w:sz w:val="16"/>
        </w:rPr>
      </w:pPr>
    </w:p>
    <w:p>
      <w:pPr>
        <w:spacing w:before="0"/>
        <w:ind w:left="0" w:right="38" w:firstLine="0"/>
        <w:jc w:val="right"/>
        <w:rPr>
          <w:sz w:val="12"/>
        </w:rPr>
      </w:pPr>
      <w:r>
        <w:rPr/>
        <w:pict>
          <v:shape style="position:absolute;margin-left:42.368999pt;margin-top:4.345574pt;width:158.950pt;height:7.5pt;mso-position-horizontal-relative:page;mso-position-vertical-relative:paragraph;z-index:-22657024" coordorigin="847,87" coordsize="3179,150" path="m4005,88l4005,126,3985,142,4025,156,3985,176,4025,193,4002,203,4002,236m3922,89l4008,89m1018,237l3863,237m1015,170l1015,237m1358,170l1358,237m1702,170l1702,237m2045,170l2045,237m2388,170l2388,237m2731,170l2731,237m3417,170l3417,237m3074,170l3074,237m3760,170l3760,237m847,237l1137,237m3762,237l4008,237m847,89l934,89m930,87l930,125,910,142,950,155,910,175,950,192,927,202,926,235e" filled="false" stroked="true" strokeweight=".5pt" strokecolor="#000000">
            <v:path arrowok="t"/>
            <v:stroke dashstyle="solid"/>
            <w10:wrap type="none"/>
          </v:shape>
        </w:pict>
      </w:r>
      <w:r>
        <w:rPr>
          <w:sz w:val="12"/>
        </w:rPr>
        <w:t>20</w:t>
      </w:r>
    </w:p>
    <w:p>
      <w:pPr>
        <w:tabs>
          <w:tab w:pos="991" w:val="left" w:leader="none"/>
          <w:tab w:pos="1337" w:val="left" w:leader="none"/>
          <w:tab w:pos="1683" w:val="left" w:leader="none"/>
          <w:tab w:pos="2029" w:val="left" w:leader="none"/>
          <w:tab w:pos="2375" w:val="left" w:leader="none"/>
          <w:tab w:pos="2721" w:val="left" w:leader="none"/>
          <w:tab w:pos="3465" w:val="left" w:leader="none"/>
        </w:tabs>
        <w:spacing w:before="44"/>
        <w:ind w:left="251" w:right="0" w:firstLine="0"/>
        <w:jc w:val="left"/>
        <w:rPr>
          <w:sz w:val="12"/>
        </w:rPr>
      </w:pPr>
      <w:r>
        <w:rPr>
          <w:sz w:val="12"/>
        </w:rPr>
        <w:t>1984    </w:t>
      </w:r>
      <w:r>
        <w:rPr>
          <w:spacing w:val="5"/>
          <w:sz w:val="12"/>
        </w:rPr>
        <w:t> </w:t>
      </w:r>
      <w:r>
        <w:rPr>
          <w:sz w:val="12"/>
        </w:rPr>
        <w:t>86</w:t>
        <w:tab/>
        <w:t>88</w:t>
        <w:tab/>
        <w:t>90</w:t>
        <w:tab/>
        <w:t>92</w:t>
        <w:tab/>
        <w:t>94</w:t>
        <w:tab/>
        <w:t>96</w:t>
        <w:tab/>
        <w:t>98    </w:t>
      </w:r>
      <w:r>
        <w:rPr>
          <w:spacing w:val="20"/>
          <w:sz w:val="12"/>
        </w:rPr>
        <w:t> </w:t>
      </w:r>
      <w:r>
        <w:rPr>
          <w:sz w:val="12"/>
        </w:rPr>
        <w:t>2000</w:t>
        <w:tab/>
      </w:r>
      <w:r>
        <w:rPr>
          <w:position w:val="7"/>
          <w:sz w:val="12"/>
        </w:rPr>
        <w:t>0</w:t>
      </w:r>
    </w:p>
    <w:p>
      <w:pPr>
        <w:pStyle w:val="BodyText"/>
        <w:spacing w:before="10"/>
        <w:rPr>
          <w:sz w:val="17"/>
        </w:rPr>
      </w:pPr>
    </w:p>
    <w:p>
      <w:pPr>
        <w:spacing w:before="0"/>
        <w:ind w:left="169" w:right="0" w:firstLine="0"/>
        <w:jc w:val="left"/>
        <w:rPr>
          <w:sz w:val="12"/>
        </w:rPr>
      </w:pPr>
      <w:r>
        <w:rPr>
          <w:sz w:val="12"/>
        </w:rPr>
        <w:t>(a) Annual data before 1992.</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1"/>
        </w:rPr>
      </w:pPr>
    </w:p>
    <w:p>
      <w:pPr>
        <w:spacing w:before="0"/>
        <w:ind w:left="170" w:right="0" w:firstLine="0"/>
        <w:jc w:val="left"/>
        <w:rPr>
          <w:b/>
          <w:sz w:val="20"/>
        </w:rPr>
      </w:pPr>
      <w:r>
        <w:rPr>
          <w:b/>
          <w:color w:val="0092C7"/>
          <w:sz w:val="20"/>
        </w:rPr>
        <w:t>Chart 3.4</w:t>
      </w:r>
    </w:p>
    <w:p>
      <w:pPr>
        <w:spacing w:before="10"/>
        <w:ind w:left="170" w:right="0" w:firstLine="0"/>
        <w:jc w:val="left"/>
        <w:rPr>
          <w:b/>
          <w:sz w:val="20"/>
        </w:rPr>
      </w:pPr>
      <w:r>
        <w:rPr>
          <w:b/>
          <w:color w:val="0092C7"/>
          <w:sz w:val="20"/>
        </w:rPr>
        <w:t>Quarterly changes in Workforce Jobs</w:t>
      </w:r>
    </w:p>
    <w:p>
      <w:pPr>
        <w:pStyle w:val="BodyText"/>
        <w:spacing w:before="7"/>
        <w:rPr>
          <w:b/>
          <w:sz w:val="20"/>
        </w:rPr>
      </w:pPr>
      <w:r>
        <w:rPr/>
        <w:br w:type="column"/>
      </w:r>
      <w:r>
        <w:rPr>
          <w:b/>
          <w:sz w:val="20"/>
        </w:rPr>
      </w:r>
    </w:p>
    <w:p>
      <w:pPr>
        <w:pStyle w:val="BodyText"/>
        <w:spacing w:line="242" w:lineRule="auto"/>
        <w:ind w:left="169" w:right="194"/>
      </w:pPr>
      <w:r>
        <w:rPr/>
        <w:t>This fall is unusual: full-time employment declined only once in the previous two years. These developments raised the proportion of part-timers in LFS employment to its highest </w:t>
      </w:r>
      <w:r>
        <w:rPr>
          <w:spacing w:val="-3"/>
        </w:rPr>
        <w:t>level </w:t>
      </w:r>
      <w:r>
        <w:rPr/>
        <w:t>since the series began in 1984 (see Chart 3.3). </w:t>
      </w:r>
      <w:r>
        <w:rPr>
          <w:spacing w:val="-3"/>
        </w:rPr>
        <w:t>Within </w:t>
      </w:r>
      <w:r>
        <w:rPr/>
        <w:t>this, the proportion of women working part-time has been rising for around a </w:t>
      </w:r>
      <w:r>
        <w:rPr>
          <w:spacing w:val="-3"/>
        </w:rPr>
        <w:t>year, </w:t>
      </w:r>
      <w:r>
        <w:rPr/>
        <w:t>perhaps reflecting strong demand from the service </w:t>
      </w:r>
      <w:r>
        <w:rPr>
          <w:spacing w:val="-3"/>
        </w:rPr>
        <w:t>sector, </w:t>
      </w:r>
      <w:r>
        <w:rPr/>
        <w:t>where employment growth has been robust. In contrast, the proportion of men working part-time has remained fairly flat </w:t>
      </w:r>
      <w:r>
        <w:rPr>
          <w:spacing w:val="-3"/>
        </w:rPr>
        <w:t>over </w:t>
      </w:r>
      <w:r>
        <w:rPr/>
        <w:t>the past </w:t>
      </w:r>
      <w:r>
        <w:rPr>
          <w:spacing w:val="-3"/>
        </w:rPr>
        <w:t>year, </w:t>
      </w:r>
      <w:r>
        <w:rPr/>
        <w:t>and at a substantially lower </w:t>
      </w:r>
      <w:r>
        <w:rPr>
          <w:spacing w:val="-3"/>
        </w:rPr>
        <w:t>level </w:t>
      </w:r>
      <w:r>
        <w:rPr/>
        <w:t>than for</w:t>
      </w:r>
      <w:r>
        <w:rPr>
          <w:spacing w:val="-7"/>
        </w:rPr>
        <w:t> </w:t>
      </w:r>
      <w:r>
        <w:rPr/>
        <w:t>women.</w:t>
      </w:r>
    </w:p>
    <w:p>
      <w:pPr>
        <w:pStyle w:val="BodyText"/>
        <w:rPr>
          <w:sz w:val="29"/>
        </w:rPr>
      </w:pPr>
    </w:p>
    <w:p>
      <w:pPr>
        <w:pStyle w:val="BodyText"/>
        <w:spacing w:line="242" w:lineRule="auto"/>
        <w:ind w:left="169" w:right="321"/>
      </w:pPr>
      <w:r>
        <w:rPr/>
        <w:t>LFS employment measures the number of people in work, based on the responses to a rolling three-month survey of households. By contrast, the Workforce Jobs survey records the number of jobs on a single day towards the end of each quarter. The Workforce Jobs employment measure tends to be rather more volatile than its LFS counterpart and is consequently assigned less weight by the MPC. Workforce Jobs have grown</w:t>
      </w:r>
    </w:p>
    <w:p>
      <w:pPr>
        <w:spacing w:after="0" w:line="242" w:lineRule="auto"/>
        <w:sectPr>
          <w:type w:val="continuous"/>
          <w:pgSz w:w="11900" w:h="16840"/>
          <w:pgMar w:top="1260" w:bottom="280" w:left="640" w:right="640"/>
          <w:cols w:num="2" w:equalWidth="0">
            <w:col w:w="3566" w:space="1234"/>
            <w:col w:w="5820"/>
          </w:cols>
        </w:sectPr>
      </w:pPr>
    </w:p>
    <w:p>
      <w:pPr>
        <w:pStyle w:val="BodyText"/>
        <w:spacing w:before="3"/>
        <w:rPr>
          <w:sz w:val="10"/>
        </w:rPr>
      </w:pPr>
    </w:p>
    <w:p>
      <w:pPr>
        <w:tabs>
          <w:tab w:pos="1282" w:val="left" w:leader="none"/>
        </w:tabs>
        <w:spacing w:before="0"/>
        <w:ind w:left="400" w:right="0" w:firstLine="0"/>
        <w:jc w:val="left"/>
        <w:rPr>
          <w:sz w:val="12"/>
        </w:rPr>
      </w:pPr>
      <w:r>
        <w:rPr/>
        <w:pict>
          <v:group style="position:absolute;margin-left:42.124001pt;margin-top:-.057423pt;width:8.2pt;height:19.95pt;mso-position-horizontal-relative:page;mso-position-vertical-relative:paragraph;z-index:16001024" coordorigin="842,-1" coordsize="164,399">
            <v:line style="position:absolute" from="842,392" to="929,392" stroked="true" strokeweight=".5pt" strokecolor="#000000">
              <v:stroke dashstyle="solid"/>
            </v:line>
            <v:shape style="position:absolute;left:842;top:-2;width:164;height:323" type="#_x0000_t75" stroked="false">
              <v:imagedata r:id="rId114" o:title=""/>
            </v:shape>
            <w10:wrap type="none"/>
          </v:group>
        </w:pict>
      </w:r>
      <w:r>
        <w:rPr/>
        <w:drawing>
          <wp:anchor distT="0" distB="0" distL="0" distR="0" allowOverlap="1" layoutInCell="1" locked="0" behindDoc="1" simplePos="0" relativeHeight="480669696">
            <wp:simplePos x="0" y="0"/>
            <wp:positionH relativeFrom="page">
              <wp:posOffset>1084427</wp:posOffset>
            </wp:positionH>
            <wp:positionV relativeFrom="paragraph">
              <wp:posOffset>-729</wp:posOffset>
            </wp:positionV>
            <wp:extent cx="103708" cy="204800"/>
            <wp:effectExtent l="0" t="0" r="0" b="0"/>
            <wp:wrapNone/>
            <wp:docPr id="125" name="image63.png"/>
            <wp:cNvGraphicFramePr>
              <a:graphicFrameLocks noChangeAspect="1"/>
            </wp:cNvGraphicFramePr>
            <a:graphic>
              <a:graphicData uri="http://schemas.openxmlformats.org/drawingml/2006/picture">
                <pic:pic>
                  <pic:nvPicPr>
                    <pic:cNvPr id="126" name="image63.png"/>
                    <pic:cNvPicPr/>
                  </pic:nvPicPr>
                  <pic:blipFill>
                    <a:blip r:embed="rId115" cstate="print"/>
                    <a:stretch>
                      <a:fillRect/>
                    </a:stretch>
                  </pic:blipFill>
                  <pic:spPr>
                    <a:xfrm>
                      <a:off x="0" y="0"/>
                      <a:ext cx="103708" cy="204800"/>
                    </a:xfrm>
                    <a:prstGeom prst="rect">
                      <a:avLst/>
                    </a:prstGeom>
                  </pic:spPr>
                </pic:pic>
              </a:graphicData>
            </a:graphic>
          </wp:anchor>
        </w:drawing>
      </w:r>
      <w:r>
        <w:rPr>
          <w:sz w:val="12"/>
        </w:rPr>
        <w:t>Production</w:t>
        <w:tab/>
      </w:r>
      <w:r>
        <w:rPr>
          <w:spacing w:val="-2"/>
          <w:sz w:val="12"/>
        </w:rPr>
        <w:t>Construction</w:t>
      </w:r>
    </w:p>
    <w:p>
      <w:pPr>
        <w:tabs>
          <w:tab w:pos="1282" w:val="left" w:leader="none"/>
        </w:tabs>
        <w:spacing w:before="29"/>
        <w:ind w:left="400" w:right="0" w:firstLine="0"/>
        <w:jc w:val="left"/>
        <w:rPr>
          <w:sz w:val="12"/>
        </w:rPr>
      </w:pPr>
      <w:r>
        <w:rPr>
          <w:sz w:val="12"/>
        </w:rPr>
        <w:t>Services</w:t>
        <w:tab/>
        <w:t>Agriculture</w:t>
      </w:r>
    </w:p>
    <w:p>
      <w:pPr>
        <w:pStyle w:val="BodyText"/>
        <w:rPr>
          <w:sz w:val="20"/>
        </w:rPr>
      </w:pPr>
    </w:p>
    <w:p>
      <w:pPr>
        <w:pStyle w:val="BodyText"/>
        <w:spacing w:before="7"/>
        <w:rPr>
          <w:sz w:val="14"/>
        </w:rPr>
      </w:pPr>
      <w:r>
        <w:rPr/>
        <w:pict>
          <v:shape style="position:absolute;margin-left:42.124001pt;margin-top:10.613026pt;width:4.350pt;height:.1pt;mso-position-horizontal-relative:page;mso-position-vertical-relative:paragraph;z-index:-15465984;mso-wrap-distance-left:0;mso-wrap-distance-right:0" coordorigin="842,212" coordsize="87,0" path="m842,212l929,212e" filled="false" stroked="true" strokeweight=".5pt" strokecolor="#000000">
            <v:path arrowok="t"/>
            <v:stroke dashstyle="solid"/>
            <w10:wrap type="topAndBottom"/>
          </v:shape>
        </w:pict>
      </w:r>
      <w:r>
        <w:rPr/>
        <w:pict>
          <v:shape style="position:absolute;margin-left:42.124001pt;margin-top:28.348026pt;width:4.350pt;height:.1pt;mso-position-horizontal-relative:page;mso-position-vertical-relative:paragraph;z-index:-15465472;mso-wrap-distance-left:0;mso-wrap-distance-right:0" coordorigin="842,567" coordsize="87,0" path="m842,567l929,567e" filled="false" stroked="true" strokeweight=".5pt" strokecolor="#000000">
            <v:path arrowok="t"/>
            <v:stroke dashstyle="solid"/>
            <w10:wrap type="topAndBottom"/>
          </v:shape>
        </w:pict>
      </w:r>
      <w:r>
        <w:rPr/>
        <w:pict>
          <v:shape style="position:absolute;margin-left:42.124001pt;margin-top:46.082024pt;width:4.350pt;height:.1pt;mso-position-horizontal-relative:page;mso-position-vertical-relative:paragraph;z-index:-15464960;mso-wrap-distance-left:0;mso-wrap-distance-right:0" coordorigin="842,922" coordsize="87,0" path="m842,922l929,922e" filled="false" stroked="true" strokeweight=".5pt" strokecolor="#000000">
            <v:path arrowok="t"/>
            <v:stroke dashstyle="solid"/>
            <w10:wrap type="topAndBottom"/>
          </v:shape>
        </w:pict>
      </w:r>
      <w:r>
        <w:rPr/>
        <w:pict>
          <v:shape style="position:absolute;margin-left:42.124001pt;margin-top:63.816025pt;width:4.350pt;height:.1pt;mso-position-horizontal-relative:page;mso-position-vertical-relative:paragraph;z-index:-15464448;mso-wrap-distance-left:0;mso-wrap-distance-right:0" coordorigin="842,1276" coordsize="87,0" path="m842,1276l929,1276e" filled="false" stroked="true" strokeweight=".5pt" strokecolor="#000000">
            <v:path arrowok="t"/>
            <v:stroke dashstyle="solid"/>
            <w10:wrap type="topAndBottom"/>
          </v:shape>
        </w:pict>
      </w:r>
      <w:r>
        <w:rPr/>
        <w:pict>
          <v:shape style="position:absolute;margin-left:42.124001pt;margin-top:81.551025pt;width:4.350pt;height:.1pt;mso-position-horizontal-relative:page;mso-position-vertical-relative:paragraph;z-index:-15463936;mso-wrap-distance-left:0;mso-wrap-distance-right:0" coordorigin="842,1631" coordsize="87,0" path="m842,1631l929,1631e" filled="false" stroked="true" strokeweight=".5pt" strokecolor="#000000">
            <v:path arrowok="t"/>
            <v:stroke dashstyle="solid"/>
            <w10:wrap type="topAndBottom"/>
          </v:shape>
        </w:pict>
      </w:r>
      <w:r>
        <w:rPr/>
        <w:pict>
          <v:shape style="position:absolute;margin-left:42.124001pt;margin-top:99.285027pt;width:4.350pt;height:.1pt;mso-position-horizontal-relative:page;mso-position-vertical-relative:paragraph;z-index:-15463424;mso-wrap-distance-left:0;mso-wrap-distance-right:0" coordorigin="842,1986" coordsize="87,0" path="m842,1986l929,1986e" filled="false" stroked="true" strokeweight=".5pt" strokecolor="#000000">
            <v:path arrowok="t"/>
            <v:stroke dashstyle="solid"/>
            <w10:wrap type="topAndBottom"/>
          </v:shape>
        </w:pict>
      </w:r>
      <w:r>
        <w:rPr/>
        <w:pict>
          <v:shape style="position:absolute;margin-left:42.124001pt;margin-top:117.020027pt;width:4.350pt;height:.1pt;mso-position-horizontal-relative:page;mso-position-vertical-relative:paragraph;z-index:-15462912;mso-wrap-distance-left:0;mso-wrap-distance-right:0" coordorigin="842,2340" coordsize="87,0" path="m842,2340l929,2340e" filled="false" stroked="true" strokeweight=".5pt" strokecolor="#000000">
            <v:path arrowok="t"/>
            <v:stroke dashstyle="solid"/>
            <w10:wrap type="topAndBottom"/>
          </v:shape>
        </w:pict>
      </w:r>
      <w:r>
        <w:rPr/>
        <w:pict>
          <v:shape style="position:absolute;margin-left:42.124001pt;margin-top:134.754028pt;width:4.350pt;height:.1pt;mso-position-horizontal-relative:page;mso-position-vertical-relative:paragraph;z-index:-15462400;mso-wrap-distance-left:0;mso-wrap-distance-right:0" coordorigin="842,2695" coordsize="87,0" path="m842,2695l929,2695e" filled="false" stroked="true" strokeweight=".5pt" strokecolor="#000000">
            <v:path arrowok="t"/>
            <v:stroke dashstyl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0"/>
        </w:rPr>
      </w:pPr>
      <w:r>
        <w:rPr/>
        <w:br w:type="column"/>
      </w:r>
      <w:r>
        <w:rPr>
          <w:sz w:val="10"/>
        </w:rPr>
      </w:r>
    </w:p>
    <w:p>
      <w:pPr>
        <w:spacing w:before="0"/>
        <w:ind w:left="282" w:right="0" w:firstLine="0"/>
        <w:jc w:val="left"/>
        <w:rPr>
          <w:sz w:val="12"/>
        </w:rPr>
      </w:pPr>
      <w:r>
        <w:rPr>
          <w:sz w:val="12"/>
        </w:rPr>
        <w:t>Whole-economy</w:t>
      </w:r>
    </w:p>
    <w:p>
      <w:pPr>
        <w:spacing w:line="118" w:lineRule="exact" w:before="82"/>
        <w:ind w:left="913" w:right="0" w:firstLine="0"/>
        <w:jc w:val="left"/>
        <w:rPr>
          <w:sz w:val="12"/>
        </w:rPr>
      </w:pPr>
      <w:r>
        <w:rPr/>
        <w:pict>
          <v:line style="position:absolute;mso-position-horizontal-relative:page;mso-position-vertical-relative:paragraph;z-index:16005632" from="133.934998pt,-4.071261pt" to="141.692998pt,-4.071261pt" stroked="true" strokeweight="1pt" strokecolor="#de0035">
            <v:stroke dashstyle="solid"/>
            <w10:wrap type="none"/>
          </v:line>
        </w:pict>
      </w:r>
      <w:r>
        <w:rPr>
          <w:sz w:val="12"/>
        </w:rPr>
        <w:t>Thousands</w:t>
      </w:r>
    </w:p>
    <w:p>
      <w:pPr>
        <w:spacing w:line="118" w:lineRule="exact" w:before="0"/>
        <w:ind w:left="1476" w:right="0" w:firstLine="0"/>
        <w:jc w:val="left"/>
        <w:rPr>
          <w:sz w:val="12"/>
        </w:rPr>
      </w:pPr>
      <w:r>
        <w:rPr/>
        <w:pict>
          <v:line style="position:absolute;mso-position-horizontal-relative:page;mso-position-vertical-relative:paragraph;z-index:16005120" from="196.5pt,2.758238pt" to="200.833pt,2.758238pt" stroked="true" strokeweight=".5pt" strokecolor="#000000">
            <v:stroke dashstyle="solid"/>
            <w10:wrap type="none"/>
          </v:line>
        </w:pict>
      </w:r>
      <w:r>
        <w:rPr>
          <w:sz w:val="12"/>
        </w:rPr>
        <w:t>300</w:t>
      </w:r>
    </w:p>
    <w:p>
      <w:pPr>
        <w:pStyle w:val="BodyText"/>
        <w:rPr>
          <w:sz w:val="12"/>
        </w:rPr>
      </w:pPr>
    </w:p>
    <w:p>
      <w:pPr>
        <w:spacing w:before="79"/>
        <w:ind w:left="0" w:right="38" w:firstLine="0"/>
        <w:jc w:val="right"/>
        <w:rPr>
          <w:sz w:val="12"/>
        </w:rPr>
      </w:pPr>
      <w:r>
        <w:rPr/>
        <w:pict>
          <v:group style="position:absolute;margin-left:49.993999pt;margin-top:10.777349pt;width:142.8pt;height:114.15pt;mso-position-horizontal-relative:page;mso-position-vertical-relative:paragraph;z-index:16000000" coordorigin="1000,216" coordsize="2856,2283">
            <v:line style="position:absolute" from="1000,1924" to="2920,1924" stroked="true" strokeweight=".125pt" strokecolor="#000000">
              <v:stroke dashstyle="solid"/>
            </v:line>
            <v:shape style="position:absolute;left:999;top:1922;width:1921;height:2" coordorigin="1000,1922" coordsize="1921,2" path="m1000,1924l2920,1924m1000,1922l2920,1922e" filled="false" stroked="true" strokeweight=".047pt" strokecolor="#000000">
              <v:path arrowok="t"/>
              <v:stroke dashstyle="solid"/>
            </v:shape>
            <v:line style="position:absolute" from="1000,1929" to="2920,1929" stroked="true" strokeweight=".156pt" strokecolor="#000000">
              <v:stroke dashstyle="solid"/>
            </v:line>
            <v:rect style="position:absolute;left:1005;top:1908;width:70;height:18" filled="true" fillcolor="#006caa" stroked="false">
              <v:fill type="solid"/>
            </v:rect>
            <v:rect style="position:absolute;left:1005;top:1908;width:70;height:18" filled="false" stroked="true" strokeweight=".5pt" strokecolor="#000000">
              <v:stroke dashstyle="solid"/>
            </v:rect>
            <v:rect style="position:absolute;left:1220;top:1703;width:70;height:223" filled="true" fillcolor="#006caa" stroked="false">
              <v:fill type="solid"/>
            </v:rect>
            <v:rect style="position:absolute;left:1220;top:1703;width:70;height:223" filled="false" stroked="true" strokeweight=".5pt" strokecolor="#000000">
              <v:stroke dashstyle="solid"/>
            </v:rect>
            <v:rect style="position:absolute;left:1435;top:1923;width:70;height:208" filled="true" fillcolor="#006caa" stroked="false">
              <v:fill type="solid"/>
            </v:rect>
            <v:rect style="position:absolute;left:1435;top:1923;width:70;height:208" filled="false" stroked="true" strokeweight=".5pt" strokecolor="#000000">
              <v:stroke dashstyle="solid"/>
            </v:rect>
            <v:rect style="position:absolute;left:1640;top:1798;width:80;height:128" filled="true" fillcolor="#006caa" stroked="false">
              <v:fill type="solid"/>
            </v:rect>
            <v:rect style="position:absolute;left:1640;top:1798;width:80;height:128" filled="false" stroked="true" strokeweight=".5pt" strokecolor="#000000">
              <v:stroke dashstyle="solid"/>
            </v:rect>
            <v:rect style="position:absolute;left:1855;top:1575;width:83;height:350" filled="true" fillcolor="#006caa" stroked="false">
              <v:fill type="solid"/>
            </v:rect>
            <v:rect style="position:absolute;left:1855;top:1575;width:83;height:350" filled="false" stroked="true" strokeweight=".5pt" strokecolor="#000000">
              <v:stroke dashstyle="solid"/>
            </v:rect>
            <v:rect style="position:absolute;left:2070;top:1927;width:70;height:130" filled="true" fillcolor="#006caa" stroked="false">
              <v:fill type="solid"/>
            </v:rect>
            <v:rect style="position:absolute;left:2070;top:1927;width:70;height:130" filled="false" stroked="true" strokeweight=".5pt" strokecolor="#000000">
              <v:stroke dashstyle="solid"/>
            </v:rect>
            <v:rect style="position:absolute;left:2285;top:1923;width:70;height:160" filled="true" fillcolor="#006caa" stroked="false">
              <v:fill type="solid"/>
            </v:rect>
            <v:rect style="position:absolute;left:2285;top:1923;width:70;height:160" filled="false" stroked="true" strokeweight=".5pt" strokecolor="#000000">
              <v:stroke dashstyle="solid"/>
            </v:rect>
            <v:rect style="position:absolute;left:2500;top:1923;width:70;height:428" filled="true" fillcolor="#006caa" stroked="false">
              <v:fill type="solid"/>
            </v:rect>
            <v:rect style="position:absolute;left:2500;top:1923;width:70;height:428" filled="false" stroked="true" strokeweight=".5pt" strokecolor="#000000">
              <v:stroke dashstyle="solid"/>
            </v:rect>
            <v:rect style="position:absolute;left:2715;top:1923;width:70;height:398" filled="true" fillcolor="#006caa" stroked="false">
              <v:fill type="solid"/>
            </v:rect>
            <v:rect style="position:absolute;left:2715;top:1923;width:70;height:398" filled="false" stroked="true" strokeweight=".5pt" strokecolor="#000000">
              <v:stroke dashstyle="solid"/>
            </v:rect>
            <v:line style="position:absolute" from="3002,1924" to="3135,1924" stroked="true" strokeweight=".125pt" strokecolor="#000000">
              <v:stroke dashstyle="solid"/>
            </v:line>
            <v:shape style="position:absolute;left:3002;top:1922;width:133;height:2" coordorigin="3002,1922" coordsize="133,2" path="m3002,1924l3135,1924m3002,1922l3135,1922e" filled="false" stroked="true" strokeweight=".047pt" strokecolor="#000000">
              <v:path arrowok="t"/>
              <v:stroke dashstyle="solid"/>
            </v:shape>
            <v:line style="position:absolute" from="3002,1929" to="3135,1929" stroked="true" strokeweight=".156pt" strokecolor="#000000">
              <v:stroke dashstyle="solid"/>
            </v:line>
            <v:rect style="position:absolute;left:2920;top:1925;width:83;height:238" filled="true" fillcolor="#006caa" stroked="false">
              <v:fill type="solid"/>
            </v:rect>
            <v:rect style="position:absolute;left:2920;top:1923;width:83;height:240" filled="false" stroked="true" strokeweight=".5pt" strokecolor="#000000">
              <v:stroke dashstyle="solid"/>
            </v:rect>
            <v:line style="position:absolute" from="3217,1924" to="3854,1924" stroked="true" strokeweight=".125pt" strokecolor="#000000">
              <v:stroke dashstyle="solid"/>
            </v:line>
            <v:shape style="position:absolute;left:3217;top:1922;width:637;height:2" coordorigin="3217,1922" coordsize="637,2" path="m3217,1924l3854,1924m3217,1922l3854,1922e" filled="false" stroked="true" strokeweight=".047pt" strokecolor="#000000">
              <v:path arrowok="t"/>
              <v:stroke dashstyle="solid"/>
            </v:shape>
            <v:line style="position:absolute" from="3217,1929" to="3854,1929" stroked="true" strokeweight=".156pt" strokecolor="#000000">
              <v:stroke dashstyle="solid"/>
            </v:line>
            <v:rect style="position:absolute;left:3135;top:1923;width:83;height:335" filled="true" fillcolor="#006caa" stroked="false">
              <v:fill type="solid"/>
            </v:rect>
            <v:rect style="position:absolute;left:3135;top:1923;width:83;height:335" filled="false" stroked="true" strokeweight=".5pt" strokecolor="#000000">
              <v:stroke dashstyle="solid"/>
            </v:rect>
            <v:rect style="position:absolute;left:3350;top:1923;width:70;height:98" filled="true" fillcolor="#006caa" stroked="false">
              <v:fill type="solid"/>
            </v:rect>
            <v:rect style="position:absolute;left:3350;top:1923;width:70;height:98" filled="false" stroked="true" strokeweight=".5pt" strokecolor="#000000">
              <v:stroke dashstyle="solid"/>
            </v:rect>
            <v:rect style="position:absolute;left:3565;top:1923;width:70;height:65" filled="true" fillcolor="#006caa" stroked="false">
              <v:fill type="solid"/>
            </v:rect>
            <v:rect style="position:absolute;left:3565;top:1923;width:70;height:65" filled="false" stroked="true" strokeweight=".5pt" strokecolor="#000000">
              <v:stroke dashstyle="solid"/>
            </v:rect>
            <v:rect style="position:absolute;left:3780;top:1923;width:70;height:255" filled="true" fillcolor="#006caa" stroked="false">
              <v:fill type="solid"/>
            </v:rect>
            <v:rect style="position:absolute;left:3780;top:1923;width:70;height:255" filled="false" stroked="true" strokeweight=".5pt" strokecolor="#000000">
              <v:stroke dashstyle="solid"/>
            </v:rect>
            <v:rect style="position:absolute;left:1005;top:1750;width:70;height:160" filled="true" fillcolor="#835335" stroked="false">
              <v:fill type="solid"/>
            </v:rect>
            <v:rect style="position:absolute;left:1005;top:1750;width:70;height:160" filled="false" stroked="true" strokeweight=".5pt" strokecolor="#000000">
              <v:stroke dashstyle="solid"/>
            </v:rect>
            <v:rect style="position:absolute;left:1220;top:1923;width:70;height:35" filled="true" fillcolor="#835335" stroked="false">
              <v:fill type="solid"/>
            </v:rect>
            <v:rect style="position:absolute;left:1220;top:1923;width:70;height:35" filled="false" stroked="true" strokeweight=".5pt" strokecolor="#000000">
              <v:stroke dashstyle="solid"/>
            </v:rect>
            <v:rect style="position:absolute;left:1435;top:1780;width:70;height:145" filled="true" fillcolor="#835335" stroked="false">
              <v:fill type="solid"/>
            </v:rect>
            <v:rect style="position:absolute;left:1435;top:1780;width:70;height:145" filled="false" stroked="true" strokeweight=".5pt" strokecolor="#000000">
              <v:stroke dashstyle="solid"/>
            </v:rect>
            <v:rect style="position:absolute;left:1640;top:1545;width:80;height:255" filled="true" fillcolor="#835335" stroked="false">
              <v:fill type="solid"/>
            </v:rect>
            <v:rect style="position:absolute;left:1640;top:1545;width:80;height:255" filled="false" stroked="true" strokeweight=".5pt" strokecolor="#000000">
              <v:stroke dashstyle="solid"/>
            </v:rect>
            <v:rect style="position:absolute;left:1855;top:1500;width:83;height:78" filled="true" fillcolor="#835335" stroked="false">
              <v:fill type="solid"/>
            </v:rect>
            <v:rect style="position:absolute;left:1855;top:1498;width:83;height:80" filled="false" stroked="true" strokeweight=".5pt" strokecolor="#000000">
              <v:stroke dashstyle="solid"/>
            </v:rect>
            <v:rect style="position:absolute;left:2070;top:2050;width:70;height:95" filled="true" fillcolor="#835335" stroked="false">
              <v:fill type="solid"/>
            </v:rect>
            <v:rect style="position:absolute;left:2070;top:2050;width:70;height:95" filled="false" stroked="true" strokeweight=".5pt" strokecolor="#000000">
              <v:stroke dashstyle="solid"/>
            </v:rect>
            <v:rect style="position:absolute;left:2285;top:2080;width:70;height:113" filled="true" fillcolor="#835335" stroked="false">
              <v:fill type="solid"/>
            </v:rect>
            <v:rect style="position:absolute;left:2285;top:2080;width:70;height:113" filled="false" stroked="true" strokeweight=".5pt" strokecolor="#000000">
              <v:stroke dashstyle="solid"/>
            </v:rect>
            <v:rect style="position:absolute;left:2500;top:1813;width:70;height:113" filled="true" fillcolor="#835335" stroked="false">
              <v:fill type="solid"/>
            </v:rect>
            <v:rect style="position:absolute;left:2500;top:1813;width:70;height:113" filled="false" stroked="true" strokeweight=".5pt" strokecolor="#000000">
              <v:stroke dashstyle="solid"/>
            </v:rect>
            <v:rect style="position:absolute;left:2920;top:1830;width:83;height:95" filled="true" fillcolor="#835335" stroked="false">
              <v:fill type="solid"/>
            </v:rect>
            <v:rect style="position:absolute;left:2920;top:1828;width:83;height:98" filled="false" stroked="true" strokeweight=".5pt" strokecolor="#000000">
              <v:stroke dashstyle="solid"/>
            </v:rect>
            <v:rect style="position:absolute;left:3135;top:2255;width:83;height:15" filled="true" fillcolor="#835335" stroked="false">
              <v:fill type="solid"/>
            </v:rect>
            <v:shape style="position:absolute;left:3130;top:2260;width:93;height:14" coordorigin="3130,2261" coordsize="93,14" path="m3130,2274l3222,2274m3130,2261l3222,2261e" filled="false" stroked="true" strokeweight=".375pt" strokecolor="#000000">
              <v:path arrowok="t"/>
              <v:stroke dashstyle="solid"/>
            </v:shape>
            <v:rect style="position:absolute;left:3350;top:1908;width:70;height:18" filled="true" fillcolor="#835335" stroked="false">
              <v:fill type="solid"/>
            </v:rect>
            <v:rect style="position:absolute;left:3350;top:1908;width:70;height:18" filled="false" stroked="true" strokeweight=".5pt" strokecolor="#000000">
              <v:stroke dashstyle="solid"/>
            </v:rect>
            <v:rect style="position:absolute;left:3565;top:1860;width:70;height:65" filled="true" fillcolor="#835335" stroked="false">
              <v:fill type="solid"/>
            </v:rect>
            <v:rect style="position:absolute;left:3565;top:1860;width:70;height:65" filled="false" stroked="true" strokeweight=".5pt" strokecolor="#000000">
              <v:stroke dashstyle="solid"/>
            </v:rect>
            <v:rect style="position:absolute;left:3780;top:1465;width:70;height:460" filled="true" fillcolor="#835335" stroked="false">
              <v:fill type="solid"/>
            </v:rect>
            <v:rect style="position:absolute;left:3780;top:1465;width:70;height:460" filled="false" stroked="true" strokeweight=".5pt" strokecolor="#000000">
              <v:stroke dashstyle="solid"/>
            </v:rect>
            <v:rect style="position:absolute;left:1005;top:693;width:70;height:1060" filled="true" fillcolor="#f6bd61" stroked="false">
              <v:fill type="solid"/>
            </v:rect>
            <v:rect style="position:absolute;left:1005;top:693;width:70;height:1060" filled="false" stroked="true" strokeweight=".5pt" strokecolor="#000000">
              <v:stroke dashstyle="solid"/>
            </v:rect>
            <v:rect style="position:absolute;left:1220;top:425;width:70;height:1280" filled="true" fillcolor="#f6bd61" stroked="false">
              <v:fill type="solid"/>
            </v:rect>
            <v:rect style="position:absolute;left:1220;top:425;width:70;height:1280" filled="false" stroked="true" strokeweight=".5pt" strokecolor="#000000">
              <v:stroke dashstyle="solid"/>
            </v:rect>
            <v:rect style="position:absolute;left:1435;top:1483;width:70;height:300" filled="true" fillcolor="#f6bd61" stroked="false">
              <v:fill type="solid"/>
            </v:rect>
            <v:rect style="position:absolute;left:1435;top:1483;width:70;height:300" filled="false" stroked="true" strokeweight=".5pt" strokecolor="#000000">
              <v:stroke dashstyle="solid"/>
            </v:rect>
            <v:rect style="position:absolute;left:1640;top:820;width:80;height:728" filled="true" fillcolor="#f6bd61" stroked="false">
              <v:fill type="solid"/>
            </v:rect>
            <v:rect style="position:absolute;left:1640;top:820;width:80;height:728" filled="false" stroked="true" strokeweight=".5pt" strokecolor="#000000">
              <v:stroke dashstyle="solid"/>
            </v:rect>
            <v:rect style="position:absolute;left:1855;top:440;width:83;height:1060" filled="true" fillcolor="#f6bd61" stroked="false">
              <v:fill type="solid"/>
            </v:rect>
            <v:rect style="position:absolute;left:1855;top:440;width:83;height:1060" filled="false" stroked="true" strokeweight=".5pt" strokecolor="#000000">
              <v:stroke dashstyle="solid"/>
            </v:rect>
            <v:rect style="position:absolute;left:2070;top:2143;width:70;height:255" filled="true" fillcolor="#f6bd61" stroked="false">
              <v:fill type="solid"/>
            </v:rect>
            <v:rect style="position:absolute;left:2070;top:2143;width:70;height:255" filled="false" stroked="true" strokeweight=".5pt" strokecolor="#000000">
              <v:stroke dashstyle="solid"/>
            </v:rect>
            <v:rect style="position:absolute;left:2285;top:598;width:70;height:1328" filled="true" fillcolor="#f6bd61" stroked="false">
              <v:fill type="solid"/>
            </v:rect>
            <v:rect style="position:absolute;left:2285;top:598;width:70;height:1328" filled="false" stroked="true" strokeweight=".5pt" strokecolor="#000000">
              <v:stroke dashstyle="solid"/>
            </v:rect>
            <v:rect style="position:absolute;left:2500;top:1135;width:70;height:680" filled="true" fillcolor="#f6bd61" stroked="false">
              <v:fill type="solid"/>
            </v:rect>
            <v:rect style="position:absolute;left:2500;top:1135;width:70;height:680" filled="false" stroked="true" strokeweight=".5pt" strokecolor="#000000">
              <v:stroke dashstyle="solid"/>
            </v:rect>
            <v:rect style="position:absolute;left:2715;top:1418;width:70;height:508" filled="true" fillcolor="#f6bd61" stroked="false">
              <v:fill type="solid"/>
            </v:rect>
            <v:rect style="position:absolute;left:2715;top:1418;width:70;height:508" filled="false" stroked="true" strokeweight=".5pt" strokecolor="#000000">
              <v:stroke dashstyle="solid"/>
            </v:rect>
            <v:rect style="position:absolute;left:2920;top:868;width:83;height:963" filled="true" fillcolor="#f6bd61" stroked="false">
              <v:fill type="solid"/>
            </v:rect>
            <v:rect style="position:absolute;left:2920;top:868;width:83;height:963" filled="false" stroked="true" strokeweight=".5pt" strokecolor="#000000">
              <v:stroke dashstyle="solid"/>
            </v:rect>
            <v:rect style="position:absolute;left:3135;top:1418;width:83;height:508" filled="true" fillcolor="#f6bd61" stroked="false">
              <v:fill type="solid"/>
            </v:rect>
            <v:rect style="position:absolute;left:3135;top:1418;width:83;height:508" filled="false" stroked="true" strokeweight=".5pt" strokecolor="#000000">
              <v:stroke dashstyle="solid"/>
            </v:rect>
            <v:rect style="position:absolute;left:3350;top:1183;width:70;height:728" filled="true" fillcolor="#f6bd61" stroked="false">
              <v:fill type="solid"/>
            </v:rect>
            <v:rect style="position:absolute;left:3350;top:1183;width:70;height:728" filled="false" stroked="true" strokeweight=".5pt" strokecolor="#000000">
              <v:stroke dashstyle="solid"/>
            </v:rect>
            <v:rect style="position:absolute;left:3565;top:1985;width:70;height:240" filled="true" fillcolor="#f6bd61" stroked="false">
              <v:fill type="solid"/>
            </v:rect>
            <v:rect style="position:absolute;left:3565;top:1985;width:70;height:240" filled="false" stroked="true" strokeweight=".5pt" strokecolor="#000000">
              <v:stroke dashstyle="solid"/>
            </v:rect>
            <v:rect style="position:absolute;left:3780;top:1165;width:70;height:303" filled="true" fillcolor="#f6bd61" stroked="false">
              <v:fill type="solid"/>
            </v:rect>
            <v:rect style="position:absolute;left:3780;top:1165;width:70;height:303" filled="false" stroked="true" strokeweight=".5pt" strokecolor="#000000">
              <v:stroke dashstyle="solid"/>
            </v:rect>
            <v:rect style="position:absolute;left:1005;top:1923;width:70;height:193" filled="true" fillcolor="#b3dabb" stroked="false">
              <v:fill type="solid"/>
            </v:rect>
            <v:rect style="position:absolute;left:1005;top:1923;width:70;height:193" filled="false" stroked="true" strokeweight=".5pt" strokecolor="#000000">
              <v:stroke dashstyle="solid"/>
            </v:rect>
            <v:rect style="position:absolute;left:1220;top:220;width:70;height:208" filled="true" fillcolor="#b3dabb" stroked="false">
              <v:fill type="solid"/>
            </v:rect>
            <v:rect style="position:absolute;left:1220;top:220;width:70;height:208" filled="false" stroked="true" strokeweight=".5pt" strokecolor="#000000">
              <v:stroke dashstyle="solid"/>
            </v:rect>
            <v:rect style="position:absolute;left:1435;top:1450;width:70;height:35" filled="true" fillcolor="#b3dabb" stroked="false">
              <v:fill type="solid"/>
            </v:rect>
            <v:rect style="position:absolute;left:1435;top:1450;width:70;height:35" filled="false" stroked="true" strokeweight=".5pt" strokecolor="#000000">
              <v:stroke dashstyle="solid"/>
            </v:rect>
            <v:rect style="position:absolute;left:1640;top:1923;width:80;height:35" filled="true" fillcolor="#b3dabb" stroked="false">
              <v:fill type="solid"/>
            </v:rect>
            <v:rect style="position:absolute;left:1640;top:1923;width:80;height:35" filled="false" stroked="true" strokeweight=".5pt" strokecolor="#000000">
              <v:stroke dashstyle="solid"/>
            </v:rect>
            <v:rect style="position:absolute;left:1855;top:1923;width:83;height:65" filled="true" fillcolor="#b3dabb" stroked="false">
              <v:fill type="solid"/>
            </v:rect>
            <v:rect style="position:absolute;left:1855;top:1923;width:83;height:65" filled="false" stroked="true" strokeweight=".5pt" strokecolor="#000000">
              <v:stroke dashstyle="solid"/>
            </v:rect>
            <v:rect style="position:absolute;left:2070;top:2395;width:70;height:35" filled="true" fillcolor="#b3dabb" stroked="false">
              <v:fill type="solid"/>
            </v:rect>
            <v:rect style="position:absolute;left:2070;top:2395;width:70;height:35" filled="false" stroked="true" strokeweight=".5pt" strokecolor="#000000">
              <v:stroke dashstyle="solid"/>
            </v:rect>
            <v:rect style="position:absolute;left:2285;top:2190;width:70;height:160" filled="true" fillcolor="#b3dabb" stroked="false">
              <v:fill type="solid"/>
            </v:rect>
            <v:rect style="position:absolute;left:2285;top:2190;width:70;height:160" filled="false" stroked="true" strokeweight=".5pt" strokecolor="#000000">
              <v:stroke dashstyle="solid"/>
            </v:rect>
            <v:rect style="position:absolute;left:2500;top:2348;width:70;height:145" filled="true" fillcolor="#b3dabb" stroked="false">
              <v:fill type="solid"/>
            </v:rect>
            <v:rect style="position:absolute;left:2500;top:2348;width:70;height:145" filled="false" stroked="true" strokeweight=".5pt" strokecolor="#000000">
              <v:stroke dashstyle="solid"/>
            </v:rect>
            <v:rect style="position:absolute;left:2715;top:2318;width:70;height:18" filled="true" fillcolor="#b3dabb" stroked="false">
              <v:fill type="solid"/>
            </v:rect>
            <v:rect style="position:absolute;left:2715;top:2318;width:70;height:18" filled="false" stroked="true" strokeweight=".5pt" strokecolor="#000000">
              <v:stroke dashstyle="solid"/>
            </v:rect>
            <v:rect style="position:absolute;left:3135;top:2270;width:83;height:128" filled="true" fillcolor="#b3dabb" stroked="false">
              <v:fill type="solid"/>
            </v:rect>
            <v:rect style="position:absolute;left:3135;top:2270;width:83;height:128" filled="false" stroked="true" strokeweight=".5pt" strokecolor="#000000">
              <v:stroke dashstyle="solid"/>
            </v:rect>
            <v:rect style="position:absolute;left:3350;top:1103;width:70;height:83" filled="true" fillcolor="#b3dabb" stroked="false">
              <v:fill type="solid"/>
            </v:rect>
            <v:rect style="position:absolute;left:3350;top:1103;width:70;height:83" filled="false" stroked="true" strokeweight=".5pt" strokecolor="#000000">
              <v:stroke dashstyle="solid"/>
            </v:rect>
            <v:rect style="position:absolute;left:3565;top:1688;width:70;height:175" filled="true" fillcolor="#b3dabb" stroked="false">
              <v:fill type="solid"/>
            </v:rect>
            <v:rect style="position:absolute;left:3565;top:1688;width:70;height:175" filled="false" stroked="true" strokeweight=".5pt" strokecolor="#000000">
              <v:stroke dashstyle="solid"/>
            </v:rect>
            <v:rect style="position:absolute;left:3780;top:2175;width:70;height:18" filled="true" fillcolor="#b3dabb" stroked="false">
              <v:fill type="solid"/>
            </v:rect>
            <v:rect style="position:absolute;left:3780;top:2175;width:70;height:18" filled="false" stroked="true" strokeweight=".5pt" strokecolor="#000000">
              <v:stroke dashstyle="solid"/>
            </v:rect>
            <v:shape style="position:absolute;left:1040;top:268;width:2775;height:2160" coordorigin="1040,268" coordsize="2775,2160" path="m1040,883l1255,268m1255,268l1470,1641m1470,1641l1685,851m1685,851l1887,488m1887,488l2105,2428m2105,2428l2320,1026m2320,1026l2535,1703m2535,1703l2750,1813m2750,1813l2965,1103m2965,1103l3170,1891m3170,1891l3385,1183m3385,1183l3600,2003m3600,2003l3815,1436e" filled="false" stroked="true" strokeweight="1pt" strokecolor="#de0035">
              <v:path arrowok="t"/>
              <v:stroke dashstyle="solid"/>
            </v:shape>
            <w10:wrap type="none"/>
          </v:group>
        </w:pict>
      </w:r>
      <w:r>
        <w:rPr/>
        <w:pict>
          <v:line style="position:absolute;mso-position-horizontal-relative:page;mso-position-vertical-relative:paragraph;z-index:16001536" from="196.5pt,7.699348pt" to="200.833pt,7.699348pt" stroked="true" strokeweight=".5pt" strokecolor="#000000">
            <v:stroke dashstyle="solid"/>
            <w10:wrap type="none"/>
          </v:line>
        </w:pict>
      </w:r>
      <w:r>
        <w:rPr>
          <w:sz w:val="12"/>
        </w:rPr>
        <w:t>250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6002048" from="196.5pt,7.699577pt" to="200.833pt,7.699577pt" stroked="true" strokeweight=".5pt" strokecolor="#000000">
            <v:stroke dashstyle="solid"/>
            <w10:wrap type="none"/>
          </v:line>
        </w:pict>
      </w:r>
      <w:r>
        <w:rPr>
          <w:sz w:val="12"/>
        </w:rPr>
        <w:t>200</w:t>
      </w:r>
    </w:p>
    <w:p>
      <w:pPr>
        <w:pStyle w:val="BodyText"/>
        <w:rPr>
          <w:sz w:val="12"/>
        </w:rPr>
      </w:pPr>
    </w:p>
    <w:p>
      <w:pPr>
        <w:spacing w:before="78"/>
        <w:ind w:left="0" w:right="38" w:firstLine="0"/>
        <w:jc w:val="right"/>
        <w:rPr>
          <w:sz w:val="12"/>
        </w:rPr>
      </w:pPr>
      <w:r>
        <w:rPr/>
        <w:pict>
          <v:line style="position:absolute;mso-position-horizontal-relative:page;mso-position-vertical-relative:paragraph;z-index:16002560" from="196.5pt,7.648775pt" to="200.833pt,7.648775pt" stroked="true" strokeweight=".5pt" strokecolor="#000000">
            <v:stroke dashstyle="solid"/>
            <w10:wrap type="none"/>
          </v:line>
        </w:pict>
      </w:r>
      <w:r>
        <w:rPr>
          <w:sz w:val="12"/>
        </w:rPr>
        <w:t>150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6003072" from="196.5pt,7.697972pt" to="200.833pt,7.697972pt" stroked="true" strokeweight=".5pt" strokecolor="#000000">
            <v:stroke dashstyle="solid"/>
            <w10:wrap type="none"/>
          </v:line>
        </w:pict>
      </w:r>
      <w:r>
        <w:rPr>
          <w:sz w:val="12"/>
        </w:rPr>
        <w:t>100</w:t>
      </w:r>
    </w:p>
    <w:p>
      <w:pPr>
        <w:pStyle w:val="BodyText"/>
        <w:rPr>
          <w:sz w:val="12"/>
        </w:rPr>
      </w:pPr>
    </w:p>
    <w:p>
      <w:pPr>
        <w:spacing w:before="79"/>
        <w:ind w:left="0" w:right="38" w:firstLine="0"/>
        <w:jc w:val="right"/>
        <w:rPr>
          <w:sz w:val="12"/>
        </w:rPr>
      </w:pPr>
      <w:r>
        <w:rPr/>
        <w:pict>
          <v:line style="position:absolute;mso-position-horizontal-relative:page;mso-position-vertical-relative:paragraph;z-index:16003584" from="196.5pt,7.69875pt" to="200.833pt,7.69875pt" stroked="true" strokeweight=".5pt" strokecolor="#000000">
            <v:stroke dashstyle="solid"/>
            <w10:wrap type="none"/>
          </v:line>
        </w:pict>
      </w:r>
      <w:r>
        <w:rPr>
          <w:sz w:val="12"/>
        </w:rPr>
        <w:t>50</w:t>
      </w:r>
    </w:p>
    <w:p>
      <w:pPr>
        <w:spacing w:line="168" w:lineRule="exact" w:before="65"/>
        <w:ind w:left="1485" w:right="0" w:firstLine="0"/>
        <w:jc w:val="left"/>
        <w:rPr>
          <w:sz w:val="16"/>
        </w:rPr>
      </w:pPr>
      <w:r>
        <w:rPr>
          <w:sz w:val="16"/>
        </w:rPr>
        <w:t>+</w:t>
      </w:r>
    </w:p>
    <w:p>
      <w:pPr>
        <w:spacing w:line="153" w:lineRule="auto" w:before="16"/>
        <w:ind w:left="1490" w:right="0" w:firstLine="0"/>
        <w:jc w:val="left"/>
        <w:rPr>
          <w:sz w:val="12"/>
        </w:rPr>
      </w:pPr>
      <w:r>
        <w:rPr/>
        <w:pict>
          <v:line style="position:absolute;mso-position-horizontal-relative:page;mso-position-vertical-relative:paragraph;z-index:16004608" from="196.5pt,2.939198pt" to="200.833pt,2.939198pt" stroked="true" strokeweight=".5pt" strokecolor="#000000">
            <v:stroke dashstyle="solid"/>
            <w10:wrap type="none"/>
          </v:line>
        </w:pict>
      </w:r>
      <w:r>
        <w:rPr>
          <w:position w:val="-5"/>
          <w:sz w:val="16"/>
        </w:rPr>
        <w:t>_</w:t>
      </w:r>
      <w:r>
        <w:rPr>
          <w:spacing w:val="-15"/>
          <w:position w:val="-5"/>
          <w:sz w:val="16"/>
        </w:rPr>
        <w:t> </w:t>
      </w:r>
      <w:r>
        <w:rPr>
          <w:sz w:val="12"/>
        </w:rPr>
        <w:t>0</w:t>
      </w:r>
    </w:p>
    <w:p>
      <w:pPr>
        <w:pStyle w:val="BodyText"/>
        <w:spacing w:before="10"/>
        <w:rPr>
          <w:sz w:val="15"/>
        </w:rPr>
      </w:pPr>
    </w:p>
    <w:p>
      <w:pPr>
        <w:spacing w:before="0"/>
        <w:ind w:left="0" w:right="38" w:firstLine="0"/>
        <w:jc w:val="right"/>
        <w:rPr>
          <w:sz w:val="12"/>
        </w:rPr>
      </w:pPr>
      <w:r>
        <w:rPr/>
        <w:pict>
          <v:line style="position:absolute;mso-position-horizontal-relative:page;mso-position-vertical-relative:paragraph;z-index:16004096" from="196.5pt,3.747756pt" to="200.833pt,3.747756pt" stroked="true" strokeweight=".5pt" strokecolor="#000000">
            <v:stroke dashstyle="solid"/>
            <w10:wrap type="none"/>
          </v:line>
        </w:pict>
      </w:r>
      <w:r>
        <w:rPr>
          <w:sz w:val="12"/>
        </w:rPr>
        <w:t>50</w:t>
      </w:r>
    </w:p>
    <w:p>
      <w:pPr>
        <w:pStyle w:val="BodyText"/>
        <w:spacing w:line="242" w:lineRule="auto" w:before="11"/>
        <w:ind w:left="400" w:right="192"/>
      </w:pPr>
      <w:r>
        <w:rPr/>
        <w:br w:type="column"/>
      </w:r>
      <w:r>
        <w:rPr/>
        <w:t>more slowly than LFS employment this year. The number of Workforce Jobs rose by 69,000 (0.2%) in Q2, following a 10,000 fall in Q1 (see Chart 3.4). The Q2 rise was driven by a record increase in the number of construction jobs, following strong growth in construction output in Q1 </w:t>
      </w:r>
      <w:hyperlink w:history="true" w:anchor="_bookmark16">
        <w:r>
          <w:rPr/>
          <w:t>(</w:t>
        </w:r>
        <w:r>
          <w:rPr>
            <w:color w:val="FF0000"/>
          </w:rPr>
          <w:t>see Section 2.3</w:t>
        </w:r>
        <w:r>
          <w:rPr/>
          <w:t>).</w:t>
        </w:r>
      </w:hyperlink>
      <w:r>
        <w:rPr/>
        <w:t> This was reinforced by a rise in the number of service sector jobs, which reversed an unusual decline in Q1 (service sector employment has grown strongly in recent years).</w:t>
      </w:r>
    </w:p>
    <w:p>
      <w:pPr>
        <w:pStyle w:val="BodyText"/>
        <w:spacing w:line="280" w:lineRule="atLeast" w:before="7"/>
        <w:ind w:left="400" w:right="192"/>
      </w:pPr>
      <w:r>
        <w:rPr/>
        <w:t>Employment in the production sector continued to decline in Q2, and manufacturing employment fell more rapidly than in the previous six months.</w:t>
      </w:r>
    </w:p>
    <w:p>
      <w:pPr>
        <w:spacing w:after="0" w:line="280" w:lineRule="atLeast"/>
        <w:sectPr>
          <w:type w:val="continuous"/>
          <w:pgSz w:w="11900" w:h="16840"/>
          <w:pgMar w:top="1260" w:bottom="280" w:left="640" w:right="640"/>
          <w:cols w:num="3" w:equalWidth="0">
            <w:col w:w="1903" w:space="40"/>
            <w:col w:w="1697" w:space="929"/>
            <w:col w:w="6051"/>
          </w:cols>
        </w:sectPr>
      </w:pPr>
    </w:p>
    <w:p>
      <w:pPr>
        <w:tabs>
          <w:tab w:pos="1549" w:val="left" w:leader="none"/>
          <w:tab w:pos="2412" w:val="left" w:leader="none"/>
          <w:tab w:pos="2949" w:val="left" w:leader="none"/>
        </w:tabs>
        <w:spacing w:line="109" w:lineRule="exact" w:before="0"/>
        <w:ind w:left="639" w:right="0" w:firstLine="0"/>
        <w:jc w:val="left"/>
        <w:rPr>
          <w:sz w:val="12"/>
        </w:rPr>
      </w:pPr>
      <w:r>
        <w:rPr/>
        <w:pict>
          <v:shape style="position:absolute;margin-left:50.208pt;margin-top:-4.991pt;width:150.65pt;height:3.4pt;mso-position-horizontal-relative:page;mso-position-vertical-relative:paragraph;z-index:16000512" coordorigin="1004,-100" coordsize="3013,68" path="m1007,-33l3860,-33m1004,-100l1004,-33m1834,-100l1834,-33m2664,-100l2664,-33m3493,-100l3493,-33m3930,-33l4017,-33e" filled="false" stroked="true" strokeweight=".5pt" strokecolor="#000000">
            <v:path arrowok="t"/>
            <v:stroke dashstyle="solid"/>
            <w10:wrap type="none"/>
          </v:shape>
        </w:pict>
      </w:r>
      <w:r>
        <w:rPr>
          <w:sz w:val="12"/>
        </w:rPr>
        <w:t>1997</w:t>
        <w:tab/>
        <w:t>98</w:t>
        <w:tab/>
        <w:t>99</w:t>
        <w:tab/>
      </w:r>
      <w:r>
        <w:rPr>
          <w:spacing w:val="-5"/>
          <w:sz w:val="12"/>
        </w:rPr>
        <w:t>2000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7"/>
        </w:rPr>
      </w:pPr>
    </w:p>
    <w:p>
      <w:pPr>
        <w:spacing w:before="0"/>
        <w:ind w:left="169" w:right="0" w:firstLine="0"/>
        <w:jc w:val="left"/>
        <w:rPr>
          <w:b/>
          <w:sz w:val="20"/>
        </w:rPr>
      </w:pPr>
      <w:r>
        <w:rPr>
          <w:b/>
          <w:color w:val="0092C7"/>
          <w:sz w:val="20"/>
        </w:rPr>
        <w:t>Table 3.A</w:t>
      </w:r>
    </w:p>
    <w:p>
      <w:pPr>
        <w:spacing w:before="10"/>
        <w:ind w:left="169" w:right="0" w:firstLine="0"/>
        <w:jc w:val="left"/>
        <w:rPr>
          <w:sz w:val="12"/>
        </w:rPr>
      </w:pPr>
      <w:r>
        <w:rPr>
          <w:b/>
          <w:color w:val="0092C7"/>
          <w:sz w:val="20"/>
        </w:rPr>
        <w:t>Surveys of employment</w:t>
      </w:r>
      <w:r>
        <w:rPr>
          <w:b/>
          <w:color w:val="0092C7"/>
          <w:spacing w:val="-29"/>
          <w:sz w:val="20"/>
        </w:rPr>
        <w:t> </w:t>
      </w:r>
      <w:r>
        <w:rPr>
          <w:b/>
          <w:color w:val="0092C7"/>
          <w:sz w:val="20"/>
        </w:rPr>
        <w:t>intentions</w:t>
      </w:r>
      <w:r>
        <w:rPr>
          <w:position w:val="4"/>
          <w:sz w:val="12"/>
        </w:rPr>
        <w:t>(a)</w:t>
      </w:r>
    </w:p>
    <w:p>
      <w:pPr>
        <w:spacing w:line="30" w:lineRule="exact" w:before="0"/>
        <w:ind w:left="169" w:right="0" w:firstLine="0"/>
        <w:jc w:val="left"/>
        <w:rPr>
          <w:sz w:val="12"/>
        </w:rPr>
      </w:pPr>
      <w:r>
        <w:rPr/>
        <w:br w:type="column"/>
      </w:r>
      <w:r>
        <w:rPr>
          <w:sz w:val="12"/>
        </w:rPr>
        <w:t>100</w:t>
      </w:r>
    </w:p>
    <w:p>
      <w:pPr>
        <w:pStyle w:val="BodyText"/>
        <w:spacing w:before="9"/>
        <w:rPr>
          <w:sz w:val="26"/>
        </w:rPr>
      </w:pPr>
      <w:r>
        <w:rPr/>
        <w:br w:type="column"/>
      </w:r>
      <w:r>
        <w:rPr>
          <w:sz w:val="26"/>
        </w:rPr>
      </w:r>
    </w:p>
    <w:p>
      <w:pPr>
        <w:pStyle w:val="BodyText"/>
        <w:spacing w:line="242" w:lineRule="auto" w:before="1"/>
        <w:ind w:left="169" w:right="184"/>
      </w:pPr>
      <w:r>
        <w:rPr/>
        <w:t>Survey indicators suggest that employment has continued</w:t>
      </w:r>
      <w:r>
        <w:rPr>
          <w:spacing w:val="-6"/>
        </w:rPr>
        <w:t> </w:t>
      </w:r>
      <w:r>
        <w:rPr/>
        <w:t>to</w:t>
      </w:r>
      <w:r>
        <w:rPr>
          <w:spacing w:val="-6"/>
        </w:rPr>
        <w:t> </w:t>
      </w:r>
      <w:r>
        <w:rPr/>
        <w:t>grow</w:t>
      </w:r>
      <w:r>
        <w:rPr>
          <w:spacing w:val="-6"/>
        </w:rPr>
        <w:t> </w:t>
      </w:r>
      <w:r>
        <w:rPr/>
        <w:t>in</w:t>
      </w:r>
      <w:r>
        <w:rPr>
          <w:spacing w:val="-6"/>
        </w:rPr>
        <w:t> </w:t>
      </w:r>
      <w:r>
        <w:rPr/>
        <w:t>recent</w:t>
      </w:r>
      <w:r>
        <w:rPr>
          <w:spacing w:val="-6"/>
        </w:rPr>
        <w:t> </w:t>
      </w:r>
      <w:r>
        <w:rPr/>
        <w:t>months,</w:t>
      </w:r>
      <w:r>
        <w:rPr>
          <w:spacing w:val="-5"/>
        </w:rPr>
        <w:t> </w:t>
      </w:r>
      <w:r>
        <w:rPr/>
        <w:t>with</w:t>
      </w:r>
      <w:r>
        <w:rPr>
          <w:spacing w:val="-6"/>
        </w:rPr>
        <w:t> </w:t>
      </w:r>
      <w:r>
        <w:rPr/>
        <w:t>some</w:t>
      </w:r>
      <w:r>
        <w:rPr>
          <w:spacing w:val="-6"/>
        </w:rPr>
        <w:t> </w:t>
      </w:r>
      <w:r>
        <w:rPr/>
        <w:t>measures recording their highest </w:t>
      </w:r>
      <w:r>
        <w:rPr>
          <w:spacing w:val="-3"/>
        </w:rPr>
        <w:t>levels </w:t>
      </w:r>
      <w:r>
        <w:rPr/>
        <w:t>for two</w:t>
      </w:r>
      <w:r>
        <w:rPr>
          <w:spacing w:val="-9"/>
        </w:rPr>
        <w:t> </w:t>
      </w:r>
      <w:r>
        <w:rPr/>
        <w:t>years.</w:t>
      </w:r>
    </w:p>
    <w:p>
      <w:pPr>
        <w:pStyle w:val="BodyText"/>
        <w:spacing w:before="3"/>
        <w:ind w:left="169"/>
      </w:pPr>
      <w:r>
        <w:rPr/>
        <w:t>Forward-looking employment indicators also generally</w:t>
      </w:r>
    </w:p>
    <w:p>
      <w:pPr>
        <w:spacing w:after="0"/>
        <w:sectPr>
          <w:type w:val="continuous"/>
          <w:pgSz w:w="11900" w:h="16840"/>
          <w:pgMar w:top="1260" w:bottom="280" w:left="640" w:right="640"/>
          <w:cols w:num="3" w:equalWidth="0">
            <w:col w:w="3193" w:space="56"/>
            <w:col w:w="390" w:space="1161"/>
            <w:col w:w="5820"/>
          </w:cols>
        </w:sectPr>
      </w:pPr>
    </w:p>
    <w:p>
      <w:pPr>
        <w:spacing w:before="19"/>
        <w:ind w:left="169" w:right="0" w:firstLine="0"/>
        <w:jc w:val="left"/>
        <w:rPr>
          <w:sz w:val="12"/>
        </w:rPr>
      </w:pPr>
      <w:r>
        <w:rPr>
          <w:sz w:val="14"/>
        </w:rPr>
        <w:t>Percentage balance of employers planning to recruit in next period </w:t>
      </w:r>
      <w:r>
        <w:rPr>
          <w:sz w:val="12"/>
        </w:rPr>
        <w:t>(b)</w:t>
      </w:r>
    </w:p>
    <w:p>
      <w:pPr>
        <w:tabs>
          <w:tab w:pos="1849" w:val="left" w:leader="none"/>
          <w:tab w:pos="3264" w:val="left" w:leader="none"/>
          <w:tab w:pos="4444" w:val="left" w:leader="none"/>
        </w:tabs>
        <w:spacing w:line="160" w:lineRule="exact" w:before="119"/>
        <w:ind w:left="1209" w:right="0" w:firstLine="0"/>
        <w:jc w:val="left"/>
        <w:rPr>
          <w:sz w:val="14"/>
        </w:rPr>
      </w:pPr>
      <w:r>
        <w:rPr>
          <w:sz w:val="14"/>
        </w:rPr>
        <w:t>Series</w:t>
        <w:tab/>
      </w:r>
      <w:r>
        <w:rPr>
          <w:sz w:val="14"/>
          <w:u w:val="single"/>
        </w:rPr>
        <w:t> 1999</w:t>
        <w:tab/>
        <w:t> 2000</w:t>
        <w:tab/>
      </w:r>
    </w:p>
    <w:p>
      <w:pPr>
        <w:tabs>
          <w:tab w:pos="3459" w:val="left" w:leader="none"/>
        </w:tabs>
        <w:spacing w:line="160" w:lineRule="exact" w:before="0"/>
        <w:ind w:left="1209" w:right="0" w:firstLine="0"/>
        <w:jc w:val="left"/>
        <w:rPr>
          <w:sz w:val="14"/>
        </w:rPr>
      </w:pPr>
      <w:r>
        <w:rPr>
          <w:sz w:val="14"/>
          <w:u w:val="single"/>
        </w:rPr>
        <w:t>average </w:t>
      </w:r>
      <w:r>
        <w:rPr>
          <w:sz w:val="12"/>
          <w:u w:val="single"/>
        </w:rPr>
        <w:t>(c</w:t>
      </w:r>
      <w:r>
        <w:rPr>
          <w:sz w:val="12"/>
        </w:rPr>
        <w:t>)  </w:t>
      </w:r>
      <w:r>
        <w:rPr>
          <w:sz w:val="14"/>
          <w:u w:val="single"/>
        </w:rPr>
        <w:t>Q1 </w:t>
      </w:r>
      <w:r>
        <w:rPr>
          <w:sz w:val="14"/>
        </w:rPr>
        <w:t>     </w:t>
      </w:r>
      <w:r>
        <w:rPr>
          <w:sz w:val="14"/>
          <w:u w:val="single"/>
        </w:rPr>
        <w:t> Q2</w:t>
      </w:r>
      <w:r>
        <w:rPr>
          <w:sz w:val="14"/>
        </w:rPr>
        <w:t>    </w:t>
      </w:r>
      <w:r>
        <w:rPr>
          <w:spacing w:val="16"/>
          <w:sz w:val="14"/>
        </w:rPr>
        <w:t> </w:t>
      </w:r>
      <w:r>
        <w:rPr>
          <w:sz w:val="14"/>
          <w:u w:val="single"/>
        </w:rPr>
        <w:t>Q3 </w:t>
      </w:r>
      <w:r>
        <w:rPr>
          <w:sz w:val="14"/>
        </w:rPr>
        <w:t>    </w:t>
      </w:r>
      <w:r>
        <w:rPr>
          <w:spacing w:val="14"/>
          <w:sz w:val="14"/>
        </w:rPr>
        <w:t> </w:t>
      </w:r>
      <w:r>
        <w:rPr>
          <w:sz w:val="14"/>
          <w:u w:val="single"/>
        </w:rPr>
        <w:t>Q4</w:t>
      </w:r>
      <w:r>
        <w:rPr>
          <w:sz w:val="14"/>
        </w:rPr>
        <w:tab/>
      </w:r>
      <w:r>
        <w:rPr>
          <w:sz w:val="14"/>
          <w:u w:val="single"/>
        </w:rPr>
        <w:t> Q1 Q2</w:t>
      </w:r>
      <w:r>
        <w:rPr>
          <w:spacing w:val="28"/>
          <w:sz w:val="14"/>
        </w:rPr>
        <w:t> </w:t>
      </w:r>
      <w:r>
        <w:rPr>
          <w:sz w:val="14"/>
          <w:u w:val="single"/>
        </w:rPr>
        <w:t>Q3</w:t>
      </w:r>
      <w:r>
        <w:rPr>
          <w:spacing w:val="-2"/>
          <w:sz w:val="14"/>
          <w:u w:val="single"/>
        </w:rPr>
        <w:t> </w:t>
      </w:r>
    </w:p>
    <w:p>
      <w:pPr>
        <w:spacing w:line="150" w:lineRule="exact" w:before="119"/>
        <w:ind w:left="169" w:right="0" w:firstLine="0"/>
        <w:jc w:val="left"/>
        <w:rPr>
          <w:b/>
          <w:sz w:val="14"/>
        </w:rPr>
      </w:pPr>
      <w:r>
        <w:rPr>
          <w:b/>
          <w:sz w:val="14"/>
        </w:rPr>
        <w:t>Whole economy</w:t>
      </w:r>
    </w:p>
    <w:p>
      <w:pPr>
        <w:tabs>
          <w:tab w:pos="1319" w:val="left" w:leader="none"/>
          <w:tab w:pos="1979" w:val="left" w:leader="none"/>
          <w:tab w:pos="2399" w:val="left" w:leader="none"/>
          <w:tab w:pos="2709" w:val="left" w:leader="none"/>
          <w:tab w:pos="3119" w:val="left" w:leader="none"/>
          <w:tab w:pos="3489" w:val="left" w:leader="none"/>
          <w:tab w:pos="3889" w:val="left" w:leader="none"/>
          <w:tab w:pos="4239" w:val="left" w:leader="none"/>
        </w:tabs>
        <w:spacing w:line="140" w:lineRule="exact" w:before="0"/>
        <w:ind w:left="169" w:right="0" w:firstLine="0"/>
        <w:jc w:val="left"/>
        <w:rPr>
          <w:sz w:val="14"/>
        </w:rPr>
      </w:pPr>
      <w:r>
        <w:rPr>
          <w:sz w:val="14"/>
        </w:rPr>
        <w:t>Manpower</w:t>
        <w:tab/>
        <w:t>10</w:t>
        <w:tab/>
        <w:t>8</w:t>
        <w:tab/>
        <w:t>7</w:t>
        <w:tab/>
        <w:t>15</w:t>
        <w:tab/>
        <w:t>14</w:t>
        <w:tab/>
        <w:t>14</w:t>
        <w:tab/>
        <w:t>14</w:t>
        <w:tab/>
        <w:t>18</w:t>
      </w:r>
    </w:p>
    <w:p>
      <w:pPr>
        <w:spacing w:line="140" w:lineRule="exact" w:before="0"/>
        <w:ind w:left="169" w:right="0" w:firstLine="0"/>
        <w:jc w:val="left"/>
        <w:rPr>
          <w:b/>
          <w:sz w:val="14"/>
        </w:rPr>
      </w:pPr>
      <w:r>
        <w:rPr/>
        <w:pict>
          <v:shape style="position:absolute;margin-left:95.493835pt;margin-top:6.772699pt;width:452.25pt;height:42.8pt;mso-position-horizontal-relative:page;mso-position-vertical-relative:paragraph;z-index:160066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5"/>
                    <w:gridCol w:w="505"/>
                    <w:gridCol w:w="400"/>
                    <w:gridCol w:w="395"/>
                    <w:gridCol w:w="390"/>
                    <w:gridCol w:w="385"/>
                    <w:gridCol w:w="375"/>
                    <w:gridCol w:w="540"/>
                    <w:gridCol w:w="5640"/>
                  </w:tblGrid>
                  <w:tr>
                    <w:trPr>
                      <w:trHeight w:val="147" w:hRule="atLeast"/>
                    </w:trPr>
                    <w:tc>
                      <w:tcPr>
                        <w:tcW w:w="415" w:type="dxa"/>
                      </w:tcPr>
                      <w:p>
                        <w:pPr>
                          <w:pStyle w:val="TableParagraph"/>
                          <w:spacing w:line="128" w:lineRule="exact"/>
                          <w:ind w:right="224"/>
                          <w:jc w:val="right"/>
                          <w:rPr>
                            <w:sz w:val="14"/>
                          </w:rPr>
                        </w:pPr>
                        <w:r>
                          <w:rPr>
                            <w:sz w:val="14"/>
                          </w:rPr>
                          <w:t>13</w:t>
                        </w:r>
                      </w:p>
                    </w:tc>
                    <w:tc>
                      <w:tcPr>
                        <w:tcW w:w="505" w:type="dxa"/>
                      </w:tcPr>
                      <w:p>
                        <w:pPr>
                          <w:pStyle w:val="TableParagraph"/>
                          <w:spacing w:line="128" w:lineRule="exact"/>
                          <w:ind w:right="139"/>
                          <w:jc w:val="right"/>
                          <w:rPr>
                            <w:sz w:val="14"/>
                          </w:rPr>
                        </w:pPr>
                        <w:r>
                          <w:rPr>
                            <w:sz w:val="14"/>
                          </w:rPr>
                          <w:t>12</w:t>
                        </w:r>
                      </w:p>
                    </w:tc>
                    <w:tc>
                      <w:tcPr>
                        <w:tcW w:w="400" w:type="dxa"/>
                      </w:tcPr>
                      <w:p>
                        <w:pPr>
                          <w:pStyle w:val="TableParagraph"/>
                          <w:spacing w:line="128" w:lineRule="exact"/>
                          <w:ind w:right="119"/>
                          <w:jc w:val="right"/>
                          <w:rPr>
                            <w:sz w:val="14"/>
                          </w:rPr>
                        </w:pPr>
                        <w:r>
                          <w:rPr>
                            <w:sz w:val="14"/>
                          </w:rPr>
                          <w:t>16</w:t>
                        </w:r>
                      </w:p>
                    </w:tc>
                    <w:tc>
                      <w:tcPr>
                        <w:tcW w:w="395" w:type="dxa"/>
                      </w:tcPr>
                      <w:p>
                        <w:pPr>
                          <w:pStyle w:val="TableParagraph"/>
                          <w:spacing w:line="128" w:lineRule="exact"/>
                          <w:ind w:right="134"/>
                          <w:jc w:val="right"/>
                          <w:rPr>
                            <w:sz w:val="14"/>
                          </w:rPr>
                        </w:pPr>
                        <w:r>
                          <w:rPr>
                            <w:sz w:val="14"/>
                          </w:rPr>
                          <w:t>21</w:t>
                        </w:r>
                      </w:p>
                    </w:tc>
                    <w:tc>
                      <w:tcPr>
                        <w:tcW w:w="390" w:type="dxa"/>
                      </w:tcPr>
                      <w:p>
                        <w:pPr>
                          <w:pStyle w:val="TableParagraph"/>
                          <w:spacing w:line="128" w:lineRule="exact"/>
                          <w:ind w:right="114"/>
                          <w:jc w:val="right"/>
                          <w:rPr>
                            <w:sz w:val="14"/>
                          </w:rPr>
                        </w:pPr>
                        <w:r>
                          <w:rPr>
                            <w:sz w:val="14"/>
                          </w:rPr>
                          <w:t>21</w:t>
                        </w:r>
                      </w:p>
                    </w:tc>
                    <w:tc>
                      <w:tcPr>
                        <w:tcW w:w="385" w:type="dxa"/>
                      </w:tcPr>
                      <w:p>
                        <w:pPr>
                          <w:pStyle w:val="TableParagraph"/>
                          <w:spacing w:line="128" w:lineRule="exact"/>
                          <w:ind w:left="36" w:right="48"/>
                          <w:jc w:val="center"/>
                          <w:rPr>
                            <w:sz w:val="14"/>
                          </w:rPr>
                        </w:pPr>
                        <w:r>
                          <w:rPr>
                            <w:sz w:val="14"/>
                          </w:rPr>
                          <w:t>25</w:t>
                        </w:r>
                      </w:p>
                    </w:tc>
                    <w:tc>
                      <w:tcPr>
                        <w:tcW w:w="375" w:type="dxa"/>
                      </w:tcPr>
                      <w:p>
                        <w:pPr>
                          <w:pStyle w:val="TableParagraph"/>
                          <w:spacing w:line="128" w:lineRule="exact"/>
                          <w:ind w:left="47" w:right="22"/>
                          <w:jc w:val="center"/>
                          <w:rPr>
                            <w:sz w:val="14"/>
                          </w:rPr>
                        </w:pPr>
                        <w:r>
                          <w:rPr>
                            <w:sz w:val="14"/>
                          </w:rPr>
                          <w:t>28</w:t>
                        </w:r>
                      </w:p>
                    </w:tc>
                    <w:tc>
                      <w:tcPr>
                        <w:tcW w:w="540" w:type="dxa"/>
                      </w:tcPr>
                      <w:p>
                        <w:pPr>
                          <w:pStyle w:val="TableParagraph"/>
                          <w:spacing w:line="128" w:lineRule="exact"/>
                          <w:ind w:right="292"/>
                          <w:jc w:val="right"/>
                          <w:rPr>
                            <w:sz w:val="14"/>
                          </w:rPr>
                        </w:pPr>
                        <w:r>
                          <w:rPr>
                            <w:sz w:val="14"/>
                          </w:rPr>
                          <w:t>28</w:t>
                        </w:r>
                      </w:p>
                    </w:tc>
                    <w:tc>
                      <w:tcPr>
                        <w:tcW w:w="5640" w:type="dxa"/>
                        <w:vMerge w:val="restart"/>
                      </w:tcPr>
                      <w:p>
                        <w:pPr>
                          <w:pStyle w:val="TableParagraph"/>
                          <w:spacing w:line="240" w:lineRule="auto"/>
                          <w:rPr>
                            <w:sz w:val="20"/>
                          </w:rPr>
                        </w:pPr>
                      </w:p>
                    </w:tc>
                  </w:tr>
                  <w:tr>
                    <w:trPr>
                      <w:trHeight w:val="144" w:hRule="atLeast"/>
                    </w:trPr>
                    <w:tc>
                      <w:tcPr>
                        <w:tcW w:w="415" w:type="dxa"/>
                      </w:tcPr>
                      <w:p>
                        <w:pPr>
                          <w:pStyle w:val="TableParagraph"/>
                          <w:spacing w:line="125" w:lineRule="exact"/>
                          <w:ind w:right="224"/>
                          <w:jc w:val="right"/>
                          <w:rPr>
                            <w:sz w:val="14"/>
                          </w:rPr>
                        </w:pPr>
                        <w:r>
                          <w:rPr>
                            <w:sz w:val="14"/>
                          </w:rPr>
                          <w:t>12</w:t>
                        </w:r>
                      </w:p>
                    </w:tc>
                    <w:tc>
                      <w:tcPr>
                        <w:tcW w:w="505" w:type="dxa"/>
                      </w:tcPr>
                      <w:p>
                        <w:pPr>
                          <w:pStyle w:val="TableParagraph"/>
                          <w:spacing w:line="125" w:lineRule="exact"/>
                          <w:ind w:right="139"/>
                          <w:jc w:val="right"/>
                          <w:rPr>
                            <w:sz w:val="14"/>
                          </w:rPr>
                        </w:pPr>
                        <w:r>
                          <w:rPr>
                            <w:sz w:val="14"/>
                          </w:rPr>
                          <w:t>12</w:t>
                        </w:r>
                      </w:p>
                    </w:tc>
                    <w:tc>
                      <w:tcPr>
                        <w:tcW w:w="400" w:type="dxa"/>
                      </w:tcPr>
                      <w:p>
                        <w:pPr>
                          <w:pStyle w:val="TableParagraph"/>
                          <w:spacing w:line="125" w:lineRule="exact"/>
                          <w:ind w:right="119"/>
                          <w:jc w:val="right"/>
                          <w:rPr>
                            <w:sz w:val="14"/>
                          </w:rPr>
                        </w:pPr>
                        <w:r>
                          <w:rPr>
                            <w:sz w:val="14"/>
                          </w:rPr>
                          <w:t>11</w:t>
                        </w:r>
                      </w:p>
                    </w:tc>
                    <w:tc>
                      <w:tcPr>
                        <w:tcW w:w="395" w:type="dxa"/>
                      </w:tcPr>
                      <w:p>
                        <w:pPr>
                          <w:pStyle w:val="TableParagraph"/>
                          <w:spacing w:line="125" w:lineRule="exact"/>
                          <w:ind w:right="134"/>
                          <w:jc w:val="right"/>
                          <w:rPr>
                            <w:sz w:val="14"/>
                          </w:rPr>
                        </w:pPr>
                        <w:r>
                          <w:rPr>
                            <w:sz w:val="14"/>
                          </w:rPr>
                          <w:t>15</w:t>
                        </w:r>
                      </w:p>
                    </w:tc>
                    <w:tc>
                      <w:tcPr>
                        <w:tcW w:w="390" w:type="dxa"/>
                      </w:tcPr>
                      <w:p>
                        <w:pPr>
                          <w:pStyle w:val="TableParagraph"/>
                          <w:spacing w:line="125" w:lineRule="exact"/>
                          <w:ind w:right="114"/>
                          <w:jc w:val="right"/>
                          <w:rPr>
                            <w:sz w:val="14"/>
                          </w:rPr>
                        </w:pPr>
                        <w:r>
                          <w:rPr>
                            <w:sz w:val="14"/>
                          </w:rPr>
                          <w:t>14</w:t>
                        </w:r>
                      </w:p>
                    </w:tc>
                    <w:tc>
                      <w:tcPr>
                        <w:tcW w:w="385" w:type="dxa"/>
                      </w:tcPr>
                      <w:p>
                        <w:pPr>
                          <w:pStyle w:val="TableParagraph"/>
                          <w:spacing w:line="125" w:lineRule="exact"/>
                          <w:ind w:left="36" w:right="48"/>
                          <w:jc w:val="center"/>
                          <w:rPr>
                            <w:sz w:val="14"/>
                          </w:rPr>
                        </w:pPr>
                        <w:r>
                          <w:rPr>
                            <w:sz w:val="14"/>
                          </w:rPr>
                          <w:t>18</w:t>
                        </w:r>
                      </w:p>
                    </w:tc>
                    <w:tc>
                      <w:tcPr>
                        <w:tcW w:w="375" w:type="dxa"/>
                      </w:tcPr>
                      <w:p>
                        <w:pPr>
                          <w:pStyle w:val="TableParagraph"/>
                          <w:spacing w:line="125" w:lineRule="exact"/>
                          <w:ind w:left="47" w:right="22"/>
                          <w:jc w:val="center"/>
                          <w:rPr>
                            <w:sz w:val="14"/>
                          </w:rPr>
                        </w:pPr>
                        <w:r>
                          <w:rPr>
                            <w:sz w:val="14"/>
                          </w:rPr>
                          <w:t>16</w:t>
                        </w:r>
                      </w:p>
                    </w:tc>
                    <w:tc>
                      <w:tcPr>
                        <w:tcW w:w="540" w:type="dxa"/>
                      </w:tcPr>
                      <w:p>
                        <w:pPr>
                          <w:pStyle w:val="TableParagraph"/>
                          <w:spacing w:line="125" w:lineRule="exact"/>
                          <w:ind w:right="292"/>
                          <w:jc w:val="right"/>
                          <w:rPr>
                            <w:sz w:val="14"/>
                          </w:rPr>
                        </w:pPr>
                        <w:r>
                          <w:rPr>
                            <w:sz w:val="14"/>
                          </w:rPr>
                          <w:t>21</w:t>
                        </w:r>
                      </w:p>
                    </w:tc>
                    <w:tc>
                      <w:tcPr>
                        <w:tcW w:w="5640" w:type="dxa"/>
                        <w:vMerge/>
                        <w:tcBorders>
                          <w:top w:val="nil"/>
                        </w:tcBorders>
                      </w:tcPr>
                      <w:p>
                        <w:pPr>
                          <w:rPr>
                            <w:sz w:val="2"/>
                            <w:szCs w:val="2"/>
                          </w:rPr>
                        </w:pPr>
                      </w:p>
                    </w:tc>
                  </w:tr>
                  <w:tr>
                    <w:trPr>
                      <w:trHeight w:val="280" w:hRule="atLeast"/>
                    </w:trPr>
                    <w:tc>
                      <w:tcPr>
                        <w:tcW w:w="415" w:type="dxa"/>
                      </w:tcPr>
                      <w:p>
                        <w:pPr>
                          <w:pStyle w:val="TableParagraph"/>
                          <w:spacing w:line="138" w:lineRule="exact" w:before="122"/>
                          <w:ind w:right="222"/>
                          <w:jc w:val="right"/>
                          <w:rPr>
                            <w:sz w:val="14"/>
                          </w:rPr>
                        </w:pPr>
                        <w:r>
                          <w:rPr>
                            <w:sz w:val="14"/>
                          </w:rPr>
                          <w:t>23</w:t>
                        </w:r>
                      </w:p>
                    </w:tc>
                    <w:tc>
                      <w:tcPr>
                        <w:tcW w:w="505" w:type="dxa"/>
                      </w:tcPr>
                      <w:p>
                        <w:pPr>
                          <w:pStyle w:val="TableParagraph"/>
                          <w:spacing w:line="138" w:lineRule="exact" w:before="122"/>
                          <w:ind w:right="137"/>
                          <w:jc w:val="right"/>
                          <w:rPr>
                            <w:sz w:val="14"/>
                          </w:rPr>
                        </w:pPr>
                        <w:r>
                          <w:rPr>
                            <w:sz w:val="14"/>
                          </w:rPr>
                          <w:t>21</w:t>
                        </w:r>
                      </w:p>
                    </w:tc>
                    <w:tc>
                      <w:tcPr>
                        <w:tcW w:w="400" w:type="dxa"/>
                      </w:tcPr>
                      <w:p>
                        <w:pPr>
                          <w:pStyle w:val="TableParagraph"/>
                          <w:spacing w:line="138" w:lineRule="exact" w:before="122"/>
                          <w:ind w:right="117"/>
                          <w:jc w:val="right"/>
                          <w:rPr>
                            <w:sz w:val="14"/>
                          </w:rPr>
                        </w:pPr>
                        <w:r>
                          <w:rPr>
                            <w:sz w:val="14"/>
                          </w:rPr>
                          <w:t>21</w:t>
                        </w:r>
                      </w:p>
                    </w:tc>
                    <w:tc>
                      <w:tcPr>
                        <w:tcW w:w="395" w:type="dxa"/>
                      </w:tcPr>
                      <w:p>
                        <w:pPr>
                          <w:pStyle w:val="TableParagraph"/>
                          <w:spacing w:line="138" w:lineRule="exact" w:before="122"/>
                          <w:ind w:right="132"/>
                          <w:jc w:val="right"/>
                          <w:rPr>
                            <w:sz w:val="14"/>
                          </w:rPr>
                        </w:pPr>
                        <w:r>
                          <w:rPr>
                            <w:sz w:val="14"/>
                          </w:rPr>
                          <w:t>12</w:t>
                        </w:r>
                      </w:p>
                    </w:tc>
                    <w:tc>
                      <w:tcPr>
                        <w:tcW w:w="390" w:type="dxa"/>
                      </w:tcPr>
                      <w:p>
                        <w:pPr>
                          <w:pStyle w:val="TableParagraph"/>
                          <w:spacing w:line="138" w:lineRule="exact" w:before="122"/>
                          <w:ind w:right="112"/>
                          <w:jc w:val="right"/>
                          <w:rPr>
                            <w:sz w:val="14"/>
                          </w:rPr>
                        </w:pPr>
                        <w:r>
                          <w:rPr>
                            <w:sz w:val="14"/>
                          </w:rPr>
                          <w:t>43</w:t>
                        </w:r>
                      </w:p>
                    </w:tc>
                    <w:tc>
                      <w:tcPr>
                        <w:tcW w:w="385" w:type="dxa"/>
                      </w:tcPr>
                      <w:p>
                        <w:pPr>
                          <w:pStyle w:val="TableParagraph"/>
                          <w:spacing w:line="138" w:lineRule="exact" w:before="122"/>
                          <w:ind w:left="36" w:right="48"/>
                          <w:jc w:val="center"/>
                          <w:rPr>
                            <w:sz w:val="14"/>
                          </w:rPr>
                        </w:pPr>
                        <w:r>
                          <w:rPr>
                            <w:sz w:val="14"/>
                          </w:rPr>
                          <w:t>29</w:t>
                        </w:r>
                      </w:p>
                    </w:tc>
                    <w:tc>
                      <w:tcPr>
                        <w:tcW w:w="375" w:type="dxa"/>
                      </w:tcPr>
                      <w:p>
                        <w:pPr>
                          <w:pStyle w:val="TableParagraph"/>
                          <w:spacing w:line="138" w:lineRule="exact" w:before="122"/>
                          <w:ind w:left="47" w:right="22"/>
                          <w:jc w:val="center"/>
                          <w:rPr>
                            <w:sz w:val="14"/>
                          </w:rPr>
                        </w:pPr>
                        <w:r>
                          <w:rPr>
                            <w:sz w:val="14"/>
                          </w:rPr>
                          <w:t>31</w:t>
                        </w:r>
                      </w:p>
                    </w:tc>
                    <w:tc>
                      <w:tcPr>
                        <w:tcW w:w="540" w:type="dxa"/>
                      </w:tcPr>
                      <w:p>
                        <w:pPr>
                          <w:pStyle w:val="TableParagraph"/>
                          <w:spacing w:line="138" w:lineRule="exact" w:before="122"/>
                          <w:ind w:right="292"/>
                          <w:jc w:val="right"/>
                          <w:rPr>
                            <w:sz w:val="14"/>
                          </w:rPr>
                        </w:pPr>
                        <w:r>
                          <w:rPr>
                            <w:sz w:val="14"/>
                          </w:rPr>
                          <w:t>32</w:t>
                        </w:r>
                      </w:p>
                    </w:tc>
                    <w:tc>
                      <w:tcPr>
                        <w:tcW w:w="5640" w:type="dxa"/>
                      </w:tcPr>
                      <w:p>
                        <w:pPr>
                          <w:pStyle w:val="TableParagraph"/>
                          <w:spacing w:line="260" w:lineRule="exact"/>
                          <w:ind w:left="295"/>
                          <w:rPr>
                            <w:sz w:val="24"/>
                          </w:rPr>
                        </w:pPr>
                        <w:r>
                          <w:rPr>
                            <w:sz w:val="24"/>
                          </w:rPr>
                          <w:t>The unemployment rate influences pay pressures in the</w:t>
                        </w:r>
                      </w:p>
                    </w:tc>
                  </w:tr>
                  <w:tr>
                    <w:trPr>
                      <w:trHeight w:val="282" w:hRule="atLeast"/>
                    </w:trPr>
                    <w:tc>
                      <w:tcPr>
                        <w:tcW w:w="415" w:type="dxa"/>
                      </w:tcPr>
                      <w:p>
                        <w:pPr>
                          <w:pStyle w:val="TableParagraph"/>
                          <w:spacing w:line="141" w:lineRule="exact" w:before="122"/>
                          <w:ind w:right="224"/>
                          <w:jc w:val="right"/>
                          <w:rPr>
                            <w:sz w:val="14"/>
                          </w:rPr>
                        </w:pPr>
                        <w:r>
                          <w:rPr>
                            <w:sz w:val="14"/>
                          </w:rPr>
                          <w:t>3</w:t>
                        </w:r>
                      </w:p>
                    </w:tc>
                    <w:tc>
                      <w:tcPr>
                        <w:tcW w:w="505" w:type="dxa"/>
                      </w:tcPr>
                      <w:p>
                        <w:pPr>
                          <w:pStyle w:val="TableParagraph"/>
                          <w:spacing w:line="141" w:lineRule="exact" w:before="122"/>
                          <w:ind w:right="138"/>
                          <w:jc w:val="right"/>
                          <w:rPr>
                            <w:sz w:val="14"/>
                          </w:rPr>
                        </w:pPr>
                        <w:r>
                          <w:rPr>
                            <w:sz w:val="14"/>
                          </w:rPr>
                          <w:t>-5</w:t>
                        </w:r>
                      </w:p>
                    </w:tc>
                    <w:tc>
                      <w:tcPr>
                        <w:tcW w:w="400" w:type="dxa"/>
                      </w:tcPr>
                      <w:p>
                        <w:pPr>
                          <w:pStyle w:val="TableParagraph"/>
                          <w:spacing w:line="141" w:lineRule="exact" w:before="122"/>
                          <w:ind w:right="118"/>
                          <w:jc w:val="right"/>
                          <w:rPr>
                            <w:sz w:val="14"/>
                          </w:rPr>
                        </w:pPr>
                        <w:r>
                          <w:rPr>
                            <w:sz w:val="14"/>
                          </w:rPr>
                          <w:t>2</w:t>
                        </w:r>
                      </w:p>
                    </w:tc>
                    <w:tc>
                      <w:tcPr>
                        <w:tcW w:w="395" w:type="dxa"/>
                      </w:tcPr>
                      <w:p>
                        <w:pPr>
                          <w:pStyle w:val="TableParagraph"/>
                          <w:spacing w:line="141" w:lineRule="exact" w:before="122"/>
                          <w:ind w:right="133"/>
                          <w:jc w:val="right"/>
                          <w:rPr>
                            <w:sz w:val="14"/>
                          </w:rPr>
                        </w:pPr>
                        <w:r>
                          <w:rPr>
                            <w:sz w:val="14"/>
                          </w:rPr>
                          <w:t>6</w:t>
                        </w:r>
                      </w:p>
                    </w:tc>
                    <w:tc>
                      <w:tcPr>
                        <w:tcW w:w="390" w:type="dxa"/>
                      </w:tcPr>
                      <w:p>
                        <w:pPr>
                          <w:pStyle w:val="TableParagraph"/>
                          <w:spacing w:line="141" w:lineRule="exact" w:before="122"/>
                          <w:ind w:right="114"/>
                          <w:jc w:val="right"/>
                          <w:rPr>
                            <w:sz w:val="14"/>
                          </w:rPr>
                        </w:pPr>
                        <w:r>
                          <w:rPr>
                            <w:sz w:val="14"/>
                          </w:rPr>
                          <w:t>12</w:t>
                        </w:r>
                      </w:p>
                    </w:tc>
                    <w:tc>
                      <w:tcPr>
                        <w:tcW w:w="385" w:type="dxa"/>
                      </w:tcPr>
                      <w:p>
                        <w:pPr>
                          <w:pStyle w:val="TableParagraph"/>
                          <w:spacing w:line="141" w:lineRule="exact" w:before="122"/>
                          <w:ind w:left="55"/>
                          <w:jc w:val="center"/>
                          <w:rPr>
                            <w:sz w:val="14"/>
                          </w:rPr>
                        </w:pPr>
                        <w:r>
                          <w:rPr>
                            <w:sz w:val="14"/>
                          </w:rPr>
                          <w:t>4</w:t>
                        </w:r>
                      </w:p>
                    </w:tc>
                    <w:tc>
                      <w:tcPr>
                        <w:tcW w:w="375" w:type="dxa"/>
                      </w:tcPr>
                      <w:p>
                        <w:pPr>
                          <w:pStyle w:val="TableParagraph"/>
                          <w:spacing w:line="141" w:lineRule="exact" w:before="122"/>
                          <w:ind w:left="47" w:right="22"/>
                          <w:jc w:val="center"/>
                          <w:rPr>
                            <w:sz w:val="14"/>
                          </w:rPr>
                        </w:pPr>
                        <w:r>
                          <w:rPr>
                            <w:sz w:val="14"/>
                          </w:rPr>
                          <w:t>11</w:t>
                        </w:r>
                      </w:p>
                    </w:tc>
                    <w:tc>
                      <w:tcPr>
                        <w:tcW w:w="540" w:type="dxa"/>
                      </w:tcPr>
                      <w:p>
                        <w:pPr>
                          <w:pStyle w:val="TableParagraph"/>
                          <w:spacing w:line="141" w:lineRule="exact" w:before="122"/>
                          <w:ind w:right="294"/>
                          <w:jc w:val="right"/>
                          <w:rPr>
                            <w:sz w:val="14"/>
                          </w:rPr>
                        </w:pPr>
                        <w:r>
                          <w:rPr>
                            <w:sz w:val="14"/>
                          </w:rPr>
                          <w:t>9</w:t>
                        </w:r>
                      </w:p>
                    </w:tc>
                    <w:tc>
                      <w:tcPr>
                        <w:tcW w:w="5640" w:type="dxa"/>
                      </w:tcPr>
                      <w:p>
                        <w:pPr>
                          <w:pStyle w:val="TableParagraph"/>
                          <w:spacing w:line="263" w:lineRule="exact"/>
                          <w:ind w:left="295"/>
                          <w:rPr>
                            <w:sz w:val="24"/>
                          </w:rPr>
                        </w:pPr>
                        <w:r>
                          <w:rPr>
                            <w:sz w:val="24"/>
                          </w:rPr>
                          <w:t>economy through several channels. First, because</w:t>
                        </w:r>
                      </w:p>
                    </w:tc>
                  </w:tr>
                </w:tbl>
                <w:p>
                  <w:pPr>
                    <w:pStyle w:val="BodyText"/>
                  </w:pPr>
                </w:p>
              </w:txbxContent>
            </v:textbox>
            <w10:wrap type="none"/>
          </v:shape>
        </w:pict>
      </w:r>
      <w:r>
        <w:rPr>
          <w:b/>
          <w:sz w:val="14"/>
        </w:rPr>
        <w:t>Services</w:t>
      </w:r>
    </w:p>
    <w:p>
      <w:pPr>
        <w:spacing w:line="140" w:lineRule="exact" w:before="0"/>
        <w:ind w:left="169" w:right="0" w:firstLine="0"/>
        <w:jc w:val="left"/>
        <w:rPr>
          <w:sz w:val="14"/>
        </w:rPr>
      </w:pPr>
      <w:r>
        <w:rPr>
          <w:sz w:val="14"/>
        </w:rPr>
        <w:t>BCC</w:t>
      </w:r>
    </w:p>
    <w:p>
      <w:pPr>
        <w:spacing w:line="208" w:lineRule="auto" w:before="7"/>
        <w:ind w:left="169" w:right="3399" w:firstLine="0"/>
        <w:jc w:val="left"/>
        <w:rPr>
          <w:sz w:val="14"/>
        </w:rPr>
      </w:pPr>
      <w:r>
        <w:rPr>
          <w:sz w:val="14"/>
        </w:rPr>
        <w:t>Manpower CBI/Deloitte &amp; </w:t>
      </w:r>
      <w:r>
        <w:rPr>
          <w:spacing w:val="-3"/>
          <w:sz w:val="14"/>
        </w:rPr>
        <w:t>Touche </w:t>
      </w:r>
      <w:r>
        <w:rPr>
          <w:sz w:val="12"/>
        </w:rPr>
        <w:t>(d) </w:t>
      </w:r>
      <w:r>
        <w:rPr>
          <w:b/>
          <w:spacing w:val="-1"/>
          <w:sz w:val="14"/>
        </w:rPr>
        <w:t>Manufacturing </w:t>
      </w:r>
      <w:r>
        <w:rPr>
          <w:sz w:val="14"/>
        </w:rPr>
        <w:t>BCC</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3"/>
        <w:gridCol w:w="638"/>
        <w:gridCol w:w="504"/>
        <w:gridCol w:w="399"/>
        <w:gridCol w:w="394"/>
        <w:gridCol w:w="389"/>
        <w:gridCol w:w="384"/>
        <w:gridCol w:w="397"/>
        <w:gridCol w:w="294"/>
      </w:tblGrid>
      <w:tr>
        <w:trPr>
          <w:trHeight w:val="147" w:hRule="atLeast"/>
        </w:trPr>
        <w:tc>
          <w:tcPr>
            <w:tcW w:w="903" w:type="dxa"/>
          </w:tcPr>
          <w:p>
            <w:pPr>
              <w:pStyle w:val="TableParagraph"/>
              <w:spacing w:line="128" w:lineRule="exact"/>
              <w:ind w:left="50"/>
              <w:rPr>
                <w:sz w:val="14"/>
              </w:rPr>
            </w:pPr>
            <w:r>
              <w:rPr>
                <w:sz w:val="14"/>
              </w:rPr>
              <w:t>CBI</w:t>
            </w:r>
          </w:p>
        </w:tc>
        <w:tc>
          <w:tcPr>
            <w:tcW w:w="638" w:type="dxa"/>
          </w:tcPr>
          <w:p>
            <w:pPr>
              <w:pStyle w:val="TableParagraph"/>
              <w:spacing w:line="128" w:lineRule="exact"/>
              <w:ind w:left="230" w:right="181"/>
              <w:jc w:val="center"/>
              <w:rPr>
                <w:sz w:val="14"/>
              </w:rPr>
            </w:pPr>
            <w:r>
              <w:rPr>
                <w:sz w:val="14"/>
              </w:rPr>
              <w:t>-16</w:t>
            </w:r>
          </w:p>
        </w:tc>
        <w:tc>
          <w:tcPr>
            <w:tcW w:w="504" w:type="dxa"/>
          </w:tcPr>
          <w:p>
            <w:pPr>
              <w:pStyle w:val="TableParagraph"/>
              <w:spacing w:line="128" w:lineRule="exact"/>
              <w:ind w:right="113"/>
              <w:jc w:val="right"/>
              <w:rPr>
                <w:sz w:val="14"/>
              </w:rPr>
            </w:pPr>
            <w:r>
              <w:rPr>
                <w:sz w:val="14"/>
              </w:rPr>
              <w:t>-26</w:t>
            </w:r>
          </w:p>
        </w:tc>
        <w:tc>
          <w:tcPr>
            <w:tcW w:w="399" w:type="dxa"/>
          </w:tcPr>
          <w:p>
            <w:pPr>
              <w:pStyle w:val="TableParagraph"/>
              <w:spacing w:line="128" w:lineRule="exact"/>
              <w:ind w:right="93"/>
              <w:jc w:val="right"/>
              <w:rPr>
                <w:sz w:val="14"/>
              </w:rPr>
            </w:pPr>
            <w:r>
              <w:rPr>
                <w:sz w:val="14"/>
              </w:rPr>
              <w:t>-22</w:t>
            </w:r>
          </w:p>
        </w:tc>
        <w:tc>
          <w:tcPr>
            <w:tcW w:w="394" w:type="dxa"/>
          </w:tcPr>
          <w:p>
            <w:pPr>
              <w:pStyle w:val="TableParagraph"/>
              <w:spacing w:line="128" w:lineRule="exact"/>
              <w:ind w:left="80" w:right="86"/>
              <w:jc w:val="center"/>
              <w:rPr>
                <w:sz w:val="14"/>
              </w:rPr>
            </w:pPr>
            <w:r>
              <w:rPr>
                <w:sz w:val="14"/>
              </w:rPr>
              <w:t>-15</w:t>
            </w:r>
          </w:p>
        </w:tc>
        <w:tc>
          <w:tcPr>
            <w:tcW w:w="389" w:type="dxa"/>
          </w:tcPr>
          <w:p>
            <w:pPr>
              <w:pStyle w:val="TableParagraph"/>
              <w:spacing w:line="128" w:lineRule="exact"/>
              <w:ind w:left="95" w:right="67"/>
              <w:jc w:val="center"/>
              <w:rPr>
                <w:sz w:val="14"/>
              </w:rPr>
            </w:pPr>
            <w:r>
              <w:rPr>
                <w:sz w:val="14"/>
              </w:rPr>
              <w:t>-10</w:t>
            </w:r>
          </w:p>
        </w:tc>
        <w:tc>
          <w:tcPr>
            <w:tcW w:w="384" w:type="dxa"/>
          </w:tcPr>
          <w:p>
            <w:pPr>
              <w:pStyle w:val="TableParagraph"/>
              <w:spacing w:line="128" w:lineRule="exact"/>
              <w:ind w:left="96"/>
              <w:rPr>
                <w:sz w:val="14"/>
              </w:rPr>
            </w:pPr>
            <w:r>
              <w:rPr>
                <w:sz w:val="14"/>
              </w:rPr>
              <w:t>-15</w:t>
            </w:r>
          </w:p>
        </w:tc>
        <w:tc>
          <w:tcPr>
            <w:tcW w:w="397" w:type="dxa"/>
          </w:tcPr>
          <w:p>
            <w:pPr>
              <w:pStyle w:val="TableParagraph"/>
              <w:spacing w:line="128" w:lineRule="exact"/>
              <w:ind w:left="112"/>
              <w:rPr>
                <w:sz w:val="14"/>
              </w:rPr>
            </w:pPr>
            <w:r>
              <w:rPr>
                <w:sz w:val="14"/>
              </w:rPr>
              <w:t>-13</w:t>
            </w:r>
          </w:p>
        </w:tc>
        <w:tc>
          <w:tcPr>
            <w:tcW w:w="294" w:type="dxa"/>
          </w:tcPr>
          <w:p>
            <w:pPr>
              <w:pStyle w:val="TableParagraph"/>
              <w:spacing w:line="128" w:lineRule="exact"/>
              <w:ind w:right="39"/>
              <w:jc w:val="right"/>
              <w:rPr>
                <w:sz w:val="14"/>
              </w:rPr>
            </w:pPr>
            <w:r>
              <w:rPr>
                <w:sz w:val="14"/>
              </w:rPr>
              <w:t>-7</w:t>
            </w:r>
          </w:p>
        </w:tc>
      </w:tr>
      <w:tr>
        <w:trPr>
          <w:trHeight w:val="147" w:hRule="atLeast"/>
        </w:trPr>
        <w:tc>
          <w:tcPr>
            <w:tcW w:w="903" w:type="dxa"/>
          </w:tcPr>
          <w:p>
            <w:pPr>
              <w:pStyle w:val="TableParagraph"/>
              <w:spacing w:line="128" w:lineRule="exact"/>
              <w:ind w:left="50"/>
              <w:rPr>
                <w:sz w:val="14"/>
              </w:rPr>
            </w:pPr>
            <w:r>
              <w:rPr>
                <w:sz w:val="14"/>
              </w:rPr>
              <w:t>Manpower</w:t>
            </w:r>
          </w:p>
        </w:tc>
        <w:tc>
          <w:tcPr>
            <w:tcW w:w="638" w:type="dxa"/>
          </w:tcPr>
          <w:p>
            <w:pPr>
              <w:pStyle w:val="TableParagraph"/>
              <w:spacing w:line="128" w:lineRule="exact"/>
              <w:ind w:left="230" w:right="134"/>
              <w:jc w:val="center"/>
              <w:rPr>
                <w:sz w:val="14"/>
              </w:rPr>
            </w:pPr>
            <w:r>
              <w:rPr>
                <w:sz w:val="14"/>
              </w:rPr>
              <w:t>14</w:t>
            </w:r>
          </w:p>
        </w:tc>
        <w:tc>
          <w:tcPr>
            <w:tcW w:w="504" w:type="dxa"/>
          </w:tcPr>
          <w:p>
            <w:pPr>
              <w:pStyle w:val="TableParagraph"/>
              <w:spacing w:line="128" w:lineRule="exact"/>
              <w:ind w:right="114"/>
              <w:jc w:val="right"/>
              <w:rPr>
                <w:sz w:val="14"/>
              </w:rPr>
            </w:pPr>
            <w:r>
              <w:rPr>
                <w:sz w:val="14"/>
              </w:rPr>
              <w:t>5</w:t>
            </w:r>
          </w:p>
        </w:tc>
        <w:tc>
          <w:tcPr>
            <w:tcW w:w="399" w:type="dxa"/>
          </w:tcPr>
          <w:p>
            <w:pPr>
              <w:pStyle w:val="TableParagraph"/>
              <w:spacing w:line="128" w:lineRule="exact"/>
              <w:ind w:right="93"/>
              <w:jc w:val="right"/>
              <w:rPr>
                <w:sz w:val="14"/>
              </w:rPr>
            </w:pPr>
            <w:r>
              <w:rPr>
                <w:sz w:val="14"/>
              </w:rPr>
              <w:t>9</w:t>
            </w:r>
          </w:p>
        </w:tc>
        <w:tc>
          <w:tcPr>
            <w:tcW w:w="394" w:type="dxa"/>
          </w:tcPr>
          <w:p>
            <w:pPr>
              <w:pStyle w:val="TableParagraph"/>
              <w:spacing w:line="128" w:lineRule="exact"/>
              <w:ind w:left="80" w:right="42"/>
              <w:jc w:val="center"/>
              <w:rPr>
                <w:sz w:val="14"/>
              </w:rPr>
            </w:pPr>
            <w:r>
              <w:rPr>
                <w:sz w:val="14"/>
              </w:rPr>
              <w:t>14</w:t>
            </w:r>
          </w:p>
        </w:tc>
        <w:tc>
          <w:tcPr>
            <w:tcW w:w="389" w:type="dxa"/>
          </w:tcPr>
          <w:p>
            <w:pPr>
              <w:pStyle w:val="TableParagraph"/>
              <w:spacing w:line="128" w:lineRule="exact"/>
              <w:ind w:left="95" w:right="20"/>
              <w:jc w:val="center"/>
              <w:rPr>
                <w:sz w:val="14"/>
              </w:rPr>
            </w:pPr>
            <w:r>
              <w:rPr>
                <w:sz w:val="14"/>
              </w:rPr>
              <w:t>12</w:t>
            </w:r>
          </w:p>
        </w:tc>
        <w:tc>
          <w:tcPr>
            <w:tcW w:w="384" w:type="dxa"/>
          </w:tcPr>
          <w:p>
            <w:pPr>
              <w:pStyle w:val="TableParagraph"/>
              <w:spacing w:line="128" w:lineRule="exact"/>
              <w:ind w:left="143"/>
              <w:rPr>
                <w:sz w:val="14"/>
              </w:rPr>
            </w:pPr>
            <w:r>
              <w:rPr>
                <w:sz w:val="14"/>
              </w:rPr>
              <w:t>13</w:t>
            </w:r>
          </w:p>
        </w:tc>
        <w:tc>
          <w:tcPr>
            <w:tcW w:w="397" w:type="dxa"/>
          </w:tcPr>
          <w:p>
            <w:pPr>
              <w:pStyle w:val="TableParagraph"/>
              <w:spacing w:line="128" w:lineRule="exact"/>
              <w:ind w:left="159"/>
              <w:rPr>
                <w:sz w:val="14"/>
              </w:rPr>
            </w:pPr>
            <w:r>
              <w:rPr>
                <w:sz w:val="14"/>
              </w:rPr>
              <w:t>11</w:t>
            </w:r>
          </w:p>
        </w:tc>
        <w:tc>
          <w:tcPr>
            <w:tcW w:w="294" w:type="dxa"/>
          </w:tcPr>
          <w:p>
            <w:pPr>
              <w:pStyle w:val="TableParagraph"/>
              <w:spacing w:line="128" w:lineRule="exact"/>
              <w:ind w:right="39"/>
              <w:jc w:val="right"/>
              <w:rPr>
                <w:sz w:val="14"/>
              </w:rPr>
            </w:pPr>
            <w:r>
              <w:rPr>
                <w:sz w:val="14"/>
              </w:rPr>
              <w:t>14</w:t>
            </w:r>
          </w:p>
        </w:tc>
      </w:tr>
    </w:tbl>
    <w:p>
      <w:pPr>
        <w:pStyle w:val="ListParagraph"/>
        <w:numPr>
          <w:ilvl w:val="0"/>
          <w:numId w:val="27"/>
        </w:numPr>
        <w:tabs>
          <w:tab w:pos="410" w:val="left" w:leader="none"/>
        </w:tabs>
        <w:spacing w:line="129" w:lineRule="exact" w:before="106" w:after="0"/>
        <w:ind w:left="409" w:right="0" w:hanging="241"/>
        <w:jc w:val="left"/>
        <w:rPr>
          <w:sz w:val="12"/>
        </w:rPr>
      </w:pPr>
      <w:r>
        <w:rPr>
          <w:sz w:val="12"/>
        </w:rPr>
        <w:t>Seasonally adjusted by the</w:t>
      </w:r>
      <w:r>
        <w:rPr>
          <w:spacing w:val="-6"/>
          <w:sz w:val="12"/>
        </w:rPr>
        <w:t> </w:t>
      </w:r>
      <w:r>
        <w:rPr>
          <w:sz w:val="12"/>
        </w:rPr>
        <w:t>Bank.</w:t>
      </w:r>
    </w:p>
    <w:p>
      <w:pPr>
        <w:pStyle w:val="ListParagraph"/>
        <w:numPr>
          <w:ilvl w:val="0"/>
          <w:numId w:val="27"/>
        </w:numPr>
        <w:tabs>
          <w:tab w:pos="410" w:val="left" w:leader="none"/>
        </w:tabs>
        <w:spacing w:line="120" w:lineRule="exact" w:before="0" w:after="0"/>
        <w:ind w:left="409" w:right="0" w:hanging="241"/>
        <w:jc w:val="left"/>
        <w:rPr>
          <w:sz w:val="12"/>
        </w:rPr>
      </w:pPr>
      <w:r>
        <w:rPr>
          <w:sz w:val="12"/>
        </w:rPr>
        <w:t>Next three months for all series except for CBI; next four months for</w:t>
      </w:r>
      <w:r>
        <w:rPr>
          <w:spacing w:val="-5"/>
          <w:sz w:val="12"/>
        </w:rPr>
        <w:t> </w:t>
      </w:r>
      <w:r>
        <w:rPr>
          <w:sz w:val="12"/>
        </w:rPr>
        <w:t>CBI.</w:t>
      </w:r>
    </w:p>
    <w:p>
      <w:pPr>
        <w:pStyle w:val="ListParagraph"/>
        <w:numPr>
          <w:ilvl w:val="0"/>
          <w:numId w:val="27"/>
        </w:numPr>
        <w:tabs>
          <w:tab w:pos="410" w:val="left" w:leader="none"/>
        </w:tabs>
        <w:spacing w:line="208" w:lineRule="auto" w:before="6" w:after="0"/>
        <w:ind w:left="409" w:right="407" w:hanging="240"/>
        <w:jc w:val="left"/>
        <w:rPr>
          <w:sz w:val="12"/>
        </w:rPr>
      </w:pPr>
      <w:r>
        <w:rPr>
          <w:sz w:val="12"/>
        </w:rPr>
        <w:t>CBI from 1972; Manpower from 1981 (whole economy) or 1988 (sectoral); BCC from 1989; CBI/Deloitte &amp; </w:t>
      </w:r>
      <w:r>
        <w:rPr>
          <w:spacing w:val="-3"/>
          <w:sz w:val="12"/>
        </w:rPr>
        <w:t>Touche </w:t>
      </w:r>
      <w:r>
        <w:rPr>
          <w:sz w:val="12"/>
        </w:rPr>
        <w:t>from 1998</w:t>
      </w:r>
      <w:r>
        <w:rPr>
          <w:spacing w:val="-12"/>
          <w:sz w:val="12"/>
        </w:rPr>
        <w:t> </w:t>
      </w:r>
      <w:r>
        <w:rPr>
          <w:sz w:val="12"/>
        </w:rPr>
        <w:t>Q4.</w:t>
      </w:r>
    </w:p>
    <w:p>
      <w:pPr>
        <w:pStyle w:val="ListParagraph"/>
        <w:numPr>
          <w:ilvl w:val="0"/>
          <w:numId w:val="27"/>
        </w:numPr>
        <w:tabs>
          <w:tab w:pos="410" w:val="left" w:leader="none"/>
        </w:tabs>
        <w:spacing w:line="123" w:lineRule="exact" w:before="0" w:after="0"/>
        <w:ind w:left="409" w:right="0" w:hanging="241"/>
        <w:jc w:val="left"/>
        <w:rPr>
          <w:sz w:val="12"/>
        </w:rPr>
      </w:pPr>
      <w:r>
        <w:rPr>
          <w:sz w:val="12"/>
        </w:rPr>
        <w:t>Unweighted</w:t>
      </w:r>
      <w:r>
        <w:rPr>
          <w:spacing w:val="-6"/>
          <w:sz w:val="12"/>
        </w:rPr>
        <w:t> </w:t>
      </w:r>
      <w:r>
        <w:rPr>
          <w:sz w:val="12"/>
        </w:rPr>
        <w:t>average</w:t>
      </w:r>
      <w:r>
        <w:rPr>
          <w:spacing w:val="-5"/>
          <w:sz w:val="12"/>
        </w:rPr>
        <w:t> </w:t>
      </w:r>
      <w:r>
        <w:rPr>
          <w:sz w:val="12"/>
        </w:rPr>
        <w:t>of</w:t>
      </w:r>
      <w:r>
        <w:rPr>
          <w:spacing w:val="-6"/>
          <w:sz w:val="12"/>
        </w:rPr>
        <w:t> </w:t>
      </w:r>
      <w:r>
        <w:rPr>
          <w:sz w:val="12"/>
        </w:rPr>
        <w:t>consumer</w:t>
      </w:r>
      <w:r>
        <w:rPr>
          <w:spacing w:val="-5"/>
          <w:sz w:val="12"/>
        </w:rPr>
        <w:t> </w:t>
      </w:r>
      <w:r>
        <w:rPr>
          <w:sz w:val="12"/>
        </w:rPr>
        <w:t>services,</w:t>
      </w:r>
      <w:r>
        <w:rPr>
          <w:spacing w:val="-5"/>
          <w:sz w:val="12"/>
        </w:rPr>
        <w:t> </w:t>
      </w:r>
      <w:r>
        <w:rPr>
          <w:sz w:val="12"/>
        </w:rPr>
        <w:t>and</w:t>
      </w:r>
      <w:r>
        <w:rPr>
          <w:spacing w:val="-5"/>
          <w:sz w:val="12"/>
        </w:rPr>
        <w:t> </w:t>
      </w:r>
      <w:r>
        <w:rPr>
          <w:sz w:val="12"/>
        </w:rPr>
        <w:t>business</w:t>
      </w:r>
      <w:r>
        <w:rPr>
          <w:spacing w:val="-5"/>
          <w:sz w:val="12"/>
        </w:rPr>
        <w:t> </w:t>
      </w:r>
      <w:r>
        <w:rPr>
          <w:sz w:val="12"/>
        </w:rPr>
        <w:t>and</w:t>
      </w:r>
      <w:r>
        <w:rPr>
          <w:spacing w:val="-6"/>
          <w:sz w:val="12"/>
        </w:rPr>
        <w:t> </w:t>
      </w:r>
      <w:r>
        <w:rPr>
          <w:sz w:val="12"/>
        </w:rPr>
        <w:t>professional</w:t>
      </w:r>
      <w:r>
        <w:rPr>
          <w:spacing w:val="-5"/>
          <w:sz w:val="12"/>
        </w:rPr>
        <w:t> </w:t>
      </w:r>
      <w:r>
        <w:rPr>
          <w:sz w:val="12"/>
        </w:rPr>
        <w:t>services.</w:t>
      </w:r>
    </w:p>
    <w:p>
      <w:pPr>
        <w:pStyle w:val="BodyText"/>
        <w:spacing w:line="242" w:lineRule="auto" w:before="5"/>
        <w:ind w:left="169" w:right="321"/>
      </w:pPr>
      <w:r>
        <w:rPr/>
        <w:br w:type="column"/>
      </w:r>
      <w:r>
        <w:rPr/>
        <w:t>suggest continued strong employment growth, particularly in the service sector (see Table 3.A). The outlook for manufacturing employment appears little changed.</w:t>
      </w:r>
    </w:p>
    <w:p>
      <w:pPr>
        <w:pStyle w:val="BodyText"/>
        <w:rPr>
          <w:sz w:val="26"/>
        </w:rPr>
      </w:pPr>
    </w:p>
    <w:p>
      <w:pPr>
        <w:pStyle w:val="BodyText"/>
        <w:rPr>
          <w:sz w:val="26"/>
        </w:rPr>
      </w:pPr>
    </w:p>
    <w:p>
      <w:pPr>
        <w:pStyle w:val="BodyText"/>
        <w:spacing w:before="10"/>
      </w:pPr>
    </w:p>
    <w:p>
      <w:pPr>
        <w:pStyle w:val="BodyText"/>
        <w:spacing w:line="242" w:lineRule="auto" w:before="1"/>
        <w:ind w:left="169" w:right="146"/>
      </w:pPr>
      <w:r>
        <w:rPr/>
        <w:t>people who are currently unemployed can potentially satisfy employers’ demand for labour, they act as a restraining influence on the pay negotiations of people in work. Second, the pay claims of people in employment may take account of the expected costs of a potential spell of unemployment. These costs tend to rise as the unemployment rate increases, because it then becomes</w:t>
      </w:r>
    </w:p>
    <w:p>
      <w:pPr>
        <w:spacing w:after="0" w:line="242" w:lineRule="auto"/>
        <w:sectPr>
          <w:type w:val="continuous"/>
          <w:pgSz w:w="11900" w:h="16840"/>
          <w:pgMar w:top="1260" w:bottom="280" w:left="640" w:right="640"/>
          <w:cols w:num="2" w:equalWidth="0">
            <w:col w:w="4485" w:space="315"/>
            <w:col w:w="5820"/>
          </w:cols>
        </w:sectPr>
      </w:pPr>
    </w:p>
    <w:p>
      <w:pPr>
        <w:pStyle w:val="BodyText"/>
        <w:rPr>
          <w:sz w:val="20"/>
        </w:rPr>
      </w:pPr>
    </w:p>
    <w:p>
      <w:pPr>
        <w:pStyle w:val="BodyText"/>
        <w:spacing w:line="242" w:lineRule="auto" w:before="219"/>
        <w:ind w:left="4976" w:right="163"/>
        <w:jc w:val="both"/>
      </w:pPr>
      <w:r>
        <w:rPr/>
        <w:t>more difficult to obtain another job. Both effects suggest that a lower unemployment rate is likely to be associated with stronger pay pressures.</w:t>
      </w:r>
    </w:p>
    <w:p>
      <w:pPr>
        <w:pStyle w:val="BodyText"/>
        <w:spacing w:before="1"/>
        <w:rPr>
          <w:sz w:val="15"/>
        </w:rPr>
      </w:pPr>
    </w:p>
    <w:p>
      <w:pPr>
        <w:spacing w:after="0"/>
        <w:rPr>
          <w:sz w:val="15"/>
        </w:rPr>
        <w:sectPr>
          <w:pgSz w:w="11900" w:h="16840"/>
          <w:pgMar w:header="601" w:footer="612" w:top="800" w:bottom="800" w:left="640" w:right="640"/>
        </w:sectPr>
      </w:pPr>
    </w:p>
    <w:p>
      <w:pPr>
        <w:pStyle w:val="BodyText"/>
        <w:rPr>
          <w:sz w:val="22"/>
        </w:rPr>
      </w:pPr>
    </w:p>
    <w:p>
      <w:pPr>
        <w:pStyle w:val="BodyText"/>
        <w:rPr>
          <w:sz w:val="22"/>
        </w:rPr>
      </w:pPr>
    </w:p>
    <w:p>
      <w:pPr>
        <w:pStyle w:val="BodyText"/>
        <w:spacing w:before="9"/>
      </w:pPr>
    </w:p>
    <w:p>
      <w:pPr>
        <w:spacing w:line="249" w:lineRule="auto" w:before="0"/>
        <w:ind w:left="180" w:right="20" w:firstLine="0"/>
        <w:jc w:val="left"/>
        <w:rPr>
          <w:b/>
          <w:sz w:val="20"/>
        </w:rPr>
      </w:pPr>
      <w:r>
        <w:rPr>
          <w:b/>
          <w:color w:val="0092C7"/>
          <w:sz w:val="20"/>
        </w:rPr>
        <w:t>Chart 3.5 Unemployment rates</w:t>
      </w:r>
    </w:p>
    <w:p>
      <w:pPr>
        <w:pStyle w:val="BodyText"/>
        <w:rPr>
          <w:b/>
          <w:sz w:val="20"/>
        </w:rPr>
      </w:pPr>
      <w:r>
        <w:rPr/>
        <w:br w:type="column"/>
      </w:r>
      <w:r>
        <w:rPr>
          <w:b/>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1"/>
        </w:rPr>
      </w:pPr>
    </w:p>
    <w:p>
      <w:pPr>
        <w:spacing w:before="0"/>
        <w:ind w:left="180" w:right="0" w:firstLine="0"/>
        <w:jc w:val="left"/>
        <w:rPr>
          <w:sz w:val="12"/>
        </w:rPr>
      </w:pPr>
      <w:r>
        <w:rPr/>
        <w:pict>
          <v:group style="position:absolute;margin-left:42.429001pt;margin-top:7.668579pt;width:159.2pt;height:134.4pt;mso-position-horizontal-relative:page;mso-position-vertical-relative:paragraph;z-index:-22644224" coordorigin="849,153" coordsize="3184,2688">
            <v:line style="position:absolute" from="1080,193" to="1243,383" stroked="true" strokeweight="1pt" strokecolor="#0099d9">
              <v:stroke dashstyle="solid"/>
            </v:line>
            <v:line style="position:absolute" from="1233,385" to="1430,385" stroked="true" strokeweight="1.125pt" strokecolor="#0099d9">
              <v:stroke dashstyle="solid"/>
            </v:line>
            <v:shape style="position:absolute;left:1420;top:383;width:1553;height:1405" coordorigin="1420,383" coordsize="1553,1405" path="m1420,383l1585,538m1585,538l1760,1181m1760,1181l1938,1651m1938,1651l2103,1788m2103,1788l2280,1303m2280,1303l2455,833m2455,833l2468,851m2468,851l2480,833m2480,833l2495,801m2495,801l2508,803m2508,801l2520,766m2520,766l2533,696m2533,696l2558,661m2558,661l2570,608m2570,608l2583,573m2583,573l2595,608m2595,608l2608,611m2608,608l2620,643m2620,643l2633,661m2633,661l2645,663m2645,661l2670,696m2670,696l2683,698m2683,696l2695,698m2695,696l2708,698m2708,696l2720,698m2720,696l2733,698m2733,696l2748,766m2748,766l2760,801m2760,801l2785,851m2785,851l2798,853m2798,851l2823,921m2823,921l2835,923m2835,921l2848,991m2848,991l2860,1026m2860,1026l2885,1078m2885,1078l2898,1111m2898,1111l2910,1146m2910,1146l2923,1148m2923,1146l2935,1148m2935,1146l2948,1148m2948,1146l2973,1216e" filled="false" stroked="true" strokeweight="1pt" strokecolor="#0099d9">
              <v:path arrowok="t"/>
              <v:stroke dashstyle="solid"/>
            </v:shape>
            <v:line style="position:absolute" from="2963,1217" to="3010,1217" stroked="true" strokeweight="1.125pt" strokecolor="#0099d9">
              <v:stroke dashstyle="solid"/>
            </v:line>
            <v:shape style="position:absolute;left:3000;top:1215;width:870;height:1078" coordorigin="3000,1216" coordsize="870,1078" path="m3000,1216l3013,1218m3013,1216l3025,1218m3025,1216l3038,1233m3038,1233l3050,1236m3050,1233l3063,1303m3063,1303l3088,1306m3088,1303l3100,1306m3100,1303l3113,1338m3113,1338l3125,1341m3125,1338l3138,1341m3138,1338l3150,1341m3150,1338l3163,1373m3163,1373l3175,1406m3175,1406l3200,1408m3200,1406l3213,1408m3213,1406l3228,1423m3228,1423l3240,1458m3240,1458l3265,1598m3265,1598l3278,1651m3278,1651l3290,1683m3290,1683l3315,1686m3315,1683l3328,1686m3328,1683l3340,1651m3340,1651l3353,1718m3353,1718l3365,1806m3365,1806l3390,1876m3390,1876l3415,1878m3415,1876l3428,1946m3428,1946l3440,1948m3440,1946l3453,1948m3453,1946l3468,1978m3468,1978l3480,1981m3480,1978l3493,1981m3493,1978l3518,1981m3518,1978l3530,1981m3530,1978l3543,1981m3543,1978l3555,1981m3555,1978l3568,1996m3568,1996l3580,1998m3580,1996l3593,1978m3593,1978l3605,1981m3605,1978l3630,1996m3630,1996l3643,1998m3643,1996l3680,2101m3680,2101l3693,2103m3693,2101l3708,2103m3708,2101l3733,2103m3733,2101l3745,2103m3745,2101l3758,2103m3758,2101l3770,2103m3770,2101l3783,2136m3783,2136l3795,2138m3795,2136l3808,2171m3808,2171l3833,2188m3833,2188l3845,2223m3845,2223l3858,2291m3858,2291l3870,2293e" filled="false" stroked="true" strokeweight="1pt" strokecolor="#0099d9">
              <v:path arrowok="t"/>
              <v:stroke dashstyle="solid"/>
            </v:shape>
            <v:shape style="position:absolute;left:1015;top:538;width:253;height:158" coordorigin="1015,538" coordsize="253,158" path="m1015,696l1028,661m1028,661l1040,663m1040,661l1055,663m1055,661l1080,663m1080,661l1093,663m1093,661l1105,643m1105,643l1118,646m1118,643l1130,573m1130,573l1143,576m1143,573l1155,576m1155,573l1168,538m1168,538l1193,608m1193,608l1205,573m1205,573l1218,576m1218,573l1230,576m1230,573l1243,538m1243,538l1255,573m1255,573l1268,576e" filled="false" stroked="true" strokeweight="1pt" strokecolor="#972140">
              <v:path arrowok="t"/>
              <v:stroke dashstyle="solid"/>
            </v:shape>
            <v:line style="position:absolute" from="1258,575" to="1305,575" stroked="true" strokeweight="1.125pt" strokecolor="#972140">
              <v:stroke dashstyle="solid"/>
            </v:line>
            <v:shape style="position:absolute;left:1295;top:470;width:920;height:1785" coordorigin="1295,471" coordsize="920,1785" path="m1295,573l1308,538m1308,538l1320,541m1320,538l1333,541m1333,538l1345,506m1345,506l1358,508m1358,506l1370,508m1370,506l1383,471m1383,471l1408,473m1408,471l1420,473m1420,471l1433,473m1433,471l1445,473m1445,471l1458,473m1458,471l1470,473m1470,471l1483,506m1483,506l1508,508m1508,506l1520,538m1520,538l1535,573m1535,573l1548,643m1548,643l1560,661m1560,661l1573,696m1573,696l1585,766m1585,766l1598,801m1598,801l1623,851m1623,851l1635,921m1635,921l1648,956m1648,956l1660,1026m1660,1026l1673,1078m1673,1078l1685,1111m1685,1111l1710,1216m1710,1216l1723,1233m1723,1233l1735,1303m1735,1303l1748,1338m1748,1338l1760,1406m1760,1406l1775,1423m1775,1423l1800,1563m1800,1563l1825,1566m1825,1563l1838,1616m1838,1616l1850,1651m1850,1651l1863,1753m1863,1753l1875,1788m1875,1788l1888,1841m1888,1841l1900,1911m1900,1911l1913,1978m1913,1978l1938,1996m1938,1996l1950,2031m1950,2031l1963,2033m1963,2031l1975,2101m1975,2101l1988,2103m1988,2101l2000,2136m2000,2136l2015,2171m2015,2171l2040,2173m2040,2171l2053,2188m2053,2188l2065,2191m2065,2188l2078,2223m2078,2223l2090,2226m2090,2223l2103,2256m2103,2256l2115,2223m2115,2223l2153,2171m2153,2171l2165,2136m2165,2136l2190,1996m2190,1996l2203,1946m2203,1946l2215,1911e" filled="false" stroked="true" strokeweight="1pt" strokecolor="#972140">
              <v:path arrowok="t"/>
              <v:stroke dashstyle="solid"/>
            </v:shape>
            <v:line style="position:absolute" from="2221,1778" to="2221,1921" stroked="true" strokeweight="1.625pt" strokecolor="#972140">
              <v:stroke dashstyle="solid"/>
            </v:line>
            <v:shape style="position:absolute;left:2227;top:1528;width:53;height:260" coordorigin="2228,1528" coordsize="53,260" path="m2228,1788l2255,1651m2255,1651l2268,1598m2268,1598l2280,1528e" filled="false" stroked="true" strokeweight="1pt" strokecolor="#972140">
              <v:path arrowok="t"/>
              <v:stroke dashstyle="solid"/>
            </v:shape>
            <v:line style="position:absolute" from="2286,1413" to="2286,1538" stroked="true" strokeweight="1.625pt" strokecolor="#972140">
              <v:stroke dashstyle="solid"/>
            </v:line>
            <v:shape style="position:absolute;left:2292;top:660;width:605;height:763" coordorigin="2293,661" coordsize="605,763" path="m2293,1423l2305,1373m2305,1373l2318,1303m2318,1303l2330,1268m2330,1268l2355,1233m2355,1233l2368,1181m2368,1181l2393,1111m2393,1111l2405,1043m2405,1043l2418,1026m2418,1026l2430,991m2430,991l2455,956m2455,956l2468,958m2468,956l2480,921m2480,921l2495,851m2495,851l2508,833m2508,833l2520,801m2520,801l2533,766m2533,766l2558,661m2558,661l2570,663m2570,661l2583,663m2583,661l2595,696m2595,696l2608,698m2608,696l2620,698m2620,696l2633,698m2633,696l2645,731m2645,731l2670,733m2670,731l2695,801m2695,801l2708,833m2708,833l2720,851m2720,851l2733,853m2733,851l2748,886m2748,886l2760,888m2760,886l2810,1026m2810,1026l2823,1043m2823,1043l2835,1078m2835,1078l2848,1111m2848,1111l2860,1181m2860,1181l2898,1233e" filled="false" stroked="true" strokeweight="1pt" strokecolor="#972140">
              <v:path arrowok="t"/>
              <v:stroke dashstyle="solid"/>
            </v:shape>
            <v:line style="position:absolute" from="2904,1223" to="2904,1348" stroked="true" strokeweight="1.625pt" strokecolor="#972140">
              <v:stroke dashstyle="solid"/>
            </v:line>
            <v:shape style="position:absolute;left:2910;top:1338;width:963;height:1493" coordorigin="2910,1338" coordsize="963,1493" path="m2910,1338l2923,1373m2923,1373l2935,1406m2935,1406l2948,1408m2948,1406l2960,1423m2960,1423l2973,1426m2973,1423l3000,1458m3000,1458l3013,1461m3013,1458l3025,1493m3025,1493l3038,1496m3038,1493l3050,1496m3050,1493l3063,1528m3063,1528l3088,1563m3088,1563l3100,1528m3100,1528l3125,1598m3125,1598l3138,1601m3138,1598l3150,1616m3150,1616l3163,1651m3163,1651l3175,1683m3175,1683l3200,1718m3200,1718l3213,1788m3213,1788l3228,1876m3228,1876l3240,1911m3240,1911l3253,1978m3253,1978l3265,2031m3265,2031l3278,2101m3278,2101l3290,2136m3290,2136l3315,2188m3315,2188l3328,2223m3328,2223l3340,2256m3340,2256l3378,2361m3378,2361l3415,2413m3415,2413l3428,2416m3428,2413l3453,2483m3453,2483l3468,2486m3468,2483l3480,2486m3480,2483l3493,2486m3493,2483l3518,2518m3518,2518l3530,2521m3530,2518l3543,2521m3543,2518l3555,2521m3555,2518l3568,2521m3568,2518l3580,2521m3580,2518l3593,2551m3593,2551l3605,2553m3605,2551l3630,2553m3630,2551l3643,2568m3643,2568l3655,2571m3655,2568l3680,2638m3680,2638l3693,2641m3693,2638l3708,2641m3708,2638l3733,2673m3733,2673l3745,2676m3745,2673l3758,2708m3758,2708l3770,2711m3770,2708l3783,2711m3783,2708l3795,2743m3795,2743l3808,2761m3808,2761l3833,2763m3833,2761l3845,2763m3845,2761l3858,2796m3858,2796l3870,2828m3870,2828l3873,2831e" filled="false" stroked="true" strokeweight="1pt" strokecolor="#972140">
              <v:path arrowok="t"/>
              <v:stroke dashstyle="solid"/>
            </v:shape>
            <v:shape style="position:absolute;left:848;top:158;width:3184;height:2547" coordorigin="849,158" coordsize="3184,2547" path="m849,477l935,477m849,795l935,795m849,1113l935,1113m849,1432l935,1432m849,1750l935,1750m849,2068l935,2068m849,2387l935,2387m849,2705l935,2705m849,158l935,158m3946,475l4033,475m3946,793l4033,793m3946,1112l4033,1112m3946,1430l4033,1430m3946,1748l4033,1748m3946,2067l4033,2067m3946,2385l4033,2385m3946,2703l4033,2703e" filled="false" stroked="true" strokeweight=".5pt" strokecolor="#000000">
              <v:path arrowok="t"/>
              <v:stroke dashstyle="solid"/>
            </v:shape>
            <v:shape style="position:absolute;left:1722;top:797;width:390;height:133" type="#_x0000_t202" filled="false" stroked="false">
              <v:textbox inset="0,0,0,0">
                <w:txbxContent>
                  <w:p>
                    <w:pPr>
                      <w:spacing w:line="133" w:lineRule="exact" w:before="0"/>
                      <w:ind w:left="0" w:right="0" w:firstLine="0"/>
                      <w:jc w:val="left"/>
                      <w:rPr>
                        <w:sz w:val="12"/>
                      </w:rPr>
                    </w:pPr>
                    <w:r>
                      <w:rPr>
                        <w:sz w:val="12"/>
                      </w:rPr>
                      <w:t>LFS (a)</w:t>
                    </w:r>
                  </w:p>
                </w:txbxContent>
              </v:textbox>
              <w10:wrap type="none"/>
            </v:shape>
            <v:shape style="position:absolute;left:2223;top:2049;width:757;height:134" type="#_x0000_t202" filled="false" stroked="false">
              <v:textbox inset="0,0,0,0">
                <w:txbxContent>
                  <w:p>
                    <w:pPr>
                      <w:spacing w:line="133" w:lineRule="exact" w:before="0"/>
                      <w:ind w:left="0" w:right="0" w:firstLine="0"/>
                      <w:jc w:val="left"/>
                      <w:rPr>
                        <w:sz w:val="12"/>
                      </w:rPr>
                    </w:pPr>
                    <w:r>
                      <w:rPr>
                        <w:sz w:val="12"/>
                      </w:rPr>
                      <w:t>Claimant count</w:t>
                    </w:r>
                  </w:p>
                </w:txbxContent>
              </v:textbox>
              <w10:wrap type="none"/>
            </v:shape>
            <w10:wrap type="none"/>
          </v:group>
        </w:pict>
      </w:r>
      <w:r>
        <w:rPr>
          <w:sz w:val="12"/>
        </w:rPr>
        <w:t>Per ce</w:t>
      </w:r>
      <w:r>
        <w:rPr>
          <w:sz w:val="12"/>
          <w:u w:val="single"/>
        </w:rPr>
        <w:t>n</w:t>
      </w:r>
      <w:r>
        <w:rPr>
          <w:sz w:val="12"/>
        </w:rPr>
        <w:t>t </w:t>
      </w:r>
      <w:r>
        <w:rPr>
          <w:position w:val="-7"/>
          <w:sz w:val="12"/>
        </w:rPr>
        <w:t>12</w:t>
      </w:r>
    </w:p>
    <w:p>
      <w:pPr>
        <w:pStyle w:val="BodyText"/>
        <w:spacing w:before="9"/>
        <w:rPr>
          <w:sz w:val="15"/>
        </w:rPr>
      </w:pPr>
    </w:p>
    <w:p>
      <w:pPr>
        <w:spacing w:before="0"/>
        <w:ind w:left="0" w:right="38" w:firstLine="0"/>
        <w:jc w:val="right"/>
        <w:rPr>
          <w:sz w:val="12"/>
        </w:rPr>
      </w:pPr>
      <w:r>
        <w:rPr>
          <w:sz w:val="12"/>
        </w:rPr>
        <w:t>11</w:t>
      </w:r>
    </w:p>
    <w:p>
      <w:pPr>
        <w:pStyle w:val="BodyText"/>
        <w:spacing w:before="8"/>
        <w:rPr>
          <w:sz w:val="15"/>
        </w:rPr>
      </w:pPr>
    </w:p>
    <w:p>
      <w:pPr>
        <w:spacing w:before="0"/>
        <w:ind w:left="0" w:right="38" w:firstLine="0"/>
        <w:jc w:val="right"/>
        <w:rPr>
          <w:sz w:val="12"/>
        </w:rPr>
      </w:pPr>
      <w:r>
        <w:rPr>
          <w:sz w:val="12"/>
        </w:rPr>
        <w:t>10</w:t>
      </w:r>
    </w:p>
    <w:p>
      <w:pPr>
        <w:pStyle w:val="BodyText"/>
        <w:spacing w:before="7"/>
        <w:rPr>
          <w:sz w:val="15"/>
        </w:rPr>
      </w:pPr>
    </w:p>
    <w:p>
      <w:pPr>
        <w:spacing w:before="0"/>
        <w:ind w:left="0" w:right="38" w:firstLine="0"/>
        <w:jc w:val="right"/>
        <w:rPr>
          <w:sz w:val="12"/>
        </w:rPr>
      </w:pPr>
      <w:r>
        <w:rPr>
          <w:sz w:val="12"/>
        </w:rPr>
        <w:t>9</w:t>
      </w:r>
    </w:p>
    <w:p>
      <w:pPr>
        <w:pStyle w:val="BodyText"/>
        <w:spacing w:before="8"/>
        <w:rPr>
          <w:sz w:val="15"/>
        </w:rPr>
      </w:pPr>
    </w:p>
    <w:p>
      <w:pPr>
        <w:spacing w:before="0"/>
        <w:ind w:left="0" w:right="38" w:firstLine="0"/>
        <w:jc w:val="right"/>
        <w:rPr>
          <w:sz w:val="12"/>
        </w:rPr>
      </w:pPr>
      <w:r>
        <w:rPr>
          <w:sz w:val="12"/>
        </w:rPr>
        <w:t>8</w:t>
      </w:r>
    </w:p>
    <w:p>
      <w:pPr>
        <w:pStyle w:val="BodyText"/>
        <w:spacing w:before="7"/>
        <w:rPr>
          <w:sz w:val="15"/>
        </w:rPr>
      </w:pPr>
    </w:p>
    <w:p>
      <w:pPr>
        <w:spacing w:before="1"/>
        <w:ind w:left="0" w:right="38" w:firstLine="0"/>
        <w:jc w:val="right"/>
        <w:rPr>
          <w:sz w:val="12"/>
        </w:rPr>
      </w:pPr>
      <w:r>
        <w:rPr>
          <w:sz w:val="12"/>
        </w:rPr>
        <w:t>7</w:t>
      </w:r>
    </w:p>
    <w:p>
      <w:pPr>
        <w:pStyle w:val="BodyText"/>
        <w:spacing w:before="7"/>
        <w:rPr>
          <w:sz w:val="15"/>
        </w:rPr>
      </w:pPr>
    </w:p>
    <w:p>
      <w:pPr>
        <w:spacing w:before="0"/>
        <w:ind w:left="0" w:right="38" w:firstLine="0"/>
        <w:jc w:val="right"/>
        <w:rPr>
          <w:sz w:val="12"/>
        </w:rPr>
      </w:pPr>
      <w:r>
        <w:rPr>
          <w:sz w:val="12"/>
        </w:rPr>
        <w:t>6</w:t>
      </w:r>
    </w:p>
    <w:p>
      <w:pPr>
        <w:pStyle w:val="BodyText"/>
        <w:spacing w:before="8"/>
        <w:rPr>
          <w:sz w:val="15"/>
        </w:rPr>
      </w:pPr>
    </w:p>
    <w:p>
      <w:pPr>
        <w:spacing w:before="0"/>
        <w:ind w:left="0" w:right="38" w:firstLine="0"/>
        <w:jc w:val="right"/>
        <w:rPr>
          <w:sz w:val="12"/>
        </w:rPr>
      </w:pPr>
      <w:r>
        <w:rPr>
          <w:sz w:val="12"/>
        </w:rPr>
        <w:t>5</w:t>
      </w:r>
    </w:p>
    <w:p>
      <w:pPr>
        <w:pStyle w:val="BodyText"/>
        <w:spacing w:before="7"/>
        <w:rPr>
          <w:sz w:val="15"/>
        </w:rPr>
      </w:pPr>
    </w:p>
    <w:p>
      <w:pPr>
        <w:spacing w:before="0"/>
        <w:ind w:left="0" w:right="38" w:firstLine="0"/>
        <w:jc w:val="right"/>
        <w:rPr>
          <w:sz w:val="12"/>
        </w:rPr>
      </w:pPr>
      <w:r>
        <w:rPr>
          <w:sz w:val="12"/>
        </w:rPr>
        <w:t>4</w:t>
      </w:r>
    </w:p>
    <w:p>
      <w:pPr>
        <w:pStyle w:val="BodyText"/>
        <w:spacing w:before="8"/>
        <w:rPr>
          <w:sz w:val="15"/>
        </w:rPr>
      </w:pPr>
    </w:p>
    <w:p>
      <w:pPr>
        <w:spacing w:before="0"/>
        <w:ind w:left="0" w:right="38" w:firstLine="0"/>
        <w:jc w:val="right"/>
        <w:rPr>
          <w:sz w:val="12"/>
        </w:rPr>
      </w:pPr>
      <w:r>
        <w:rPr/>
        <w:pict>
          <v:shape style="position:absolute;margin-left:42.429001pt;margin-top:3.869557pt;width:160.050pt;height:7.1pt;mso-position-horizontal-relative:page;mso-position-vertical-relative:paragraph;z-index:16009216" coordorigin="849,77" coordsize="3201,142" path="m4029,82l4029,108,4009,124,4049,138,4009,158,4049,175,4026,185,4025,216m1020,219l3883,219m1018,152l1018,219m1362,152l1362,219m1706,152l1706,219m2051,152l2051,219m2395,152l2395,219m2740,152l2740,219m3428,152l3428,219m3773,152l3773,219m3084,152l3084,219m849,219l1081,219m3946,77l4033,77m3851,219l4033,219m849,79l935,79m932,82l932,109,912,125,952,139,912,159,952,175,929,185,928,217e" filled="false" stroked="true" strokeweight=".5pt" strokecolor="#000000">
            <v:path arrowok="t"/>
            <v:stroke dashstyle="solid"/>
            <w10:wrap type="none"/>
          </v:shape>
        </w:pict>
      </w:r>
      <w:r>
        <w:rPr>
          <w:sz w:val="12"/>
        </w:rPr>
        <w:t>3</w:t>
      </w:r>
    </w:p>
    <w:p>
      <w:pPr>
        <w:spacing w:line="58" w:lineRule="exact" w:before="3"/>
        <w:ind w:left="0" w:right="38" w:firstLine="0"/>
        <w:jc w:val="right"/>
        <w:rPr>
          <w:sz w:val="12"/>
        </w:rPr>
      </w:pPr>
      <w:r>
        <w:rPr>
          <w:sz w:val="12"/>
        </w:rPr>
        <w:t>0</w:t>
      </w:r>
    </w:p>
    <w:p>
      <w:pPr>
        <w:pStyle w:val="BodyText"/>
        <w:spacing w:line="242" w:lineRule="auto" w:before="90"/>
        <w:ind w:left="180" w:right="366"/>
        <w:jc w:val="both"/>
      </w:pPr>
      <w:r>
        <w:rPr/>
        <w:br w:type="column"/>
      </w:r>
      <w:r>
        <w:rPr/>
        <w:t>The MPC pays particular attention to the LFS measure of unemployment, which records the number of</w:t>
      </w:r>
      <w:r>
        <w:rPr>
          <w:spacing w:val="-42"/>
        </w:rPr>
        <w:t> </w:t>
      </w:r>
      <w:r>
        <w:rPr/>
        <w:t>people who want a job, </w:t>
      </w:r>
      <w:r>
        <w:rPr>
          <w:spacing w:val="-3"/>
        </w:rPr>
        <w:t>have </w:t>
      </w:r>
      <w:r>
        <w:rPr/>
        <w:t>been searching for</w:t>
      </w:r>
      <w:r>
        <w:rPr>
          <w:spacing w:val="-14"/>
        </w:rPr>
        <w:t> </w:t>
      </w:r>
      <w:r>
        <w:rPr/>
        <w:t>work</w:t>
      </w:r>
    </w:p>
    <w:p>
      <w:pPr>
        <w:pStyle w:val="BodyText"/>
        <w:spacing w:line="242" w:lineRule="auto" w:before="4"/>
        <w:ind w:left="180" w:right="273"/>
      </w:pPr>
      <w:r>
        <w:rPr/>
        <w:t>recently and are available to start </w:t>
      </w:r>
      <w:r>
        <w:rPr>
          <w:spacing w:val="-3"/>
        </w:rPr>
        <w:t>shortly. </w:t>
      </w:r>
      <w:r>
        <w:rPr/>
        <w:t>LFS unemployment has fallen sharply in recent months: the drop of 100,000 on the latest three-month comparison</w:t>
      </w:r>
      <w:r>
        <w:rPr>
          <w:spacing w:val="-44"/>
        </w:rPr>
        <w:t> </w:t>
      </w:r>
      <w:r>
        <w:rPr/>
        <w:t>is the largest for nearly three years. These falls, which </w:t>
      </w:r>
      <w:r>
        <w:rPr>
          <w:spacing w:val="-3"/>
        </w:rPr>
        <w:t>have </w:t>
      </w:r>
      <w:r>
        <w:rPr/>
        <w:t>been larger than expected by the MPC, reduced the LFS unemployment rate to 5.3%, the lowest rate recorded since the series began in 1984</w:t>
      </w:r>
      <w:r>
        <w:rPr>
          <w:spacing w:val="-16"/>
        </w:rPr>
        <w:t> </w:t>
      </w:r>
      <w:r>
        <w:rPr/>
        <w:t>(see</w:t>
      </w:r>
    </w:p>
    <w:p>
      <w:pPr>
        <w:pStyle w:val="BodyText"/>
        <w:spacing w:before="9"/>
        <w:ind w:left="180"/>
      </w:pPr>
      <w:r>
        <w:rPr/>
        <w:t>Chart 3.5).</w:t>
      </w:r>
    </w:p>
    <w:p>
      <w:pPr>
        <w:pStyle w:val="BodyText"/>
        <w:spacing w:before="2"/>
        <w:rPr>
          <w:sz w:val="21"/>
        </w:rPr>
      </w:pPr>
    </w:p>
    <w:p>
      <w:pPr>
        <w:pStyle w:val="BodyText"/>
        <w:spacing w:line="242" w:lineRule="auto"/>
        <w:ind w:left="180" w:right="184"/>
      </w:pPr>
      <w:r>
        <w:rPr/>
        <w:t>The claimant count—a measure of unemployment based on the number of people receiving unemployment benefits—has also fallen in recent months. The decline of 57,200 in the three months to September reduced the</w:t>
      </w:r>
    </w:p>
    <w:p>
      <w:pPr>
        <w:spacing w:after="0" w:line="242" w:lineRule="auto"/>
        <w:sectPr>
          <w:type w:val="continuous"/>
          <w:pgSz w:w="11900" w:h="16840"/>
          <w:pgMar w:top="1260" w:bottom="280" w:left="640" w:right="640"/>
          <w:cols w:num="3" w:equalWidth="0">
            <w:col w:w="2003" w:space="819"/>
            <w:col w:w="761" w:space="1214"/>
            <w:col w:w="5823"/>
          </w:cols>
        </w:sectPr>
      </w:pPr>
    </w:p>
    <w:p>
      <w:pPr>
        <w:tabs>
          <w:tab w:pos="1012" w:val="left" w:leader="none"/>
          <w:tab w:pos="1358" w:val="left" w:leader="none"/>
          <w:tab w:pos="1703" w:val="left" w:leader="none"/>
          <w:tab w:pos="2048" w:val="left" w:leader="none"/>
          <w:tab w:pos="2394" w:val="left" w:leader="none"/>
          <w:tab w:pos="2739" w:val="left" w:leader="none"/>
        </w:tabs>
        <w:spacing w:before="38"/>
        <w:ind w:left="247" w:right="0" w:firstLine="0"/>
        <w:jc w:val="left"/>
        <w:rPr>
          <w:sz w:val="12"/>
        </w:rPr>
      </w:pPr>
      <w:r>
        <w:rPr>
          <w:sz w:val="12"/>
        </w:rPr>
        <w:t>1984      86</w:t>
        <w:tab/>
        <w:t>88</w:t>
        <w:tab/>
        <w:t>90</w:t>
        <w:tab/>
        <w:t>92</w:t>
        <w:tab/>
        <w:t>94</w:t>
        <w:tab/>
        <w:t>96</w:t>
        <w:tab/>
        <w:t>98</w:t>
      </w:r>
      <w:r>
        <w:rPr>
          <w:spacing w:val="29"/>
          <w:sz w:val="12"/>
        </w:rPr>
        <w:t> </w:t>
      </w:r>
      <w:r>
        <w:rPr>
          <w:sz w:val="12"/>
        </w:rPr>
        <w:t>2000</w:t>
      </w:r>
    </w:p>
    <w:p>
      <w:pPr>
        <w:pStyle w:val="BodyText"/>
        <w:spacing w:before="7"/>
        <w:rPr>
          <w:sz w:val="15"/>
        </w:rPr>
      </w:pPr>
    </w:p>
    <w:p>
      <w:pPr>
        <w:spacing w:line="208" w:lineRule="auto" w:before="0"/>
        <w:ind w:left="420" w:right="135" w:hanging="240"/>
        <w:jc w:val="left"/>
        <w:rPr>
          <w:sz w:val="12"/>
        </w:rPr>
      </w:pPr>
      <w:r>
        <w:rPr>
          <w:sz w:val="12"/>
        </w:rPr>
        <w:t>(a) Backward-looking three-month moving averages. Annual data before</w:t>
      </w:r>
      <w:r>
        <w:rPr>
          <w:spacing w:val="-2"/>
          <w:sz w:val="12"/>
        </w:rPr>
        <w:t> </w:t>
      </w:r>
      <w:r>
        <w:rPr>
          <w:sz w:val="12"/>
        </w:rPr>
        <w:t>1992.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7"/>
        </w:rPr>
      </w:pPr>
    </w:p>
    <w:p>
      <w:pPr>
        <w:spacing w:before="0"/>
        <w:ind w:left="180" w:right="0" w:firstLine="0"/>
        <w:jc w:val="left"/>
        <w:rPr>
          <w:b/>
          <w:sz w:val="20"/>
        </w:rPr>
      </w:pPr>
      <w:r>
        <w:rPr>
          <w:b/>
          <w:color w:val="0092C7"/>
          <w:sz w:val="20"/>
        </w:rPr>
        <w:t>Chart</w:t>
      </w:r>
      <w:r>
        <w:rPr>
          <w:b/>
          <w:color w:val="0092C7"/>
          <w:spacing w:val="-8"/>
          <w:sz w:val="20"/>
        </w:rPr>
        <w:t> </w:t>
      </w:r>
      <w:r>
        <w:rPr>
          <w:b/>
          <w:color w:val="0092C7"/>
          <w:sz w:val="20"/>
        </w:rPr>
        <w:t>3.6</w:t>
      </w:r>
    </w:p>
    <w:p>
      <w:pPr>
        <w:spacing w:line="249" w:lineRule="auto" w:before="10"/>
        <w:ind w:left="180" w:right="19" w:firstLine="0"/>
        <w:jc w:val="left"/>
        <w:rPr>
          <w:b/>
          <w:sz w:val="20"/>
        </w:rPr>
      </w:pPr>
      <w:r>
        <w:rPr>
          <w:b/>
          <w:color w:val="0092C7"/>
          <w:sz w:val="20"/>
        </w:rPr>
        <w:t>Quarterly changes in LFS unemployment by duration</w:t>
      </w:r>
    </w:p>
    <w:p>
      <w:pPr>
        <w:spacing w:line="113" w:lineRule="exact" w:before="110"/>
        <w:ind w:left="2792" w:right="0" w:firstLine="0"/>
        <w:jc w:val="left"/>
        <w:rPr>
          <w:sz w:val="12"/>
        </w:rPr>
      </w:pPr>
      <w:r>
        <w:rPr>
          <w:sz w:val="12"/>
        </w:rPr>
        <w:t>Thousands</w:t>
      </w:r>
    </w:p>
    <w:p>
      <w:pPr>
        <w:spacing w:line="113" w:lineRule="exact" w:before="0"/>
        <w:ind w:left="3379" w:right="0" w:firstLine="0"/>
        <w:jc w:val="left"/>
        <w:rPr>
          <w:sz w:val="12"/>
        </w:rPr>
      </w:pPr>
      <w:r>
        <w:rPr/>
        <w:pict>
          <v:group style="position:absolute;margin-left:50.497002pt;margin-top:4.49501pt;width:147.15pt;height:126.25pt;mso-position-horizontal-relative:page;mso-position-vertical-relative:paragraph;z-index:16011264" coordorigin="1010,90" coordsize="2943,2525">
            <v:line style="position:absolute" from="3866,1007" to="3953,1007" stroked="true" strokeweight=".5pt" strokecolor="#000000">
              <v:stroke dashstyle="solid"/>
            </v:line>
            <v:shape style="position:absolute;left:3257;top:1006;width:544;height:3" coordorigin="3258,1007" coordsize="544,3" path="m3798,1007l3801,1007m3798,1009l3801,1009m3258,1007l3440,1007m3258,1009l3440,1009m3533,1007l3703,1007m3533,1009l3703,1009e" filled="false" stroked="true" strokeweight=".023pt" strokecolor="#000000">
              <v:path arrowok="t"/>
              <v:stroke dashstyle="solid"/>
            </v:shape>
            <v:shape style="position:absolute;left:1009;top:1004;width:2791;height:5" coordorigin="1010,1004" coordsize="2791,5" path="m3258,1004l3801,1004m1010,1009l1285,1009e" filled="false" stroked="true" strokeweight=".25pt" strokecolor="#000000">
              <v:path arrowok="t"/>
              <v:stroke dashstyle="solid"/>
            </v:shape>
            <v:shape style="position:absolute;left:1377;top:1006;width:180;height:3" coordorigin="1378,1007" coordsize="180,3" path="m1378,1007l1558,1007m1378,1009l1558,1009e" filled="false" stroked="true" strokeweight=".023pt" strokecolor="#000000">
              <v:path arrowok="t"/>
              <v:stroke dashstyle="solid"/>
            </v:shape>
            <v:line style="position:absolute" from="1010,1004" to="1558,1004" stroked="true" strokeweight=".25pt" strokecolor="#000000">
              <v:stroke dashstyle="solid"/>
            </v:line>
            <v:rect style="position:absolute;left:1020;top:1006;width:93;height:178" filled="true" fillcolor="#008360" stroked="false">
              <v:fill type="solid"/>
            </v:rect>
            <v:rect style="position:absolute;left:1020;top:1006;width:93;height:183" filled="false" stroked="true" strokeweight=".5pt" strokecolor="#000000">
              <v:stroke dashstyle="solid"/>
            </v:rect>
            <v:rect style="position:absolute;left:1285;top:1006;width:93;height:293" filled="true" fillcolor="#008360" stroked="false">
              <v:fill type="solid"/>
            </v:rect>
            <v:rect style="position:absolute;left:1285;top:1006;width:93;height:298" filled="false" stroked="true" strokeweight=".5pt" strokecolor="#000000">
              <v:stroke dashstyle="solid"/>
            </v:rect>
            <v:shape style="position:absolute;left:1652;top:1006;width:445;height:3" coordorigin="1653,1007" coordsize="445,3" path="m1653,1007l2098,1007m1653,1009l2098,1009e" filled="false" stroked="true" strokeweight=".023pt" strokecolor="#000000">
              <v:path arrowok="t"/>
              <v:stroke dashstyle="solid"/>
            </v:shape>
            <v:line style="position:absolute" from="1653,1004" to="2098,1004" stroked="true" strokeweight=".25pt" strokecolor="#000000">
              <v:stroke dashstyle="solid"/>
            </v:line>
            <v:rect style="position:absolute;left:1557;top:227;width:95;height:780" filled="true" fillcolor="#008360" stroked="false">
              <v:fill type="solid"/>
            </v:rect>
            <v:rect style="position:absolute;left:1557;top:227;width:95;height:780" filled="false" stroked="true" strokeweight=".5pt" strokecolor="#000000">
              <v:stroke dashstyle="solid"/>
            </v:rect>
            <v:rect style="position:absolute;left:1822;top:1006;width:95;height:31" filled="true" fillcolor="#008360" stroked="false">
              <v:fill type="solid"/>
            </v:rect>
            <v:rect style="position:absolute;left:1822;top:1006;width:95;height:35" filled="false" stroked="true" strokeweight=".5pt" strokecolor="#000000">
              <v:stroke dashstyle="solid"/>
            </v:rect>
            <v:shape style="position:absolute;left:2180;top:1006;width:985;height:3" coordorigin="2180,1007" coordsize="985,3" path="m2180,1007l2363,1007m2180,1009l2363,1009m2455,1007l2635,1007m2455,1009l2635,1009m2720,1007l2900,1007m2995,1007l3165,1007m2720,1009l3165,1009e" filled="false" stroked="true" strokeweight=".023pt" strokecolor="#000000">
              <v:path arrowok="t"/>
              <v:stroke dashstyle="solid"/>
            </v:shape>
            <v:shape style="position:absolute;left:2180;top:1004;width:985;height:2" coordorigin="2180,1004" coordsize="985,0" path="m2180,1004l2900,1004m2995,1004l3165,1004e" filled="false" stroked="true" strokeweight=".25pt" strokecolor="#000000">
              <v:path arrowok="t"/>
              <v:stroke dashstyle="solid"/>
            </v:shape>
            <v:rect style="position:absolute;left:2097;top:557;width:83;height:450" filled="true" fillcolor="#008360" stroked="false">
              <v:fill type="solid"/>
            </v:rect>
            <v:rect style="position:absolute;left:2097;top:557;width:83;height:450" filled="false" stroked="true" strokeweight=".5pt" strokecolor="#000000">
              <v:stroke dashstyle="solid"/>
            </v:rect>
            <v:rect style="position:absolute;left:2362;top:1006;width:93;height:545" filled="true" fillcolor="#008360" stroked="false">
              <v:fill type="solid"/>
            </v:rect>
            <v:rect style="position:absolute;left:2362;top:1006;width:93;height:545" filled="false" stroked="true" strokeweight=".5pt" strokecolor="#000000">
              <v:stroke dashstyle="solid"/>
            </v:rect>
            <v:rect style="position:absolute;left:2635;top:1006;width:85;height:778" filled="true" fillcolor="#008360" stroked="false">
              <v:fill type="solid"/>
            </v:rect>
            <v:rect style="position:absolute;left:2635;top:1006;width:85;height:778" filled="false" stroked="true" strokeweight=".5pt" strokecolor="#000000">
              <v:stroke dashstyle="solid"/>
            </v:rect>
            <v:rect style="position:absolute;left:2900;top:1007;width:95;height:48" filled="true" fillcolor="#008360" stroked="false">
              <v:fill type="solid"/>
            </v:rect>
            <v:rect style="position:absolute;left:2900;top:1004;width:95;height:50" filled="false" stroked="true" strokeweight=".5pt" strokecolor="#000000">
              <v:stroke dashstyle="solid"/>
            </v:rect>
            <v:rect style="position:absolute;left:3165;top:922;width:93;height:85" filled="true" fillcolor="#008360" stroked="false">
              <v:fill type="solid"/>
            </v:rect>
            <v:rect style="position:absolute;left:3165;top:922;width:93;height:85" filled="false" stroked="true" strokeweight=".5pt" strokecolor="#000000">
              <v:stroke dashstyle="solid"/>
            </v:rect>
            <v:rect style="position:absolute;left:3440;top:1006;width:93;height:293" filled="true" fillcolor="#008360" stroked="false">
              <v:fill type="solid"/>
            </v:rect>
            <v:rect style="position:absolute;left:3440;top:1006;width:93;height:298" filled="false" stroked="true" strokeweight=".5pt" strokecolor="#000000">
              <v:stroke dashstyle="solid"/>
            </v:rect>
            <v:rect style="position:absolute;left:3702;top:1006;width:95;height:1438" filled="true" fillcolor="#008360" stroked="false">
              <v:fill type="solid"/>
            </v:rect>
            <v:rect style="position:absolute;left:3702;top:1006;width:95;height:1438" filled="false" stroked="true" strokeweight=".5pt" strokecolor="#000000">
              <v:stroke dashstyle="solid"/>
            </v:rect>
            <v:rect style="position:absolute;left:1020;top:1184;width:93;height:993" filled="true" fillcolor="#b3dabb" stroked="false">
              <v:fill type="solid"/>
            </v:rect>
            <v:rect style="position:absolute;left:1020;top:1184;width:93;height:993" filled="false" stroked="true" strokeweight=".5pt" strokecolor="#000000">
              <v:stroke dashstyle="solid"/>
            </v:rect>
            <v:rect style="position:absolute;left:1285;top:1299;width:93;height:235" filled="true" fillcolor="#b3dabb" stroked="false">
              <v:fill type="solid"/>
            </v:rect>
            <v:rect style="position:absolute;left:1285;top:1299;width:93;height:235" filled="false" stroked="true" strokeweight=".5pt" strokecolor="#000000">
              <v:stroke dashstyle="solid"/>
            </v:rect>
            <v:rect style="position:absolute;left:1557;top:1006;width:95;height:513" filled="true" fillcolor="#b3dabb" stroked="false">
              <v:fill type="solid"/>
            </v:rect>
            <v:rect style="position:absolute;left:1557;top:1006;width:95;height:513" filled="false" stroked="true" strokeweight=".5pt" strokecolor="#000000">
              <v:stroke dashstyle="solid"/>
            </v:rect>
            <v:rect style="position:absolute;left:1822;top:1037;width:95;height:365" filled="true" fillcolor="#b3dabb" stroked="false">
              <v:fill type="solid"/>
            </v:rect>
            <v:rect style="position:absolute;left:1822;top:1037;width:95;height:365" filled="false" stroked="true" strokeweight=".5pt" strokecolor="#000000">
              <v:stroke dashstyle="solid"/>
            </v:rect>
            <v:rect style="position:absolute;left:2097;top:1006;width:83;height:100" filled="true" fillcolor="#b3dabb" stroked="false">
              <v:fill type="solid"/>
            </v:rect>
            <v:rect style="position:absolute;left:2097;top:1006;width:83;height:100" filled="false" stroked="true" strokeweight=".5pt" strokecolor="#000000">
              <v:stroke dashstyle="solid"/>
            </v:rect>
            <v:rect style="position:absolute;left:2362;top:1547;width:93;height:103" filled="true" fillcolor="#b3dabb" stroked="false">
              <v:fill type="solid"/>
            </v:rect>
            <v:rect style="position:absolute;left:2362;top:1547;width:93;height:103" filled="false" stroked="true" strokeweight=".5pt" strokecolor="#000000">
              <v:stroke dashstyle="solid"/>
            </v:rect>
            <v:rect style="position:absolute;left:2635;top:1779;width:85;height:218" filled="true" fillcolor="#b3dabb" stroked="false">
              <v:fill type="solid"/>
            </v:rect>
            <v:rect style="position:absolute;left:2635;top:1779;width:85;height:218" filled="false" stroked="true" strokeweight=".5pt" strokecolor="#000000">
              <v:stroke dashstyle="solid"/>
            </v:rect>
            <v:rect style="position:absolute;left:2900;top:887;width:95;height:120" filled="true" fillcolor="#b3dabb" stroked="false">
              <v:fill type="solid"/>
            </v:rect>
            <v:rect style="position:absolute;left:2900;top:887;width:95;height:120" filled="false" stroked="true" strokeweight=".5pt" strokecolor="#000000">
              <v:stroke dashstyle="solid"/>
            </v:rect>
            <v:rect style="position:absolute;left:3165;top:1006;width:93;height:480" filled="true" fillcolor="#b3dabb" stroked="false">
              <v:fill type="solid"/>
            </v:rect>
            <v:rect style="position:absolute;left:3165;top:1006;width:93;height:480" filled="false" stroked="true" strokeweight=".5pt" strokecolor="#000000">
              <v:stroke dashstyle="solid"/>
            </v:rect>
            <v:rect style="position:absolute;left:3440;top:1299;width:93;height:450" filled="true" fillcolor="#b3dabb" stroked="false">
              <v:fill type="solid"/>
            </v:rect>
            <v:rect style="position:absolute;left:3440;top:1299;width:93;height:450" filled="false" stroked="true" strokeweight=".5pt" strokecolor="#000000">
              <v:stroke dashstyle="solid"/>
            </v:rect>
            <v:rect style="position:absolute;left:3702;top:2439;width:95;height:168" filled="true" fillcolor="#b3dabb" stroked="false">
              <v:fill type="solid"/>
            </v:rect>
            <v:rect style="position:absolute;left:3702;top:2439;width:95;height:168" filled="false" stroked="true" strokeweight=".5pt" strokecolor="#000000">
              <v:stroke dashstyle="solid"/>
            </v:rect>
            <v:shape style="position:absolute;left:1060;top:657;width:2695;height:1948" coordorigin="1060,657" coordsize="2695,1948" path="m1060,2175l1335,1532m1335,1532l1600,740m1600,740l1873,1400m1873,1400l2138,657m2138,657l2413,1647m2413,1647l2678,1995m2678,1995l2940,937m2940,937l3215,1400m3215,1400l3480,1747m3480,1747l3755,2605e" filled="false" stroked="true" strokeweight="1pt" strokecolor="#de0035">
              <v:path arrowok="t"/>
              <v:stroke dashstyle="solid"/>
            </v:shape>
            <v:shape style="position:absolute;left:1610;top:367;width:2343;height:2237" coordorigin="1610,368" coordsize="2343,2237" path="m3866,368l3953,368m3866,687l3953,687m3866,1326l3953,1326m3866,1645l3953,1645m3866,1965l3953,1965m3866,2604l3953,2604m3866,2284l3953,2284m1610,1618l1610,1907e" filled="false" stroked="true" strokeweight=".5pt" strokecolor="#000000">
              <v:path arrowok="t"/>
              <v:stroke dashstyle="solid"/>
            </v:shape>
            <v:shape style="position:absolute;left:1584;top:1550;width:51;height:85" coordorigin="1585,1550" coordsize="51,85" path="m1610,1550l1585,1635,1635,1635,1614,1569,1612,1559,1610,1550xe" filled="true" fillcolor="#000000" stroked="false">
              <v:path arrowok="t"/>
              <v:fill type="solid"/>
            </v:shape>
            <v:line style="position:absolute" from="3468,2017" to="3259,2089" stroked="true" strokeweight=".5pt" strokecolor="#000000">
              <v:stroke dashstyle="solid"/>
            </v:line>
            <v:shape style="position:absolute;left:3444;top:1995;width:89;height:52" coordorigin="3444,1995" coordsize="89,52" path="m3532,1995l3475,2000,3444,1999,3460,2047,3515,2005,3524,1999,3532,1995xe" filled="true" fillcolor="#000000" stroked="false">
              <v:path arrowok="t"/>
              <v:fill type="solid"/>
            </v:shape>
            <v:shape style="position:absolute;left:1671;top:89;width:894;height:254" type="#_x0000_t202" filled="false" stroked="false">
              <v:textbox inset="0,0,0,0">
                <w:txbxContent>
                  <w:p>
                    <w:pPr>
                      <w:spacing w:line="208" w:lineRule="auto" w:before="9"/>
                      <w:ind w:left="60" w:right="0" w:hanging="60"/>
                      <w:jc w:val="left"/>
                      <w:rPr>
                        <w:sz w:val="12"/>
                      </w:rPr>
                    </w:pPr>
                    <w:r>
                      <w:rPr>
                        <w:sz w:val="12"/>
                      </w:rPr>
                      <w:t>Duration less than twelve months</w:t>
                    </w:r>
                  </w:p>
                </w:txbxContent>
              </v:textbox>
              <w10:wrap type="none"/>
            </v:shape>
            <v:shape style="position:absolute;left:1327;top:1903;width:960;height:254" type="#_x0000_t202" filled="false" stroked="false">
              <v:textbox inset="0,0,0,0">
                <w:txbxContent>
                  <w:p>
                    <w:pPr>
                      <w:spacing w:line="208" w:lineRule="auto" w:before="9"/>
                      <w:ind w:left="60" w:right="0" w:hanging="60"/>
                      <w:jc w:val="left"/>
                      <w:rPr>
                        <w:sz w:val="12"/>
                      </w:rPr>
                    </w:pPr>
                    <w:r>
                      <w:rPr>
                        <w:sz w:val="12"/>
                      </w:rPr>
                      <w:t>Duration more than twelve months</w:t>
                    </w:r>
                  </w:p>
                </w:txbxContent>
              </v:textbox>
              <w10:wrap type="none"/>
            </v:shape>
            <v:shape style="position:absolute;left:2983;top:2028;width:274;height:133" type="#_x0000_t202" filled="false" stroked="false">
              <v:textbox inset="0,0,0,0">
                <w:txbxContent>
                  <w:p>
                    <w:pPr>
                      <w:spacing w:line="133" w:lineRule="exact" w:before="0"/>
                      <w:ind w:left="0" w:right="0" w:firstLine="0"/>
                      <w:jc w:val="left"/>
                      <w:rPr>
                        <w:sz w:val="12"/>
                      </w:rPr>
                    </w:pPr>
                    <w:r>
                      <w:rPr>
                        <w:sz w:val="12"/>
                      </w:rPr>
                      <w:t>Total</w:t>
                    </w:r>
                  </w:p>
                </w:txbxContent>
              </v:textbox>
              <w10:wrap type="none"/>
            </v:shape>
            <w10:wrap type="none"/>
          </v:group>
        </w:pict>
      </w:r>
      <w:r>
        <w:rPr/>
        <w:pict>
          <v:line style="position:absolute;mso-position-horizontal-relative:page;mso-position-vertical-relative:paragraph;z-index:16016384" from="42.025002pt,2.350421pt" to="46.358002pt,2.350421pt" stroked="true" strokeweight=".5pt" strokecolor="#000000">
            <v:stroke dashstyle="solid"/>
            <w10:wrap type="none"/>
          </v:line>
        </w:pict>
      </w:r>
      <w:r>
        <w:rPr/>
        <w:pict>
          <v:line style="position:absolute;mso-position-horizontal-relative:page;mso-position-vertical-relative:paragraph;z-index:16016896" from="193.296997pt,2.410421pt" to="197.630997pt,2.410421pt" stroked="true" strokeweight=".5pt" strokecolor="#000000">
            <v:stroke dashstyle="solid"/>
            <w10:wrap type="none"/>
          </v:line>
        </w:pict>
      </w:r>
      <w:r>
        <w:rPr>
          <w:sz w:val="12"/>
        </w:rPr>
        <w:t>60</w:t>
      </w:r>
    </w:p>
    <w:p>
      <w:pPr>
        <w:pStyle w:val="BodyText"/>
        <w:spacing w:before="9"/>
        <w:rPr>
          <w:sz w:val="15"/>
        </w:rPr>
      </w:pPr>
    </w:p>
    <w:p>
      <w:pPr>
        <w:spacing w:before="0"/>
        <w:ind w:left="0" w:right="262" w:firstLine="0"/>
        <w:jc w:val="right"/>
        <w:rPr>
          <w:sz w:val="12"/>
        </w:rPr>
      </w:pPr>
      <w:r>
        <w:rPr/>
        <w:pict>
          <v:line style="position:absolute;mso-position-horizontal-relative:page;mso-position-vertical-relative:paragraph;z-index:16012288" from="42.025002pt,3.597156pt" to="46.358002pt,3.597156pt" stroked="true" strokeweight=".5pt" strokecolor="#000000">
            <v:stroke dashstyle="solid"/>
            <w10:wrap type="none"/>
          </v:line>
        </w:pict>
      </w:r>
      <w:r>
        <w:rPr>
          <w:sz w:val="12"/>
        </w:rPr>
        <w:t>40</w:t>
      </w:r>
    </w:p>
    <w:p>
      <w:pPr>
        <w:pStyle w:val="BodyText"/>
        <w:spacing w:before="9"/>
        <w:rPr>
          <w:sz w:val="15"/>
        </w:rPr>
      </w:pPr>
    </w:p>
    <w:p>
      <w:pPr>
        <w:spacing w:before="0"/>
        <w:ind w:left="0" w:right="262" w:firstLine="0"/>
        <w:jc w:val="right"/>
        <w:rPr>
          <w:sz w:val="12"/>
        </w:rPr>
      </w:pPr>
      <w:r>
        <w:rPr/>
        <w:pict>
          <v:line style="position:absolute;mso-position-horizontal-relative:page;mso-position-vertical-relative:paragraph;z-index:16012800" from="42.025002pt,3.610965pt" to="46.358002pt,3.610965pt" stroked="true" strokeweight=".5pt" strokecolor="#000000">
            <v:stroke dashstyle="solid"/>
            <w10:wrap type="none"/>
          </v:line>
        </w:pict>
      </w:r>
      <w:r>
        <w:rPr>
          <w:sz w:val="12"/>
        </w:rPr>
        <w:t>20</w:t>
      </w:r>
    </w:p>
    <w:p>
      <w:pPr>
        <w:spacing w:line="175" w:lineRule="exact" w:before="14"/>
        <w:ind w:left="3329" w:right="0" w:firstLine="0"/>
        <w:jc w:val="left"/>
        <w:rPr>
          <w:sz w:val="16"/>
        </w:rPr>
      </w:pPr>
      <w:r>
        <w:rPr>
          <w:sz w:val="16"/>
        </w:rPr>
        <w:t>+</w:t>
      </w:r>
    </w:p>
    <w:p>
      <w:pPr>
        <w:spacing w:line="165" w:lineRule="auto" w:before="16"/>
        <w:ind w:left="3334" w:right="0" w:firstLine="0"/>
        <w:jc w:val="left"/>
        <w:rPr>
          <w:sz w:val="12"/>
        </w:rPr>
      </w:pPr>
      <w:r>
        <w:rPr/>
        <w:pict>
          <v:line style="position:absolute;mso-position-horizontal-relative:page;mso-position-vertical-relative:paragraph;z-index:16013312" from="42.025002pt,3.195446pt" to="46.358002pt,3.195446pt" stroked="true" strokeweight=".5pt" strokecolor="#000000">
            <v:stroke dashstyle="solid"/>
            <w10:wrap type="none"/>
          </v:line>
        </w:pict>
      </w:r>
      <w:r>
        <w:rPr>
          <w:position w:val="-6"/>
          <w:sz w:val="16"/>
        </w:rPr>
        <w:t>_</w:t>
      </w:r>
      <w:r>
        <w:rPr>
          <w:spacing w:val="-15"/>
          <w:position w:val="-6"/>
          <w:sz w:val="16"/>
        </w:rPr>
        <w:t> </w:t>
      </w:r>
      <w:r>
        <w:rPr>
          <w:sz w:val="12"/>
        </w:rPr>
        <w:t>0</w:t>
      </w:r>
    </w:p>
    <w:p>
      <w:pPr>
        <w:spacing w:before="135"/>
        <w:ind w:left="0" w:right="262" w:firstLine="0"/>
        <w:jc w:val="right"/>
        <w:rPr>
          <w:sz w:val="12"/>
        </w:rPr>
      </w:pPr>
      <w:r>
        <w:rPr/>
        <w:pict>
          <v:line style="position:absolute;mso-position-horizontal-relative:page;mso-position-vertical-relative:paragraph;z-index:16013824" from="42.025002pt,10.389567pt" to="46.358002pt,10.389567pt" stroked="true" strokeweight=".5pt" strokecolor="#000000">
            <v:stroke dashstyle="solid"/>
            <w10:wrap type="none"/>
          </v:line>
        </w:pict>
      </w:r>
      <w:r>
        <w:rPr>
          <w:sz w:val="12"/>
        </w:rPr>
        <w:t>20</w:t>
      </w:r>
    </w:p>
    <w:p>
      <w:pPr>
        <w:pStyle w:val="BodyText"/>
        <w:spacing w:before="9"/>
        <w:rPr>
          <w:sz w:val="15"/>
        </w:rPr>
      </w:pPr>
    </w:p>
    <w:p>
      <w:pPr>
        <w:spacing w:before="0"/>
        <w:ind w:left="0" w:right="262" w:firstLine="0"/>
        <w:jc w:val="right"/>
        <w:rPr>
          <w:sz w:val="12"/>
        </w:rPr>
      </w:pPr>
      <w:r>
        <w:rPr/>
        <w:pict>
          <v:line style="position:absolute;mso-position-horizontal-relative:page;mso-position-vertical-relative:paragraph;z-index:16014336" from="42.025002pt,3.652766pt" to="46.358002pt,3.652766pt" stroked="true" strokeweight=".5pt" strokecolor="#000000">
            <v:stroke dashstyle="solid"/>
            <w10:wrap type="none"/>
          </v:line>
        </w:pict>
      </w:r>
      <w:r>
        <w:rPr>
          <w:sz w:val="12"/>
        </w:rPr>
        <w:t>40</w:t>
      </w:r>
    </w:p>
    <w:p>
      <w:pPr>
        <w:pStyle w:val="BodyText"/>
        <w:spacing w:before="8"/>
        <w:rPr>
          <w:sz w:val="15"/>
        </w:rPr>
      </w:pPr>
    </w:p>
    <w:p>
      <w:pPr>
        <w:spacing w:before="0"/>
        <w:ind w:left="0" w:right="262" w:firstLine="0"/>
        <w:jc w:val="right"/>
        <w:rPr>
          <w:sz w:val="12"/>
        </w:rPr>
      </w:pPr>
      <w:r>
        <w:rPr/>
        <w:pict>
          <v:line style="position:absolute;mso-position-horizontal-relative:page;mso-position-vertical-relative:paragraph;z-index:16014848" from="42.025002pt,3.667163pt" to="46.358002pt,3.667163pt" stroked="true" strokeweight=".5pt" strokecolor="#000000">
            <v:stroke dashstyle="solid"/>
            <w10:wrap type="none"/>
          </v:line>
        </w:pict>
      </w:r>
      <w:r>
        <w:rPr>
          <w:sz w:val="12"/>
        </w:rPr>
        <w:t>60</w:t>
      </w:r>
    </w:p>
    <w:p>
      <w:pPr>
        <w:pStyle w:val="BodyText"/>
        <w:spacing w:before="9"/>
        <w:rPr>
          <w:sz w:val="15"/>
        </w:rPr>
      </w:pPr>
    </w:p>
    <w:p>
      <w:pPr>
        <w:spacing w:before="0"/>
        <w:ind w:left="0" w:right="262" w:firstLine="0"/>
        <w:jc w:val="right"/>
        <w:rPr>
          <w:sz w:val="12"/>
        </w:rPr>
      </w:pPr>
      <w:r>
        <w:rPr/>
        <w:pict>
          <v:line style="position:absolute;mso-position-horizontal-relative:page;mso-position-vertical-relative:paragraph;z-index:16015872" from="42.025002pt,3.681964pt" to="46.358002pt,3.681964pt" stroked="true" strokeweight=".5pt" strokecolor="#000000">
            <v:stroke dashstyle="solid"/>
            <w10:wrap type="none"/>
          </v:line>
        </w:pict>
      </w:r>
      <w:r>
        <w:rPr>
          <w:sz w:val="12"/>
        </w:rPr>
        <w:t>80</w:t>
      </w:r>
    </w:p>
    <w:p>
      <w:pPr>
        <w:pStyle w:val="BodyText"/>
        <w:spacing w:before="9"/>
        <w:rPr>
          <w:sz w:val="15"/>
        </w:rPr>
      </w:pPr>
    </w:p>
    <w:p>
      <w:pPr>
        <w:spacing w:before="0"/>
        <w:ind w:left="0" w:right="262" w:firstLine="0"/>
        <w:jc w:val="right"/>
        <w:rPr>
          <w:sz w:val="12"/>
        </w:rPr>
      </w:pPr>
      <w:r>
        <w:rPr/>
        <w:pict>
          <v:shape style="position:absolute;margin-left:50.830002pt;margin-top:16.372164pt;width:146.85pt;height:3.4pt;mso-position-horizontal-relative:page;mso-position-vertical-relative:paragraph;z-index:16011776" coordorigin="1017,327" coordsize="2937,68" path="m1019,395l3801,395m1017,327l1017,395m2092,327l2092,395m3168,327l3168,395m3866,395l3953,395e" filled="false" stroked="true" strokeweight=".5pt" strokecolor="#000000">
            <v:path arrowok="t"/>
            <v:stroke dashstyle="solid"/>
            <w10:wrap type="none"/>
          </v:shape>
        </w:pict>
      </w:r>
      <w:r>
        <w:rPr/>
        <w:pict>
          <v:line style="position:absolute;mso-position-horizontal-relative:page;mso-position-vertical-relative:paragraph;z-index:16015360" from="42.025002pt,3.694163pt" to="46.358002pt,3.694163pt" stroked="true" strokeweight=".5pt" strokecolor="#000000">
            <v:stroke dashstyle="solid"/>
            <w10:wrap type="none"/>
          </v:line>
        </w:pict>
      </w:r>
      <w:r>
        <w:rPr>
          <w:sz w:val="12"/>
        </w:rPr>
        <w:t>100</w:t>
      </w:r>
    </w:p>
    <w:p>
      <w:pPr>
        <w:pStyle w:val="BodyText"/>
        <w:spacing w:line="242" w:lineRule="auto"/>
        <w:ind w:left="180" w:right="326"/>
      </w:pPr>
      <w:r>
        <w:rPr/>
        <w:br w:type="column"/>
      </w:r>
      <w:r>
        <w:rPr/>
        <w:t>claimant count unemployment rate to 3.6%, the lowest rate since September 1975. The recent falls are also larger than those earlier in the year, although the change of pace is less pronounced than for the LFS measure.</w:t>
      </w:r>
    </w:p>
    <w:p>
      <w:pPr>
        <w:pStyle w:val="BodyText"/>
        <w:spacing w:before="6"/>
        <w:rPr>
          <w:sz w:val="20"/>
        </w:rPr>
      </w:pPr>
    </w:p>
    <w:p>
      <w:pPr>
        <w:pStyle w:val="BodyText"/>
        <w:spacing w:line="242" w:lineRule="auto" w:before="1"/>
        <w:ind w:left="180" w:right="163"/>
      </w:pPr>
      <w:r>
        <w:rPr/>
        <w:t>The effect on pay pressures of a </w:t>
      </w:r>
      <w:r>
        <w:rPr>
          <w:spacing w:val="-3"/>
        </w:rPr>
        <w:t>given level </w:t>
      </w:r>
      <w:r>
        <w:rPr/>
        <w:t>of, or change in, unemployment is likely to depend on its composition. Because the short-term unemployed tend to enter employment more easily than the long-term unemployed, they tend to exert a greater restraining influence on pay negotiations. So a fall in short-term unemployment may </w:t>
      </w:r>
      <w:r>
        <w:rPr>
          <w:spacing w:val="-3"/>
        </w:rPr>
        <w:t>have </w:t>
      </w:r>
      <w:r>
        <w:rPr/>
        <w:t>more impact on pay pressures than a corresponding decline in long-term unemployment.</w:t>
      </w:r>
    </w:p>
    <w:p>
      <w:pPr>
        <w:pStyle w:val="BodyText"/>
        <w:spacing w:before="9"/>
        <w:rPr>
          <w:sz w:val="21"/>
        </w:rPr>
      </w:pPr>
    </w:p>
    <w:p>
      <w:pPr>
        <w:pStyle w:val="BodyText"/>
        <w:spacing w:line="242" w:lineRule="auto" w:before="1"/>
        <w:ind w:left="180" w:right="483"/>
      </w:pPr>
      <w:r>
        <w:rPr/>
        <w:t>A large proportion of the fall in LFS unemployment earlier in the year reflected a decline in the number of people</w:t>
      </w:r>
      <w:r>
        <w:rPr>
          <w:spacing w:val="-7"/>
        </w:rPr>
        <w:t> </w:t>
      </w:r>
      <w:r>
        <w:rPr/>
        <w:t>unemployed</w:t>
      </w:r>
      <w:r>
        <w:rPr>
          <w:spacing w:val="-6"/>
        </w:rPr>
        <w:t> </w:t>
      </w:r>
      <w:r>
        <w:rPr/>
        <w:t>for</w:t>
      </w:r>
      <w:r>
        <w:rPr>
          <w:spacing w:val="-6"/>
        </w:rPr>
        <w:t> </w:t>
      </w:r>
      <w:r>
        <w:rPr/>
        <w:t>more</w:t>
      </w:r>
      <w:r>
        <w:rPr>
          <w:spacing w:val="-7"/>
        </w:rPr>
        <w:t> </w:t>
      </w:r>
      <w:r>
        <w:rPr/>
        <w:t>than</w:t>
      </w:r>
      <w:r>
        <w:rPr>
          <w:spacing w:val="-6"/>
        </w:rPr>
        <w:t> </w:t>
      </w:r>
      <w:r>
        <w:rPr/>
        <w:t>twelve</w:t>
      </w:r>
      <w:r>
        <w:rPr>
          <w:spacing w:val="-6"/>
        </w:rPr>
        <w:t> </w:t>
      </w:r>
      <w:r>
        <w:rPr/>
        <w:t>months</w:t>
      </w:r>
      <w:r>
        <w:rPr>
          <w:spacing w:val="-7"/>
        </w:rPr>
        <w:t> </w:t>
      </w:r>
      <w:r>
        <w:rPr/>
        <w:t>(see Chart 3.6).  This continued an established pattern: two thirds of the fall in LFS unemployment in</w:t>
      </w:r>
      <w:r>
        <w:rPr>
          <w:spacing w:val="-30"/>
        </w:rPr>
        <w:t> </w:t>
      </w:r>
      <w:r>
        <w:rPr/>
        <w:t>the</w:t>
      </w:r>
    </w:p>
    <w:p>
      <w:pPr>
        <w:pStyle w:val="BodyText"/>
        <w:spacing w:line="242" w:lineRule="auto" w:before="6"/>
        <w:ind w:left="180" w:right="246"/>
      </w:pPr>
      <w:r>
        <w:rPr/>
        <w:t>six years to May 2000 reflected declining long-term unemployment. By contrast, almost all of the large falls in LFS unemployment in recent months reflect reductions in the number of people unemployed for less than twelve months: the short-term unemployment rate fell from 4.1% in May to 3.8% in August, while the long-term unemployment rate remained at 1.5%. So the recent decline in unemployment may be associated with stronger incremental pressure on earnings than the fall earlier in the year, both because of this compositional</w:t>
      </w:r>
    </w:p>
    <w:p>
      <w:pPr>
        <w:spacing w:after="0" w:line="242" w:lineRule="auto"/>
        <w:sectPr>
          <w:type w:val="continuous"/>
          <w:pgSz w:w="11900" w:h="16840"/>
          <w:pgMar w:top="1260" w:bottom="280" w:left="640" w:right="640"/>
          <w:cols w:num="2" w:equalWidth="0">
            <w:col w:w="3764" w:space="1032"/>
            <w:col w:w="5824"/>
          </w:cols>
        </w:sectPr>
      </w:pPr>
    </w:p>
    <w:p>
      <w:pPr>
        <w:pStyle w:val="BodyText"/>
        <w:rPr>
          <w:sz w:val="7"/>
        </w:rPr>
      </w:pPr>
    </w:p>
    <w:p>
      <w:pPr>
        <w:pStyle w:val="BodyText"/>
        <w:spacing w:line="20" w:lineRule="exact"/>
        <w:ind w:left="195"/>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tabs>
          <w:tab w:pos="1917" w:val="left" w:leader="none"/>
          <w:tab w:pos="2738" w:val="left" w:leader="none"/>
        </w:tabs>
        <w:spacing w:before="0"/>
        <w:ind w:left="758" w:right="0" w:firstLine="0"/>
        <w:jc w:val="left"/>
        <w:rPr>
          <w:sz w:val="12"/>
        </w:rPr>
      </w:pPr>
      <w:r>
        <w:rPr>
          <w:sz w:val="12"/>
        </w:rPr>
        <w:t>1998</w:t>
        <w:tab/>
        <w:t>99</w:t>
        <w:tab/>
      </w:r>
      <w:r>
        <w:rPr>
          <w:spacing w:val="-5"/>
          <w:sz w:val="12"/>
        </w:rPr>
        <w:t>2000</w:t>
      </w:r>
    </w:p>
    <w:p>
      <w:pPr>
        <w:spacing w:before="12"/>
        <w:ind w:left="301" w:right="0" w:firstLine="0"/>
        <w:jc w:val="left"/>
        <w:rPr>
          <w:sz w:val="12"/>
        </w:rPr>
      </w:pPr>
      <w:r>
        <w:rPr/>
        <w:br w:type="column"/>
      </w:r>
      <w:r>
        <w:rPr>
          <w:sz w:val="12"/>
        </w:rPr>
        <w:t>120</w:t>
      </w:r>
    </w:p>
    <w:p>
      <w:pPr>
        <w:pStyle w:val="BodyText"/>
        <w:spacing w:before="13"/>
        <w:ind w:left="758"/>
      </w:pPr>
      <w:r>
        <w:rPr/>
        <w:br w:type="column"/>
      </w:r>
      <w:r>
        <w:rPr/>
        <w:t>change and because the recent fall is larger.</w:t>
      </w:r>
    </w:p>
    <w:p>
      <w:pPr>
        <w:spacing w:after="0"/>
        <w:sectPr>
          <w:type w:val="continuous"/>
          <w:pgSz w:w="11900" w:h="16840"/>
          <w:pgMar w:top="1260" w:bottom="280" w:left="640" w:right="640"/>
          <w:cols w:num="3" w:equalWidth="0">
            <w:col w:w="2979" w:space="40"/>
            <w:col w:w="522" w:space="677"/>
            <w:col w:w="6402"/>
          </w:cols>
        </w:sectPr>
      </w:pPr>
    </w:p>
    <w:p>
      <w:pPr>
        <w:pStyle w:val="BodyText"/>
        <w:rPr>
          <w:sz w:val="20"/>
        </w:rPr>
      </w:pPr>
    </w:p>
    <w:p>
      <w:pPr>
        <w:spacing w:after="0"/>
        <w:rPr>
          <w:sz w:val="20"/>
        </w:rPr>
        <w:sectPr>
          <w:pgSz w:w="11900" w:h="16840"/>
          <w:pgMar w:header="586" w:footer="592" w:top="780" w:bottom="780" w:left="640" w:right="640"/>
        </w:sectPr>
      </w:pPr>
    </w:p>
    <w:p>
      <w:pPr>
        <w:pStyle w:val="BodyText"/>
        <w:spacing w:before="2"/>
        <w:rPr>
          <w:sz w:val="21"/>
        </w:rPr>
      </w:pPr>
    </w:p>
    <w:p>
      <w:pPr>
        <w:spacing w:line="249" w:lineRule="auto" w:before="0"/>
        <w:ind w:left="170" w:right="-9" w:firstLine="0"/>
        <w:jc w:val="left"/>
        <w:rPr>
          <w:sz w:val="12"/>
        </w:rPr>
      </w:pPr>
      <w:r>
        <w:rPr>
          <w:b/>
          <w:color w:val="0092C7"/>
          <w:sz w:val="20"/>
        </w:rPr>
        <w:t>Chart 3.7 Inactivity</w:t>
      </w:r>
      <w:r>
        <w:rPr>
          <w:b/>
          <w:color w:val="0092C7"/>
          <w:spacing w:val="-14"/>
          <w:sz w:val="20"/>
        </w:rPr>
        <w:t> </w:t>
      </w:r>
      <w:r>
        <w:rPr>
          <w:b/>
          <w:color w:val="0092C7"/>
          <w:sz w:val="20"/>
        </w:rPr>
        <w:t>rates</w:t>
      </w:r>
      <w:r>
        <w:rPr>
          <w:position w:val="4"/>
          <w:sz w:val="12"/>
        </w:rPr>
        <w:t>(a)</w:t>
      </w:r>
    </w:p>
    <w:p>
      <w:pPr>
        <w:pStyle w:val="BodyText"/>
        <w:spacing w:before="10" w:after="40"/>
        <w:rPr>
          <w:sz w:val="14"/>
        </w:rPr>
      </w:pPr>
    </w:p>
    <w:p>
      <w:pPr>
        <w:pStyle w:val="BodyText"/>
        <w:spacing w:line="20" w:lineRule="exact"/>
        <w:ind w:left="223"/>
        <w:rPr>
          <w:sz w:val="2"/>
        </w:rPr>
      </w:pPr>
      <w:r>
        <w:rPr>
          <w:sz w:val="2"/>
        </w:rPr>
        <w:drawing>
          <wp:inline distT="0" distB="0" distL="0" distR="0">
            <wp:extent cx="55291" cy="6381"/>
            <wp:effectExtent l="0" t="0" r="0" b="0"/>
            <wp:docPr id="127" name="image24.png"/>
            <wp:cNvGraphicFramePr>
              <a:graphicFrameLocks noChangeAspect="1"/>
            </wp:cNvGraphicFramePr>
            <a:graphic>
              <a:graphicData uri="http://schemas.openxmlformats.org/drawingml/2006/picture">
                <pic:pic>
                  <pic:nvPicPr>
                    <pic:cNvPr id="128" name="image24.png"/>
                    <pic:cNvPicPr/>
                  </pic:nvPicPr>
                  <pic:blipFill>
                    <a:blip r:embed="rId53" cstate="print"/>
                    <a:stretch>
                      <a:fillRect/>
                    </a:stretch>
                  </pic:blipFill>
                  <pic:spPr>
                    <a:xfrm>
                      <a:off x="0" y="0"/>
                      <a:ext cx="55291" cy="6381"/>
                    </a:xfrm>
                    <a:prstGeom prst="rect">
                      <a:avLst/>
                    </a:prstGeom>
                  </pic:spPr>
                </pic:pic>
              </a:graphicData>
            </a:graphic>
          </wp:inline>
        </w:drawing>
      </w:r>
      <w:r>
        <w:rPr>
          <w:sz w:val="2"/>
        </w:rPr>
      </w:r>
    </w:p>
    <w:p>
      <w:pPr>
        <w:pStyle w:val="BodyText"/>
        <w:spacing w:before="4"/>
        <w:rPr>
          <w:sz w:val="26"/>
        </w:rPr>
      </w:pPr>
      <w:r>
        <w:rPr/>
        <w:drawing>
          <wp:anchor distT="0" distB="0" distL="0" distR="0" allowOverlap="1" layoutInCell="1" locked="0" behindDoc="0" simplePos="0" relativeHeight="564">
            <wp:simplePos x="0" y="0"/>
            <wp:positionH relativeFrom="page">
              <wp:posOffset>548081</wp:posOffset>
            </wp:positionH>
            <wp:positionV relativeFrom="paragraph">
              <wp:posOffset>217487</wp:posOffset>
            </wp:positionV>
            <wp:extent cx="55291" cy="6381"/>
            <wp:effectExtent l="0" t="0" r="0" b="0"/>
            <wp:wrapTopAndBottom/>
            <wp:docPr id="129" name="image24.png"/>
            <wp:cNvGraphicFramePr>
              <a:graphicFrameLocks noChangeAspect="1"/>
            </wp:cNvGraphicFramePr>
            <a:graphic>
              <a:graphicData uri="http://schemas.openxmlformats.org/drawingml/2006/picture">
                <pic:pic>
                  <pic:nvPicPr>
                    <pic:cNvPr id="130" name="image24.png"/>
                    <pic:cNvPicPr/>
                  </pic:nvPicPr>
                  <pic:blipFill>
                    <a:blip r:embed="rId53"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565">
            <wp:simplePos x="0" y="0"/>
            <wp:positionH relativeFrom="page">
              <wp:posOffset>548081</wp:posOffset>
            </wp:positionH>
            <wp:positionV relativeFrom="paragraph">
              <wp:posOffset>449643</wp:posOffset>
            </wp:positionV>
            <wp:extent cx="55291" cy="6381"/>
            <wp:effectExtent l="0" t="0" r="0" b="0"/>
            <wp:wrapTopAndBottom/>
            <wp:docPr id="131" name="image24.png"/>
            <wp:cNvGraphicFramePr>
              <a:graphicFrameLocks noChangeAspect="1"/>
            </wp:cNvGraphicFramePr>
            <a:graphic>
              <a:graphicData uri="http://schemas.openxmlformats.org/drawingml/2006/picture">
                <pic:pic>
                  <pic:nvPicPr>
                    <pic:cNvPr id="132" name="image24.png"/>
                    <pic:cNvPicPr/>
                  </pic:nvPicPr>
                  <pic:blipFill>
                    <a:blip r:embed="rId53"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566">
            <wp:simplePos x="0" y="0"/>
            <wp:positionH relativeFrom="page">
              <wp:posOffset>548081</wp:posOffset>
            </wp:positionH>
            <wp:positionV relativeFrom="paragraph">
              <wp:posOffset>676275</wp:posOffset>
            </wp:positionV>
            <wp:extent cx="54466" cy="6286"/>
            <wp:effectExtent l="0" t="0" r="0" b="0"/>
            <wp:wrapTopAndBottom/>
            <wp:docPr id="133" name="image13.png"/>
            <wp:cNvGraphicFramePr>
              <a:graphicFrameLocks noChangeAspect="1"/>
            </wp:cNvGraphicFramePr>
            <a:graphic>
              <a:graphicData uri="http://schemas.openxmlformats.org/drawingml/2006/picture">
                <pic:pic>
                  <pic:nvPicPr>
                    <pic:cNvPr id="134" name="image13.png"/>
                    <pic:cNvPicPr/>
                  </pic:nvPicPr>
                  <pic:blipFill>
                    <a:blip r:embed="rId38" cstate="print"/>
                    <a:stretch>
                      <a:fillRect/>
                    </a:stretch>
                  </pic:blipFill>
                  <pic:spPr>
                    <a:xfrm>
                      <a:off x="0" y="0"/>
                      <a:ext cx="54466" cy="6286"/>
                    </a:xfrm>
                    <a:prstGeom prst="rect">
                      <a:avLst/>
                    </a:prstGeom>
                  </pic:spPr>
                </pic:pic>
              </a:graphicData>
            </a:graphic>
          </wp:anchor>
        </w:drawing>
      </w:r>
      <w:r>
        <w:rPr/>
        <w:drawing>
          <wp:anchor distT="0" distB="0" distL="0" distR="0" allowOverlap="1" layoutInCell="1" locked="0" behindDoc="0" simplePos="0" relativeHeight="567">
            <wp:simplePos x="0" y="0"/>
            <wp:positionH relativeFrom="page">
              <wp:posOffset>539610</wp:posOffset>
            </wp:positionH>
            <wp:positionV relativeFrom="paragraph">
              <wp:posOffset>908050</wp:posOffset>
            </wp:positionV>
            <wp:extent cx="55291" cy="6381"/>
            <wp:effectExtent l="0" t="0" r="0" b="0"/>
            <wp:wrapTopAndBottom/>
            <wp:docPr id="135" name="image24.png"/>
            <wp:cNvGraphicFramePr>
              <a:graphicFrameLocks noChangeAspect="1"/>
            </wp:cNvGraphicFramePr>
            <a:graphic>
              <a:graphicData uri="http://schemas.openxmlformats.org/drawingml/2006/picture">
                <pic:pic>
                  <pic:nvPicPr>
                    <pic:cNvPr id="136" name="image24.png"/>
                    <pic:cNvPicPr/>
                  </pic:nvPicPr>
                  <pic:blipFill>
                    <a:blip r:embed="rId53"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568">
            <wp:simplePos x="0" y="0"/>
            <wp:positionH relativeFrom="page">
              <wp:posOffset>548081</wp:posOffset>
            </wp:positionH>
            <wp:positionV relativeFrom="paragraph">
              <wp:posOffset>1130300</wp:posOffset>
            </wp:positionV>
            <wp:extent cx="55291" cy="6381"/>
            <wp:effectExtent l="0" t="0" r="0" b="0"/>
            <wp:wrapTopAndBottom/>
            <wp:docPr id="137" name="image24.png"/>
            <wp:cNvGraphicFramePr>
              <a:graphicFrameLocks noChangeAspect="1"/>
            </wp:cNvGraphicFramePr>
            <a:graphic>
              <a:graphicData uri="http://schemas.openxmlformats.org/drawingml/2006/picture">
                <pic:pic>
                  <pic:nvPicPr>
                    <pic:cNvPr id="138" name="image24.png"/>
                    <pic:cNvPicPr/>
                  </pic:nvPicPr>
                  <pic:blipFill>
                    <a:blip r:embed="rId53"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569">
            <wp:simplePos x="0" y="0"/>
            <wp:positionH relativeFrom="page">
              <wp:posOffset>548081</wp:posOffset>
            </wp:positionH>
            <wp:positionV relativeFrom="paragraph">
              <wp:posOffset>1360487</wp:posOffset>
            </wp:positionV>
            <wp:extent cx="55291" cy="6381"/>
            <wp:effectExtent l="0" t="0" r="0" b="0"/>
            <wp:wrapTopAndBottom/>
            <wp:docPr id="139" name="image24.png"/>
            <wp:cNvGraphicFramePr>
              <a:graphicFrameLocks noChangeAspect="1"/>
            </wp:cNvGraphicFramePr>
            <a:graphic>
              <a:graphicData uri="http://schemas.openxmlformats.org/drawingml/2006/picture">
                <pic:pic>
                  <pic:nvPicPr>
                    <pic:cNvPr id="140" name="image24.png"/>
                    <pic:cNvPicPr/>
                  </pic:nvPicPr>
                  <pic:blipFill>
                    <a:blip r:embed="rId53" cstate="print"/>
                    <a:stretch>
                      <a:fillRect/>
                    </a:stretch>
                  </pic:blipFill>
                  <pic:spPr>
                    <a:xfrm>
                      <a:off x="0" y="0"/>
                      <a:ext cx="55291" cy="6381"/>
                    </a:xfrm>
                    <a:prstGeom prst="rect">
                      <a:avLst/>
                    </a:prstGeom>
                  </pic:spPr>
                </pic:pic>
              </a:graphicData>
            </a:graphic>
          </wp:anchor>
        </w:drawing>
      </w:r>
      <w:r>
        <w:rPr/>
        <w:drawing>
          <wp:anchor distT="0" distB="0" distL="0" distR="0" allowOverlap="1" layoutInCell="1" locked="0" behindDoc="0" simplePos="0" relativeHeight="570">
            <wp:simplePos x="0" y="0"/>
            <wp:positionH relativeFrom="page">
              <wp:posOffset>548081</wp:posOffset>
            </wp:positionH>
            <wp:positionV relativeFrom="paragraph">
              <wp:posOffset>1590675</wp:posOffset>
            </wp:positionV>
            <wp:extent cx="54466" cy="6286"/>
            <wp:effectExtent l="0" t="0" r="0" b="0"/>
            <wp:wrapTopAndBottom/>
            <wp:docPr id="141" name="image13.png"/>
            <wp:cNvGraphicFramePr>
              <a:graphicFrameLocks noChangeAspect="1"/>
            </wp:cNvGraphicFramePr>
            <a:graphic>
              <a:graphicData uri="http://schemas.openxmlformats.org/drawingml/2006/picture">
                <pic:pic>
                  <pic:nvPicPr>
                    <pic:cNvPr id="142" name="image13.png"/>
                    <pic:cNvPicPr/>
                  </pic:nvPicPr>
                  <pic:blipFill>
                    <a:blip r:embed="rId38" cstate="print"/>
                    <a:stretch>
                      <a:fillRect/>
                    </a:stretch>
                  </pic:blipFill>
                  <pic:spPr>
                    <a:xfrm>
                      <a:off x="0" y="0"/>
                      <a:ext cx="54466" cy="6286"/>
                    </a:xfrm>
                    <a:prstGeom prst="rect">
                      <a:avLst/>
                    </a:prstGeom>
                  </pic:spPr>
                </pic:pic>
              </a:graphicData>
            </a:graphic>
          </wp:anchor>
        </w:drawing>
      </w:r>
    </w:p>
    <w:p>
      <w:pPr>
        <w:pStyle w:val="BodyText"/>
        <w:rPr>
          <w:sz w:val="25"/>
        </w:rPr>
      </w:pPr>
    </w:p>
    <w:p>
      <w:pPr>
        <w:pStyle w:val="BodyText"/>
        <w:spacing w:before="2"/>
      </w:pPr>
    </w:p>
    <w:p>
      <w:pPr>
        <w:pStyle w:val="BodyText"/>
        <w:spacing w:before="11"/>
      </w:pPr>
    </w:p>
    <w:p>
      <w:pPr>
        <w:pStyle w:val="BodyText"/>
        <w:spacing w:before="7"/>
        <w:rPr>
          <w:sz w:val="23"/>
        </w:rPr>
      </w:pPr>
    </w:p>
    <w:p>
      <w:pPr>
        <w:pStyle w:val="BodyText"/>
        <w:spacing w:before="8"/>
      </w:pPr>
    </w:p>
    <w:p>
      <w:pPr>
        <w:pStyle w:val="BodyText"/>
        <w:spacing w:before="8"/>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4" w:lineRule="exact" w:before="89"/>
        <w:ind w:left="81" w:right="0" w:firstLine="0"/>
        <w:jc w:val="left"/>
        <w:rPr>
          <w:sz w:val="12"/>
        </w:rPr>
      </w:pPr>
      <w:r>
        <w:rPr>
          <w:sz w:val="12"/>
        </w:rPr>
        <w:t>Per cent of working-age population</w:t>
      </w:r>
    </w:p>
    <w:p>
      <w:pPr>
        <w:spacing w:line="114" w:lineRule="exact" w:before="0"/>
        <w:ind w:left="1812" w:right="0" w:firstLine="0"/>
        <w:jc w:val="left"/>
        <w:rPr>
          <w:sz w:val="12"/>
        </w:rPr>
      </w:pPr>
      <w:r>
        <w:rPr/>
        <w:drawing>
          <wp:anchor distT="0" distB="0" distL="0" distR="0" allowOverlap="1" layoutInCell="1" locked="0" behindDoc="0" simplePos="0" relativeHeight="16025088">
            <wp:simplePos x="0" y="0"/>
            <wp:positionH relativeFrom="page">
              <wp:posOffset>2520823</wp:posOffset>
            </wp:positionH>
            <wp:positionV relativeFrom="paragraph">
              <wp:posOffset>24407</wp:posOffset>
            </wp:positionV>
            <wp:extent cx="55016" cy="6350"/>
            <wp:effectExtent l="0" t="0" r="0" b="0"/>
            <wp:wrapNone/>
            <wp:docPr id="143" name="image24.png"/>
            <wp:cNvGraphicFramePr>
              <a:graphicFrameLocks noChangeAspect="1"/>
            </wp:cNvGraphicFramePr>
            <a:graphic>
              <a:graphicData uri="http://schemas.openxmlformats.org/drawingml/2006/picture">
                <pic:pic>
                  <pic:nvPicPr>
                    <pic:cNvPr id="144" name="image24.png"/>
                    <pic:cNvPicPr/>
                  </pic:nvPicPr>
                  <pic:blipFill>
                    <a:blip r:embed="rId53" cstate="print"/>
                    <a:stretch>
                      <a:fillRect/>
                    </a:stretch>
                  </pic:blipFill>
                  <pic:spPr>
                    <a:xfrm>
                      <a:off x="0" y="0"/>
                      <a:ext cx="55016" cy="6350"/>
                    </a:xfrm>
                    <a:prstGeom prst="rect">
                      <a:avLst/>
                    </a:prstGeom>
                  </pic:spPr>
                </pic:pic>
              </a:graphicData>
            </a:graphic>
          </wp:anchor>
        </w:drawing>
      </w:r>
      <w:r>
        <w:rPr>
          <w:sz w:val="12"/>
        </w:rPr>
        <w:t>24</w:t>
      </w:r>
    </w:p>
    <w:p>
      <w:pPr>
        <w:pStyle w:val="BodyText"/>
        <w:rPr>
          <w:sz w:val="12"/>
        </w:rPr>
      </w:pPr>
    </w:p>
    <w:p>
      <w:pPr>
        <w:spacing w:before="87"/>
        <w:ind w:left="0" w:right="38" w:firstLine="0"/>
        <w:jc w:val="right"/>
        <w:rPr>
          <w:sz w:val="12"/>
        </w:rPr>
      </w:pPr>
      <w:r>
        <w:rPr/>
        <w:pict>
          <v:group style="position:absolute;margin-left:51pt;margin-top:5.200767pt;width:151.85pt;height:24.4pt;mso-position-horizontal-relative:page;mso-position-vertical-relative:paragraph;z-index:16023040" coordorigin="1020,104" coordsize="3037,488">
            <v:shape style="position:absolute;left:1020;top:104;width:3037;height:488" type="#_x0000_t75" stroked="false">
              <v:imagedata r:id="rId116" o:title=""/>
            </v:shape>
            <v:shape style="position:absolute;left:2186;top:180;width:380;height:133" type="#_x0000_t202" filled="false" stroked="false">
              <v:textbox inset="0,0,0,0">
                <w:txbxContent>
                  <w:p>
                    <w:pPr>
                      <w:spacing w:line="133" w:lineRule="exact" w:before="0"/>
                      <w:ind w:left="0" w:right="0" w:firstLine="0"/>
                      <w:jc w:val="left"/>
                      <w:rPr>
                        <w:sz w:val="12"/>
                      </w:rPr>
                    </w:pPr>
                    <w:r>
                      <w:rPr>
                        <w:sz w:val="12"/>
                      </w:rPr>
                      <w:t>Overall</w:t>
                    </w:r>
                  </w:p>
                </w:txbxContent>
              </v:textbox>
              <w10:wrap type="none"/>
            </v:shape>
            <v:shape style="position:absolute;left:3102;top:180;width:300;height:133" type="#_x0000_t202" filled="false" stroked="false">
              <v:textbox inset="0,0,0,0">
                <w:txbxContent>
                  <w:p>
                    <w:pPr>
                      <w:tabs>
                        <w:tab w:pos="279" w:val="left" w:leader="none"/>
                      </w:tabs>
                      <w:spacing w:line="133" w:lineRule="exact" w:before="0"/>
                      <w:ind w:left="0" w:right="0" w:firstLine="0"/>
                      <w:jc w:val="left"/>
                      <w:rPr>
                        <w:sz w:val="12"/>
                      </w:rPr>
                    </w:pPr>
                    <w:r>
                      <w:rPr>
                        <w:sz w:val="12"/>
                        <w:u w:val="thick" w:color="DE0035"/>
                      </w:rPr>
                      <w:t> </w:t>
                      <w:tab/>
                    </w:r>
                  </w:p>
                </w:txbxContent>
              </v:textbox>
              <w10:wrap type="none"/>
            </v:shape>
            <w10:wrap type="none"/>
          </v:group>
        </w:pict>
      </w:r>
      <w:r>
        <w:rPr>
          <w:sz w:val="12"/>
        </w:rPr>
        <w:t>22</w:t>
      </w:r>
    </w:p>
    <w:p>
      <w:pPr>
        <w:pStyle w:val="BodyText"/>
        <w:rPr>
          <w:sz w:val="12"/>
        </w:rPr>
      </w:pPr>
    </w:p>
    <w:p>
      <w:pPr>
        <w:spacing w:before="86"/>
        <w:ind w:left="0" w:right="38" w:firstLine="0"/>
        <w:jc w:val="right"/>
        <w:rPr>
          <w:sz w:val="12"/>
        </w:rPr>
      </w:pPr>
      <w:r>
        <w:rPr>
          <w:sz w:val="12"/>
        </w:rPr>
        <w:t>20</w:t>
      </w:r>
    </w:p>
    <w:p>
      <w:pPr>
        <w:pStyle w:val="BodyText"/>
        <w:rPr>
          <w:sz w:val="12"/>
        </w:rPr>
      </w:pPr>
    </w:p>
    <w:p>
      <w:pPr>
        <w:spacing w:before="87"/>
        <w:ind w:left="0" w:right="38" w:firstLine="0"/>
        <w:jc w:val="right"/>
        <w:rPr>
          <w:sz w:val="12"/>
        </w:rPr>
      </w:pPr>
      <w:r>
        <w:rPr/>
        <w:drawing>
          <wp:anchor distT="0" distB="0" distL="0" distR="0" allowOverlap="1" layoutInCell="1" locked="0" behindDoc="0" simplePos="0" relativeHeight="16024576">
            <wp:simplePos x="0" y="0"/>
            <wp:positionH relativeFrom="page">
              <wp:posOffset>2520823</wp:posOffset>
            </wp:positionH>
            <wp:positionV relativeFrom="paragraph">
              <wp:posOffset>93041</wp:posOffset>
            </wp:positionV>
            <wp:extent cx="55016" cy="6350"/>
            <wp:effectExtent l="0" t="0" r="0" b="0"/>
            <wp:wrapNone/>
            <wp:docPr id="145" name="image13.png"/>
            <wp:cNvGraphicFramePr>
              <a:graphicFrameLocks noChangeAspect="1"/>
            </wp:cNvGraphicFramePr>
            <a:graphic>
              <a:graphicData uri="http://schemas.openxmlformats.org/drawingml/2006/picture">
                <pic:pic>
                  <pic:nvPicPr>
                    <pic:cNvPr id="146" name="image13.png"/>
                    <pic:cNvPicPr/>
                  </pic:nvPicPr>
                  <pic:blipFill>
                    <a:blip r:embed="rId38" cstate="print"/>
                    <a:stretch>
                      <a:fillRect/>
                    </a:stretch>
                  </pic:blipFill>
                  <pic:spPr>
                    <a:xfrm>
                      <a:off x="0" y="0"/>
                      <a:ext cx="55016" cy="6350"/>
                    </a:xfrm>
                    <a:prstGeom prst="rect">
                      <a:avLst/>
                    </a:prstGeom>
                  </pic:spPr>
                </pic:pic>
              </a:graphicData>
            </a:graphic>
          </wp:anchor>
        </w:drawing>
      </w:r>
      <w:r>
        <w:rPr>
          <w:sz w:val="12"/>
        </w:rPr>
        <w:t>18</w:t>
      </w:r>
    </w:p>
    <w:p>
      <w:pPr>
        <w:pStyle w:val="BodyText"/>
        <w:rPr>
          <w:sz w:val="12"/>
        </w:rPr>
      </w:pPr>
    </w:p>
    <w:p>
      <w:pPr>
        <w:spacing w:before="86"/>
        <w:ind w:left="0" w:right="38" w:firstLine="0"/>
        <w:jc w:val="right"/>
        <w:rPr>
          <w:sz w:val="12"/>
        </w:rPr>
      </w:pPr>
      <w:r>
        <w:rPr/>
        <w:drawing>
          <wp:anchor distT="0" distB="0" distL="0" distR="0" allowOverlap="1" layoutInCell="1" locked="0" behindDoc="0" simplePos="0" relativeHeight="16025600">
            <wp:simplePos x="0" y="0"/>
            <wp:positionH relativeFrom="page">
              <wp:posOffset>2512352</wp:posOffset>
            </wp:positionH>
            <wp:positionV relativeFrom="paragraph">
              <wp:posOffset>93997</wp:posOffset>
            </wp:positionV>
            <wp:extent cx="55016" cy="6350"/>
            <wp:effectExtent l="0" t="0" r="0" b="0"/>
            <wp:wrapNone/>
            <wp:docPr id="147" name="image14.png"/>
            <wp:cNvGraphicFramePr>
              <a:graphicFrameLocks noChangeAspect="1"/>
            </wp:cNvGraphicFramePr>
            <a:graphic>
              <a:graphicData uri="http://schemas.openxmlformats.org/drawingml/2006/picture">
                <pic:pic>
                  <pic:nvPicPr>
                    <pic:cNvPr id="148" name="image14.png"/>
                    <pic:cNvPicPr/>
                  </pic:nvPicPr>
                  <pic:blipFill>
                    <a:blip r:embed="rId39" cstate="print"/>
                    <a:stretch>
                      <a:fillRect/>
                    </a:stretch>
                  </pic:blipFill>
                  <pic:spPr>
                    <a:xfrm>
                      <a:off x="0" y="0"/>
                      <a:ext cx="55016" cy="6350"/>
                    </a:xfrm>
                    <a:prstGeom prst="rect">
                      <a:avLst/>
                    </a:prstGeom>
                  </pic:spPr>
                </pic:pic>
              </a:graphicData>
            </a:graphic>
          </wp:anchor>
        </w:drawing>
      </w:r>
      <w:r>
        <w:rPr>
          <w:sz w:val="12"/>
        </w:rPr>
        <w:t>16</w:t>
      </w:r>
    </w:p>
    <w:p>
      <w:pPr>
        <w:pStyle w:val="BodyText"/>
        <w:rPr>
          <w:sz w:val="12"/>
        </w:rPr>
      </w:pPr>
    </w:p>
    <w:p>
      <w:pPr>
        <w:spacing w:before="74"/>
        <w:ind w:left="0" w:right="38" w:firstLine="0"/>
        <w:jc w:val="right"/>
        <w:rPr>
          <w:sz w:val="12"/>
        </w:rPr>
      </w:pPr>
      <w:r>
        <w:rPr/>
        <w:pict>
          <v:group style="position:absolute;margin-left:51pt;margin-top:6.426133pt;width:151.85pt;height:43pt;mso-position-horizontal-relative:page;mso-position-vertical-relative:paragraph;z-index:16024064" coordorigin="1020,129" coordsize="3037,860">
            <v:shape style="position:absolute;left:1020;top:128;width:3037;height:860" type="#_x0000_t75" stroked="false">
              <v:imagedata r:id="rId117" o:title=""/>
            </v:shape>
            <v:shape style="position:absolute;left:1020;top:128;width:3037;height:860" type="#_x0000_t202" filled="false" stroked="false">
              <v:textbox inset="0,0,0,0">
                <w:txbxContent>
                  <w:p>
                    <w:pPr>
                      <w:spacing w:line="240" w:lineRule="auto" w:before="3"/>
                      <w:rPr>
                        <w:sz w:val="14"/>
                      </w:rPr>
                    </w:pPr>
                  </w:p>
                  <w:p>
                    <w:pPr>
                      <w:spacing w:line="230" w:lineRule="auto" w:before="1"/>
                      <w:ind w:left="1076" w:right="691" w:hanging="77"/>
                      <w:jc w:val="left"/>
                      <w:rPr>
                        <w:sz w:val="12"/>
                      </w:rPr>
                    </w:pPr>
                    <w:r>
                      <w:rPr>
                        <w:sz w:val="12"/>
                      </w:rPr>
                      <w:t>Excluding long-term sick, students and early retirees</w:t>
                    </w:r>
                  </w:p>
                </w:txbxContent>
              </v:textbox>
              <w10:wrap type="none"/>
            </v:shape>
            <w10:wrap type="none"/>
          </v:group>
        </w:pict>
      </w:r>
      <w:r>
        <w:rPr>
          <w:sz w:val="12"/>
        </w:rPr>
        <w:t>14</w:t>
      </w:r>
    </w:p>
    <w:p>
      <w:pPr>
        <w:pStyle w:val="BodyText"/>
        <w:rPr>
          <w:sz w:val="12"/>
        </w:rPr>
      </w:pPr>
    </w:p>
    <w:p>
      <w:pPr>
        <w:spacing w:before="84"/>
        <w:ind w:left="0" w:right="38" w:firstLine="0"/>
        <w:jc w:val="right"/>
        <w:rPr>
          <w:sz w:val="12"/>
        </w:rPr>
      </w:pPr>
      <w:r>
        <w:rPr>
          <w:sz w:val="12"/>
        </w:rPr>
        <w:t>12</w:t>
      </w:r>
    </w:p>
    <w:p>
      <w:pPr>
        <w:pStyle w:val="BodyText"/>
        <w:rPr>
          <w:sz w:val="12"/>
        </w:rPr>
      </w:pPr>
    </w:p>
    <w:p>
      <w:pPr>
        <w:spacing w:before="87"/>
        <w:ind w:left="0" w:right="38" w:firstLine="0"/>
        <w:jc w:val="right"/>
        <w:rPr>
          <w:sz w:val="12"/>
        </w:rPr>
      </w:pPr>
      <w:r>
        <w:rPr>
          <w:sz w:val="12"/>
        </w:rPr>
        <w:t>10</w:t>
      </w:r>
    </w:p>
    <w:p>
      <w:pPr>
        <w:pStyle w:val="BodyText"/>
        <w:rPr>
          <w:sz w:val="12"/>
        </w:rPr>
      </w:pPr>
    </w:p>
    <w:p>
      <w:pPr>
        <w:spacing w:line="120" w:lineRule="exact" w:before="86"/>
        <w:ind w:left="1872" w:right="0" w:firstLine="0"/>
        <w:jc w:val="left"/>
        <w:rPr>
          <w:sz w:val="12"/>
        </w:rPr>
      </w:pPr>
      <w:r>
        <w:rPr/>
        <w:drawing>
          <wp:anchor distT="0" distB="0" distL="0" distR="0" allowOverlap="1" layoutInCell="1" locked="0" behindDoc="1" simplePos="0" relativeHeight="480689664">
            <wp:simplePos x="0" y="0"/>
            <wp:positionH relativeFrom="page">
              <wp:posOffset>548081</wp:posOffset>
            </wp:positionH>
            <wp:positionV relativeFrom="paragraph">
              <wp:posOffset>92552</wp:posOffset>
            </wp:positionV>
            <wp:extent cx="2044039" cy="85585"/>
            <wp:effectExtent l="0" t="0" r="0" b="0"/>
            <wp:wrapNone/>
            <wp:docPr id="149" name="image66.png"/>
            <wp:cNvGraphicFramePr>
              <a:graphicFrameLocks noChangeAspect="1"/>
            </wp:cNvGraphicFramePr>
            <a:graphic>
              <a:graphicData uri="http://schemas.openxmlformats.org/drawingml/2006/picture">
                <pic:pic>
                  <pic:nvPicPr>
                    <pic:cNvPr id="150" name="image66.png"/>
                    <pic:cNvPicPr/>
                  </pic:nvPicPr>
                  <pic:blipFill>
                    <a:blip r:embed="rId118" cstate="print"/>
                    <a:stretch>
                      <a:fillRect/>
                    </a:stretch>
                  </pic:blipFill>
                  <pic:spPr>
                    <a:xfrm>
                      <a:off x="0" y="0"/>
                      <a:ext cx="2044039" cy="85585"/>
                    </a:xfrm>
                    <a:prstGeom prst="rect">
                      <a:avLst/>
                    </a:prstGeom>
                  </pic:spPr>
                </pic:pic>
              </a:graphicData>
            </a:graphic>
          </wp:anchor>
        </w:drawing>
      </w:r>
      <w:r>
        <w:rPr>
          <w:sz w:val="12"/>
        </w:rPr>
        <w:t>8</w:t>
      </w:r>
    </w:p>
    <w:p>
      <w:pPr>
        <w:pStyle w:val="BodyText"/>
        <w:spacing w:before="5"/>
        <w:rPr>
          <w:sz w:val="20"/>
        </w:rPr>
      </w:pPr>
      <w:r>
        <w:rPr/>
        <w:br w:type="column"/>
      </w:r>
      <w:r>
        <w:rPr>
          <w:sz w:val="20"/>
        </w:rPr>
      </w:r>
    </w:p>
    <w:p>
      <w:pPr>
        <w:pStyle w:val="BodyText"/>
        <w:spacing w:line="242" w:lineRule="auto"/>
        <w:ind w:left="170" w:right="222"/>
      </w:pPr>
      <w:r>
        <w:rPr/>
        <w:t>The pool of inactive people</w:t>
      </w:r>
      <w:r>
        <w:rPr>
          <w:position w:val="5"/>
          <w:sz w:val="16"/>
        </w:rPr>
        <w:t>(1) </w:t>
      </w:r>
      <w:r>
        <w:rPr/>
        <w:t>is another potential source of additional labour supply. The inactivity rate has been declining gradually for several years and reached a low of 20.9% in April (see Chart 3.7). Inactivity has, however, edged up in recent months, although that is probably an erratic movement. While the aggregate inactivity rate remains significantly above the previous trough in 1990, this reflects rising numbers of long-term sick, early retirees and students—who tend to have relatively low participation rates. Chart 3.7 shows that when those components are excluded the inactivity</w:t>
      </w:r>
    </w:p>
    <w:p>
      <w:pPr>
        <w:pStyle w:val="BodyText"/>
        <w:spacing w:line="242" w:lineRule="auto" w:before="14"/>
        <w:ind w:left="170" w:right="222"/>
      </w:pPr>
      <w:r>
        <w:rPr/>
        <w:t>rate is around its lowest level since the series began in 1984.</w:t>
      </w:r>
    </w:p>
    <w:p>
      <w:pPr>
        <w:spacing w:after="0" w:line="242" w:lineRule="auto"/>
        <w:sectPr>
          <w:type w:val="continuous"/>
          <w:pgSz w:w="11900" w:h="16840"/>
          <w:pgMar w:top="1260" w:bottom="280" w:left="640" w:right="640"/>
          <w:cols w:num="3" w:equalWidth="0">
            <w:col w:w="1595" w:space="40"/>
            <w:col w:w="1973" w:space="1194"/>
            <w:col w:w="5818"/>
          </w:cols>
        </w:sectPr>
      </w:pPr>
    </w:p>
    <w:p>
      <w:pPr>
        <w:tabs>
          <w:tab w:pos="1030" w:val="left" w:leader="none"/>
        </w:tabs>
        <w:spacing w:before="82"/>
        <w:ind w:left="277" w:right="0" w:firstLine="0"/>
        <w:jc w:val="left"/>
        <w:rPr>
          <w:sz w:val="12"/>
        </w:rPr>
      </w:pPr>
      <w:r>
        <w:rPr>
          <w:sz w:val="12"/>
        </w:rPr>
        <w:t>1984    </w:t>
      </w:r>
      <w:r>
        <w:rPr>
          <w:spacing w:val="3"/>
          <w:sz w:val="12"/>
        </w:rPr>
        <w:t> </w:t>
      </w:r>
      <w:r>
        <w:rPr>
          <w:sz w:val="12"/>
        </w:rPr>
        <w:t>86</w:t>
        <w:tab/>
      </w:r>
      <w:r>
        <w:rPr>
          <w:spacing w:val="-10"/>
          <w:sz w:val="12"/>
        </w:rPr>
        <w:t>88</w:t>
      </w:r>
    </w:p>
    <w:p>
      <w:pPr>
        <w:tabs>
          <w:tab w:pos="553" w:val="left" w:leader="none"/>
        </w:tabs>
        <w:spacing w:before="82"/>
        <w:ind w:left="199" w:right="0" w:firstLine="0"/>
        <w:jc w:val="left"/>
        <w:rPr>
          <w:sz w:val="12"/>
        </w:rPr>
      </w:pPr>
      <w:r>
        <w:rPr/>
        <w:br w:type="column"/>
      </w:r>
      <w:r>
        <w:rPr>
          <w:sz w:val="12"/>
        </w:rPr>
        <w:t>90</w:t>
        <w:tab/>
      </w:r>
      <w:r>
        <w:rPr>
          <w:spacing w:val="-10"/>
          <w:sz w:val="12"/>
        </w:rPr>
        <w:t>92</w:t>
      </w:r>
    </w:p>
    <w:p>
      <w:pPr>
        <w:tabs>
          <w:tab w:pos="559" w:val="left" w:leader="none"/>
        </w:tabs>
        <w:spacing w:before="82"/>
        <w:ind w:left="202" w:right="0" w:firstLine="0"/>
        <w:jc w:val="left"/>
        <w:rPr>
          <w:sz w:val="12"/>
        </w:rPr>
      </w:pPr>
      <w:r>
        <w:rPr/>
        <w:br w:type="column"/>
      </w:r>
      <w:r>
        <w:rPr>
          <w:sz w:val="12"/>
        </w:rPr>
        <w:t>94</w:t>
        <w:tab/>
      </w:r>
      <w:r>
        <w:rPr>
          <w:spacing w:val="-10"/>
          <w:sz w:val="12"/>
        </w:rPr>
        <w:t>96</w:t>
      </w:r>
    </w:p>
    <w:p>
      <w:pPr>
        <w:spacing w:line="220" w:lineRule="exact" w:before="0"/>
        <w:ind w:left="200" w:right="0" w:firstLine="0"/>
        <w:jc w:val="left"/>
        <w:rPr>
          <w:sz w:val="12"/>
        </w:rPr>
      </w:pPr>
      <w:r>
        <w:rPr/>
        <w:br w:type="column"/>
      </w:r>
      <w:r>
        <w:rPr>
          <w:sz w:val="12"/>
        </w:rPr>
        <w:t>98 2000 </w:t>
      </w:r>
      <w:r>
        <w:rPr>
          <w:position w:val="9"/>
          <w:sz w:val="12"/>
        </w:rPr>
        <w:t>0</w:t>
      </w:r>
    </w:p>
    <w:p>
      <w:pPr>
        <w:spacing w:after="0" w:line="220" w:lineRule="exact"/>
        <w:jc w:val="left"/>
        <w:rPr>
          <w:sz w:val="12"/>
        </w:rPr>
        <w:sectPr>
          <w:type w:val="continuous"/>
          <w:pgSz w:w="11900" w:h="16840"/>
          <w:pgMar w:top="1260" w:bottom="280" w:left="640" w:right="640"/>
          <w:cols w:num="4" w:equalWidth="0">
            <w:col w:w="1151" w:space="40"/>
            <w:col w:w="674" w:space="39"/>
            <w:col w:w="680" w:space="40"/>
            <w:col w:w="7996"/>
          </w:cols>
        </w:sectPr>
      </w:pPr>
    </w:p>
    <w:p>
      <w:pPr>
        <w:pStyle w:val="BodyText"/>
        <w:spacing w:before="5"/>
        <w:rPr>
          <w:sz w:val="13"/>
        </w:rPr>
      </w:pPr>
    </w:p>
    <w:p>
      <w:pPr>
        <w:spacing w:line="208" w:lineRule="auto" w:before="0"/>
        <w:ind w:left="410" w:right="153" w:hanging="240"/>
        <w:jc w:val="left"/>
        <w:rPr>
          <w:sz w:val="12"/>
        </w:rPr>
      </w:pPr>
      <w:r>
        <w:rPr>
          <w:sz w:val="12"/>
        </w:rPr>
        <w:t>(a) Drawn from the LFS, adjusted for a discontinuity in 1992. Annual data before 1992.</w:t>
      </w:r>
    </w:p>
    <w:p>
      <w:pPr>
        <w:pStyle w:val="BodyText"/>
        <w:rPr>
          <w:sz w:val="12"/>
        </w:rPr>
      </w:pPr>
    </w:p>
    <w:p>
      <w:pPr>
        <w:pStyle w:val="BodyText"/>
        <w:spacing w:before="7"/>
        <w:rPr>
          <w:sz w:val="17"/>
        </w:rPr>
      </w:pPr>
    </w:p>
    <w:p>
      <w:pPr>
        <w:spacing w:before="0"/>
        <w:ind w:left="170" w:right="0" w:firstLine="0"/>
        <w:jc w:val="left"/>
        <w:rPr>
          <w:b/>
          <w:sz w:val="20"/>
        </w:rPr>
      </w:pPr>
      <w:r>
        <w:rPr>
          <w:b/>
          <w:color w:val="0092C7"/>
          <w:sz w:val="20"/>
        </w:rPr>
        <w:t>Chart 3.8</w:t>
      </w:r>
    </w:p>
    <w:p>
      <w:pPr>
        <w:spacing w:before="10"/>
        <w:ind w:left="170" w:right="0" w:firstLine="0"/>
        <w:jc w:val="left"/>
        <w:rPr>
          <w:sz w:val="12"/>
        </w:rPr>
      </w:pPr>
      <w:r>
        <w:rPr>
          <w:b/>
          <w:color w:val="0092C7"/>
          <w:sz w:val="20"/>
        </w:rPr>
        <w:t>Inactivity rates of different age groups</w:t>
      </w:r>
      <w:r>
        <w:rPr>
          <w:position w:val="4"/>
          <w:sz w:val="12"/>
        </w:rPr>
        <w:t>(a)</w:t>
      </w:r>
    </w:p>
    <w:p>
      <w:pPr>
        <w:spacing w:line="121" w:lineRule="exact" w:before="93"/>
        <w:ind w:left="1699" w:right="0" w:firstLine="0"/>
        <w:jc w:val="left"/>
        <w:rPr>
          <w:sz w:val="12"/>
        </w:rPr>
      </w:pPr>
      <w:r>
        <w:rPr>
          <w:sz w:val="12"/>
        </w:rPr>
        <w:t>Per cent of working-age population</w:t>
      </w:r>
    </w:p>
    <w:p>
      <w:pPr>
        <w:spacing w:line="121" w:lineRule="exact" w:before="0"/>
        <w:ind w:left="3430" w:right="0" w:firstLine="0"/>
        <w:jc w:val="left"/>
        <w:rPr>
          <w:sz w:val="12"/>
        </w:rPr>
      </w:pPr>
      <w:r>
        <w:rPr/>
        <w:drawing>
          <wp:anchor distT="0" distB="0" distL="0" distR="0" allowOverlap="1" layoutInCell="1" locked="0" behindDoc="0" simplePos="0" relativeHeight="16032256">
            <wp:simplePos x="0" y="0"/>
            <wp:positionH relativeFrom="page">
              <wp:posOffset>532295</wp:posOffset>
            </wp:positionH>
            <wp:positionV relativeFrom="paragraph">
              <wp:posOffset>31777</wp:posOffset>
            </wp:positionV>
            <wp:extent cx="55029" cy="6350"/>
            <wp:effectExtent l="0" t="0" r="0" b="0"/>
            <wp:wrapNone/>
            <wp:docPr id="151" name="image14.png"/>
            <wp:cNvGraphicFramePr>
              <a:graphicFrameLocks noChangeAspect="1"/>
            </wp:cNvGraphicFramePr>
            <a:graphic>
              <a:graphicData uri="http://schemas.openxmlformats.org/drawingml/2006/picture">
                <pic:pic>
                  <pic:nvPicPr>
                    <pic:cNvPr id="152" name="image14.png"/>
                    <pic:cNvPicPr/>
                  </pic:nvPicPr>
                  <pic:blipFill>
                    <a:blip r:embed="rId39"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032768">
            <wp:simplePos x="0" y="0"/>
            <wp:positionH relativeFrom="page">
              <wp:posOffset>2511298</wp:posOffset>
            </wp:positionH>
            <wp:positionV relativeFrom="paragraph">
              <wp:posOffset>30075</wp:posOffset>
            </wp:positionV>
            <wp:extent cx="55041" cy="6350"/>
            <wp:effectExtent l="0" t="0" r="0" b="0"/>
            <wp:wrapNone/>
            <wp:docPr id="153" name="image24.png"/>
            <wp:cNvGraphicFramePr>
              <a:graphicFrameLocks noChangeAspect="1"/>
            </wp:cNvGraphicFramePr>
            <a:graphic>
              <a:graphicData uri="http://schemas.openxmlformats.org/drawingml/2006/picture">
                <pic:pic>
                  <pic:nvPicPr>
                    <pic:cNvPr id="154" name="image24.png"/>
                    <pic:cNvPicPr/>
                  </pic:nvPicPr>
                  <pic:blipFill>
                    <a:blip r:embed="rId53" cstate="print"/>
                    <a:stretch>
                      <a:fillRect/>
                    </a:stretch>
                  </pic:blipFill>
                  <pic:spPr>
                    <a:xfrm>
                      <a:off x="0" y="0"/>
                      <a:ext cx="55041" cy="6350"/>
                    </a:xfrm>
                    <a:prstGeom prst="rect">
                      <a:avLst/>
                    </a:prstGeom>
                  </pic:spPr>
                </pic:pic>
              </a:graphicData>
            </a:graphic>
          </wp:anchor>
        </w:drawing>
      </w:r>
      <w:r>
        <w:rPr>
          <w:sz w:val="12"/>
        </w:rPr>
        <w:t>50</w:t>
      </w:r>
    </w:p>
    <w:p>
      <w:pPr>
        <w:pStyle w:val="BodyText"/>
        <w:rPr>
          <w:sz w:val="12"/>
        </w:rPr>
      </w:pPr>
    </w:p>
    <w:p>
      <w:pPr>
        <w:spacing w:before="84"/>
        <w:ind w:left="0" w:right="63" w:firstLine="0"/>
        <w:jc w:val="right"/>
        <w:rPr>
          <w:sz w:val="12"/>
        </w:rPr>
      </w:pPr>
      <w:r>
        <w:rPr/>
        <w:pict>
          <v:group style="position:absolute;margin-left:52.375pt;margin-top:-1.007356pt;width:149.7pt;height:46.95pt;mso-position-horizontal-relative:page;mso-position-vertical-relative:paragraph;z-index:16027136" coordorigin="1048,-20" coordsize="2994,939">
            <v:shape style="position:absolute;left:1047;top:27;width:2994;height:890" type="#_x0000_t75" stroked="false">
              <v:imagedata r:id="rId119" o:title=""/>
            </v:shape>
            <v:shape style="position:absolute;left:2254;top:-21;width:321;height:133" type="#_x0000_t202" filled="false" stroked="false">
              <v:textbox inset="0,0,0,0">
                <w:txbxContent>
                  <w:p>
                    <w:pPr>
                      <w:spacing w:line="133" w:lineRule="exact" w:before="0"/>
                      <w:ind w:left="0" w:right="0" w:firstLine="0"/>
                      <w:jc w:val="left"/>
                      <w:rPr>
                        <w:sz w:val="12"/>
                      </w:rPr>
                    </w:pPr>
                    <w:r>
                      <w:rPr>
                        <w:sz w:val="12"/>
                      </w:rPr>
                      <w:t>16–17</w:t>
                    </w:r>
                  </w:p>
                </w:txbxContent>
              </v:textbox>
              <w10:wrap type="none"/>
            </v:shape>
            <w10:wrap type="none"/>
          </v:group>
        </w:pict>
      </w:r>
      <w:r>
        <w:rPr/>
        <w:drawing>
          <wp:anchor distT="0" distB="0" distL="0" distR="0" allowOverlap="1" layoutInCell="1" locked="0" behindDoc="0" simplePos="0" relativeHeight="16029184">
            <wp:simplePos x="0" y="0"/>
            <wp:positionH relativeFrom="page">
              <wp:posOffset>532295</wp:posOffset>
            </wp:positionH>
            <wp:positionV relativeFrom="paragraph">
              <wp:posOffset>95897</wp:posOffset>
            </wp:positionV>
            <wp:extent cx="55029" cy="6350"/>
            <wp:effectExtent l="0" t="0" r="0" b="0"/>
            <wp:wrapNone/>
            <wp:docPr id="155" name="image14.png"/>
            <wp:cNvGraphicFramePr>
              <a:graphicFrameLocks noChangeAspect="1"/>
            </wp:cNvGraphicFramePr>
            <a:graphic>
              <a:graphicData uri="http://schemas.openxmlformats.org/drawingml/2006/picture">
                <pic:pic>
                  <pic:nvPicPr>
                    <pic:cNvPr id="156" name="image14.png"/>
                    <pic:cNvPicPr/>
                  </pic:nvPicPr>
                  <pic:blipFill>
                    <a:blip r:embed="rId39" cstate="print"/>
                    <a:stretch>
                      <a:fillRect/>
                    </a:stretch>
                  </pic:blipFill>
                  <pic:spPr>
                    <a:xfrm>
                      <a:off x="0" y="0"/>
                      <a:ext cx="55029" cy="6350"/>
                    </a:xfrm>
                    <a:prstGeom prst="rect">
                      <a:avLst/>
                    </a:prstGeom>
                  </pic:spPr>
                </pic:pic>
              </a:graphicData>
            </a:graphic>
          </wp:anchor>
        </w:drawing>
      </w:r>
      <w:r>
        <w:rPr>
          <w:sz w:val="12"/>
        </w:rPr>
        <w:t>45</w:t>
      </w:r>
    </w:p>
    <w:p>
      <w:pPr>
        <w:pStyle w:val="BodyText"/>
        <w:rPr>
          <w:sz w:val="12"/>
        </w:rPr>
      </w:pPr>
    </w:p>
    <w:p>
      <w:pPr>
        <w:spacing w:before="85"/>
        <w:ind w:left="0" w:right="63" w:firstLine="0"/>
        <w:jc w:val="right"/>
        <w:rPr>
          <w:sz w:val="12"/>
        </w:rPr>
      </w:pPr>
      <w:r>
        <w:rPr/>
        <w:drawing>
          <wp:anchor distT="0" distB="0" distL="0" distR="0" allowOverlap="1" layoutInCell="1" locked="0" behindDoc="0" simplePos="0" relativeHeight="16029696">
            <wp:simplePos x="0" y="0"/>
            <wp:positionH relativeFrom="page">
              <wp:posOffset>532295</wp:posOffset>
            </wp:positionH>
            <wp:positionV relativeFrom="paragraph">
              <wp:posOffset>96542</wp:posOffset>
            </wp:positionV>
            <wp:extent cx="55029" cy="6350"/>
            <wp:effectExtent l="0" t="0" r="0" b="0"/>
            <wp:wrapNone/>
            <wp:docPr id="157" name="image17.png"/>
            <wp:cNvGraphicFramePr>
              <a:graphicFrameLocks noChangeAspect="1"/>
            </wp:cNvGraphicFramePr>
            <a:graphic>
              <a:graphicData uri="http://schemas.openxmlformats.org/drawingml/2006/picture">
                <pic:pic>
                  <pic:nvPicPr>
                    <pic:cNvPr id="158" name="image17.png"/>
                    <pic:cNvPicPr/>
                  </pic:nvPicPr>
                  <pic:blipFill>
                    <a:blip r:embed="rId42" cstate="print"/>
                    <a:stretch>
                      <a:fillRect/>
                    </a:stretch>
                  </pic:blipFill>
                  <pic:spPr>
                    <a:xfrm>
                      <a:off x="0" y="0"/>
                      <a:ext cx="55029" cy="6350"/>
                    </a:xfrm>
                    <a:prstGeom prst="rect">
                      <a:avLst/>
                    </a:prstGeom>
                  </pic:spPr>
                </pic:pic>
              </a:graphicData>
            </a:graphic>
          </wp:anchor>
        </w:drawing>
      </w:r>
      <w:r>
        <w:rPr>
          <w:sz w:val="12"/>
        </w:rPr>
        <w:t>40</w:t>
      </w:r>
    </w:p>
    <w:p>
      <w:pPr>
        <w:pStyle w:val="BodyText"/>
        <w:rPr>
          <w:sz w:val="12"/>
        </w:rPr>
      </w:pPr>
    </w:p>
    <w:p>
      <w:pPr>
        <w:spacing w:line="124" w:lineRule="exact" w:before="85"/>
        <w:ind w:left="3430" w:right="0" w:firstLine="0"/>
        <w:jc w:val="left"/>
        <w:rPr>
          <w:sz w:val="12"/>
        </w:rPr>
      </w:pPr>
      <w:r>
        <w:rPr/>
        <w:drawing>
          <wp:anchor distT="0" distB="0" distL="0" distR="0" allowOverlap="1" layoutInCell="1" locked="0" behindDoc="0" simplePos="0" relativeHeight="16030208">
            <wp:simplePos x="0" y="0"/>
            <wp:positionH relativeFrom="page">
              <wp:posOffset>532295</wp:posOffset>
            </wp:positionH>
            <wp:positionV relativeFrom="paragraph">
              <wp:posOffset>96539</wp:posOffset>
            </wp:positionV>
            <wp:extent cx="55029" cy="6350"/>
            <wp:effectExtent l="0" t="0" r="0" b="0"/>
            <wp:wrapNone/>
            <wp:docPr id="159" name="image17.png"/>
            <wp:cNvGraphicFramePr>
              <a:graphicFrameLocks noChangeAspect="1"/>
            </wp:cNvGraphicFramePr>
            <a:graphic>
              <a:graphicData uri="http://schemas.openxmlformats.org/drawingml/2006/picture">
                <pic:pic>
                  <pic:nvPicPr>
                    <pic:cNvPr id="160" name="image17.png"/>
                    <pic:cNvPicPr/>
                  </pic:nvPicPr>
                  <pic:blipFill>
                    <a:blip r:embed="rId42" cstate="print"/>
                    <a:stretch>
                      <a:fillRect/>
                    </a:stretch>
                  </pic:blipFill>
                  <pic:spPr>
                    <a:xfrm>
                      <a:off x="0" y="0"/>
                      <a:ext cx="55029" cy="6350"/>
                    </a:xfrm>
                    <a:prstGeom prst="rect">
                      <a:avLst/>
                    </a:prstGeom>
                  </pic:spPr>
                </pic:pic>
              </a:graphicData>
            </a:graphic>
          </wp:anchor>
        </w:drawing>
      </w:r>
      <w:r>
        <w:rPr>
          <w:sz w:val="12"/>
        </w:rPr>
        <w:t>35</w:t>
      </w:r>
    </w:p>
    <w:p>
      <w:pPr>
        <w:spacing w:line="124" w:lineRule="exact" w:before="0"/>
        <w:ind w:left="1907" w:right="1214" w:firstLine="0"/>
        <w:jc w:val="center"/>
        <w:rPr>
          <w:sz w:val="12"/>
        </w:rPr>
      </w:pPr>
      <w:r>
        <w:rPr/>
        <w:drawing>
          <wp:anchor distT="0" distB="0" distL="0" distR="0" allowOverlap="1" layoutInCell="1" locked="0" behindDoc="0" simplePos="0" relativeHeight="16028672">
            <wp:simplePos x="0" y="0"/>
            <wp:positionH relativeFrom="page">
              <wp:posOffset>665162</wp:posOffset>
            </wp:positionH>
            <wp:positionV relativeFrom="paragraph">
              <wp:posOffset>94220</wp:posOffset>
            </wp:positionV>
            <wp:extent cx="1901177" cy="107950"/>
            <wp:effectExtent l="0" t="0" r="0" b="0"/>
            <wp:wrapNone/>
            <wp:docPr id="161" name="image68.png"/>
            <wp:cNvGraphicFramePr>
              <a:graphicFrameLocks noChangeAspect="1"/>
            </wp:cNvGraphicFramePr>
            <a:graphic>
              <a:graphicData uri="http://schemas.openxmlformats.org/drawingml/2006/picture">
                <pic:pic>
                  <pic:nvPicPr>
                    <pic:cNvPr id="162" name="image68.png"/>
                    <pic:cNvPicPr/>
                  </pic:nvPicPr>
                  <pic:blipFill>
                    <a:blip r:embed="rId120" cstate="print"/>
                    <a:stretch>
                      <a:fillRect/>
                    </a:stretch>
                  </pic:blipFill>
                  <pic:spPr>
                    <a:xfrm>
                      <a:off x="0" y="0"/>
                      <a:ext cx="1901177" cy="107950"/>
                    </a:xfrm>
                    <a:prstGeom prst="rect">
                      <a:avLst/>
                    </a:prstGeom>
                  </pic:spPr>
                </pic:pic>
              </a:graphicData>
            </a:graphic>
          </wp:anchor>
        </w:drawing>
      </w:r>
      <w:r>
        <w:rPr>
          <w:sz w:val="12"/>
        </w:rPr>
        <w:t>50–59/64</w:t>
      </w:r>
    </w:p>
    <w:p>
      <w:pPr>
        <w:pStyle w:val="BodyText"/>
        <w:spacing w:before="8"/>
        <w:rPr>
          <w:sz w:val="9"/>
        </w:rPr>
      </w:pPr>
    </w:p>
    <w:p>
      <w:pPr>
        <w:spacing w:before="0"/>
        <w:ind w:left="0" w:right="63" w:firstLine="0"/>
        <w:jc w:val="right"/>
        <w:rPr>
          <w:sz w:val="12"/>
        </w:rPr>
      </w:pPr>
      <w:r>
        <w:rPr/>
        <w:drawing>
          <wp:anchor distT="0" distB="0" distL="0" distR="0" allowOverlap="1" layoutInCell="1" locked="0" behindDoc="0" simplePos="0" relativeHeight="16030720">
            <wp:simplePos x="0" y="0"/>
            <wp:positionH relativeFrom="page">
              <wp:posOffset>532295</wp:posOffset>
            </wp:positionH>
            <wp:positionV relativeFrom="paragraph">
              <wp:posOffset>42562</wp:posOffset>
            </wp:positionV>
            <wp:extent cx="55029" cy="6350"/>
            <wp:effectExtent l="0" t="0" r="0" b="0"/>
            <wp:wrapNone/>
            <wp:docPr id="163" name="image17.png"/>
            <wp:cNvGraphicFramePr>
              <a:graphicFrameLocks noChangeAspect="1"/>
            </wp:cNvGraphicFramePr>
            <a:graphic>
              <a:graphicData uri="http://schemas.openxmlformats.org/drawingml/2006/picture">
                <pic:pic>
                  <pic:nvPicPr>
                    <pic:cNvPr id="164" name="image17.png"/>
                    <pic:cNvPicPr/>
                  </pic:nvPicPr>
                  <pic:blipFill>
                    <a:blip r:embed="rId42" cstate="print"/>
                    <a:stretch>
                      <a:fillRect/>
                    </a:stretch>
                  </pic:blipFill>
                  <pic:spPr>
                    <a:xfrm>
                      <a:off x="0" y="0"/>
                      <a:ext cx="55029" cy="6350"/>
                    </a:xfrm>
                    <a:prstGeom prst="rect">
                      <a:avLst/>
                    </a:prstGeom>
                  </pic:spPr>
                </pic:pic>
              </a:graphicData>
            </a:graphic>
          </wp:anchor>
        </w:drawing>
      </w:r>
      <w:r>
        <w:rPr>
          <w:sz w:val="12"/>
        </w:rPr>
        <w:t>30</w:t>
      </w:r>
    </w:p>
    <w:p>
      <w:pPr>
        <w:pStyle w:val="BodyText"/>
        <w:spacing w:line="242" w:lineRule="auto" w:before="40"/>
        <w:ind w:left="170" w:right="184"/>
      </w:pPr>
      <w:r>
        <w:rPr/>
        <w:br w:type="column"/>
      </w:r>
      <w:r>
        <w:rPr/>
        <w:t>The future path of inactivity (or its obverse, participation) will be affected by several factors. The currently inactive are likely to be encouraged to participate if labour demand continues to grow. And the incentives associated with Government initiatives such as the Working Families Tax Credit (WFTC) will also tend to raise participation. Demographic factors are also likely to play some role. Chart 3.8 shows that different age groups have tended to have different inactivity rates. And men have lower inactivity rates than women, although female inactivity has fallen in recent years</w:t>
      </w:r>
    </w:p>
    <w:p>
      <w:pPr>
        <w:spacing w:after="0" w:line="242" w:lineRule="auto"/>
        <w:sectPr>
          <w:type w:val="continuous"/>
          <w:pgSz w:w="11900" w:h="16840"/>
          <w:pgMar w:top="1260" w:bottom="280" w:left="640" w:right="640"/>
          <w:cols w:num="2" w:equalWidth="0">
            <w:col w:w="3616" w:space="1185"/>
            <w:col w:w="5819"/>
          </w:cols>
        </w:sectPr>
      </w:pPr>
    </w:p>
    <w:p>
      <w:pPr>
        <w:spacing w:before="49"/>
        <w:ind w:left="470" w:right="0" w:firstLine="0"/>
        <w:jc w:val="left"/>
        <w:rPr>
          <w:sz w:val="12"/>
        </w:rPr>
      </w:pPr>
      <w:r>
        <w:rPr/>
        <w:pict>
          <v:group style="position:absolute;margin-left:52.375pt;margin-top:8.174763pt;width:149.7pt;height:40.25pt;mso-position-horizontal-relative:page;mso-position-vertical-relative:paragraph;z-index:-22624768" coordorigin="1048,163" coordsize="2994,805">
            <v:shape style="position:absolute;left:1047;top:163;width:2994;height:805" type="#_x0000_t75" stroked="false">
              <v:imagedata r:id="rId121" o:title=""/>
            </v:shape>
            <v:shape style="position:absolute;left:2663;top:580;width:321;height:133" type="#_x0000_t202" filled="false" stroked="false">
              <v:textbox inset="0,0,0,0">
                <w:txbxContent>
                  <w:p>
                    <w:pPr>
                      <w:spacing w:line="133" w:lineRule="exact" w:before="0"/>
                      <w:ind w:left="0" w:right="0" w:firstLine="0"/>
                      <w:jc w:val="left"/>
                      <w:rPr>
                        <w:sz w:val="12"/>
                      </w:rPr>
                    </w:pPr>
                    <w:r>
                      <w:rPr>
                        <w:sz w:val="12"/>
                      </w:rPr>
                      <w:t>25–34</w:t>
                    </w:r>
                  </w:p>
                </w:txbxContent>
              </v:textbox>
              <w10:wrap type="none"/>
            </v:shape>
            <w10:wrap type="none"/>
          </v:group>
        </w:pict>
      </w:r>
      <w:r>
        <w:rPr/>
        <w:drawing>
          <wp:anchor distT="0" distB="0" distL="0" distR="0" allowOverlap="1" layoutInCell="1" locked="0" behindDoc="0" simplePos="0" relativeHeight="16031232">
            <wp:simplePos x="0" y="0"/>
            <wp:positionH relativeFrom="page">
              <wp:posOffset>532295</wp:posOffset>
            </wp:positionH>
            <wp:positionV relativeFrom="paragraph">
              <wp:posOffset>105508</wp:posOffset>
            </wp:positionV>
            <wp:extent cx="55029" cy="6350"/>
            <wp:effectExtent l="0" t="0" r="0" b="0"/>
            <wp:wrapNone/>
            <wp:docPr id="165" name="image17.png"/>
            <wp:cNvGraphicFramePr>
              <a:graphicFrameLocks noChangeAspect="1"/>
            </wp:cNvGraphicFramePr>
            <a:graphic>
              <a:graphicData uri="http://schemas.openxmlformats.org/drawingml/2006/picture">
                <pic:pic>
                  <pic:nvPicPr>
                    <pic:cNvPr id="166" name="image17.png"/>
                    <pic:cNvPicPr/>
                  </pic:nvPicPr>
                  <pic:blipFill>
                    <a:blip r:embed="rId42" cstate="print"/>
                    <a:stretch>
                      <a:fillRect/>
                    </a:stretch>
                  </pic:blipFill>
                  <pic:spPr>
                    <a:xfrm>
                      <a:off x="0" y="0"/>
                      <a:ext cx="55029" cy="6350"/>
                    </a:xfrm>
                    <a:prstGeom prst="rect">
                      <a:avLst/>
                    </a:prstGeom>
                  </pic:spPr>
                </pic:pic>
              </a:graphicData>
            </a:graphic>
          </wp:anchor>
        </w:drawing>
      </w:r>
      <w:r>
        <w:rPr>
          <w:sz w:val="12"/>
        </w:rPr>
        <w:t>Working-age population</w:t>
      </w:r>
    </w:p>
    <w:p>
      <w:pPr>
        <w:pStyle w:val="BodyText"/>
        <w:spacing w:before="1"/>
        <w:rPr>
          <w:sz w:val="26"/>
        </w:rPr>
      </w:pPr>
      <w:r>
        <w:rPr/>
        <w:drawing>
          <wp:anchor distT="0" distB="0" distL="0" distR="0" allowOverlap="1" layoutInCell="1" locked="0" behindDoc="0" simplePos="0" relativeHeight="571">
            <wp:simplePos x="0" y="0"/>
            <wp:positionH relativeFrom="page">
              <wp:posOffset>532295</wp:posOffset>
            </wp:positionH>
            <wp:positionV relativeFrom="paragraph">
              <wp:posOffset>215680</wp:posOffset>
            </wp:positionV>
            <wp:extent cx="55304" cy="6381"/>
            <wp:effectExtent l="0" t="0" r="0" b="0"/>
            <wp:wrapTopAndBottom/>
            <wp:docPr id="167" name="image14.png"/>
            <wp:cNvGraphicFramePr>
              <a:graphicFrameLocks noChangeAspect="1"/>
            </wp:cNvGraphicFramePr>
            <a:graphic>
              <a:graphicData uri="http://schemas.openxmlformats.org/drawingml/2006/picture">
                <pic:pic>
                  <pic:nvPicPr>
                    <pic:cNvPr id="168" name="image14.png"/>
                    <pic:cNvPicPr/>
                  </pic:nvPicPr>
                  <pic:blipFill>
                    <a:blip r:embed="rId39"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572">
            <wp:simplePos x="0" y="0"/>
            <wp:positionH relativeFrom="page">
              <wp:posOffset>532295</wp:posOffset>
            </wp:positionH>
            <wp:positionV relativeFrom="paragraph">
              <wp:posOffset>444674</wp:posOffset>
            </wp:positionV>
            <wp:extent cx="55304" cy="6381"/>
            <wp:effectExtent l="0" t="0" r="0" b="0"/>
            <wp:wrapTopAndBottom/>
            <wp:docPr id="169" name="image14.png"/>
            <wp:cNvGraphicFramePr>
              <a:graphicFrameLocks noChangeAspect="1"/>
            </wp:cNvGraphicFramePr>
            <a:graphic>
              <a:graphicData uri="http://schemas.openxmlformats.org/drawingml/2006/picture">
                <pic:pic>
                  <pic:nvPicPr>
                    <pic:cNvPr id="170" name="image14.png"/>
                    <pic:cNvPicPr/>
                  </pic:nvPicPr>
                  <pic:blipFill>
                    <a:blip r:embed="rId39" cstate="print"/>
                    <a:stretch>
                      <a:fillRect/>
                    </a:stretch>
                  </pic:blipFill>
                  <pic:spPr>
                    <a:xfrm>
                      <a:off x="0" y="0"/>
                      <a:ext cx="55304" cy="6381"/>
                    </a:xfrm>
                    <a:prstGeom prst="rect">
                      <a:avLst/>
                    </a:prstGeom>
                  </pic:spPr>
                </pic:pic>
              </a:graphicData>
            </a:graphic>
          </wp:anchor>
        </w:drawing>
      </w:r>
    </w:p>
    <w:p>
      <w:pPr>
        <w:pStyle w:val="BodyText"/>
        <w:spacing w:before="6"/>
      </w:pPr>
    </w:p>
    <w:p>
      <w:pPr>
        <w:spacing w:before="61"/>
        <w:ind w:left="0" w:right="38" w:firstLine="0"/>
        <w:jc w:val="right"/>
        <w:rPr>
          <w:sz w:val="12"/>
        </w:rPr>
      </w:pPr>
      <w:r>
        <w:rPr>
          <w:sz w:val="12"/>
        </w:rPr>
        <w:t>35–49</w:t>
      </w:r>
    </w:p>
    <w:p>
      <w:pPr>
        <w:tabs>
          <w:tab w:pos="1056" w:val="left" w:leader="none"/>
        </w:tabs>
        <w:spacing w:before="79"/>
        <w:ind w:left="0" w:right="38" w:firstLine="0"/>
        <w:jc w:val="right"/>
        <w:rPr>
          <w:sz w:val="12"/>
        </w:rPr>
      </w:pPr>
      <w:r>
        <w:rPr/>
        <w:br w:type="column"/>
      </w:r>
      <w:r>
        <w:rPr>
          <w:position w:val="2"/>
          <w:sz w:val="12"/>
        </w:rPr>
        <w:t>18–24</w:t>
        <w:tab/>
      </w:r>
      <w:r>
        <w:rPr>
          <w:sz w:val="12"/>
        </w:rPr>
        <w:t>25</w:t>
      </w:r>
    </w:p>
    <w:p>
      <w:pPr>
        <w:pStyle w:val="BodyText"/>
        <w:spacing w:before="4"/>
        <w:rPr>
          <w:sz w:val="19"/>
        </w:rPr>
      </w:pPr>
    </w:p>
    <w:p>
      <w:pPr>
        <w:spacing w:before="0"/>
        <w:ind w:left="0" w:right="38" w:firstLine="0"/>
        <w:jc w:val="right"/>
        <w:rPr>
          <w:sz w:val="12"/>
        </w:rPr>
      </w:pPr>
      <w:r>
        <w:rPr>
          <w:sz w:val="12"/>
        </w:rPr>
        <w:t>20</w:t>
      </w:r>
    </w:p>
    <w:p>
      <w:pPr>
        <w:pStyle w:val="BodyText"/>
        <w:rPr>
          <w:sz w:val="12"/>
        </w:rPr>
      </w:pPr>
    </w:p>
    <w:p>
      <w:pPr>
        <w:spacing w:before="84"/>
        <w:ind w:left="0" w:right="38" w:firstLine="0"/>
        <w:jc w:val="right"/>
        <w:rPr>
          <w:sz w:val="12"/>
        </w:rPr>
      </w:pPr>
      <w:r>
        <w:rPr>
          <w:sz w:val="12"/>
        </w:rPr>
        <w:t>15</w:t>
      </w:r>
    </w:p>
    <w:p>
      <w:pPr>
        <w:pStyle w:val="BodyText"/>
        <w:rPr>
          <w:sz w:val="12"/>
        </w:rPr>
      </w:pPr>
    </w:p>
    <w:p>
      <w:pPr>
        <w:spacing w:line="133" w:lineRule="exact" w:before="85"/>
        <w:ind w:left="1254" w:right="0" w:firstLine="0"/>
        <w:jc w:val="left"/>
        <w:rPr>
          <w:sz w:val="12"/>
        </w:rPr>
      </w:pPr>
      <w:r>
        <w:rPr/>
        <w:drawing>
          <wp:anchor distT="0" distB="0" distL="0" distR="0" allowOverlap="1" layoutInCell="1" locked="0" behindDoc="0" simplePos="0" relativeHeight="16031744">
            <wp:simplePos x="0" y="0"/>
            <wp:positionH relativeFrom="page">
              <wp:posOffset>532295</wp:posOffset>
            </wp:positionH>
            <wp:positionV relativeFrom="paragraph">
              <wp:posOffset>94838</wp:posOffset>
            </wp:positionV>
            <wp:extent cx="2046008" cy="88950"/>
            <wp:effectExtent l="0" t="0" r="0" b="0"/>
            <wp:wrapNone/>
            <wp:docPr id="171" name="image70.png"/>
            <wp:cNvGraphicFramePr>
              <a:graphicFrameLocks noChangeAspect="1"/>
            </wp:cNvGraphicFramePr>
            <a:graphic>
              <a:graphicData uri="http://schemas.openxmlformats.org/drawingml/2006/picture">
                <pic:pic>
                  <pic:nvPicPr>
                    <pic:cNvPr id="172" name="image70.png"/>
                    <pic:cNvPicPr/>
                  </pic:nvPicPr>
                  <pic:blipFill>
                    <a:blip r:embed="rId122" cstate="print"/>
                    <a:stretch>
                      <a:fillRect/>
                    </a:stretch>
                  </pic:blipFill>
                  <pic:spPr>
                    <a:xfrm>
                      <a:off x="0" y="0"/>
                      <a:ext cx="2046008" cy="88950"/>
                    </a:xfrm>
                    <a:prstGeom prst="rect">
                      <a:avLst/>
                    </a:prstGeom>
                  </pic:spPr>
                </pic:pic>
              </a:graphicData>
            </a:graphic>
          </wp:anchor>
        </w:drawing>
      </w:r>
      <w:r>
        <w:rPr>
          <w:sz w:val="12"/>
        </w:rPr>
        <w:t>10</w:t>
      </w:r>
    </w:p>
    <w:p>
      <w:pPr>
        <w:spacing w:line="105" w:lineRule="exact" w:before="0"/>
        <w:ind w:left="1314" w:right="0" w:firstLine="0"/>
        <w:jc w:val="left"/>
        <w:rPr>
          <w:sz w:val="12"/>
        </w:rPr>
      </w:pPr>
      <w:r>
        <w:rPr>
          <w:sz w:val="12"/>
        </w:rPr>
        <w:t>0</w:t>
      </w:r>
    </w:p>
    <w:p>
      <w:pPr>
        <w:pStyle w:val="BodyText"/>
        <w:spacing w:line="242" w:lineRule="auto" w:before="14"/>
        <w:ind w:left="198"/>
      </w:pPr>
      <w:r>
        <w:rPr/>
        <w:br w:type="column"/>
      </w:r>
      <w:r>
        <w:rPr/>
        <w:t>whereas male inactivity has risen. Developments in the microeconomic influences on the decision to participate, such as educational qualification levels, are also likely to have important effects on inactivity rates. While there remains considerable uncertainty surrounding this issue,</w:t>
      </w:r>
    </w:p>
    <w:p>
      <w:pPr>
        <w:spacing w:after="0" w:line="242" w:lineRule="auto"/>
        <w:sectPr>
          <w:type w:val="continuous"/>
          <w:pgSz w:w="11900" w:h="16840"/>
          <w:pgMar w:top="1260" w:bottom="280" w:left="640" w:right="640"/>
          <w:cols w:num="3" w:equalWidth="0">
            <w:col w:w="1980" w:space="197"/>
            <w:col w:w="1415" w:space="1182"/>
            <w:col w:w="5846"/>
          </w:cols>
        </w:sectPr>
      </w:pPr>
    </w:p>
    <w:p>
      <w:pPr>
        <w:tabs>
          <w:tab w:pos="670" w:val="left" w:leader="none"/>
          <w:tab w:pos="1022" w:val="left" w:leader="none"/>
          <w:tab w:pos="1362" w:val="left" w:leader="none"/>
          <w:tab w:pos="1712" w:val="left" w:leader="none"/>
          <w:tab w:pos="2065" w:val="left" w:leader="none"/>
          <w:tab w:pos="2415" w:val="left" w:leader="none"/>
          <w:tab w:pos="2757" w:val="left" w:leader="none"/>
        </w:tabs>
        <w:spacing w:line="133" w:lineRule="exact" w:before="0"/>
        <w:ind w:left="227" w:right="0" w:firstLine="0"/>
        <w:jc w:val="left"/>
        <w:rPr>
          <w:sz w:val="12"/>
        </w:rPr>
      </w:pPr>
      <w:r>
        <w:rPr>
          <w:sz w:val="12"/>
        </w:rPr>
        <w:t>1984</w:t>
        <w:tab/>
        <w:t>86</w:t>
        <w:tab/>
        <w:t>88</w:t>
        <w:tab/>
        <w:t>90</w:t>
        <w:tab/>
        <w:t>92</w:t>
        <w:tab/>
        <w:t>94</w:t>
        <w:tab/>
        <w:t>96</w:t>
        <w:tab/>
        <w:t>98</w:t>
      </w:r>
      <w:r>
        <w:rPr>
          <w:spacing w:val="20"/>
          <w:sz w:val="12"/>
        </w:rPr>
        <w:t> </w:t>
      </w:r>
      <w:r>
        <w:rPr>
          <w:sz w:val="12"/>
        </w:rPr>
        <w:t>2000</w:t>
      </w:r>
    </w:p>
    <w:p>
      <w:pPr>
        <w:pStyle w:val="BodyText"/>
        <w:spacing w:before="10"/>
        <w:rPr>
          <w:sz w:val="11"/>
        </w:rPr>
      </w:pPr>
    </w:p>
    <w:p>
      <w:pPr>
        <w:spacing w:before="0"/>
        <w:ind w:left="170" w:right="0" w:firstLine="0"/>
        <w:jc w:val="left"/>
        <w:rPr>
          <w:sz w:val="12"/>
        </w:rPr>
      </w:pPr>
      <w:r>
        <w:rPr>
          <w:sz w:val="12"/>
        </w:rPr>
        <w:t>(a) Annual data before 1992.</w:t>
      </w:r>
    </w:p>
    <w:p>
      <w:pPr>
        <w:pStyle w:val="BodyText"/>
        <w:rPr>
          <w:sz w:val="12"/>
        </w:rPr>
      </w:pPr>
    </w:p>
    <w:p>
      <w:pPr>
        <w:pStyle w:val="BodyText"/>
        <w:rPr>
          <w:sz w:val="12"/>
        </w:rPr>
      </w:pPr>
    </w:p>
    <w:p>
      <w:pPr>
        <w:pStyle w:val="BodyText"/>
        <w:rPr>
          <w:sz w:val="12"/>
        </w:rPr>
      </w:pPr>
    </w:p>
    <w:p>
      <w:pPr>
        <w:spacing w:before="81"/>
        <w:ind w:left="164" w:right="0" w:firstLine="0"/>
        <w:jc w:val="left"/>
        <w:rPr>
          <w:b/>
          <w:sz w:val="20"/>
        </w:rPr>
      </w:pPr>
      <w:r>
        <w:rPr>
          <w:b/>
          <w:color w:val="0092C7"/>
          <w:sz w:val="20"/>
        </w:rPr>
        <w:t>Chart 3.9</w:t>
      </w:r>
    </w:p>
    <w:p>
      <w:pPr>
        <w:spacing w:before="10"/>
        <w:ind w:left="164" w:right="0" w:firstLine="0"/>
        <w:jc w:val="left"/>
        <w:rPr>
          <w:sz w:val="12"/>
        </w:rPr>
      </w:pPr>
      <w:r>
        <w:rPr>
          <w:b/>
          <w:color w:val="0092C7"/>
          <w:sz w:val="20"/>
        </w:rPr>
        <w:t>Measures of potential labour supply</w:t>
      </w:r>
      <w:r>
        <w:rPr>
          <w:position w:val="4"/>
          <w:sz w:val="12"/>
        </w:rPr>
        <w:t>(a)</w:t>
      </w:r>
    </w:p>
    <w:p>
      <w:pPr>
        <w:spacing w:before="94"/>
        <w:ind w:left="2156" w:right="0" w:firstLine="0"/>
        <w:jc w:val="left"/>
        <w:rPr>
          <w:sz w:val="12"/>
        </w:rPr>
      </w:pPr>
      <w:r>
        <w:rPr/>
        <w:pict>
          <v:group style="position:absolute;margin-left:40.798pt;margin-top:12.758761pt;width:159.6pt;height:133pt;mso-position-horizontal-relative:page;mso-position-vertical-relative:paragraph;z-index:-22618624" coordorigin="816,255" coordsize="3192,2660">
            <v:shape style="position:absolute;left:815;top:255;width:3192;height:2660" type="#_x0000_t75" stroked="false">
              <v:imagedata r:id="rId123" o:title=""/>
            </v:shape>
            <v:shape style="position:absolute;left:2643;top:558;width:767;height:134" type="#_x0000_t202" filled="false" stroked="false">
              <v:textbox inset="0,0,0,0">
                <w:txbxContent>
                  <w:p>
                    <w:pPr>
                      <w:spacing w:line="133" w:lineRule="exact" w:before="0"/>
                      <w:ind w:left="0" w:right="0" w:firstLine="0"/>
                      <w:jc w:val="left"/>
                      <w:rPr>
                        <w:sz w:val="12"/>
                      </w:rPr>
                    </w:pPr>
                    <w:r>
                      <w:rPr>
                        <w:sz w:val="12"/>
                      </w:rPr>
                      <w:t>Unemployment</w:t>
                    </w:r>
                  </w:p>
                </w:txbxContent>
              </v:textbox>
              <w10:wrap type="none"/>
            </v:shape>
            <v:shape style="position:absolute;left:1375;top:2273;width:1507;height:134" type="#_x0000_t202" filled="false" stroked="false">
              <v:textbox inset="0,0,0,0">
                <w:txbxContent>
                  <w:p>
                    <w:pPr>
                      <w:spacing w:line="133" w:lineRule="exact" w:before="0"/>
                      <w:ind w:left="0" w:right="0" w:firstLine="0"/>
                      <w:jc w:val="left"/>
                      <w:rPr>
                        <w:sz w:val="12"/>
                      </w:rPr>
                    </w:pPr>
                    <w:r>
                      <w:rPr>
                        <w:sz w:val="12"/>
                      </w:rPr>
                      <w:t>Weighted non-employment (b)</w:t>
                    </w:r>
                  </w:p>
                </w:txbxContent>
              </v:textbox>
              <w10:wrap type="none"/>
            </v:shape>
            <w10:wrap type="none"/>
          </v:group>
        </w:pict>
      </w:r>
      <w:r>
        <w:rPr>
          <w:sz w:val="12"/>
        </w:rPr>
        <w:t>Index, spring 1990 = 100</w:t>
      </w:r>
      <w:r>
        <w:rPr>
          <w:spacing w:val="-1"/>
          <w:sz w:val="12"/>
        </w:rPr>
        <w:t> </w:t>
      </w:r>
      <w:r>
        <w:rPr>
          <w:position w:val="-7"/>
          <w:sz w:val="12"/>
        </w:rPr>
        <w:t>160</w:t>
      </w:r>
    </w:p>
    <w:p>
      <w:pPr>
        <w:spacing w:before="185"/>
        <w:ind w:left="0" w:right="41" w:firstLine="0"/>
        <w:jc w:val="right"/>
        <w:rPr>
          <w:sz w:val="12"/>
        </w:rPr>
      </w:pPr>
      <w:r>
        <w:rPr>
          <w:sz w:val="12"/>
        </w:rPr>
        <w:t>150</w:t>
      </w:r>
    </w:p>
    <w:p>
      <w:pPr>
        <w:pStyle w:val="BodyText"/>
        <w:spacing w:before="10"/>
        <w:rPr>
          <w:sz w:val="15"/>
        </w:rPr>
      </w:pPr>
    </w:p>
    <w:p>
      <w:pPr>
        <w:spacing w:before="0"/>
        <w:ind w:left="0" w:right="41" w:firstLine="0"/>
        <w:jc w:val="right"/>
        <w:rPr>
          <w:sz w:val="12"/>
        </w:rPr>
      </w:pPr>
      <w:r>
        <w:rPr>
          <w:sz w:val="12"/>
        </w:rPr>
        <w:t>140</w:t>
      </w:r>
    </w:p>
    <w:p>
      <w:pPr>
        <w:pStyle w:val="BodyText"/>
        <w:spacing w:before="9"/>
        <w:rPr>
          <w:sz w:val="15"/>
        </w:rPr>
      </w:pPr>
    </w:p>
    <w:p>
      <w:pPr>
        <w:spacing w:before="1"/>
        <w:ind w:left="0" w:right="41" w:firstLine="0"/>
        <w:jc w:val="right"/>
        <w:rPr>
          <w:sz w:val="12"/>
        </w:rPr>
      </w:pPr>
      <w:r>
        <w:rPr>
          <w:sz w:val="12"/>
        </w:rPr>
        <w:t>130</w:t>
      </w:r>
    </w:p>
    <w:p>
      <w:pPr>
        <w:pStyle w:val="BodyText"/>
        <w:spacing w:before="9"/>
        <w:rPr>
          <w:sz w:val="15"/>
        </w:rPr>
      </w:pPr>
    </w:p>
    <w:p>
      <w:pPr>
        <w:spacing w:before="0"/>
        <w:ind w:left="0" w:right="41" w:firstLine="0"/>
        <w:jc w:val="right"/>
        <w:rPr>
          <w:sz w:val="12"/>
        </w:rPr>
      </w:pPr>
      <w:r>
        <w:rPr>
          <w:sz w:val="12"/>
        </w:rPr>
        <w:t>120</w:t>
      </w:r>
    </w:p>
    <w:p>
      <w:pPr>
        <w:pStyle w:val="BodyText"/>
        <w:spacing w:before="10"/>
        <w:rPr>
          <w:sz w:val="15"/>
        </w:rPr>
      </w:pPr>
    </w:p>
    <w:p>
      <w:pPr>
        <w:spacing w:before="0"/>
        <w:ind w:left="0" w:right="41" w:firstLine="0"/>
        <w:jc w:val="right"/>
        <w:rPr>
          <w:sz w:val="12"/>
        </w:rPr>
      </w:pPr>
      <w:r>
        <w:rPr>
          <w:sz w:val="12"/>
        </w:rPr>
        <w:t>110</w:t>
      </w:r>
    </w:p>
    <w:p>
      <w:pPr>
        <w:pStyle w:val="BodyText"/>
        <w:spacing w:before="10"/>
        <w:rPr>
          <w:sz w:val="15"/>
        </w:rPr>
      </w:pPr>
    </w:p>
    <w:p>
      <w:pPr>
        <w:spacing w:before="0"/>
        <w:ind w:left="0" w:right="41" w:firstLine="0"/>
        <w:jc w:val="right"/>
        <w:rPr>
          <w:sz w:val="12"/>
        </w:rPr>
      </w:pPr>
      <w:r>
        <w:rPr>
          <w:sz w:val="12"/>
        </w:rPr>
        <w:t>100</w:t>
      </w:r>
    </w:p>
    <w:p>
      <w:pPr>
        <w:pStyle w:val="BodyText"/>
        <w:spacing w:before="10"/>
        <w:rPr>
          <w:sz w:val="15"/>
        </w:rPr>
      </w:pPr>
    </w:p>
    <w:p>
      <w:pPr>
        <w:spacing w:before="0"/>
        <w:ind w:left="0" w:right="41" w:firstLine="0"/>
        <w:jc w:val="right"/>
        <w:rPr>
          <w:sz w:val="12"/>
        </w:rPr>
      </w:pPr>
      <w:r>
        <w:rPr>
          <w:sz w:val="12"/>
        </w:rPr>
        <w:t>90</w:t>
      </w:r>
    </w:p>
    <w:p>
      <w:pPr>
        <w:pStyle w:val="BodyText"/>
        <w:spacing w:before="9"/>
        <w:rPr>
          <w:sz w:val="15"/>
        </w:rPr>
      </w:pPr>
    </w:p>
    <w:p>
      <w:pPr>
        <w:spacing w:before="1"/>
        <w:ind w:left="0" w:right="41" w:firstLine="0"/>
        <w:jc w:val="right"/>
        <w:rPr>
          <w:sz w:val="12"/>
        </w:rPr>
      </w:pPr>
      <w:r>
        <w:rPr>
          <w:sz w:val="12"/>
        </w:rPr>
        <w:t>80</w:t>
      </w:r>
    </w:p>
    <w:p>
      <w:pPr>
        <w:pStyle w:val="BodyText"/>
        <w:spacing w:before="9"/>
        <w:rPr>
          <w:sz w:val="15"/>
        </w:rPr>
      </w:pPr>
    </w:p>
    <w:p>
      <w:pPr>
        <w:spacing w:line="131" w:lineRule="exact" w:before="0"/>
        <w:ind w:left="3457" w:right="0" w:firstLine="0"/>
        <w:jc w:val="left"/>
        <w:rPr>
          <w:sz w:val="12"/>
        </w:rPr>
      </w:pPr>
      <w:r>
        <w:rPr/>
        <w:drawing>
          <wp:anchor distT="0" distB="0" distL="0" distR="0" allowOverlap="1" layoutInCell="1" locked="0" behindDoc="0" simplePos="0" relativeHeight="16034816">
            <wp:simplePos x="0" y="0"/>
            <wp:positionH relativeFrom="page">
              <wp:posOffset>518134</wp:posOffset>
            </wp:positionH>
            <wp:positionV relativeFrom="paragraph">
              <wp:posOffset>12757</wp:posOffset>
            </wp:positionV>
            <wp:extent cx="2026742" cy="45796"/>
            <wp:effectExtent l="0" t="0" r="0" b="0"/>
            <wp:wrapNone/>
            <wp:docPr id="173" name="image72.png"/>
            <wp:cNvGraphicFramePr>
              <a:graphicFrameLocks noChangeAspect="1"/>
            </wp:cNvGraphicFramePr>
            <a:graphic>
              <a:graphicData uri="http://schemas.openxmlformats.org/drawingml/2006/picture">
                <pic:pic>
                  <pic:nvPicPr>
                    <pic:cNvPr id="174" name="image72.png"/>
                    <pic:cNvPicPr/>
                  </pic:nvPicPr>
                  <pic:blipFill>
                    <a:blip r:embed="rId124" cstate="print"/>
                    <a:stretch>
                      <a:fillRect/>
                    </a:stretch>
                  </pic:blipFill>
                  <pic:spPr>
                    <a:xfrm>
                      <a:off x="0" y="0"/>
                      <a:ext cx="2026742" cy="45796"/>
                    </a:xfrm>
                    <a:prstGeom prst="rect">
                      <a:avLst/>
                    </a:prstGeom>
                  </pic:spPr>
                </pic:pic>
              </a:graphicData>
            </a:graphic>
          </wp:anchor>
        </w:drawing>
      </w:r>
      <w:r>
        <w:rPr>
          <w:sz w:val="12"/>
        </w:rPr>
        <w:t>70</w:t>
      </w:r>
    </w:p>
    <w:p>
      <w:pPr>
        <w:tabs>
          <w:tab w:pos="966" w:val="left" w:leader="none"/>
          <w:tab w:pos="1326" w:val="left" w:leader="none"/>
          <w:tab w:pos="1674" w:val="left" w:leader="none"/>
          <w:tab w:pos="2021" w:val="left" w:leader="none"/>
          <w:tab w:pos="2371" w:val="left" w:leader="none"/>
          <w:tab w:pos="2739" w:val="left" w:leader="none"/>
        </w:tabs>
        <w:spacing w:line="131" w:lineRule="exact" w:before="0"/>
        <w:ind w:left="199" w:right="0" w:firstLine="0"/>
        <w:jc w:val="left"/>
        <w:rPr>
          <w:sz w:val="12"/>
        </w:rPr>
      </w:pPr>
      <w:r>
        <w:rPr>
          <w:sz w:val="12"/>
        </w:rPr>
        <w:t>1984    </w:t>
      </w:r>
      <w:r>
        <w:rPr>
          <w:spacing w:val="27"/>
          <w:sz w:val="12"/>
        </w:rPr>
        <w:t> </w:t>
      </w:r>
      <w:r>
        <w:rPr>
          <w:sz w:val="12"/>
        </w:rPr>
        <w:t>86</w:t>
        <w:tab/>
        <w:t>88</w:t>
        <w:tab/>
        <w:t>90</w:t>
        <w:tab/>
        <w:t>92</w:t>
        <w:tab/>
        <w:t>94</w:t>
        <w:tab/>
        <w:t>96</w:t>
        <w:tab/>
        <w:t>98</w:t>
      </w:r>
      <w:r>
        <w:rPr>
          <w:spacing w:val="7"/>
          <w:sz w:val="12"/>
        </w:rPr>
        <w:t> </w:t>
      </w:r>
      <w:r>
        <w:rPr>
          <w:sz w:val="12"/>
        </w:rPr>
        <w:t>2000</w:t>
      </w:r>
    </w:p>
    <w:p>
      <w:pPr>
        <w:pStyle w:val="BodyText"/>
        <w:spacing w:before="5"/>
        <w:rPr>
          <w:sz w:val="17"/>
        </w:rPr>
      </w:pPr>
    </w:p>
    <w:p>
      <w:pPr>
        <w:spacing w:before="0"/>
        <w:ind w:left="164" w:right="0" w:firstLine="0"/>
        <w:jc w:val="left"/>
        <w:rPr>
          <w:sz w:val="12"/>
        </w:rPr>
      </w:pPr>
      <w:r>
        <w:rPr>
          <w:sz w:val="12"/>
        </w:rPr>
        <w:t>Sources: ONS and Bank of England.</w:t>
      </w:r>
    </w:p>
    <w:p>
      <w:pPr>
        <w:pStyle w:val="ListParagraph"/>
        <w:numPr>
          <w:ilvl w:val="0"/>
          <w:numId w:val="28"/>
        </w:numPr>
        <w:tabs>
          <w:tab w:pos="405" w:val="left" w:leader="none"/>
        </w:tabs>
        <w:spacing w:line="129" w:lineRule="exact" w:before="102" w:after="0"/>
        <w:ind w:left="404" w:right="0" w:hanging="241"/>
        <w:jc w:val="left"/>
        <w:rPr>
          <w:sz w:val="12"/>
        </w:rPr>
      </w:pPr>
      <w:r>
        <w:rPr>
          <w:sz w:val="12"/>
        </w:rPr>
        <w:t>Pre-1993 figures based on yearly</w:t>
      </w:r>
      <w:r>
        <w:rPr>
          <w:spacing w:val="-11"/>
          <w:sz w:val="12"/>
        </w:rPr>
        <w:t> </w:t>
      </w:r>
      <w:r>
        <w:rPr>
          <w:sz w:val="12"/>
        </w:rPr>
        <w:t>observations.</w:t>
      </w:r>
    </w:p>
    <w:p>
      <w:pPr>
        <w:pStyle w:val="ListParagraph"/>
        <w:numPr>
          <w:ilvl w:val="0"/>
          <w:numId w:val="28"/>
        </w:numPr>
        <w:tabs>
          <w:tab w:pos="405" w:val="left" w:leader="none"/>
        </w:tabs>
        <w:spacing w:line="116" w:lineRule="exact" w:before="0" w:after="0"/>
        <w:ind w:left="404" w:right="0" w:hanging="241"/>
        <w:jc w:val="left"/>
        <w:rPr>
          <w:sz w:val="12"/>
        </w:rPr>
      </w:pPr>
      <w:r>
        <w:rPr>
          <w:sz w:val="12"/>
        </w:rPr>
        <w:t>The</w:t>
      </w:r>
      <w:r>
        <w:rPr>
          <w:spacing w:val="-6"/>
          <w:sz w:val="12"/>
        </w:rPr>
        <w:t> </w:t>
      </w:r>
      <w:r>
        <w:rPr>
          <w:sz w:val="12"/>
        </w:rPr>
        <w:t>weighted</w:t>
      </w:r>
      <w:r>
        <w:rPr>
          <w:spacing w:val="-5"/>
          <w:sz w:val="12"/>
        </w:rPr>
        <w:t> </w:t>
      </w:r>
      <w:r>
        <w:rPr>
          <w:sz w:val="12"/>
        </w:rPr>
        <w:t>non-employment</w:t>
      </w:r>
      <w:r>
        <w:rPr>
          <w:spacing w:val="-5"/>
          <w:sz w:val="12"/>
        </w:rPr>
        <w:t> </w:t>
      </w:r>
      <w:r>
        <w:rPr>
          <w:sz w:val="12"/>
        </w:rPr>
        <w:t>series</w:t>
      </w:r>
      <w:r>
        <w:rPr>
          <w:spacing w:val="-5"/>
          <w:sz w:val="12"/>
        </w:rPr>
        <w:t> </w:t>
      </w:r>
      <w:r>
        <w:rPr>
          <w:sz w:val="12"/>
        </w:rPr>
        <w:t>is</w:t>
      </w:r>
      <w:r>
        <w:rPr>
          <w:spacing w:val="-5"/>
          <w:sz w:val="12"/>
        </w:rPr>
        <w:t> </w:t>
      </w:r>
      <w:r>
        <w:rPr>
          <w:sz w:val="12"/>
        </w:rPr>
        <w:t>a</w:t>
      </w:r>
      <w:r>
        <w:rPr>
          <w:spacing w:val="-5"/>
          <w:sz w:val="12"/>
        </w:rPr>
        <w:t> </w:t>
      </w:r>
      <w:r>
        <w:rPr>
          <w:sz w:val="12"/>
        </w:rPr>
        <w:t>weighted</w:t>
      </w:r>
      <w:r>
        <w:rPr>
          <w:spacing w:val="-5"/>
          <w:sz w:val="12"/>
        </w:rPr>
        <w:t> </w:t>
      </w:r>
      <w:r>
        <w:rPr>
          <w:sz w:val="12"/>
        </w:rPr>
        <w:t>average</w:t>
      </w:r>
      <w:r>
        <w:rPr>
          <w:spacing w:val="-5"/>
          <w:sz w:val="12"/>
        </w:rPr>
        <w:t> </w:t>
      </w:r>
      <w:r>
        <w:rPr>
          <w:sz w:val="12"/>
        </w:rPr>
        <w:t>of</w:t>
      </w:r>
      <w:r>
        <w:rPr>
          <w:spacing w:val="-5"/>
          <w:sz w:val="12"/>
        </w:rPr>
        <w:t> </w:t>
      </w:r>
      <w:r>
        <w:rPr>
          <w:sz w:val="12"/>
        </w:rPr>
        <w:t>the</w:t>
      </w:r>
    </w:p>
    <w:p>
      <w:pPr>
        <w:pStyle w:val="BodyText"/>
        <w:spacing w:line="242" w:lineRule="auto"/>
        <w:ind w:left="164" w:right="197"/>
      </w:pPr>
      <w:r>
        <w:rPr/>
        <w:br w:type="column"/>
      </w:r>
      <w:r>
        <w:rPr/>
        <w:t>the MPC considers that the inactivity rate will continue to edge down over the next two years. The increase in the available supply of labour generated by rising participation will tend to restrain earnings growth.</w:t>
      </w:r>
    </w:p>
    <w:p>
      <w:pPr>
        <w:pStyle w:val="BodyText"/>
        <w:spacing w:before="6"/>
        <w:rPr>
          <w:sz w:val="22"/>
        </w:rPr>
      </w:pPr>
    </w:p>
    <w:p>
      <w:pPr>
        <w:pStyle w:val="BodyText"/>
        <w:spacing w:line="242" w:lineRule="auto" w:before="1"/>
        <w:ind w:left="164" w:right="197"/>
      </w:pPr>
      <w:r>
        <w:rPr/>
        <w:t>Different categories of the inactive also tend to enter employment at varying rates—and so, like different categories of unemployed people, may exert different pressures on pay. Chart 3.9 presents an index of weighted non-employment, which may be a useful summary measure of potential labour supply. It is calculated by weighting seven categories of</w:t>
      </w:r>
    </w:p>
    <w:p>
      <w:pPr>
        <w:pStyle w:val="BodyText"/>
        <w:spacing w:line="242" w:lineRule="auto" w:before="9"/>
        <w:ind w:left="164" w:right="197"/>
      </w:pPr>
      <w:r>
        <w:rPr/>
        <w:t>non-employment—ranging from the short-term unemployed to the economically inactive who currently do not want a job—by the average rate at which they typically become employed. Weighted non-employment tends to fluctuate less than an index of LFS unemployment, partly because inactivity is less variable than unemployment. Weighted non-employment has not</w:t>
      </w:r>
    </w:p>
    <w:p>
      <w:pPr>
        <w:spacing w:after="0" w:line="242" w:lineRule="auto"/>
        <w:sectPr>
          <w:type w:val="continuous"/>
          <w:pgSz w:w="11900" w:h="16840"/>
          <w:pgMar w:top="1260" w:bottom="280" w:left="640" w:right="640"/>
          <w:cols w:num="2" w:equalWidth="0">
            <w:col w:w="3621" w:space="1186"/>
            <w:col w:w="5813"/>
          </w:cols>
        </w:sectPr>
      </w:pPr>
    </w:p>
    <w:p>
      <w:pPr>
        <w:tabs>
          <w:tab w:pos="4939" w:val="left" w:leader="none"/>
          <w:tab w:pos="10484" w:val="left" w:leader="none"/>
        </w:tabs>
        <w:spacing w:line="120" w:lineRule="exact" w:before="0"/>
        <w:ind w:left="404" w:right="0" w:firstLine="0"/>
        <w:jc w:val="left"/>
        <w:rPr>
          <w:sz w:val="12"/>
        </w:rPr>
      </w:pPr>
      <w:r>
        <w:rPr>
          <w:sz w:val="12"/>
        </w:rPr>
        <w:t>number</w:t>
      </w:r>
      <w:r>
        <w:rPr>
          <w:spacing w:val="-7"/>
          <w:sz w:val="12"/>
        </w:rPr>
        <w:t> </w:t>
      </w:r>
      <w:r>
        <w:rPr>
          <w:sz w:val="12"/>
        </w:rPr>
        <w:t>of</w:t>
      </w:r>
      <w:r>
        <w:rPr>
          <w:spacing w:val="-7"/>
          <w:sz w:val="12"/>
        </w:rPr>
        <w:t> </w:t>
      </w:r>
      <w:r>
        <w:rPr>
          <w:sz w:val="12"/>
        </w:rPr>
        <w:t>people</w:t>
      </w:r>
      <w:r>
        <w:rPr>
          <w:spacing w:val="-7"/>
          <w:sz w:val="12"/>
        </w:rPr>
        <w:t> </w:t>
      </w:r>
      <w:r>
        <w:rPr>
          <w:sz w:val="12"/>
        </w:rPr>
        <w:t>in</w:t>
      </w:r>
      <w:r>
        <w:rPr>
          <w:spacing w:val="-7"/>
          <w:sz w:val="12"/>
        </w:rPr>
        <w:t> </w:t>
      </w:r>
      <w:r>
        <w:rPr>
          <w:sz w:val="12"/>
        </w:rPr>
        <w:t>each</w:t>
      </w:r>
      <w:r>
        <w:rPr>
          <w:spacing w:val="-7"/>
          <w:sz w:val="12"/>
        </w:rPr>
        <w:t> </w:t>
      </w:r>
      <w:r>
        <w:rPr>
          <w:sz w:val="12"/>
        </w:rPr>
        <w:t>of</w:t>
      </w:r>
      <w:r>
        <w:rPr>
          <w:spacing w:val="-7"/>
          <w:sz w:val="12"/>
        </w:rPr>
        <w:t> </w:t>
      </w:r>
      <w:r>
        <w:rPr>
          <w:sz w:val="12"/>
        </w:rPr>
        <w:t>seven</w:t>
      </w:r>
      <w:r>
        <w:rPr>
          <w:spacing w:val="-7"/>
          <w:sz w:val="12"/>
        </w:rPr>
        <w:t> </w:t>
      </w:r>
      <w:r>
        <w:rPr>
          <w:sz w:val="12"/>
        </w:rPr>
        <w:t>different</w:t>
      </w:r>
      <w:r>
        <w:rPr>
          <w:spacing w:val="-7"/>
          <w:sz w:val="12"/>
        </w:rPr>
        <w:t> </w:t>
      </w:r>
      <w:r>
        <w:rPr>
          <w:sz w:val="12"/>
        </w:rPr>
        <w:t>categories</w:t>
      </w:r>
      <w:r>
        <w:rPr>
          <w:spacing w:val="-7"/>
          <w:sz w:val="12"/>
        </w:rPr>
        <w:t> </w:t>
      </w:r>
      <w:r>
        <w:rPr>
          <w:sz w:val="12"/>
        </w:rPr>
        <w:t>of</w:t>
      </w:r>
      <w:r>
        <w:rPr>
          <w:spacing w:val="-6"/>
          <w:sz w:val="12"/>
        </w:rPr>
        <w:t> </w:t>
      </w:r>
      <w:r>
        <w:rPr>
          <w:sz w:val="12"/>
        </w:rPr>
        <w:t>non-employment.</w:t>
        <w:tab/>
      </w:r>
      <w:r>
        <w:rPr>
          <w:sz w:val="12"/>
          <w:u w:val="single"/>
        </w:rPr>
        <w:t> </w:t>
        <w:tab/>
      </w:r>
    </w:p>
    <w:p>
      <w:pPr>
        <w:spacing w:after="0" w:line="120" w:lineRule="exact"/>
        <w:jc w:val="left"/>
        <w:rPr>
          <w:sz w:val="12"/>
        </w:rPr>
        <w:sectPr>
          <w:type w:val="continuous"/>
          <w:pgSz w:w="11900" w:h="16840"/>
          <w:pgMar w:top="1260" w:bottom="280" w:left="640" w:right="640"/>
        </w:sectPr>
      </w:pPr>
    </w:p>
    <w:p>
      <w:pPr>
        <w:spacing w:line="208" w:lineRule="auto" w:before="9"/>
        <w:ind w:left="404" w:right="38" w:firstLine="0"/>
        <w:jc w:val="left"/>
        <w:rPr>
          <w:sz w:val="12"/>
        </w:rPr>
      </w:pPr>
      <w:r>
        <w:rPr>
          <w:sz w:val="12"/>
        </w:rPr>
        <w:t>The</w:t>
      </w:r>
      <w:r>
        <w:rPr>
          <w:spacing w:val="-5"/>
          <w:sz w:val="12"/>
        </w:rPr>
        <w:t> </w:t>
      </w:r>
      <w:r>
        <w:rPr>
          <w:sz w:val="12"/>
        </w:rPr>
        <w:t>weights</w:t>
      </w:r>
      <w:r>
        <w:rPr>
          <w:spacing w:val="-5"/>
          <w:sz w:val="12"/>
        </w:rPr>
        <w:t> </w:t>
      </w:r>
      <w:r>
        <w:rPr>
          <w:sz w:val="12"/>
        </w:rPr>
        <w:t>are</w:t>
      </w:r>
      <w:r>
        <w:rPr>
          <w:spacing w:val="-5"/>
          <w:sz w:val="12"/>
        </w:rPr>
        <w:t> </w:t>
      </w:r>
      <w:r>
        <w:rPr>
          <w:sz w:val="12"/>
        </w:rPr>
        <w:t>based</w:t>
      </w:r>
      <w:r>
        <w:rPr>
          <w:spacing w:val="-5"/>
          <w:sz w:val="12"/>
        </w:rPr>
        <w:t> </w:t>
      </w:r>
      <w:r>
        <w:rPr>
          <w:sz w:val="12"/>
        </w:rPr>
        <w:t>on</w:t>
      </w:r>
      <w:r>
        <w:rPr>
          <w:spacing w:val="-5"/>
          <w:sz w:val="12"/>
        </w:rPr>
        <w:t> </w:t>
      </w:r>
      <w:r>
        <w:rPr>
          <w:sz w:val="12"/>
        </w:rPr>
        <w:t>the</w:t>
      </w:r>
      <w:r>
        <w:rPr>
          <w:spacing w:val="-5"/>
          <w:sz w:val="12"/>
        </w:rPr>
        <w:t> </w:t>
      </w:r>
      <w:r>
        <w:rPr>
          <w:sz w:val="12"/>
        </w:rPr>
        <w:t>average</w:t>
      </w:r>
      <w:r>
        <w:rPr>
          <w:spacing w:val="-4"/>
          <w:sz w:val="12"/>
        </w:rPr>
        <w:t> </w:t>
      </w:r>
      <w:r>
        <w:rPr>
          <w:sz w:val="12"/>
        </w:rPr>
        <w:t>proportion</w:t>
      </w:r>
      <w:r>
        <w:rPr>
          <w:spacing w:val="-5"/>
          <w:sz w:val="12"/>
        </w:rPr>
        <w:t> </w:t>
      </w:r>
      <w:r>
        <w:rPr>
          <w:sz w:val="12"/>
        </w:rPr>
        <w:t>in</w:t>
      </w:r>
      <w:r>
        <w:rPr>
          <w:spacing w:val="-5"/>
          <w:sz w:val="12"/>
        </w:rPr>
        <w:t> </w:t>
      </w:r>
      <w:r>
        <w:rPr>
          <w:sz w:val="12"/>
        </w:rPr>
        <w:t>each</w:t>
      </w:r>
      <w:r>
        <w:rPr>
          <w:spacing w:val="-5"/>
          <w:sz w:val="12"/>
        </w:rPr>
        <w:t> </w:t>
      </w:r>
      <w:r>
        <w:rPr>
          <w:sz w:val="12"/>
        </w:rPr>
        <w:t>category</w:t>
      </w:r>
      <w:r>
        <w:rPr>
          <w:spacing w:val="-5"/>
          <w:sz w:val="12"/>
        </w:rPr>
        <w:t> </w:t>
      </w:r>
      <w:r>
        <w:rPr>
          <w:sz w:val="12"/>
        </w:rPr>
        <w:t>who found employment in the next three months, relative to the proportion of the short-term unemployed who found employment in the next three</w:t>
      </w:r>
      <w:r>
        <w:rPr>
          <w:spacing w:val="-2"/>
          <w:sz w:val="12"/>
        </w:rPr>
        <w:t> </w:t>
      </w:r>
      <w:r>
        <w:rPr>
          <w:sz w:val="12"/>
        </w:rPr>
        <w:t>months.</w:t>
      </w:r>
    </w:p>
    <w:p>
      <w:pPr>
        <w:pStyle w:val="ListParagraph"/>
        <w:numPr>
          <w:ilvl w:val="1"/>
          <w:numId w:val="28"/>
        </w:numPr>
        <w:tabs>
          <w:tab w:pos="645" w:val="left" w:leader="none"/>
        </w:tabs>
        <w:spacing w:line="208" w:lineRule="auto" w:before="16" w:after="0"/>
        <w:ind w:left="644" w:right="1141" w:hanging="240"/>
        <w:jc w:val="left"/>
        <w:rPr>
          <w:sz w:val="16"/>
        </w:rPr>
      </w:pPr>
      <w:r>
        <w:rPr>
          <w:spacing w:val="-1"/>
          <w:sz w:val="16"/>
        </w:rPr>
        <w:br w:type="column"/>
      </w:r>
      <w:r>
        <w:rPr>
          <w:sz w:val="16"/>
        </w:rPr>
        <w:t>People who do not want a job, people who want a job but are not searching</w:t>
      </w:r>
      <w:r>
        <w:rPr>
          <w:spacing w:val="-5"/>
          <w:sz w:val="16"/>
        </w:rPr>
        <w:t> </w:t>
      </w:r>
      <w:r>
        <w:rPr>
          <w:sz w:val="16"/>
        </w:rPr>
        <w:t>for</w:t>
      </w:r>
      <w:r>
        <w:rPr>
          <w:spacing w:val="-5"/>
          <w:sz w:val="16"/>
        </w:rPr>
        <w:t> </w:t>
      </w:r>
      <w:r>
        <w:rPr>
          <w:sz w:val="16"/>
        </w:rPr>
        <w:t>work,</w:t>
      </w:r>
      <w:r>
        <w:rPr>
          <w:spacing w:val="-4"/>
          <w:sz w:val="16"/>
        </w:rPr>
        <w:t> </w:t>
      </w:r>
      <w:r>
        <w:rPr>
          <w:sz w:val="16"/>
        </w:rPr>
        <w:t>and</w:t>
      </w:r>
      <w:r>
        <w:rPr>
          <w:spacing w:val="-5"/>
          <w:sz w:val="16"/>
        </w:rPr>
        <w:t> </w:t>
      </w:r>
      <w:r>
        <w:rPr>
          <w:sz w:val="16"/>
        </w:rPr>
        <w:t>people</w:t>
      </w:r>
      <w:r>
        <w:rPr>
          <w:spacing w:val="-5"/>
          <w:sz w:val="16"/>
        </w:rPr>
        <w:t> </w:t>
      </w:r>
      <w:r>
        <w:rPr>
          <w:sz w:val="16"/>
        </w:rPr>
        <w:t>searching</w:t>
      </w:r>
      <w:r>
        <w:rPr>
          <w:spacing w:val="-5"/>
          <w:sz w:val="16"/>
        </w:rPr>
        <w:t> </w:t>
      </w:r>
      <w:r>
        <w:rPr>
          <w:sz w:val="16"/>
        </w:rPr>
        <w:t>for</w:t>
      </w:r>
      <w:r>
        <w:rPr>
          <w:spacing w:val="-5"/>
          <w:sz w:val="16"/>
        </w:rPr>
        <w:t> </w:t>
      </w:r>
      <w:r>
        <w:rPr>
          <w:sz w:val="16"/>
        </w:rPr>
        <w:t>work</w:t>
      </w:r>
      <w:r>
        <w:rPr>
          <w:spacing w:val="-5"/>
          <w:sz w:val="16"/>
        </w:rPr>
        <w:t> </w:t>
      </w:r>
      <w:r>
        <w:rPr>
          <w:sz w:val="16"/>
        </w:rPr>
        <w:t>but</w:t>
      </w:r>
      <w:r>
        <w:rPr>
          <w:spacing w:val="-4"/>
          <w:sz w:val="16"/>
        </w:rPr>
        <w:t> </w:t>
      </w:r>
      <w:r>
        <w:rPr>
          <w:sz w:val="16"/>
        </w:rPr>
        <w:t>who</w:t>
      </w:r>
      <w:r>
        <w:rPr>
          <w:spacing w:val="-5"/>
          <w:sz w:val="16"/>
        </w:rPr>
        <w:t> </w:t>
      </w:r>
      <w:r>
        <w:rPr>
          <w:sz w:val="16"/>
        </w:rPr>
        <w:t>are</w:t>
      </w:r>
      <w:r>
        <w:rPr>
          <w:spacing w:val="-5"/>
          <w:sz w:val="16"/>
        </w:rPr>
        <w:t> </w:t>
      </w:r>
      <w:r>
        <w:rPr>
          <w:sz w:val="16"/>
        </w:rPr>
        <w:t>not available to start</w:t>
      </w:r>
      <w:r>
        <w:rPr>
          <w:spacing w:val="-4"/>
          <w:sz w:val="16"/>
        </w:rPr>
        <w:t> </w:t>
      </w:r>
      <w:r>
        <w:rPr>
          <w:spacing w:val="-3"/>
          <w:sz w:val="16"/>
        </w:rPr>
        <w:t>shortly.</w:t>
      </w:r>
    </w:p>
    <w:p>
      <w:pPr>
        <w:spacing w:after="0" w:line="208" w:lineRule="auto"/>
        <w:jc w:val="left"/>
        <w:rPr>
          <w:sz w:val="16"/>
        </w:rPr>
        <w:sectPr>
          <w:type w:val="continuous"/>
          <w:pgSz w:w="11900" w:h="16840"/>
          <w:pgMar w:top="1260" w:bottom="280" w:left="640" w:right="640"/>
          <w:cols w:num="2" w:equalWidth="0">
            <w:col w:w="3827" w:space="738"/>
            <w:col w:w="6055"/>
          </w:cols>
        </w:sectPr>
      </w:pPr>
    </w:p>
    <w:p>
      <w:pPr>
        <w:pStyle w:val="BodyText"/>
        <w:rPr>
          <w:sz w:val="20"/>
        </w:rPr>
      </w:pPr>
    </w:p>
    <w:p>
      <w:pPr>
        <w:spacing w:after="0"/>
        <w:rPr>
          <w:sz w:val="20"/>
        </w:rPr>
        <w:sectPr>
          <w:pgSz w:w="11900" w:h="16840"/>
          <w:pgMar w:header="601" w:footer="612" w:top="800" w:bottom="800" w:left="640" w:right="640"/>
        </w:sectPr>
      </w:pPr>
    </w:p>
    <w:p>
      <w:pPr>
        <w:pStyle w:val="BodyText"/>
        <w:spacing w:before="1"/>
        <w:rPr>
          <w:sz w:val="20"/>
        </w:rPr>
      </w:pPr>
    </w:p>
    <w:p>
      <w:pPr>
        <w:spacing w:before="0"/>
        <w:ind w:left="185" w:right="0" w:firstLine="0"/>
        <w:jc w:val="left"/>
        <w:rPr>
          <w:b/>
          <w:sz w:val="20"/>
        </w:rPr>
      </w:pPr>
      <w:bookmarkStart w:name="Labour productivity" w:id="50"/>
      <w:bookmarkEnd w:id="50"/>
      <w:r>
        <w:rPr/>
      </w:r>
      <w:bookmarkStart w:name="_bookmark20" w:id="51"/>
      <w:bookmarkEnd w:id="51"/>
      <w:r>
        <w:rPr/>
      </w:r>
      <w:r>
        <w:rPr>
          <w:b/>
          <w:color w:val="0092C7"/>
          <w:sz w:val="20"/>
        </w:rPr>
        <w:t>Chart 3.10</w:t>
      </w:r>
    </w:p>
    <w:p>
      <w:pPr>
        <w:spacing w:before="10"/>
        <w:ind w:left="185" w:right="0" w:firstLine="0"/>
        <w:jc w:val="left"/>
        <w:rPr>
          <w:sz w:val="12"/>
        </w:rPr>
      </w:pPr>
      <w:r>
        <w:rPr>
          <w:b/>
          <w:color w:val="0092C7"/>
          <w:sz w:val="20"/>
        </w:rPr>
        <w:t>Average duration of Jobcentre vacancies</w:t>
      </w:r>
      <w:r>
        <w:rPr>
          <w:position w:val="4"/>
          <w:sz w:val="12"/>
        </w:rPr>
        <w:t>(a)</w:t>
      </w:r>
    </w:p>
    <w:p>
      <w:pPr>
        <w:spacing w:before="142"/>
        <w:ind w:left="2512" w:right="0" w:firstLine="0"/>
        <w:jc w:val="left"/>
        <w:rPr>
          <w:sz w:val="12"/>
        </w:rPr>
      </w:pPr>
      <w:r>
        <w:rPr/>
        <w:drawing>
          <wp:anchor distT="0" distB="0" distL="0" distR="0" allowOverlap="1" layoutInCell="1" locked="0" behindDoc="0" simplePos="0" relativeHeight="16036352">
            <wp:simplePos x="0" y="0"/>
            <wp:positionH relativeFrom="page">
              <wp:posOffset>530275</wp:posOffset>
            </wp:positionH>
            <wp:positionV relativeFrom="paragraph">
              <wp:posOffset>184391</wp:posOffset>
            </wp:positionV>
            <wp:extent cx="55029" cy="6350"/>
            <wp:effectExtent l="0" t="0" r="0" b="0"/>
            <wp:wrapNone/>
            <wp:docPr id="175" name="image13.png"/>
            <wp:cNvGraphicFramePr>
              <a:graphicFrameLocks noChangeAspect="1"/>
            </wp:cNvGraphicFramePr>
            <a:graphic>
              <a:graphicData uri="http://schemas.openxmlformats.org/drawingml/2006/picture">
                <pic:pic>
                  <pic:nvPicPr>
                    <pic:cNvPr id="176" name="image13.png"/>
                    <pic:cNvPicPr/>
                  </pic:nvPicPr>
                  <pic:blipFill>
                    <a:blip r:embed="rId38" cstate="print"/>
                    <a:stretch>
                      <a:fillRect/>
                    </a:stretch>
                  </pic:blipFill>
                  <pic:spPr>
                    <a:xfrm>
                      <a:off x="0" y="0"/>
                      <a:ext cx="55029" cy="6350"/>
                    </a:xfrm>
                    <a:prstGeom prst="rect">
                      <a:avLst/>
                    </a:prstGeom>
                  </pic:spPr>
                </pic:pic>
              </a:graphicData>
            </a:graphic>
          </wp:anchor>
        </w:drawing>
      </w:r>
      <w:r>
        <w:rPr>
          <w:sz w:val="12"/>
        </w:rPr>
        <w:t>Number of mont</w:t>
      </w:r>
      <w:r>
        <w:rPr>
          <w:sz w:val="12"/>
          <w:u w:val="single"/>
        </w:rPr>
        <w:t>hs</w:t>
      </w:r>
      <w:r>
        <w:rPr>
          <w:spacing w:val="17"/>
          <w:sz w:val="12"/>
        </w:rPr>
        <w:t> </w:t>
      </w:r>
      <w:r>
        <w:rPr>
          <w:position w:val="-7"/>
          <w:sz w:val="12"/>
        </w:rPr>
        <w:t>2.0</w:t>
      </w:r>
    </w:p>
    <w:p>
      <w:pPr>
        <w:pStyle w:val="BodyText"/>
        <w:spacing w:before="2"/>
        <w:rPr>
          <w:sz w:val="18"/>
        </w:rPr>
      </w:pPr>
    </w:p>
    <w:p>
      <w:pPr>
        <w:spacing w:before="0"/>
        <w:ind w:left="0" w:right="186" w:firstLine="0"/>
        <w:jc w:val="right"/>
        <w:rPr>
          <w:sz w:val="12"/>
        </w:rPr>
      </w:pPr>
      <w:r>
        <w:rPr/>
        <w:drawing>
          <wp:anchor distT="0" distB="0" distL="0" distR="0" allowOverlap="1" layoutInCell="1" locked="0" behindDoc="0" simplePos="0" relativeHeight="16035328">
            <wp:simplePos x="0" y="0"/>
            <wp:positionH relativeFrom="page">
              <wp:posOffset>530275</wp:posOffset>
            </wp:positionH>
            <wp:positionV relativeFrom="paragraph">
              <wp:posOffset>122293</wp:posOffset>
            </wp:positionV>
            <wp:extent cx="1945017" cy="1322844"/>
            <wp:effectExtent l="0" t="0" r="0" b="0"/>
            <wp:wrapNone/>
            <wp:docPr id="177" name="image73.png"/>
            <wp:cNvGraphicFramePr>
              <a:graphicFrameLocks noChangeAspect="1"/>
            </wp:cNvGraphicFramePr>
            <a:graphic>
              <a:graphicData uri="http://schemas.openxmlformats.org/drawingml/2006/picture">
                <pic:pic>
                  <pic:nvPicPr>
                    <pic:cNvPr id="178" name="image73.png"/>
                    <pic:cNvPicPr/>
                  </pic:nvPicPr>
                  <pic:blipFill>
                    <a:blip r:embed="rId125" cstate="print"/>
                    <a:stretch>
                      <a:fillRect/>
                    </a:stretch>
                  </pic:blipFill>
                  <pic:spPr>
                    <a:xfrm>
                      <a:off x="0" y="0"/>
                      <a:ext cx="1945017" cy="1322844"/>
                    </a:xfrm>
                    <a:prstGeom prst="rect">
                      <a:avLst/>
                    </a:prstGeom>
                  </pic:spPr>
                </pic:pic>
              </a:graphicData>
            </a:graphic>
          </wp:anchor>
        </w:drawing>
      </w:r>
      <w:r>
        <w:rPr/>
        <w:drawing>
          <wp:anchor distT="0" distB="0" distL="0" distR="0" allowOverlap="1" layoutInCell="1" locked="0" behindDoc="0" simplePos="0" relativeHeight="16035840">
            <wp:simplePos x="0" y="0"/>
            <wp:positionH relativeFrom="page">
              <wp:posOffset>530275</wp:posOffset>
            </wp:positionH>
            <wp:positionV relativeFrom="paragraph">
              <wp:posOffset>42359</wp:posOffset>
            </wp:positionV>
            <wp:extent cx="55029" cy="6350"/>
            <wp:effectExtent l="0" t="0" r="0" b="0"/>
            <wp:wrapNone/>
            <wp:docPr id="179" name="image13.png"/>
            <wp:cNvGraphicFramePr>
              <a:graphicFrameLocks noChangeAspect="1"/>
            </wp:cNvGraphicFramePr>
            <a:graphic>
              <a:graphicData uri="http://schemas.openxmlformats.org/drawingml/2006/picture">
                <pic:pic>
                  <pic:nvPicPr>
                    <pic:cNvPr id="180" name="image13.png"/>
                    <pic:cNvPicPr/>
                  </pic:nvPicPr>
                  <pic:blipFill>
                    <a:blip r:embed="rId38"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036864">
            <wp:simplePos x="0" y="0"/>
            <wp:positionH relativeFrom="page">
              <wp:posOffset>2522702</wp:posOffset>
            </wp:positionH>
            <wp:positionV relativeFrom="paragraph">
              <wp:posOffset>42054</wp:posOffset>
            </wp:positionV>
            <wp:extent cx="55016" cy="6350"/>
            <wp:effectExtent l="0" t="0" r="0" b="0"/>
            <wp:wrapNone/>
            <wp:docPr id="181" name="image17.png"/>
            <wp:cNvGraphicFramePr>
              <a:graphicFrameLocks noChangeAspect="1"/>
            </wp:cNvGraphicFramePr>
            <a:graphic>
              <a:graphicData uri="http://schemas.openxmlformats.org/drawingml/2006/picture">
                <pic:pic>
                  <pic:nvPicPr>
                    <pic:cNvPr id="182"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1.8</w:t>
      </w:r>
    </w:p>
    <w:p>
      <w:pPr>
        <w:pStyle w:val="BodyText"/>
        <w:spacing w:before="11"/>
        <w:rPr>
          <w:sz w:val="17"/>
        </w:rPr>
      </w:pPr>
    </w:p>
    <w:p>
      <w:pPr>
        <w:spacing w:before="0"/>
        <w:ind w:left="0" w:right="186" w:firstLine="0"/>
        <w:jc w:val="right"/>
        <w:rPr>
          <w:sz w:val="12"/>
        </w:rPr>
      </w:pPr>
      <w:r>
        <w:rPr/>
        <w:drawing>
          <wp:anchor distT="0" distB="0" distL="0" distR="0" allowOverlap="1" layoutInCell="1" locked="0" behindDoc="0" simplePos="0" relativeHeight="16037376">
            <wp:simplePos x="0" y="0"/>
            <wp:positionH relativeFrom="page">
              <wp:posOffset>2522702</wp:posOffset>
            </wp:positionH>
            <wp:positionV relativeFrom="paragraph">
              <wp:posOffset>42239</wp:posOffset>
            </wp:positionV>
            <wp:extent cx="55016" cy="6350"/>
            <wp:effectExtent l="0" t="0" r="0" b="0"/>
            <wp:wrapNone/>
            <wp:docPr id="183" name="image17.png"/>
            <wp:cNvGraphicFramePr>
              <a:graphicFrameLocks noChangeAspect="1"/>
            </wp:cNvGraphicFramePr>
            <a:graphic>
              <a:graphicData uri="http://schemas.openxmlformats.org/drawingml/2006/picture">
                <pic:pic>
                  <pic:nvPicPr>
                    <pic:cNvPr id="184"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1.6</w:t>
      </w:r>
    </w:p>
    <w:p>
      <w:pPr>
        <w:pStyle w:val="BodyText"/>
        <w:spacing w:before="11"/>
        <w:rPr>
          <w:sz w:val="17"/>
        </w:rPr>
      </w:pPr>
    </w:p>
    <w:p>
      <w:pPr>
        <w:spacing w:before="0"/>
        <w:ind w:left="0" w:right="186" w:firstLine="0"/>
        <w:jc w:val="right"/>
        <w:rPr>
          <w:sz w:val="12"/>
        </w:rPr>
      </w:pPr>
      <w:r>
        <w:rPr/>
        <w:drawing>
          <wp:anchor distT="0" distB="0" distL="0" distR="0" allowOverlap="1" layoutInCell="1" locked="0" behindDoc="0" simplePos="0" relativeHeight="16037888">
            <wp:simplePos x="0" y="0"/>
            <wp:positionH relativeFrom="page">
              <wp:posOffset>2522702</wp:posOffset>
            </wp:positionH>
            <wp:positionV relativeFrom="paragraph">
              <wp:posOffset>42437</wp:posOffset>
            </wp:positionV>
            <wp:extent cx="55016" cy="6350"/>
            <wp:effectExtent l="0" t="0" r="0" b="0"/>
            <wp:wrapNone/>
            <wp:docPr id="185" name="image17.png"/>
            <wp:cNvGraphicFramePr>
              <a:graphicFrameLocks noChangeAspect="1"/>
            </wp:cNvGraphicFramePr>
            <a:graphic>
              <a:graphicData uri="http://schemas.openxmlformats.org/drawingml/2006/picture">
                <pic:pic>
                  <pic:nvPicPr>
                    <pic:cNvPr id="186"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1.4</w:t>
      </w:r>
    </w:p>
    <w:p>
      <w:pPr>
        <w:pStyle w:val="BodyText"/>
        <w:spacing w:before="11"/>
        <w:rPr>
          <w:sz w:val="17"/>
        </w:rPr>
      </w:pPr>
    </w:p>
    <w:p>
      <w:pPr>
        <w:spacing w:before="0"/>
        <w:ind w:left="0" w:right="186" w:firstLine="0"/>
        <w:jc w:val="right"/>
        <w:rPr>
          <w:sz w:val="12"/>
        </w:rPr>
      </w:pPr>
      <w:r>
        <w:rPr/>
        <w:drawing>
          <wp:anchor distT="0" distB="0" distL="0" distR="0" allowOverlap="1" layoutInCell="1" locked="0" behindDoc="0" simplePos="0" relativeHeight="16038400">
            <wp:simplePos x="0" y="0"/>
            <wp:positionH relativeFrom="page">
              <wp:posOffset>2522702</wp:posOffset>
            </wp:positionH>
            <wp:positionV relativeFrom="paragraph">
              <wp:posOffset>42623</wp:posOffset>
            </wp:positionV>
            <wp:extent cx="55016" cy="6350"/>
            <wp:effectExtent l="0" t="0" r="0" b="0"/>
            <wp:wrapNone/>
            <wp:docPr id="187" name="image17.png"/>
            <wp:cNvGraphicFramePr>
              <a:graphicFrameLocks noChangeAspect="1"/>
            </wp:cNvGraphicFramePr>
            <a:graphic>
              <a:graphicData uri="http://schemas.openxmlformats.org/drawingml/2006/picture">
                <pic:pic>
                  <pic:nvPicPr>
                    <pic:cNvPr id="188"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1.2</w:t>
      </w:r>
    </w:p>
    <w:p>
      <w:pPr>
        <w:pStyle w:val="BodyText"/>
        <w:rPr>
          <w:sz w:val="12"/>
        </w:rPr>
      </w:pPr>
    </w:p>
    <w:p>
      <w:pPr>
        <w:spacing w:before="69"/>
        <w:ind w:left="0" w:right="186" w:firstLine="0"/>
        <w:jc w:val="right"/>
        <w:rPr>
          <w:sz w:val="12"/>
        </w:rPr>
      </w:pPr>
      <w:r>
        <w:rPr/>
        <w:drawing>
          <wp:anchor distT="0" distB="0" distL="0" distR="0" allowOverlap="1" layoutInCell="1" locked="0" behindDoc="0" simplePos="0" relativeHeight="16038912">
            <wp:simplePos x="0" y="0"/>
            <wp:positionH relativeFrom="page">
              <wp:posOffset>2522702</wp:posOffset>
            </wp:positionH>
            <wp:positionV relativeFrom="paragraph">
              <wp:posOffset>86623</wp:posOffset>
            </wp:positionV>
            <wp:extent cx="55016" cy="6350"/>
            <wp:effectExtent l="0" t="0" r="0" b="0"/>
            <wp:wrapNone/>
            <wp:docPr id="189" name="image17.png"/>
            <wp:cNvGraphicFramePr>
              <a:graphicFrameLocks noChangeAspect="1"/>
            </wp:cNvGraphicFramePr>
            <a:graphic>
              <a:graphicData uri="http://schemas.openxmlformats.org/drawingml/2006/picture">
                <pic:pic>
                  <pic:nvPicPr>
                    <pic:cNvPr id="190"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1.0</w:t>
      </w:r>
    </w:p>
    <w:p>
      <w:pPr>
        <w:pStyle w:val="BodyText"/>
        <w:spacing w:before="11"/>
        <w:rPr>
          <w:sz w:val="17"/>
        </w:rPr>
      </w:pPr>
    </w:p>
    <w:p>
      <w:pPr>
        <w:spacing w:before="0"/>
        <w:ind w:left="0" w:right="186" w:firstLine="0"/>
        <w:jc w:val="right"/>
        <w:rPr>
          <w:sz w:val="12"/>
        </w:rPr>
      </w:pPr>
      <w:r>
        <w:rPr/>
        <w:drawing>
          <wp:anchor distT="0" distB="0" distL="0" distR="0" allowOverlap="1" layoutInCell="1" locked="0" behindDoc="0" simplePos="0" relativeHeight="16039936">
            <wp:simplePos x="0" y="0"/>
            <wp:positionH relativeFrom="page">
              <wp:posOffset>2522702</wp:posOffset>
            </wp:positionH>
            <wp:positionV relativeFrom="paragraph">
              <wp:posOffset>43006</wp:posOffset>
            </wp:positionV>
            <wp:extent cx="55016" cy="6350"/>
            <wp:effectExtent l="0" t="0" r="0" b="0"/>
            <wp:wrapNone/>
            <wp:docPr id="191" name="image17.png"/>
            <wp:cNvGraphicFramePr>
              <a:graphicFrameLocks noChangeAspect="1"/>
            </wp:cNvGraphicFramePr>
            <a:graphic>
              <a:graphicData uri="http://schemas.openxmlformats.org/drawingml/2006/picture">
                <pic:pic>
                  <pic:nvPicPr>
                    <pic:cNvPr id="192"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0.8</w:t>
      </w:r>
    </w:p>
    <w:p>
      <w:pPr>
        <w:pStyle w:val="BodyText"/>
        <w:spacing w:before="11"/>
        <w:rPr>
          <w:sz w:val="17"/>
        </w:rPr>
      </w:pPr>
    </w:p>
    <w:p>
      <w:pPr>
        <w:spacing w:before="0"/>
        <w:ind w:left="0" w:right="186" w:firstLine="0"/>
        <w:jc w:val="right"/>
        <w:rPr>
          <w:sz w:val="12"/>
        </w:rPr>
      </w:pPr>
      <w:r>
        <w:rPr/>
        <w:drawing>
          <wp:anchor distT="0" distB="0" distL="0" distR="0" allowOverlap="1" layoutInCell="1" locked="0" behindDoc="0" simplePos="0" relativeHeight="16039424">
            <wp:simplePos x="0" y="0"/>
            <wp:positionH relativeFrom="page">
              <wp:posOffset>2522702</wp:posOffset>
            </wp:positionH>
            <wp:positionV relativeFrom="paragraph">
              <wp:posOffset>43192</wp:posOffset>
            </wp:positionV>
            <wp:extent cx="55016" cy="6350"/>
            <wp:effectExtent l="0" t="0" r="0" b="0"/>
            <wp:wrapNone/>
            <wp:docPr id="193" name="image17.png"/>
            <wp:cNvGraphicFramePr>
              <a:graphicFrameLocks noChangeAspect="1"/>
            </wp:cNvGraphicFramePr>
            <a:graphic>
              <a:graphicData uri="http://schemas.openxmlformats.org/drawingml/2006/picture">
                <pic:pic>
                  <pic:nvPicPr>
                    <pic:cNvPr id="194"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0.6</w:t>
      </w:r>
    </w:p>
    <w:p>
      <w:pPr>
        <w:pStyle w:val="BodyText"/>
        <w:spacing w:before="11"/>
        <w:rPr>
          <w:sz w:val="17"/>
        </w:rPr>
      </w:pPr>
    </w:p>
    <w:p>
      <w:pPr>
        <w:spacing w:line="127" w:lineRule="exact" w:before="0"/>
        <w:ind w:left="3466" w:right="0" w:firstLine="0"/>
        <w:jc w:val="left"/>
        <w:rPr>
          <w:sz w:val="12"/>
        </w:rPr>
      </w:pPr>
      <w:r>
        <w:rPr/>
        <w:drawing>
          <wp:anchor distT="0" distB="0" distL="0" distR="0" allowOverlap="1" layoutInCell="1" locked="0" behindDoc="0" simplePos="0" relativeHeight="16040448">
            <wp:simplePos x="0" y="0"/>
            <wp:positionH relativeFrom="page">
              <wp:posOffset>530275</wp:posOffset>
            </wp:positionH>
            <wp:positionV relativeFrom="paragraph">
              <wp:posOffset>43377</wp:posOffset>
            </wp:positionV>
            <wp:extent cx="2062314" cy="85534"/>
            <wp:effectExtent l="0" t="0" r="0" b="0"/>
            <wp:wrapNone/>
            <wp:docPr id="195" name="image74.png"/>
            <wp:cNvGraphicFramePr>
              <a:graphicFrameLocks noChangeAspect="1"/>
            </wp:cNvGraphicFramePr>
            <a:graphic>
              <a:graphicData uri="http://schemas.openxmlformats.org/drawingml/2006/picture">
                <pic:pic>
                  <pic:nvPicPr>
                    <pic:cNvPr id="196" name="image74.png"/>
                    <pic:cNvPicPr/>
                  </pic:nvPicPr>
                  <pic:blipFill>
                    <a:blip r:embed="rId126" cstate="print"/>
                    <a:stretch>
                      <a:fillRect/>
                    </a:stretch>
                  </pic:blipFill>
                  <pic:spPr>
                    <a:xfrm>
                      <a:off x="0" y="0"/>
                      <a:ext cx="2062314" cy="85534"/>
                    </a:xfrm>
                    <a:prstGeom prst="rect">
                      <a:avLst/>
                    </a:prstGeom>
                  </pic:spPr>
                </pic:pic>
              </a:graphicData>
            </a:graphic>
          </wp:anchor>
        </w:drawing>
      </w:r>
      <w:r>
        <w:rPr>
          <w:sz w:val="12"/>
        </w:rPr>
        <w:t>0.4</w:t>
      </w:r>
    </w:p>
    <w:p>
      <w:pPr>
        <w:spacing w:line="111" w:lineRule="exact" w:before="0"/>
        <w:ind w:left="3466" w:right="0" w:firstLine="0"/>
        <w:jc w:val="left"/>
        <w:rPr>
          <w:sz w:val="12"/>
        </w:rPr>
      </w:pPr>
      <w:r>
        <w:rPr>
          <w:sz w:val="12"/>
        </w:rPr>
        <w:t>0.0</w:t>
      </w:r>
    </w:p>
    <w:p>
      <w:pPr>
        <w:spacing w:line="122" w:lineRule="exact" w:before="0"/>
        <w:ind w:left="248" w:right="0" w:firstLine="0"/>
        <w:jc w:val="left"/>
        <w:rPr>
          <w:sz w:val="12"/>
        </w:rPr>
      </w:pPr>
      <w:r>
        <w:rPr>
          <w:sz w:val="12"/>
        </w:rPr>
        <w:t>1980 82 84 86 88 90 92 94 96 98 2000</w:t>
      </w:r>
    </w:p>
    <w:p>
      <w:pPr>
        <w:pStyle w:val="BodyText"/>
        <w:spacing w:before="10"/>
        <w:rPr>
          <w:sz w:val="16"/>
        </w:rPr>
      </w:pPr>
    </w:p>
    <w:p>
      <w:pPr>
        <w:spacing w:line="208" w:lineRule="auto" w:before="0"/>
        <w:ind w:left="425" w:right="41" w:hanging="240"/>
        <w:jc w:val="left"/>
        <w:rPr>
          <w:sz w:val="12"/>
        </w:rPr>
      </w:pPr>
      <w:r>
        <w:rPr>
          <w:sz w:val="12"/>
        </w:rPr>
        <w:t>(a) Defined as the stock of unfilled Jobcentre vacancies divided by monthly outflows.</w:t>
      </w:r>
    </w:p>
    <w:p>
      <w:pPr>
        <w:pStyle w:val="BodyText"/>
        <w:rPr>
          <w:sz w:val="12"/>
        </w:rPr>
      </w:pPr>
    </w:p>
    <w:p>
      <w:pPr>
        <w:pStyle w:val="BodyText"/>
        <w:rPr>
          <w:sz w:val="12"/>
        </w:rPr>
      </w:pPr>
    </w:p>
    <w:p>
      <w:pPr>
        <w:pStyle w:val="BodyText"/>
        <w:spacing w:before="3"/>
        <w:rPr>
          <w:sz w:val="17"/>
        </w:rPr>
      </w:pPr>
    </w:p>
    <w:p>
      <w:pPr>
        <w:spacing w:before="1"/>
        <w:ind w:left="179" w:right="0" w:firstLine="0"/>
        <w:jc w:val="left"/>
        <w:rPr>
          <w:b/>
          <w:sz w:val="20"/>
        </w:rPr>
      </w:pPr>
      <w:r>
        <w:rPr>
          <w:b/>
          <w:color w:val="0092C7"/>
          <w:sz w:val="20"/>
        </w:rPr>
        <w:t>Chart 3.11</w:t>
      </w:r>
    </w:p>
    <w:p>
      <w:pPr>
        <w:spacing w:line="249" w:lineRule="auto" w:before="10"/>
        <w:ind w:left="179" w:right="0" w:firstLine="0"/>
        <w:jc w:val="left"/>
        <w:rPr>
          <w:sz w:val="12"/>
        </w:rPr>
      </w:pPr>
      <w:r>
        <w:rPr>
          <w:b/>
          <w:color w:val="0092C7"/>
          <w:sz w:val="20"/>
        </w:rPr>
        <w:t>Ratio of Jobcentre vacancies to unemployment</w:t>
      </w:r>
      <w:r>
        <w:rPr>
          <w:position w:val="4"/>
          <w:sz w:val="12"/>
        </w:rPr>
        <w:t>(a)</w:t>
      </w:r>
    </w:p>
    <w:p>
      <w:pPr>
        <w:pStyle w:val="BodyText"/>
        <w:spacing w:before="11" w:after="39"/>
        <w:rPr>
          <w:sz w:val="11"/>
        </w:rPr>
      </w:pPr>
    </w:p>
    <w:p>
      <w:pPr>
        <w:tabs>
          <w:tab w:pos="3324" w:val="left" w:leader="none"/>
        </w:tabs>
        <w:spacing w:line="20" w:lineRule="exact"/>
        <w:ind w:left="202" w:right="0" w:firstLine="0"/>
        <w:rPr>
          <w:sz w:val="2"/>
        </w:rPr>
      </w:pPr>
      <w:r>
        <w:rPr>
          <w:sz w:val="2"/>
        </w:rPr>
        <w:drawing>
          <wp:inline distT="0" distB="0" distL="0" distR="0">
            <wp:extent cx="55304" cy="6381"/>
            <wp:effectExtent l="0" t="0" r="0" b="0"/>
            <wp:docPr id="197" name="image24.png"/>
            <wp:cNvGraphicFramePr>
              <a:graphicFrameLocks noChangeAspect="1"/>
            </wp:cNvGraphicFramePr>
            <a:graphic>
              <a:graphicData uri="http://schemas.openxmlformats.org/drawingml/2006/picture">
                <pic:pic>
                  <pic:nvPicPr>
                    <pic:cNvPr id="198" name="image24.png"/>
                    <pic:cNvPicPr/>
                  </pic:nvPicPr>
                  <pic:blipFill>
                    <a:blip r:embed="rId53" cstate="print"/>
                    <a:stretch>
                      <a:fillRect/>
                    </a:stretch>
                  </pic:blipFill>
                  <pic:spPr>
                    <a:xfrm>
                      <a:off x="0" y="0"/>
                      <a:ext cx="55304" cy="6381"/>
                    </a:xfrm>
                    <a:prstGeom prst="rect">
                      <a:avLst/>
                    </a:prstGeom>
                  </pic:spPr>
                </pic:pic>
              </a:graphicData>
            </a:graphic>
          </wp:inline>
        </w:drawing>
      </w:r>
      <w:r>
        <w:rPr>
          <w:sz w:val="2"/>
        </w:rPr>
      </w:r>
      <w:r>
        <w:rPr>
          <w:sz w:val="2"/>
        </w:rPr>
        <w:tab/>
      </w:r>
      <w:r>
        <w:rPr>
          <w:sz w:val="2"/>
        </w:rPr>
        <w:drawing>
          <wp:inline distT="0" distB="0" distL="0" distR="0">
            <wp:extent cx="54466" cy="6286"/>
            <wp:effectExtent l="0" t="0" r="0" b="0"/>
            <wp:docPr id="199" name="image14.png"/>
            <wp:cNvGraphicFramePr>
              <a:graphicFrameLocks noChangeAspect="1"/>
            </wp:cNvGraphicFramePr>
            <a:graphic>
              <a:graphicData uri="http://schemas.openxmlformats.org/drawingml/2006/picture">
                <pic:pic>
                  <pic:nvPicPr>
                    <pic:cNvPr id="200" name="image14.png"/>
                    <pic:cNvPicPr/>
                  </pic:nvPicPr>
                  <pic:blipFill>
                    <a:blip r:embed="rId39" cstate="print"/>
                    <a:stretch>
                      <a:fillRect/>
                    </a:stretch>
                  </pic:blipFill>
                  <pic:spPr>
                    <a:xfrm>
                      <a:off x="0" y="0"/>
                      <a:ext cx="54466" cy="6286"/>
                    </a:xfrm>
                    <a:prstGeom prst="rect">
                      <a:avLst/>
                    </a:prstGeom>
                  </pic:spPr>
                </pic:pic>
              </a:graphicData>
            </a:graphic>
          </wp:inline>
        </w:drawing>
      </w:r>
      <w:r>
        <w:rPr>
          <w:sz w:val="2"/>
        </w:rPr>
      </w:r>
    </w:p>
    <w:p>
      <w:pPr>
        <w:pStyle w:val="BodyText"/>
        <w:spacing w:line="242" w:lineRule="auto" w:before="220"/>
        <w:ind w:left="179" w:right="193"/>
      </w:pPr>
      <w:r>
        <w:rPr/>
        <w:br w:type="column"/>
      </w:r>
      <w:r>
        <w:rPr/>
        <w:t>fallen as far as LFS unemployment relative to the previous trough in 1990. And the recent rises in inactivity mean that weighted non-employment suggests a more gradual tightening of labour conditions in recent months than does LFS unemployment.</w:t>
      </w:r>
    </w:p>
    <w:p>
      <w:pPr>
        <w:pStyle w:val="BodyText"/>
        <w:spacing w:before="4"/>
        <w:rPr>
          <w:sz w:val="28"/>
        </w:rPr>
      </w:pPr>
    </w:p>
    <w:p>
      <w:pPr>
        <w:pStyle w:val="BodyText"/>
        <w:spacing w:line="242" w:lineRule="auto"/>
        <w:ind w:left="179" w:right="160"/>
      </w:pPr>
      <w:r>
        <w:rPr/>
        <w:t>Developments in job vacancies suggest that the labour market remains tight. The Recruitment and Employment Confederation (REC) index of national press recruitment advertising and the number of unfilled Jobcentre vacancies have both risen to record highs in recent months. The average time taken to fill vacancies also remains at historically high levels, although it has shown some signs of stabilising in recent months as the number of vacancy outflows has increased (see Chart 3.10). The continued falls in unemployment also mean that the ratio of the stock of unfilled Jobcentre vacancies to the number of unemployed people has risen to its highest recorded level since the series began in 1980 (see</w:t>
      </w:r>
    </w:p>
    <w:p>
      <w:pPr>
        <w:pStyle w:val="BodyText"/>
        <w:spacing w:line="213" w:lineRule="exact" w:before="17"/>
        <w:ind w:left="179"/>
      </w:pPr>
      <w:r>
        <w:rPr/>
        <w:t>Chart 3.11). Existing unfilled vacancies are, however,</w:t>
      </w:r>
    </w:p>
    <w:p>
      <w:pPr>
        <w:spacing w:after="0" w:line="213" w:lineRule="exact"/>
        <w:sectPr>
          <w:type w:val="continuous"/>
          <w:pgSz w:w="11900" w:h="16840"/>
          <w:pgMar w:top="1260" w:bottom="280" w:left="640" w:right="640"/>
          <w:cols w:num="2" w:equalWidth="0">
            <w:col w:w="3805" w:space="990"/>
            <w:col w:w="5825"/>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line="71" w:lineRule="exact"/>
        <w:ind w:left="202" w:right="-29" w:firstLine="0"/>
        <w:rPr>
          <w:sz w:val="7"/>
        </w:rPr>
      </w:pPr>
      <w:r>
        <w:rPr>
          <w:position w:val="0"/>
          <w:sz w:val="2"/>
        </w:rPr>
        <w:drawing>
          <wp:inline distT="0" distB="0" distL="0" distR="0">
            <wp:extent cx="55304" cy="6381"/>
            <wp:effectExtent l="0" t="0" r="0" b="0"/>
            <wp:docPr id="201" name="image24.png"/>
            <wp:cNvGraphicFramePr>
              <a:graphicFrameLocks noChangeAspect="1"/>
            </wp:cNvGraphicFramePr>
            <a:graphic>
              <a:graphicData uri="http://schemas.openxmlformats.org/drawingml/2006/picture">
                <pic:pic>
                  <pic:nvPicPr>
                    <pic:cNvPr id="202" name="image24.png"/>
                    <pic:cNvPicPr/>
                  </pic:nvPicPr>
                  <pic:blipFill>
                    <a:blip r:embed="rId53" cstate="print"/>
                    <a:stretch>
                      <a:fillRect/>
                    </a:stretch>
                  </pic:blipFill>
                  <pic:spPr>
                    <a:xfrm>
                      <a:off x="0" y="0"/>
                      <a:ext cx="55304" cy="6381"/>
                    </a:xfrm>
                    <a:prstGeom prst="rect">
                      <a:avLst/>
                    </a:prstGeom>
                  </pic:spPr>
                </pic:pic>
              </a:graphicData>
            </a:graphic>
          </wp:inline>
        </w:drawing>
      </w:r>
      <w:r>
        <w:rPr>
          <w:position w:val="0"/>
          <w:sz w:val="2"/>
        </w:rPr>
      </w:r>
      <w:r>
        <w:rPr>
          <w:spacing w:val="58"/>
          <w:position w:val="0"/>
          <w:sz w:val="7"/>
        </w:rPr>
        <w:t> </w:t>
      </w:r>
      <w:r>
        <w:rPr>
          <w:spacing w:val="58"/>
          <w:position w:val="0"/>
          <w:sz w:val="7"/>
        </w:rPr>
        <w:drawing>
          <wp:inline distT="0" distB="0" distL="0" distR="0">
            <wp:extent cx="1918444" cy="45434"/>
            <wp:effectExtent l="0" t="0" r="0" b="0"/>
            <wp:docPr id="203" name="image75.png"/>
            <wp:cNvGraphicFramePr>
              <a:graphicFrameLocks noChangeAspect="1"/>
            </wp:cNvGraphicFramePr>
            <a:graphic>
              <a:graphicData uri="http://schemas.openxmlformats.org/drawingml/2006/picture">
                <pic:pic>
                  <pic:nvPicPr>
                    <pic:cNvPr id="204" name="image75.png"/>
                    <pic:cNvPicPr/>
                  </pic:nvPicPr>
                  <pic:blipFill>
                    <a:blip r:embed="rId127" cstate="print"/>
                    <a:stretch>
                      <a:fillRect/>
                    </a:stretch>
                  </pic:blipFill>
                  <pic:spPr>
                    <a:xfrm>
                      <a:off x="0" y="0"/>
                      <a:ext cx="1918444" cy="45434"/>
                    </a:xfrm>
                    <a:prstGeom prst="rect">
                      <a:avLst/>
                    </a:prstGeom>
                  </pic:spPr>
                </pic:pic>
              </a:graphicData>
            </a:graphic>
          </wp:inline>
        </w:drawing>
      </w:r>
      <w:r>
        <w:rPr>
          <w:spacing w:val="58"/>
          <w:position w:val="0"/>
          <w:sz w:val="7"/>
        </w:rPr>
      </w:r>
    </w:p>
    <w:p>
      <w:pPr>
        <w:spacing w:before="15"/>
        <w:ind w:left="239" w:right="0" w:firstLine="0"/>
        <w:jc w:val="left"/>
        <w:rPr>
          <w:sz w:val="12"/>
        </w:rPr>
      </w:pPr>
      <w:r>
        <w:rPr/>
        <w:pict>
          <v:group style="position:absolute;margin-left:50.154999pt;margin-top:-129.127014pt;width:152.4pt;height:115.4pt;mso-position-horizontal-relative:page;mso-position-vertical-relative:paragraph;z-index:16041984" coordorigin="1003,-2583" coordsize="3048,2308">
            <v:shape style="position:absolute;left:1003;top:-2583;width:3048;height:2308" type="#_x0000_t75" stroked="false">
              <v:imagedata r:id="rId128" o:title=""/>
            </v:shape>
            <v:shape style="position:absolute;left:2748;top:-2413;width:983;height:256" type="#_x0000_t202" filled="false" stroked="false">
              <v:textbox inset="0,0,0,0">
                <w:txbxContent>
                  <w:p>
                    <w:pPr>
                      <w:spacing w:line="213" w:lineRule="auto" w:before="7"/>
                      <w:ind w:left="93" w:right="0" w:hanging="94"/>
                      <w:jc w:val="left"/>
                      <w:rPr>
                        <w:sz w:val="12"/>
                      </w:rPr>
                    </w:pPr>
                    <w:r>
                      <w:rPr>
                        <w:sz w:val="12"/>
                      </w:rPr>
                      <w:t>Based on stock of unfilled vacancies</w:t>
                    </w:r>
                  </w:p>
                </w:txbxContent>
              </v:textbox>
              <w10:wrap type="none"/>
            </v:shape>
            <v:shape style="position:absolute;left:2293;top:-1558;width:844;height:237" type="#_x0000_t202" filled="false" stroked="false">
              <v:textbox inset="0,0,0,0">
                <w:txbxContent>
                  <w:p>
                    <w:pPr>
                      <w:spacing w:line="180" w:lineRule="auto" w:before="23"/>
                      <w:ind w:left="93" w:right="1" w:hanging="94"/>
                      <w:jc w:val="left"/>
                      <w:rPr>
                        <w:sz w:val="12"/>
                      </w:rPr>
                    </w:pPr>
                    <w:r>
                      <w:rPr>
                        <w:sz w:val="12"/>
                      </w:rPr>
                      <w:t>Based on flow of new vacancies</w:t>
                    </w:r>
                  </w:p>
                </w:txbxContent>
              </v:textbox>
              <w10:wrap type="none"/>
            </v:shape>
            <w10:wrap type="none"/>
          </v:group>
        </w:pict>
      </w:r>
      <w:r>
        <w:rPr/>
        <w:drawing>
          <wp:anchor distT="0" distB="0" distL="0" distR="0" allowOverlap="1" layoutInCell="1" locked="0" behindDoc="0" simplePos="0" relativeHeight="16042496">
            <wp:simplePos x="0" y="0"/>
            <wp:positionH relativeFrom="page">
              <wp:posOffset>534885</wp:posOffset>
            </wp:positionH>
            <wp:positionV relativeFrom="paragraph">
              <wp:posOffset>-1383931</wp:posOffset>
            </wp:positionV>
            <wp:extent cx="55304" cy="6381"/>
            <wp:effectExtent l="0" t="0" r="0" b="0"/>
            <wp:wrapNone/>
            <wp:docPr id="205" name="image24.png"/>
            <wp:cNvGraphicFramePr>
              <a:graphicFrameLocks noChangeAspect="1"/>
            </wp:cNvGraphicFramePr>
            <a:graphic>
              <a:graphicData uri="http://schemas.openxmlformats.org/drawingml/2006/picture">
                <pic:pic>
                  <pic:nvPicPr>
                    <pic:cNvPr id="206" name="image24.png"/>
                    <pic:cNvPicPr/>
                  </pic:nvPicPr>
                  <pic:blipFill>
                    <a:blip r:embed="rId53"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6043008">
            <wp:simplePos x="0" y="0"/>
            <wp:positionH relativeFrom="page">
              <wp:posOffset>534885</wp:posOffset>
            </wp:positionH>
            <wp:positionV relativeFrom="paragraph">
              <wp:posOffset>-468731</wp:posOffset>
            </wp:positionV>
            <wp:extent cx="55304" cy="6381"/>
            <wp:effectExtent l="0" t="0" r="0" b="0"/>
            <wp:wrapNone/>
            <wp:docPr id="207" name="image24.png"/>
            <wp:cNvGraphicFramePr>
              <a:graphicFrameLocks noChangeAspect="1"/>
            </wp:cNvGraphicFramePr>
            <a:graphic>
              <a:graphicData uri="http://schemas.openxmlformats.org/drawingml/2006/picture">
                <pic:pic>
                  <pic:nvPicPr>
                    <pic:cNvPr id="208" name="image24.png"/>
                    <pic:cNvPicPr/>
                  </pic:nvPicPr>
                  <pic:blipFill>
                    <a:blip r:embed="rId53" cstate="print"/>
                    <a:stretch>
                      <a:fillRect/>
                    </a:stretch>
                  </pic:blipFill>
                  <pic:spPr>
                    <a:xfrm>
                      <a:off x="0" y="0"/>
                      <a:ext cx="55304" cy="6381"/>
                    </a:xfrm>
                    <a:prstGeom prst="rect">
                      <a:avLst/>
                    </a:prstGeom>
                  </pic:spPr>
                </pic:pic>
              </a:graphicData>
            </a:graphic>
          </wp:anchor>
        </w:drawing>
      </w:r>
      <w:r>
        <w:rPr/>
        <w:drawing>
          <wp:anchor distT="0" distB="0" distL="0" distR="0" allowOverlap="1" layoutInCell="1" locked="0" behindDoc="0" simplePos="0" relativeHeight="16043520">
            <wp:simplePos x="0" y="0"/>
            <wp:positionH relativeFrom="page">
              <wp:posOffset>534885</wp:posOffset>
            </wp:positionH>
            <wp:positionV relativeFrom="paragraph">
              <wp:posOffset>-926325</wp:posOffset>
            </wp:positionV>
            <wp:extent cx="55304" cy="6381"/>
            <wp:effectExtent l="0" t="0" r="0" b="0"/>
            <wp:wrapNone/>
            <wp:docPr id="209" name="image24.png"/>
            <wp:cNvGraphicFramePr>
              <a:graphicFrameLocks noChangeAspect="1"/>
            </wp:cNvGraphicFramePr>
            <a:graphic>
              <a:graphicData uri="http://schemas.openxmlformats.org/drawingml/2006/picture">
                <pic:pic>
                  <pic:nvPicPr>
                    <pic:cNvPr id="210" name="image24.png"/>
                    <pic:cNvPicPr/>
                  </pic:nvPicPr>
                  <pic:blipFill>
                    <a:blip r:embed="rId53" cstate="print"/>
                    <a:stretch>
                      <a:fillRect/>
                    </a:stretch>
                  </pic:blipFill>
                  <pic:spPr>
                    <a:xfrm>
                      <a:off x="0" y="0"/>
                      <a:ext cx="55304" cy="6381"/>
                    </a:xfrm>
                    <a:prstGeom prst="rect">
                      <a:avLst/>
                    </a:prstGeom>
                  </pic:spPr>
                </pic:pic>
              </a:graphicData>
            </a:graphic>
          </wp:anchor>
        </w:drawing>
      </w:r>
      <w:r>
        <w:rPr>
          <w:sz w:val="12"/>
        </w:rPr>
        <w:t>1980 82 84 86 88 90 92 94 96 98 2000</w:t>
      </w:r>
    </w:p>
    <w:p>
      <w:pPr>
        <w:pStyle w:val="BodyText"/>
        <w:spacing w:before="8"/>
        <w:rPr>
          <w:sz w:val="16"/>
        </w:rPr>
      </w:pPr>
    </w:p>
    <w:p>
      <w:pPr>
        <w:spacing w:before="0"/>
        <w:ind w:left="179" w:right="0" w:firstLine="0"/>
        <w:jc w:val="left"/>
        <w:rPr>
          <w:sz w:val="12"/>
        </w:rPr>
      </w:pPr>
      <w:r>
        <w:rPr>
          <w:sz w:val="12"/>
        </w:rPr>
        <w:t>(a) Claimant count unemployment.</w:t>
      </w:r>
    </w:p>
    <w:p>
      <w:pPr>
        <w:pStyle w:val="BodyText"/>
        <w:rPr>
          <w:sz w:val="12"/>
        </w:rPr>
      </w:pPr>
    </w:p>
    <w:p>
      <w:pPr>
        <w:pStyle w:val="BodyText"/>
        <w:rPr>
          <w:sz w:val="12"/>
        </w:rPr>
      </w:pPr>
    </w:p>
    <w:p>
      <w:pPr>
        <w:pStyle w:val="BodyText"/>
        <w:rPr>
          <w:sz w:val="12"/>
        </w:rPr>
      </w:pPr>
    </w:p>
    <w:p>
      <w:pPr>
        <w:pStyle w:val="BodyText"/>
        <w:spacing w:before="10"/>
        <w:rPr>
          <w:sz w:val="13"/>
        </w:rPr>
      </w:pPr>
    </w:p>
    <w:p>
      <w:pPr>
        <w:spacing w:before="0"/>
        <w:ind w:left="180" w:right="0" w:firstLine="0"/>
        <w:jc w:val="left"/>
        <w:rPr>
          <w:b/>
          <w:sz w:val="20"/>
        </w:rPr>
      </w:pPr>
      <w:r>
        <w:rPr>
          <w:b/>
          <w:color w:val="0092C7"/>
          <w:sz w:val="20"/>
        </w:rPr>
        <w:t>Table 3.B</w:t>
      </w:r>
    </w:p>
    <w:p>
      <w:pPr>
        <w:spacing w:line="61" w:lineRule="exact" w:before="0"/>
        <w:ind w:left="8" w:right="0" w:firstLine="0"/>
        <w:jc w:val="left"/>
        <w:rPr>
          <w:sz w:val="12"/>
        </w:rPr>
      </w:pPr>
      <w:r>
        <w:rPr/>
        <w:br w:type="column"/>
      </w:r>
      <w:r>
        <w:rPr>
          <w:sz w:val="12"/>
        </w:rPr>
        <w:t>0.4</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8" w:right="0" w:firstLine="0"/>
        <w:jc w:val="left"/>
        <w:rPr>
          <w:sz w:val="12"/>
        </w:rPr>
      </w:pPr>
      <w:r>
        <w:rPr>
          <w:sz w:val="12"/>
        </w:rPr>
        <w:t>0.3</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8" w:right="0" w:firstLine="0"/>
        <w:jc w:val="left"/>
        <w:rPr>
          <w:sz w:val="12"/>
        </w:rPr>
      </w:pPr>
      <w:r>
        <w:rPr>
          <w:sz w:val="12"/>
        </w:rPr>
        <w:t>0.2</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8" w:right="0" w:firstLine="0"/>
        <w:jc w:val="left"/>
        <w:rPr>
          <w:sz w:val="12"/>
        </w:rPr>
      </w:pPr>
      <w:r>
        <w:rPr>
          <w:sz w:val="12"/>
        </w:rPr>
        <w:t>0.1</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8" w:right="0" w:firstLine="0"/>
        <w:jc w:val="left"/>
        <w:rPr>
          <w:sz w:val="12"/>
        </w:rPr>
      </w:pPr>
      <w:r>
        <w:rPr>
          <w:sz w:val="12"/>
        </w:rPr>
        <w:t>0.0</w:t>
      </w:r>
    </w:p>
    <w:p>
      <w:pPr>
        <w:pStyle w:val="BodyText"/>
        <w:spacing w:line="242" w:lineRule="auto"/>
        <w:ind w:left="179" w:right="241"/>
      </w:pPr>
      <w:r>
        <w:rPr/>
        <w:br w:type="column"/>
      </w:r>
      <w:r>
        <w:rPr/>
        <w:t>more likely to be filled by the newly-unemployed than by people already out of work, who may have already exhausted their search of existing vacancies. By contrast, both categories of unemployed people can potentially fill new vacancies. The ratio of the flow of new vacancies to unemployment is currently at less of a historical high than the ratio based on the stock of unfilled vacancies (see Chart 3.11).</w:t>
      </w:r>
    </w:p>
    <w:p>
      <w:pPr>
        <w:pStyle w:val="BodyText"/>
        <w:spacing w:before="2"/>
        <w:rPr>
          <w:sz w:val="28"/>
        </w:rPr>
      </w:pPr>
    </w:p>
    <w:p>
      <w:pPr>
        <w:pStyle w:val="BodyText"/>
        <w:spacing w:line="242" w:lineRule="auto" w:before="1"/>
        <w:ind w:left="179" w:right="193"/>
      </w:pPr>
      <w:r>
        <w:rPr/>
        <w:t>Survey indicators suggest that labour market conditions have tightened in recent months. The REC reports that the availability of temporary/contract and permanent agency staff have fallen to their lowest levels for more than two years (see Table 3.B). Moreover, the BCC measures of recruitment difficulties in manufacturing</w:t>
      </w:r>
    </w:p>
    <w:p>
      <w:pPr>
        <w:spacing w:after="0" w:line="242" w:lineRule="auto"/>
        <w:sectPr>
          <w:type w:val="continuous"/>
          <w:pgSz w:w="11900" w:h="16840"/>
          <w:pgMar w:top="1260" w:bottom="280" w:left="640" w:right="640"/>
          <w:cols w:num="3" w:equalWidth="0">
            <w:col w:w="3411" w:space="40"/>
            <w:col w:w="199" w:space="1145"/>
            <w:col w:w="5825"/>
          </w:cols>
        </w:sectPr>
      </w:pPr>
    </w:p>
    <w:p>
      <w:pPr>
        <w:spacing w:line="179" w:lineRule="exact" w:before="0"/>
        <w:ind w:left="180" w:right="0" w:firstLine="0"/>
        <w:jc w:val="left"/>
        <w:rPr>
          <w:b/>
          <w:sz w:val="20"/>
        </w:rPr>
      </w:pPr>
      <w:r>
        <w:rPr>
          <w:b/>
          <w:color w:val="0092C7"/>
          <w:sz w:val="20"/>
        </w:rPr>
        <w:t>Survey indicators of labour availability</w:t>
      </w:r>
    </w:p>
    <w:p>
      <w:pPr>
        <w:tabs>
          <w:tab w:pos="2370" w:val="left" w:leader="none"/>
          <w:tab w:pos="2760" w:val="left" w:leader="none"/>
          <w:tab w:pos="3150" w:val="left" w:leader="none"/>
          <w:tab w:pos="3382" w:val="left" w:leader="none"/>
          <w:tab w:pos="4472" w:val="left" w:leader="none"/>
        </w:tabs>
        <w:spacing w:line="208" w:lineRule="auto" w:before="123"/>
        <w:ind w:left="1470" w:right="39" w:firstLine="0"/>
        <w:jc w:val="left"/>
        <w:rPr>
          <w:sz w:val="14"/>
        </w:rPr>
      </w:pPr>
      <w:r>
        <w:rPr>
          <w:sz w:val="14"/>
        </w:rPr>
        <w:t>Series  </w:t>
      </w:r>
      <w:r>
        <w:rPr>
          <w:spacing w:val="26"/>
          <w:sz w:val="14"/>
        </w:rPr>
        <w:t> </w:t>
      </w:r>
      <w:r>
        <w:rPr>
          <w:sz w:val="14"/>
          <w:u w:val="single"/>
        </w:rPr>
        <w:t>1999</w:t>
        <w:tab/>
        <w:tab/>
        <w:tab/>
        <w:tab/>
        <w:t> 2000</w:t>
        <w:tab/>
      </w:r>
      <w:r>
        <w:rPr>
          <w:sz w:val="14"/>
        </w:rPr>
        <w:t> average</w:t>
      </w:r>
      <w:r>
        <w:rPr>
          <w:spacing w:val="10"/>
          <w:sz w:val="14"/>
        </w:rPr>
        <w:t> </w:t>
      </w:r>
      <w:r>
        <w:rPr>
          <w:sz w:val="14"/>
        </w:rPr>
        <w:t>Q1</w:t>
        <w:tab/>
        <w:t>Q2</w:t>
        <w:tab/>
        <w:t>Q3</w:t>
        <w:tab/>
        <w:t>Q4 Q1</w:t>
      </w:r>
      <w:r>
        <w:rPr>
          <w:spacing w:val="6"/>
          <w:sz w:val="14"/>
        </w:rPr>
        <w:t> </w:t>
      </w:r>
      <w:r>
        <w:rPr>
          <w:sz w:val="14"/>
        </w:rPr>
        <w:t>Q2 Q3</w:t>
      </w:r>
    </w:p>
    <w:p>
      <w:pPr>
        <w:pStyle w:val="BodyText"/>
        <w:spacing w:before="4"/>
        <w:rPr>
          <w:sz w:val="2"/>
        </w:rPr>
      </w:pPr>
    </w:p>
    <w:p>
      <w:pPr>
        <w:pStyle w:val="BodyText"/>
        <w:spacing w:line="20" w:lineRule="exact"/>
        <w:ind w:left="1457"/>
        <w:rPr>
          <w:sz w:val="2"/>
        </w:rPr>
      </w:pPr>
      <w:r>
        <w:rPr>
          <w:sz w:val="2"/>
        </w:rPr>
        <w:drawing>
          <wp:inline distT="0" distB="0" distL="0" distR="0">
            <wp:extent cx="480722" cy="1619"/>
            <wp:effectExtent l="0" t="0" r="0" b="0"/>
            <wp:docPr id="211" name="image77.png"/>
            <wp:cNvGraphicFramePr>
              <a:graphicFrameLocks noChangeAspect="1"/>
            </wp:cNvGraphicFramePr>
            <a:graphic>
              <a:graphicData uri="http://schemas.openxmlformats.org/drawingml/2006/picture">
                <pic:pic>
                  <pic:nvPicPr>
                    <pic:cNvPr id="212" name="image77.png"/>
                    <pic:cNvPicPr/>
                  </pic:nvPicPr>
                  <pic:blipFill>
                    <a:blip r:embed="rId129" cstate="print"/>
                    <a:stretch>
                      <a:fillRect/>
                    </a:stretch>
                  </pic:blipFill>
                  <pic:spPr>
                    <a:xfrm>
                      <a:off x="0" y="0"/>
                      <a:ext cx="480722" cy="1619"/>
                    </a:xfrm>
                    <a:prstGeom prst="rect">
                      <a:avLst/>
                    </a:prstGeom>
                  </pic:spPr>
                </pic:pic>
              </a:graphicData>
            </a:graphic>
          </wp:inline>
        </w:drawing>
      </w:r>
      <w:r>
        <w:rPr>
          <w:sz w:val="2"/>
        </w:rPr>
      </w:r>
      <w:r>
        <w:rPr>
          <w:spacing w:val="142"/>
          <w:sz w:val="2"/>
        </w:rPr>
        <w:t> </w:t>
      </w:r>
      <w:r>
        <w:rPr>
          <w:spacing w:val="142"/>
          <w:sz w:val="2"/>
        </w:rPr>
        <w:drawing>
          <wp:inline distT="0" distB="0" distL="0" distR="0">
            <wp:extent cx="184205" cy="1619"/>
            <wp:effectExtent l="0" t="0" r="0" b="0"/>
            <wp:docPr id="213" name="image78.png"/>
            <wp:cNvGraphicFramePr>
              <a:graphicFrameLocks noChangeAspect="1"/>
            </wp:cNvGraphicFramePr>
            <a:graphic>
              <a:graphicData uri="http://schemas.openxmlformats.org/drawingml/2006/picture">
                <pic:pic>
                  <pic:nvPicPr>
                    <pic:cNvPr id="214" name="image78.png"/>
                    <pic:cNvPicPr/>
                  </pic:nvPicPr>
                  <pic:blipFill>
                    <a:blip r:embed="rId130" cstate="print"/>
                    <a:stretch>
                      <a:fillRect/>
                    </a:stretch>
                  </pic:blipFill>
                  <pic:spPr>
                    <a:xfrm>
                      <a:off x="0" y="0"/>
                      <a:ext cx="184205" cy="1619"/>
                    </a:xfrm>
                    <a:prstGeom prst="rect">
                      <a:avLst/>
                    </a:prstGeom>
                  </pic:spPr>
                </pic:pic>
              </a:graphicData>
            </a:graphic>
          </wp:inline>
        </w:drawing>
      </w:r>
      <w:r>
        <w:rPr>
          <w:spacing w:val="142"/>
          <w:sz w:val="2"/>
        </w:rPr>
      </w:r>
      <w:r>
        <w:rPr>
          <w:spacing w:val="114"/>
          <w:sz w:val="2"/>
        </w:rPr>
        <w:t> </w:t>
      </w:r>
      <w:r>
        <w:rPr>
          <w:spacing w:val="114"/>
          <w:sz w:val="2"/>
        </w:rPr>
        <w:drawing>
          <wp:inline distT="0" distB="0" distL="0" distR="0">
            <wp:extent cx="172029" cy="1619"/>
            <wp:effectExtent l="0" t="0" r="0" b="0"/>
            <wp:docPr id="215" name="image79.png"/>
            <wp:cNvGraphicFramePr>
              <a:graphicFrameLocks noChangeAspect="1"/>
            </wp:cNvGraphicFramePr>
            <a:graphic>
              <a:graphicData uri="http://schemas.openxmlformats.org/drawingml/2006/picture">
                <pic:pic>
                  <pic:nvPicPr>
                    <pic:cNvPr id="216" name="image79.png"/>
                    <pic:cNvPicPr/>
                  </pic:nvPicPr>
                  <pic:blipFill>
                    <a:blip r:embed="rId131" cstate="print"/>
                    <a:stretch>
                      <a:fillRect/>
                    </a:stretch>
                  </pic:blipFill>
                  <pic:spPr>
                    <a:xfrm>
                      <a:off x="0" y="0"/>
                      <a:ext cx="172029" cy="1619"/>
                    </a:xfrm>
                    <a:prstGeom prst="rect">
                      <a:avLst/>
                    </a:prstGeom>
                  </pic:spPr>
                </pic:pic>
              </a:graphicData>
            </a:graphic>
          </wp:inline>
        </w:drawing>
      </w:r>
      <w:r>
        <w:rPr>
          <w:spacing w:val="114"/>
          <w:sz w:val="2"/>
        </w:rPr>
      </w:r>
      <w:r>
        <w:rPr>
          <w:spacing w:val="104"/>
          <w:sz w:val="2"/>
        </w:rPr>
        <w:t> </w:t>
      </w:r>
      <w:r>
        <w:rPr>
          <w:spacing w:val="104"/>
          <w:sz w:val="2"/>
        </w:rPr>
        <w:drawing>
          <wp:inline distT="0" distB="0" distL="0" distR="0">
            <wp:extent cx="155448" cy="1619"/>
            <wp:effectExtent l="0" t="0" r="0" b="0"/>
            <wp:docPr id="217" name="image80.png"/>
            <wp:cNvGraphicFramePr>
              <a:graphicFrameLocks noChangeAspect="1"/>
            </wp:cNvGraphicFramePr>
            <a:graphic>
              <a:graphicData uri="http://schemas.openxmlformats.org/drawingml/2006/picture">
                <pic:pic>
                  <pic:nvPicPr>
                    <pic:cNvPr id="218" name="image80.png"/>
                    <pic:cNvPicPr/>
                  </pic:nvPicPr>
                  <pic:blipFill>
                    <a:blip r:embed="rId132" cstate="print"/>
                    <a:stretch>
                      <a:fillRect/>
                    </a:stretch>
                  </pic:blipFill>
                  <pic:spPr>
                    <a:xfrm>
                      <a:off x="0" y="0"/>
                      <a:ext cx="155448" cy="1619"/>
                    </a:xfrm>
                    <a:prstGeom prst="rect">
                      <a:avLst/>
                    </a:prstGeom>
                  </pic:spPr>
                </pic:pic>
              </a:graphicData>
            </a:graphic>
          </wp:inline>
        </w:drawing>
      </w:r>
      <w:r>
        <w:rPr>
          <w:spacing w:val="104"/>
          <w:sz w:val="2"/>
        </w:rPr>
      </w:r>
      <w:r>
        <w:rPr>
          <w:spacing w:val="125"/>
          <w:sz w:val="2"/>
        </w:rPr>
        <w:t> </w:t>
      </w:r>
      <w:r>
        <w:rPr>
          <w:spacing w:val="125"/>
          <w:sz w:val="2"/>
        </w:rPr>
        <w:drawing>
          <wp:inline distT="0" distB="0" distL="0" distR="0">
            <wp:extent cx="187832" cy="1619"/>
            <wp:effectExtent l="0" t="0" r="0" b="0"/>
            <wp:docPr id="219" name="image81.png"/>
            <wp:cNvGraphicFramePr>
              <a:graphicFrameLocks noChangeAspect="1"/>
            </wp:cNvGraphicFramePr>
            <a:graphic>
              <a:graphicData uri="http://schemas.openxmlformats.org/drawingml/2006/picture">
                <pic:pic>
                  <pic:nvPicPr>
                    <pic:cNvPr id="220" name="image81.png"/>
                    <pic:cNvPicPr/>
                  </pic:nvPicPr>
                  <pic:blipFill>
                    <a:blip r:embed="rId133" cstate="print"/>
                    <a:stretch>
                      <a:fillRect/>
                    </a:stretch>
                  </pic:blipFill>
                  <pic:spPr>
                    <a:xfrm>
                      <a:off x="0" y="0"/>
                      <a:ext cx="187832" cy="1619"/>
                    </a:xfrm>
                    <a:prstGeom prst="rect">
                      <a:avLst/>
                    </a:prstGeom>
                  </pic:spPr>
                </pic:pic>
              </a:graphicData>
            </a:graphic>
          </wp:inline>
        </w:drawing>
      </w:r>
      <w:r>
        <w:rPr>
          <w:spacing w:val="125"/>
          <w:sz w:val="2"/>
        </w:rPr>
      </w:r>
      <w:r>
        <w:rPr>
          <w:spacing w:val="74"/>
          <w:sz w:val="2"/>
        </w:rPr>
        <w:t> </w:t>
      </w:r>
      <w:r>
        <w:rPr>
          <w:spacing w:val="74"/>
          <w:sz w:val="2"/>
        </w:rPr>
        <w:drawing>
          <wp:inline distT="0" distB="0" distL="0" distR="0">
            <wp:extent cx="161925" cy="1619"/>
            <wp:effectExtent l="0" t="0" r="0" b="0"/>
            <wp:docPr id="221" name="image82.png"/>
            <wp:cNvGraphicFramePr>
              <a:graphicFrameLocks noChangeAspect="1"/>
            </wp:cNvGraphicFramePr>
            <a:graphic>
              <a:graphicData uri="http://schemas.openxmlformats.org/drawingml/2006/picture">
                <pic:pic>
                  <pic:nvPicPr>
                    <pic:cNvPr id="222" name="image82.png"/>
                    <pic:cNvPicPr/>
                  </pic:nvPicPr>
                  <pic:blipFill>
                    <a:blip r:embed="rId134" cstate="print"/>
                    <a:stretch>
                      <a:fillRect/>
                    </a:stretch>
                  </pic:blipFill>
                  <pic:spPr>
                    <a:xfrm>
                      <a:off x="0" y="0"/>
                      <a:ext cx="161925" cy="1619"/>
                    </a:xfrm>
                    <a:prstGeom prst="rect">
                      <a:avLst/>
                    </a:prstGeom>
                  </pic:spPr>
                </pic:pic>
              </a:graphicData>
            </a:graphic>
          </wp:inline>
        </w:drawing>
      </w:r>
      <w:r>
        <w:rPr>
          <w:spacing w:val="74"/>
          <w:sz w:val="2"/>
        </w:rPr>
      </w:r>
      <w:r>
        <w:rPr>
          <w:spacing w:val="75"/>
          <w:sz w:val="2"/>
        </w:rPr>
        <w:t> </w:t>
      </w:r>
      <w:r>
        <w:rPr>
          <w:spacing w:val="75"/>
          <w:sz w:val="2"/>
        </w:rPr>
        <w:drawing>
          <wp:inline distT="0" distB="0" distL="0" distR="0">
            <wp:extent cx="158297" cy="1619"/>
            <wp:effectExtent l="0" t="0" r="0" b="0"/>
            <wp:docPr id="223" name="image83.png"/>
            <wp:cNvGraphicFramePr>
              <a:graphicFrameLocks noChangeAspect="1"/>
            </wp:cNvGraphicFramePr>
            <a:graphic>
              <a:graphicData uri="http://schemas.openxmlformats.org/drawingml/2006/picture">
                <pic:pic>
                  <pic:nvPicPr>
                    <pic:cNvPr id="224" name="image83.png"/>
                    <pic:cNvPicPr/>
                  </pic:nvPicPr>
                  <pic:blipFill>
                    <a:blip r:embed="rId135" cstate="print"/>
                    <a:stretch>
                      <a:fillRect/>
                    </a:stretch>
                  </pic:blipFill>
                  <pic:spPr>
                    <a:xfrm>
                      <a:off x="0" y="0"/>
                      <a:ext cx="158297" cy="1619"/>
                    </a:xfrm>
                    <a:prstGeom prst="rect">
                      <a:avLst/>
                    </a:prstGeom>
                  </pic:spPr>
                </pic:pic>
              </a:graphicData>
            </a:graphic>
          </wp:inline>
        </w:drawing>
      </w:r>
      <w:r>
        <w:rPr>
          <w:spacing w:val="75"/>
          <w:sz w:val="2"/>
        </w:rPr>
      </w:r>
    </w:p>
    <w:p>
      <w:pPr>
        <w:spacing w:line="208" w:lineRule="auto" w:before="93"/>
        <w:ind w:left="180" w:right="3089" w:firstLine="0"/>
        <w:jc w:val="left"/>
        <w:rPr>
          <w:sz w:val="14"/>
        </w:rPr>
      </w:pPr>
      <w:r>
        <w:rPr/>
        <w:pict>
          <v:shape style="position:absolute;margin-left:105.282188pt;margin-top:11.440823pt;width:442.35pt;height:41.3pt;mso-position-horizontal-relative:page;mso-position-vertical-relative:paragraph;z-index:1604403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8"/>
                    <w:gridCol w:w="435"/>
                    <w:gridCol w:w="395"/>
                    <w:gridCol w:w="385"/>
                    <w:gridCol w:w="375"/>
                    <w:gridCol w:w="360"/>
                    <w:gridCol w:w="885"/>
                    <w:gridCol w:w="5605"/>
                  </w:tblGrid>
                  <w:tr>
                    <w:trPr>
                      <w:trHeight w:val="284" w:hRule="atLeast"/>
                    </w:trPr>
                    <w:tc>
                      <w:tcPr>
                        <w:tcW w:w="408" w:type="dxa"/>
                      </w:tcPr>
                      <w:p>
                        <w:pPr>
                          <w:pStyle w:val="TableParagraph"/>
                          <w:spacing w:line="137" w:lineRule="exact" w:before="127"/>
                          <w:ind w:left="30" w:right="90"/>
                          <w:jc w:val="center"/>
                          <w:rPr>
                            <w:sz w:val="14"/>
                          </w:rPr>
                        </w:pPr>
                        <w:r>
                          <w:rPr>
                            <w:sz w:val="14"/>
                          </w:rPr>
                          <w:t>44.3</w:t>
                        </w:r>
                      </w:p>
                    </w:tc>
                    <w:tc>
                      <w:tcPr>
                        <w:tcW w:w="435" w:type="dxa"/>
                      </w:tcPr>
                      <w:p>
                        <w:pPr>
                          <w:pStyle w:val="TableParagraph"/>
                          <w:spacing w:line="137" w:lineRule="exact" w:before="127"/>
                          <w:ind w:right="75"/>
                          <w:jc w:val="right"/>
                          <w:rPr>
                            <w:sz w:val="14"/>
                          </w:rPr>
                        </w:pPr>
                        <w:r>
                          <w:rPr>
                            <w:sz w:val="14"/>
                          </w:rPr>
                          <w:t>58.6</w:t>
                        </w:r>
                      </w:p>
                    </w:tc>
                    <w:tc>
                      <w:tcPr>
                        <w:tcW w:w="395" w:type="dxa"/>
                      </w:tcPr>
                      <w:p>
                        <w:pPr>
                          <w:pStyle w:val="TableParagraph"/>
                          <w:spacing w:line="137" w:lineRule="exact" w:before="127"/>
                          <w:ind w:left="57" w:right="53"/>
                          <w:jc w:val="center"/>
                          <w:rPr>
                            <w:sz w:val="14"/>
                          </w:rPr>
                        </w:pPr>
                        <w:r>
                          <w:rPr>
                            <w:sz w:val="14"/>
                          </w:rPr>
                          <w:t>52.5</w:t>
                        </w:r>
                      </w:p>
                    </w:tc>
                    <w:tc>
                      <w:tcPr>
                        <w:tcW w:w="385" w:type="dxa"/>
                      </w:tcPr>
                      <w:p>
                        <w:pPr>
                          <w:pStyle w:val="TableParagraph"/>
                          <w:spacing w:line="137" w:lineRule="exact" w:before="127"/>
                          <w:ind w:left="52" w:right="48"/>
                          <w:jc w:val="center"/>
                          <w:rPr>
                            <w:sz w:val="14"/>
                          </w:rPr>
                        </w:pPr>
                        <w:r>
                          <w:rPr>
                            <w:sz w:val="14"/>
                          </w:rPr>
                          <w:t>47.3</w:t>
                        </w:r>
                      </w:p>
                    </w:tc>
                    <w:tc>
                      <w:tcPr>
                        <w:tcW w:w="375" w:type="dxa"/>
                      </w:tcPr>
                      <w:p>
                        <w:pPr>
                          <w:pStyle w:val="TableParagraph"/>
                          <w:spacing w:line="137" w:lineRule="exact" w:before="127"/>
                          <w:ind w:left="47" w:right="43"/>
                          <w:jc w:val="center"/>
                          <w:rPr>
                            <w:sz w:val="14"/>
                          </w:rPr>
                        </w:pPr>
                        <w:r>
                          <w:rPr>
                            <w:sz w:val="14"/>
                          </w:rPr>
                          <w:t>43.3</w:t>
                        </w:r>
                      </w:p>
                    </w:tc>
                    <w:tc>
                      <w:tcPr>
                        <w:tcW w:w="360" w:type="dxa"/>
                      </w:tcPr>
                      <w:p>
                        <w:pPr>
                          <w:pStyle w:val="TableParagraph"/>
                          <w:spacing w:line="137" w:lineRule="exact" w:before="127"/>
                          <w:ind w:left="42" w:right="33"/>
                          <w:jc w:val="center"/>
                          <w:rPr>
                            <w:sz w:val="14"/>
                          </w:rPr>
                        </w:pPr>
                        <w:r>
                          <w:rPr>
                            <w:sz w:val="14"/>
                          </w:rPr>
                          <w:t>45.3</w:t>
                        </w:r>
                      </w:p>
                    </w:tc>
                    <w:tc>
                      <w:tcPr>
                        <w:tcW w:w="885" w:type="dxa"/>
                      </w:tcPr>
                      <w:p>
                        <w:pPr>
                          <w:pStyle w:val="TableParagraph"/>
                          <w:spacing w:line="137" w:lineRule="exact" w:before="127"/>
                          <w:ind w:left="52"/>
                          <w:rPr>
                            <w:sz w:val="14"/>
                          </w:rPr>
                        </w:pPr>
                        <w:r>
                          <w:rPr>
                            <w:sz w:val="14"/>
                          </w:rPr>
                          <w:t>42.3 38.7</w:t>
                        </w:r>
                      </w:p>
                    </w:tc>
                    <w:tc>
                      <w:tcPr>
                        <w:tcW w:w="5605" w:type="dxa"/>
                      </w:tcPr>
                      <w:p>
                        <w:pPr>
                          <w:pStyle w:val="TableParagraph"/>
                          <w:spacing w:line="264" w:lineRule="exact"/>
                          <w:ind w:left="266"/>
                          <w:rPr>
                            <w:sz w:val="24"/>
                          </w:rPr>
                        </w:pPr>
                        <w:r>
                          <w:rPr>
                            <w:sz w:val="24"/>
                          </w:rPr>
                          <w:t>Bank’s regional Agents also report an intensification in</w:t>
                        </w:r>
                      </w:p>
                    </w:tc>
                  </w:tr>
                  <w:tr>
                    <w:trPr>
                      <w:trHeight w:val="280" w:hRule="atLeast"/>
                    </w:trPr>
                    <w:tc>
                      <w:tcPr>
                        <w:tcW w:w="408" w:type="dxa"/>
                      </w:tcPr>
                      <w:p>
                        <w:pPr>
                          <w:pStyle w:val="TableParagraph"/>
                          <w:spacing w:line="137" w:lineRule="exact" w:before="123"/>
                          <w:ind w:left="29" w:right="91"/>
                          <w:jc w:val="center"/>
                          <w:rPr>
                            <w:sz w:val="14"/>
                          </w:rPr>
                        </w:pPr>
                        <w:r>
                          <w:rPr>
                            <w:sz w:val="14"/>
                          </w:rPr>
                          <w:t>45.3</w:t>
                        </w:r>
                      </w:p>
                    </w:tc>
                    <w:tc>
                      <w:tcPr>
                        <w:tcW w:w="435" w:type="dxa"/>
                      </w:tcPr>
                      <w:p>
                        <w:pPr>
                          <w:pStyle w:val="TableParagraph"/>
                          <w:spacing w:line="137" w:lineRule="exact" w:before="123"/>
                          <w:ind w:right="77"/>
                          <w:jc w:val="right"/>
                          <w:rPr>
                            <w:sz w:val="14"/>
                          </w:rPr>
                        </w:pPr>
                        <w:r>
                          <w:rPr>
                            <w:sz w:val="14"/>
                          </w:rPr>
                          <w:t>60.9</w:t>
                        </w:r>
                      </w:p>
                    </w:tc>
                    <w:tc>
                      <w:tcPr>
                        <w:tcW w:w="395" w:type="dxa"/>
                      </w:tcPr>
                      <w:p>
                        <w:pPr>
                          <w:pStyle w:val="TableParagraph"/>
                          <w:spacing w:line="137" w:lineRule="exact" w:before="123"/>
                          <w:ind w:left="57" w:right="53"/>
                          <w:jc w:val="center"/>
                          <w:rPr>
                            <w:sz w:val="14"/>
                          </w:rPr>
                        </w:pPr>
                        <w:r>
                          <w:rPr>
                            <w:sz w:val="14"/>
                          </w:rPr>
                          <w:t>54.0</w:t>
                        </w:r>
                      </w:p>
                    </w:tc>
                    <w:tc>
                      <w:tcPr>
                        <w:tcW w:w="385" w:type="dxa"/>
                      </w:tcPr>
                      <w:p>
                        <w:pPr>
                          <w:pStyle w:val="TableParagraph"/>
                          <w:spacing w:line="137" w:lineRule="exact" w:before="123"/>
                          <w:ind w:left="52" w:right="48"/>
                          <w:jc w:val="center"/>
                          <w:rPr>
                            <w:sz w:val="14"/>
                          </w:rPr>
                        </w:pPr>
                        <w:r>
                          <w:rPr>
                            <w:sz w:val="14"/>
                          </w:rPr>
                          <w:t>47.4</w:t>
                        </w:r>
                      </w:p>
                    </w:tc>
                    <w:tc>
                      <w:tcPr>
                        <w:tcW w:w="375" w:type="dxa"/>
                      </w:tcPr>
                      <w:p>
                        <w:pPr>
                          <w:pStyle w:val="TableParagraph"/>
                          <w:spacing w:line="137" w:lineRule="exact" w:before="123"/>
                          <w:ind w:left="47" w:right="43"/>
                          <w:jc w:val="center"/>
                          <w:rPr>
                            <w:sz w:val="14"/>
                          </w:rPr>
                        </w:pPr>
                        <w:r>
                          <w:rPr>
                            <w:sz w:val="14"/>
                          </w:rPr>
                          <w:t>44.3</w:t>
                        </w:r>
                      </w:p>
                    </w:tc>
                    <w:tc>
                      <w:tcPr>
                        <w:tcW w:w="360" w:type="dxa"/>
                      </w:tcPr>
                      <w:p>
                        <w:pPr>
                          <w:pStyle w:val="TableParagraph"/>
                          <w:spacing w:line="137" w:lineRule="exact" w:before="123"/>
                          <w:ind w:left="42" w:right="33"/>
                          <w:jc w:val="center"/>
                          <w:rPr>
                            <w:sz w:val="14"/>
                          </w:rPr>
                        </w:pPr>
                        <w:r>
                          <w:rPr>
                            <w:sz w:val="14"/>
                          </w:rPr>
                          <w:t>47.6</w:t>
                        </w:r>
                      </w:p>
                    </w:tc>
                    <w:tc>
                      <w:tcPr>
                        <w:tcW w:w="885" w:type="dxa"/>
                      </w:tcPr>
                      <w:p>
                        <w:pPr>
                          <w:pStyle w:val="TableParagraph"/>
                          <w:spacing w:line="137" w:lineRule="exact" w:before="123"/>
                          <w:ind w:left="52"/>
                          <w:rPr>
                            <w:sz w:val="14"/>
                          </w:rPr>
                        </w:pPr>
                        <w:r>
                          <w:rPr>
                            <w:sz w:val="14"/>
                          </w:rPr>
                          <w:t>41.9 40.8</w:t>
                        </w:r>
                      </w:p>
                    </w:tc>
                    <w:tc>
                      <w:tcPr>
                        <w:tcW w:w="5605" w:type="dxa"/>
                      </w:tcPr>
                      <w:p>
                        <w:pPr>
                          <w:pStyle w:val="TableParagraph"/>
                          <w:spacing w:line="260" w:lineRule="exact"/>
                          <w:ind w:left="266"/>
                          <w:rPr>
                            <w:sz w:val="24"/>
                          </w:rPr>
                        </w:pPr>
                        <w:r>
                          <w:rPr>
                            <w:sz w:val="24"/>
                          </w:rPr>
                          <w:t>skill shortages in recent months. Moreover, in October</w:t>
                        </w:r>
                      </w:p>
                    </w:tc>
                  </w:tr>
                  <w:tr>
                    <w:trPr>
                      <w:trHeight w:val="261" w:hRule="atLeast"/>
                    </w:trPr>
                    <w:tc>
                      <w:tcPr>
                        <w:tcW w:w="408" w:type="dxa"/>
                      </w:tcPr>
                      <w:p>
                        <w:pPr>
                          <w:pStyle w:val="TableParagraph"/>
                          <w:spacing w:line="240" w:lineRule="auto"/>
                          <w:rPr>
                            <w:sz w:val="18"/>
                          </w:rPr>
                        </w:pPr>
                      </w:p>
                    </w:tc>
                    <w:tc>
                      <w:tcPr>
                        <w:tcW w:w="435" w:type="dxa"/>
                      </w:tcPr>
                      <w:p>
                        <w:pPr>
                          <w:pStyle w:val="TableParagraph"/>
                          <w:spacing w:line="240" w:lineRule="auto"/>
                          <w:rPr>
                            <w:sz w:val="18"/>
                          </w:rPr>
                        </w:pPr>
                      </w:p>
                    </w:tc>
                    <w:tc>
                      <w:tcPr>
                        <w:tcW w:w="395" w:type="dxa"/>
                      </w:tcPr>
                      <w:p>
                        <w:pPr>
                          <w:pStyle w:val="TableParagraph"/>
                          <w:spacing w:line="240" w:lineRule="auto"/>
                          <w:rPr>
                            <w:sz w:val="18"/>
                          </w:rPr>
                        </w:pPr>
                      </w:p>
                    </w:tc>
                    <w:tc>
                      <w:tcPr>
                        <w:tcW w:w="385" w:type="dxa"/>
                      </w:tcPr>
                      <w:p>
                        <w:pPr>
                          <w:pStyle w:val="TableParagraph"/>
                          <w:spacing w:line="240" w:lineRule="auto"/>
                          <w:rPr>
                            <w:sz w:val="18"/>
                          </w:rPr>
                        </w:pPr>
                      </w:p>
                    </w:tc>
                    <w:tc>
                      <w:tcPr>
                        <w:tcW w:w="375" w:type="dxa"/>
                      </w:tcPr>
                      <w:p>
                        <w:pPr>
                          <w:pStyle w:val="TableParagraph"/>
                          <w:spacing w:line="240" w:lineRule="auto"/>
                          <w:rPr>
                            <w:sz w:val="18"/>
                          </w:rPr>
                        </w:pPr>
                      </w:p>
                    </w:tc>
                    <w:tc>
                      <w:tcPr>
                        <w:tcW w:w="360" w:type="dxa"/>
                      </w:tcPr>
                      <w:p>
                        <w:pPr>
                          <w:pStyle w:val="TableParagraph"/>
                          <w:spacing w:line="240" w:lineRule="auto"/>
                          <w:rPr>
                            <w:sz w:val="18"/>
                          </w:rPr>
                        </w:pPr>
                      </w:p>
                    </w:tc>
                    <w:tc>
                      <w:tcPr>
                        <w:tcW w:w="885" w:type="dxa"/>
                      </w:tcPr>
                      <w:p>
                        <w:pPr>
                          <w:pStyle w:val="TableParagraph"/>
                          <w:spacing w:line="240" w:lineRule="auto"/>
                          <w:rPr>
                            <w:sz w:val="18"/>
                          </w:rPr>
                        </w:pPr>
                      </w:p>
                    </w:tc>
                    <w:tc>
                      <w:tcPr>
                        <w:tcW w:w="5605" w:type="dxa"/>
                      </w:tcPr>
                      <w:p>
                        <w:pPr>
                          <w:pStyle w:val="TableParagraph"/>
                          <w:spacing w:line="242" w:lineRule="exact"/>
                          <w:ind w:left="266"/>
                          <w:rPr>
                            <w:sz w:val="24"/>
                          </w:rPr>
                        </w:pPr>
                        <w:r>
                          <w:rPr>
                            <w:sz w:val="24"/>
                          </w:rPr>
                          <w:t>the Agents asked a sample of around 200 of their</w:t>
                        </w:r>
                      </w:p>
                    </w:tc>
                  </w:tr>
                </w:tbl>
                <w:p>
                  <w:pPr>
                    <w:pStyle w:val="BodyText"/>
                  </w:pPr>
                </w:p>
              </w:txbxContent>
            </v:textbox>
            <w10:wrap type="none"/>
          </v:shape>
        </w:pict>
      </w:r>
      <w:r>
        <w:rPr>
          <w:b/>
          <w:sz w:val="14"/>
        </w:rPr>
        <w:t>REC staff availability </w:t>
      </w:r>
      <w:r>
        <w:rPr>
          <w:sz w:val="12"/>
        </w:rPr>
        <w:t>(a) </w:t>
      </w:r>
      <w:r>
        <w:rPr>
          <w:sz w:val="14"/>
        </w:rPr>
        <w:t>Permanent staff Temporary/contract staff</w:t>
      </w:r>
    </w:p>
    <w:p>
      <w:pPr>
        <w:spacing w:line="208" w:lineRule="auto" w:before="0"/>
        <w:ind w:left="215" w:right="3267" w:hanging="35"/>
        <w:jc w:val="left"/>
        <w:rPr>
          <w:sz w:val="12"/>
        </w:rPr>
      </w:pPr>
      <w:r>
        <w:rPr>
          <w:b/>
          <w:sz w:val="14"/>
        </w:rPr>
        <w:t>BCC recruitment difficulties </w:t>
      </w:r>
      <w:r>
        <w:rPr>
          <w:sz w:val="12"/>
        </w:rPr>
        <w:t>(b)(d)</w:t>
      </w:r>
    </w:p>
    <w:tbl>
      <w:tblPr>
        <w:tblW w:w="0" w:type="auto"/>
        <w:jc w:val="left"/>
        <w:tblInd w:w="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1"/>
        <w:gridCol w:w="354"/>
        <w:gridCol w:w="435"/>
        <w:gridCol w:w="395"/>
        <w:gridCol w:w="385"/>
        <w:gridCol w:w="375"/>
        <w:gridCol w:w="360"/>
        <w:gridCol w:w="335"/>
        <w:gridCol w:w="280"/>
      </w:tblGrid>
      <w:tr>
        <w:trPr>
          <w:trHeight w:val="147" w:hRule="atLeast"/>
        </w:trPr>
        <w:tc>
          <w:tcPr>
            <w:tcW w:w="1441" w:type="dxa"/>
          </w:tcPr>
          <w:p>
            <w:pPr>
              <w:pStyle w:val="TableParagraph"/>
              <w:spacing w:line="128" w:lineRule="exact"/>
              <w:ind w:left="50"/>
              <w:rPr>
                <w:sz w:val="14"/>
              </w:rPr>
            </w:pPr>
            <w:r>
              <w:rPr>
                <w:sz w:val="14"/>
              </w:rPr>
              <w:t>Manufacturing</w:t>
            </w:r>
          </w:p>
        </w:tc>
        <w:tc>
          <w:tcPr>
            <w:tcW w:w="354" w:type="dxa"/>
          </w:tcPr>
          <w:p>
            <w:pPr>
              <w:pStyle w:val="TableParagraph"/>
              <w:spacing w:line="128" w:lineRule="exact"/>
              <w:ind w:right="163"/>
              <w:jc w:val="right"/>
              <w:rPr>
                <w:sz w:val="14"/>
              </w:rPr>
            </w:pPr>
            <w:r>
              <w:rPr>
                <w:sz w:val="14"/>
              </w:rPr>
              <w:t>56</w:t>
            </w:r>
          </w:p>
        </w:tc>
        <w:tc>
          <w:tcPr>
            <w:tcW w:w="435" w:type="dxa"/>
          </w:tcPr>
          <w:p>
            <w:pPr>
              <w:pStyle w:val="TableParagraph"/>
              <w:spacing w:line="128" w:lineRule="exact"/>
              <w:ind w:left="144" w:right="110"/>
              <w:jc w:val="center"/>
              <w:rPr>
                <w:sz w:val="14"/>
              </w:rPr>
            </w:pPr>
            <w:r>
              <w:rPr>
                <w:sz w:val="14"/>
              </w:rPr>
              <w:t>71</w:t>
            </w:r>
          </w:p>
        </w:tc>
        <w:tc>
          <w:tcPr>
            <w:tcW w:w="395" w:type="dxa"/>
          </w:tcPr>
          <w:p>
            <w:pPr>
              <w:pStyle w:val="TableParagraph"/>
              <w:spacing w:line="128" w:lineRule="exact"/>
              <w:ind w:left="57" w:right="53"/>
              <w:jc w:val="center"/>
              <w:rPr>
                <w:sz w:val="14"/>
              </w:rPr>
            </w:pPr>
            <w:r>
              <w:rPr>
                <w:sz w:val="14"/>
              </w:rPr>
              <w:t>71</w:t>
            </w:r>
          </w:p>
        </w:tc>
        <w:tc>
          <w:tcPr>
            <w:tcW w:w="385" w:type="dxa"/>
          </w:tcPr>
          <w:p>
            <w:pPr>
              <w:pStyle w:val="TableParagraph"/>
              <w:spacing w:line="128" w:lineRule="exact"/>
              <w:ind w:right="118"/>
              <w:jc w:val="right"/>
              <w:rPr>
                <w:sz w:val="14"/>
              </w:rPr>
            </w:pPr>
            <w:r>
              <w:rPr>
                <w:sz w:val="14"/>
              </w:rPr>
              <w:t>69</w:t>
            </w:r>
          </w:p>
        </w:tc>
        <w:tc>
          <w:tcPr>
            <w:tcW w:w="375" w:type="dxa"/>
          </w:tcPr>
          <w:p>
            <w:pPr>
              <w:pStyle w:val="TableParagraph"/>
              <w:spacing w:line="128" w:lineRule="exact"/>
              <w:ind w:right="113"/>
              <w:jc w:val="right"/>
              <w:rPr>
                <w:sz w:val="14"/>
              </w:rPr>
            </w:pPr>
            <w:r>
              <w:rPr>
                <w:sz w:val="14"/>
              </w:rPr>
              <w:t>69</w:t>
            </w:r>
          </w:p>
        </w:tc>
        <w:tc>
          <w:tcPr>
            <w:tcW w:w="360" w:type="dxa"/>
          </w:tcPr>
          <w:p>
            <w:pPr>
              <w:pStyle w:val="TableParagraph"/>
              <w:spacing w:line="128" w:lineRule="exact"/>
              <w:ind w:left="42" w:right="33"/>
              <w:jc w:val="center"/>
              <w:rPr>
                <w:sz w:val="14"/>
              </w:rPr>
            </w:pPr>
            <w:r>
              <w:rPr>
                <w:sz w:val="14"/>
              </w:rPr>
              <w:t>70</w:t>
            </w:r>
          </w:p>
        </w:tc>
        <w:tc>
          <w:tcPr>
            <w:tcW w:w="335" w:type="dxa"/>
          </w:tcPr>
          <w:p>
            <w:pPr>
              <w:pStyle w:val="TableParagraph"/>
              <w:spacing w:line="128" w:lineRule="exact"/>
              <w:ind w:right="88"/>
              <w:jc w:val="right"/>
              <w:rPr>
                <w:sz w:val="14"/>
              </w:rPr>
            </w:pPr>
            <w:r>
              <w:rPr>
                <w:sz w:val="14"/>
              </w:rPr>
              <w:t>69</w:t>
            </w:r>
          </w:p>
        </w:tc>
        <w:tc>
          <w:tcPr>
            <w:tcW w:w="280" w:type="dxa"/>
          </w:tcPr>
          <w:p>
            <w:pPr>
              <w:pStyle w:val="TableParagraph"/>
              <w:spacing w:line="128" w:lineRule="exact"/>
              <w:ind w:right="48"/>
              <w:jc w:val="right"/>
              <w:rPr>
                <w:sz w:val="14"/>
              </w:rPr>
            </w:pPr>
            <w:r>
              <w:rPr>
                <w:sz w:val="14"/>
              </w:rPr>
              <w:t>73</w:t>
            </w:r>
          </w:p>
        </w:tc>
      </w:tr>
      <w:tr>
        <w:trPr>
          <w:trHeight w:val="140" w:hRule="atLeast"/>
        </w:trPr>
        <w:tc>
          <w:tcPr>
            <w:tcW w:w="1441" w:type="dxa"/>
          </w:tcPr>
          <w:p>
            <w:pPr>
              <w:pStyle w:val="TableParagraph"/>
              <w:ind w:left="50"/>
              <w:rPr>
                <w:sz w:val="14"/>
              </w:rPr>
            </w:pPr>
            <w:r>
              <w:rPr>
                <w:sz w:val="14"/>
              </w:rPr>
              <w:t>Services</w:t>
            </w:r>
          </w:p>
        </w:tc>
        <w:tc>
          <w:tcPr>
            <w:tcW w:w="354" w:type="dxa"/>
          </w:tcPr>
          <w:p>
            <w:pPr>
              <w:pStyle w:val="TableParagraph"/>
              <w:ind w:right="162"/>
              <w:jc w:val="right"/>
              <w:rPr>
                <w:sz w:val="14"/>
              </w:rPr>
            </w:pPr>
            <w:r>
              <w:rPr>
                <w:sz w:val="14"/>
              </w:rPr>
              <w:t>49</w:t>
            </w:r>
          </w:p>
        </w:tc>
        <w:tc>
          <w:tcPr>
            <w:tcW w:w="435" w:type="dxa"/>
          </w:tcPr>
          <w:p>
            <w:pPr>
              <w:pStyle w:val="TableParagraph"/>
              <w:ind w:left="144" w:right="109"/>
              <w:jc w:val="center"/>
              <w:rPr>
                <w:sz w:val="14"/>
              </w:rPr>
            </w:pPr>
            <w:r>
              <w:rPr>
                <w:sz w:val="14"/>
              </w:rPr>
              <w:t>64</w:t>
            </w:r>
          </w:p>
        </w:tc>
        <w:tc>
          <w:tcPr>
            <w:tcW w:w="395" w:type="dxa"/>
          </w:tcPr>
          <w:p>
            <w:pPr>
              <w:pStyle w:val="TableParagraph"/>
              <w:ind w:left="57" w:right="52"/>
              <w:jc w:val="center"/>
              <w:rPr>
                <w:sz w:val="14"/>
              </w:rPr>
            </w:pPr>
            <w:r>
              <w:rPr>
                <w:sz w:val="14"/>
              </w:rPr>
              <w:t>62</w:t>
            </w:r>
          </w:p>
        </w:tc>
        <w:tc>
          <w:tcPr>
            <w:tcW w:w="385" w:type="dxa"/>
          </w:tcPr>
          <w:p>
            <w:pPr>
              <w:pStyle w:val="TableParagraph"/>
              <w:ind w:right="117"/>
              <w:jc w:val="right"/>
              <w:rPr>
                <w:sz w:val="14"/>
              </w:rPr>
            </w:pPr>
            <w:r>
              <w:rPr>
                <w:sz w:val="14"/>
              </w:rPr>
              <w:t>61</w:t>
            </w:r>
          </w:p>
        </w:tc>
        <w:tc>
          <w:tcPr>
            <w:tcW w:w="375" w:type="dxa"/>
          </w:tcPr>
          <w:p>
            <w:pPr>
              <w:pStyle w:val="TableParagraph"/>
              <w:ind w:right="112"/>
              <w:jc w:val="right"/>
              <w:rPr>
                <w:sz w:val="14"/>
              </w:rPr>
            </w:pPr>
            <w:r>
              <w:rPr>
                <w:sz w:val="14"/>
              </w:rPr>
              <w:t>62</w:t>
            </w:r>
          </w:p>
        </w:tc>
        <w:tc>
          <w:tcPr>
            <w:tcW w:w="360" w:type="dxa"/>
          </w:tcPr>
          <w:p>
            <w:pPr>
              <w:pStyle w:val="TableParagraph"/>
              <w:ind w:left="42" w:right="32"/>
              <w:jc w:val="center"/>
              <w:rPr>
                <w:sz w:val="14"/>
              </w:rPr>
            </w:pPr>
            <w:r>
              <w:rPr>
                <w:sz w:val="14"/>
              </w:rPr>
              <w:t>61</w:t>
            </w:r>
          </w:p>
        </w:tc>
        <w:tc>
          <w:tcPr>
            <w:tcW w:w="335" w:type="dxa"/>
          </w:tcPr>
          <w:p>
            <w:pPr>
              <w:pStyle w:val="TableParagraph"/>
              <w:ind w:right="87"/>
              <w:jc w:val="right"/>
              <w:rPr>
                <w:sz w:val="14"/>
              </w:rPr>
            </w:pPr>
            <w:r>
              <w:rPr>
                <w:sz w:val="14"/>
              </w:rPr>
              <w:t>60</w:t>
            </w:r>
          </w:p>
        </w:tc>
        <w:tc>
          <w:tcPr>
            <w:tcW w:w="280" w:type="dxa"/>
          </w:tcPr>
          <w:p>
            <w:pPr>
              <w:pStyle w:val="TableParagraph"/>
              <w:ind w:right="47"/>
              <w:jc w:val="right"/>
              <w:rPr>
                <w:sz w:val="14"/>
              </w:rPr>
            </w:pPr>
            <w:r>
              <w:rPr>
                <w:sz w:val="14"/>
              </w:rPr>
              <w:t>66</w:t>
            </w:r>
          </w:p>
        </w:tc>
      </w:tr>
      <w:tr>
        <w:trPr>
          <w:trHeight w:val="140" w:hRule="atLeast"/>
        </w:trPr>
        <w:tc>
          <w:tcPr>
            <w:tcW w:w="1441" w:type="dxa"/>
          </w:tcPr>
          <w:p>
            <w:pPr>
              <w:pStyle w:val="TableParagraph"/>
              <w:ind w:left="50"/>
              <w:rPr>
                <w:b/>
                <w:sz w:val="14"/>
              </w:rPr>
            </w:pPr>
            <w:r>
              <w:rPr>
                <w:b/>
                <w:sz w:val="14"/>
              </w:rPr>
              <w:t>CBI manufacturing</w:t>
            </w:r>
          </w:p>
        </w:tc>
        <w:tc>
          <w:tcPr>
            <w:tcW w:w="354" w:type="dxa"/>
          </w:tcPr>
          <w:p>
            <w:pPr>
              <w:pStyle w:val="TableParagraph"/>
              <w:spacing w:line="240" w:lineRule="auto"/>
              <w:rPr>
                <w:sz w:val="8"/>
              </w:rPr>
            </w:pPr>
          </w:p>
        </w:tc>
        <w:tc>
          <w:tcPr>
            <w:tcW w:w="435" w:type="dxa"/>
          </w:tcPr>
          <w:p>
            <w:pPr>
              <w:pStyle w:val="TableParagraph"/>
              <w:spacing w:line="240" w:lineRule="auto"/>
              <w:rPr>
                <w:sz w:val="8"/>
              </w:rPr>
            </w:pPr>
          </w:p>
        </w:tc>
        <w:tc>
          <w:tcPr>
            <w:tcW w:w="395" w:type="dxa"/>
          </w:tcPr>
          <w:p>
            <w:pPr>
              <w:pStyle w:val="TableParagraph"/>
              <w:spacing w:line="240" w:lineRule="auto"/>
              <w:rPr>
                <w:sz w:val="8"/>
              </w:rPr>
            </w:pPr>
          </w:p>
        </w:tc>
        <w:tc>
          <w:tcPr>
            <w:tcW w:w="385" w:type="dxa"/>
          </w:tcPr>
          <w:p>
            <w:pPr>
              <w:pStyle w:val="TableParagraph"/>
              <w:spacing w:line="240" w:lineRule="auto"/>
              <w:rPr>
                <w:sz w:val="8"/>
              </w:rPr>
            </w:pPr>
          </w:p>
        </w:tc>
        <w:tc>
          <w:tcPr>
            <w:tcW w:w="375" w:type="dxa"/>
          </w:tcPr>
          <w:p>
            <w:pPr>
              <w:pStyle w:val="TableParagraph"/>
              <w:spacing w:line="240" w:lineRule="auto"/>
              <w:rPr>
                <w:sz w:val="8"/>
              </w:rPr>
            </w:pPr>
          </w:p>
        </w:tc>
        <w:tc>
          <w:tcPr>
            <w:tcW w:w="360" w:type="dxa"/>
          </w:tcPr>
          <w:p>
            <w:pPr>
              <w:pStyle w:val="TableParagraph"/>
              <w:spacing w:line="240" w:lineRule="auto"/>
              <w:rPr>
                <w:sz w:val="8"/>
              </w:rPr>
            </w:pPr>
          </w:p>
        </w:tc>
        <w:tc>
          <w:tcPr>
            <w:tcW w:w="335" w:type="dxa"/>
          </w:tcPr>
          <w:p>
            <w:pPr>
              <w:pStyle w:val="TableParagraph"/>
              <w:spacing w:line="240" w:lineRule="auto"/>
              <w:rPr>
                <w:sz w:val="8"/>
              </w:rPr>
            </w:pPr>
          </w:p>
        </w:tc>
        <w:tc>
          <w:tcPr>
            <w:tcW w:w="280" w:type="dxa"/>
          </w:tcPr>
          <w:p>
            <w:pPr>
              <w:pStyle w:val="TableParagraph"/>
              <w:spacing w:line="240" w:lineRule="auto"/>
              <w:rPr>
                <w:sz w:val="8"/>
              </w:rPr>
            </w:pPr>
          </w:p>
        </w:tc>
      </w:tr>
      <w:tr>
        <w:trPr>
          <w:trHeight w:val="140" w:hRule="atLeast"/>
        </w:trPr>
        <w:tc>
          <w:tcPr>
            <w:tcW w:w="1441" w:type="dxa"/>
          </w:tcPr>
          <w:p>
            <w:pPr>
              <w:pStyle w:val="TableParagraph"/>
              <w:ind w:left="85"/>
              <w:rPr>
                <w:sz w:val="12"/>
              </w:rPr>
            </w:pPr>
            <w:r>
              <w:rPr>
                <w:b/>
                <w:sz w:val="14"/>
              </w:rPr>
              <w:t>labour shortages </w:t>
            </w:r>
            <w:r>
              <w:rPr>
                <w:sz w:val="12"/>
              </w:rPr>
              <w:t>(c)(d)</w:t>
            </w:r>
          </w:p>
        </w:tc>
        <w:tc>
          <w:tcPr>
            <w:tcW w:w="354" w:type="dxa"/>
          </w:tcPr>
          <w:p>
            <w:pPr>
              <w:pStyle w:val="TableParagraph"/>
              <w:spacing w:line="240" w:lineRule="auto"/>
              <w:rPr>
                <w:sz w:val="8"/>
              </w:rPr>
            </w:pPr>
          </w:p>
        </w:tc>
        <w:tc>
          <w:tcPr>
            <w:tcW w:w="435" w:type="dxa"/>
          </w:tcPr>
          <w:p>
            <w:pPr>
              <w:pStyle w:val="TableParagraph"/>
              <w:spacing w:line="240" w:lineRule="auto"/>
              <w:rPr>
                <w:sz w:val="8"/>
              </w:rPr>
            </w:pPr>
          </w:p>
        </w:tc>
        <w:tc>
          <w:tcPr>
            <w:tcW w:w="395" w:type="dxa"/>
          </w:tcPr>
          <w:p>
            <w:pPr>
              <w:pStyle w:val="TableParagraph"/>
              <w:spacing w:line="240" w:lineRule="auto"/>
              <w:rPr>
                <w:sz w:val="8"/>
              </w:rPr>
            </w:pPr>
          </w:p>
        </w:tc>
        <w:tc>
          <w:tcPr>
            <w:tcW w:w="385" w:type="dxa"/>
          </w:tcPr>
          <w:p>
            <w:pPr>
              <w:pStyle w:val="TableParagraph"/>
              <w:spacing w:line="240" w:lineRule="auto"/>
              <w:rPr>
                <w:sz w:val="8"/>
              </w:rPr>
            </w:pPr>
          </w:p>
        </w:tc>
        <w:tc>
          <w:tcPr>
            <w:tcW w:w="375" w:type="dxa"/>
          </w:tcPr>
          <w:p>
            <w:pPr>
              <w:pStyle w:val="TableParagraph"/>
              <w:spacing w:line="240" w:lineRule="auto"/>
              <w:rPr>
                <w:sz w:val="8"/>
              </w:rPr>
            </w:pPr>
          </w:p>
        </w:tc>
        <w:tc>
          <w:tcPr>
            <w:tcW w:w="360" w:type="dxa"/>
          </w:tcPr>
          <w:p>
            <w:pPr>
              <w:pStyle w:val="TableParagraph"/>
              <w:spacing w:line="240" w:lineRule="auto"/>
              <w:rPr>
                <w:sz w:val="8"/>
              </w:rPr>
            </w:pPr>
          </w:p>
        </w:tc>
        <w:tc>
          <w:tcPr>
            <w:tcW w:w="335" w:type="dxa"/>
          </w:tcPr>
          <w:p>
            <w:pPr>
              <w:pStyle w:val="TableParagraph"/>
              <w:spacing w:line="240" w:lineRule="auto"/>
              <w:rPr>
                <w:sz w:val="8"/>
              </w:rPr>
            </w:pPr>
          </w:p>
        </w:tc>
        <w:tc>
          <w:tcPr>
            <w:tcW w:w="280" w:type="dxa"/>
          </w:tcPr>
          <w:p>
            <w:pPr>
              <w:pStyle w:val="TableParagraph"/>
              <w:spacing w:line="240" w:lineRule="auto"/>
              <w:rPr>
                <w:sz w:val="8"/>
              </w:rPr>
            </w:pPr>
          </w:p>
        </w:tc>
      </w:tr>
      <w:tr>
        <w:trPr>
          <w:trHeight w:val="140" w:hRule="atLeast"/>
        </w:trPr>
        <w:tc>
          <w:tcPr>
            <w:tcW w:w="1441" w:type="dxa"/>
          </w:tcPr>
          <w:p>
            <w:pPr>
              <w:pStyle w:val="TableParagraph"/>
              <w:ind w:left="50"/>
              <w:rPr>
                <w:sz w:val="14"/>
              </w:rPr>
            </w:pPr>
            <w:r>
              <w:rPr>
                <w:sz w:val="14"/>
              </w:rPr>
              <w:t>Skilled</w:t>
            </w:r>
          </w:p>
        </w:tc>
        <w:tc>
          <w:tcPr>
            <w:tcW w:w="354" w:type="dxa"/>
          </w:tcPr>
          <w:p>
            <w:pPr>
              <w:pStyle w:val="TableParagraph"/>
              <w:ind w:right="162"/>
              <w:jc w:val="right"/>
              <w:rPr>
                <w:sz w:val="14"/>
              </w:rPr>
            </w:pPr>
            <w:r>
              <w:rPr>
                <w:sz w:val="14"/>
              </w:rPr>
              <w:t>14</w:t>
            </w:r>
          </w:p>
        </w:tc>
        <w:tc>
          <w:tcPr>
            <w:tcW w:w="435" w:type="dxa"/>
          </w:tcPr>
          <w:p>
            <w:pPr>
              <w:pStyle w:val="TableParagraph"/>
              <w:ind w:left="105"/>
              <w:jc w:val="center"/>
              <w:rPr>
                <w:sz w:val="14"/>
              </w:rPr>
            </w:pPr>
            <w:r>
              <w:rPr>
                <w:sz w:val="14"/>
              </w:rPr>
              <w:t>6</w:t>
            </w:r>
          </w:p>
        </w:tc>
        <w:tc>
          <w:tcPr>
            <w:tcW w:w="395" w:type="dxa"/>
          </w:tcPr>
          <w:p>
            <w:pPr>
              <w:pStyle w:val="TableParagraph"/>
              <w:ind w:left="75"/>
              <w:jc w:val="center"/>
              <w:rPr>
                <w:sz w:val="14"/>
              </w:rPr>
            </w:pPr>
            <w:r>
              <w:rPr>
                <w:sz w:val="14"/>
              </w:rPr>
              <w:t>8</w:t>
            </w:r>
          </w:p>
        </w:tc>
        <w:tc>
          <w:tcPr>
            <w:tcW w:w="385" w:type="dxa"/>
          </w:tcPr>
          <w:p>
            <w:pPr>
              <w:pStyle w:val="TableParagraph"/>
              <w:ind w:right="117"/>
              <w:jc w:val="right"/>
              <w:rPr>
                <w:sz w:val="14"/>
              </w:rPr>
            </w:pPr>
            <w:r>
              <w:rPr>
                <w:sz w:val="14"/>
              </w:rPr>
              <w:t>10</w:t>
            </w:r>
          </w:p>
        </w:tc>
        <w:tc>
          <w:tcPr>
            <w:tcW w:w="375" w:type="dxa"/>
          </w:tcPr>
          <w:p>
            <w:pPr>
              <w:pStyle w:val="TableParagraph"/>
              <w:ind w:right="112"/>
              <w:jc w:val="right"/>
              <w:rPr>
                <w:sz w:val="14"/>
              </w:rPr>
            </w:pPr>
            <w:r>
              <w:rPr>
                <w:sz w:val="14"/>
              </w:rPr>
              <w:t>14</w:t>
            </w:r>
          </w:p>
        </w:tc>
        <w:tc>
          <w:tcPr>
            <w:tcW w:w="360" w:type="dxa"/>
          </w:tcPr>
          <w:p>
            <w:pPr>
              <w:pStyle w:val="TableParagraph"/>
              <w:ind w:left="42" w:right="32"/>
              <w:jc w:val="center"/>
              <w:rPr>
                <w:sz w:val="14"/>
              </w:rPr>
            </w:pPr>
            <w:r>
              <w:rPr>
                <w:sz w:val="14"/>
              </w:rPr>
              <w:t>14</w:t>
            </w:r>
          </w:p>
        </w:tc>
        <w:tc>
          <w:tcPr>
            <w:tcW w:w="335" w:type="dxa"/>
          </w:tcPr>
          <w:p>
            <w:pPr>
              <w:pStyle w:val="TableParagraph"/>
              <w:ind w:right="87"/>
              <w:jc w:val="right"/>
              <w:rPr>
                <w:sz w:val="14"/>
              </w:rPr>
            </w:pPr>
            <w:r>
              <w:rPr>
                <w:sz w:val="14"/>
              </w:rPr>
              <w:t>15</w:t>
            </w:r>
          </w:p>
        </w:tc>
        <w:tc>
          <w:tcPr>
            <w:tcW w:w="280" w:type="dxa"/>
          </w:tcPr>
          <w:p>
            <w:pPr>
              <w:pStyle w:val="TableParagraph"/>
              <w:ind w:right="47"/>
              <w:jc w:val="right"/>
              <w:rPr>
                <w:sz w:val="14"/>
              </w:rPr>
            </w:pPr>
            <w:r>
              <w:rPr>
                <w:sz w:val="14"/>
              </w:rPr>
              <w:t>16</w:t>
            </w:r>
          </w:p>
        </w:tc>
      </w:tr>
      <w:tr>
        <w:trPr>
          <w:trHeight w:val="147" w:hRule="atLeast"/>
        </w:trPr>
        <w:tc>
          <w:tcPr>
            <w:tcW w:w="1441" w:type="dxa"/>
          </w:tcPr>
          <w:p>
            <w:pPr>
              <w:pStyle w:val="TableParagraph"/>
              <w:spacing w:line="128" w:lineRule="exact"/>
              <w:ind w:left="50"/>
              <w:rPr>
                <w:sz w:val="14"/>
              </w:rPr>
            </w:pPr>
            <w:r>
              <w:rPr>
                <w:sz w:val="14"/>
              </w:rPr>
              <w:t>Unskilled</w:t>
            </w:r>
          </w:p>
        </w:tc>
        <w:tc>
          <w:tcPr>
            <w:tcW w:w="354" w:type="dxa"/>
          </w:tcPr>
          <w:p>
            <w:pPr>
              <w:pStyle w:val="TableParagraph"/>
              <w:spacing w:line="128" w:lineRule="exact"/>
              <w:ind w:right="163"/>
              <w:jc w:val="right"/>
              <w:rPr>
                <w:sz w:val="14"/>
              </w:rPr>
            </w:pPr>
            <w:r>
              <w:rPr>
                <w:sz w:val="14"/>
              </w:rPr>
              <w:t>3</w:t>
            </w:r>
          </w:p>
        </w:tc>
        <w:tc>
          <w:tcPr>
            <w:tcW w:w="435" w:type="dxa"/>
          </w:tcPr>
          <w:p>
            <w:pPr>
              <w:pStyle w:val="TableParagraph"/>
              <w:spacing w:line="128" w:lineRule="exact"/>
              <w:ind w:left="104"/>
              <w:jc w:val="center"/>
              <w:rPr>
                <w:sz w:val="14"/>
              </w:rPr>
            </w:pPr>
            <w:r>
              <w:rPr>
                <w:sz w:val="14"/>
              </w:rPr>
              <w:t>2</w:t>
            </w:r>
          </w:p>
        </w:tc>
        <w:tc>
          <w:tcPr>
            <w:tcW w:w="395" w:type="dxa"/>
          </w:tcPr>
          <w:p>
            <w:pPr>
              <w:pStyle w:val="TableParagraph"/>
              <w:spacing w:line="128" w:lineRule="exact"/>
              <w:ind w:left="74"/>
              <w:jc w:val="center"/>
              <w:rPr>
                <w:sz w:val="14"/>
              </w:rPr>
            </w:pPr>
            <w:r>
              <w:rPr>
                <w:sz w:val="14"/>
              </w:rPr>
              <w:t>6</w:t>
            </w:r>
          </w:p>
        </w:tc>
        <w:tc>
          <w:tcPr>
            <w:tcW w:w="385" w:type="dxa"/>
          </w:tcPr>
          <w:p>
            <w:pPr>
              <w:pStyle w:val="TableParagraph"/>
              <w:spacing w:line="128" w:lineRule="exact"/>
              <w:ind w:right="118"/>
              <w:jc w:val="right"/>
              <w:rPr>
                <w:sz w:val="14"/>
              </w:rPr>
            </w:pPr>
            <w:r>
              <w:rPr>
                <w:sz w:val="14"/>
              </w:rPr>
              <w:t>5</w:t>
            </w:r>
          </w:p>
        </w:tc>
        <w:tc>
          <w:tcPr>
            <w:tcW w:w="375" w:type="dxa"/>
          </w:tcPr>
          <w:p>
            <w:pPr>
              <w:pStyle w:val="TableParagraph"/>
              <w:spacing w:line="128" w:lineRule="exact"/>
              <w:ind w:right="113"/>
              <w:jc w:val="right"/>
              <w:rPr>
                <w:sz w:val="14"/>
              </w:rPr>
            </w:pPr>
            <w:r>
              <w:rPr>
                <w:sz w:val="14"/>
              </w:rPr>
              <w:t>3</w:t>
            </w:r>
          </w:p>
        </w:tc>
        <w:tc>
          <w:tcPr>
            <w:tcW w:w="360" w:type="dxa"/>
          </w:tcPr>
          <w:p>
            <w:pPr>
              <w:pStyle w:val="TableParagraph"/>
              <w:spacing w:line="128" w:lineRule="exact"/>
              <w:ind w:left="79"/>
              <w:jc w:val="center"/>
              <w:rPr>
                <w:sz w:val="14"/>
              </w:rPr>
            </w:pPr>
            <w:r>
              <w:rPr>
                <w:sz w:val="14"/>
              </w:rPr>
              <w:t>3</w:t>
            </w:r>
          </w:p>
        </w:tc>
        <w:tc>
          <w:tcPr>
            <w:tcW w:w="335" w:type="dxa"/>
          </w:tcPr>
          <w:p>
            <w:pPr>
              <w:pStyle w:val="TableParagraph"/>
              <w:spacing w:line="128" w:lineRule="exact"/>
              <w:ind w:right="88"/>
              <w:jc w:val="right"/>
              <w:rPr>
                <w:sz w:val="14"/>
              </w:rPr>
            </w:pPr>
            <w:r>
              <w:rPr>
                <w:sz w:val="14"/>
              </w:rPr>
              <w:t>2</w:t>
            </w:r>
          </w:p>
        </w:tc>
        <w:tc>
          <w:tcPr>
            <w:tcW w:w="280" w:type="dxa"/>
          </w:tcPr>
          <w:p>
            <w:pPr>
              <w:pStyle w:val="TableParagraph"/>
              <w:spacing w:line="128" w:lineRule="exact"/>
              <w:ind w:right="48"/>
              <w:jc w:val="right"/>
              <w:rPr>
                <w:sz w:val="14"/>
              </w:rPr>
            </w:pPr>
            <w:r>
              <w:rPr>
                <w:sz w:val="14"/>
              </w:rPr>
              <w:t>2</w:t>
            </w:r>
          </w:p>
        </w:tc>
      </w:tr>
    </w:tbl>
    <w:p>
      <w:pPr>
        <w:pStyle w:val="ListParagraph"/>
        <w:numPr>
          <w:ilvl w:val="0"/>
          <w:numId w:val="29"/>
        </w:numPr>
        <w:tabs>
          <w:tab w:pos="421" w:val="left" w:leader="none"/>
        </w:tabs>
        <w:spacing w:line="208" w:lineRule="auto" w:before="120" w:after="0"/>
        <w:ind w:left="420" w:right="336" w:hanging="240"/>
        <w:jc w:val="left"/>
        <w:rPr>
          <w:sz w:val="12"/>
        </w:rPr>
      </w:pPr>
      <w:r>
        <w:rPr>
          <w:sz w:val="12"/>
        </w:rPr>
        <w:t>Change in availability of staff from previous month. Less than (more than) 50 represents</w:t>
      </w:r>
      <w:r>
        <w:rPr>
          <w:spacing w:val="-5"/>
          <w:sz w:val="12"/>
        </w:rPr>
        <w:t> </w:t>
      </w:r>
      <w:r>
        <w:rPr>
          <w:sz w:val="12"/>
        </w:rPr>
        <w:t>a</w:t>
      </w:r>
      <w:r>
        <w:rPr>
          <w:spacing w:val="-5"/>
          <w:sz w:val="12"/>
        </w:rPr>
        <w:t> </w:t>
      </w:r>
      <w:r>
        <w:rPr>
          <w:sz w:val="12"/>
        </w:rPr>
        <w:t>decrease</w:t>
      </w:r>
      <w:r>
        <w:rPr>
          <w:spacing w:val="-5"/>
          <w:sz w:val="12"/>
        </w:rPr>
        <w:t> </w:t>
      </w:r>
      <w:r>
        <w:rPr>
          <w:sz w:val="12"/>
        </w:rPr>
        <w:t>(increase)</w:t>
      </w:r>
      <w:r>
        <w:rPr>
          <w:spacing w:val="-4"/>
          <w:sz w:val="12"/>
        </w:rPr>
        <w:t> </w:t>
      </w:r>
      <w:r>
        <w:rPr>
          <w:sz w:val="12"/>
        </w:rPr>
        <w:t>in</w:t>
      </w:r>
      <w:r>
        <w:rPr>
          <w:spacing w:val="-5"/>
          <w:sz w:val="12"/>
        </w:rPr>
        <w:t> </w:t>
      </w:r>
      <w:r>
        <w:rPr>
          <w:sz w:val="12"/>
        </w:rPr>
        <w:t>staff</w:t>
      </w:r>
      <w:r>
        <w:rPr>
          <w:spacing w:val="-5"/>
          <w:sz w:val="12"/>
        </w:rPr>
        <w:t> </w:t>
      </w:r>
      <w:r>
        <w:rPr>
          <w:sz w:val="12"/>
        </w:rPr>
        <w:t>availability.</w:t>
      </w:r>
      <w:r>
        <w:rPr>
          <w:spacing w:val="17"/>
          <w:sz w:val="12"/>
        </w:rPr>
        <w:t> </w:t>
      </w:r>
      <w:r>
        <w:rPr>
          <w:spacing w:val="-3"/>
          <w:sz w:val="12"/>
        </w:rPr>
        <w:t>Average</w:t>
      </w:r>
      <w:r>
        <w:rPr>
          <w:spacing w:val="-5"/>
          <w:sz w:val="12"/>
        </w:rPr>
        <w:t> </w:t>
      </w:r>
      <w:r>
        <w:rPr>
          <w:sz w:val="12"/>
        </w:rPr>
        <w:t>since</w:t>
      </w:r>
      <w:r>
        <w:rPr>
          <w:spacing w:val="-5"/>
          <w:sz w:val="12"/>
        </w:rPr>
        <w:t> </w:t>
      </w:r>
      <w:r>
        <w:rPr>
          <w:sz w:val="12"/>
        </w:rPr>
        <w:t>1997</w:t>
      </w:r>
      <w:r>
        <w:rPr>
          <w:spacing w:val="-4"/>
          <w:sz w:val="12"/>
        </w:rPr>
        <w:t> </w:t>
      </w:r>
      <w:r>
        <w:rPr>
          <w:sz w:val="12"/>
        </w:rPr>
        <w:t>Q4.</w:t>
      </w:r>
    </w:p>
    <w:p>
      <w:pPr>
        <w:pStyle w:val="ListParagraph"/>
        <w:numPr>
          <w:ilvl w:val="0"/>
          <w:numId w:val="29"/>
        </w:numPr>
        <w:tabs>
          <w:tab w:pos="421" w:val="left" w:leader="none"/>
        </w:tabs>
        <w:spacing w:line="208" w:lineRule="auto" w:before="0" w:after="0"/>
        <w:ind w:left="420" w:right="299" w:hanging="240"/>
        <w:jc w:val="left"/>
        <w:rPr>
          <w:sz w:val="12"/>
        </w:rPr>
      </w:pPr>
      <w:r>
        <w:rPr>
          <w:sz w:val="12"/>
        </w:rPr>
        <w:t>Percentage of respondents experiencing recruitment difficulties. </w:t>
      </w:r>
      <w:r>
        <w:rPr>
          <w:spacing w:val="-3"/>
          <w:sz w:val="12"/>
        </w:rPr>
        <w:t>Average </w:t>
      </w:r>
      <w:r>
        <w:rPr>
          <w:sz w:val="12"/>
        </w:rPr>
        <w:t>since 1989 Q1.</w:t>
      </w:r>
    </w:p>
    <w:p>
      <w:pPr>
        <w:pStyle w:val="ListParagraph"/>
        <w:numPr>
          <w:ilvl w:val="0"/>
          <w:numId w:val="29"/>
        </w:numPr>
        <w:tabs>
          <w:tab w:pos="421" w:val="left" w:leader="none"/>
        </w:tabs>
        <w:spacing w:line="208" w:lineRule="auto" w:before="0" w:after="0"/>
        <w:ind w:left="420" w:right="154" w:hanging="240"/>
        <w:jc w:val="left"/>
        <w:rPr>
          <w:sz w:val="12"/>
        </w:rPr>
      </w:pPr>
      <w:r>
        <w:rPr>
          <w:sz w:val="12"/>
        </w:rPr>
        <w:t>Balance</w:t>
      </w:r>
      <w:r>
        <w:rPr>
          <w:spacing w:val="-7"/>
          <w:sz w:val="12"/>
        </w:rPr>
        <w:t> </w:t>
      </w:r>
      <w:r>
        <w:rPr>
          <w:sz w:val="12"/>
        </w:rPr>
        <w:t>of</w:t>
      </w:r>
      <w:r>
        <w:rPr>
          <w:spacing w:val="-6"/>
          <w:sz w:val="12"/>
        </w:rPr>
        <w:t> </w:t>
      </w:r>
      <w:r>
        <w:rPr>
          <w:sz w:val="12"/>
        </w:rPr>
        <w:t>respondents</w:t>
      </w:r>
      <w:r>
        <w:rPr>
          <w:spacing w:val="-6"/>
          <w:sz w:val="12"/>
        </w:rPr>
        <w:t> </w:t>
      </w:r>
      <w:r>
        <w:rPr>
          <w:sz w:val="12"/>
        </w:rPr>
        <w:t>expecting</w:t>
      </w:r>
      <w:r>
        <w:rPr>
          <w:spacing w:val="-6"/>
          <w:sz w:val="12"/>
        </w:rPr>
        <w:t> </w:t>
      </w:r>
      <w:r>
        <w:rPr>
          <w:sz w:val="12"/>
        </w:rPr>
        <w:t>labour</w:t>
      </w:r>
      <w:r>
        <w:rPr>
          <w:spacing w:val="-6"/>
          <w:sz w:val="12"/>
        </w:rPr>
        <w:t> </w:t>
      </w:r>
      <w:r>
        <w:rPr>
          <w:sz w:val="12"/>
        </w:rPr>
        <w:t>availability</w:t>
      </w:r>
      <w:r>
        <w:rPr>
          <w:spacing w:val="-6"/>
          <w:sz w:val="12"/>
        </w:rPr>
        <w:t> </w:t>
      </w:r>
      <w:r>
        <w:rPr>
          <w:sz w:val="12"/>
        </w:rPr>
        <w:t>to</w:t>
      </w:r>
      <w:r>
        <w:rPr>
          <w:spacing w:val="-6"/>
          <w:sz w:val="12"/>
        </w:rPr>
        <w:t> </w:t>
      </w:r>
      <w:r>
        <w:rPr>
          <w:sz w:val="12"/>
        </w:rPr>
        <w:t>limit</w:t>
      </w:r>
      <w:r>
        <w:rPr>
          <w:spacing w:val="-7"/>
          <w:sz w:val="12"/>
        </w:rPr>
        <w:t> </w:t>
      </w:r>
      <w:r>
        <w:rPr>
          <w:sz w:val="12"/>
        </w:rPr>
        <w:t>output</w:t>
      </w:r>
      <w:r>
        <w:rPr>
          <w:spacing w:val="-6"/>
          <w:sz w:val="12"/>
        </w:rPr>
        <w:t> </w:t>
      </w:r>
      <w:r>
        <w:rPr>
          <w:sz w:val="12"/>
        </w:rPr>
        <w:t>over</w:t>
      </w:r>
      <w:r>
        <w:rPr>
          <w:spacing w:val="-6"/>
          <w:sz w:val="12"/>
        </w:rPr>
        <w:t> </w:t>
      </w:r>
      <w:r>
        <w:rPr>
          <w:sz w:val="12"/>
        </w:rPr>
        <w:t>next</w:t>
      </w:r>
      <w:r>
        <w:rPr>
          <w:spacing w:val="-6"/>
          <w:sz w:val="12"/>
        </w:rPr>
        <w:t> </w:t>
      </w:r>
      <w:r>
        <w:rPr>
          <w:sz w:val="12"/>
        </w:rPr>
        <w:t>four months. </w:t>
      </w:r>
      <w:r>
        <w:rPr>
          <w:spacing w:val="-3"/>
          <w:sz w:val="12"/>
        </w:rPr>
        <w:t>Average </w:t>
      </w:r>
      <w:r>
        <w:rPr>
          <w:sz w:val="12"/>
        </w:rPr>
        <w:t>since 1972</w:t>
      </w:r>
      <w:r>
        <w:rPr>
          <w:spacing w:val="-8"/>
          <w:sz w:val="12"/>
        </w:rPr>
        <w:t> </w:t>
      </w:r>
      <w:r>
        <w:rPr>
          <w:sz w:val="12"/>
        </w:rPr>
        <w:t>Q1.</w:t>
      </w:r>
    </w:p>
    <w:p>
      <w:pPr>
        <w:pStyle w:val="ListParagraph"/>
        <w:numPr>
          <w:ilvl w:val="0"/>
          <w:numId w:val="29"/>
        </w:numPr>
        <w:tabs>
          <w:tab w:pos="421" w:val="left" w:leader="none"/>
        </w:tabs>
        <w:spacing w:line="123" w:lineRule="exact" w:before="0" w:after="0"/>
        <w:ind w:left="420" w:right="0" w:hanging="241"/>
        <w:jc w:val="left"/>
        <w:rPr>
          <w:sz w:val="12"/>
        </w:rPr>
      </w:pPr>
      <w:r>
        <w:rPr>
          <w:sz w:val="12"/>
        </w:rPr>
        <w:t>Seasonally</w:t>
      </w:r>
      <w:r>
        <w:rPr>
          <w:spacing w:val="-7"/>
          <w:sz w:val="12"/>
        </w:rPr>
        <w:t> </w:t>
      </w:r>
      <w:r>
        <w:rPr>
          <w:sz w:val="12"/>
        </w:rPr>
        <w:t>adjusted</w:t>
      </w:r>
      <w:r>
        <w:rPr>
          <w:spacing w:val="-7"/>
          <w:sz w:val="12"/>
        </w:rPr>
        <w:t> </w:t>
      </w:r>
      <w:r>
        <w:rPr>
          <w:sz w:val="12"/>
        </w:rPr>
        <w:t>by</w:t>
      </w:r>
      <w:r>
        <w:rPr>
          <w:spacing w:val="-7"/>
          <w:sz w:val="12"/>
        </w:rPr>
        <w:t> </w:t>
      </w:r>
      <w:r>
        <w:rPr>
          <w:sz w:val="12"/>
        </w:rPr>
        <w:t>the</w:t>
      </w:r>
      <w:r>
        <w:rPr>
          <w:spacing w:val="-7"/>
          <w:sz w:val="12"/>
        </w:rPr>
        <w:t> </w:t>
      </w:r>
      <w:r>
        <w:rPr>
          <w:sz w:val="12"/>
        </w:rPr>
        <w:t>Bank.</w:t>
      </w:r>
    </w:p>
    <w:p>
      <w:pPr>
        <w:pStyle w:val="BodyText"/>
        <w:spacing w:line="242" w:lineRule="auto" w:before="7"/>
        <w:ind w:left="180" w:right="271"/>
        <w:jc w:val="both"/>
      </w:pPr>
      <w:r>
        <w:rPr/>
        <w:br w:type="column"/>
      </w:r>
      <w:r>
        <w:rPr/>
        <w:t>and the service sector ticked up to their highest </w:t>
      </w:r>
      <w:r>
        <w:rPr>
          <w:spacing w:val="-3"/>
        </w:rPr>
        <w:t>levels </w:t>
      </w:r>
      <w:r>
        <w:rPr/>
        <w:t>in two years in Q3, and the CBI measure of skill shortages in manufacturing edged up </w:t>
      </w:r>
      <w:r>
        <w:rPr>
          <w:spacing w:val="-3"/>
        </w:rPr>
        <w:t>further. </w:t>
      </w:r>
      <w:r>
        <w:rPr/>
        <w:t>Contacts of the</w:t>
      </w:r>
    </w:p>
    <w:p>
      <w:pPr>
        <w:pStyle w:val="BodyText"/>
        <w:rPr>
          <w:sz w:val="26"/>
        </w:rPr>
      </w:pPr>
    </w:p>
    <w:p>
      <w:pPr>
        <w:pStyle w:val="BodyText"/>
        <w:rPr>
          <w:sz w:val="26"/>
        </w:rPr>
      </w:pPr>
    </w:p>
    <w:p>
      <w:pPr>
        <w:pStyle w:val="BodyText"/>
        <w:spacing w:before="4"/>
        <w:rPr>
          <w:sz w:val="21"/>
        </w:rPr>
      </w:pPr>
    </w:p>
    <w:p>
      <w:pPr>
        <w:pStyle w:val="BodyText"/>
        <w:spacing w:line="242" w:lineRule="auto" w:before="1"/>
        <w:ind w:left="180" w:right="193"/>
      </w:pPr>
      <w:r>
        <w:rPr/>
        <w:t>business contacts about their experience of recruitment difficulties. More than 70% of these contacts reported that recruitment difficulties were greater this year than last year and few thought that the situation was likely to improve over the next six months.</w:t>
      </w:r>
    </w:p>
    <w:p>
      <w:pPr>
        <w:pStyle w:val="BodyText"/>
        <w:spacing w:before="9"/>
        <w:rPr>
          <w:sz w:val="26"/>
        </w:rPr>
      </w:pPr>
    </w:p>
    <w:p>
      <w:pPr>
        <w:pStyle w:val="Heading4"/>
        <w:numPr>
          <w:ilvl w:val="1"/>
          <w:numId w:val="26"/>
        </w:numPr>
        <w:tabs>
          <w:tab w:pos="3018" w:val="left" w:leader="none"/>
          <w:tab w:pos="3019" w:val="left" w:leader="none"/>
          <w:tab w:pos="5670" w:val="left" w:leader="none"/>
        </w:tabs>
        <w:spacing w:line="240" w:lineRule="auto" w:before="0" w:after="0"/>
        <w:ind w:left="3018" w:right="0" w:hanging="2839"/>
        <w:jc w:val="left"/>
        <w:rPr>
          <w:color w:val="009391"/>
        </w:rPr>
      </w:pPr>
      <w:r>
        <w:rPr>
          <w:color w:val="009391"/>
          <w:u w:val="thick" w:color="0092C7"/>
        </w:rPr>
        <w:t>Labour</w:t>
      </w:r>
      <w:r>
        <w:rPr>
          <w:color w:val="009391"/>
          <w:spacing w:val="-23"/>
          <w:u w:val="thick" w:color="0092C7"/>
        </w:rPr>
        <w:t> </w:t>
      </w:r>
      <w:r>
        <w:rPr>
          <w:color w:val="009391"/>
          <w:u w:val="thick" w:color="0092C7"/>
        </w:rPr>
        <w:t>productivity</w:t>
        <w:tab/>
      </w:r>
    </w:p>
    <w:p>
      <w:pPr>
        <w:pStyle w:val="BodyText"/>
        <w:spacing w:line="242" w:lineRule="auto" w:before="264"/>
        <w:ind w:left="180" w:right="193"/>
      </w:pPr>
      <w:r>
        <w:rPr/>
        <w:t>Labour productivity growth has strengthened this year, following four years of weak growth (see Chart 3.12).</w:t>
      </w:r>
    </w:p>
    <w:p>
      <w:pPr>
        <w:spacing w:after="0" w:line="242" w:lineRule="auto"/>
        <w:sectPr>
          <w:type w:val="continuous"/>
          <w:pgSz w:w="11900" w:h="16840"/>
          <w:pgMar w:top="1260" w:bottom="280" w:left="640" w:right="640"/>
          <w:cols w:num="2" w:equalWidth="0">
            <w:col w:w="4513" w:space="282"/>
            <w:col w:w="5825"/>
          </w:cols>
        </w:sectPr>
      </w:pPr>
    </w:p>
    <w:p>
      <w:pPr>
        <w:pStyle w:val="BodyText"/>
        <w:rPr>
          <w:sz w:val="20"/>
        </w:rPr>
      </w:pPr>
    </w:p>
    <w:p>
      <w:pPr>
        <w:spacing w:after="0"/>
        <w:rPr>
          <w:sz w:val="20"/>
        </w:rPr>
        <w:sectPr>
          <w:pgSz w:w="11900" w:h="16840"/>
          <w:pgMar w:header="586" w:footer="592" w:top="780" w:bottom="780" w:left="640" w:right="640"/>
        </w:sectPr>
      </w:pPr>
    </w:p>
    <w:p>
      <w:pPr>
        <w:pStyle w:val="BodyText"/>
        <w:rPr>
          <w:sz w:val="23"/>
        </w:rPr>
      </w:pPr>
    </w:p>
    <w:p>
      <w:pPr>
        <w:spacing w:before="1"/>
        <w:ind w:left="164" w:right="0" w:firstLine="0"/>
        <w:jc w:val="left"/>
        <w:rPr>
          <w:b/>
          <w:sz w:val="20"/>
        </w:rPr>
      </w:pPr>
      <w:r>
        <w:rPr>
          <w:b/>
          <w:color w:val="0092C7"/>
          <w:sz w:val="20"/>
        </w:rPr>
        <w:t>Chart 3.12</w:t>
      </w:r>
    </w:p>
    <w:p>
      <w:pPr>
        <w:spacing w:line="249" w:lineRule="auto" w:before="10"/>
        <w:ind w:left="164" w:right="0" w:firstLine="0"/>
        <w:jc w:val="left"/>
        <w:rPr>
          <w:b/>
          <w:sz w:val="20"/>
        </w:rPr>
      </w:pPr>
      <w:r>
        <w:rPr>
          <w:b/>
          <w:color w:val="0092C7"/>
          <w:sz w:val="20"/>
        </w:rPr>
        <w:t>Whole-economy labour productivity growth</w:t>
      </w:r>
    </w:p>
    <w:p>
      <w:pPr>
        <w:spacing w:line="210" w:lineRule="atLeast" w:before="22"/>
        <w:ind w:left="711" w:right="0" w:firstLine="898"/>
        <w:jc w:val="left"/>
        <w:rPr>
          <w:sz w:val="12"/>
        </w:rPr>
      </w:pPr>
      <w:r>
        <w:rPr/>
        <w:pict>
          <v:line style="position:absolute;mso-position-horizontal-relative:page;mso-position-vertical-relative:paragraph;z-index:-22605312" from="195.345001pt,13.510163pt" to="199.677001pt,13.510163pt" stroked="true" strokeweight=".5pt" strokecolor="#000000">
            <v:stroke dashstyle="solid"/>
            <w10:wrap type="none"/>
          </v:line>
        </w:pict>
      </w:r>
      <w:r>
        <w:rPr/>
        <w:pict>
          <v:line style="position:absolute;mso-position-horizontal-relative:page;mso-position-vertical-relative:paragraph;z-index:16048128" from="40.679001pt,13.510163pt" to="45.011001pt,13.510163pt" stroked="true" strokeweight=".5pt" strokecolor="#000000">
            <v:stroke dashstyle="solid"/>
            <w10:wrap type="none"/>
          </v:line>
        </w:pict>
      </w:r>
      <w:r>
        <w:rPr>
          <w:sz w:val="12"/>
        </w:rPr>
        <w:t>Percentage changes on a year </w:t>
      </w:r>
      <w:r>
        <w:rPr>
          <w:spacing w:val="-3"/>
          <w:sz w:val="12"/>
        </w:rPr>
        <w:t>earlier </w:t>
      </w:r>
      <w:r>
        <w:rPr>
          <w:sz w:val="12"/>
        </w:rPr>
        <w:t>Productivity per job</w:t>
      </w:r>
    </w:p>
    <w:p>
      <w:pPr>
        <w:spacing w:before="6"/>
        <w:ind w:left="771" w:right="0" w:firstLine="0"/>
        <w:jc w:val="left"/>
        <w:rPr>
          <w:sz w:val="12"/>
        </w:rPr>
      </w:pPr>
      <w:r>
        <w:rPr>
          <w:sz w:val="12"/>
        </w:rPr>
        <w:t>(official measure)</w:t>
      </w:r>
    </w:p>
    <w:p>
      <w:pPr>
        <w:pStyle w:val="BodyText"/>
        <w:ind w:left="168" w:right="-44"/>
        <w:rPr>
          <w:sz w:val="20"/>
        </w:rPr>
      </w:pPr>
      <w:r>
        <w:rPr>
          <w:sz w:val="20"/>
        </w:rPr>
        <w:pict>
          <v:group style="width:159pt;height:121.35pt;mso-position-horizontal-relative:char;mso-position-vertical-relative:line" coordorigin="0,0" coordsize="3180,2427">
            <v:shape style="position:absolute;left:140;top:132;width:745;height:463" type="#_x0000_t75" stroked="false">
              <v:imagedata r:id="rId136" o:title=""/>
            </v:shape>
            <v:shape style="position:absolute;left:875;top:470;width:813;height:1910" coordorigin="876,470" coordsize="813,1910" path="m876,470l976,1558m976,1558l1073,2000m1073,2000l1183,2380m1183,2380l1283,2133m1283,2133l1381,1738m1381,1738l1491,1490m1491,1490l1591,1293m1591,1293l1688,1803e" filled="false" stroked="true" strokeweight="1pt" strokecolor="#de0035">
              <v:path arrowok="t"/>
              <v:stroke dashstyle="solid"/>
            </v:shape>
            <v:line style="position:absolute" from="1678,1804" to="1808,1804" stroked="true" strokeweight="1.125pt" strokecolor="#de0035">
              <v:stroke dashstyle="solid"/>
            </v:line>
            <v:line style="position:absolute" from="1798,1803" to="1898,1490" stroked="true" strokeweight="1pt" strokecolor="#de0035">
              <v:stroke dashstyle="solid"/>
            </v:line>
            <v:line style="position:absolute" from="1888,1491" to="2008,1491" stroked="true" strokeweight="1.125pt" strokecolor="#de0035">
              <v:stroke dashstyle="solid"/>
            </v:line>
            <v:shape style="position:absolute;left:1998;top:980;width:935;height:1218" coordorigin="1998,980" coordsize="935,1218" path="m1998,1490l2108,1293m2108,1293l2206,980m2206,980l2316,1360m2316,1360l2416,1688m2416,1688l2513,2068m2513,2068l2623,2198m2623,2198l2723,2068m2723,2068l2823,1738m2823,1738l2933,1490e" filled="false" stroked="true" strokeweight="1pt" strokecolor="#de0035">
              <v:path arrowok="t"/>
              <v:stroke dashstyle="solid"/>
            </v:shape>
            <v:line style="position:absolute" from="2923,1491" to="3041,1491" stroked="true" strokeweight="1.125pt" strokecolor="#de0035">
              <v:stroke dashstyle="solid"/>
            </v:line>
            <v:shape style="position:absolute;left:150;top:10;width:2055;height:1990" coordorigin="151,10" coordsize="2055,1990" path="m151,10l248,340m248,340l358,718m358,718l458,850m458,850l556,535m556,535l666,850m666,850l766,1558m766,1558l876,980m876,980l976,1935m976,1935l1073,2000m1073,2000l1183,1935m1183,1935l1283,1870m1283,1870l1381,1803m1381,1803l1491,1688m1491,1688l1591,1293m1591,1293l1688,1803m1688,1803l1798,1558m1798,1558l1898,1425m1898,1425l1998,1228m1998,1228l2108,1623m2108,1623l2206,1113e" filled="false" stroked="true" strokeweight="1pt" strokecolor="#44af34">
              <v:path arrowok="t"/>
              <v:stroke dashstyle="solid"/>
            </v:shape>
            <v:shape style="position:absolute;left:2195;top:1102;width:638;height:778" type="#_x0000_t75" stroked="false">
              <v:imagedata r:id="rId137" o:title=""/>
            </v:shape>
            <v:shape style="position:absolute;left:2823;top:585;width:208;height:1285" coordorigin="2823,585" coordsize="208,1285" path="m2823,1870l2933,585m2933,585l3031,980e" filled="false" stroked="true" strokeweight="1pt" strokecolor="#44af34">
              <v:path arrowok="t"/>
              <v:stroke dashstyle="solid"/>
            </v:shape>
            <v:shape style="position:absolute;left:150;top:10;width:515;height:1038" coordorigin="151,10" coordsize="515,1038" path="m151,143l248,653m248,653l358,1048m358,1048l458,718m458,718l556,10m556,10l666,75e" filled="false" stroked="true" strokeweight="1pt" strokecolor="#006caa">
              <v:path arrowok="t"/>
              <v:stroke dashstyle="solid"/>
            </v:shape>
            <v:line style="position:absolute" from="656,76" to="776,76" stroked="true" strokeweight="1.125pt" strokecolor="#006caa">
              <v:stroke dashstyle="solid"/>
            </v:line>
            <v:shape style="position:absolute;left:765;top:75;width:2265;height:1993" coordorigin="766,75" coordsize="2265,1993" path="m766,75l876,585m876,585l976,1490m976,1490l1073,1738m1073,1738l1183,1935m1183,1935l1283,1623m1283,1623l1381,1558m1381,1558l1491,1688m1491,1688l1591,1490m1591,1490l1688,1688m1688,1688l1798,1738m1798,1738l1898,1425m1898,1425l1998,1688m1998,1688l2108,1870m2108,1870l2206,1425m2206,1425l2316,1623m2316,1623l2416,1870m2416,1870l2513,1738m2513,1738l2623,2068m2623,2068l2723,1688m2723,1688l2823,1293m2823,1293l2933,1228m2933,1228l3031,1048e" filled="false" stroked="true" strokeweight="1pt" strokecolor="#006caa">
              <v:path arrowok="t"/>
              <v:stroke dashstyle="solid"/>
            </v:shape>
            <v:shape style="position:absolute;left:0;top:12;width:3180;height:2255" coordorigin="0,13" coordsize="3180,2255" path="m3093,13l3180,13m3093,340l3180,340m3093,983l3180,983m3093,1295l3180,1295m3093,2268l3180,2268m3093,1623l3180,1623m0,13l87,13m0,340l87,340m0,983l87,983m0,1295l87,1295m0,2268l87,2268m0,1623l87,1623m3093,655l3180,655m3093,1938l3180,1938m0,655l87,655m0,1938l87,1938e" filled="false" stroked="true" strokeweight=".5pt" strokecolor="#000000">
              <v:path arrowok="t"/>
              <v:stroke dashstyle="solid"/>
            </v:shape>
            <v:shape style="position:absolute;left:2047;top:266;width:944;height:278" type="#_x0000_t202" filled="false" stroked="false">
              <v:textbox inset="0,0,0,0">
                <w:txbxContent>
                  <w:p>
                    <w:pPr>
                      <w:spacing w:line="249" w:lineRule="auto" w:before="0"/>
                      <w:ind w:left="73" w:right="1" w:hanging="74"/>
                      <w:jc w:val="left"/>
                      <w:rPr>
                        <w:sz w:val="12"/>
                      </w:rPr>
                    </w:pPr>
                    <w:r>
                      <w:rPr>
                        <w:sz w:val="12"/>
                      </w:rPr>
                      <w:t>Producitivity per hour (LFS-based)</w:t>
                    </w:r>
                  </w:p>
                </w:txbxContent>
              </v:textbox>
              <w10:wrap type="none"/>
            </v:shape>
            <v:shape style="position:absolute;left:1243;top:2293;width:1797;height:134" type="#_x0000_t202" filled="false" stroked="false">
              <v:textbox inset="0,0,0,0">
                <w:txbxContent>
                  <w:p>
                    <w:pPr>
                      <w:spacing w:line="133" w:lineRule="exact" w:before="0"/>
                      <w:ind w:left="0" w:right="0" w:firstLine="0"/>
                      <w:jc w:val="left"/>
                      <w:rPr>
                        <w:sz w:val="12"/>
                      </w:rPr>
                    </w:pPr>
                    <w:r>
                      <w:rPr>
                        <w:sz w:val="12"/>
                      </w:rPr>
                      <w:t>Productivity per worker (LFS-based)</w:t>
                    </w:r>
                  </w:p>
                </w:txbxContent>
              </v:textbox>
              <w10:wrap type="none"/>
            </v:shape>
          </v:group>
        </w:pict>
      </w:r>
      <w:r>
        <w:rPr>
          <w:sz w:val="20"/>
        </w:rPr>
      </w:r>
    </w:p>
    <w:p>
      <w:pPr>
        <w:pStyle w:val="BodyText"/>
        <w:spacing w:before="9"/>
        <w:rPr>
          <w:sz w:val="2"/>
        </w:rPr>
      </w:pPr>
    </w:p>
    <w:p>
      <w:pPr>
        <w:pStyle w:val="BodyText"/>
        <w:spacing w:line="97" w:lineRule="exact"/>
        <w:ind w:left="168" w:right="-58"/>
        <w:rPr>
          <w:sz w:val="9"/>
        </w:rPr>
      </w:pPr>
      <w:r>
        <w:rPr>
          <w:position w:val="-1"/>
          <w:sz w:val="9"/>
        </w:rPr>
        <w:pict>
          <v:group style="width:159pt;height:4.4pt;mso-position-horizontal-relative:char;mso-position-vertical-relative:line" coordorigin="0,0" coordsize="3180,88">
            <v:shape style="position:absolute;left:0;top:82;width:3180;height:2" coordorigin="0,82" coordsize="3180,0" path="m3093,82l3180,82m0,82l87,82e" filled="false" stroked="true" strokeweight=".5pt" strokecolor="#000000">
              <v:path arrowok="t"/>
              <v:stroke dashstyle="solid"/>
            </v:shape>
            <v:line style="position:absolute" from="150,82" to="3030,82" stroked="true" strokeweight=".5pt" strokecolor="#000000">
              <v:stroke dashstyle="solid"/>
            </v:line>
            <v:shape style="position:absolute;left:150;top:0;width:2881;height:88" coordorigin="150,0" coordsize="2881,88" path="m150,40l150,87m358,40l358,87m666,40l666,87m976,40l976,87m1183,40l1183,87m1491,40l1491,87m2206,40l2206,87m2723,40l2723,87m1798,40l1798,87m2416,40l2416,87m248,40l248,87m556,40l556,87m766,40l766,87m1073,40l1073,87m1381,40l1381,87m1591,40l1591,87m2316,40l2316,87m1898,40l1898,87m2623,40l2623,87m3031,40l3031,87m2826,40l2826,87m1997,40l1997,87m878,0l878,87m1688,0l1688,87m2933,0l2933,87m461,0l461,87m1283,0l1283,87m2513,0l2513,87m2108,0l2108,87e" filled="false" stroked="true" strokeweight=".5pt" strokecolor="#000000">
              <v:path arrowok="t"/>
              <v:stroke dashstyle="solid"/>
            </v:shape>
          </v:group>
        </w:pict>
      </w:r>
      <w:r>
        <w:rPr>
          <w:position w:val="-1"/>
          <w:sz w:val="9"/>
        </w:rPr>
      </w:r>
    </w:p>
    <w:p>
      <w:pPr>
        <w:tabs>
          <w:tab w:pos="1186" w:val="left" w:leader="none"/>
          <w:tab w:pos="1594" w:val="left" w:leader="none"/>
          <w:tab w:pos="2011" w:val="left" w:leader="none"/>
          <w:tab w:pos="2426" w:val="left" w:leader="none"/>
          <w:tab w:pos="2836" w:val="left" w:leader="none"/>
        </w:tabs>
        <w:spacing w:before="34"/>
        <w:ind w:left="344" w:right="0" w:firstLine="0"/>
        <w:jc w:val="left"/>
        <w:rPr>
          <w:sz w:val="12"/>
        </w:rPr>
      </w:pPr>
      <w:r>
        <w:rPr>
          <w:sz w:val="12"/>
        </w:rPr>
        <w:t>1993     </w:t>
      </w:r>
      <w:r>
        <w:rPr>
          <w:spacing w:val="5"/>
          <w:sz w:val="12"/>
        </w:rPr>
        <w:t> </w:t>
      </w:r>
      <w:r>
        <w:rPr>
          <w:sz w:val="12"/>
        </w:rPr>
        <w:t>94</w:t>
        <w:tab/>
        <w:t>95</w:t>
        <w:tab/>
        <w:t>96</w:t>
        <w:tab/>
        <w:t>97</w:t>
        <w:tab/>
        <w:t>98</w:t>
        <w:tab/>
        <w:t>99</w:t>
      </w:r>
      <w:r>
        <w:rPr>
          <w:spacing w:val="7"/>
          <w:sz w:val="12"/>
        </w:rPr>
        <w:t> </w:t>
      </w:r>
      <w:r>
        <w:rPr>
          <w:sz w:val="12"/>
        </w:rPr>
        <w:t>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3"/>
        </w:rPr>
      </w:pPr>
    </w:p>
    <w:p>
      <w:pPr>
        <w:spacing w:before="0"/>
        <w:ind w:left="170" w:right="0" w:firstLine="0"/>
        <w:jc w:val="left"/>
        <w:rPr>
          <w:b/>
          <w:sz w:val="20"/>
        </w:rPr>
      </w:pPr>
      <w:r>
        <w:rPr>
          <w:b/>
          <w:color w:val="0092C7"/>
          <w:sz w:val="20"/>
        </w:rPr>
        <w:t>Chart 3.13</w:t>
      </w:r>
    </w:p>
    <w:p>
      <w:pPr>
        <w:spacing w:before="10"/>
        <w:ind w:left="170" w:right="0" w:firstLine="0"/>
        <w:jc w:val="left"/>
        <w:rPr>
          <w:b/>
          <w:sz w:val="20"/>
        </w:rPr>
      </w:pPr>
      <w:r>
        <w:rPr/>
        <w:pict>
          <v:group style="position:absolute;margin-left:42.084pt;margin-top:19.154814pt;width:167.45pt;height:140.15pt;mso-position-horizontal-relative:page;mso-position-vertical-relative:paragraph;z-index:-22601216" coordorigin="842,383" coordsize="3349,2803">
            <v:shape style="position:absolute;left:1005;top:1012;width:118;height:720" coordorigin="1005,1013" coordsize="118,720" path="m1005,1013l1048,1105m1048,1105l1080,1613m1080,1613l1123,1733e" filled="false" stroked="true" strokeweight="1pt" strokecolor="#006caa">
              <v:path arrowok="t"/>
              <v:stroke dashstyle="solid"/>
            </v:shape>
            <v:line style="position:absolute" from="1144,1190" to="1144,1743" stroked="true" strokeweight="3.125pt" strokecolor="#006caa">
              <v:stroke dashstyle="solid"/>
            </v:line>
            <v:shape style="position:absolute;left:1165;top:812;width:160;height:520" coordorigin="1165,813" coordsize="160,520" path="m1165,1200l1208,1333m1208,1333l1240,1065m1240,1065l1283,813m1283,813l1325,1105e" filled="false" stroked="true" strokeweight="1pt" strokecolor="#006caa">
              <v:path arrowok="t"/>
              <v:stroke dashstyle="solid"/>
            </v:shape>
            <v:line style="position:absolute" from="1341,1095" to="1341,1435" stroked="true" strokeweight="2.625pt" strokecolor="#006caa">
              <v:stroke dashstyle="solid"/>
            </v:line>
            <v:line style="position:absolute" from="1358,1425" to="1400,1600" stroked="true" strokeweight="1pt" strokecolor="#006caa">
              <v:stroke dashstyle="solid"/>
            </v:line>
            <v:line style="position:absolute" from="1421,1590" to="1421,2063" stroked="true" strokeweight="3.125pt" strokecolor="#006caa">
              <v:stroke dashstyle="solid"/>
            </v:line>
            <v:shape style="position:absolute;left:1442;top:1612;width:73;height:440" coordorigin="1443,1613" coordsize="73,440" path="m1443,2053l1485,1788m1485,1788l1515,1613e" filled="false" stroked="true" strokeweight="1pt" strokecolor="#006caa">
              <v:path arrowok="t"/>
              <v:stroke dashstyle="solid"/>
            </v:shape>
            <v:line style="position:absolute" from="1536,1603" to="1536,2063" stroked="true" strokeweight="3.125pt" strokecolor="#006caa">
              <v:stroke dashstyle="solid"/>
            </v:line>
            <v:shape style="position:absolute;left:1557;top:2052;width:118;height:348" coordorigin="1558,2053" coordsize="118,348" path="m1558,2053l1600,2240m1600,2240l1633,2373m1633,2373l1675,2400e" filled="false" stroked="true" strokeweight="1pt" strokecolor="#006caa">
              <v:path arrowok="t"/>
              <v:stroke dashstyle="solid"/>
            </v:shape>
            <v:line style="position:absolute" from="1696,1898" to="1696,2410" stroked="true" strokeweight="3.125pt" strokecolor="#006caa">
              <v:stroke dashstyle="solid"/>
            </v:line>
            <v:line style="position:absolute" from="1718,1908" to="1760,880" stroked="true" strokeweight="1pt" strokecolor="#006caa">
              <v:stroke dashstyle="solid"/>
            </v:line>
            <v:line style="position:absolute" from="1776,870" to="1776,1355" stroked="true" strokeweight="2.625pt" strokecolor="#006caa">
              <v:stroke dashstyle="solid"/>
            </v:line>
            <v:shape style="position:absolute;left:1792;top:1225;width:118;height:535" coordorigin="1793,1225" coordsize="118,535" path="m1793,1345l1835,1305m1835,1305l1878,1225m1878,1225l1910,1760e" filled="false" stroked="true" strokeweight="1pt" strokecolor="#006caa">
              <v:path arrowok="t"/>
              <v:stroke dashstyle="solid"/>
            </v:shape>
            <v:shape style="position:absolute;left:1900;top:1282;width:265;height:488" type="#_x0000_t75" stroked="false">
              <v:imagedata r:id="rId138" o:title=""/>
            </v:shape>
            <v:line style="position:absolute" from="2155,1560" to="2185,2133" stroked="true" strokeweight="1pt" strokecolor="#006caa">
              <v:stroke dashstyle="solid"/>
            </v:line>
            <v:shape style="position:absolute;left:2175;top:1937;width:298;height:393" type="#_x0000_t75" stroked="false">
              <v:imagedata r:id="rId139" o:title=""/>
            </v:shape>
            <v:line style="position:absolute" from="2463,2320" to="2548,1600" stroked="true" strokeweight="1pt" strokecolor="#006caa">
              <v:stroke dashstyle="solid"/>
            </v:line>
            <v:shape style="position:absolute;left:2537;top:1110;width:253;height:500" type="#_x0000_t75" stroked="false">
              <v:imagedata r:id="rId140" o:title=""/>
            </v:shape>
            <v:line style="position:absolute" from="2801,1363" to="2801,1810" stroked="true" strokeweight="3.125pt" strokecolor="#006caa">
              <v:stroke dashstyle="solid"/>
            </v:line>
            <v:shape style="position:absolute;left:2822;top:1465;width:310;height:1270" coordorigin="2823,1465" coordsize="310,1270" path="m2823,1800l2855,2053m2855,2053l2898,2013m2898,2013l2940,1760m2940,1760l2983,1533m2983,1533l3015,1465m3015,1465l3058,2293m3058,2293l3100,2588m3100,2588l3133,2735e" filled="false" stroked="true" strokeweight="1pt" strokecolor="#006caa">
              <v:path arrowok="t"/>
              <v:stroke dashstyle="solid"/>
            </v:shape>
            <v:line style="position:absolute" from="3154,2725" to="3154,3185" stroked="true" strokeweight="3.125pt" strokecolor="#006caa">
              <v:stroke dashstyle="solid"/>
            </v:line>
            <v:shape style="position:absolute;left:3175;top:2815;width:118;height:360" coordorigin="3175,2815" coordsize="118,360" path="m3175,3175l3218,2815m3218,2815l3260,2868m3260,2868l3293,2975e" filled="false" stroked="true" strokeweight="1pt" strokecolor="#006caa">
              <v:path arrowok="t"/>
              <v:stroke dashstyle="solid"/>
            </v:shape>
            <v:line style="position:absolute" from="3314,2550" to="3314,2985" stroked="true" strokeweight="3.125pt" strokecolor="#006caa">
              <v:stroke dashstyle="solid"/>
            </v:line>
            <v:shape style="position:absolute;left:3335;top:2067;width:393;height:788" coordorigin="3335,2068" coordsize="393,788" path="m3335,2560l3378,2440m3378,2440l3408,2548m3408,2548l3450,2373m3450,2373l3493,2588m3493,2588l3535,2855m3535,2855l3568,2588m3568,2588l3610,2708m3610,2708l3653,2560m3653,2560l3685,2293m3685,2293l3728,2068e" filled="false" stroked="true" strokeweight="1pt" strokecolor="#006caa">
              <v:path arrowok="t"/>
              <v:stroke dashstyle="solid"/>
            </v:shape>
            <v:line style="position:absolute" from="3749,1590" to="3749,2078" stroked="true" strokeweight="3.125pt" strokecolor="#006caa">
              <v:stroke dashstyle="solid"/>
            </v:line>
            <v:shape style="position:absolute;left:3770;top:1452;width:118;height:308" coordorigin="3770,1453" coordsize="118,308" path="m3770,1600l3813,1453m3813,1453l3845,1693m3845,1693l3888,1760e" filled="false" stroked="true" strokeweight="1pt" strokecolor="#006caa">
              <v:path arrowok="t"/>
              <v:stroke dashstyle="solid"/>
            </v:shape>
            <v:shape style="position:absolute;left:1005;top:1772;width:118;height:188" coordorigin="1005,1773" coordsize="118,188" path="m1005,1908l1048,1773m1048,1773l1080,1960m1080,1960l1123,1813e" filled="false" stroked="true" strokeweight="1pt" strokecolor="#44af34">
              <v:path arrowok="t"/>
              <v:stroke dashstyle="solid"/>
            </v:shape>
            <v:shape style="position:absolute;left:1143;top:1350;width:43;height:568" coordorigin="1144,1350" coordsize="43,568" path="m1144,1350l1144,1823m1186,1350l1186,1918e" filled="false" stroked="true" strokeweight="3.125pt" strokecolor="#44af34">
              <v:path arrowok="t"/>
              <v:stroke dashstyle="solid"/>
            </v:shape>
            <v:shape style="position:absolute;left:1207;top:1907;width:75;height:400" coordorigin="1208,1908" coordsize="75,400" path="m1208,1908l1240,2093m1240,2093l1283,2308e" filled="false" stroked="true" strokeweight="1pt" strokecolor="#44af34">
              <v:path arrowok="t"/>
              <v:stroke dashstyle="solid"/>
            </v:shape>
            <v:line style="position:absolute" from="1304,2298" to="1304,2810" stroked="true" strokeweight="3.125pt" strokecolor="#44af34">
              <v:stroke dashstyle="solid"/>
            </v:line>
            <v:shape style="position:absolute;left:1325;top:1787;width:510;height:1268" coordorigin="1325,1788" coordsize="510,1268" path="m1325,2800l1358,2948m1358,2948l1400,3055m1400,3055l1443,2775m1443,2775l1485,2615m1485,2615l1515,1800m1515,1800l1558,1788m1558,1788l1600,1868m1600,1868l1633,1853m1633,1853l1675,2013m1675,2013l1718,1800m1718,1800l1760,1933m1760,1933l1793,2148m1793,2148l1835,2360e" filled="false" stroked="true" strokeweight="1pt" strokecolor="#44af34">
              <v:path arrowok="t"/>
              <v:stroke dashstyle="solid"/>
            </v:shape>
            <v:line style="position:absolute" from="1825,2361" to="1888,2361" stroked="true" strokeweight="1.125pt" strokecolor="#44af34">
              <v:stroke dashstyle="solid"/>
            </v:line>
            <v:shape style="position:absolute;left:1877;top:1907;width:860;height:1120" coordorigin="1878,1908" coordsize="860,1120" path="m1878,2360l1910,2508m1910,2508l1953,2413m1953,2413l1995,2628m1995,2628l2038,2695m2038,2695l2070,2640m2070,2640l2113,3000m2113,3000l2155,2948m2155,2948l2185,3028m2185,3028l2228,3015m2228,3015l2270,2615m2270,2615l2313,2575m2313,2575l2345,2735m2345,2735l2388,2655m2388,2655l2430,2628m2430,2628l2463,2413m2463,2413l2505,2068m2505,2068l2548,1973m2548,1973l2580,2120m2580,2120l2623,2228m2623,2228l2665,2080m2665,2080l2708,1960m2708,1960l2738,1908e" filled="false" stroked="true" strokeweight="1pt" strokecolor="#44af34">
              <v:path arrowok="t"/>
              <v:stroke dashstyle="solid"/>
            </v:shape>
            <v:line style="position:absolute" from="2728,1909" to="2790,1909" stroked="true" strokeweight="1.125pt" strokecolor="#44af34">
              <v:stroke dashstyle="solid"/>
            </v:line>
            <v:shape style="position:absolute;left:2780;top:1787;width:513;height:465" coordorigin="2780,1788" coordsize="513,465" path="m2780,1908l2823,2028m2823,2028l2855,2120m2855,2120l2898,2013m2898,2013l2940,1788m2940,1788l2983,1853m2983,1853l3015,1868m3015,1868l3058,1908m3058,1908l3100,2188m3100,2188l3133,2253m3133,2253l3175,2240m3175,2240l3218,2188m3218,2188l3260,2160m3260,2160l3293,2188e" filled="false" stroked="true" strokeweight="1pt" strokecolor="#44af34">
              <v:path arrowok="t"/>
              <v:stroke dashstyle="solid"/>
            </v:shape>
            <v:line style="position:absolute" from="3283,2189" to="3345,2189" stroked="true" strokeweight="1.125pt" strokecolor="#44af34">
              <v:stroke dashstyle="solid"/>
            </v:line>
            <v:line style="position:absolute" from="3335,2188" to="3378,2293" stroked="true" strokeweight="1pt" strokecolor="#44af34">
              <v:stroke dashstyle="solid"/>
            </v:line>
            <v:line style="position:absolute" from="3368,2294" to="3418,2294" stroked="true" strokeweight="1.125pt" strokecolor="#44af34">
              <v:stroke dashstyle="solid"/>
            </v:line>
            <v:shape style="position:absolute;left:3407;top:2160;width:245;height:188" coordorigin="3408,2160" coordsize="245,188" path="m3408,2293l3450,2200m3450,2200l3493,2268m3493,2268l3535,2280m3535,2280l3568,2160m3568,2160l3610,2213m3610,2213l3653,2348e" filled="false" stroked="true" strokeweight="1pt" strokecolor="#44af34">
              <v:path arrowok="t"/>
              <v:stroke dashstyle="solid"/>
            </v:shape>
            <v:line style="position:absolute" from="3643,2349" to="3695,2349" stroked="true" strokeweight="1.125pt" strokecolor="#44af34">
              <v:stroke dashstyle="solid"/>
            </v:line>
            <v:shape style="position:absolute;left:3685;top:2172;width:203;height:335" coordorigin="3685,2173" coordsize="203,335" path="m3685,2348l3728,2508m3728,2508l3770,2453m3770,2453l3813,2320m3813,2320l3845,2253m3845,2253l3888,2173e" filled="false" stroked="true" strokeweight="1pt" strokecolor="#44af34">
              <v:path arrowok="t"/>
              <v:stroke dashstyle="solid"/>
            </v:shape>
            <v:shape style="position:absolute;left:1005;top:1612;width:118;height:268" coordorigin="1005,1613" coordsize="118,268" path="m1005,1693l1048,1613m1048,1613l1080,1880m1080,1880l1123,1800e" filled="false" stroked="true" strokeweight="1pt" strokecolor="#de0035">
              <v:path arrowok="t"/>
              <v:stroke dashstyle="solid"/>
            </v:shape>
            <v:shape style="position:absolute;left:1112;top:1322;width:105;height:488" coordorigin="1113,1323" coordsize="105,488" path="m1218,1323l1175,1323,1155,1323,1113,1323,1113,1810,1175,1810,1175,1798,1218,1798,1218,1323xe" filled="true" fillcolor="#de0035" stroked="false">
              <v:path arrowok="t"/>
              <v:fill type="solid"/>
            </v:shape>
            <v:shape style="position:absolute;left:1207;top:1787;width:75;height:200" coordorigin="1208,1788" coordsize="75,200" path="m1208,1788l1240,1868m1240,1868l1283,1988e" filled="false" stroked="true" strokeweight="1pt" strokecolor="#de0035">
              <v:path arrowok="t"/>
              <v:stroke dashstyle="solid"/>
            </v:shape>
            <v:line style="position:absolute" from="1304,1978" to="1304,2450" stroked="true" strokeweight="3.125pt" strokecolor="#de0035">
              <v:stroke dashstyle="solid"/>
            </v:line>
            <v:shape style="position:absolute;left:1325;top:1720;width:860;height:1135" coordorigin="1325,1720" coordsize="860,1135" path="m1325,2440l1358,2628m1358,2628l1400,2748m1400,2748l1443,2628m1443,2628l1485,2440m1485,2440l1515,1760m1515,1760l1558,1840m1558,1840l1600,1948m1600,1948l1633,1960m1633,1960l1675,2093m1675,2093l1718,1828m1718,1828l1760,1720m1760,1720l1793,1988m1793,1988l1835,2148m1835,2148l1878,2133m1878,2133l1910,2360m1910,2360l1953,2213m1953,2213l1995,2400m1995,2400l2038,2413m2038,2413l2070,2400m2070,2400l2113,2708m2113,2708l2155,2680m2155,2680l2185,2855e" filled="false" stroked="true" strokeweight="1pt" strokecolor="#de0035">
              <v:path arrowok="t"/>
              <v:stroke dashstyle="solid"/>
            </v:shape>
            <v:line style="position:absolute" from="2175,2856" to="2238,2856" stroked="true" strokeweight="1.125pt" strokecolor="#de0035">
              <v:stroke dashstyle="solid"/>
            </v:line>
            <v:shape style="position:absolute;left:2227;top:2452;width:160;height:403" coordorigin="2228,2453" coordsize="160,403" path="m2228,2855l2270,2548m2270,2548l2313,2453m2313,2453l2345,2600m2345,2600l2388,2548e" filled="false" stroked="true" strokeweight="1pt" strokecolor="#de0035">
              <v:path arrowok="t"/>
              <v:stroke dashstyle="solid"/>
            </v:shape>
            <v:line style="position:absolute" from="2378,2549" to="2440,2549" stroked="true" strokeweight="1.125pt" strokecolor="#de0035">
              <v:stroke dashstyle="solid"/>
            </v:line>
            <v:shape style="position:absolute;left:2430;top:1787;width:553;height:760" coordorigin="2430,1788" coordsize="553,760" path="m2430,2548l2463,2400m2463,2400l2505,2053m2505,2053l2548,1908m2548,1908l2580,1988m2580,1988l2623,2068m2623,2068l2665,1920m2665,1920l2708,1840m2708,1840l2738,1788m2738,1788l2780,1828m2780,1828l2823,1988m2823,1988l2855,2108m2855,2108l2898,2013m2898,2013l2940,1788m2940,1788l2983,1800e" filled="false" stroked="true" strokeweight="1pt" strokecolor="#de0035">
              <v:path arrowok="t"/>
              <v:stroke dashstyle="solid"/>
            </v:shape>
            <v:line style="position:absolute" from="2973,1801" to="3025,1801" stroked="true" strokeweight="1.125pt" strokecolor="#de0035">
              <v:stroke dashstyle="solid"/>
            </v:line>
            <v:shape style="position:absolute;left:3015;top:1800;width:873;height:640" coordorigin="3015,1800" coordsize="873,640" path="m3015,1800l3058,1960m3058,1960l3100,2253m3100,2253l3133,2333m3133,2333l3175,2400m3175,2400l3218,2293m3218,2293l3260,2280m3260,2280l3293,2320m3293,2320l3335,2253m3335,2253l3378,2320m3378,2320l3408,2333m3408,2333l3450,2240m3450,2240l3493,2320m3493,2320l3535,2373m3535,2373l3568,2240m3568,2240l3610,2293m3610,2293l3653,2373m3653,2373l3685,2333m3685,2333l3728,2440m3728,2440l3770,2320m3770,2320l3813,2188m3813,2188l3845,2173m3845,2173l3888,2108e" filled="false" stroked="true" strokeweight="1pt" strokecolor="#de0035">
              <v:path arrowok="t"/>
              <v:stroke dashstyle="solid"/>
            </v:shape>
            <v:line style="position:absolute" from="3263,1377" to="3790,2088" stroked="true" strokeweight=".5pt" strokecolor="#000000">
              <v:stroke dashstyle="solid"/>
            </v:line>
            <v:shape style="position:absolute;left:3759;top:2059;width:71;height:84" coordorigin="3760,2060" coordsize="71,84" path="m3800,2060l3760,2090,3774,2099,3785,2106,3830,2143,3826,2135,3822,2125,3817,2114,3813,2101,3809,2090,3800,2060xe" filled="true" fillcolor="#000000" stroked="false">
              <v:path arrowok="t"/>
              <v:fill type="solid"/>
            </v:shape>
            <v:shape style="position:absolute;left:841;top:958;width:3195;height:2060" coordorigin="842,959" coordsize="3195,2060" path="m842,959l928,959m842,1371l928,1371m842,1783l928,1783m842,2195l928,2195m842,3018l928,3018m842,2607l928,2607m3950,959l4036,959m3950,1371l4036,1371m3950,1782l4036,1782m3950,2194l4036,2194m3950,3018l4036,3018m3950,2606l4036,2606m1001,2606l3889,2606e" filled="false" stroked="true" strokeweight=".5pt" strokecolor="#000000">
              <v:path arrowok="t"/>
              <v:stroke dashstyle="solid"/>
            </v:shape>
            <v:shape style="position:absolute;left:2286;top:383;width:1904;height:213" type="#_x0000_t202" filled="false" stroked="false">
              <v:textbox inset="0,0,0,0">
                <w:txbxContent>
                  <w:p>
                    <w:pPr>
                      <w:spacing w:line="228" w:lineRule="auto" w:before="0"/>
                      <w:ind w:left="0" w:right="0" w:firstLine="0"/>
                      <w:jc w:val="left"/>
                      <w:rPr>
                        <w:sz w:val="12"/>
                      </w:rPr>
                    </w:pPr>
                    <w:r>
                      <w:rPr>
                        <w:sz w:val="12"/>
                      </w:rPr>
                      <w:t>Percentage changes on a year earlier </w:t>
                    </w:r>
                    <w:r>
                      <w:rPr>
                        <w:position w:val="-7"/>
                        <w:sz w:val="12"/>
                      </w:rPr>
                      <w:t>10</w:t>
                    </w:r>
                  </w:p>
                </w:txbxContent>
              </v:textbox>
              <w10:wrap type="none"/>
            </v:shape>
            <v:shape style="position:absolute;left:1802;top:899;width:734;height:134" type="#_x0000_t202" filled="false" stroked="false">
              <v:textbox inset="0,0,0,0">
                <w:txbxContent>
                  <w:p>
                    <w:pPr>
                      <w:spacing w:line="133" w:lineRule="exact" w:before="0"/>
                      <w:ind w:left="0" w:right="0" w:firstLine="0"/>
                      <w:jc w:val="left"/>
                      <w:rPr>
                        <w:sz w:val="12"/>
                      </w:rPr>
                    </w:pPr>
                    <w:r>
                      <w:rPr>
                        <w:sz w:val="12"/>
                      </w:rPr>
                      <w:t>Manufacturing</w:t>
                    </w:r>
                  </w:p>
                </w:txbxContent>
              </v:textbox>
              <w10:wrap type="none"/>
            </v:shape>
            <v:shape style="position:absolute;left:4110;top:874;width:80;height:133" type="#_x0000_t202" filled="false" stroked="false">
              <v:textbox inset="0,0,0,0">
                <w:txbxContent>
                  <w:p>
                    <w:pPr>
                      <w:spacing w:line="133" w:lineRule="exact" w:before="0"/>
                      <w:ind w:left="0" w:right="0" w:firstLine="0"/>
                      <w:jc w:val="left"/>
                      <w:rPr>
                        <w:sz w:val="12"/>
                      </w:rPr>
                    </w:pPr>
                    <w:r>
                      <w:rPr>
                        <w:sz w:val="12"/>
                      </w:rPr>
                      <w:t>8</w:t>
                    </w:r>
                  </w:p>
                </w:txbxContent>
              </v:textbox>
              <w10:wrap type="none"/>
            </v:shape>
            <v:shape style="position:absolute;left:3006;top:1247;width:820;height:134" type="#_x0000_t202" filled="false" stroked="false">
              <v:textbox inset="0,0,0,0">
                <w:txbxContent>
                  <w:p>
                    <w:pPr>
                      <w:spacing w:line="133" w:lineRule="exact" w:before="0"/>
                      <w:ind w:left="0" w:right="0" w:firstLine="0"/>
                      <w:jc w:val="left"/>
                      <w:rPr>
                        <w:sz w:val="12"/>
                      </w:rPr>
                    </w:pPr>
                    <w:r>
                      <w:rPr>
                        <w:sz w:val="12"/>
                      </w:rPr>
                      <w:t>Whole-economy</w:t>
                    </w:r>
                  </w:p>
                </w:txbxContent>
              </v:textbox>
              <w10:wrap type="none"/>
            </v:shape>
            <v:shape style="position:absolute;left:4008;top:1286;width:183;height:1781" type="#_x0000_t202" filled="false" stroked="false">
              <v:textbox inset="0,0,0,0">
                <w:txbxContent>
                  <w:p>
                    <w:pPr>
                      <w:spacing w:line="133" w:lineRule="exact" w:before="0"/>
                      <w:ind w:left="102" w:right="0" w:firstLine="0"/>
                      <w:jc w:val="left"/>
                      <w:rPr>
                        <w:sz w:val="12"/>
                      </w:rPr>
                    </w:pPr>
                    <w:r>
                      <w:rPr>
                        <w:sz w:val="12"/>
                      </w:rPr>
                      <w:t>6</w:t>
                    </w:r>
                  </w:p>
                  <w:p>
                    <w:pPr>
                      <w:spacing w:line="240" w:lineRule="auto" w:before="0"/>
                      <w:rPr>
                        <w:sz w:val="12"/>
                      </w:rPr>
                    </w:pPr>
                  </w:p>
                  <w:p>
                    <w:pPr>
                      <w:spacing w:line="240" w:lineRule="auto" w:before="9"/>
                      <w:rPr>
                        <w:sz w:val="11"/>
                      </w:rPr>
                    </w:pPr>
                  </w:p>
                  <w:p>
                    <w:pPr>
                      <w:spacing w:before="0"/>
                      <w:ind w:left="102" w:right="0" w:firstLine="0"/>
                      <w:jc w:val="left"/>
                      <w:rPr>
                        <w:sz w:val="12"/>
                      </w:rPr>
                    </w:pPr>
                    <w:r>
                      <w:rPr>
                        <w:sz w:val="12"/>
                      </w:rPr>
                      <w:t>4</w:t>
                    </w:r>
                  </w:p>
                  <w:p>
                    <w:pPr>
                      <w:spacing w:line="240" w:lineRule="auto" w:before="0"/>
                      <w:rPr>
                        <w:sz w:val="12"/>
                      </w:rPr>
                    </w:pPr>
                  </w:p>
                  <w:p>
                    <w:pPr>
                      <w:spacing w:line="240" w:lineRule="auto" w:before="9"/>
                      <w:rPr>
                        <w:sz w:val="11"/>
                      </w:rPr>
                    </w:pPr>
                  </w:p>
                  <w:p>
                    <w:pPr>
                      <w:spacing w:before="0"/>
                      <w:ind w:left="102" w:right="0" w:firstLine="0"/>
                      <w:jc w:val="left"/>
                      <w:rPr>
                        <w:sz w:val="12"/>
                      </w:rPr>
                    </w:pPr>
                    <w:r>
                      <w:rPr>
                        <w:sz w:val="12"/>
                      </w:rPr>
                      <w:t>2</w:t>
                    </w:r>
                  </w:p>
                  <w:p>
                    <w:pPr>
                      <w:spacing w:line="240" w:lineRule="auto" w:before="11"/>
                      <w:rPr>
                        <w:sz w:val="11"/>
                      </w:rPr>
                    </w:pPr>
                  </w:p>
                  <w:p>
                    <w:pPr>
                      <w:spacing w:line="160" w:lineRule="exact" w:before="0"/>
                      <w:ind w:left="0" w:right="0" w:firstLine="0"/>
                      <w:jc w:val="left"/>
                      <w:rPr>
                        <w:sz w:val="16"/>
                      </w:rPr>
                    </w:pPr>
                    <w:r>
                      <w:rPr>
                        <w:sz w:val="16"/>
                      </w:rPr>
                      <w:t>+</w:t>
                    </w:r>
                  </w:p>
                  <w:p>
                    <w:pPr>
                      <w:spacing w:line="141" w:lineRule="auto" w:before="1"/>
                      <w:ind w:left="5" w:right="0" w:firstLine="0"/>
                      <w:jc w:val="left"/>
                      <w:rPr>
                        <w:sz w:val="12"/>
                      </w:rPr>
                    </w:pPr>
                    <w:r>
                      <w:rPr>
                        <w:position w:val="-8"/>
                        <w:sz w:val="16"/>
                      </w:rPr>
                      <w:t>_</w:t>
                    </w:r>
                    <w:r>
                      <w:rPr>
                        <w:spacing w:val="-23"/>
                        <w:position w:val="-8"/>
                        <w:sz w:val="16"/>
                      </w:rPr>
                      <w:t> </w:t>
                    </w:r>
                    <w:r>
                      <w:rPr>
                        <w:sz w:val="12"/>
                      </w:rPr>
                      <w:t>0</w:t>
                    </w:r>
                  </w:p>
                  <w:p>
                    <w:pPr>
                      <w:spacing w:line="240" w:lineRule="auto" w:before="7"/>
                      <w:rPr>
                        <w:sz w:val="19"/>
                      </w:rPr>
                    </w:pPr>
                  </w:p>
                  <w:p>
                    <w:pPr>
                      <w:spacing w:before="0"/>
                      <w:ind w:left="102" w:right="0" w:firstLine="0"/>
                      <w:jc w:val="left"/>
                      <w:rPr>
                        <w:sz w:val="12"/>
                      </w:rPr>
                    </w:pPr>
                    <w:r>
                      <w:rPr>
                        <w:sz w:val="12"/>
                      </w:rPr>
                      <w:t>2</w:t>
                    </w:r>
                  </w:p>
                </w:txbxContent>
              </v:textbox>
              <w10:wrap type="none"/>
            </v:shape>
            <v:shape style="position:absolute;left:1405;top:3042;width:1130;height:134" type="#_x0000_t202" filled="false" stroked="false">
              <v:textbox inset="0,0,0,0">
                <w:txbxContent>
                  <w:p>
                    <w:pPr>
                      <w:spacing w:line="133" w:lineRule="exact" w:before="0"/>
                      <w:ind w:left="0" w:right="0" w:firstLine="0"/>
                      <w:jc w:val="left"/>
                      <w:rPr>
                        <w:sz w:val="12"/>
                      </w:rPr>
                    </w:pPr>
                    <w:r>
                      <w:rPr>
                        <w:sz w:val="12"/>
                      </w:rPr>
                      <w:t>Non-manufacturing (a)</w:t>
                    </w:r>
                  </w:p>
                </w:txbxContent>
              </v:textbox>
              <w10:wrap type="none"/>
            </v:shape>
            <w10:wrap type="none"/>
          </v:group>
        </w:pict>
      </w:r>
      <w:r>
        <w:rPr>
          <w:b/>
          <w:color w:val="0092C7"/>
          <w:sz w:val="20"/>
        </w:rPr>
        <w:t>Labour productivity growth</w:t>
      </w:r>
    </w:p>
    <w:p>
      <w:pPr>
        <w:pStyle w:val="BodyText"/>
        <w:rPr>
          <w:b/>
          <w:sz w:val="12"/>
        </w:rPr>
      </w:pPr>
      <w:r>
        <w:rPr/>
        <w:br w:type="column"/>
      </w:r>
      <w:r>
        <w:rPr>
          <w:b/>
          <w:sz w:val="12"/>
        </w:rPr>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pStyle w:val="BodyText"/>
        <w:rPr>
          <w:b/>
          <w:sz w:val="12"/>
        </w:rPr>
      </w:pPr>
    </w:p>
    <w:p>
      <w:pPr>
        <w:spacing w:before="81"/>
        <w:ind w:left="5" w:right="0" w:firstLine="0"/>
        <w:jc w:val="left"/>
        <w:rPr>
          <w:sz w:val="12"/>
        </w:rPr>
      </w:pPr>
      <w:r>
        <w:rPr>
          <w:sz w:val="12"/>
        </w:rPr>
        <w:t>4.5</w:t>
      </w:r>
    </w:p>
    <w:p>
      <w:pPr>
        <w:pStyle w:val="BodyText"/>
        <w:spacing w:before="3"/>
        <w:rPr>
          <w:sz w:val="14"/>
        </w:rPr>
      </w:pPr>
    </w:p>
    <w:p>
      <w:pPr>
        <w:spacing w:before="0"/>
        <w:ind w:left="5" w:right="0" w:firstLine="0"/>
        <w:jc w:val="left"/>
        <w:rPr>
          <w:sz w:val="12"/>
        </w:rPr>
      </w:pPr>
      <w:r>
        <w:rPr>
          <w:sz w:val="12"/>
        </w:rPr>
        <w:t>4.0</w:t>
      </w:r>
    </w:p>
    <w:p>
      <w:pPr>
        <w:pStyle w:val="BodyText"/>
        <w:spacing w:before="8"/>
        <w:rPr>
          <w:sz w:val="16"/>
        </w:rPr>
      </w:pPr>
    </w:p>
    <w:p>
      <w:pPr>
        <w:spacing w:before="0"/>
        <w:ind w:left="5" w:right="0" w:firstLine="0"/>
        <w:jc w:val="left"/>
        <w:rPr>
          <w:sz w:val="12"/>
        </w:rPr>
      </w:pPr>
      <w:r>
        <w:rPr>
          <w:sz w:val="12"/>
        </w:rPr>
        <w:t>3.5</w:t>
      </w:r>
    </w:p>
    <w:p>
      <w:pPr>
        <w:pStyle w:val="BodyText"/>
        <w:spacing w:before="2"/>
        <w:rPr>
          <w:sz w:val="15"/>
        </w:rPr>
      </w:pPr>
    </w:p>
    <w:p>
      <w:pPr>
        <w:spacing w:before="0"/>
        <w:ind w:left="5" w:right="0" w:firstLine="0"/>
        <w:jc w:val="left"/>
        <w:rPr>
          <w:sz w:val="12"/>
        </w:rPr>
      </w:pPr>
      <w:r>
        <w:rPr>
          <w:sz w:val="12"/>
        </w:rPr>
        <w:t>3.0</w:t>
      </w:r>
    </w:p>
    <w:p>
      <w:pPr>
        <w:pStyle w:val="BodyText"/>
        <w:spacing w:before="8"/>
        <w:rPr>
          <w:sz w:val="16"/>
        </w:rPr>
      </w:pPr>
    </w:p>
    <w:p>
      <w:pPr>
        <w:spacing w:before="1"/>
        <w:ind w:left="5" w:right="0" w:firstLine="0"/>
        <w:jc w:val="left"/>
        <w:rPr>
          <w:sz w:val="12"/>
        </w:rPr>
      </w:pPr>
      <w:r>
        <w:rPr>
          <w:sz w:val="12"/>
        </w:rPr>
        <w:t>2.5</w:t>
      </w:r>
    </w:p>
    <w:p>
      <w:pPr>
        <w:pStyle w:val="BodyText"/>
        <w:spacing w:before="1"/>
        <w:rPr>
          <w:sz w:val="15"/>
        </w:rPr>
      </w:pPr>
    </w:p>
    <w:p>
      <w:pPr>
        <w:spacing w:before="1"/>
        <w:ind w:left="5" w:right="0" w:firstLine="0"/>
        <w:jc w:val="left"/>
        <w:rPr>
          <w:sz w:val="12"/>
        </w:rPr>
      </w:pPr>
      <w:r>
        <w:rPr>
          <w:sz w:val="12"/>
        </w:rPr>
        <w:t>2.0</w:t>
      </w:r>
    </w:p>
    <w:p>
      <w:pPr>
        <w:pStyle w:val="BodyText"/>
        <w:spacing w:before="5"/>
        <w:rPr>
          <w:sz w:val="16"/>
        </w:rPr>
      </w:pPr>
    </w:p>
    <w:p>
      <w:pPr>
        <w:spacing w:before="0"/>
        <w:ind w:left="5" w:right="0" w:firstLine="0"/>
        <w:jc w:val="left"/>
        <w:rPr>
          <w:sz w:val="12"/>
        </w:rPr>
      </w:pPr>
      <w:r>
        <w:rPr>
          <w:sz w:val="12"/>
        </w:rPr>
        <w:t>1.5</w:t>
      </w:r>
    </w:p>
    <w:p>
      <w:pPr>
        <w:pStyle w:val="BodyText"/>
        <w:spacing w:before="2"/>
        <w:rPr>
          <w:sz w:val="15"/>
        </w:rPr>
      </w:pPr>
    </w:p>
    <w:p>
      <w:pPr>
        <w:spacing w:before="0"/>
        <w:ind w:left="5" w:right="0" w:firstLine="0"/>
        <w:jc w:val="left"/>
        <w:rPr>
          <w:sz w:val="12"/>
        </w:rPr>
      </w:pPr>
      <w:r>
        <w:rPr>
          <w:sz w:val="12"/>
        </w:rPr>
        <w:t>1.0</w:t>
      </w:r>
    </w:p>
    <w:p>
      <w:pPr>
        <w:pStyle w:val="BodyText"/>
        <w:spacing w:before="8"/>
        <w:rPr>
          <w:sz w:val="16"/>
        </w:rPr>
      </w:pPr>
    </w:p>
    <w:p>
      <w:pPr>
        <w:spacing w:before="0"/>
        <w:ind w:left="5" w:right="0" w:firstLine="0"/>
        <w:jc w:val="left"/>
        <w:rPr>
          <w:sz w:val="12"/>
        </w:rPr>
      </w:pPr>
      <w:r>
        <w:rPr>
          <w:sz w:val="12"/>
        </w:rPr>
        <w:t>0.5</w:t>
      </w:r>
    </w:p>
    <w:p>
      <w:pPr>
        <w:pStyle w:val="BodyText"/>
        <w:spacing w:before="5"/>
        <w:rPr>
          <w:sz w:val="15"/>
        </w:rPr>
      </w:pPr>
    </w:p>
    <w:p>
      <w:pPr>
        <w:spacing w:before="1"/>
        <w:ind w:left="5" w:right="0" w:firstLine="0"/>
        <w:jc w:val="left"/>
        <w:rPr>
          <w:sz w:val="12"/>
        </w:rPr>
      </w:pPr>
      <w:r>
        <w:rPr>
          <w:sz w:val="12"/>
        </w:rPr>
        <w:t>0.0</w:t>
      </w:r>
    </w:p>
    <w:p>
      <w:pPr>
        <w:pStyle w:val="BodyText"/>
        <w:spacing w:before="4"/>
        <w:rPr>
          <w:sz w:val="20"/>
        </w:rPr>
      </w:pPr>
      <w:r>
        <w:rPr/>
        <w:br w:type="column"/>
      </w:r>
      <w:r>
        <w:rPr>
          <w:sz w:val="20"/>
        </w:rPr>
      </w:r>
    </w:p>
    <w:p>
      <w:pPr>
        <w:pStyle w:val="BodyText"/>
        <w:spacing w:line="242" w:lineRule="auto" w:before="1"/>
        <w:ind w:left="164" w:right="191"/>
      </w:pPr>
      <w:r>
        <w:rPr/>
        <w:t>The precise profile, </w:t>
      </w:r>
      <w:r>
        <w:rPr>
          <w:spacing w:val="-4"/>
        </w:rPr>
        <w:t>however, </w:t>
      </w:r>
      <w:r>
        <w:rPr/>
        <w:t>varies across different measures. Annual growth in the official measure of whole-economy productivity per job, which is based on the </w:t>
      </w:r>
      <w:r>
        <w:rPr>
          <w:spacing w:val="-3"/>
        </w:rPr>
        <w:t>Workforce </w:t>
      </w:r>
      <w:r>
        <w:rPr/>
        <w:t>Jobs employment measure, rose in Q2 to a little above its average of the past 40 years. It </w:t>
      </w:r>
      <w:r>
        <w:rPr>
          <w:spacing w:val="-3"/>
        </w:rPr>
        <w:t>grew </w:t>
      </w:r>
      <w:r>
        <w:rPr/>
        <w:t>faster than productivity per worker because </w:t>
      </w:r>
      <w:r>
        <w:rPr>
          <w:spacing w:val="-4"/>
        </w:rPr>
        <w:t>Workforce </w:t>
      </w:r>
      <w:r>
        <w:rPr/>
        <w:t>Jobs rose more slowly than LFS employment, the basis of productivity per </w:t>
      </w:r>
      <w:r>
        <w:rPr>
          <w:spacing w:val="-4"/>
        </w:rPr>
        <w:t>worker. </w:t>
      </w:r>
      <w:r>
        <w:rPr/>
        <w:t>Productivity per hour worked grew more quickly than productivity per worker in</w:t>
      </w:r>
      <w:r>
        <w:rPr>
          <w:spacing w:val="-5"/>
        </w:rPr>
        <w:t> </w:t>
      </w:r>
      <w:r>
        <w:rPr/>
        <w:t>the</w:t>
      </w:r>
      <w:r>
        <w:rPr>
          <w:spacing w:val="-5"/>
        </w:rPr>
        <w:t> </w:t>
      </w:r>
      <w:r>
        <w:rPr/>
        <w:t>year</w:t>
      </w:r>
      <w:r>
        <w:rPr>
          <w:spacing w:val="-5"/>
        </w:rPr>
        <w:t> </w:t>
      </w:r>
      <w:r>
        <w:rPr/>
        <w:t>to</w:t>
      </w:r>
      <w:r>
        <w:rPr>
          <w:spacing w:val="-4"/>
        </w:rPr>
        <w:t> </w:t>
      </w:r>
      <w:r>
        <w:rPr/>
        <w:t>Q2</w:t>
      </w:r>
      <w:r>
        <w:rPr>
          <w:spacing w:val="-5"/>
        </w:rPr>
        <w:t> </w:t>
      </w:r>
      <w:r>
        <w:rPr/>
        <w:t>because</w:t>
      </w:r>
      <w:r>
        <w:rPr>
          <w:spacing w:val="-5"/>
        </w:rPr>
        <w:t> </w:t>
      </w:r>
      <w:r>
        <w:rPr/>
        <w:t>average</w:t>
      </w:r>
      <w:r>
        <w:rPr>
          <w:spacing w:val="-5"/>
        </w:rPr>
        <w:t> </w:t>
      </w:r>
      <w:r>
        <w:rPr/>
        <w:t>hours</w:t>
      </w:r>
      <w:r>
        <w:rPr>
          <w:spacing w:val="-4"/>
        </w:rPr>
        <w:t> </w:t>
      </w:r>
      <w:r>
        <w:rPr/>
        <w:t>worked</w:t>
      </w:r>
      <w:r>
        <w:rPr>
          <w:spacing w:val="-5"/>
        </w:rPr>
        <w:t> </w:t>
      </w:r>
      <w:r>
        <w:rPr/>
        <w:t>fell</w:t>
      </w:r>
      <w:r>
        <w:rPr>
          <w:spacing w:val="-5"/>
        </w:rPr>
        <w:t> </w:t>
      </w:r>
      <w:r>
        <w:rPr>
          <w:spacing w:val="-3"/>
        </w:rPr>
        <w:t>over </w:t>
      </w:r>
      <w:r>
        <w:rPr/>
        <w:t>that</w:t>
      </w:r>
      <w:r>
        <w:rPr>
          <w:spacing w:val="-2"/>
        </w:rPr>
        <w:t> </w:t>
      </w:r>
      <w:r>
        <w:rPr/>
        <w:t>period.</w:t>
      </w:r>
    </w:p>
    <w:p>
      <w:pPr>
        <w:pStyle w:val="BodyText"/>
        <w:rPr>
          <w:sz w:val="29"/>
        </w:rPr>
      </w:pPr>
    </w:p>
    <w:p>
      <w:pPr>
        <w:pStyle w:val="BodyText"/>
        <w:spacing w:line="242" w:lineRule="auto"/>
        <w:ind w:left="164" w:right="129"/>
      </w:pPr>
      <w:r>
        <w:rPr/>
        <w:t>Turning to sectoral developments, manufacturing productivity growth has slowed from the high levels recorded at the end of 1999 (see Chart 3.13). The 4.1% growth in manufacturing output per job in the year to Q2 however, continued to exceed the average rise over the last 30 years. Productivity growth outside the manufacturing sector rose to 2.1% in the year to Q2, which also exceeded its long-term average.</w:t>
      </w:r>
    </w:p>
    <w:p>
      <w:pPr>
        <w:spacing w:after="0" w:line="242" w:lineRule="auto"/>
        <w:sectPr>
          <w:type w:val="continuous"/>
          <w:pgSz w:w="11900" w:h="16840"/>
          <w:pgMar w:top="1260" w:bottom="280" w:left="640" w:right="640"/>
          <w:cols w:num="3" w:equalWidth="0">
            <w:col w:w="3360" w:space="40"/>
            <w:col w:w="196" w:space="1210"/>
            <w:col w:w="5814"/>
          </w:cols>
        </w:sectPr>
      </w:pPr>
    </w:p>
    <w:p>
      <w:pPr>
        <w:pStyle w:val="BodyText"/>
        <w:spacing w:before="6"/>
        <w:rPr>
          <w:sz w:val="5"/>
        </w:rPr>
      </w:pPr>
    </w:p>
    <w:p>
      <w:pPr>
        <w:tabs>
          <w:tab w:pos="3304" w:val="left" w:leader="none"/>
        </w:tabs>
        <w:spacing w:line="20" w:lineRule="exact"/>
        <w:ind w:left="196" w:right="0" w:firstLine="0"/>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spacing w:before="7"/>
        <w:rPr>
          <w:sz w:val="13"/>
        </w:rPr>
      </w:pPr>
    </w:p>
    <w:p>
      <w:pPr>
        <w:spacing w:after="0"/>
        <w:rPr>
          <w:sz w:val="13"/>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3"/>
        <w:ind w:left="229" w:right="0" w:firstLine="0"/>
        <w:jc w:val="left"/>
        <w:rPr>
          <w:sz w:val="12"/>
        </w:rPr>
      </w:pPr>
      <w:r>
        <w:rPr>
          <w:sz w:val="12"/>
        </w:rPr>
        <w:t>1982 84 86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20" w:lineRule="exact" w:before="1"/>
        <w:ind w:left="2373" w:right="0" w:firstLine="0"/>
        <w:jc w:val="left"/>
        <w:rPr>
          <w:sz w:val="12"/>
        </w:rPr>
      </w:pPr>
      <w:r>
        <w:rPr>
          <w:sz w:val="12"/>
        </w:rPr>
        <w:t>4</w:t>
      </w:r>
    </w:p>
    <w:p>
      <w:pPr>
        <w:spacing w:line="120" w:lineRule="exact" w:before="0"/>
        <w:ind w:left="157" w:right="0" w:firstLine="0"/>
        <w:jc w:val="left"/>
        <w:rPr>
          <w:sz w:val="12"/>
        </w:rPr>
      </w:pPr>
      <w:r>
        <w:rPr/>
        <w:pict>
          <v:shape style="position:absolute;margin-left:42.084pt;margin-top:-4.923234pt;width:159.75pt;height:3.4pt;mso-position-horizontal-relative:page;mso-position-vertical-relative:paragraph;z-index:16052224" coordorigin="842,-98" coordsize="3195,68" path="m842,-31l928,-31m3950,-31l4036,-31m1006,-31l3896,-31m1003,-98l1003,-31m1319,-98l1319,-31m1635,-98l1635,-31m1951,-98l1951,-31m2267,-98l2267,-31m2583,-98l2583,-31m3215,-98l3215,-31m3847,-98l3847,-31m2899,-98l2899,-31m3531,-98l3531,-31e" filled="false" stroked="true" strokeweight=".5pt" strokecolor="#000000">
            <v:path arrowok="t"/>
            <v:stroke dashstyle="solid"/>
            <w10:wrap type="none"/>
          </v:shape>
        </w:pict>
      </w:r>
      <w:r>
        <w:rPr>
          <w:sz w:val="12"/>
        </w:rPr>
        <w:t>88 90 92 94 96 98 2000</w:t>
      </w:r>
    </w:p>
    <w:p>
      <w:pPr>
        <w:pStyle w:val="BodyText"/>
        <w:spacing w:line="242" w:lineRule="auto" w:before="90"/>
        <w:ind w:left="229" w:right="178"/>
      </w:pPr>
      <w:r>
        <w:rPr/>
        <w:br w:type="column"/>
      </w:r>
      <w:r>
        <w:rPr/>
        <w:t>The MPC judges that growth in productivity per worker is likely to remain around trend over the next two years. And growth in productivity per hour is thought likely broadly to match that of productivity per worker. There is, however, considerable uncertainty surrounding productivity developments. The pattern of growth in productivity per worker and productivity per hour reflects two judgments. First, that average hours are likely to remain around their current level (see</w:t>
      </w:r>
    </w:p>
    <w:p>
      <w:pPr>
        <w:pStyle w:val="BodyText"/>
        <w:spacing w:before="12"/>
        <w:ind w:left="229"/>
      </w:pPr>
      <w:hyperlink w:history="true" w:anchor="_bookmark19">
        <w:r>
          <w:rPr>
            <w:color w:val="FF0000"/>
          </w:rPr>
          <w:t>Section 3.1</w:t>
        </w:r>
        <w:r>
          <w:rPr/>
          <w:t>).</w:t>
        </w:r>
      </w:hyperlink>
      <w:r>
        <w:rPr/>
        <w:t> Second, that the recent increase in the level</w:t>
      </w:r>
    </w:p>
    <w:p>
      <w:pPr>
        <w:spacing w:after="0"/>
        <w:sectPr>
          <w:type w:val="continuous"/>
          <w:pgSz w:w="11900" w:h="16840"/>
          <w:pgMar w:top="1260" w:bottom="280" w:left="640" w:right="640"/>
          <w:cols w:num="3" w:equalWidth="0">
            <w:col w:w="1058" w:space="40"/>
            <w:col w:w="2474" w:space="1169"/>
            <w:col w:w="5879"/>
          </w:cols>
        </w:sectPr>
      </w:pPr>
    </w:p>
    <w:p>
      <w:pPr>
        <w:pStyle w:val="BodyText"/>
        <w:spacing w:before="7"/>
        <w:rPr>
          <w:sz w:val="12"/>
        </w:rPr>
      </w:pPr>
    </w:p>
    <w:p>
      <w:pPr>
        <w:spacing w:before="0"/>
        <w:ind w:left="169" w:right="0" w:firstLine="0"/>
        <w:jc w:val="left"/>
        <w:rPr>
          <w:sz w:val="12"/>
        </w:rPr>
      </w:pPr>
      <w:r>
        <w:rPr>
          <w:sz w:val="12"/>
        </w:rPr>
        <w:t>Sources: ONS and Bank of England.</w:t>
      </w:r>
    </w:p>
    <w:p>
      <w:pPr>
        <w:pStyle w:val="BodyText"/>
        <w:spacing w:before="1"/>
        <w:rPr>
          <w:sz w:val="10"/>
        </w:rPr>
      </w:pPr>
    </w:p>
    <w:p>
      <w:pPr>
        <w:spacing w:line="208" w:lineRule="auto" w:before="0"/>
        <w:ind w:left="409" w:right="0" w:hanging="240"/>
        <w:jc w:val="left"/>
        <w:rPr>
          <w:sz w:val="12"/>
        </w:rPr>
      </w:pPr>
      <w:r>
        <w:rPr>
          <w:sz w:val="12"/>
        </w:rPr>
        <w:t>(a) Based on official measures of whole-economy and manufacturing labour productivity growth.</w:t>
      </w:r>
    </w:p>
    <w:p>
      <w:pPr>
        <w:pStyle w:val="BodyText"/>
        <w:spacing w:line="242" w:lineRule="auto" w:before="4"/>
        <w:ind w:left="169" w:right="321"/>
      </w:pPr>
      <w:r>
        <w:rPr/>
        <w:br w:type="column"/>
      </w:r>
      <w:r>
        <w:rPr/>
        <w:t>of productivity per hour, over a period when average hours worked have fallen, will persist.</w:t>
      </w:r>
    </w:p>
    <w:p>
      <w:pPr>
        <w:pStyle w:val="BodyText"/>
        <w:rPr>
          <w:sz w:val="28"/>
        </w:rPr>
      </w:pPr>
    </w:p>
    <w:p>
      <w:pPr>
        <w:pStyle w:val="BodyText"/>
        <w:spacing w:line="242" w:lineRule="auto"/>
        <w:ind w:left="169" w:right="164"/>
      </w:pPr>
      <w:r>
        <w:rPr/>
        <w:t>Productivity growth </w:t>
      </w:r>
      <w:r>
        <w:rPr>
          <w:spacing w:val="-5"/>
        </w:rPr>
        <w:t>may, </w:t>
      </w:r>
      <w:r>
        <w:rPr>
          <w:spacing w:val="-4"/>
        </w:rPr>
        <w:t>however, </w:t>
      </w:r>
      <w:r>
        <w:rPr>
          <w:spacing w:val="-3"/>
        </w:rPr>
        <w:t>have </w:t>
      </w:r>
      <w:r>
        <w:rPr/>
        <w:t>been particularly difficult to measure in recent years. The increased use of information and communication technology (ICT) has tended to shift activity to knowledge-based sectors of the </w:t>
      </w:r>
      <w:r>
        <w:rPr>
          <w:spacing w:val="-3"/>
        </w:rPr>
        <w:t>economy, </w:t>
      </w:r>
      <w:r>
        <w:rPr/>
        <w:t>where output tends to be more difficult to measure. And it is difficult to take full account of the effects of quality changes on computer prices: any underestimation of their effects would </w:t>
      </w:r>
      <w:r>
        <w:rPr>
          <w:spacing w:val="-3"/>
        </w:rPr>
        <w:t>have </w:t>
      </w:r>
      <w:r>
        <w:rPr/>
        <w:t>led output growth, and hence productivity growth, to be understated in recent years </w:t>
      </w:r>
      <w:hyperlink w:history="true" w:anchor="_bookmark10">
        <w:r>
          <w:rPr/>
          <w:t>(</w:t>
        </w:r>
        <w:r>
          <w:rPr>
            <w:color w:val="FF0000"/>
          </w:rPr>
          <w:t>see Section 2</w:t>
        </w:r>
        <w:r>
          <w:rPr/>
          <w:t>).</w:t>
        </w:r>
      </w:hyperlink>
      <w:r>
        <w:rPr/>
        <w:t> There is also considerable uncertainty about the potential impact of supply-side improvements such as increased ICT usage on future productivity and inflation. Some Committee members prefer to make different assumptions on this issue from those incorporated in the central projections. Section 6 discusses this in more detail.</w:t>
      </w:r>
    </w:p>
    <w:p>
      <w:pPr>
        <w:spacing w:after="0" w:line="242" w:lineRule="auto"/>
        <w:sectPr>
          <w:type w:val="continuous"/>
          <w:pgSz w:w="11900" w:h="16840"/>
          <w:pgMar w:top="1260" w:bottom="280" w:left="640" w:right="640"/>
          <w:cols w:num="2" w:equalWidth="0">
            <w:col w:w="3605" w:space="1195"/>
            <w:col w:w="5820"/>
          </w:cols>
        </w:sectPr>
      </w:pPr>
    </w:p>
    <w:p>
      <w:pPr>
        <w:pStyle w:val="BodyText"/>
        <w:rPr>
          <w:sz w:val="20"/>
        </w:rPr>
      </w:pPr>
    </w:p>
    <w:p>
      <w:pPr>
        <w:spacing w:after="0"/>
        <w:rPr>
          <w:sz w:val="20"/>
        </w:rPr>
        <w:sectPr>
          <w:pgSz w:w="11900" w:h="16840"/>
          <w:pgMar w:header="601" w:footer="612" w:top="800" w:bottom="800" w:left="640" w:right="640"/>
        </w:sectPr>
      </w:pPr>
    </w:p>
    <w:p>
      <w:pPr>
        <w:pStyle w:val="BodyText"/>
        <w:rPr>
          <w:sz w:val="21"/>
        </w:rPr>
      </w:pPr>
    </w:p>
    <w:p>
      <w:pPr>
        <w:spacing w:before="0"/>
        <w:ind w:left="195" w:right="0" w:firstLine="0"/>
        <w:jc w:val="left"/>
        <w:rPr>
          <w:b/>
          <w:sz w:val="20"/>
        </w:rPr>
      </w:pPr>
      <w:bookmarkStart w:name="Earnings, settlements and unit wage cost" w:id="52"/>
      <w:bookmarkEnd w:id="52"/>
      <w:r>
        <w:rPr/>
      </w:r>
      <w:bookmarkStart w:name="_bookmark21" w:id="53"/>
      <w:bookmarkEnd w:id="53"/>
      <w:r>
        <w:rPr/>
      </w:r>
      <w:r>
        <w:rPr>
          <w:b/>
          <w:color w:val="0092C7"/>
          <w:sz w:val="20"/>
        </w:rPr>
        <w:t>Chart 3.14</w:t>
      </w:r>
    </w:p>
    <w:p>
      <w:pPr>
        <w:spacing w:before="10"/>
        <w:ind w:left="195" w:right="0" w:firstLine="0"/>
        <w:jc w:val="left"/>
        <w:rPr>
          <w:sz w:val="12"/>
        </w:rPr>
      </w:pPr>
      <w:r>
        <w:rPr>
          <w:b/>
          <w:color w:val="0092C7"/>
          <w:sz w:val="20"/>
        </w:rPr>
        <w:t>Headline growth in nominal earnings</w:t>
      </w:r>
      <w:r>
        <w:rPr>
          <w:position w:val="4"/>
          <w:sz w:val="12"/>
        </w:rPr>
        <w:t>(a)</w:t>
      </w:r>
    </w:p>
    <w:p>
      <w:pPr>
        <w:spacing w:before="111"/>
        <w:ind w:left="1706" w:right="0" w:firstLine="0"/>
        <w:jc w:val="left"/>
        <w:rPr>
          <w:sz w:val="12"/>
        </w:rPr>
      </w:pPr>
      <w:r>
        <w:rPr/>
        <w:pict>
          <v:group style="position:absolute;margin-left:43.529999pt;margin-top:23.111067pt;width:153pt;height:104.5pt;mso-position-horizontal-relative:page;mso-position-vertical-relative:paragraph;z-index:16062464" coordorigin="871,462" coordsize="3060,2090">
            <v:shape style="position:absolute;left:1033;top:2092;width:600;height:450" coordorigin="1033,2092" coordsize="600,450" path="m1033,2262l1078,2170m1078,2170l1123,2295m1123,2295l1168,2217m1168,2217l1211,2295m1211,2295l1246,2387m1246,2387l1288,2465m1288,2465l1333,2497m1333,2497l1378,2542m1378,2542l1423,2465m1423,2465l1466,2340m1466,2340l1511,2387m1511,2387l1556,2295m1556,2295l1588,2262m1588,2262l1633,2092e" filled="false" stroked="true" strokeweight="1pt" strokecolor="#a64991">
              <v:path arrowok="t"/>
              <v:stroke dashstyle="solid"/>
            </v:shape>
            <v:line style="position:absolute" from="1623,2093" to="1688,2093" stroked="true" strokeweight="1.125pt" strokecolor="#a64991">
              <v:stroke dashstyle="solid"/>
            </v:line>
            <v:shape style="position:absolute;left:1678;top:1842;width:88;height:250" coordorigin="1678,1842" coordsize="88,250" path="m1678,2092l1723,1967m1723,1967l1766,1842e" filled="false" stroked="true" strokeweight="1pt" strokecolor="#a64991">
              <v:path arrowok="t"/>
              <v:stroke dashstyle="solid"/>
            </v:shape>
            <v:line style="position:absolute" from="1756,1843" to="1821,1843" stroked="true" strokeweight="1.125pt" strokecolor="#a64991">
              <v:stroke dashstyle="solid"/>
            </v:line>
            <v:shape style="position:absolute;left:1810;top:1794;width:210;height:173" coordorigin="1811,1795" coordsize="210,173" path="m1811,1842l1856,1890m1856,1890l1901,1795m1901,1795l1933,1842m1933,1842l1978,1795m1978,1795l2021,1967e" filled="false" stroked="true" strokeweight="1pt" strokecolor="#a64991">
              <v:path arrowok="t"/>
              <v:stroke dashstyle="solid"/>
            </v:shape>
            <v:line style="position:absolute" from="2011,1968" to="2076,1968" stroked="true" strokeweight="1.125pt" strokecolor="#a64991">
              <v:stroke dashstyle="solid"/>
            </v:line>
            <v:shape style="position:absolute;left:2065;top:1547;width:865;height:840" coordorigin="2066,1547" coordsize="865,840" path="m2066,1967l2111,2092m2111,2092l2156,2170m2156,2170l2198,2217m2198,2217l2243,2262m2243,2262l2288,2340m2288,2340l2321,2387m2321,2387l2366,2340m2366,2340l2411,2295m2411,2295l2456,2262m2456,2262l2498,2217m2498,2217l2543,2092m2543,2092l2588,2045m2588,2045l2633,2092m2633,2092l2666,2045m2666,2045l2711,2137m2711,2137l2753,2045m2753,2045l2798,1920m2798,1920l2843,1717m2843,1717l2888,1547m2888,1547l2931,1595e" filled="false" stroked="true" strokeweight="1pt" strokecolor="#a64991">
              <v:path arrowok="t"/>
              <v:stroke dashstyle="solid"/>
            </v:shape>
            <v:line style="position:absolute" from="2921,1596" to="2986,1596" stroked="true" strokeweight="1.125pt" strokecolor="#a64991">
              <v:stroke dashstyle="solid"/>
            </v:line>
            <v:line style="position:absolute" from="2976,1595" to="3053,1672" stroked="true" strokeweight="1pt" strokecolor="#a64991">
              <v:stroke dashstyle="solid"/>
            </v:line>
            <v:line style="position:absolute" from="3043,1673" to="3108,1673" stroked="true" strokeweight="1.125pt" strokecolor="#a64991">
              <v:stroke dashstyle="solid"/>
            </v:line>
            <v:shape style="position:absolute;left:3098;top:1219;width:388;height:453" coordorigin="3098,1220" coordsize="388,453" path="m3098,1672l3143,1595m3143,1595l3188,1470m3188,1470l3231,1392m3231,1392l3276,1297m3276,1297l3321,1220m3321,1220l3366,1267m3366,1267l3398,1392m3398,1392l3443,1515m3443,1515l3486,1547e" filled="false" stroked="true" strokeweight="1pt" strokecolor="#a64991">
              <v:path arrowok="t"/>
              <v:stroke dashstyle="solid"/>
            </v:shape>
            <v:shape style="position:absolute;left:3475;top:1548;width:110;height:2" coordorigin="3476,1548" coordsize="110,0" path="m3476,1548l3541,1548m3521,1548l3586,1548e" filled="false" stroked="true" strokeweight="1.125pt" strokecolor="#a64991">
              <v:path arrowok="t"/>
              <v:stroke dashstyle="solid"/>
            </v:shape>
            <v:shape style="position:absolute;left:3575;top:1422;width:88;height:125" coordorigin="3576,1422" coordsize="88,125" path="m3576,1547l3621,1515m3621,1515l3663,1422e" filled="false" stroked="true" strokeweight="1pt" strokecolor="#a64991">
              <v:path arrowok="t"/>
              <v:stroke dashstyle="solid"/>
            </v:shape>
            <v:shape style="position:absolute;left:3653;top:1423;width:98;height:2" coordorigin="3653,1423" coordsize="98,0" path="m3653,1423l3718,1423m3698,1423l3751,1423e" filled="false" stroked="true" strokeweight="1.125pt" strokecolor="#a64991">
              <v:path arrowok="t"/>
              <v:stroke dashstyle="solid"/>
            </v:shape>
            <v:shape style="position:absolute;left:3740;top:1422;width:180;height:343" coordorigin="3741,1422" coordsize="180,343" path="m3741,1422l3786,1595m3786,1595l3831,1640m3831,1640l3876,1765m3876,1765l3921,1717e" filled="false" stroked="true" strokeweight="1pt" strokecolor="#a64991">
              <v:path arrowok="t"/>
              <v:stroke dashstyle="solid"/>
            </v:shape>
            <v:line style="position:absolute" from="1033,1672" to="1078,1717" stroked="true" strokeweight="1pt" strokecolor="#de0035">
              <v:stroke dashstyle="solid"/>
            </v:line>
            <v:line style="position:absolute" from="1068,1718" to="1133,1718" stroked="true" strokeweight="1.125pt" strokecolor="#de0035">
              <v:stroke dashstyle="solid"/>
            </v:line>
            <v:shape style="position:absolute;left:1123;top:1639;width:210;height:405" coordorigin="1123,1640" coordsize="210,405" path="m1123,1717l1168,1640m1168,1640l1211,1672m1211,1672l1246,1795m1246,1795l1288,1967m1288,1967l1333,2045e" filled="false" stroked="true" strokeweight="1pt" strokecolor="#de0035">
              <v:path arrowok="t"/>
              <v:stroke dashstyle="solid"/>
            </v:shape>
            <v:line style="position:absolute" from="1323,2046" to="1388,2046" stroked="true" strokeweight="1.125pt" strokecolor="#de0035">
              <v:stroke dashstyle="solid"/>
            </v:line>
            <v:shape style="position:absolute;left:1378;top:1919;width:88;height:125" coordorigin="1378,1920" coordsize="88,125" path="m1378,2045l1423,2015m1423,2015l1466,1920e" filled="false" stroked="true" strokeweight="1pt" strokecolor="#de0035">
              <v:path arrowok="t"/>
              <v:stroke dashstyle="solid"/>
            </v:shape>
            <v:shape style="position:absolute;left:1455;top:1920;width:188;height:2" coordorigin="1456,1921" coordsize="188,0" path="m1456,1921l1521,1921m1501,1921l1566,1921m1546,1921l1598,1921m1578,1921l1643,1921e" filled="false" stroked="true" strokeweight="1.125pt" strokecolor="#de0035">
              <v:path arrowok="t"/>
              <v:stroke dashstyle="solid"/>
            </v:shape>
            <v:shape style="position:absolute;left:1633;top:1547;width:268;height:373" coordorigin="1633,1547" coordsize="268,373" path="m1633,1920l1678,1842m1678,1842l1723,1890m1723,1890l1766,1765m1766,1765l1811,1717m1811,1717l1856,1640m1856,1640l1901,1547e" filled="false" stroked="true" strokeweight="1pt" strokecolor="#de0035">
              <v:path arrowok="t"/>
              <v:stroke dashstyle="solid"/>
            </v:shape>
            <v:shape style="position:absolute;left:1890;top:1548;width:140;height:2" coordorigin="1891,1548" coordsize="140,0" path="m1891,1548l1943,1548m1923,1548l1988,1548m1968,1548l2031,1548e" filled="false" stroked="true" strokeweight="1.125pt" strokecolor="#de0035">
              <v:path arrowok="t"/>
              <v:stroke dashstyle="solid"/>
            </v:shape>
            <v:shape style="position:absolute;left:2020;top:1422;width:345;height:125" coordorigin="2021,1422" coordsize="345,125" path="m2021,1547l2066,1422m2066,1422l2111,1470m2111,1470l2156,1422m2156,1422l2198,1515m2198,1515l2243,1470m2243,1470l2288,1547m2288,1547l2321,1515m2321,1515l2366,1422e" filled="false" stroked="true" strokeweight="1pt" strokecolor="#de0035">
              <v:path arrowok="t"/>
              <v:stroke dashstyle="solid"/>
            </v:shape>
            <v:line style="position:absolute" from="2356,1423" to="2421,1423" stroked="true" strokeweight="1.125pt" strokecolor="#de0035">
              <v:stroke dashstyle="solid"/>
            </v:line>
            <v:shape style="position:absolute;left:2410;top:1094;width:223;height:328" coordorigin="2411,1095" coordsize="223,328" path="m2411,1422l2456,1345m2456,1345l2498,1297m2498,1297l2543,1172m2543,1172l2588,1142m2588,1142l2633,1095e" filled="false" stroked="true" strokeweight="1pt" strokecolor="#de0035">
              <v:path arrowok="t"/>
              <v:stroke dashstyle="solid"/>
            </v:shape>
            <v:line style="position:absolute" from="2623,1096" to="2676,1096" stroked="true" strokeweight="1.125pt" strokecolor="#de0035">
              <v:stroke dashstyle="solid"/>
            </v:line>
            <v:shape style="position:absolute;left:2665;top:814;width:223;height:280" coordorigin="2666,815" coordsize="223,280" path="m2666,1095l2711,970m2711,970l2753,847m2753,847l2798,815m2798,815l2843,847m2843,847l2888,1017e" filled="false" stroked="true" strokeweight="1pt" strokecolor="#de0035">
              <v:path arrowok="t"/>
              <v:stroke dashstyle="solid"/>
            </v:shape>
            <v:line style="position:absolute" from="2878,1018" to="2941,1018" stroked="true" strokeweight="1.125pt" strokecolor="#de0035">
              <v:stroke dashstyle="solid"/>
            </v:line>
            <v:shape style="position:absolute;left:2930;top:1017;width:555;height:375" coordorigin="2931,1017" coordsize="555,375" path="m2931,1017l2976,1142m2976,1142l3021,1172m3021,1172l3053,1297m3053,1297l3098,1345m3098,1345l3143,1297m3143,1297l3188,1172m3188,1172l3231,1267m3231,1267l3276,1392m3276,1392l3321,1297m3321,1297l3366,1220m3366,1220l3398,1095m3398,1095l3443,1220m3443,1220l3486,1142e" filled="false" stroked="true" strokeweight="1pt" strokecolor="#de0035">
              <v:path arrowok="t"/>
              <v:stroke dashstyle="solid"/>
            </v:shape>
            <v:line style="position:absolute" from="3476,1143" to="3541,1143" stroked="true" strokeweight="1.125pt" strokecolor="#de0035">
              <v:stroke dashstyle="solid"/>
            </v:line>
            <v:shape style="position:absolute;left:3530;top:689;width:345;height:858" coordorigin="3531,690" coordsize="345,858" path="m3531,1142l3576,892m3576,892l3621,722m3621,722l3663,690m3663,690l3708,815m3708,815l3741,1050m3741,1050l3786,1267m3786,1267l3831,1470m3831,1470l3876,1547e" filled="false" stroked="true" strokeweight="1pt" strokecolor="#de0035">
              <v:path arrowok="t"/>
              <v:stroke dashstyle="solid"/>
            </v:shape>
            <v:line style="position:absolute" from="3866,1548" to="3931,1548" stroked="true" strokeweight="1.125pt" strokecolor="#de0035">
              <v:stroke dashstyle="solid"/>
            </v:line>
            <v:shape style="position:absolute;left:1033;top:1514;width:135;height:125" coordorigin="1033,1515" coordsize="135,125" path="m1033,1547l1078,1640m1078,1640l1123,1547m1123,1547l1168,1515e" filled="false" stroked="true" strokeweight="1pt" strokecolor="#0099d9">
              <v:path arrowok="t"/>
              <v:stroke dashstyle="solid"/>
            </v:shape>
            <v:line style="position:absolute" from="1158,1516" to="1221,1516" stroked="true" strokeweight="1.125pt" strokecolor="#0099d9">
              <v:stroke dashstyle="solid"/>
            </v:line>
            <v:shape style="position:absolute;left:1210;top:1514;width:255;height:405" coordorigin="1211,1515" coordsize="255,405" path="m1211,1515l1246,1640m1246,1640l1288,1842m1288,1842l1333,1920m1333,1920l1378,1890m1378,1890l1423,1920m1423,1920l1466,1842e" filled="false" stroked="true" strokeweight="1pt" strokecolor="#0099d9">
              <v:path arrowok="t"/>
              <v:stroke dashstyle="solid"/>
            </v:shape>
            <v:shape style="position:absolute;left:1455;top:1843;width:143;height:2" coordorigin="1456,1843" coordsize="143,0" path="m1456,1843l1521,1843m1501,1843l1566,1843m1546,1843l1598,1843e" filled="false" stroked="true" strokeweight="1.125pt" strokecolor="#0099d9">
              <v:path arrowok="t"/>
              <v:stroke dashstyle="solid"/>
            </v:shape>
            <v:shape style="position:absolute;left:1588;top:1469;width:313;height:420" coordorigin="1588,1470" coordsize="313,420" path="m1588,1842l1633,1890m1633,1890l1678,1795m1678,1795l1723,1842m1723,1842l1766,1765m1766,1765l1811,1717m1811,1717l1856,1547m1856,1547l1901,1470e" filled="false" stroked="true" strokeweight="1pt" strokecolor="#0099d9">
              <v:path arrowok="t"/>
              <v:stroke dashstyle="solid"/>
            </v:shape>
            <v:shape style="position:absolute;left:1890;top:1470;width:98;height:2" coordorigin="1891,1471" coordsize="98,0" path="m1891,1471l1943,1471m1923,1471l1988,1471e" filled="false" stroked="true" strokeweight="1.125pt" strokecolor="#0099d9">
              <v:path arrowok="t"/>
              <v:stroke dashstyle="solid"/>
            </v:shape>
            <v:shape style="position:absolute;left:1978;top:1219;width:388;height:250" coordorigin="1978,1220" coordsize="388,250" path="m1978,1470l2021,1422m2021,1422l2066,1297m2066,1297l2111,1345m2111,1345l2156,1267m2156,1267l2198,1345m2198,1345l2243,1267m2243,1267l2288,1345m2288,1345l2321,1267m2321,1267l2366,1220e" filled="false" stroked="true" strokeweight="1pt" strokecolor="#0099d9">
              <v:path arrowok="t"/>
              <v:stroke dashstyle="solid"/>
            </v:shape>
            <v:line style="position:absolute" from="2356,1221" to="2421,1221" stroked="true" strokeweight="1.125pt" strokecolor="#0099d9">
              <v:stroke dashstyle="solid"/>
            </v:line>
            <v:shape style="position:absolute;left:2410;top:847;width:223;height:373" coordorigin="2411,847" coordsize="223,373" path="m2411,1220l2456,1142m2456,1142l2498,1095m2498,1095l2543,970m2543,970l2588,940m2588,940l2633,847e" filled="false" stroked="true" strokeweight="1pt" strokecolor="#0099d9">
              <v:path arrowok="t"/>
              <v:stroke dashstyle="solid"/>
            </v:shape>
            <v:line style="position:absolute" from="2623,848" to="2676,848" stroked="true" strokeweight="1.125pt" strokecolor="#0099d9">
              <v:stroke dashstyle="solid"/>
            </v:line>
            <v:shape style="position:absolute;left:2665;top:567;width:88;height:280" coordorigin="2666,567" coordsize="88,280" path="m2666,847l2711,690m2711,690l2753,567e" filled="false" stroked="true" strokeweight="1pt" strokecolor="#0099d9">
              <v:path arrowok="t"/>
              <v:stroke dashstyle="solid"/>
            </v:shape>
            <v:line style="position:absolute" from="2743,568" to="2808,568" stroked="true" strokeweight="1.125pt" strokecolor="#0099d9">
              <v:stroke dashstyle="solid"/>
            </v:line>
            <v:shape style="position:absolute;left:2798;top:472;width:1123;height:1043" coordorigin="2798,472" coordsize="1123,1043" path="m2798,567l2843,645m2843,645l2888,847m2888,847l2931,892m2931,892l2976,1017m2976,1017l3021,1050m3021,1050l3053,1220m3053,1220l3098,1267m3098,1267l3143,1220m3143,1220l3188,1142m3188,1142l3231,1220m3231,1220l3276,1392m3276,1392l3321,1297m3321,1297l3366,1220m3366,1220l3398,1050m3398,1050l3443,1142m3443,1142l3486,1050m3486,1050l3531,1017m3531,1017l3576,770m3576,770l3621,567m3621,567l3663,472m3663,472l3708,645m3708,645l3741,940m3741,940l3786,1172m3786,1172l3831,1422m3831,1422l3876,1515m3876,1515l3921,1470e" filled="false" stroked="true" strokeweight="1pt" strokecolor="#0099d9">
              <v:path arrowok="t"/>
              <v:stroke dashstyle="solid"/>
            </v:shape>
            <v:shape style="position:absolute;left:870;top:683;width:87;height:1655" coordorigin="871,683" coordsize="87,1655" path="m871,683l957,683m871,1097l957,1097m871,1510l957,1510m871,1924l957,1924m871,2338l957,2338e" filled="false" stroked="true" strokeweight=".5pt" strokecolor="#000000">
              <v:path arrowok="t"/>
              <v:stroke dashstyle="solid"/>
            </v:shape>
            <v:shape style="position:absolute;left:2044;top:548;width:677;height:134" type="#_x0000_t202" filled="false" stroked="false">
              <v:textbox inset="0,0,0,0">
                <w:txbxContent>
                  <w:p>
                    <w:pPr>
                      <w:spacing w:line="133" w:lineRule="exact" w:before="0"/>
                      <w:ind w:left="0" w:right="0" w:firstLine="0"/>
                      <w:jc w:val="left"/>
                      <w:rPr>
                        <w:sz w:val="12"/>
                      </w:rPr>
                    </w:pPr>
                    <w:r>
                      <w:rPr>
                        <w:sz w:val="12"/>
                      </w:rPr>
                      <w:t>Private sector</w:t>
                    </w:r>
                  </w:p>
                </w:txbxContent>
              </v:textbox>
              <w10:wrap type="none"/>
            </v:shape>
            <v:shape style="position:absolute;left:1914;top:1566;width:820;height:134" type="#_x0000_t202" filled="false" stroked="false">
              <v:textbox inset="0,0,0,0">
                <w:txbxContent>
                  <w:p>
                    <w:pPr>
                      <w:spacing w:line="133" w:lineRule="exact" w:before="0"/>
                      <w:ind w:left="0" w:right="0" w:firstLine="0"/>
                      <w:jc w:val="left"/>
                      <w:rPr>
                        <w:sz w:val="12"/>
                      </w:rPr>
                    </w:pPr>
                    <w:r>
                      <w:rPr>
                        <w:sz w:val="12"/>
                      </w:rPr>
                      <w:t>Whole-economy</w:t>
                    </w:r>
                  </w:p>
                </w:txbxContent>
              </v:textbox>
              <w10:wrap type="none"/>
            </v:shape>
            <v:shape style="position:absolute;left:2571;top:2186;width:644;height:134" type="#_x0000_t202" filled="false" stroked="false">
              <v:textbox inset="0,0,0,0">
                <w:txbxContent>
                  <w:p>
                    <w:pPr>
                      <w:spacing w:line="133" w:lineRule="exact" w:before="0"/>
                      <w:ind w:left="0" w:right="0" w:firstLine="0"/>
                      <w:jc w:val="left"/>
                      <w:rPr>
                        <w:sz w:val="12"/>
                      </w:rPr>
                    </w:pPr>
                    <w:r>
                      <w:rPr>
                        <w:sz w:val="12"/>
                      </w:rPr>
                      <w:t>Public sector</w:t>
                    </w:r>
                  </w:p>
                </w:txbxContent>
              </v:textbox>
              <w10:wrap type="none"/>
            </v:shape>
            <w10:wrap type="none"/>
          </v:group>
        </w:pict>
      </w:r>
      <w:r>
        <w:rPr/>
        <w:pict>
          <v:line style="position:absolute;mso-position-horizontal-relative:page;mso-position-vertical-relative:paragraph;z-index:16064000" from="43.529999pt,13.486067pt" to="47.862999pt,13.486067pt" stroked="true" strokeweight=".5pt" strokecolor="#000000">
            <v:stroke dashstyle="solid"/>
            <w10:wrap type="none"/>
          </v:line>
        </w:pict>
      </w:r>
      <w:r>
        <w:rPr/>
        <w:pict>
          <v:line style="position:absolute;mso-position-horizontal-relative:page;mso-position-vertical-relative:paragraph;z-index:-22584832" from="200.477997pt,13.663067pt" to="204.809997pt,13.663067pt" stroked="true" strokeweight=".5pt" strokecolor="#000000">
            <v:stroke dashstyle="solid"/>
            <w10:wrap type="none"/>
          </v:line>
        </w:pict>
      </w:r>
      <w:r>
        <w:rPr>
          <w:sz w:val="12"/>
        </w:rPr>
        <w:t>Percentage changes on a year earlier </w:t>
      </w:r>
      <w:r>
        <w:rPr>
          <w:position w:val="-8"/>
          <w:sz w:val="12"/>
        </w:rPr>
        <w:t>7</w:t>
      </w:r>
    </w:p>
    <w:p>
      <w:pPr>
        <w:pStyle w:val="BodyText"/>
        <w:spacing w:before="8"/>
        <w:rPr>
          <w:sz w:val="23"/>
        </w:rPr>
      </w:pPr>
    </w:p>
    <w:p>
      <w:pPr>
        <w:spacing w:before="0"/>
        <w:ind w:left="0" w:right="1131" w:firstLine="0"/>
        <w:jc w:val="right"/>
        <w:rPr>
          <w:sz w:val="12"/>
        </w:rPr>
      </w:pPr>
      <w:r>
        <w:rPr/>
        <w:pict>
          <v:line style="position:absolute;mso-position-horizontal-relative:page;mso-position-vertical-relative:paragraph;z-index:16064512" from="200.477997pt,3.776968pt" to="204.809997pt,3.776968pt" stroked="true" strokeweight=".5pt" strokecolor="#000000">
            <v:stroke dashstyle="solid"/>
            <w10:wrap type="none"/>
          </v:line>
        </w:pict>
      </w:r>
      <w:r>
        <w:rPr>
          <w:sz w:val="12"/>
        </w:rPr>
        <w:t>6</w:t>
      </w:r>
    </w:p>
    <w:p>
      <w:pPr>
        <w:pStyle w:val="BodyText"/>
        <w:rPr>
          <w:sz w:val="12"/>
        </w:rPr>
      </w:pPr>
    </w:p>
    <w:p>
      <w:pPr>
        <w:pStyle w:val="BodyText"/>
        <w:rPr>
          <w:sz w:val="12"/>
        </w:rPr>
      </w:pPr>
    </w:p>
    <w:p>
      <w:pPr>
        <w:spacing w:before="0"/>
        <w:ind w:left="0" w:right="1131" w:firstLine="0"/>
        <w:jc w:val="right"/>
        <w:rPr>
          <w:sz w:val="12"/>
        </w:rPr>
      </w:pPr>
      <w:r>
        <w:rPr/>
        <w:pict>
          <v:line style="position:absolute;mso-position-horizontal-relative:page;mso-position-vertical-relative:paragraph;z-index:16065024" from="200.477997pt,3.777562pt" to="204.809997pt,3.777562pt" stroked="true" strokeweight=".5pt" strokecolor="#000000">
            <v:stroke dashstyle="solid"/>
            <w10:wrap type="none"/>
          </v:line>
        </w:pict>
      </w:r>
      <w:r>
        <w:rPr>
          <w:sz w:val="12"/>
        </w:rPr>
        <w:t>5</w:t>
      </w:r>
    </w:p>
    <w:p>
      <w:pPr>
        <w:pStyle w:val="BodyText"/>
        <w:rPr>
          <w:sz w:val="12"/>
        </w:rPr>
      </w:pPr>
    </w:p>
    <w:p>
      <w:pPr>
        <w:pStyle w:val="BodyText"/>
        <w:spacing w:before="11"/>
        <w:rPr>
          <w:sz w:val="11"/>
        </w:rPr>
      </w:pPr>
    </w:p>
    <w:p>
      <w:pPr>
        <w:spacing w:before="0"/>
        <w:ind w:left="0" w:right="1131" w:firstLine="0"/>
        <w:jc w:val="right"/>
        <w:rPr>
          <w:sz w:val="12"/>
        </w:rPr>
      </w:pPr>
      <w:r>
        <w:rPr/>
        <w:pict>
          <v:line style="position:absolute;mso-position-horizontal-relative:page;mso-position-vertical-relative:paragraph;z-index:16065536" from="200.477997pt,3.777156pt" to="204.809997pt,3.777156pt" stroked="true" strokeweight=".5pt" strokecolor="#000000">
            <v:stroke dashstyle="solid"/>
            <w10:wrap type="none"/>
          </v:line>
        </w:pict>
      </w:r>
      <w:r>
        <w:rPr>
          <w:sz w:val="12"/>
        </w:rPr>
        <w:t>4</w:t>
      </w:r>
    </w:p>
    <w:p>
      <w:pPr>
        <w:pStyle w:val="BodyText"/>
        <w:rPr>
          <w:sz w:val="12"/>
        </w:rPr>
      </w:pPr>
    </w:p>
    <w:p>
      <w:pPr>
        <w:pStyle w:val="BodyText"/>
        <w:spacing w:before="11"/>
        <w:rPr>
          <w:sz w:val="11"/>
        </w:rPr>
      </w:pPr>
    </w:p>
    <w:p>
      <w:pPr>
        <w:spacing w:before="0"/>
        <w:ind w:left="0" w:right="1131" w:firstLine="0"/>
        <w:jc w:val="right"/>
        <w:rPr>
          <w:sz w:val="12"/>
        </w:rPr>
      </w:pPr>
      <w:r>
        <w:rPr/>
        <w:pict>
          <v:line style="position:absolute;mso-position-horizontal-relative:page;mso-position-vertical-relative:paragraph;z-index:16066048" from="200.477997pt,3.77775pt" to="204.809997pt,3.77775pt" stroked="true" strokeweight=".5pt" strokecolor="#000000">
            <v:stroke dashstyle="solid"/>
            <w10:wrap type="none"/>
          </v:line>
        </w:pict>
      </w:r>
      <w:r>
        <w:rPr>
          <w:sz w:val="12"/>
        </w:rPr>
        <w:t>3</w:t>
      </w:r>
    </w:p>
    <w:p>
      <w:pPr>
        <w:pStyle w:val="BodyText"/>
        <w:rPr>
          <w:sz w:val="12"/>
        </w:rPr>
      </w:pPr>
    </w:p>
    <w:p>
      <w:pPr>
        <w:pStyle w:val="BodyText"/>
        <w:spacing w:before="11"/>
        <w:rPr>
          <w:sz w:val="11"/>
        </w:rPr>
      </w:pPr>
    </w:p>
    <w:p>
      <w:pPr>
        <w:spacing w:before="0"/>
        <w:ind w:left="0" w:right="1131" w:firstLine="0"/>
        <w:jc w:val="right"/>
        <w:rPr>
          <w:sz w:val="12"/>
        </w:rPr>
      </w:pPr>
      <w:r>
        <w:rPr/>
        <w:pict>
          <v:line style="position:absolute;mso-position-horizontal-relative:page;mso-position-vertical-relative:paragraph;z-index:16067072" from="200.477997pt,3.777345pt" to="204.809997pt,3.777345pt" stroked="true" strokeweight=".5pt" strokecolor="#000000">
            <v:stroke dashstyle="solid"/>
            <w10:wrap type="none"/>
          </v:line>
        </w:pict>
      </w:r>
      <w:r>
        <w:rPr>
          <w:sz w:val="12"/>
        </w:rPr>
        <w:t>2</w:t>
      </w:r>
    </w:p>
    <w:p>
      <w:pPr>
        <w:pStyle w:val="BodyText"/>
        <w:rPr>
          <w:sz w:val="12"/>
        </w:rPr>
      </w:pPr>
    </w:p>
    <w:p>
      <w:pPr>
        <w:pStyle w:val="BodyText"/>
        <w:rPr>
          <w:sz w:val="12"/>
        </w:rPr>
      </w:pPr>
    </w:p>
    <w:p>
      <w:pPr>
        <w:spacing w:before="0"/>
        <w:ind w:left="0" w:right="1131" w:firstLine="0"/>
        <w:jc w:val="right"/>
        <w:rPr>
          <w:sz w:val="12"/>
        </w:rPr>
      </w:pPr>
      <w:r>
        <w:rPr/>
        <w:pict>
          <v:line style="position:absolute;mso-position-horizontal-relative:page;mso-position-vertical-relative:paragraph;z-index:16062976" from="43.529999pt,3.600939pt" to="47.862999pt,3.600939pt" stroked="true" strokeweight=".5pt" strokecolor="#000000">
            <v:stroke dashstyle="solid"/>
            <w10:wrap type="none"/>
          </v:line>
        </w:pict>
      </w:r>
      <w:r>
        <w:rPr/>
        <w:pict>
          <v:line style="position:absolute;mso-position-horizontal-relative:page;mso-position-vertical-relative:paragraph;z-index:16066560" from="200.477997pt,3.777939pt" to="204.809997pt,3.777939pt" stroked="true" strokeweight=".5pt" strokecolor="#000000">
            <v:stroke dashstyle="solid"/>
            <w10:wrap type="none"/>
          </v:line>
        </w:pict>
      </w:r>
      <w:r>
        <w:rPr>
          <w:sz w:val="12"/>
        </w:rPr>
        <w:t>1</w:t>
      </w:r>
    </w:p>
    <w:p>
      <w:pPr>
        <w:pStyle w:val="BodyText"/>
        <w:rPr>
          <w:sz w:val="12"/>
        </w:rPr>
      </w:pPr>
    </w:p>
    <w:p>
      <w:pPr>
        <w:pStyle w:val="BodyText"/>
        <w:spacing w:before="11"/>
        <w:rPr>
          <w:sz w:val="11"/>
        </w:rPr>
      </w:pPr>
    </w:p>
    <w:p>
      <w:pPr>
        <w:spacing w:line="123" w:lineRule="exact" w:before="0"/>
        <w:ind w:left="3496" w:right="0" w:firstLine="0"/>
        <w:jc w:val="left"/>
        <w:rPr>
          <w:sz w:val="12"/>
        </w:rPr>
      </w:pPr>
      <w:r>
        <w:rPr/>
        <w:pict>
          <v:line style="position:absolute;mso-position-horizontal-relative:page;mso-position-vertical-relative:paragraph;z-index:16063488" from="43.529999pt,3.601533pt" to="47.862999pt,3.601533pt" stroked="true" strokeweight=".5pt" strokecolor="#000000">
            <v:stroke dashstyle="solid"/>
            <w10:wrap type="none"/>
          </v:line>
        </w:pict>
      </w:r>
      <w:r>
        <w:rPr/>
        <w:pict>
          <v:line style="position:absolute;mso-position-horizontal-relative:page;mso-position-vertical-relative:paragraph;z-index:16067584" from="200.477997pt,3.778533pt" to="204.809997pt,3.778533pt" stroked="true" strokeweight=".5pt" strokecolor="#000000">
            <v:stroke dashstyle="solid"/>
            <w10:wrap type="none"/>
          </v:line>
        </w:pict>
      </w:r>
      <w:r>
        <w:rPr/>
        <w:pict>
          <v:shape style="position:absolute;margin-left:51.687pt;margin-top:.954533pt;width:145.2pt;height:2.9pt;mso-position-horizontal-relative:page;mso-position-vertical-relative:paragraph;z-index:16068608" coordorigin="1034,19" coordsize="2904,58" path="m1034,72l3938,72m1035,19l1035,77m1552,19l1552,77m2069,19l2069,77m2586,19l2586,77m3103,19l3103,77m3620,19l3620,77e" filled="false" stroked="true" strokeweight=".5pt" strokecolor="#000000">
            <v:path arrowok="t"/>
            <v:stroke dashstyle="solid"/>
            <w10:wrap type="none"/>
          </v:shape>
        </w:pict>
      </w:r>
      <w:r>
        <w:rPr>
          <w:sz w:val="12"/>
        </w:rPr>
        <w:t>0</w:t>
      </w:r>
    </w:p>
    <w:p>
      <w:pPr>
        <w:tabs>
          <w:tab w:pos="1124" w:val="left" w:leader="none"/>
          <w:tab w:pos="1636" w:val="left" w:leader="none"/>
          <w:tab w:pos="2156" w:val="left" w:leader="none"/>
          <w:tab w:pos="2666" w:val="left" w:leader="none"/>
          <w:tab w:pos="3012" w:val="left" w:leader="none"/>
        </w:tabs>
        <w:spacing w:line="123" w:lineRule="exact" w:before="0"/>
        <w:ind w:left="538" w:right="0" w:firstLine="0"/>
        <w:jc w:val="left"/>
        <w:rPr>
          <w:sz w:val="12"/>
        </w:rPr>
      </w:pPr>
      <w:r>
        <w:rPr>
          <w:sz w:val="12"/>
        </w:rPr>
        <w:t>1995</w:t>
        <w:tab/>
        <w:t>96</w:t>
        <w:tab/>
        <w:t>97</w:t>
        <w:tab/>
        <w:t>98</w:t>
        <w:tab/>
        <w:t>99</w:t>
        <w:tab/>
        <w:t>2000</w:t>
      </w:r>
    </w:p>
    <w:p>
      <w:pPr>
        <w:pStyle w:val="BodyText"/>
        <w:spacing w:before="8"/>
        <w:rPr>
          <w:sz w:val="14"/>
        </w:rPr>
      </w:pPr>
    </w:p>
    <w:p>
      <w:pPr>
        <w:spacing w:before="1"/>
        <w:ind w:left="195" w:right="0" w:firstLine="0"/>
        <w:jc w:val="left"/>
        <w:rPr>
          <w:sz w:val="12"/>
        </w:rPr>
      </w:pPr>
      <w:r>
        <w:rPr>
          <w:sz w:val="12"/>
        </w:rPr>
        <w:t>(a) Annual growth in backward-looking three-month average of the AEI.</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7"/>
        </w:rPr>
      </w:pPr>
    </w:p>
    <w:p>
      <w:pPr>
        <w:spacing w:before="0"/>
        <w:ind w:left="180" w:right="0" w:firstLine="0"/>
        <w:jc w:val="left"/>
        <w:rPr>
          <w:b/>
          <w:sz w:val="20"/>
        </w:rPr>
      </w:pPr>
      <w:r>
        <w:rPr>
          <w:b/>
          <w:color w:val="0092C7"/>
          <w:sz w:val="20"/>
        </w:rPr>
        <w:t>Chart 3.15</w:t>
      </w:r>
    </w:p>
    <w:p>
      <w:pPr>
        <w:spacing w:before="10"/>
        <w:ind w:left="180" w:right="0" w:firstLine="0"/>
        <w:jc w:val="left"/>
        <w:rPr>
          <w:sz w:val="12"/>
        </w:rPr>
      </w:pPr>
      <w:r>
        <w:rPr>
          <w:b/>
          <w:color w:val="0092C7"/>
          <w:sz w:val="20"/>
        </w:rPr>
        <w:t>Headline</w:t>
      </w:r>
      <w:r>
        <w:rPr>
          <w:b/>
          <w:color w:val="0092C7"/>
          <w:spacing w:val="-10"/>
          <w:sz w:val="20"/>
        </w:rPr>
        <w:t> </w:t>
      </w:r>
      <w:r>
        <w:rPr>
          <w:b/>
          <w:color w:val="0092C7"/>
          <w:sz w:val="20"/>
        </w:rPr>
        <w:t>growth</w:t>
      </w:r>
      <w:r>
        <w:rPr>
          <w:b/>
          <w:color w:val="0092C7"/>
          <w:spacing w:val="-10"/>
          <w:sz w:val="20"/>
        </w:rPr>
        <w:t> </w:t>
      </w:r>
      <w:r>
        <w:rPr>
          <w:b/>
          <w:color w:val="0092C7"/>
          <w:sz w:val="20"/>
        </w:rPr>
        <w:t>in</w:t>
      </w:r>
      <w:r>
        <w:rPr>
          <w:b/>
          <w:color w:val="0092C7"/>
          <w:spacing w:val="-10"/>
          <w:sz w:val="20"/>
        </w:rPr>
        <w:t> </w:t>
      </w:r>
      <w:r>
        <w:rPr>
          <w:b/>
          <w:color w:val="0092C7"/>
          <w:sz w:val="20"/>
        </w:rPr>
        <w:t>nominal</w:t>
      </w:r>
      <w:r>
        <w:rPr>
          <w:b/>
          <w:color w:val="0092C7"/>
          <w:spacing w:val="-9"/>
          <w:sz w:val="20"/>
        </w:rPr>
        <w:t> </w:t>
      </w:r>
      <w:r>
        <w:rPr>
          <w:b/>
          <w:color w:val="0092C7"/>
          <w:sz w:val="20"/>
        </w:rPr>
        <w:t>earnings</w:t>
      </w:r>
      <w:r>
        <w:rPr>
          <w:position w:val="4"/>
          <w:sz w:val="12"/>
        </w:rPr>
        <w:t>(a)</w:t>
      </w:r>
    </w:p>
    <w:p>
      <w:pPr>
        <w:spacing w:before="120"/>
        <w:ind w:left="1651" w:right="0" w:firstLine="0"/>
        <w:jc w:val="left"/>
        <w:rPr>
          <w:sz w:val="12"/>
        </w:rPr>
      </w:pPr>
      <w:r>
        <w:rPr/>
        <w:pict>
          <v:line style="position:absolute;mso-position-horizontal-relative:page;mso-position-vertical-relative:paragraph;z-index:16056320" from="42.654999pt,13.850892pt" to="46.987999pt,13.850892pt" stroked="true" strokeweight=".5pt" strokecolor="#000000">
            <v:stroke dashstyle="solid"/>
            <w10:wrap type="none"/>
          </v:line>
        </w:pict>
      </w:r>
      <w:r>
        <w:rPr>
          <w:sz w:val="12"/>
        </w:rPr>
        <w:t>Percentage changes on a year earli</w:t>
      </w:r>
      <w:r>
        <w:rPr>
          <w:sz w:val="12"/>
          <w:u w:val="single"/>
        </w:rPr>
        <w:t>er</w:t>
      </w:r>
      <w:r>
        <w:rPr>
          <w:spacing w:val="8"/>
          <w:sz w:val="12"/>
        </w:rPr>
        <w:t> </w:t>
      </w:r>
      <w:r>
        <w:rPr>
          <w:position w:val="-7"/>
          <w:sz w:val="12"/>
        </w:rPr>
        <w:t>8</w:t>
      </w:r>
    </w:p>
    <w:p>
      <w:pPr>
        <w:pStyle w:val="BodyText"/>
        <w:spacing w:before="4"/>
        <w:rPr>
          <w:sz w:val="19"/>
        </w:rPr>
      </w:pPr>
    </w:p>
    <w:p>
      <w:pPr>
        <w:spacing w:before="0"/>
        <w:ind w:left="0" w:right="1189" w:firstLine="0"/>
        <w:jc w:val="right"/>
        <w:rPr>
          <w:sz w:val="12"/>
        </w:rPr>
      </w:pPr>
      <w:r>
        <w:rPr/>
        <w:pict>
          <v:group style="position:absolute;margin-left:42.654999pt;margin-top:1.754487pt;width:151.5pt;height:94.4pt;mso-position-horizontal-relative:page;mso-position-vertical-relative:paragraph;z-index:16054784" coordorigin="853,35" coordsize="3030,1888">
            <v:shape style="position:absolute;left:998;top:1157;width:130;height:115" coordorigin="998,1157" coordsize="130,115" path="m998,1200l1043,1272m1043,1272l1086,1200m1086,1200l1128,1157e" filled="false" stroked="true" strokeweight="1pt" strokecolor="#de0035">
              <v:path arrowok="t"/>
              <v:stroke dashstyle="solid"/>
            </v:shape>
            <v:line style="position:absolute" from="1118,1158" to="1183,1158" stroked="true" strokeweight="1.125pt" strokecolor="#de0035">
              <v:stroke dashstyle="solid"/>
            </v:line>
            <v:shape style="position:absolute;left:1173;top:1157;width:258;height:360" coordorigin="1173,1157" coordsize="258,360" path="m1173,1157l1216,1272m1216,1272l1258,1445m1258,1445l1301,1517m1301,1517l1346,1490m1346,1490l1388,1517m1388,1517l1431,1445e" filled="false" stroked="true" strokeweight="1pt" strokecolor="#de0035">
              <v:path arrowok="t"/>
              <v:stroke dashstyle="solid"/>
            </v:shape>
            <v:shape style="position:absolute;left:1420;top:1445;width:150;height:2" coordorigin="1421,1446" coordsize="150,0" path="m1421,1446l1486,1446m1466,1446l1528,1446m1508,1446l1571,1446e" filled="false" stroked="true" strokeweight="1.125pt" strokecolor="#de0035">
              <v:path arrowok="t"/>
              <v:stroke dashstyle="solid"/>
            </v:shape>
            <v:shape style="position:absolute;left:1560;top:1127;width:293;height:363" coordorigin="1561,1127" coordsize="293,363" path="m1561,1445l1603,1490m1603,1490l1648,1417m1648,1417l1691,1445m1691,1445l1723,1372m1723,1372l1766,1345m1766,1345l1811,1200m1811,1200l1853,1127e" filled="false" stroked="true" strokeweight="1pt" strokecolor="#de0035">
              <v:path arrowok="t"/>
              <v:stroke dashstyle="solid"/>
            </v:shape>
            <v:line style="position:absolute" from="1843,1128" to="1906,1128" stroked="true" strokeweight="1.125pt" strokecolor="#de0035">
              <v:stroke dashstyle="solid"/>
            </v:line>
            <v:rect style="position:absolute;left:1885;top:1117;width:63;height:23" filled="true" fillcolor="#de0035" stroked="false">
              <v:fill type="solid"/>
            </v:rect>
            <v:shape style="position:absolute;left:1938;top:912;width:390;height:215" coordorigin="1938,912" coordsize="390,215" path="m1938,1127l1983,1085m1983,1085l2026,985m2026,985l2068,1012m2068,1012l2113,940m2113,940l2156,1012m2156,1012l2198,940m2198,940l2241,1012m2241,1012l2286,940m2286,940l2328,912e" filled="false" stroked="true" strokeweight="1pt" strokecolor="#de0035">
              <v:path arrowok="t"/>
              <v:stroke dashstyle="solid"/>
            </v:shape>
            <v:line style="position:absolute" from="2318,913" to="2381,913" stroked="true" strokeweight="1.125pt" strokecolor="#de0035">
              <v:stroke dashstyle="solid"/>
            </v:line>
            <v:shape style="position:absolute;left:2370;top:579;width:218;height:333" coordorigin="2371,580" coordsize="218,333" path="m2371,912l2416,825m2416,825l2458,797m2458,797l2501,695m2501,695l2543,652m2543,652l2588,580e" filled="false" stroked="true" strokeweight="1pt" strokecolor="#de0035">
              <v:path arrowok="t"/>
              <v:stroke dashstyle="solid"/>
            </v:shape>
            <v:line style="position:absolute" from="2578,581" to="2641,581" stroked="true" strokeweight="1.125pt" strokecolor="#de0035">
              <v:stroke dashstyle="solid"/>
            </v:line>
            <v:shape style="position:absolute;left:2630;top:334;width:88;height:245" coordorigin="2631,335" coordsize="88,245" path="m2631,580l2673,435m2673,435l2718,335e" filled="false" stroked="true" strokeweight="1pt" strokecolor="#de0035">
              <v:path arrowok="t"/>
              <v:stroke dashstyle="solid"/>
            </v:shape>
            <v:line style="position:absolute" from="2708,336" to="2771,336" stroked="true" strokeweight="1.125pt" strokecolor="#de0035">
              <v:stroke dashstyle="solid"/>
            </v:line>
            <v:shape style="position:absolute;left:2760;top:262;width:1113;height:895" coordorigin="2761,262" coordsize="1113,895" path="m2761,335l2803,407m2803,407l2846,580m2846,580l2891,622m2891,622l2933,725m2933,725l2976,767m2976,767l3021,912m3021,912l3063,940m3063,940l3106,912m3106,912l3148,825m3148,825l3181,912m3181,912l3226,1055m3226,1055l3268,985m3268,985l3311,912m3311,912l3356,767m3356,767l3398,825m3398,825l3441,767m3441,767l3483,725m3483,725l3528,507m3528,507l3571,335m3571,335l3613,262m3613,262l3658,407m3658,407l3701,652m3701,652l3743,867m3743,867l3786,1085m3786,1085l3831,1157m3831,1157l3873,1127e" filled="false" stroked="true" strokeweight="1pt" strokecolor="#de0035">
              <v:path arrowok="t"/>
              <v:stroke dashstyle="solid"/>
            </v:shape>
            <v:shape style="position:absolute;left:998;top:1344;width:478;height:463" coordorigin="998,1345" coordsize="478,463" path="m998,1445l1043,1560m1043,1560l1086,1417m1086,1417l1128,1445m1128,1445l1173,1345m1173,1345l1216,1590m1216,1590l1258,1735m1258,1735l1301,1807m1301,1807l1346,1777m1346,1777l1388,1735m1388,1735l1431,1590m1431,1590l1476,1517e" filled="false" stroked="true" strokeweight="1pt" strokecolor="#f6bd61">
              <v:path arrowok="t"/>
              <v:stroke dashstyle="solid"/>
            </v:shape>
            <v:shape style="position:absolute;left:1465;top:1518;width:105;height:2" coordorigin="1466,1518" coordsize="105,0" path="m1466,1518l1528,1518m1508,1518l1571,1518e" filled="false" stroked="true" strokeweight="1.125pt" strokecolor="#f6bd61">
              <v:path arrowok="t"/>
              <v:stroke dashstyle="solid"/>
            </v:shape>
            <v:shape style="position:absolute;left:1560;top:1127;width:335;height:505" coordorigin="1561,1127" coordsize="335,505" path="m1561,1517l1603,1632m1603,1632l1648,1517m1648,1517l1691,1590m1691,1590l1723,1445m1723,1445l1766,1372m1766,1372l1811,1230m1811,1230l1853,1157m1853,1157l1896,1127e" filled="false" stroked="true" strokeweight="1pt" strokecolor="#f6bd61">
              <v:path arrowok="t"/>
              <v:stroke dashstyle="solid"/>
            </v:shape>
            <v:rect style="position:absolute;left:1885;top:1117;width:63;height:23" filled="true" fillcolor="#f6bd61" stroked="false">
              <v:fill type="solid"/>
            </v:rect>
            <v:line style="position:absolute" from="1928,1128" to="1993,1128" stroked="true" strokeweight="1.125pt" strokecolor="#f6bd61">
              <v:stroke dashstyle="solid"/>
            </v:line>
            <v:line style="position:absolute" from="1983,1127" to="2026,1012" stroked="true" strokeweight="1pt" strokecolor="#f6bd61">
              <v:stroke dashstyle="solid"/>
            </v:line>
            <v:line style="position:absolute" from="2016,1013" to="2078,1013" stroked="true" strokeweight="1.125pt" strokecolor="#f6bd61">
              <v:stroke dashstyle="solid"/>
            </v:line>
            <v:shape style="position:absolute;left:2068;top:549;width:433;height:463" coordorigin="2068,550" coordsize="433,463" path="m2068,1012l2113,797m2113,797l2156,912m2156,912l2198,825m2198,825l2241,1012m2241,1012l2286,912m2286,912l2328,825m2328,825l2371,767m2371,767l2416,725m2416,725l2458,652m2458,652l2501,550e" filled="false" stroked="true" strokeweight="1pt" strokecolor="#f6bd61">
              <v:path arrowok="t"/>
              <v:stroke dashstyle="solid"/>
            </v:shape>
            <v:line style="position:absolute" from="2491,551" to="2553,551" stroked="true" strokeweight="1.125pt" strokecolor="#f6bd61">
              <v:stroke dashstyle="solid"/>
            </v:line>
            <v:line style="position:absolute" from="2543,550" to="2588,435" stroked="true" strokeweight="1pt" strokecolor="#f6bd61">
              <v:stroke dashstyle="solid"/>
            </v:line>
            <v:line style="position:absolute" from="2578,436" to="2641,436" stroked="true" strokeweight="1.125pt" strokecolor="#f6bd61">
              <v:stroke dashstyle="solid"/>
            </v:line>
            <v:shape style="position:absolute;left:2630;top:74;width:215;height:433" coordorigin="2631,75" coordsize="215,433" path="m2631,435l2673,220m2673,220l2718,75m2718,75l2761,117m2761,117l2803,262m2803,262l2846,507e" filled="false" stroked="true" strokeweight="1pt" strokecolor="#f6bd61">
              <v:path arrowok="t"/>
              <v:stroke dashstyle="solid"/>
            </v:shape>
            <v:line style="position:absolute" from="2836,508" to="2901,508" stroked="true" strokeweight="1.125pt" strokecolor="#f6bd61">
              <v:stroke dashstyle="solid"/>
            </v:line>
            <v:line style="position:absolute" from="2891,507" to="2933,622" stroked="true" strokeweight="1pt" strokecolor="#f6bd61">
              <v:stroke dashstyle="solid"/>
            </v:line>
            <v:line style="position:absolute" from="2923,623" to="2986,623" stroked="true" strokeweight="1.125pt" strokecolor="#f6bd61">
              <v:stroke dashstyle="solid"/>
            </v:line>
            <v:shape style="position:absolute;left:2975;top:507;width:465;height:478" coordorigin="2976,507" coordsize="465,478" path="m2976,622l3021,797m3021,797l3063,867m3063,867l3106,797m3106,797l3148,725m3148,725l3181,797m3181,797l3226,985m3226,985l3268,867m3268,867l3311,695m3311,695l3356,507m3356,507l3398,652m3398,652l3441,580e" filled="false" stroked="true" strokeweight="1pt" strokecolor="#f6bd61">
              <v:path arrowok="t"/>
              <v:stroke dashstyle="solid"/>
            </v:shape>
            <v:line style="position:absolute" from="3431,581" to="3493,581" stroked="true" strokeweight="1.125pt" strokecolor="#f6bd61">
              <v:stroke dashstyle="solid"/>
            </v:line>
            <v:shape style="position:absolute;left:3483;top:117;width:390;height:1185" coordorigin="3483,117" coordsize="390,1185" path="m3483,580l3528,362m3528,362l3571,147m3571,147l3613,117m3613,117l3658,262m3658,262l3701,550m3701,550l3743,867m3743,867l3786,1200m3786,1200l3831,1302m3831,1302l3873,1200e" filled="false" stroked="true" strokeweight="1pt" strokecolor="#f6bd61">
              <v:path arrowok="t"/>
              <v:stroke dashstyle="solid"/>
            </v:shape>
            <v:shape style="position:absolute;left:998;top:622;width:605;height:680" coordorigin="998,622" coordsize="605,680" path="m998,695l1043,622m1043,622l1086,825m1086,825l1128,767m1128,767l1173,867m1173,867l1216,825m1216,825l1258,940m1258,940l1301,1012m1301,1012l1346,1055m1346,1055l1388,1085m1388,1085l1431,1157m1431,1157l1476,1272m1476,1272l1518,1302m1518,1302l1561,1272m1561,1272l1603,1127e" filled="false" stroked="true" strokeweight="1pt" strokecolor="#0099d9">
              <v:path arrowok="t"/>
              <v:stroke dashstyle="solid"/>
            </v:shape>
            <v:line style="position:absolute" from="1593,1128" to="1658,1128" stroked="true" strokeweight="1.125pt" strokecolor="#0099d9">
              <v:stroke dashstyle="solid"/>
            </v:line>
            <v:line style="position:absolute" from="1648,1127" to="1691,1085" stroked="true" strokeweight="1pt" strokecolor="#0099d9">
              <v:stroke dashstyle="solid"/>
            </v:line>
            <v:shape style="position:absolute;left:1680;top:1085;width:95;height:2" coordorigin="1681,1086" coordsize="95,0" path="m1681,1086l1733,1086m1713,1086l1776,1086e" filled="false" stroked="true" strokeweight="1.125pt" strokecolor="#0099d9">
              <v:path arrowok="t"/>
              <v:stroke dashstyle="solid"/>
            </v:shape>
            <v:line style="position:absolute" from="1766,1085" to="1811,1012" stroked="true" strokeweight="1pt" strokecolor="#0099d9">
              <v:stroke dashstyle="solid"/>
            </v:line>
            <v:line style="position:absolute" from="1801,1013" to="1863,1013" stroked="true" strokeweight="1.125pt" strokecolor="#0099d9">
              <v:stroke dashstyle="solid"/>
            </v:line>
            <v:shape style="position:absolute;left:1853;top:939;width:130;height:115" coordorigin="1853,940" coordsize="130,115" path="m1853,1012l1896,1055m1896,1055l1938,1012m1938,1012l1983,940e" filled="false" stroked="true" strokeweight="1pt" strokecolor="#0099d9">
              <v:path arrowok="t"/>
              <v:stroke dashstyle="solid"/>
            </v:shape>
            <v:line style="position:absolute" from="1973,941" to="2036,941" stroked="true" strokeweight="1.125pt" strokecolor="#0099d9">
              <v:stroke dashstyle="solid"/>
            </v:line>
            <v:shape style="position:absolute;left:2025;top:939;width:130;height:218" coordorigin="2026,940" coordsize="130,218" path="m2026,940l2068,985m2068,985l2113,1127m2113,1127l2156,1157e" filled="false" stroked="true" strokeweight="1pt" strokecolor="#0099d9">
              <v:path arrowok="t"/>
              <v:stroke dashstyle="solid"/>
            </v:shape>
            <v:line style="position:absolute" from="2146,1158" to="2208,1158" stroked="true" strokeweight="1.125pt" strokecolor="#0099d9">
              <v:stroke dashstyle="solid"/>
            </v:line>
            <v:shape style="position:absolute;left:2198;top:1084;width:88;height:73" coordorigin="2198,1085" coordsize="88,73" path="m2198,1157l2241,1127m2241,1127l2286,1085e" filled="false" stroked="true" strokeweight="1pt" strokecolor="#0099d9">
              <v:path arrowok="t"/>
              <v:stroke dashstyle="solid"/>
            </v:shape>
            <v:shape style="position:absolute;left:2275;top:1085;width:105;height:2" coordorigin="2276,1086" coordsize="105,0" path="m2276,1086l2338,1086m2318,1086l2381,1086e" filled="false" stroked="true" strokeweight="1.125pt" strokecolor="#0099d9">
              <v:path arrowok="t"/>
              <v:stroke dashstyle="solid"/>
            </v:shape>
            <v:shape style="position:absolute;left:2370;top:867;width:173;height:218" coordorigin="2371,867" coordsize="173,218" path="m2371,1085l2416,1012m2416,1012l2458,985m2458,985l2501,940m2501,940l2543,867e" filled="false" stroked="true" strokeweight="1pt" strokecolor="#0099d9">
              <v:path arrowok="t"/>
              <v:stroke dashstyle="solid"/>
            </v:shape>
            <v:line style="position:absolute" from="2533,868" to="2598,868" stroked="true" strokeweight="1.125pt" strokecolor="#0099d9">
              <v:stroke dashstyle="solid"/>
            </v:line>
            <v:line style="position:absolute" from="2588,867" to="2631,767" stroked="true" strokeweight="1pt" strokecolor="#0099d9">
              <v:stroke dashstyle="solid"/>
            </v:line>
            <v:line style="position:absolute" from="2621,768" to="2683,768" stroked="true" strokeweight="1.125pt" strokecolor="#0099d9">
              <v:stroke dashstyle="solid"/>
            </v:line>
            <v:shape style="position:absolute;left:2673;top:767;width:88;height:100" coordorigin="2673,767" coordsize="88,100" path="m2673,767l2718,797m2718,797l2761,867e" filled="false" stroked="true" strokeweight="1pt" strokecolor="#0099d9">
              <v:path arrowok="t"/>
              <v:stroke dashstyle="solid"/>
            </v:shape>
            <v:line style="position:absolute" from="2751,868" to="2813,868" stroked="true" strokeweight="1.125pt" strokecolor="#0099d9">
              <v:stroke dashstyle="solid"/>
            </v:line>
            <v:shape style="position:absolute;left:2803;top:867;width:378;height:478" coordorigin="2803,867" coordsize="378,478" path="m2803,867l2846,912m2846,912l2891,940m2891,940l2933,985m2933,985l2976,1127m2976,1127l3021,1272m3021,1272l3063,1302m3063,1302l3106,1345m3106,1345l3148,1302m3148,1302l3181,1345e" filled="false" stroked="true" strokeweight="1pt" strokecolor="#0099d9">
              <v:path arrowok="t"/>
              <v:stroke dashstyle="solid"/>
            </v:shape>
            <v:shape style="position:absolute;left:3170;top:1345;width:150;height:2" coordorigin="3171,1346" coordsize="150,0" path="m3171,1346l3236,1346m3216,1346l3278,1346m3258,1346l3321,1346e" filled="false" stroked="true" strokeweight="1.125pt" strokecolor="#0099d9">
              <v:path arrowok="t"/>
              <v:stroke dashstyle="solid"/>
            </v:shape>
            <v:shape style="position:absolute;left:3310;top:652;width:260;height:693" coordorigin="3311,652" coordsize="260,693" path="m3311,1345l3356,1272m3356,1272l3398,1157m3398,1157l3441,1055m3441,1055l3483,985m3483,985l3528,797m3528,797l3571,652e" filled="false" stroked="true" strokeweight="1pt" strokecolor="#0099d9">
              <v:path arrowok="t"/>
              <v:stroke dashstyle="solid"/>
            </v:shape>
            <v:line style="position:absolute" from="3561,653" to="3623,653" stroked="true" strokeweight="1.125pt" strokecolor="#0099d9">
              <v:stroke dashstyle="solid"/>
            </v:line>
            <v:shape style="position:absolute;left:3613;top:652;width:130;height:333" coordorigin="3613,652" coordsize="130,333" path="m3613,652l3658,825m3658,825l3701,985m3701,985l3743,912e" filled="false" stroked="true" strokeweight="1pt" strokecolor="#0099d9">
              <v:path arrowok="t"/>
              <v:stroke dashstyle="solid"/>
            </v:shape>
            <v:line style="position:absolute" from="3733,913" to="3796,913" stroked="true" strokeweight="1.125pt" strokecolor="#0099d9">
              <v:stroke dashstyle="solid"/>
            </v:line>
            <v:shape style="position:absolute;left:3785;top:912;width:88;height:173" coordorigin="3786,912" coordsize="88,173" path="m3786,912l3831,940m3831,940l3873,1085e" filled="false" stroked="true" strokeweight="1pt" strokecolor="#0099d9">
              <v:path arrowok="t"/>
              <v:stroke dashstyle="solid"/>
            </v:shape>
            <v:shape style="position:absolute;left:853;top:77;width:87;height:1804" coordorigin="853,78" coordsize="87,1804" path="m853,78l940,78m853,438l940,438m853,799l940,799m853,1160l940,1160m853,1520l940,1520m853,1881l940,1881e" filled="false" stroked="true" strokeweight=".5pt" strokecolor="#000000">
              <v:path arrowok="t"/>
              <v:stroke dashstyle="solid"/>
            </v:shape>
            <v:shape style="position:absolute;left:2218;top:190;width:396;height:350" type="#_x0000_t75" stroked="false">
              <v:imagedata r:id="rId141" o:title=""/>
            </v:shape>
            <v:shape style="position:absolute;left:1637;top:35;width:671;height:133" type="#_x0000_t202" filled="false" stroked="false">
              <v:textbox inset="0,0,0,0">
                <w:txbxContent>
                  <w:p>
                    <w:pPr>
                      <w:spacing w:line="133" w:lineRule="exact" w:before="0"/>
                      <w:ind w:left="0" w:right="0" w:firstLine="0"/>
                      <w:jc w:val="left"/>
                      <w:rPr>
                        <w:sz w:val="12"/>
                      </w:rPr>
                    </w:pPr>
                    <w:r>
                      <w:rPr>
                        <w:sz w:val="12"/>
                      </w:rPr>
                      <w:t>Private sector</w:t>
                    </w:r>
                  </w:p>
                </w:txbxContent>
              </v:textbox>
              <w10:wrap type="none"/>
            </v:shape>
            <v:shape style="position:absolute;left:1106;top:581;width:734;height:134" type="#_x0000_t202" filled="false" stroked="false">
              <v:textbox inset="0,0,0,0">
                <w:txbxContent>
                  <w:p>
                    <w:pPr>
                      <w:spacing w:line="133" w:lineRule="exact" w:before="0"/>
                      <w:ind w:left="0" w:right="0" w:firstLine="0"/>
                      <w:jc w:val="left"/>
                      <w:rPr>
                        <w:sz w:val="12"/>
                      </w:rPr>
                    </w:pPr>
                    <w:r>
                      <w:rPr>
                        <w:sz w:val="12"/>
                      </w:rPr>
                      <w:t>Manufacturing</w:t>
                    </w:r>
                  </w:p>
                </w:txbxContent>
              </v:textbox>
              <w10:wrap type="none"/>
            </v:shape>
            <v:shape style="position:absolute;left:1354;top:1789;width:1093;height:134" type="#_x0000_t202" filled="false" stroked="false">
              <v:textbox inset="0,0,0,0">
                <w:txbxContent>
                  <w:p>
                    <w:pPr>
                      <w:spacing w:line="133" w:lineRule="exact" w:before="0"/>
                      <w:ind w:left="0" w:right="0" w:firstLine="0"/>
                      <w:jc w:val="left"/>
                      <w:rPr>
                        <w:sz w:val="12"/>
                      </w:rPr>
                    </w:pPr>
                    <w:r>
                      <w:rPr>
                        <w:sz w:val="12"/>
                      </w:rPr>
                      <w:t>Private sector services</w:t>
                    </w:r>
                  </w:p>
                </w:txbxContent>
              </v:textbox>
              <w10:wrap type="none"/>
            </v:shape>
            <w10:wrap type="none"/>
          </v:group>
        </w:pict>
      </w:r>
      <w:r>
        <w:rPr/>
        <w:pict>
          <v:line style="position:absolute;mso-position-horizontal-relative:page;mso-position-vertical-relative:paragraph;z-index:16056832" from="197.697006pt,4.175167pt" to="202.029006pt,4.175167pt" stroked="true" strokeweight=".5pt" strokecolor="#000000">
            <v:stroke dashstyle="solid"/>
            <w10:wrap type="none"/>
          </v:line>
        </w:pict>
      </w:r>
      <w:r>
        <w:rPr>
          <w:sz w:val="12"/>
        </w:rPr>
        <w:t>7</w:t>
      </w:r>
    </w:p>
    <w:p>
      <w:pPr>
        <w:pStyle w:val="BodyText"/>
        <w:rPr>
          <w:sz w:val="12"/>
        </w:rPr>
      </w:pPr>
    </w:p>
    <w:p>
      <w:pPr>
        <w:spacing w:before="84"/>
        <w:ind w:left="0" w:right="1189" w:firstLine="0"/>
        <w:jc w:val="right"/>
        <w:rPr>
          <w:sz w:val="12"/>
        </w:rPr>
      </w:pPr>
      <w:r>
        <w:rPr/>
        <w:pict>
          <v:line style="position:absolute;mso-position-horizontal-relative:page;mso-position-vertical-relative:paragraph;z-index:16057344" from="197.697006pt,8.406167pt" to="202.029006pt,8.406167pt" stroked="true" strokeweight=".5pt" strokecolor="#000000">
            <v:stroke dashstyle="solid"/>
            <w10:wrap type="none"/>
          </v:line>
        </w:pict>
      </w:r>
      <w:r>
        <w:rPr>
          <w:sz w:val="12"/>
        </w:rPr>
        <w:t>6</w:t>
      </w:r>
    </w:p>
    <w:p>
      <w:pPr>
        <w:pStyle w:val="BodyText"/>
        <w:rPr>
          <w:sz w:val="12"/>
        </w:rPr>
      </w:pPr>
    </w:p>
    <w:p>
      <w:pPr>
        <w:spacing w:before="84"/>
        <w:ind w:left="0" w:right="1189" w:firstLine="0"/>
        <w:jc w:val="right"/>
        <w:rPr>
          <w:sz w:val="12"/>
        </w:rPr>
      </w:pPr>
      <w:r>
        <w:rPr/>
        <w:pict>
          <v:line style="position:absolute;mso-position-horizontal-relative:page;mso-position-vertical-relative:paragraph;z-index:16057856" from="197.697006pt,8.437167pt" to="202.029006pt,8.437167pt" stroked="true" strokeweight=".5pt" strokecolor="#000000">
            <v:stroke dashstyle="solid"/>
            <w10:wrap type="none"/>
          </v:line>
        </w:pict>
      </w:r>
      <w:r>
        <w:rPr>
          <w:sz w:val="12"/>
        </w:rPr>
        <w:t>5</w:t>
      </w:r>
    </w:p>
    <w:p>
      <w:pPr>
        <w:pStyle w:val="BodyText"/>
        <w:rPr>
          <w:sz w:val="12"/>
        </w:rPr>
      </w:pPr>
    </w:p>
    <w:p>
      <w:pPr>
        <w:spacing w:before="84"/>
        <w:ind w:left="0" w:right="1189" w:firstLine="0"/>
        <w:jc w:val="right"/>
        <w:rPr>
          <w:sz w:val="12"/>
        </w:rPr>
      </w:pPr>
      <w:r>
        <w:rPr/>
        <w:pict>
          <v:line style="position:absolute;mso-position-horizontal-relative:page;mso-position-vertical-relative:paragraph;z-index:16058368" from="197.697006pt,8.469167pt" to="202.029006pt,8.469167pt" stroked="true" strokeweight=".5pt" strokecolor="#000000">
            <v:stroke dashstyle="solid"/>
            <w10:wrap type="none"/>
          </v:line>
        </w:pict>
      </w:r>
      <w:r>
        <w:rPr>
          <w:sz w:val="12"/>
        </w:rPr>
        <w:t>4</w:t>
      </w:r>
    </w:p>
    <w:p>
      <w:pPr>
        <w:pStyle w:val="BodyText"/>
        <w:rPr>
          <w:sz w:val="12"/>
        </w:rPr>
      </w:pPr>
    </w:p>
    <w:p>
      <w:pPr>
        <w:spacing w:before="87"/>
        <w:ind w:left="0" w:right="1189" w:firstLine="0"/>
        <w:jc w:val="right"/>
        <w:rPr>
          <w:sz w:val="12"/>
        </w:rPr>
      </w:pPr>
      <w:r>
        <w:rPr/>
        <w:pict>
          <v:line style="position:absolute;mso-position-horizontal-relative:page;mso-position-vertical-relative:paragraph;z-index:16058880" from="197.697006pt,8.525351pt" to="202.029006pt,8.525351pt" stroked="true" strokeweight=".5pt" strokecolor="#000000">
            <v:stroke dashstyle="solid"/>
            <w10:wrap type="none"/>
          </v:line>
        </w:pict>
      </w:r>
      <w:r>
        <w:rPr>
          <w:sz w:val="12"/>
        </w:rPr>
        <w:t>3</w:t>
      </w:r>
    </w:p>
    <w:p>
      <w:pPr>
        <w:pStyle w:val="BodyText"/>
        <w:rPr>
          <w:sz w:val="12"/>
        </w:rPr>
      </w:pPr>
    </w:p>
    <w:p>
      <w:pPr>
        <w:spacing w:before="84"/>
        <w:ind w:left="0" w:right="1189" w:firstLine="0"/>
        <w:jc w:val="right"/>
        <w:rPr>
          <w:sz w:val="12"/>
        </w:rPr>
      </w:pPr>
      <w:r>
        <w:rPr/>
        <w:pict>
          <v:line style="position:absolute;mso-position-horizontal-relative:page;mso-position-vertical-relative:paragraph;z-index:16059904" from="197.697006pt,8.407351pt" to="202.029006pt,8.407351pt" stroked="true" strokeweight=".5pt" strokecolor="#000000">
            <v:stroke dashstyle="solid"/>
            <w10:wrap type="none"/>
          </v:line>
        </w:pict>
      </w:r>
      <w:r>
        <w:rPr>
          <w:sz w:val="12"/>
        </w:rPr>
        <w:t>2</w:t>
      </w:r>
    </w:p>
    <w:p>
      <w:pPr>
        <w:pStyle w:val="BodyText"/>
        <w:rPr>
          <w:sz w:val="12"/>
        </w:rPr>
      </w:pPr>
    </w:p>
    <w:p>
      <w:pPr>
        <w:spacing w:before="84"/>
        <w:ind w:left="0" w:right="1189" w:firstLine="0"/>
        <w:jc w:val="right"/>
        <w:rPr>
          <w:sz w:val="12"/>
        </w:rPr>
      </w:pPr>
      <w:r>
        <w:rPr/>
        <w:pict>
          <v:line style="position:absolute;mso-position-horizontal-relative:page;mso-position-vertical-relative:paragraph;z-index:16055808" from="42.654999pt,8.14535pt" to="46.987999pt,8.14535pt" stroked="true" strokeweight=".5pt" strokecolor="#000000">
            <v:stroke dashstyle="solid"/>
            <w10:wrap type="none"/>
          </v:line>
        </w:pict>
      </w:r>
      <w:r>
        <w:rPr/>
        <w:pict>
          <v:line style="position:absolute;mso-position-horizontal-relative:page;mso-position-vertical-relative:paragraph;z-index:16059392" from="197.697006pt,8.43835pt" to="202.029006pt,8.43835pt" stroked="true" strokeweight=".5pt" strokecolor="#000000">
            <v:stroke dashstyle="solid"/>
            <w10:wrap type="none"/>
          </v:line>
        </w:pict>
      </w:r>
      <w:r>
        <w:rPr>
          <w:sz w:val="12"/>
        </w:rPr>
        <w:t>1</w:t>
      </w:r>
    </w:p>
    <w:p>
      <w:pPr>
        <w:pStyle w:val="BodyText"/>
        <w:rPr>
          <w:sz w:val="12"/>
        </w:rPr>
      </w:pPr>
    </w:p>
    <w:p>
      <w:pPr>
        <w:spacing w:line="124" w:lineRule="exact" w:before="86"/>
        <w:ind w:left="3438" w:right="0" w:firstLine="0"/>
        <w:jc w:val="left"/>
        <w:rPr>
          <w:sz w:val="12"/>
        </w:rPr>
      </w:pPr>
      <w:r>
        <w:rPr/>
        <w:pict>
          <v:shape style="position:absolute;margin-left:42.654999pt;margin-top:5.090564pt;width:151.25pt;height:3.4pt;mso-position-horizontal-relative:page;mso-position-vertical-relative:paragraph;z-index:16055296" coordorigin="853,102" coordsize="3025,68" path="m997,169l3877,169m995,102l995,169m1510,102l1510,169m2026,102l2026,169m2542,102l2542,169m3057,102l3057,169m3573,102l3573,169m853,163l940,163e" filled="false" stroked="true" strokeweight=".5pt" strokecolor="#000000">
            <v:path arrowok="t"/>
            <v:stroke dashstyle="solid"/>
            <w10:wrap type="none"/>
          </v:shape>
        </w:pict>
      </w:r>
      <w:r>
        <w:rPr/>
        <w:pict>
          <v:line style="position:absolute;mso-position-horizontal-relative:page;mso-position-vertical-relative:paragraph;z-index:16060416" from="197.697006pt,8.444564pt" to="202.029006pt,8.444564pt" stroked="true" strokeweight=".5pt" strokecolor="#000000">
            <v:stroke dashstyle="solid"/>
            <w10:wrap type="none"/>
          </v:line>
        </w:pict>
      </w:r>
      <w:r>
        <w:rPr>
          <w:sz w:val="12"/>
        </w:rPr>
        <w:t>0</w:t>
      </w:r>
    </w:p>
    <w:p>
      <w:pPr>
        <w:tabs>
          <w:tab w:pos="1069" w:val="left" w:leader="none"/>
          <w:tab w:pos="1577" w:val="left" w:leader="none"/>
          <w:tab w:pos="2094" w:val="left" w:leader="none"/>
          <w:tab w:pos="2614" w:val="left" w:leader="none"/>
          <w:tab w:pos="2984" w:val="left" w:leader="none"/>
        </w:tabs>
        <w:spacing w:line="124" w:lineRule="exact" w:before="0"/>
        <w:ind w:left="479" w:right="0" w:firstLine="0"/>
        <w:jc w:val="left"/>
        <w:rPr>
          <w:sz w:val="12"/>
        </w:rPr>
      </w:pPr>
      <w:r>
        <w:rPr>
          <w:sz w:val="12"/>
        </w:rPr>
        <w:t>1995</w:t>
        <w:tab/>
        <w:t>96</w:t>
        <w:tab/>
        <w:t>97</w:t>
        <w:tab/>
        <w:t>98</w:t>
        <w:tab/>
        <w:t>99</w:t>
        <w:tab/>
        <w:t>2000</w:t>
      </w:r>
    </w:p>
    <w:p>
      <w:pPr>
        <w:pStyle w:val="BodyText"/>
        <w:spacing w:before="3"/>
        <w:rPr>
          <w:sz w:val="15"/>
        </w:rPr>
      </w:pPr>
    </w:p>
    <w:p>
      <w:pPr>
        <w:spacing w:before="1"/>
        <w:ind w:left="180" w:right="0" w:firstLine="0"/>
        <w:jc w:val="left"/>
        <w:rPr>
          <w:sz w:val="12"/>
        </w:rPr>
      </w:pPr>
      <w:r>
        <w:rPr>
          <w:sz w:val="12"/>
        </w:rPr>
        <w:t>(a) Annual growth in backward-looking three-month average of the AEI.</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1"/>
        </w:rPr>
      </w:pPr>
    </w:p>
    <w:p>
      <w:pPr>
        <w:spacing w:before="0"/>
        <w:ind w:left="180" w:right="0" w:firstLine="0"/>
        <w:jc w:val="left"/>
        <w:rPr>
          <w:b/>
          <w:sz w:val="20"/>
        </w:rPr>
      </w:pPr>
      <w:r>
        <w:rPr>
          <w:b/>
          <w:color w:val="0092C7"/>
          <w:sz w:val="20"/>
        </w:rPr>
        <w:t>Table 3.C</w:t>
      </w:r>
    </w:p>
    <w:p>
      <w:pPr>
        <w:spacing w:before="10"/>
        <w:ind w:left="180" w:right="0" w:firstLine="0"/>
        <w:jc w:val="left"/>
        <w:rPr>
          <w:sz w:val="12"/>
        </w:rPr>
      </w:pPr>
      <w:r>
        <w:rPr>
          <w:b/>
          <w:color w:val="0092C7"/>
          <w:sz w:val="20"/>
        </w:rPr>
        <w:t>Components of earnings growth</w:t>
      </w:r>
      <w:r>
        <w:rPr>
          <w:position w:val="4"/>
          <w:sz w:val="12"/>
        </w:rPr>
        <w:t>(a)</w:t>
      </w:r>
    </w:p>
    <w:p>
      <w:pPr>
        <w:tabs>
          <w:tab w:pos="2690" w:val="left" w:leader="none"/>
        </w:tabs>
        <w:spacing w:line="150" w:lineRule="exact" w:before="106"/>
        <w:ind w:left="670" w:right="0" w:firstLine="0"/>
        <w:jc w:val="left"/>
        <w:rPr>
          <w:sz w:val="14"/>
        </w:rPr>
      </w:pPr>
      <w:r>
        <w:rPr>
          <w:sz w:val="14"/>
        </w:rPr>
        <w:t>Whole economy </w:t>
      </w:r>
      <w:r>
        <w:rPr>
          <w:spacing w:val="26"/>
          <w:sz w:val="14"/>
        </w:rPr>
        <w:t> </w:t>
      </w:r>
      <w:r>
        <w:rPr>
          <w:sz w:val="14"/>
        </w:rPr>
        <w:t>Public</w:t>
      </w:r>
      <w:r>
        <w:rPr>
          <w:spacing w:val="-4"/>
          <w:sz w:val="14"/>
        </w:rPr>
        <w:t> </w:t>
      </w:r>
      <w:r>
        <w:rPr>
          <w:sz w:val="14"/>
        </w:rPr>
        <w:t>sector</w:t>
        <w:tab/>
        <w:t>Manufacturing Private</w:t>
      </w:r>
      <w:r>
        <w:rPr>
          <w:spacing w:val="6"/>
          <w:sz w:val="14"/>
        </w:rPr>
        <w:t> </w:t>
      </w:r>
      <w:r>
        <w:rPr>
          <w:sz w:val="14"/>
        </w:rPr>
        <w:t>sector</w:t>
      </w:r>
    </w:p>
    <w:p>
      <w:pPr>
        <w:tabs>
          <w:tab w:pos="3680" w:val="left" w:leader="none"/>
          <w:tab w:pos="4629" w:val="left" w:leader="none"/>
        </w:tabs>
        <w:spacing w:line="150" w:lineRule="exact" w:before="0"/>
        <w:ind w:left="680" w:right="0" w:firstLine="0"/>
        <w:jc w:val="left"/>
        <w:rPr>
          <w:sz w:val="14"/>
        </w:rPr>
      </w:pPr>
      <w:r>
        <w:rPr>
          <w:sz w:val="14"/>
          <w:u w:val="single"/>
        </w:rPr>
        <w:t> </w:t>
        <w:tab/>
        <w:t>services</w:t>
        <w:tab/>
      </w:r>
    </w:p>
    <w:p>
      <w:pPr>
        <w:spacing w:line="150" w:lineRule="exact" w:before="0"/>
        <w:ind w:left="710" w:right="0" w:firstLine="0"/>
        <w:jc w:val="left"/>
        <w:rPr>
          <w:sz w:val="14"/>
        </w:rPr>
      </w:pPr>
      <w:r>
        <w:rPr>
          <w:sz w:val="14"/>
        </w:rPr>
        <w:t>Regular Bonus Regular Bonus Regular Bonus Regular Bonus</w:t>
      </w:r>
    </w:p>
    <w:p>
      <w:pPr>
        <w:tabs>
          <w:tab w:pos="710" w:val="left" w:leader="none"/>
          <w:tab w:pos="1190" w:val="left" w:leader="none"/>
          <w:tab w:pos="2119" w:val="left" w:leader="none"/>
          <w:tab w:pos="4160" w:val="left" w:leader="none"/>
        </w:tabs>
        <w:spacing w:line="150" w:lineRule="exact" w:before="0"/>
        <w:ind w:left="150" w:right="0" w:firstLine="0"/>
        <w:jc w:val="left"/>
        <w:rPr>
          <w:sz w:val="12"/>
        </w:rPr>
      </w:pPr>
      <w:r>
        <w:rPr>
          <w:spacing w:val="-5"/>
          <w:sz w:val="14"/>
          <w:u w:val="single"/>
        </w:rPr>
        <w:t> </w:t>
      </w:r>
      <w:r>
        <w:rPr>
          <w:sz w:val="14"/>
          <w:u w:val="single"/>
        </w:rPr>
        <w:t>2000</w:t>
      </w:r>
      <w:r>
        <w:rPr>
          <w:sz w:val="14"/>
        </w:rPr>
        <w:tab/>
      </w:r>
      <w:r>
        <w:rPr>
          <w:sz w:val="14"/>
          <w:u w:val="single"/>
        </w:rPr>
        <w:t>pay</w:t>
        <w:tab/>
        <w:t>effect</w:t>
      </w:r>
      <w:r>
        <w:rPr>
          <w:spacing w:val="-4"/>
          <w:sz w:val="14"/>
          <w:u w:val="single"/>
        </w:rPr>
        <w:t> </w:t>
      </w:r>
      <w:r>
        <w:rPr>
          <w:sz w:val="12"/>
          <w:u w:val="single"/>
        </w:rPr>
        <w:t>(b)</w:t>
      </w:r>
      <w:r>
        <w:rPr>
          <w:spacing w:val="-11"/>
          <w:sz w:val="12"/>
          <w:u w:val="single"/>
        </w:rPr>
        <w:t> </w:t>
      </w:r>
      <w:r>
        <w:rPr>
          <w:sz w:val="14"/>
          <w:u w:val="single"/>
        </w:rPr>
        <w:t>pay</w:t>
        <w:tab/>
        <w:t>effect </w:t>
      </w:r>
      <w:r>
        <w:rPr>
          <w:sz w:val="12"/>
          <w:u w:val="single"/>
        </w:rPr>
        <w:t>(b</w:t>
      </w:r>
      <w:r>
        <w:rPr>
          <w:sz w:val="12"/>
        </w:rPr>
        <w:t>) </w:t>
      </w:r>
      <w:r>
        <w:rPr>
          <w:sz w:val="14"/>
          <w:u w:val="single"/>
        </w:rPr>
        <w:t>pay     </w:t>
      </w:r>
      <w:r>
        <w:rPr>
          <w:sz w:val="14"/>
        </w:rPr>
        <w:t>  </w:t>
      </w:r>
      <w:r>
        <w:rPr>
          <w:sz w:val="14"/>
          <w:u w:val="single"/>
        </w:rPr>
        <w:t>effect</w:t>
      </w:r>
      <w:r>
        <w:rPr>
          <w:spacing w:val="3"/>
          <w:sz w:val="14"/>
          <w:u w:val="single"/>
        </w:rPr>
        <w:t> </w:t>
      </w:r>
      <w:r>
        <w:rPr>
          <w:sz w:val="12"/>
          <w:u w:val="single"/>
        </w:rPr>
        <w:t>(b</w:t>
      </w:r>
      <w:r>
        <w:rPr>
          <w:sz w:val="12"/>
        </w:rPr>
        <w:t>)</w:t>
      </w:r>
      <w:r>
        <w:rPr>
          <w:spacing w:val="-1"/>
          <w:sz w:val="12"/>
        </w:rPr>
        <w:t> </w:t>
      </w:r>
      <w:r>
        <w:rPr>
          <w:sz w:val="14"/>
          <w:u w:val="single"/>
        </w:rPr>
        <w:t>pay</w:t>
        <w:tab/>
        <w:t>effect</w:t>
      </w:r>
      <w:r>
        <w:rPr>
          <w:spacing w:val="-5"/>
          <w:sz w:val="14"/>
          <w:u w:val="single"/>
        </w:rPr>
        <w:t> </w:t>
      </w:r>
      <w:r>
        <w:rPr>
          <w:sz w:val="12"/>
          <w:u w:val="single"/>
        </w:rPr>
        <w:t>(b</w:t>
      </w:r>
      <w:r>
        <w:rPr>
          <w:sz w:val="12"/>
        </w:rPr>
        <w:t>)</w:t>
      </w:r>
    </w:p>
    <w:p>
      <w:pPr>
        <w:pStyle w:val="BodyText"/>
        <w:spacing w:before="10"/>
        <w:rPr>
          <w:sz w:val="10"/>
        </w:rPr>
      </w:pPr>
    </w:p>
    <w:tbl>
      <w:tblPr>
        <w:tblW w:w="0" w:type="auto"/>
        <w:jc w:val="left"/>
        <w:tblInd w:w="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5"/>
        <w:gridCol w:w="344"/>
        <w:gridCol w:w="503"/>
        <w:gridCol w:w="481"/>
        <w:gridCol w:w="523"/>
        <w:gridCol w:w="456"/>
        <w:gridCol w:w="518"/>
        <w:gridCol w:w="481"/>
        <w:gridCol w:w="415"/>
      </w:tblGrid>
      <w:tr>
        <w:trPr>
          <w:trHeight w:val="147" w:hRule="atLeast"/>
        </w:trPr>
        <w:tc>
          <w:tcPr>
            <w:tcW w:w="595" w:type="dxa"/>
          </w:tcPr>
          <w:p>
            <w:pPr>
              <w:pStyle w:val="TableParagraph"/>
              <w:spacing w:line="128" w:lineRule="exact"/>
              <w:ind w:left="50"/>
              <w:rPr>
                <w:sz w:val="14"/>
              </w:rPr>
            </w:pPr>
            <w:r>
              <w:rPr>
                <w:sz w:val="14"/>
              </w:rPr>
              <w:t>February</w:t>
            </w:r>
          </w:p>
        </w:tc>
        <w:tc>
          <w:tcPr>
            <w:tcW w:w="344" w:type="dxa"/>
          </w:tcPr>
          <w:p>
            <w:pPr>
              <w:pStyle w:val="TableParagraph"/>
              <w:spacing w:line="128" w:lineRule="exact"/>
              <w:ind w:left="21" w:right="107"/>
              <w:jc w:val="center"/>
              <w:rPr>
                <w:sz w:val="14"/>
              </w:rPr>
            </w:pPr>
            <w:r>
              <w:rPr>
                <w:sz w:val="14"/>
              </w:rPr>
              <w:t>5.1</w:t>
            </w:r>
          </w:p>
        </w:tc>
        <w:tc>
          <w:tcPr>
            <w:tcW w:w="503" w:type="dxa"/>
          </w:tcPr>
          <w:p>
            <w:pPr>
              <w:pStyle w:val="TableParagraph"/>
              <w:spacing w:line="128" w:lineRule="exact"/>
              <w:ind w:left="110" w:right="86"/>
              <w:jc w:val="center"/>
              <w:rPr>
                <w:sz w:val="14"/>
              </w:rPr>
            </w:pPr>
            <w:r>
              <w:rPr>
                <w:sz w:val="14"/>
              </w:rPr>
              <w:t>0.6</w:t>
            </w:r>
          </w:p>
        </w:tc>
        <w:tc>
          <w:tcPr>
            <w:tcW w:w="481" w:type="dxa"/>
          </w:tcPr>
          <w:p>
            <w:pPr>
              <w:pStyle w:val="TableParagraph"/>
              <w:spacing w:line="128" w:lineRule="exact"/>
              <w:ind w:left="133" w:right="133"/>
              <w:jc w:val="center"/>
              <w:rPr>
                <w:sz w:val="14"/>
              </w:rPr>
            </w:pPr>
            <w:r>
              <w:rPr>
                <w:sz w:val="14"/>
              </w:rPr>
              <w:t>4.8</w:t>
            </w:r>
          </w:p>
        </w:tc>
        <w:tc>
          <w:tcPr>
            <w:tcW w:w="523" w:type="dxa"/>
          </w:tcPr>
          <w:p>
            <w:pPr>
              <w:pStyle w:val="TableParagraph"/>
              <w:spacing w:line="128" w:lineRule="exact"/>
              <w:ind w:left="135" w:right="79"/>
              <w:jc w:val="center"/>
              <w:rPr>
                <w:sz w:val="14"/>
              </w:rPr>
            </w:pPr>
            <w:r>
              <w:rPr>
                <w:sz w:val="14"/>
              </w:rPr>
              <w:t>0.0</w:t>
            </w:r>
          </w:p>
        </w:tc>
        <w:tc>
          <w:tcPr>
            <w:tcW w:w="456" w:type="dxa"/>
          </w:tcPr>
          <w:p>
            <w:pPr>
              <w:pStyle w:val="TableParagraph"/>
              <w:spacing w:line="128" w:lineRule="exact"/>
              <w:ind w:left="128" w:right="111"/>
              <w:jc w:val="center"/>
              <w:rPr>
                <w:sz w:val="14"/>
              </w:rPr>
            </w:pPr>
            <w:r>
              <w:rPr>
                <w:sz w:val="14"/>
              </w:rPr>
              <w:t>5.1</w:t>
            </w:r>
          </w:p>
        </w:tc>
        <w:tc>
          <w:tcPr>
            <w:tcW w:w="518" w:type="dxa"/>
          </w:tcPr>
          <w:p>
            <w:pPr>
              <w:pStyle w:val="TableParagraph"/>
              <w:spacing w:line="128" w:lineRule="exact"/>
              <w:ind w:left="117" w:right="138"/>
              <w:jc w:val="center"/>
              <w:rPr>
                <w:sz w:val="14"/>
              </w:rPr>
            </w:pPr>
            <w:r>
              <w:rPr>
                <w:sz w:val="14"/>
              </w:rPr>
              <w:t>-0.5</w:t>
            </w:r>
          </w:p>
        </w:tc>
        <w:tc>
          <w:tcPr>
            <w:tcW w:w="481" w:type="dxa"/>
          </w:tcPr>
          <w:p>
            <w:pPr>
              <w:pStyle w:val="TableParagraph"/>
              <w:spacing w:line="128" w:lineRule="exact"/>
              <w:ind w:right="138"/>
              <w:jc w:val="right"/>
              <w:rPr>
                <w:sz w:val="14"/>
              </w:rPr>
            </w:pPr>
            <w:r>
              <w:rPr>
                <w:sz w:val="14"/>
              </w:rPr>
              <w:t>5.3</w:t>
            </w:r>
          </w:p>
        </w:tc>
        <w:tc>
          <w:tcPr>
            <w:tcW w:w="415" w:type="dxa"/>
          </w:tcPr>
          <w:p>
            <w:pPr>
              <w:pStyle w:val="TableParagraph"/>
              <w:spacing w:line="128" w:lineRule="exact"/>
              <w:ind w:right="43"/>
              <w:jc w:val="right"/>
              <w:rPr>
                <w:sz w:val="14"/>
              </w:rPr>
            </w:pPr>
            <w:r>
              <w:rPr>
                <w:sz w:val="14"/>
              </w:rPr>
              <w:t>0.9</w:t>
            </w:r>
          </w:p>
        </w:tc>
      </w:tr>
      <w:tr>
        <w:trPr>
          <w:trHeight w:val="140" w:hRule="atLeast"/>
        </w:trPr>
        <w:tc>
          <w:tcPr>
            <w:tcW w:w="595" w:type="dxa"/>
          </w:tcPr>
          <w:p>
            <w:pPr>
              <w:pStyle w:val="TableParagraph"/>
              <w:ind w:left="50"/>
              <w:rPr>
                <w:sz w:val="14"/>
              </w:rPr>
            </w:pPr>
            <w:r>
              <w:rPr>
                <w:sz w:val="14"/>
              </w:rPr>
              <w:t>March</w:t>
            </w:r>
          </w:p>
        </w:tc>
        <w:tc>
          <w:tcPr>
            <w:tcW w:w="344" w:type="dxa"/>
          </w:tcPr>
          <w:p>
            <w:pPr>
              <w:pStyle w:val="TableParagraph"/>
              <w:ind w:left="21" w:right="107"/>
              <w:jc w:val="center"/>
              <w:rPr>
                <w:sz w:val="14"/>
              </w:rPr>
            </w:pPr>
            <w:r>
              <w:rPr>
                <w:sz w:val="14"/>
              </w:rPr>
              <w:t>4.7</w:t>
            </w:r>
          </w:p>
        </w:tc>
        <w:tc>
          <w:tcPr>
            <w:tcW w:w="503" w:type="dxa"/>
          </w:tcPr>
          <w:p>
            <w:pPr>
              <w:pStyle w:val="TableParagraph"/>
              <w:ind w:left="110" w:right="86"/>
              <w:jc w:val="center"/>
              <w:rPr>
                <w:sz w:val="14"/>
              </w:rPr>
            </w:pPr>
            <w:r>
              <w:rPr>
                <w:sz w:val="14"/>
              </w:rPr>
              <w:t>0.9</w:t>
            </w:r>
          </w:p>
        </w:tc>
        <w:tc>
          <w:tcPr>
            <w:tcW w:w="481" w:type="dxa"/>
          </w:tcPr>
          <w:p>
            <w:pPr>
              <w:pStyle w:val="TableParagraph"/>
              <w:ind w:left="133" w:right="133"/>
              <w:jc w:val="center"/>
              <w:rPr>
                <w:sz w:val="14"/>
              </w:rPr>
            </w:pPr>
            <w:r>
              <w:rPr>
                <w:sz w:val="14"/>
              </w:rPr>
              <w:t>4.2</w:t>
            </w:r>
          </w:p>
        </w:tc>
        <w:tc>
          <w:tcPr>
            <w:tcW w:w="523" w:type="dxa"/>
          </w:tcPr>
          <w:p>
            <w:pPr>
              <w:pStyle w:val="TableParagraph"/>
              <w:ind w:left="135" w:right="79"/>
              <w:jc w:val="center"/>
              <w:rPr>
                <w:sz w:val="14"/>
              </w:rPr>
            </w:pPr>
            <w:r>
              <w:rPr>
                <w:sz w:val="14"/>
              </w:rPr>
              <w:t>0.0</w:t>
            </w:r>
          </w:p>
        </w:tc>
        <w:tc>
          <w:tcPr>
            <w:tcW w:w="456" w:type="dxa"/>
          </w:tcPr>
          <w:p>
            <w:pPr>
              <w:pStyle w:val="TableParagraph"/>
              <w:ind w:left="128" w:right="111"/>
              <w:jc w:val="center"/>
              <w:rPr>
                <w:sz w:val="14"/>
              </w:rPr>
            </w:pPr>
            <w:r>
              <w:rPr>
                <w:sz w:val="14"/>
              </w:rPr>
              <w:t>5.1</w:t>
            </w:r>
          </w:p>
        </w:tc>
        <w:tc>
          <w:tcPr>
            <w:tcW w:w="518" w:type="dxa"/>
          </w:tcPr>
          <w:p>
            <w:pPr>
              <w:pStyle w:val="TableParagraph"/>
              <w:ind w:left="117" w:right="138"/>
              <w:jc w:val="center"/>
              <w:rPr>
                <w:sz w:val="14"/>
              </w:rPr>
            </w:pPr>
            <w:r>
              <w:rPr>
                <w:sz w:val="14"/>
              </w:rPr>
              <w:t>-0.6</w:t>
            </w:r>
          </w:p>
        </w:tc>
        <w:tc>
          <w:tcPr>
            <w:tcW w:w="481" w:type="dxa"/>
          </w:tcPr>
          <w:p>
            <w:pPr>
              <w:pStyle w:val="TableParagraph"/>
              <w:ind w:right="138"/>
              <w:jc w:val="right"/>
              <w:rPr>
                <w:sz w:val="14"/>
              </w:rPr>
            </w:pPr>
            <w:r>
              <w:rPr>
                <w:sz w:val="14"/>
              </w:rPr>
              <w:t>4.9</w:t>
            </w:r>
          </w:p>
        </w:tc>
        <w:tc>
          <w:tcPr>
            <w:tcW w:w="415" w:type="dxa"/>
          </w:tcPr>
          <w:p>
            <w:pPr>
              <w:pStyle w:val="TableParagraph"/>
              <w:ind w:right="43"/>
              <w:jc w:val="right"/>
              <w:rPr>
                <w:sz w:val="14"/>
              </w:rPr>
            </w:pPr>
            <w:r>
              <w:rPr>
                <w:sz w:val="14"/>
              </w:rPr>
              <w:t>1.5</w:t>
            </w:r>
          </w:p>
        </w:tc>
      </w:tr>
      <w:tr>
        <w:trPr>
          <w:trHeight w:val="140" w:hRule="atLeast"/>
        </w:trPr>
        <w:tc>
          <w:tcPr>
            <w:tcW w:w="595" w:type="dxa"/>
          </w:tcPr>
          <w:p>
            <w:pPr>
              <w:pStyle w:val="TableParagraph"/>
              <w:ind w:left="50"/>
              <w:rPr>
                <w:sz w:val="14"/>
              </w:rPr>
            </w:pPr>
            <w:r>
              <w:rPr>
                <w:sz w:val="14"/>
              </w:rPr>
              <w:t>April</w:t>
            </w:r>
          </w:p>
        </w:tc>
        <w:tc>
          <w:tcPr>
            <w:tcW w:w="344" w:type="dxa"/>
          </w:tcPr>
          <w:p>
            <w:pPr>
              <w:pStyle w:val="TableParagraph"/>
              <w:ind w:left="21" w:right="107"/>
              <w:jc w:val="center"/>
              <w:rPr>
                <w:sz w:val="14"/>
              </w:rPr>
            </w:pPr>
            <w:r>
              <w:rPr>
                <w:sz w:val="14"/>
              </w:rPr>
              <w:t>4.4</w:t>
            </w:r>
          </w:p>
        </w:tc>
        <w:tc>
          <w:tcPr>
            <w:tcW w:w="503" w:type="dxa"/>
          </w:tcPr>
          <w:p>
            <w:pPr>
              <w:pStyle w:val="TableParagraph"/>
              <w:ind w:left="110" w:right="86"/>
              <w:jc w:val="center"/>
              <w:rPr>
                <w:sz w:val="14"/>
              </w:rPr>
            </w:pPr>
            <w:r>
              <w:rPr>
                <w:sz w:val="14"/>
              </w:rPr>
              <w:t>0.0</w:t>
            </w:r>
          </w:p>
        </w:tc>
        <w:tc>
          <w:tcPr>
            <w:tcW w:w="481" w:type="dxa"/>
          </w:tcPr>
          <w:p>
            <w:pPr>
              <w:pStyle w:val="TableParagraph"/>
              <w:ind w:left="133" w:right="133"/>
              <w:jc w:val="center"/>
              <w:rPr>
                <w:sz w:val="14"/>
              </w:rPr>
            </w:pPr>
            <w:r>
              <w:rPr>
                <w:sz w:val="14"/>
              </w:rPr>
              <w:t>4.4</w:t>
            </w:r>
          </w:p>
        </w:tc>
        <w:tc>
          <w:tcPr>
            <w:tcW w:w="523" w:type="dxa"/>
          </w:tcPr>
          <w:p>
            <w:pPr>
              <w:pStyle w:val="TableParagraph"/>
              <w:ind w:left="135" w:right="79"/>
              <w:jc w:val="center"/>
              <w:rPr>
                <w:sz w:val="14"/>
              </w:rPr>
            </w:pPr>
            <w:r>
              <w:rPr>
                <w:sz w:val="14"/>
              </w:rPr>
              <w:t>0.1</w:t>
            </w:r>
          </w:p>
        </w:tc>
        <w:tc>
          <w:tcPr>
            <w:tcW w:w="456" w:type="dxa"/>
          </w:tcPr>
          <w:p>
            <w:pPr>
              <w:pStyle w:val="TableParagraph"/>
              <w:ind w:left="128" w:right="111"/>
              <w:jc w:val="center"/>
              <w:rPr>
                <w:sz w:val="14"/>
              </w:rPr>
            </w:pPr>
            <w:r>
              <w:rPr>
                <w:sz w:val="14"/>
              </w:rPr>
              <w:t>4.7</w:t>
            </w:r>
          </w:p>
        </w:tc>
        <w:tc>
          <w:tcPr>
            <w:tcW w:w="518" w:type="dxa"/>
          </w:tcPr>
          <w:p>
            <w:pPr>
              <w:pStyle w:val="TableParagraph"/>
              <w:ind w:left="117" w:right="138"/>
              <w:jc w:val="center"/>
              <w:rPr>
                <w:sz w:val="14"/>
              </w:rPr>
            </w:pPr>
            <w:r>
              <w:rPr>
                <w:sz w:val="14"/>
              </w:rPr>
              <w:t>-0.2</w:t>
            </w:r>
          </w:p>
        </w:tc>
        <w:tc>
          <w:tcPr>
            <w:tcW w:w="481" w:type="dxa"/>
          </w:tcPr>
          <w:p>
            <w:pPr>
              <w:pStyle w:val="TableParagraph"/>
              <w:ind w:right="138"/>
              <w:jc w:val="right"/>
              <w:rPr>
                <w:sz w:val="14"/>
              </w:rPr>
            </w:pPr>
            <w:r>
              <w:rPr>
                <w:sz w:val="14"/>
              </w:rPr>
              <w:t>4.4</w:t>
            </w:r>
          </w:p>
        </w:tc>
        <w:tc>
          <w:tcPr>
            <w:tcW w:w="415" w:type="dxa"/>
          </w:tcPr>
          <w:p>
            <w:pPr>
              <w:pStyle w:val="TableParagraph"/>
              <w:ind w:right="43"/>
              <w:jc w:val="right"/>
              <w:rPr>
                <w:sz w:val="14"/>
              </w:rPr>
            </w:pPr>
            <w:r>
              <w:rPr>
                <w:sz w:val="14"/>
              </w:rPr>
              <w:t>0.0</w:t>
            </w:r>
          </w:p>
        </w:tc>
      </w:tr>
      <w:tr>
        <w:trPr>
          <w:trHeight w:val="140" w:hRule="atLeast"/>
        </w:trPr>
        <w:tc>
          <w:tcPr>
            <w:tcW w:w="595" w:type="dxa"/>
          </w:tcPr>
          <w:p>
            <w:pPr>
              <w:pStyle w:val="TableParagraph"/>
              <w:ind w:left="50"/>
              <w:rPr>
                <w:sz w:val="14"/>
              </w:rPr>
            </w:pPr>
            <w:r>
              <w:rPr>
                <w:sz w:val="14"/>
              </w:rPr>
              <w:t>May</w:t>
            </w:r>
          </w:p>
        </w:tc>
        <w:tc>
          <w:tcPr>
            <w:tcW w:w="344" w:type="dxa"/>
          </w:tcPr>
          <w:p>
            <w:pPr>
              <w:pStyle w:val="TableParagraph"/>
              <w:ind w:left="21" w:right="107"/>
              <w:jc w:val="center"/>
              <w:rPr>
                <w:sz w:val="14"/>
              </w:rPr>
            </w:pPr>
            <w:r>
              <w:rPr>
                <w:sz w:val="14"/>
              </w:rPr>
              <w:t>4.6</w:t>
            </w:r>
          </w:p>
        </w:tc>
        <w:tc>
          <w:tcPr>
            <w:tcW w:w="503" w:type="dxa"/>
          </w:tcPr>
          <w:p>
            <w:pPr>
              <w:pStyle w:val="TableParagraph"/>
              <w:ind w:left="110" w:right="130"/>
              <w:jc w:val="center"/>
              <w:rPr>
                <w:sz w:val="14"/>
              </w:rPr>
            </w:pPr>
            <w:r>
              <w:rPr>
                <w:sz w:val="14"/>
              </w:rPr>
              <w:t>-0.7</w:t>
            </w:r>
          </w:p>
        </w:tc>
        <w:tc>
          <w:tcPr>
            <w:tcW w:w="481" w:type="dxa"/>
          </w:tcPr>
          <w:p>
            <w:pPr>
              <w:pStyle w:val="TableParagraph"/>
              <w:ind w:left="133" w:right="133"/>
              <w:jc w:val="center"/>
              <w:rPr>
                <w:sz w:val="14"/>
              </w:rPr>
            </w:pPr>
            <w:r>
              <w:rPr>
                <w:sz w:val="14"/>
              </w:rPr>
              <w:t>3.6</w:t>
            </w:r>
          </w:p>
        </w:tc>
        <w:tc>
          <w:tcPr>
            <w:tcW w:w="523" w:type="dxa"/>
          </w:tcPr>
          <w:p>
            <w:pPr>
              <w:pStyle w:val="TableParagraph"/>
              <w:ind w:left="135" w:right="126"/>
              <w:jc w:val="center"/>
              <w:rPr>
                <w:sz w:val="14"/>
              </w:rPr>
            </w:pPr>
            <w:r>
              <w:rPr>
                <w:sz w:val="14"/>
              </w:rPr>
              <w:t>-0.3</w:t>
            </w:r>
          </w:p>
        </w:tc>
        <w:tc>
          <w:tcPr>
            <w:tcW w:w="456" w:type="dxa"/>
          </w:tcPr>
          <w:p>
            <w:pPr>
              <w:pStyle w:val="TableParagraph"/>
              <w:ind w:left="128" w:right="111"/>
              <w:jc w:val="center"/>
              <w:rPr>
                <w:sz w:val="14"/>
              </w:rPr>
            </w:pPr>
            <w:r>
              <w:rPr>
                <w:sz w:val="14"/>
              </w:rPr>
              <w:t>4.7</w:t>
            </w:r>
          </w:p>
        </w:tc>
        <w:tc>
          <w:tcPr>
            <w:tcW w:w="518" w:type="dxa"/>
          </w:tcPr>
          <w:p>
            <w:pPr>
              <w:pStyle w:val="TableParagraph"/>
              <w:ind w:left="117" w:right="94"/>
              <w:jc w:val="center"/>
              <w:rPr>
                <w:sz w:val="14"/>
              </w:rPr>
            </w:pPr>
            <w:r>
              <w:rPr>
                <w:sz w:val="14"/>
              </w:rPr>
              <w:t>0.5</w:t>
            </w:r>
          </w:p>
        </w:tc>
        <w:tc>
          <w:tcPr>
            <w:tcW w:w="481" w:type="dxa"/>
          </w:tcPr>
          <w:p>
            <w:pPr>
              <w:pStyle w:val="TableParagraph"/>
              <w:ind w:right="138"/>
              <w:jc w:val="right"/>
              <w:rPr>
                <w:sz w:val="14"/>
              </w:rPr>
            </w:pPr>
            <w:r>
              <w:rPr>
                <w:sz w:val="14"/>
              </w:rPr>
              <w:t>5.1</w:t>
            </w:r>
          </w:p>
        </w:tc>
        <w:tc>
          <w:tcPr>
            <w:tcW w:w="415" w:type="dxa"/>
          </w:tcPr>
          <w:p>
            <w:pPr>
              <w:pStyle w:val="TableParagraph"/>
              <w:ind w:right="43"/>
              <w:jc w:val="right"/>
              <w:rPr>
                <w:sz w:val="14"/>
              </w:rPr>
            </w:pPr>
            <w:r>
              <w:rPr>
                <w:sz w:val="14"/>
              </w:rPr>
              <w:t>-1.7</w:t>
            </w:r>
          </w:p>
        </w:tc>
      </w:tr>
      <w:tr>
        <w:trPr>
          <w:trHeight w:val="140" w:hRule="atLeast"/>
        </w:trPr>
        <w:tc>
          <w:tcPr>
            <w:tcW w:w="595" w:type="dxa"/>
          </w:tcPr>
          <w:p>
            <w:pPr>
              <w:pStyle w:val="TableParagraph"/>
              <w:ind w:left="50"/>
              <w:rPr>
                <w:sz w:val="14"/>
              </w:rPr>
            </w:pPr>
            <w:r>
              <w:rPr>
                <w:sz w:val="14"/>
              </w:rPr>
              <w:t>June</w:t>
            </w:r>
          </w:p>
        </w:tc>
        <w:tc>
          <w:tcPr>
            <w:tcW w:w="344" w:type="dxa"/>
          </w:tcPr>
          <w:p>
            <w:pPr>
              <w:pStyle w:val="TableParagraph"/>
              <w:ind w:left="20" w:right="107"/>
              <w:jc w:val="center"/>
              <w:rPr>
                <w:sz w:val="14"/>
              </w:rPr>
            </w:pPr>
            <w:r>
              <w:rPr>
                <w:sz w:val="14"/>
              </w:rPr>
              <w:t>4.4</w:t>
            </w:r>
          </w:p>
        </w:tc>
        <w:tc>
          <w:tcPr>
            <w:tcW w:w="503" w:type="dxa"/>
          </w:tcPr>
          <w:p>
            <w:pPr>
              <w:pStyle w:val="TableParagraph"/>
              <w:ind w:left="110" w:right="130"/>
              <w:jc w:val="center"/>
              <w:rPr>
                <w:sz w:val="14"/>
              </w:rPr>
            </w:pPr>
            <w:r>
              <w:rPr>
                <w:sz w:val="14"/>
              </w:rPr>
              <w:t>-0.7</w:t>
            </w:r>
          </w:p>
        </w:tc>
        <w:tc>
          <w:tcPr>
            <w:tcW w:w="481" w:type="dxa"/>
          </w:tcPr>
          <w:p>
            <w:pPr>
              <w:pStyle w:val="TableParagraph"/>
              <w:ind w:left="133" w:right="133"/>
              <w:jc w:val="center"/>
              <w:rPr>
                <w:sz w:val="14"/>
              </w:rPr>
            </w:pPr>
            <w:r>
              <w:rPr>
                <w:sz w:val="14"/>
              </w:rPr>
              <w:t>3.2</w:t>
            </w:r>
          </w:p>
        </w:tc>
        <w:tc>
          <w:tcPr>
            <w:tcW w:w="523" w:type="dxa"/>
          </w:tcPr>
          <w:p>
            <w:pPr>
              <w:pStyle w:val="TableParagraph"/>
              <w:ind w:left="135" w:right="80"/>
              <w:jc w:val="center"/>
              <w:rPr>
                <w:sz w:val="14"/>
              </w:rPr>
            </w:pPr>
            <w:r>
              <w:rPr>
                <w:sz w:val="14"/>
              </w:rPr>
              <w:t>0.0</w:t>
            </w:r>
          </w:p>
        </w:tc>
        <w:tc>
          <w:tcPr>
            <w:tcW w:w="456" w:type="dxa"/>
          </w:tcPr>
          <w:p>
            <w:pPr>
              <w:pStyle w:val="TableParagraph"/>
              <w:ind w:left="128" w:right="112"/>
              <w:jc w:val="center"/>
              <w:rPr>
                <w:sz w:val="14"/>
              </w:rPr>
            </w:pPr>
            <w:r>
              <w:rPr>
                <w:sz w:val="14"/>
              </w:rPr>
              <w:t>4.7</w:t>
            </w:r>
          </w:p>
        </w:tc>
        <w:tc>
          <w:tcPr>
            <w:tcW w:w="518" w:type="dxa"/>
          </w:tcPr>
          <w:p>
            <w:pPr>
              <w:pStyle w:val="TableParagraph"/>
              <w:ind w:left="117" w:right="138"/>
              <w:jc w:val="center"/>
              <w:rPr>
                <w:sz w:val="14"/>
              </w:rPr>
            </w:pPr>
            <w:r>
              <w:rPr>
                <w:sz w:val="14"/>
              </w:rPr>
              <w:t>-0.1</w:t>
            </w:r>
          </w:p>
        </w:tc>
        <w:tc>
          <w:tcPr>
            <w:tcW w:w="481" w:type="dxa"/>
          </w:tcPr>
          <w:p>
            <w:pPr>
              <w:pStyle w:val="TableParagraph"/>
              <w:ind w:right="139"/>
              <w:jc w:val="right"/>
              <w:rPr>
                <w:sz w:val="14"/>
              </w:rPr>
            </w:pPr>
            <w:r>
              <w:rPr>
                <w:sz w:val="14"/>
              </w:rPr>
              <w:t>4.7</w:t>
            </w:r>
          </w:p>
        </w:tc>
        <w:tc>
          <w:tcPr>
            <w:tcW w:w="415" w:type="dxa"/>
          </w:tcPr>
          <w:p>
            <w:pPr>
              <w:pStyle w:val="TableParagraph"/>
              <w:ind w:right="44"/>
              <w:jc w:val="right"/>
              <w:rPr>
                <w:sz w:val="14"/>
              </w:rPr>
            </w:pPr>
            <w:r>
              <w:rPr>
                <w:sz w:val="14"/>
              </w:rPr>
              <w:t>-1.5</w:t>
            </w:r>
          </w:p>
        </w:tc>
      </w:tr>
      <w:tr>
        <w:trPr>
          <w:trHeight w:val="140" w:hRule="atLeast"/>
        </w:trPr>
        <w:tc>
          <w:tcPr>
            <w:tcW w:w="595" w:type="dxa"/>
          </w:tcPr>
          <w:p>
            <w:pPr>
              <w:pStyle w:val="TableParagraph"/>
              <w:ind w:left="50"/>
              <w:rPr>
                <w:sz w:val="14"/>
              </w:rPr>
            </w:pPr>
            <w:r>
              <w:rPr>
                <w:sz w:val="14"/>
              </w:rPr>
              <w:t>July</w:t>
            </w:r>
          </w:p>
        </w:tc>
        <w:tc>
          <w:tcPr>
            <w:tcW w:w="344" w:type="dxa"/>
          </w:tcPr>
          <w:p>
            <w:pPr>
              <w:pStyle w:val="TableParagraph"/>
              <w:ind w:left="21" w:right="107"/>
              <w:jc w:val="center"/>
              <w:rPr>
                <w:sz w:val="14"/>
              </w:rPr>
            </w:pPr>
            <w:r>
              <w:rPr>
                <w:sz w:val="14"/>
              </w:rPr>
              <w:t>4.2</w:t>
            </w:r>
          </w:p>
        </w:tc>
        <w:tc>
          <w:tcPr>
            <w:tcW w:w="503" w:type="dxa"/>
          </w:tcPr>
          <w:p>
            <w:pPr>
              <w:pStyle w:val="TableParagraph"/>
              <w:ind w:left="110" w:right="130"/>
              <w:jc w:val="center"/>
              <w:rPr>
                <w:sz w:val="14"/>
              </w:rPr>
            </w:pPr>
            <w:r>
              <w:rPr>
                <w:sz w:val="14"/>
              </w:rPr>
              <w:t>-0.6</w:t>
            </w:r>
          </w:p>
        </w:tc>
        <w:tc>
          <w:tcPr>
            <w:tcW w:w="481" w:type="dxa"/>
          </w:tcPr>
          <w:p>
            <w:pPr>
              <w:pStyle w:val="TableParagraph"/>
              <w:ind w:left="133" w:right="133"/>
              <w:jc w:val="center"/>
              <w:rPr>
                <w:sz w:val="14"/>
              </w:rPr>
            </w:pPr>
            <w:r>
              <w:rPr>
                <w:sz w:val="14"/>
              </w:rPr>
              <w:t>3.7</w:t>
            </w:r>
          </w:p>
        </w:tc>
        <w:tc>
          <w:tcPr>
            <w:tcW w:w="523" w:type="dxa"/>
          </w:tcPr>
          <w:p>
            <w:pPr>
              <w:pStyle w:val="TableParagraph"/>
              <w:ind w:left="135" w:right="126"/>
              <w:jc w:val="center"/>
              <w:rPr>
                <w:sz w:val="14"/>
              </w:rPr>
            </w:pPr>
            <w:r>
              <w:rPr>
                <w:sz w:val="14"/>
              </w:rPr>
              <w:t>-0.2</w:t>
            </w:r>
          </w:p>
        </w:tc>
        <w:tc>
          <w:tcPr>
            <w:tcW w:w="456" w:type="dxa"/>
          </w:tcPr>
          <w:p>
            <w:pPr>
              <w:pStyle w:val="TableParagraph"/>
              <w:ind w:left="128" w:right="111"/>
              <w:jc w:val="center"/>
              <w:rPr>
                <w:sz w:val="14"/>
              </w:rPr>
            </w:pPr>
            <w:r>
              <w:rPr>
                <w:sz w:val="14"/>
              </w:rPr>
              <w:t>4.4</w:t>
            </w:r>
          </w:p>
        </w:tc>
        <w:tc>
          <w:tcPr>
            <w:tcW w:w="518" w:type="dxa"/>
          </w:tcPr>
          <w:p>
            <w:pPr>
              <w:pStyle w:val="TableParagraph"/>
              <w:ind w:left="117" w:right="94"/>
              <w:jc w:val="center"/>
              <w:rPr>
                <w:sz w:val="14"/>
              </w:rPr>
            </w:pPr>
            <w:r>
              <w:rPr>
                <w:sz w:val="14"/>
              </w:rPr>
              <w:t>0.0</w:t>
            </w:r>
          </w:p>
        </w:tc>
        <w:tc>
          <w:tcPr>
            <w:tcW w:w="481" w:type="dxa"/>
          </w:tcPr>
          <w:p>
            <w:pPr>
              <w:pStyle w:val="TableParagraph"/>
              <w:ind w:right="138"/>
              <w:jc w:val="right"/>
              <w:rPr>
                <w:sz w:val="14"/>
              </w:rPr>
            </w:pPr>
            <w:r>
              <w:rPr>
                <w:sz w:val="14"/>
              </w:rPr>
              <w:t>4.2</w:t>
            </w:r>
          </w:p>
        </w:tc>
        <w:tc>
          <w:tcPr>
            <w:tcW w:w="415" w:type="dxa"/>
          </w:tcPr>
          <w:p>
            <w:pPr>
              <w:pStyle w:val="TableParagraph"/>
              <w:ind w:right="43"/>
              <w:jc w:val="right"/>
              <w:rPr>
                <w:sz w:val="14"/>
              </w:rPr>
            </w:pPr>
            <w:r>
              <w:rPr>
                <w:sz w:val="14"/>
              </w:rPr>
              <w:t>-0.9</w:t>
            </w:r>
          </w:p>
        </w:tc>
      </w:tr>
      <w:tr>
        <w:trPr>
          <w:trHeight w:val="147" w:hRule="atLeast"/>
        </w:trPr>
        <w:tc>
          <w:tcPr>
            <w:tcW w:w="595" w:type="dxa"/>
          </w:tcPr>
          <w:p>
            <w:pPr>
              <w:pStyle w:val="TableParagraph"/>
              <w:spacing w:line="128" w:lineRule="exact"/>
              <w:ind w:left="50"/>
              <w:rPr>
                <w:sz w:val="14"/>
              </w:rPr>
            </w:pPr>
            <w:r>
              <w:rPr>
                <w:sz w:val="14"/>
              </w:rPr>
              <w:t>August</w:t>
            </w:r>
          </w:p>
        </w:tc>
        <w:tc>
          <w:tcPr>
            <w:tcW w:w="344" w:type="dxa"/>
          </w:tcPr>
          <w:p>
            <w:pPr>
              <w:pStyle w:val="TableParagraph"/>
              <w:spacing w:line="128" w:lineRule="exact"/>
              <w:ind w:left="20" w:right="107"/>
              <w:jc w:val="center"/>
              <w:rPr>
                <w:sz w:val="14"/>
              </w:rPr>
            </w:pPr>
            <w:r>
              <w:rPr>
                <w:sz w:val="14"/>
              </w:rPr>
              <w:t>4.3</w:t>
            </w:r>
          </w:p>
        </w:tc>
        <w:tc>
          <w:tcPr>
            <w:tcW w:w="503" w:type="dxa"/>
          </w:tcPr>
          <w:p>
            <w:pPr>
              <w:pStyle w:val="TableParagraph"/>
              <w:spacing w:line="128" w:lineRule="exact"/>
              <w:ind w:left="110" w:right="130"/>
              <w:jc w:val="center"/>
              <w:rPr>
                <w:sz w:val="14"/>
              </w:rPr>
            </w:pPr>
            <w:r>
              <w:rPr>
                <w:sz w:val="14"/>
              </w:rPr>
              <w:t>-0.2</w:t>
            </w:r>
          </w:p>
        </w:tc>
        <w:tc>
          <w:tcPr>
            <w:tcW w:w="481" w:type="dxa"/>
          </w:tcPr>
          <w:p>
            <w:pPr>
              <w:pStyle w:val="TableParagraph"/>
              <w:spacing w:line="128" w:lineRule="exact"/>
              <w:ind w:left="133" w:right="133"/>
              <w:jc w:val="center"/>
              <w:rPr>
                <w:sz w:val="14"/>
              </w:rPr>
            </w:pPr>
            <w:r>
              <w:rPr>
                <w:sz w:val="14"/>
              </w:rPr>
              <w:t>3.6</w:t>
            </w:r>
          </w:p>
        </w:tc>
        <w:tc>
          <w:tcPr>
            <w:tcW w:w="523" w:type="dxa"/>
          </w:tcPr>
          <w:p>
            <w:pPr>
              <w:pStyle w:val="TableParagraph"/>
              <w:spacing w:line="128" w:lineRule="exact"/>
              <w:ind w:left="135" w:right="126"/>
              <w:jc w:val="center"/>
              <w:rPr>
                <w:sz w:val="14"/>
              </w:rPr>
            </w:pPr>
            <w:r>
              <w:rPr>
                <w:sz w:val="14"/>
              </w:rPr>
              <w:t>-0.1</w:t>
            </w:r>
          </w:p>
        </w:tc>
        <w:tc>
          <w:tcPr>
            <w:tcW w:w="456" w:type="dxa"/>
          </w:tcPr>
          <w:p>
            <w:pPr>
              <w:pStyle w:val="TableParagraph"/>
              <w:spacing w:line="128" w:lineRule="exact"/>
              <w:ind w:left="128" w:right="112"/>
              <w:jc w:val="center"/>
              <w:rPr>
                <w:sz w:val="14"/>
              </w:rPr>
            </w:pPr>
            <w:r>
              <w:rPr>
                <w:sz w:val="14"/>
              </w:rPr>
              <w:t>3.6</w:t>
            </w:r>
          </w:p>
        </w:tc>
        <w:tc>
          <w:tcPr>
            <w:tcW w:w="518" w:type="dxa"/>
          </w:tcPr>
          <w:p>
            <w:pPr>
              <w:pStyle w:val="TableParagraph"/>
              <w:spacing w:line="128" w:lineRule="exact"/>
              <w:ind w:left="117" w:right="95"/>
              <w:jc w:val="center"/>
              <w:rPr>
                <w:sz w:val="14"/>
              </w:rPr>
            </w:pPr>
            <w:r>
              <w:rPr>
                <w:sz w:val="14"/>
              </w:rPr>
              <w:t>0.2</w:t>
            </w:r>
          </w:p>
        </w:tc>
        <w:tc>
          <w:tcPr>
            <w:tcW w:w="481" w:type="dxa"/>
          </w:tcPr>
          <w:p>
            <w:pPr>
              <w:pStyle w:val="TableParagraph"/>
              <w:spacing w:line="128" w:lineRule="exact"/>
              <w:ind w:right="139"/>
              <w:jc w:val="right"/>
              <w:rPr>
                <w:sz w:val="14"/>
              </w:rPr>
            </w:pPr>
            <w:r>
              <w:rPr>
                <w:sz w:val="14"/>
              </w:rPr>
              <w:t>4.9</w:t>
            </w:r>
          </w:p>
        </w:tc>
        <w:tc>
          <w:tcPr>
            <w:tcW w:w="415" w:type="dxa"/>
          </w:tcPr>
          <w:p>
            <w:pPr>
              <w:pStyle w:val="TableParagraph"/>
              <w:spacing w:line="128" w:lineRule="exact"/>
              <w:ind w:right="44"/>
              <w:jc w:val="right"/>
              <w:rPr>
                <w:sz w:val="14"/>
              </w:rPr>
            </w:pPr>
            <w:r>
              <w:rPr>
                <w:sz w:val="14"/>
              </w:rPr>
              <w:t>-0.3</w:t>
            </w:r>
          </w:p>
        </w:tc>
      </w:tr>
    </w:tbl>
    <w:p>
      <w:pPr>
        <w:pStyle w:val="ListParagraph"/>
        <w:numPr>
          <w:ilvl w:val="0"/>
          <w:numId w:val="30"/>
        </w:numPr>
        <w:tabs>
          <w:tab w:pos="368" w:val="left" w:leader="none"/>
        </w:tabs>
        <w:spacing w:line="129" w:lineRule="exact" w:before="117" w:after="0"/>
        <w:ind w:left="367" w:right="0" w:hanging="188"/>
        <w:jc w:val="left"/>
        <w:rPr>
          <w:sz w:val="12"/>
        </w:rPr>
      </w:pPr>
      <w:r>
        <w:rPr>
          <w:sz w:val="12"/>
        </w:rPr>
        <w:t>Annual percentage changes. Not seasonally</w:t>
      </w:r>
      <w:r>
        <w:rPr>
          <w:spacing w:val="-9"/>
          <w:sz w:val="12"/>
        </w:rPr>
        <w:t> </w:t>
      </w:r>
      <w:r>
        <w:rPr>
          <w:sz w:val="12"/>
        </w:rPr>
        <w:t>adjusted.</w:t>
      </w:r>
    </w:p>
    <w:p>
      <w:pPr>
        <w:pStyle w:val="ListParagraph"/>
        <w:numPr>
          <w:ilvl w:val="0"/>
          <w:numId w:val="30"/>
        </w:numPr>
        <w:tabs>
          <w:tab w:pos="381" w:val="left" w:leader="none"/>
        </w:tabs>
        <w:spacing w:line="129" w:lineRule="exact" w:before="0" w:after="0"/>
        <w:ind w:left="380" w:right="0" w:hanging="201"/>
        <w:jc w:val="left"/>
        <w:rPr>
          <w:sz w:val="12"/>
        </w:rPr>
      </w:pPr>
      <w:r>
        <w:rPr>
          <w:sz w:val="12"/>
        </w:rPr>
        <w:t>Percentage</w:t>
      </w:r>
      <w:r>
        <w:rPr>
          <w:spacing w:val="-2"/>
          <w:sz w:val="12"/>
        </w:rPr>
        <w:t> </w:t>
      </w:r>
      <w:r>
        <w:rPr>
          <w:sz w:val="12"/>
        </w:rPr>
        <w:t>points.</w:t>
      </w:r>
    </w:p>
    <w:p>
      <w:pPr>
        <w:pStyle w:val="Heading4"/>
        <w:numPr>
          <w:ilvl w:val="1"/>
          <w:numId w:val="26"/>
        </w:numPr>
        <w:tabs>
          <w:tab w:pos="1118" w:val="left" w:leader="none"/>
          <w:tab w:pos="1119" w:val="left" w:leader="none"/>
        </w:tabs>
        <w:spacing w:line="301" w:lineRule="exact" w:before="210" w:after="0"/>
        <w:ind w:left="1118" w:right="0" w:hanging="969"/>
        <w:jc w:val="left"/>
        <w:rPr>
          <w:color w:val="009391"/>
        </w:rPr>
      </w:pPr>
      <w:r>
        <w:rPr>
          <w:color w:val="009391"/>
          <w:spacing w:val="-1"/>
        </w:rPr>
        <w:br w:type="column"/>
      </w:r>
      <w:r>
        <w:rPr>
          <w:color w:val="009391"/>
        </w:rPr>
        <w:t>Earnings, settlements and unit</w:t>
      </w:r>
      <w:r>
        <w:rPr>
          <w:color w:val="009391"/>
          <w:spacing w:val="-16"/>
        </w:rPr>
        <w:t> </w:t>
      </w:r>
      <w:r>
        <w:rPr>
          <w:color w:val="009391"/>
        </w:rPr>
        <w:t>wage</w:t>
      </w:r>
    </w:p>
    <w:p>
      <w:pPr>
        <w:tabs>
          <w:tab w:pos="4854" w:val="left" w:leader="none"/>
          <w:tab w:pos="5639" w:val="left" w:leader="none"/>
        </w:tabs>
        <w:spacing w:line="301" w:lineRule="exact" w:before="0"/>
        <w:ind w:left="150" w:right="0" w:firstLine="0"/>
        <w:jc w:val="left"/>
        <w:rPr>
          <w:b/>
          <w:sz w:val="28"/>
        </w:rPr>
      </w:pPr>
      <w:r>
        <w:rPr>
          <w:b/>
          <w:color w:val="009391"/>
          <w:sz w:val="28"/>
          <w:u w:val="thick" w:color="0092C7"/>
        </w:rPr>
        <w:t> </w:t>
        <w:tab/>
        <w:t>costs</w:t>
        <w:tab/>
      </w:r>
    </w:p>
    <w:p>
      <w:pPr>
        <w:pStyle w:val="BodyText"/>
        <w:spacing w:line="242" w:lineRule="auto" w:before="264"/>
        <w:ind w:left="150" w:right="192"/>
      </w:pPr>
      <w:r>
        <w:rPr/>
        <w:t>Earnings growth, as measured by the Average Earnings Index (AEI), has been weaker in recent months than expected by the MPC at the time of the August </w:t>
      </w:r>
      <w:r>
        <w:rPr>
          <w:i/>
        </w:rPr>
        <w:t>Report</w:t>
      </w:r>
      <w:r>
        <w:rPr/>
        <w:t>. The AEI headline rate of annual nominal earnings growth fell from 4.6% in May to 3.9% in July and August (see Chart 3.14), the lowest rate for four years. That slowdown is difficult to reconcile with the low and falling rate of unemployment, continued strong growth of employment, and growing reports of skill shortages and recruitment difficulties.</w:t>
      </w:r>
    </w:p>
    <w:p>
      <w:pPr>
        <w:pStyle w:val="BodyText"/>
        <w:spacing w:before="2"/>
        <w:rPr>
          <w:sz w:val="27"/>
        </w:rPr>
      </w:pPr>
    </w:p>
    <w:p>
      <w:pPr>
        <w:pStyle w:val="BodyText"/>
        <w:spacing w:line="242" w:lineRule="auto" w:before="1"/>
        <w:ind w:left="150" w:right="206"/>
      </w:pPr>
      <w:r>
        <w:rPr/>
        <w:t>Headline earnings growth has slowed in both the </w:t>
      </w:r>
      <w:r>
        <w:rPr>
          <w:spacing w:val="-3"/>
        </w:rPr>
        <w:t>private </w:t>
      </w:r>
      <w:r>
        <w:rPr/>
        <w:t>and public sectors since </w:t>
      </w:r>
      <w:r>
        <w:rPr>
          <w:spacing w:val="-5"/>
        </w:rPr>
        <w:t>May, </w:t>
      </w:r>
      <w:r>
        <w:rPr/>
        <w:t>although both rates edged back up in August (see Chart 3.14). The </w:t>
      </w:r>
      <w:r>
        <w:rPr>
          <w:spacing w:val="-3"/>
        </w:rPr>
        <w:t>private </w:t>
      </w:r>
      <w:r>
        <w:rPr/>
        <w:t>sector </w:t>
      </w:r>
      <w:r>
        <w:rPr>
          <w:spacing w:val="-3"/>
        </w:rPr>
        <w:t>slowdown </w:t>
      </w:r>
      <w:r>
        <w:rPr/>
        <w:t>mainly reflected falling earnings growth in the services component (see Chart 3.15). Manufacturing earnings growth has been more stable, at a higher </w:t>
      </w:r>
      <w:r>
        <w:rPr>
          <w:spacing w:val="-3"/>
        </w:rPr>
        <w:t>level. </w:t>
      </w:r>
      <w:r>
        <w:rPr/>
        <w:t>That is surprising </w:t>
      </w:r>
      <w:r>
        <w:rPr>
          <w:spacing w:val="-3"/>
        </w:rPr>
        <w:t>given </w:t>
      </w:r>
      <w:r>
        <w:rPr/>
        <w:t>the relative employment developments in the two</w:t>
      </w:r>
      <w:r>
        <w:rPr>
          <w:spacing w:val="-8"/>
        </w:rPr>
        <w:t> </w:t>
      </w:r>
      <w:r>
        <w:rPr/>
        <w:t>sectors.</w:t>
      </w:r>
    </w:p>
    <w:p>
      <w:pPr>
        <w:pStyle w:val="BodyText"/>
        <w:spacing w:before="11"/>
        <w:rPr>
          <w:sz w:val="26"/>
        </w:rPr>
      </w:pPr>
    </w:p>
    <w:p>
      <w:pPr>
        <w:pStyle w:val="BodyText"/>
        <w:spacing w:line="242" w:lineRule="auto"/>
        <w:ind w:left="150" w:right="182"/>
      </w:pPr>
      <w:r>
        <w:rPr/>
        <w:t>Earnings</w:t>
      </w:r>
      <w:r>
        <w:rPr>
          <w:spacing w:val="-7"/>
        </w:rPr>
        <w:t> </w:t>
      </w:r>
      <w:r>
        <w:rPr/>
        <w:t>growth</w:t>
      </w:r>
      <w:r>
        <w:rPr>
          <w:spacing w:val="-6"/>
        </w:rPr>
        <w:t> </w:t>
      </w:r>
      <w:r>
        <w:rPr/>
        <w:t>edged</w:t>
      </w:r>
      <w:r>
        <w:rPr>
          <w:spacing w:val="-6"/>
        </w:rPr>
        <w:t> </w:t>
      </w:r>
      <w:r>
        <w:rPr/>
        <w:t>up</w:t>
      </w:r>
      <w:r>
        <w:rPr>
          <w:spacing w:val="-6"/>
        </w:rPr>
        <w:t> </w:t>
      </w:r>
      <w:r>
        <w:rPr/>
        <w:t>in</w:t>
      </w:r>
      <w:r>
        <w:rPr>
          <w:spacing w:val="-6"/>
        </w:rPr>
        <w:t> </w:t>
      </w:r>
      <w:r>
        <w:rPr/>
        <w:t>the</w:t>
      </w:r>
      <w:r>
        <w:rPr>
          <w:spacing w:val="-6"/>
        </w:rPr>
        <w:t> </w:t>
      </w:r>
      <w:r>
        <w:rPr/>
        <w:t>raw</w:t>
      </w:r>
      <w:r>
        <w:rPr>
          <w:spacing w:val="-6"/>
        </w:rPr>
        <w:t> </w:t>
      </w:r>
      <w:r>
        <w:rPr/>
        <w:t>annual</w:t>
      </w:r>
      <w:r>
        <w:rPr>
          <w:spacing w:val="-6"/>
        </w:rPr>
        <w:t> </w:t>
      </w:r>
      <w:r>
        <w:rPr/>
        <w:t>growth</w:t>
      </w:r>
      <w:r>
        <w:rPr>
          <w:spacing w:val="-7"/>
        </w:rPr>
        <w:t> </w:t>
      </w:r>
      <w:r>
        <w:rPr/>
        <w:t>rates for August (the final of the three observations used to calculate the headline rate for August). </w:t>
      </w:r>
      <w:r>
        <w:rPr>
          <w:spacing w:val="-3"/>
        </w:rPr>
        <w:t>Specifically, </w:t>
      </w:r>
      <w:r>
        <w:rPr/>
        <w:t>annual whole-economy earnings growth rose from 3.8% in July to 4.1% in August, reflecting a significant rise in the </w:t>
      </w:r>
      <w:r>
        <w:rPr>
          <w:spacing w:val="-3"/>
        </w:rPr>
        <w:t>private </w:t>
      </w:r>
      <w:r>
        <w:rPr/>
        <w:t>sector services component. But it is too early to discern whether these rises presage higher earnings growth: raw annual growth rates can be volatile and such growth rates remain weak outside </w:t>
      </w:r>
      <w:r>
        <w:rPr>
          <w:spacing w:val="-3"/>
        </w:rPr>
        <w:t>private </w:t>
      </w:r>
      <w:r>
        <w:rPr/>
        <w:t>sector services.</w:t>
      </w:r>
    </w:p>
    <w:p>
      <w:pPr>
        <w:pStyle w:val="BodyText"/>
        <w:spacing w:before="2"/>
        <w:rPr>
          <w:sz w:val="27"/>
        </w:rPr>
      </w:pPr>
    </w:p>
    <w:p>
      <w:pPr>
        <w:pStyle w:val="BodyText"/>
        <w:spacing w:line="242" w:lineRule="auto"/>
        <w:ind w:left="150" w:right="167"/>
      </w:pPr>
      <w:r>
        <w:rPr/>
        <w:t>Earnings growth can be expressed as a combination of growth in regular pay and the contribution from bonus payments. </w:t>
      </w:r>
      <w:r>
        <w:rPr>
          <w:spacing w:val="-5"/>
        </w:rPr>
        <w:t>Table </w:t>
      </w:r>
      <w:r>
        <w:rPr/>
        <w:t>3.C reports ONS estimates of this split for the raw annual growth rates of earnings. It shows that the weakness in earnings growth in recent months partly</w:t>
      </w:r>
      <w:r>
        <w:rPr>
          <w:spacing w:val="-8"/>
        </w:rPr>
        <w:t> </w:t>
      </w:r>
      <w:r>
        <w:rPr/>
        <w:t>reflects</w:t>
      </w:r>
      <w:r>
        <w:rPr>
          <w:spacing w:val="-7"/>
        </w:rPr>
        <w:t> </w:t>
      </w:r>
      <w:r>
        <w:rPr/>
        <w:t>regular</w:t>
      </w:r>
      <w:r>
        <w:rPr>
          <w:spacing w:val="-7"/>
        </w:rPr>
        <w:t> </w:t>
      </w:r>
      <w:r>
        <w:rPr/>
        <w:t>pay</w:t>
      </w:r>
      <w:r>
        <w:rPr>
          <w:spacing w:val="-7"/>
        </w:rPr>
        <w:t> </w:t>
      </w:r>
      <w:r>
        <w:rPr/>
        <w:t>growth</w:t>
      </w:r>
      <w:r>
        <w:rPr>
          <w:spacing w:val="-7"/>
        </w:rPr>
        <w:t> </w:t>
      </w:r>
      <w:r>
        <w:rPr/>
        <w:t>edging</w:t>
      </w:r>
      <w:r>
        <w:rPr>
          <w:spacing w:val="-7"/>
        </w:rPr>
        <w:t> </w:t>
      </w:r>
      <w:r>
        <w:rPr/>
        <w:t>down</w:t>
      </w:r>
      <w:r>
        <w:rPr>
          <w:spacing w:val="-7"/>
        </w:rPr>
        <w:t> </w:t>
      </w:r>
      <w:r>
        <w:rPr/>
        <w:t>to</w:t>
      </w:r>
      <w:r>
        <w:rPr>
          <w:spacing w:val="-7"/>
        </w:rPr>
        <w:t> </w:t>
      </w:r>
      <w:r>
        <w:rPr/>
        <w:t>around 4</w:t>
      </w:r>
      <w:r>
        <w:rPr>
          <w:position w:val="8"/>
          <w:sz w:val="12"/>
        </w:rPr>
        <w:t>1</w:t>
      </w:r>
      <w:r>
        <w:rPr/>
        <w:t>/</w:t>
      </w:r>
      <w:r>
        <w:rPr>
          <w:sz w:val="12"/>
        </w:rPr>
        <w:t>4</w:t>
      </w:r>
      <w:r>
        <w:rPr/>
        <w:t>% to 4</w:t>
      </w:r>
      <w:r>
        <w:rPr>
          <w:position w:val="8"/>
          <w:sz w:val="12"/>
        </w:rPr>
        <w:t>1</w:t>
      </w:r>
      <w:r>
        <w:rPr/>
        <w:t>/</w:t>
      </w:r>
      <w:r>
        <w:rPr>
          <w:sz w:val="12"/>
        </w:rPr>
        <w:t>2</w:t>
      </w:r>
      <w:r>
        <w:rPr/>
        <w:t>%, from the 4</w:t>
      </w:r>
      <w:r>
        <w:rPr>
          <w:position w:val="8"/>
          <w:sz w:val="12"/>
        </w:rPr>
        <w:t>1</w:t>
      </w:r>
      <w:r>
        <w:rPr/>
        <w:t>/</w:t>
      </w:r>
      <w:r>
        <w:rPr>
          <w:sz w:val="12"/>
        </w:rPr>
        <w:t>2</w:t>
      </w:r>
      <w:r>
        <w:rPr/>
        <w:t>% to 4</w:t>
      </w:r>
      <w:r>
        <w:rPr>
          <w:position w:val="8"/>
          <w:sz w:val="12"/>
        </w:rPr>
        <w:t>3</w:t>
      </w:r>
      <w:r>
        <w:rPr/>
        <w:t>/</w:t>
      </w:r>
      <w:r>
        <w:rPr>
          <w:sz w:val="12"/>
        </w:rPr>
        <w:t>4</w:t>
      </w:r>
      <w:r>
        <w:rPr/>
        <w:t>% range recorded earlier in the </w:t>
      </w:r>
      <w:r>
        <w:rPr>
          <w:spacing w:val="-4"/>
        </w:rPr>
        <w:t>year. </w:t>
      </w:r>
      <w:r>
        <w:rPr/>
        <w:t>This </w:t>
      </w:r>
      <w:r>
        <w:rPr>
          <w:spacing w:val="-3"/>
        </w:rPr>
        <w:t>slowdown </w:t>
      </w:r>
      <w:r>
        <w:rPr/>
        <w:t>in regular pay growth is again surprising </w:t>
      </w:r>
      <w:r>
        <w:rPr>
          <w:spacing w:val="-3"/>
        </w:rPr>
        <w:t>given </w:t>
      </w:r>
      <w:r>
        <w:rPr/>
        <w:t>the strong demand for labour discussed in </w:t>
      </w:r>
      <w:hyperlink w:history="true" w:anchor="_bookmark19">
        <w:r>
          <w:rPr>
            <w:color w:val="FF0000"/>
          </w:rPr>
          <w:t>Section</w:t>
        </w:r>
        <w:r>
          <w:rPr>
            <w:color w:val="FF0000"/>
            <w:spacing w:val="-3"/>
          </w:rPr>
          <w:t> </w:t>
        </w:r>
        <w:r>
          <w:rPr>
            <w:color w:val="FF0000"/>
          </w:rPr>
          <w:t>3.1</w:t>
        </w:r>
        <w:r>
          <w:rPr/>
          <w:t>.</w:t>
        </w:r>
      </w:hyperlink>
    </w:p>
    <w:p>
      <w:pPr>
        <w:pStyle w:val="BodyText"/>
        <w:spacing w:before="10"/>
        <w:rPr>
          <w:sz w:val="28"/>
        </w:rPr>
      </w:pPr>
    </w:p>
    <w:p>
      <w:pPr>
        <w:pStyle w:val="BodyText"/>
        <w:spacing w:line="242" w:lineRule="auto"/>
        <w:ind w:left="150" w:right="192"/>
      </w:pPr>
      <w:r>
        <w:rPr/>
        <w:t>The recent weakness of earnings growth in recent months, however, mainly reflects bonus payments being smaller this year than last year—bonuses made negative contributions</w:t>
      </w:r>
      <w:r>
        <w:rPr>
          <w:position w:val="5"/>
          <w:sz w:val="16"/>
        </w:rPr>
        <w:t>(1) </w:t>
      </w:r>
      <w:r>
        <w:rPr/>
        <w:t>to whole-economy earnings growth</w:t>
      </w:r>
    </w:p>
    <w:p>
      <w:pPr>
        <w:spacing w:after="0" w:line="242" w:lineRule="auto"/>
        <w:sectPr>
          <w:type w:val="continuous"/>
          <w:pgSz w:w="11900" w:h="16840"/>
          <w:pgMar w:top="1260" w:bottom="280" w:left="640" w:right="640"/>
          <w:cols w:num="2" w:equalWidth="0">
            <w:col w:w="4691" w:space="134"/>
            <w:col w:w="5795"/>
          </w:cols>
        </w:sectPr>
      </w:pPr>
    </w:p>
    <w:p>
      <w:pPr>
        <w:pStyle w:val="BodyText"/>
        <w:rPr>
          <w:sz w:val="17"/>
        </w:rPr>
      </w:pPr>
    </w:p>
    <w:p>
      <w:pPr>
        <w:pStyle w:val="BodyText"/>
        <w:spacing w:line="20" w:lineRule="exact"/>
        <w:ind w:left="4933"/>
        <w:rPr>
          <w:sz w:val="2"/>
        </w:rPr>
      </w:pPr>
      <w:r>
        <w:rPr>
          <w:sz w:val="2"/>
        </w:rPr>
        <w:pict>
          <v:group style="width:278pt;height:.15pt;mso-position-horizontal-relative:char;mso-position-vertical-relative:line" coordorigin="0,0" coordsize="5560,3">
            <v:line style="position:absolute" from="0,1" to="5560,1" stroked="true" strokeweight=".125pt" strokecolor="#000000">
              <v:stroke dashstyle="solid"/>
            </v:line>
          </v:group>
        </w:pict>
      </w:r>
      <w:r>
        <w:rPr>
          <w:sz w:val="2"/>
        </w:rPr>
      </w:r>
    </w:p>
    <w:p>
      <w:pPr>
        <w:pStyle w:val="ListParagraph"/>
        <w:numPr>
          <w:ilvl w:val="2"/>
          <w:numId w:val="26"/>
        </w:numPr>
        <w:tabs>
          <w:tab w:pos="5206" w:val="left" w:leader="none"/>
        </w:tabs>
        <w:spacing w:line="208" w:lineRule="auto" w:before="24" w:after="0"/>
        <w:ind w:left="5205" w:right="650" w:hanging="240"/>
        <w:jc w:val="left"/>
        <w:rPr>
          <w:sz w:val="16"/>
        </w:rPr>
      </w:pPr>
      <w:r>
        <w:rPr>
          <w:sz w:val="16"/>
        </w:rPr>
        <w:t>Bonuses</w:t>
      </w:r>
      <w:r>
        <w:rPr>
          <w:spacing w:val="-8"/>
          <w:sz w:val="16"/>
        </w:rPr>
        <w:t> </w:t>
      </w:r>
      <w:r>
        <w:rPr>
          <w:sz w:val="16"/>
        </w:rPr>
        <w:t>make</w:t>
      </w:r>
      <w:r>
        <w:rPr>
          <w:spacing w:val="-7"/>
          <w:sz w:val="16"/>
        </w:rPr>
        <w:t> </w:t>
      </w:r>
      <w:r>
        <w:rPr>
          <w:sz w:val="16"/>
        </w:rPr>
        <w:t>a</w:t>
      </w:r>
      <w:r>
        <w:rPr>
          <w:spacing w:val="-8"/>
          <w:sz w:val="16"/>
        </w:rPr>
        <w:t> </w:t>
      </w:r>
      <w:r>
        <w:rPr>
          <w:sz w:val="16"/>
        </w:rPr>
        <w:t>negative</w:t>
      </w:r>
      <w:r>
        <w:rPr>
          <w:spacing w:val="-7"/>
          <w:sz w:val="16"/>
        </w:rPr>
        <w:t> </w:t>
      </w:r>
      <w:r>
        <w:rPr>
          <w:sz w:val="16"/>
        </w:rPr>
        <w:t>(positive)</w:t>
      </w:r>
      <w:r>
        <w:rPr>
          <w:spacing w:val="-8"/>
          <w:sz w:val="16"/>
        </w:rPr>
        <w:t> </w:t>
      </w:r>
      <w:r>
        <w:rPr>
          <w:sz w:val="16"/>
        </w:rPr>
        <w:t>contribution</w:t>
      </w:r>
      <w:r>
        <w:rPr>
          <w:spacing w:val="-7"/>
          <w:sz w:val="16"/>
        </w:rPr>
        <w:t> </w:t>
      </w:r>
      <w:r>
        <w:rPr>
          <w:sz w:val="16"/>
        </w:rPr>
        <w:t>to</w:t>
      </w:r>
      <w:r>
        <w:rPr>
          <w:spacing w:val="-7"/>
          <w:sz w:val="16"/>
        </w:rPr>
        <w:t> </w:t>
      </w:r>
      <w:r>
        <w:rPr>
          <w:sz w:val="16"/>
        </w:rPr>
        <w:t>earnings</w:t>
      </w:r>
      <w:r>
        <w:rPr>
          <w:spacing w:val="-8"/>
          <w:sz w:val="16"/>
        </w:rPr>
        <w:t> </w:t>
      </w:r>
      <w:r>
        <w:rPr>
          <w:sz w:val="16"/>
        </w:rPr>
        <w:t>growth</w:t>
      </w:r>
      <w:r>
        <w:rPr>
          <w:spacing w:val="-7"/>
          <w:sz w:val="16"/>
        </w:rPr>
        <w:t> </w:t>
      </w:r>
      <w:r>
        <w:rPr>
          <w:sz w:val="16"/>
        </w:rPr>
        <w:t>if</w:t>
      </w:r>
      <w:r>
        <w:rPr>
          <w:spacing w:val="-8"/>
          <w:sz w:val="16"/>
        </w:rPr>
        <w:t> </w:t>
      </w:r>
      <w:r>
        <w:rPr>
          <w:sz w:val="16"/>
        </w:rPr>
        <w:t>they grow more slowly (more quickly) than regular</w:t>
      </w:r>
      <w:r>
        <w:rPr>
          <w:spacing w:val="-13"/>
          <w:sz w:val="16"/>
        </w:rPr>
        <w:t> </w:t>
      </w:r>
      <w:r>
        <w:rPr>
          <w:spacing w:val="-4"/>
          <w:sz w:val="16"/>
        </w:rPr>
        <w:t>pay.</w:t>
      </w:r>
    </w:p>
    <w:p>
      <w:pPr>
        <w:spacing w:after="0" w:line="208" w:lineRule="auto"/>
        <w:jc w:val="left"/>
        <w:rPr>
          <w:sz w:val="16"/>
        </w:rPr>
        <w:sectPr>
          <w:type w:val="continuous"/>
          <w:pgSz w:w="11900" w:h="16840"/>
          <w:pgMar w:top="1260" w:bottom="280" w:left="640" w:right="640"/>
        </w:sectPr>
      </w:pPr>
    </w:p>
    <w:p>
      <w:pPr>
        <w:pStyle w:val="BodyText"/>
        <w:rPr>
          <w:sz w:val="20"/>
        </w:rPr>
      </w:pPr>
    </w:p>
    <w:p>
      <w:pPr>
        <w:pStyle w:val="BodyText"/>
        <w:spacing w:before="4"/>
        <w:rPr>
          <w:sz w:val="20"/>
        </w:rPr>
      </w:pPr>
    </w:p>
    <w:p>
      <w:pPr>
        <w:pStyle w:val="BodyText"/>
        <w:spacing w:line="242" w:lineRule="auto" w:before="1"/>
        <w:ind w:left="4967" w:right="215"/>
      </w:pPr>
      <w:r>
        <w:rPr/>
        <w:t>between May and August. The negative bonus effects were concentrated in the private sector, particularly within private sector services.</w:t>
      </w:r>
    </w:p>
    <w:p>
      <w:pPr>
        <w:pStyle w:val="BodyText"/>
        <w:spacing w:before="7"/>
      </w:pPr>
    </w:p>
    <w:p>
      <w:pPr>
        <w:pStyle w:val="BodyText"/>
        <w:spacing w:line="242" w:lineRule="auto"/>
        <w:ind w:left="4967" w:right="211"/>
      </w:pPr>
      <w:r>
        <w:rPr/>
        <w:t>Employers pay bonuses for a range of</w:t>
      </w:r>
      <w:r>
        <w:rPr>
          <w:spacing w:val="-44"/>
        </w:rPr>
        <w:t> </w:t>
      </w:r>
      <w:r>
        <w:rPr/>
        <w:t>reasons, including to </w:t>
      </w:r>
      <w:r>
        <w:rPr>
          <w:spacing w:val="-3"/>
        </w:rPr>
        <w:t>reward </w:t>
      </w:r>
      <w:r>
        <w:rPr/>
        <w:t>their employees for improvements in productivity and profitability and to help recruit and retain staff. Payments are likely to reflect both developments </w:t>
      </w:r>
      <w:r>
        <w:rPr>
          <w:spacing w:val="-3"/>
        </w:rPr>
        <w:t>over </w:t>
      </w:r>
      <w:r>
        <w:rPr/>
        <w:t>the previous year and anticipation of future trends. Bonuses are often paid </w:t>
      </w:r>
      <w:r>
        <w:rPr>
          <w:spacing w:val="-3"/>
        </w:rPr>
        <w:t>annually, </w:t>
      </w:r>
      <w:r>
        <w:rPr/>
        <w:t>rather than being spread across the </w:t>
      </w:r>
      <w:r>
        <w:rPr>
          <w:spacing w:val="-4"/>
        </w:rPr>
        <w:t>year. </w:t>
      </w:r>
      <w:r>
        <w:rPr/>
        <w:t>In contrast, regular pay growth tends to be more closely linked to wage settlements and to be steadier from month to</w:t>
      </w:r>
      <w:r>
        <w:rPr>
          <w:spacing w:val="-26"/>
        </w:rPr>
        <w:t> </w:t>
      </w:r>
      <w:r>
        <w:rPr/>
        <w:t>month.</w:t>
      </w:r>
    </w:p>
    <w:p>
      <w:pPr>
        <w:pStyle w:val="BodyText"/>
        <w:spacing w:before="6"/>
        <w:rPr>
          <w:sz w:val="17"/>
        </w:rPr>
      </w:pPr>
    </w:p>
    <w:p>
      <w:pPr>
        <w:spacing w:after="0"/>
        <w:rPr>
          <w:sz w:val="17"/>
        </w:rPr>
        <w:sectPr>
          <w:pgSz w:w="11900" w:h="16840"/>
          <w:pgMar w:header="586" w:footer="592" w:top="780" w:bottom="7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before="171"/>
        <w:ind w:left="154" w:right="0" w:firstLine="0"/>
        <w:jc w:val="left"/>
        <w:rPr>
          <w:b/>
          <w:sz w:val="20"/>
        </w:rPr>
      </w:pPr>
      <w:r>
        <w:rPr>
          <w:b/>
          <w:color w:val="0092C7"/>
          <w:sz w:val="20"/>
        </w:rPr>
        <w:t>Chart 3.16</w:t>
      </w:r>
    </w:p>
    <w:p>
      <w:pPr>
        <w:spacing w:before="10"/>
        <w:ind w:left="154" w:right="0" w:firstLine="0"/>
        <w:jc w:val="left"/>
        <w:rPr>
          <w:sz w:val="12"/>
        </w:rPr>
      </w:pPr>
      <w:r>
        <w:rPr>
          <w:b/>
          <w:color w:val="0092C7"/>
          <w:sz w:val="20"/>
        </w:rPr>
        <w:t>PNFCs’ net rate of return</w:t>
      </w:r>
      <w:r>
        <w:rPr>
          <w:position w:val="4"/>
          <w:sz w:val="12"/>
        </w:rPr>
        <w:t>(a)</w:t>
      </w:r>
    </w:p>
    <w:p>
      <w:pPr>
        <w:pStyle w:val="BodyText"/>
        <w:spacing w:before="8" w:after="40"/>
        <w:rPr>
          <w:sz w:val="19"/>
        </w:rPr>
      </w:pPr>
    </w:p>
    <w:p>
      <w:pPr>
        <w:pStyle w:val="BodyText"/>
        <w:spacing w:line="20" w:lineRule="exact"/>
        <w:ind w:left="18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line="118" w:lineRule="exact" w:before="101"/>
        <w:ind w:left="154" w:right="0" w:firstLine="0"/>
        <w:jc w:val="left"/>
        <w:rPr>
          <w:sz w:val="12"/>
        </w:rPr>
      </w:pPr>
      <w:r>
        <w:rPr>
          <w:sz w:val="12"/>
        </w:rPr>
        <w:t>Per cent</w:t>
      </w:r>
    </w:p>
    <w:p>
      <w:pPr>
        <w:spacing w:line="118" w:lineRule="exact" w:before="0"/>
        <w:ind w:left="575" w:right="0" w:firstLine="0"/>
        <w:jc w:val="left"/>
        <w:rPr>
          <w:sz w:val="12"/>
        </w:rPr>
      </w:pPr>
      <w:r>
        <w:rPr/>
        <w:pict>
          <v:line style="position:absolute;mso-position-horizontal-relative:page;mso-position-vertical-relative:paragraph;z-index:16073216" from="197.151993pt,2.642159pt" to="201.484993pt,2.642159pt" stroked="true" strokeweight=".5pt" strokecolor="#000000">
            <v:stroke dashstyle="solid"/>
            <w10:wrap type="none"/>
          </v:line>
        </w:pict>
      </w:r>
      <w:r>
        <w:rPr>
          <w:sz w:val="12"/>
        </w:rPr>
        <w:t>19</w:t>
      </w:r>
    </w:p>
    <w:p>
      <w:pPr>
        <w:pStyle w:val="BodyText"/>
        <w:rPr>
          <w:sz w:val="12"/>
        </w:rPr>
      </w:pPr>
    </w:p>
    <w:p>
      <w:pPr>
        <w:pStyle w:val="BodyText"/>
        <w:rPr>
          <w:sz w:val="10"/>
        </w:rPr>
      </w:pPr>
    </w:p>
    <w:p>
      <w:pPr>
        <w:spacing w:before="0"/>
        <w:ind w:left="0" w:right="38" w:firstLine="0"/>
        <w:jc w:val="right"/>
        <w:rPr>
          <w:sz w:val="12"/>
        </w:rPr>
      </w:pPr>
      <w:r>
        <w:rPr/>
        <w:pict>
          <v:group style="position:absolute;margin-left:41.653pt;margin-top:-5.147106pt;width:159.85pt;height:116.8pt;mso-position-horizontal-relative:page;mso-position-vertical-relative:paragraph;z-index:-22580736" coordorigin="833,-103" coordsize="3197,2336">
            <v:shape style="position:absolute;left:994;top:894;width:1373;height:263" coordorigin="995,895" coordsize="1373,263" path="m995,1157l1275,963m1275,963l1402,1060m1402,1060l1542,1034m1542,1034l1682,951m1682,951l1822,992m1822,992l1950,909m1950,909l2090,951m2090,951l2230,895m2230,895l2367,951e" filled="false" stroked="true" strokeweight="1pt" strokecolor="#de0035">
              <v:path arrowok="t"/>
              <v:stroke dashstyle="solid"/>
            </v:shape>
            <v:line style="position:absolute" from="2357,944" to="2507,944" stroked="true" strokeweight="1.71pt" strokecolor="#de0035">
              <v:stroke dashstyle="solid"/>
            </v:line>
            <v:shape style="position:absolute;left:2497;top:811;width:685;height:346" coordorigin="2497,812" coordsize="685,346" path="m2497,937l2637,812m2637,812l2775,854m2775,854l2915,909m2915,909l3042,1060m3042,1060l3182,1157e" filled="false" stroked="true" strokeweight="1pt" strokecolor="#de0035">
              <v:path arrowok="t"/>
              <v:stroke dashstyle="solid"/>
            </v:shape>
            <v:line style="position:absolute" from="3172,1159" to="3332,1159" stroked="true" strokeweight="1.118pt" strokecolor="#de0035">
              <v:stroke dashstyle="solid"/>
            </v:line>
            <v:line style="position:absolute" from="3322,1157" to="3462,1049" stroked="true" strokeweight="1pt" strokecolor="#de0035">
              <v:stroke dashstyle="solid"/>
            </v:line>
            <v:shape style="position:absolute;left:994;top:811;width:2875;height:1411" coordorigin="995,812" coordsize="2875,1411" path="m995,1766l1275,1434m1275,1434l1402,1574m1402,1574l1542,1337m1542,1337l1682,1394m1682,1394l1822,1614m1822,1614l1950,1394m1950,1394l2090,1503m2090,1503l2230,1380m2230,1380l2367,1131m2367,1131l2497,963m2497,963l2637,812m2637,812l2775,1103m2775,1103l2915,1434m2915,1434l3042,1766m3042,1766l3182,2028m3182,2028l3322,1754m3322,1754l3462,2182m3462,2182l3590,2071m3590,2071l3730,2196m3730,2196l3870,2222e" filled="false" stroked="true" strokeweight="1pt" strokecolor="#006caa">
              <v:path arrowok="t"/>
              <v:stroke dashstyle="solid"/>
            </v:shape>
            <v:shape style="position:absolute;left:994;top:591;width:548;height:138" coordorigin="995,592" coordsize="548,138" path="m995,729l1135,592m1135,592l1275,618m1275,618l1402,675m1402,675l1542,715e" filled="false" stroked="true" strokeweight="1pt" strokecolor="#f6bd61">
              <v:path arrowok="t"/>
              <v:stroke dashstyle="solid"/>
            </v:shape>
            <v:line style="position:absolute" from="1532,722" to="1692,722" stroked="true" strokeweight="1.71pt" strokecolor="#f6bd61">
              <v:stroke dashstyle="solid"/>
            </v:line>
            <v:shape style="position:absolute;left:1682;top:-74;width:1640;height:928" coordorigin="1682,-73" coordsize="1640,928" path="m1682,729l1822,535m1822,535l1950,398m1950,398l2090,-73m2090,-73l2230,189m2230,189l2367,798m2367,798l2497,854m2497,854l2637,757m2637,757l2775,426m2775,426l2915,135m2915,135l3042,232m3042,232l3182,438m3182,438l3322,384e" filled="false" stroked="true" strokeweight="1pt" strokecolor="#f6bd61">
              <v:path arrowok="t"/>
              <v:stroke dashstyle="solid"/>
            </v:shape>
            <v:line style="position:absolute" from="3312,385" to="3472,385" stroked="true" strokeweight="1.118pt" strokecolor="#f6bd61">
              <v:stroke dashstyle="solid"/>
            </v:line>
            <v:line style="position:absolute" from="3452,391" to="3600,391" stroked="true" strokeweight="1.71pt" strokecolor="#f6bd61">
              <v:stroke dashstyle="solid"/>
            </v:line>
            <v:shape style="position:absolute;left:3589;top:397;width:280;height:374" coordorigin="3590,398" coordsize="280,374" path="m3590,398l3730,632m3730,632l3870,772e" filled="false" stroked="true" strokeweight="1pt" strokecolor="#f6bd61">
              <v:path arrowok="t"/>
              <v:stroke dashstyle="solid"/>
            </v:shape>
            <v:shape style="position:absolute;left:833;top:69;width:3197;height:1962" coordorigin="833,70" coordsize="3197,1962" path="m833,70l920,70m833,461l920,461m833,853l920,853m833,1244l920,1244m833,2027l920,2027m833,1636l920,1636m3943,73l4030,73m3943,465l4030,465m3943,856l4030,856m3943,1248l4030,1248m3943,2031l4030,2031m3943,1639l4030,1639m1679,1043l1543,1891e" filled="false" stroked="true" strokeweight=".5pt" strokecolor="#000000">
              <v:path arrowok="t"/>
              <v:stroke dashstyle="solid"/>
            </v:shape>
            <v:shape style="position:absolute;left:1651;top:975;width:50;height:88" coordorigin="1652,976" coordsize="50,88" path="m1690,976l1652,1055,1702,1063,1691,995,1690,985,1690,976xe" filled="true" fillcolor="#000000" stroked="false">
              <v:path arrowok="t"/>
              <v:fill type="solid"/>
            </v:shape>
            <v:shape style="position:absolute;left:2171;top:-103;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3452;top:787;width:308;height:133" type="#_x0000_t202" filled="false" stroked="false">
              <v:textbox inset="0,0,0,0">
                <w:txbxContent>
                  <w:p>
                    <w:pPr>
                      <w:tabs>
                        <w:tab w:pos="287" w:val="left" w:leader="none"/>
                      </w:tabs>
                      <w:spacing w:line="133" w:lineRule="exact" w:before="0"/>
                      <w:ind w:left="0" w:right="0" w:firstLine="0"/>
                      <w:jc w:val="left"/>
                      <w:rPr>
                        <w:sz w:val="12"/>
                      </w:rPr>
                    </w:pPr>
                    <w:r>
                      <w:rPr>
                        <w:sz w:val="12"/>
                        <w:u w:val="thick" w:color="DE0035"/>
                      </w:rPr>
                      <w:t> </w:t>
                      <w:tab/>
                    </w:r>
                  </w:p>
                </w:txbxContent>
              </v:textbox>
              <w10:wrap type="none"/>
            </v:shape>
            <v:shape style="position:absolute;left:1030;top:1493;width:2712;height:667" type="#_x0000_t202" filled="false" stroked="false">
              <v:textbox inset="0,0,0,0">
                <w:txbxContent>
                  <w:p>
                    <w:pPr>
                      <w:spacing w:line="133" w:lineRule="exact" w:before="0"/>
                      <w:ind w:left="0" w:right="18" w:firstLine="0"/>
                      <w:jc w:val="right"/>
                      <w:rPr>
                        <w:sz w:val="12"/>
                      </w:rPr>
                    </w:pPr>
                    <w:r>
                      <w:rPr>
                        <w:sz w:val="12"/>
                      </w:rPr>
                      <w:t>Manufacturing</w:t>
                    </w:r>
                  </w:p>
                  <w:p>
                    <w:pPr>
                      <w:spacing w:line="240" w:lineRule="auto" w:before="0"/>
                      <w:rPr>
                        <w:sz w:val="12"/>
                      </w:rPr>
                    </w:pPr>
                  </w:p>
                  <w:p>
                    <w:pPr>
                      <w:spacing w:line="240" w:lineRule="auto" w:before="2"/>
                      <w:rPr>
                        <w:sz w:val="13"/>
                      </w:rPr>
                    </w:pPr>
                  </w:p>
                  <w:p>
                    <w:pPr>
                      <w:spacing w:line="208" w:lineRule="auto" w:before="0"/>
                      <w:ind w:left="60" w:right="612" w:hanging="60"/>
                      <w:jc w:val="left"/>
                      <w:rPr>
                        <w:sz w:val="12"/>
                      </w:rPr>
                    </w:pPr>
                    <w:r>
                      <w:rPr>
                        <w:sz w:val="12"/>
                      </w:rPr>
                      <w:t>Total PNFCs’ (excluding companies operating on the UK continental shelf) (b)</w:t>
                    </w:r>
                  </w:p>
                </w:txbxContent>
              </v:textbox>
              <w10:wrap type="none"/>
            </v:shape>
            <w10:wrap type="none"/>
          </v:group>
        </w:pict>
      </w:r>
      <w:r>
        <w:rPr>
          <w:sz w:val="12"/>
        </w:rPr>
        <w:t>17</w:t>
      </w:r>
    </w:p>
    <w:p>
      <w:pPr>
        <w:pStyle w:val="BodyText"/>
        <w:rPr>
          <w:sz w:val="12"/>
        </w:rPr>
      </w:pPr>
    </w:p>
    <w:p>
      <w:pPr>
        <w:pStyle w:val="BodyText"/>
        <w:rPr>
          <w:sz w:val="10"/>
        </w:rPr>
      </w:pPr>
    </w:p>
    <w:p>
      <w:pPr>
        <w:spacing w:before="0"/>
        <w:ind w:left="0" w:right="38" w:firstLine="0"/>
        <w:jc w:val="right"/>
        <w:rPr>
          <w:sz w:val="12"/>
        </w:rPr>
      </w:pPr>
      <w:r>
        <w:rPr>
          <w:sz w:val="12"/>
        </w:rPr>
        <w:t>15</w:t>
      </w:r>
    </w:p>
    <w:p>
      <w:pPr>
        <w:pStyle w:val="BodyText"/>
        <w:rPr>
          <w:sz w:val="12"/>
        </w:rPr>
      </w:pPr>
    </w:p>
    <w:p>
      <w:pPr>
        <w:pStyle w:val="BodyText"/>
        <w:rPr>
          <w:sz w:val="10"/>
        </w:rPr>
      </w:pPr>
    </w:p>
    <w:p>
      <w:pPr>
        <w:spacing w:before="0"/>
        <w:ind w:left="0" w:right="38" w:firstLine="0"/>
        <w:jc w:val="right"/>
        <w:rPr>
          <w:sz w:val="12"/>
        </w:rPr>
      </w:pPr>
      <w:r>
        <w:rPr>
          <w:sz w:val="12"/>
        </w:rPr>
        <w:t>13</w:t>
      </w:r>
    </w:p>
    <w:p>
      <w:pPr>
        <w:pStyle w:val="BodyText"/>
        <w:spacing w:before="4"/>
        <w:rPr>
          <w:sz w:val="11"/>
        </w:rPr>
      </w:pPr>
    </w:p>
    <w:p>
      <w:pPr>
        <w:pStyle w:val="BodyText"/>
        <w:spacing w:line="62" w:lineRule="exact"/>
        <w:ind w:left="234"/>
        <w:rPr>
          <w:sz w:val="6"/>
        </w:rPr>
      </w:pPr>
      <w:r>
        <w:rPr>
          <w:position w:val="0"/>
          <w:sz w:val="6"/>
        </w:rPr>
        <w:pict>
          <v:group style="width:8pt;height:3.15pt;mso-position-horizontal-relative:char;mso-position-vertical-relative:line" coordorigin="0,0" coordsize="160,63">
            <v:line style="position:absolute" from="10,10" to="150,53" stroked="true" strokeweight="1pt" strokecolor="#de0035">
              <v:stroke dashstyle="solid"/>
            </v:line>
          </v:group>
        </w:pict>
      </w:r>
      <w:r>
        <w:rPr>
          <w:position w:val="0"/>
          <w:sz w:val="6"/>
        </w:rPr>
      </w:r>
    </w:p>
    <w:p>
      <w:pPr>
        <w:spacing w:before="61"/>
        <w:ind w:left="0" w:right="38" w:firstLine="0"/>
        <w:jc w:val="right"/>
        <w:rPr>
          <w:sz w:val="12"/>
        </w:rPr>
      </w:pPr>
      <w:r>
        <w:rPr>
          <w:sz w:val="12"/>
        </w:rPr>
        <w:t>11</w:t>
      </w:r>
    </w:p>
    <w:p>
      <w:pPr>
        <w:pStyle w:val="BodyText"/>
        <w:rPr>
          <w:sz w:val="12"/>
        </w:rPr>
      </w:pPr>
    </w:p>
    <w:p>
      <w:pPr>
        <w:pStyle w:val="BodyText"/>
        <w:rPr>
          <w:sz w:val="10"/>
        </w:rPr>
      </w:pPr>
    </w:p>
    <w:p>
      <w:pPr>
        <w:spacing w:before="0"/>
        <w:ind w:left="0" w:right="38" w:firstLine="0"/>
        <w:jc w:val="right"/>
        <w:rPr>
          <w:sz w:val="12"/>
        </w:rPr>
      </w:pPr>
      <w:r>
        <w:rPr>
          <w:sz w:val="12"/>
        </w:rPr>
        <w:t>9</w:t>
      </w:r>
    </w:p>
    <w:p>
      <w:pPr>
        <w:pStyle w:val="BodyText"/>
        <w:rPr>
          <w:sz w:val="12"/>
        </w:rPr>
      </w:pPr>
    </w:p>
    <w:p>
      <w:pPr>
        <w:pStyle w:val="BodyText"/>
        <w:rPr>
          <w:sz w:val="10"/>
        </w:rPr>
      </w:pPr>
    </w:p>
    <w:p>
      <w:pPr>
        <w:spacing w:before="0"/>
        <w:ind w:left="0" w:right="38" w:firstLine="0"/>
        <w:jc w:val="right"/>
        <w:rPr>
          <w:sz w:val="12"/>
        </w:rPr>
      </w:pPr>
      <w:r>
        <w:rPr>
          <w:sz w:val="12"/>
        </w:rPr>
        <w:t>7</w:t>
      </w:r>
    </w:p>
    <w:p>
      <w:pPr>
        <w:pStyle w:val="BodyText"/>
        <w:rPr>
          <w:sz w:val="12"/>
        </w:rPr>
      </w:pPr>
    </w:p>
    <w:p>
      <w:pPr>
        <w:pStyle w:val="BodyText"/>
        <w:rPr>
          <w:sz w:val="10"/>
        </w:rPr>
      </w:pPr>
    </w:p>
    <w:p>
      <w:pPr>
        <w:spacing w:line="123" w:lineRule="exact" w:before="1"/>
        <w:ind w:left="635" w:right="0" w:firstLine="0"/>
        <w:jc w:val="left"/>
        <w:rPr>
          <w:sz w:val="12"/>
        </w:rPr>
      </w:pPr>
      <w:r>
        <w:rPr/>
        <w:pict>
          <v:shape style="position:absolute;margin-left:41.653pt;margin-top:3.640564pt;width:160.7pt;height:6.4pt;mso-position-horizontal-relative:page;mso-position-vertical-relative:paragraph;z-index:16072704" coordorigin="833,73" coordsize="3214,128" path="m4026,80l4026,105,4006,121,4046,134,4006,153,4046,168,4023,178,4022,200m3943,76l4030,76m1009,196l3875,196m1010,146l1010,201m1556,146l1556,201m2101,146l2101,201m2647,146l2647,201m3192,146l3192,201m3738,146l3738,201m3816,196l4030,196m833,73l920,73m924,80l924,105,904,121,944,134,904,153,944,168,921,178,920,200m833,196l1047,196e" filled="false" stroked="true" strokeweight=".5pt" strokecolor="#000000">
            <v:path arrowok="t"/>
            <v:stroke dashstyle="solid"/>
            <w10:wrap type="none"/>
          </v:shape>
        </w:pict>
      </w:r>
      <w:r>
        <w:rPr>
          <w:sz w:val="12"/>
        </w:rPr>
        <w:t>5</w:t>
      </w:r>
    </w:p>
    <w:p>
      <w:pPr>
        <w:spacing w:line="27" w:lineRule="exact" w:before="0"/>
        <w:ind w:left="635" w:right="0" w:firstLine="0"/>
        <w:jc w:val="left"/>
        <w:rPr>
          <w:sz w:val="12"/>
        </w:rPr>
      </w:pPr>
      <w:r>
        <w:rPr>
          <w:sz w:val="12"/>
        </w:rPr>
        <w:t>0</w:t>
      </w:r>
    </w:p>
    <w:p>
      <w:pPr>
        <w:pStyle w:val="BodyText"/>
        <w:spacing w:line="242" w:lineRule="auto" w:before="90"/>
        <w:ind w:left="154" w:right="342"/>
        <w:rPr>
          <w:sz w:val="16"/>
        </w:rPr>
      </w:pPr>
      <w:r>
        <w:rPr/>
        <w:br w:type="column"/>
      </w:r>
      <w:r>
        <w:rPr/>
        <w:t>Bonuses have generally added to earnings growth over the past few years, as the importance of this form of remuneration has increased. For example, there was only one negative bonus effect recorded between March 1997 (when the bonus data start) and February last year. So the negative bonus contributions over the past few months appear unusual in a recent historical context.</w:t>
      </w:r>
      <w:r>
        <w:rPr>
          <w:position w:val="5"/>
          <w:sz w:val="16"/>
        </w:rPr>
        <w:t>(1)</w:t>
      </w:r>
    </w:p>
    <w:p>
      <w:pPr>
        <w:pStyle w:val="BodyText"/>
        <w:spacing w:before="3"/>
        <w:rPr>
          <w:sz w:val="25"/>
        </w:rPr>
      </w:pPr>
    </w:p>
    <w:p>
      <w:pPr>
        <w:pStyle w:val="BodyText"/>
        <w:spacing w:line="242" w:lineRule="auto"/>
        <w:ind w:left="154" w:right="213"/>
      </w:pPr>
      <w:r>
        <w:rPr/>
        <w:t>There is some uncertainty about what factors underlie the recent </w:t>
      </w:r>
      <w:r>
        <w:rPr>
          <w:spacing w:val="-3"/>
        </w:rPr>
        <w:t>negative </w:t>
      </w:r>
      <w:r>
        <w:rPr/>
        <w:t>bonus effects. They do not appear to reflect productivity developments—productivity growth has strengthened this year after four years of </w:t>
      </w:r>
      <w:r>
        <w:rPr>
          <w:spacing w:val="-3"/>
        </w:rPr>
        <w:t>low </w:t>
      </w:r>
      <w:r>
        <w:rPr/>
        <w:t>growth </w:t>
      </w:r>
      <w:hyperlink w:history="true" w:anchor="_bookmark20">
        <w:r>
          <w:rPr/>
          <w:t>(</w:t>
        </w:r>
        <w:r>
          <w:rPr>
            <w:color w:val="FF0000"/>
          </w:rPr>
          <w:t>see Section 3.2</w:t>
        </w:r>
        <w:r>
          <w:rPr/>
          <w:t>).</w:t>
        </w:r>
      </w:hyperlink>
      <w:r>
        <w:rPr/>
        <w:t> And it is difficult to detect a strong link between </w:t>
      </w:r>
      <w:r>
        <w:rPr>
          <w:spacing w:val="-3"/>
        </w:rPr>
        <w:t>private </w:t>
      </w:r>
      <w:r>
        <w:rPr/>
        <w:t>sector bonuses and aggregate trading profits or gross operating surpluses—which</w:t>
      </w:r>
      <w:r>
        <w:rPr>
          <w:spacing w:val="-42"/>
        </w:rPr>
        <w:t> </w:t>
      </w:r>
      <w:r>
        <w:rPr>
          <w:spacing w:val="-3"/>
        </w:rPr>
        <w:t>have </w:t>
      </w:r>
      <w:r>
        <w:rPr/>
        <w:t>strengthened this year after falling last year (although lagged effects of those falls cannot be ruled out). There are, </w:t>
      </w:r>
      <w:r>
        <w:rPr>
          <w:spacing w:val="-4"/>
        </w:rPr>
        <w:t>however, </w:t>
      </w:r>
      <w:r>
        <w:rPr/>
        <w:t>some tentative signs of links with firms’ rates of return (which take account of the capital used to generate profits). The net rate of return of non-oil </w:t>
      </w:r>
      <w:r>
        <w:rPr>
          <w:spacing w:val="-3"/>
        </w:rPr>
        <w:t>private </w:t>
      </w:r>
      <w:r>
        <w:rPr/>
        <w:t>non-financial corporations (PNFCs) has</w:t>
      </w:r>
      <w:r>
        <w:rPr>
          <w:spacing w:val="-21"/>
        </w:rPr>
        <w:t> </w:t>
      </w:r>
      <w:r>
        <w:rPr/>
        <w:t>fallen</w:t>
      </w:r>
    </w:p>
    <w:p>
      <w:pPr>
        <w:spacing w:after="0" w:line="242" w:lineRule="auto"/>
        <w:sectPr>
          <w:type w:val="continuous"/>
          <w:pgSz w:w="11900" w:h="16840"/>
          <w:pgMar w:top="1260" w:bottom="280" w:left="640" w:right="640"/>
          <w:cols w:num="3" w:equalWidth="0">
            <w:col w:w="2517" w:space="328"/>
            <w:col w:w="736" w:space="1232"/>
            <w:col w:w="5807"/>
          </w:cols>
        </w:sectPr>
      </w:pPr>
    </w:p>
    <w:p>
      <w:pPr>
        <w:tabs>
          <w:tab w:pos="1132" w:val="left" w:leader="none"/>
          <w:tab w:pos="1679" w:val="left" w:leader="none"/>
          <w:tab w:pos="2227" w:val="left" w:leader="none"/>
          <w:tab w:pos="2782" w:val="left" w:leader="none"/>
          <w:tab w:pos="3112" w:val="left" w:leader="none"/>
        </w:tabs>
        <w:spacing w:before="75"/>
        <w:ind w:left="514" w:right="0" w:firstLine="0"/>
        <w:jc w:val="left"/>
        <w:rPr>
          <w:sz w:val="12"/>
        </w:rPr>
      </w:pPr>
      <w:r>
        <w:rPr>
          <w:sz w:val="12"/>
        </w:rPr>
        <w:t>1995</w:t>
        <w:tab/>
        <w:t>96</w:t>
        <w:tab/>
        <w:t>97</w:t>
        <w:tab/>
        <w:t>98</w:t>
        <w:tab/>
        <w:t>99</w:t>
        <w:tab/>
        <w:t>2000</w:t>
      </w:r>
    </w:p>
    <w:p>
      <w:pPr>
        <w:pStyle w:val="BodyText"/>
        <w:rPr>
          <w:sz w:val="12"/>
        </w:rPr>
      </w:pPr>
    </w:p>
    <w:p>
      <w:pPr>
        <w:pStyle w:val="ListParagraph"/>
        <w:numPr>
          <w:ilvl w:val="0"/>
          <w:numId w:val="31"/>
        </w:numPr>
        <w:tabs>
          <w:tab w:pos="395" w:val="left" w:leader="none"/>
        </w:tabs>
        <w:spacing w:line="208" w:lineRule="auto" w:before="83" w:after="0"/>
        <w:ind w:left="394" w:right="38" w:hanging="240"/>
        <w:jc w:val="left"/>
        <w:rPr>
          <w:sz w:val="12"/>
        </w:rPr>
      </w:pPr>
      <w:r>
        <w:rPr>
          <w:sz w:val="12"/>
        </w:rPr>
        <w:t>Gross operating surplus (less capital consumption at current replacement cost) divided by gross capital employed (less accumulated</w:t>
      </w:r>
      <w:r>
        <w:rPr>
          <w:spacing w:val="-8"/>
          <w:sz w:val="12"/>
        </w:rPr>
        <w:t> </w:t>
      </w:r>
      <w:r>
        <w:rPr>
          <w:sz w:val="12"/>
        </w:rPr>
        <w:t>capital</w:t>
      </w:r>
      <w:r>
        <w:rPr>
          <w:spacing w:val="-7"/>
          <w:sz w:val="12"/>
        </w:rPr>
        <w:t> </w:t>
      </w:r>
      <w:r>
        <w:rPr>
          <w:sz w:val="12"/>
        </w:rPr>
        <w:t>consumption</w:t>
      </w:r>
      <w:r>
        <w:rPr>
          <w:spacing w:val="-7"/>
          <w:sz w:val="12"/>
        </w:rPr>
        <w:t> </w:t>
      </w:r>
      <w:r>
        <w:rPr>
          <w:sz w:val="12"/>
        </w:rPr>
        <w:t>at</w:t>
      </w:r>
      <w:r>
        <w:rPr>
          <w:spacing w:val="-7"/>
          <w:sz w:val="12"/>
        </w:rPr>
        <w:t> </w:t>
      </w:r>
      <w:r>
        <w:rPr>
          <w:sz w:val="12"/>
        </w:rPr>
        <w:t>current</w:t>
      </w:r>
      <w:r>
        <w:rPr>
          <w:spacing w:val="-7"/>
          <w:sz w:val="12"/>
        </w:rPr>
        <w:t> </w:t>
      </w:r>
      <w:r>
        <w:rPr>
          <w:sz w:val="12"/>
        </w:rPr>
        <w:t>replacement</w:t>
      </w:r>
      <w:r>
        <w:rPr>
          <w:spacing w:val="-7"/>
          <w:sz w:val="12"/>
        </w:rPr>
        <w:t> </w:t>
      </w:r>
      <w:r>
        <w:rPr>
          <w:sz w:val="12"/>
        </w:rPr>
        <w:t>cost).</w:t>
      </w:r>
    </w:p>
    <w:p>
      <w:pPr>
        <w:pStyle w:val="ListParagraph"/>
        <w:numPr>
          <w:ilvl w:val="0"/>
          <w:numId w:val="31"/>
        </w:numPr>
        <w:tabs>
          <w:tab w:pos="395" w:val="left" w:leader="none"/>
        </w:tabs>
        <w:spacing w:line="208" w:lineRule="auto" w:before="0" w:after="0"/>
        <w:ind w:left="394" w:right="48" w:hanging="240"/>
        <w:jc w:val="left"/>
        <w:rPr>
          <w:sz w:val="12"/>
        </w:rPr>
      </w:pPr>
      <w:r>
        <w:rPr>
          <w:sz w:val="12"/>
        </w:rPr>
        <w:t>The</w:t>
      </w:r>
      <w:r>
        <w:rPr>
          <w:spacing w:val="-7"/>
          <w:sz w:val="12"/>
        </w:rPr>
        <w:t> </w:t>
      </w:r>
      <w:r>
        <w:rPr>
          <w:sz w:val="12"/>
        </w:rPr>
        <w:t>total</w:t>
      </w:r>
      <w:r>
        <w:rPr>
          <w:spacing w:val="-6"/>
          <w:sz w:val="12"/>
        </w:rPr>
        <w:t> </w:t>
      </w:r>
      <w:r>
        <w:rPr>
          <w:sz w:val="12"/>
        </w:rPr>
        <w:t>includes</w:t>
      </w:r>
      <w:r>
        <w:rPr>
          <w:spacing w:val="-6"/>
          <w:sz w:val="12"/>
        </w:rPr>
        <w:t> </w:t>
      </w:r>
      <w:r>
        <w:rPr>
          <w:sz w:val="12"/>
        </w:rPr>
        <w:t>PNFCs</w:t>
      </w:r>
      <w:r>
        <w:rPr>
          <w:spacing w:val="-7"/>
          <w:sz w:val="12"/>
        </w:rPr>
        <w:t> </w:t>
      </w:r>
      <w:r>
        <w:rPr>
          <w:sz w:val="12"/>
        </w:rPr>
        <w:t>outside</w:t>
      </w:r>
      <w:r>
        <w:rPr>
          <w:spacing w:val="-6"/>
          <w:sz w:val="12"/>
        </w:rPr>
        <w:t> </w:t>
      </w:r>
      <w:r>
        <w:rPr>
          <w:sz w:val="12"/>
        </w:rPr>
        <w:t>services</w:t>
      </w:r>
      <w:r>
        <w:rPr>
          <w:spacing w:val="-6"/>
          <w:sz w:val="12"/>
        </w:rPr>
        <w:t> </w:t>
      </w:r>
      <w:r>
        <w:rPr>
          <w:sz w:val="12"/>
        </w:rPr>
        <w:t>and</w:t>
      </w:r>
      <w:r>
        <w:rPr>
          <w:spacing w:val="-6"/>
          <w:sz w:val="12"/>
        </w:rPr>
        <w:t> </w:t>
      </w:r>
      <w:r>
        <w:rPr>
          <w:sz w:val="12"/>
        </w:rPr>
        <w:t>manufacturing, although</w:t>
      </w:r>
      <w:r>
        <w:rPr>
          <w:spacing w:val="-5"/>
          <w:sz w:val="12"/>
        </w:rPr>
        <w:t> </w:t>
      </w:r>
      <w:r>
        <w:rPr>
          <w:sz w:val="12"/>
        </w:rPr>
        <w:t>no</w:t>
      </w:r>
      <w:r>
        <w:rPr>
          <w:spacing w:val="-5"/>
          <w:sz w:val="12"/>
        </w:rPr>
        <w:t> </w:t>
      </w:r>
      <w:r>
        <w:rPr>
          <w:sz w:val="12"/>
        </w:rPr>
        <w:t>separate</w:t>
      </w:r>
      <w:r>
        <w:rPr>
          <w:spacing w:val="-5"/>
          <w:sz w:val="12"/>
        </w:rPr>
        <w:t> </w:t>
      </w:r>
      <w:r>
        <w:rPr>
          <w:sz w:val="12"/>
        </w:rPr>
        <w:t>data</w:t>
      </w:r>
      <w:r>
        <w:rPr>
          <w:spacing w:val="-5"/>
          <w:sz w:val="12"/>
        </w:rPr>
        <w:t> </w:t>
      </w:r>
      <w:r>
        <w:rPr>
          <w:sz w:val="12"/>
        </w:rPr>
        <w:t>are</w:t>
      </w:r>
      <w:r>
        <w:rPr>
          <w:spacing w:val="-5"/>
          <w:sz w:val="12"/>
        </w:rPr>
        <w:t> </w:t>
      </w:r>
      <w:r>
        <w:rPr>
          <w:sz w:val="12"/>
        </w:rPr>
        <w:t>available</w:t>
      </w:r>
      <w:r>
        <w:rPr>
          <w:spacing w:val="-5"/>
          <w:sz w:val="12"/>
        </w:rPr>
        <w:t> </w:t>
      </w:r>
      <w:r>
        <w:rPr>
          <w:sz w:val="12"/>
        </w:rPr>
        <w:t>on</w:t>
      </w:r>
      <w:r>
        <w:rPr>
          <w:spacing w:val="-5"/>
          <w:sz w:val="12"/>
        </w:rPr>
        <w:t> </w:t>
      </w:r>
      <w:r>
        <w:rPr>
          <w:sz w:val="12"/>
        </w:rPr>
        <w:t>these</w:t>
      </w:r>
      <w:r>
        <w:rPr>
          <w:spacing w:val="-5"/>
          <w:sz w:val="12"/>
        </w:rPr>
        <w:t> </w:t>
      </w:r>
      <w:r>
        <w:rPr>
          <w:sz w:val="12"/>
        </w:rPr>
        <w:t>components.</w:t>
      </w:r>
    </w:p>
    <w:p>
      <w:pPr>
        <w:pStyle w:val="BodyText"/>
        <w:spacing w:line="242" w:lineRule="auto"/>
        <w:ind w:left="154" w:right="2"/>
      </w:pPr>
      <w:r>
        <w:rPr/>
        <w:br w:type="column"/>
      </w:r>
      <w:r>
        <w:rPr/>
        <w:t>slightly from the peak in early 1998, with falls in both services and manufacturing (see Chart 3.16). It is, however, unclear how closely bonus effects are related to profitability developments in general—not least because data on bonus effects are available for such a short, and interrupted, period of time.</w:t>
      </w:r>
    </w:p>
    <w:p>
      <w:pPr>
        <w:pStyle w:val="BodyText"/>
        <w:spacing w:before="1"/>
      </w:pPr>
    </w:p>
    <w:p>
      <w:pPr>
        <w:pStyle w:val="BodyText"/>
        <w:spacing w:line="242" w:lineRule="auto"/>
        <w:ind w:left="154" w:right="129"/>
      </w:pPr>
      <w:r>
        <w:rPr/>
        <w:t>Developments in specific sectors are also likely to have contributed to the negative bonus effects in recent months. For example, there have been reports of weaker profitability, and consequently lower bonus payments, in the retail sector. An alternative explanation is that firms are raising incentive thresholds relating to bonuses—</w:t>
      </w:r>
    </w:p>
    <w:p>
      <w:pPr>
        <w:pStyle w:val="BodyText"/>
        <w:spacing w:before="9"/>
        <w:rPr>
          <w:sz w:val="11"/>
        </w:rPr>
      </w:pPr>
      <w:r>
        <w:rPr/>
        <w:pict>
          <v:shape style="position:absolute;margin-left:279.220001pt;margin-top:8.824233pt;width:277pt;height:.1pt;mso-position-horizontal-relative:page;mso-position-vertical-relative:paragraph;z-index:-15387136;mso-wrap-distance-left:0;mso-wrap-distance-right:0" coordorigin="5584,176" coordsize="5540,0" path="m5584,176l11124,176e" filled="false" stroked="true" strokeweight=".125pt" strokecolor="#000000">
            <v:path arrowok="t"/>
            <v:stroke dashstyle="solid"/>
            <w10:wrap type="topAndBottom"/>
          </v:shape>
        </w:pict>
      </w:r>
    </w:p>
    <w:p>
      <w:pPr>
        <w:pStyle w:val="ListParagraph"/>
        <w:numPr>
          <w:ilvl w:val="1"/>
          <w:numId w:val="31"/>
        </w:numPr>
        <w:tabs>
          <w:tab w:pos="397" w:val="left" w:leader="none"/>
        </w:tabs>
        <w:spacing w:line="208" w:lineRule="auto" w:before="1" w:after="0"/>
        <w:ind w:left="396" w:right="751" w:hanging="240"/>
        <w:jc w:val="left"/>
        <w:rPr>
          <w:sz w:val="16"/>
        </w:rPr>
      </w:pPr>
      <w:r>
        <w:rPr>
          <w:sz w:val="16"/>
        </w:rPr>
        <w:t>This</w:t>
      </w:r>
      <w:r>
        <w:rPr>
          <w:spacing w:val="-6"/>
          <w:sz w:val="16"/>
        </w:rPr>
        <w:t> </w:t>
      </w:r>
      <w:r>
        <w:rPr>
          <w:sz w:val="16"/>
        </w:rPr>
        <w:t>comparison</w:t>
      </w:r>
      <w:r>
        <w:rPr>
          <w:spacing w:val="-6"/>
          <w:sz w:val="16"/>
        </w:rPr>
        <w:t> </w:t>
      </w:r>
      <w:r>
        <w:rPr>
          <w:sz w:val="16"/>
        </w:rPr>
        <w:t>is</w:t>
      </w:r>
      <w:r>
        <w:rPr>
          <w:spacing w:val="-6"/>
          <w:sz w:val="16"/>
        </w:rPr>
        <w:t> </w:t>
      </w:r>
      <w:r>
        <w:rPr>
          <w:sz w:val="16"/>
        </w:rPr>
        <w:t>hampered</w:t>
      </w:r>
      <w:r>
        <w:rPr>
          <w:spacing w:val="-6"/>
          <w:sz w:val="16"/>
        </w:rPr>
        <w:t> </w:t>
      </w:r>
      <w:r>
        <w:rPr>
          <w:sz w:val="16"/>
        </w:rPr>
        <w:t>by</w:t>
      </w:r>
      <w:r>
        <w:rPr>
          <w:spacing w:val="-6"/>
          <w:sz w:val="16"/>
        </w:rPr>
        <w:t> </w:t>
      </w:r>
      <w:r>
        <w:rPr>
          <w:sz w:val="16"/>
        </w:rPr>
        <w:t>the</w:t>
      </w:r>
      <w:r>
        <w:rPr>
          <w:spacing w:val="-6"/>
          <w:sz w:val="16"/>
        </w:rPr>
        <w:t> </w:t>
      </w:r>
      <w:r>
        <w:rPr>
          <w:sz w:val="16"/>
        </w:rPr>
        <w:t>unavailability</w:t>
      </w:r>
      <w:r>
        <w:rPr>
          <w:spacing w:val="-6"/>
          <w:sz w:val="16"/>
        </w:rPr>
        <w:t> </w:t>
      </w:r>
      <w:r>
        <w:rPr>
          <w:sz w:val="16"/>
        </w:rPr>
        <w:t>of</w:t>
      </w:r>
      <w:r>
        <w:rPr>
          <w:spacing w:val="-6"/>
          <w:sz w:val="16"/>
        </w:rPr>
        <w:t> </w:t>
      </w:r>
      <w:r>
        <w:rPr>
          <w:sz w:val="16"/>
        </w:rPr>
        <w:t>reliable</w:t>
      </w:r>
      <w:r>
        <w:rPr>
          <w:spacing w:val="-6"/>
          <w:sz w:val="16"/>
        </w:rPr>
        <w:t> </w:t>
      </w:r>
      <w:r>
        <w:rPr>
          <w:sz w:val="16"/>
        </w:rPr>
        <w:t>bonus</w:t>
      </w:r>
      <w:r>
        <w:rPr>
          <w:spacing w:val="-6"/>
          <w:sz w:val="16"/>
        </w:rPr>
        <w:t> </w:t>
      </w:r>
      <w:r>
        <w:rPr>
          <w:sz w:val="16"/>
        </w:rPr>
        <w:t>data between February last year and January this year because of a change in the scope of the bonus data in February last</w:t>
      </w:r>
      <w:r>
        <w:rPr>
          <w:spacing w:val="-14"/>
          <w:sz w:val="16"/>
        </w:rPr>
        <w:t> </w:t>
      </w:r>
      <w:r>
        <w:rPr>
          <w:spacing w:val="-3"/>
          <w:sz w:val="16"/>
        </w:rPr>
        <w:t>year.</w:t>
      </w:r>
    </w:p>
    <w:p>
      <w:pPr>
        <w:spacing w:after="0" w:line="208" w:lineRule="auto"/>
        <w:jc w:val="left"/>
        <w:rPr>
          <w:sz w:val="16"/>
        </w:rPr>
        <w:sectPr>
          <w:type w:val="continuous"/>
          <w:pgSz w:w="11900" w:h="16840"/>
          <w:pgMar w:top="1260" w:bottom="280" w:left="640" w:right="640"/>
          <w:cols w:num="2" w:equalWidth="0">
            <w:col w:w="3436" w:space="1376"/>
            <w:col w:w="5808"/>
          </w:cols>
        </w:sectPr>
      </w:pPr>
    </w:p>
    <w:p>
      <w:pPr>
        <w:pStyle w:val="BodyText"/>
        <w:rPr>
          <w:sz w:val="20"/>
        </w:rPr>
      </w:pPr>
    </w:p>
    <w:p>
      <w:pPr>
        <w:pStyle w:val="BodyText"/>
        <w:spacing w:line="242" w:lineRule="auto" w:before="212"/>
        <w:ind w:left="4985" w:right="403"/>
      </w:pPr>
      <w:r>
        <w:rPr/>
        <w:t>which</w:t>
      </w:r>
      <w:r>
        <w:rPr>
          <w:spacing w:val="-7"/>
        </w:rPr>
        <w:t> </w:t>
      </w:r>
      <w:r>
        <w:rPr/>
        <w:t>will</w:t>
      </w:r>
      <w:r>
        <w:rPr>
          <w:spacing w:val="-7"/>
        </w:rPr>
        <w:t> </w:t>
      </w:r>
      <w:r>
        <w:rPr/>
        <w:t>change</w:t>
      </w:r>
      <w:r>
        <w:rPr>
          <w:spacing w:val="-6"/>
        </w:rPr>
        <w:t> </w:t>
      </w:r>
      <w:r>
        <w:rPr/>
        <w:t>the</w:t>
      </w:r>
      <w:r>
        <w:rPr>
          <w:spacing w:val="-7"/>
        </w:rPr>
        <w:t> </w:t>
      </w:r>
      <w:r>
        <w:rPr/>
        <w:t>relationship</w:t>
      </w:r>
      <w:r>
        <w:rPr>
          <w:spacing w:val="-7"/>
        </w:rPr>
        <w:t> </w:t>
      </w:r>
      <w:r>
        <w:rPr/>
        <w:t>between</w:t>
      </w:r>
      <w:r>
        <w:rPr>
          <w:spacing w:val="-6"/>
        </w:rPr>
        <w:t> </w:t>
      </w:r>
      <w:r>
        <w:rPr/>
        <w:t>profits</w:t>
      </w:r>
      <w:r>
        <w:rPr>
          <w:spacing w:val="-7"/>
        </w:rPr>
        <w:t> </w:t>
      </w:r>
      <w:r>
        <w:rPr/>
        <w:t>and bonus payments. For example, some contacts of the </w:t>
      </w:r>
      <w:r>
        <w:rPr>
          <w:spacing w:val="-3"/>
        </w:rPr>
        <w:t>Bank’s </w:t>
      </w:r>
      <w:r>
        <w:rPr/>
        <w:t>regional Agents report that the </w:t>
      </w:r>
      <w:r>
        <w:rPr>
          <w:spacing w:val="-3"/>
        </w:rPr>
        <w:t>levels </w:t>
      </w:r>
      <w:r>
        <w:rPr/>
        <w:t>of profits required to trigger bonus payments are higher this year than last. And the Incomes Data Services (IDS) survey of pay prospects reports several large employers reducing the proportion of profits paid out in bonuses.</w:t>
      </w:r>
    </w:p>
    <w:p>
      <w:pPr>
        <w:pStyle w:val="BodyText"/>
        <w:spacing w:before="5"/>
        <w:rPr>
          <w:sz w:val="17"/>
        </w:rPr>
      </w:pPr>
    </w:p>
    <w:p>
      <w:pPr>
        <w:spacing w:after="0"/>
        <w:rPr>
          <w:sz w:val="17"/>
        </w:rPr>
        <w:sectPr>
          <w:pgSz w:w="11900" w:h="16840"/>
          <w:pgMar w:header="601" w:footer="612" w:top="800" w:bottom="80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before="173"/>
        <w:ind w:left="181" w:right="0" w:firstLine="0"/>
        <w:jc w:val="left"/>
        <w:rPr>
          <w:b/>
          <w:sz w:val="20"/>
        </w:rPr>
      </w:pPr>
      <w:r>
        <w:rPr>
          <w:b/>
          <w:color w:val="0092C7"/>
          <w:sz w:val="20"/>
        </w:rPr>
        <w:t>Chart 3.17</w:t>
      </w:r>
    </w:p>
    <w:p>
      <w:pPr>
        <w:spacing w:line="249" w:lineRule="auto" w:before="10"/>
        <w:ind w:left="181" w:right="0" w:firstLine="0"/>
        <w:jc w:val="left"/>
        <w:rPr>
          <w:b/>
          <w:sz w:val="20"/>
        </w:rPr>
      </w:pPr>
      <w:r>
        <w:rPr>
          <w:b/>
          <w:color w:val="0092C7"/>
          <w:sz w:val="20"/>
        </w:rPr>
        <w:t>Settlements, nominal earnings growth and wage drift</w:t>
      </w:r>
    </w:p>
    <w:p>
      <w:pPr>
        <w:spacing w:before="104"/>
        <w:ind w:left="3028" w:right="0" w:firstLine="0"/>
        <w:jc w:val="left"/>
        <w:rPr>
          <w:sz w:val="12"/>
        </w:rPr>
      </w:pPr>
      <w:r>
        <w:rPr/>
        <w:pict>
          <v:line style="position:absolute;mso-position-horizontal-relative:page;mso-position-vertical-relative:paragraph;z-index:16075264" from="42.443001pt,13.053049pt" to="46.776001pt,13.053049pt" stroked="true" strokeweight=".5pt" strokecolor="#000000">
            <v:stroke dashstyle="solid"/>
            <w10:wrap type="none"/>
          </v:line>
        </w:pict>
      </w:r>
      <w:r>
        <w:rPr>
          <w:sz w:val="12"/>
        </w:rPr>
        <w:t>Per ce</w:t>
      </w:r>
      <w:r>
        <w:rPr>
          <w:sz w:val="12"/>
          <w:u w:val="single"/>
        </w:rPr>
        <w:t>n</w:t>
      </w:r>
      <w:r>
        <w:rPr>
          <w:sz w:val="12"/>
        </w:rPr>
        <w:t>t </w:t>
      </w:r>
      <w:r>
        <w:rPr>
          <w:position w:val="-6"/>
          <w:sz w:val="12"/>
        </w:rPr>
        <w:t>12</w:t>
      </w:r>
    </w:p>
    <w:p>
      <w:pPr>
        <w:spacing w:line="129" w:lineRule="exact" w:before="82"/>
        <w:ind w:left="1260" w:right="0" w:firstLine="0"/>
        <w:jc w:val="left"/>
        <w:rPr>
          <w:sz w:val="12"/>
        </w:rPr>
      </w:pPr>
      <w:r>
        <w:rPr>
          <w:sz w:val="12"/>
        </w:rPr>
        <w:t>Headline annual growth in</w:t>
      </w:r>
    </w:p>
    <w:p>
      <w:pPr>
        <w:tabs>
          <w:tab w:pos="3559" w:val="right" w:leader="none"/>
        </w:tabs>
        <w:spacing w:line="218" w:lineRule="auto" w:before="0"/>
        <w:ind w:left="1320" w:right="0" w:firstLine="0"/>
        <w:jc w:val="left"/>
        <w:rPr>
          <w:sz w:val="12"/>
        </w:rPr>
      </w:pPr>
      <w:r>
        <w:rPr/>
        <w:pict>
          <v:group style="position:absolute;margin-left:42.443001pt;margin-top:1.974048pt;width:160.5pt;height:119.75pt;mso-position-horizontal-relative:page;mso-position-vertical-relative:paragraph;z-index:-22578688" coordorigin="849,39" coordsize="3210,2395">
            <v:shape style="position:absolute;left:1006;top:449;width:165;height:245" coordorigin="1006,449" coordsize="165,245" path="m1006,449l1026,459m1026,459l1036,484m1036,484l1056,487m1056,484l1066,529m1066,529l1089,567m1089,567l1109,589m1109,589l1119,554m1119,554l1139,694m1139,694l1151,672m1151,672l1171,649e" filled="false" stroked="true" strokeweight="1pt" strokecolor="#006caa">
              <v:path arrowok="t"/>
              <v:stroke dashstyle="solid"/>
            </v:shape>
            <v:line style="position:absolute" from="1176,557" to="1176,659" stroked="true" strokeweight="1.5pt" strokecolor="#006caa">
              <v:stroke dashstyle="solid"/>
            </v:line>
            <v:shape style="position:absolute;left:1181;top:566;width:73;height:245" coordorigin="1181,567" coordsize="73,245" path="m1181,567l1201,612m1201,612l1224,672m1224,672l1234,729m1234,729l1254,812e" filled="false" stroked="true" strokeweight="1pt" strokecolor="#006caa">
              <v:path arrowok="t"/>
              <v:stroke dashstyle="solid"/>
            </v:shape>
            <v:line style="position:absolute" from="1259,719" to="1259,822" stroked="true" strokeweight="1.5pt" strokecolor="#006caa">
              <v:stroke dashstyle="solid"/>
            </v:line>
            <v:shape style="position:absolute;left:1263;top:554;width:43;height:175" coordorigin="1264,554" coordsize="43,175" path="m1264,729l1286,672m1286,672l1306,554e" filled="false" stroked="true" strokeweight="1pt" strokecolor="#006caa">
              <v:path arrowok="t"/>
              <v:stroke dashstyle="solid"/>
            </v:shape>
            <v:line style="position:absolute" from="1311,544" to="1311,647" stroked="true" strokeweight="1.5pt" strokecolor="#006caa">
              <v:stroke dashstyle="solid"/>
            </v:line>
            <v:shape style="position:absolute;left:1316;top:214;width:498;height:423" coordorigin="1316,214" coordsize="498,423" path="m1316,637l1336,612m1336,612l1346,589m1346,589l1369,554m1369,554l1389,484m1389,484l1399,459m1399,459l1421,462m1421,459l1431,462m1431,459l1451,462m1451,459l1461,507m1461,507l1481,529m1481,529l1504,507m1504,507l1514,449m1514,449l1534,402m1534,402l1544,367m1544,367l1566,369m1566,367l1586,284m1586,284l1596,259m1596,259l1616,214m1616,214l1629,294m1629,294l1649,284m1649,284l1669,294m1669,294l1679,284m1679,284l1701,342m1701,342l1711,377m1711,377l1731,342m1731,342l1741,284m1741,284l1761,237m1761,237l1784,402m1784,402l1794,459m1794,459l1814,484e" filled="false" stroked="true" strokeweight="1pt" strokecolor="#006caa">
              <v:path arrowok="t"/>
              <v:stroke dashstyle="solid"/>
            </v:shape>
            <v:line style="position:absolute" from="1818,332" to="1818,494" stroked="true" strokeweight="1.5pt" strokecolor="#006caa">
              <v:stroke dashstyle="solid"/>
            </v:line>
            <v:shape style="position:absolute;left:1823;top:236;width:43;height:108" coordorigin="1823,237" coordsize="43,108" path="m1823,342l1846,344m1846,342l1866,237e" filled="false" stroked="true" strokeweight="1pt" strokecolor="#006caa">
              <v:path arrowok="t"/>
              <v:stroke dashstyle="solid"/>
            </v:shape>
            <v:line style="position:absolute" from="1871,122" to="1871,247" stroked="true" strokeweight="1.5pt" strokecolor="#006caa">
              <v:stroke dashstyle="solid"/>
            </v:line>
            <v:shape style="position:absolute;left:1876;top:49;width:73;height:153" coordorigin="1876,49" coordsize="73,153" path="m1876,132l1896,97m1896,97l1908,49m1908,49l1928,119m1928,119l1948,202e" filled="false" stroked="true" strokeweight="1pt" strokecolor="#006caa">
              <v:path arrowok="t"/>
              <v:stroke dashstyle="solid"/>
            </v:shape>
            <v:line style="position:absolute" from="1953,192" to="1953,304" stroked="true" strokeweight="1.5pt" strokecolor="#006caa">
              <v:stroke dashstyle="solid"/>
            </v:line>
            <v:shape style="position:absolute;left:1958;top:214;width:53;height:80" coordorigin="1958,214" coordsize="53,80" path="m1958,294l1981,237m1981,237l1991,214m1991,214l2011,237e" filled="false" stroked="true" strokeweight="1pt" strokecolor="#006caa">
              <v:path arrowok="t"/>
              <v:stroke dashstyle="solid"/>
            </v:shape>
            <v:line style="position:absolute" from="2016,227" to="2016,352" stroked="true" strokeweight="1.5pt" strokecolor="#006caa">
              <v:stroke dashstyle="solid"/>
            </v:line>
            <v:shape style="position:absolute;left:2021;top:341;width:43;height:143" coordorigin="2021,342" coordsize="43,143" path="m2021,342l2041,424m2041,424l2063,484e" filled="false" stroked="true" strokeweight="1pt" strokecolor="#006caa">
              <v:path arrowok="t"/>
              <v:stroke dashstyle="solid"/>
            </v:shape>
            <v:line style="position:absolute" from="2068,474" to="2068,577" stroked="true" strokeweight="1.5pt" strokecolor="#006caa">
              <v:stroke dashstyle="solid"/>
            </v:line>
            <v:shape style="position:absolute;left:2073;top:566;width:188;height:238" coordorigin="2073,567" coordsize="188,238" path="m2073,567l2093,672m2093,672l2103,694m2103,694l2126,697m2126,694l2146,697m2146,694l2156,729m2156,729l2176,802m2176,802l2188,804m2188,802l2208,777m2208,777l2228,649m2228,649l2238,719m2238,719l2261,802e" filled="false" stroked="true" strokeweight="1pt" strokecolor="#006caa">
              <v:path arrowok="t"/>
              <v:stroke dashstyle="solid"/>
            </v:shape>
            <v:line style="position:absolute" from="2266,792" to="2266,974" stroked="true" strokeweight="1.5pt" strokecolor="#006caa">
              <v:stroke dashstyle="solid"/>
            </v:line>
            <v:shape style="position:absolute;left:2271;top:964;width:103;height:273" coordorigin="2271,964" coordsize="103,273" path="m2271,964l2291,977m2291,977l2301,1047m2301,1047l2324,1107m2324,1107l2344,1142m2344,1142l2354,1189m2354,1189l2374,1237e" filled="false" stroked="true" strokeweight="1pt" strokecolor="#006caa">
              <v:path arrowok="t"/>
              <v:stroke dashstyle="solid"/>
            </v:shape>
            <v:line style="position:absolute" from="2379,1227" to="2379,1329" stroked="true" strokeweight="1.5pt" strokecolor="#006caa">
              <v:stroke dashstyle="solid"/>
            </v:line>
            <v:line style="position:absolute" from="2384,1319" to="2406,1377" stroked="true" strokeweight="1pt" strokecolor="#006caa">
              <v:stroke dashstyle="solid"/>
            </v:line>
            <v:line style="position:absolute" from="2416,1367" to="2416,1574" stroked="true" strokeweight="2pt" strokecolor="#006caa">
              <v:stroke dashstyle="solid"/>
            </v:line>
            <v:shape style="position:absolute;left:2426;top:1046;width:1318;height:615" coordorigin="2426,1047" coordsize="1318,615" path="m2426,1564l2436,1567m2436,1564l2456,1577m2456,1577l2469,1542m2469,1542l2489,1577m2489,1577l2509,1579m2509,1577l2519,1579m2519,1577l2541,1647m2541,1647l2551,1624m2551,1624l2571,1627m2571,1624l2591,1599m2591,1599l2604,1564m2604,1564l2624,1459m2624,1459l2634,1482m2634,1482l2654,1494m2654,1494l2664,1497m2664,1494l2686,1482m2686,1482l2706,1437m2706,1437l2716,1459m2716,1459l2739,1437m2739,1437l2749,1482m2749,1482l2769,1484m2769,1482l2789,1484m2789,1482l2799,1494m2799,1494l2821,1497m2821,1494l2831,1459m2831,1459l2851,1482m2851,1482l2871,1542m2871,1542l2884,1624m2884,1624l2904,1659m2904,1659l2914,1662m2914,1659l2934,1647m2934,1647l2946,1599m2946,1599l2966,1602m2966,1599l2986,1602m2986,1599l2996,1602m2996,1599l3019,1602m3019,1599l3029,1564m3029,1564l3049,1577m3049,1577l3069,1517m3069,1517l3079,1494m3079,1494l3101,1459m3101,1459l3111,1412m3111,1412l3131,1414m3131,1412l3151,1414m3151,1412l3164,1414m3164,1412l3184,1354m3184,1354l3194,1377m3194,1377l3214,1354m3214,1354l3226,1399m3226,1399l3246,1377m3246,1377l3266,1412m3266,1412l3276,1399m3276,1399l3299,1354m3299,1354l3309,1357m3309,1354l3329,1319m3329,1319l3349,1294m3349,1294l3359,1237m3359,1237l3381,1212m3381,1212l3391,1189m3391,1189l3411,1192m3411,1189l3434,1129m3434,1129l3444,1059m3444,1059l3464,1047m3464,1047l3474,1059m3474,1059l3494,1142m3494,1142l3506,1144m3506,1142l3526,1212m3526,1212l3546,1237m3546,1237l3556,1294m3556,1294l3579,1319m3579,1319l3589,1294m3589,1294l3609,1237m3609,1237l3629,1272m3629,1272l3641,1329m3641,1329l3661,1294m3661,1294l3671,1247m3671,1247l3691,1189m3691,1189l3714,1247m3714,1247l3724,1212m3724,1212l3744,1214e" filled="false" stroked="true" strokeweight="1pt" strokecolor="#006caa">
              <v:path arrowok="t"/>
              <v:stroke dashstyle="solid"/>
            </v:shape>
            <v:line style="position:absolute" from="3748,1072" to="3748,1222" stroked="true" strokeweight="1.5pt" strokecolor="#006caa">
              <v:stroke dashstyle="solid"/>
            </v:line>
            <v:shape style="position:absolute;left:3753;top:976;width:73;height:188" coordorigin="3753,977" coordsize="73,188" path="m3753,1082l3773,1002m3773,1002l3786,977m3786,977l3806,1047m3806,1047l3826,1164e" filled="false" stroked="true" strokeweight="1pt" strokecolor="#006caa">
              <v:path arrowok="t"/>
              <v:stroke dashstyle="solid"/>
            </v:shape>
            <v:line style="position:absolute" from="3831,1154" to="3831,1282" stroked="true" strokeweight="1.5pt" strokecolor="#006caa">
              <v:stroke dashstyle="solid"/>
            </v:line>
            <v:shape style="position:absolute;left:3836;top:1271;width:53;height:143" coordorigin="3836,1272" coordsize="53,143" path="m3836,1272l3858,1377m3858,1377l3868,1412m3868,1412l3888,1414e" filled="false" stroked="true" strokeweight="1pt" strokecolor="#006caa">
              <v:path arrowok="t"/>
              <v:stroke dashstyle="solid"/>
            </v:shape>
            <v:shape style="position:absolute;left:1006;top:894;width:663;height:153" coordorigin="1006,894" coordsize="663,153" path="m1006,1002l1026,1004m1026,1002l1036,1004m1036,1002l1056,977m1056,977l1066,979m1066,977l1089,1002m1089,1002l1109,1004m1109,1002l1119,1004m1119,1002l1139,1004m1139,1002l1151,1004m1151,1002l1171,1004m1171,1002l1181,1004m1181,1002l1201,1004m1201,1002l1224,1004m1224,1002l1234,1004m1234,1002l1254,1004m1254,1002l1264,1004m1264,1002l1286,1004m1286,1002l1306,977m1306,977l1316,979m1316,977l1336,1024m1336,1024l1346,1027m1346,1024l1369,1027m1369,1024l1389,1027m1389,1024l1399,1027m1399,1024l1421,1002m1421,1002l1431,1024m1431,1024l1451,977m1451,977l1461,979m1461,977l1481,979m1481,977l1504,1024m1504,1024l1514,1027m1514,1024l1534,1047m1534,1047l1544,1024m1544,1024l1566,1027m1566,1024l1586,1027m1586,1024l1596,1002m1596,1002l1616,977m1616,977l1629,979m1629,977l1649,894m1649,894l1669,919e" filled="false" stroked="true" strokeweight="1pt" strokecolor="#acbc4a">
              <v:path arrowok="t"/>
              <v:stroke dashstyle="solid"/>
            </v:shape>
            <v:line style="position:absolute" from="1673,802" to="1673,929" stroked="true" strokeweight="1.5pt" strokecolor="#acbc4a">
              <v:stroke dashstyle="solid"/>
            </v:line>
            <v:shape style="position:absolute;left:1678;top:649;width:105;height:163" coordorigin="1678,649" coordsize="105,163" path="m1678,812l1701,802m1701,802l1711,729m1711,729l1731,672m1731,672l1741,674m1741,672l1761,649m1761,649l1783,652e" filled="false" stroked="true" strokeweight="1pt" strokecolor="#acbc4a">
              <v:path arrowok="t"/>
              <v:stroke dashstyle="solid"/>
            </v:shape>
            <v:line style="position:absolute" from="1788,557" to="1788,659" stroked="true" strokeweight="1.5pt" strokecolor="#acbc4a">
              <v:stroke dashstyle="solid"/>
            </v:line>
            <v:shape style="position:absolute;left:1793;top:294;width:508;height:790" coordorigin="1793,294" coordsize="508,790" path="m1793,567l1813,569m1813,567l1823,569m1823,567l1846,459m1846,459l1866,462m1866,459l1876,449m1876,449l1896,367m1896,367l1908,369m1908,367l1928,369m1928,367l1948,342m1948,342l1958,319m1958,319l1981,322m1981,319l1991,322m1991,319l2011,322m2011,319l2021,322m2021,319l2041,294m2041,294l2063,297m2063,294l2073,367m2073,367l2093,459m2093,459l2103,484m2103,484l2126,649m2126,649l2146,652m2146,649l2156,719m2156,719l2176,812m2176,812l2188,884m2188,884l2208,887m2208,884l2228,919m2228,919l2238,964m2238,964l2261,977m2261,977l2271,979m2271,977l2291,1082m2291,1082l2301,1084e" filled="false" stroked="true" strokeweight="1pt" strokecolor="#acbc4a">
              <v:path arrowok="t"/>
              <v:stroke dashstyle="solid"/>
            </v:shape>
            <v:line style="position:absolute" from="2312,1072" to="2312,1339" stroked="true" strokeweight="2.125pt" strokecolor="#acbc4a">
              <v:stroke dashstyle="solid"/>
            </v:line>
            <v:shape style="position:absolute;left:2323;top:1329;width:103;height:73" coordorigin="2324,1329" coordsize="103,73" path="m2324,1329l2344,1332m2344,1329l2354,1354m2354,1354l2374,1377m2374,1377l2384,1399m2384,1399l2406,1402m2406,1399l2426,1402e" filled="false" stroked="true" strokeweight="1pt" strokecolor="#acbc4a">
              <v:path arrowok="t"/>
              <v:stroke dashstyle="solid"/>
            </v:shape>
            <v:line style="position:absolute" from="2431,1389" to="2431,1609" stroked="true" strokeweight="1.5pt" strokecolor="#acbc4a">
              <v:stroke dashstyle="solid"/>
            </v:line>
            <v:shape style="position:absolute;left:2436;top:1459;width:1453;height:318" coordorigin="2436,1459" coordsize="1453,318" path="m2436,1599l2456,1602m2456,1599l2469,1602m2469,1599l2489,1624m2489,1624l2509,1634m2509,1634l2519,1637m2519,1634l2541,1659m2541,1659l2551,1662m2551,1659l2571,1662m2571,1659l2591,1764m2591,1764l2604,1767m2604,1764l2624,1777m2624,1777l2634,1752m2634,1752l2654,1742m2654,1742l2664,1717m2664,1717l2686,1707m2686,1707l2706,1694m2706,1694l2716,1672m2716,1672l2739,1674m2739,1672l2749,1674m2749,1672l2789,1647m2789,1647l2799,1649m2799,1647l2821,1634m2821,1634l2831,1612m2831,1612l2851,1599m2851,1599l2871,1602m2871,1599l2884,1589m2884,1589l2904,1592m2904,1589l2914,1592m2914,1589l2934,1577m2934,1577l2946,1579m2946,1577l2966,1579m2966,1577l2986,1564m2986,1564l2996,1567m2996,1564l3019,1567m3019,1564l3029,1567m3029,1564l3049,1554m3049,1554l3069,1557m3069,1554l3079,1557m3079,1554l3101,1542m3101,1542l3111,1544m3111,1542l3131,1544m3131,1542l3151,1544m3151,1542l3164,1544m3164,1542l3184,1554m3184,1554l3194,1557m3194,1554l3214,1557m3214,1554l3226,1517m3226,1517l3246,1529m3246,1529l3266,1517m3266,1517l3276,1519m3276,1517l3299,1519m3299,1517l3309,1519m3309,1517l3329,1519m3329,1517l3349,1519m3349,1517l3359,1519m3359,1517l3381,1494m3381,1494l3391,1482m3391,1482l3411,1484m3411,1482l3434,1484m3434,1482l3444,1472m3444,1472l3464,1474m3464,1472l3474,1459m3474,1459l3494,1462m3494,1459l3506,1462m3506,1459l3526,1462m3526,1459l3546,1462m3546,1459l3556,1462m3556,1459l3579,1482m3579,1482l3589,1484m3589,1482l3609,1484m3609,1482l3629,1484m3629,1482l3641,1494m3641,1494l3661,1482m3661,1482l3671,1494m3671,1494l3691,1507m3691,1507l3714,1509m3714,1507l3724,1509m3724,1507l3744,1517m3744,1517l3754,1519m3754,1517l3774,1529m3774,1529l3786,1542m3786,1542l3806,1544m3806,1542l3826,1589m3826,1589l3836,1592m3836,1589l3859,1599m3859,1599l3869,1602m3869,1599l3889,1602e" filled="false" stroked="true" strokeweight="1pt" strokecolor="#acbc4a">
              <v:path arrowok="t"/>
              <v:stroke dashstyle="solid"/>
            </v:shape>
            <v:shape style="position:absolute;left:1006;top:1659;width:248;height:375" coordorigin="1006,1659" coordsize="248,375" path="m1006,1659l1026,1682m1026,1682l1036,1707m1036,1707l1056,1729m1056,1729l1066,1764m1066,1764l1089,1789m1089,1789l1109,1812m1109,1812l1119,1764m1119,1764l1139,1907m1139,1907l1151,1894m1151,1894l1171,1869m1171,1869l1181,1789m1181,1789l1201,1824m1201,1824l1224,1894m1224,1894l1234,1952m1234,1952l1254,2034e" filled="false" stroked="true" strokeweight="1pt" strokecolor="#00a2a0">
              <v:path arrowok="t"/>
              <v:stroke dashstyle="solid"/>
            </v:shape>
            <v:line style="position:absolute" from="1259,1942" to="1259,2044" stroked="true" strokeweight="1.5pt" strokecolor="#00a2a0">
              <v:stroke dashstyle="solid"/>
            </v:line>
            <v:shape style="position:absolute;left:1263;top:1459;width:405;height:493" coordorigin="1264,1459" coordsize="405,493" path="m1264,1952l1286,1894m1286,1894l1306,1789m1306,1789l1316,1869m1316,1869l1336,1812m1336,1812l1346,1789m1346,1789l1369,1742m1369,1742l1389,1682m1389,1682l1399,1659m1399,1659l1421,1682m1421,1682l1431,1659m1431,1659l1451,1707m1451,1707l1461,1742m1461,1742l1481,1764m1481,1764l1504,1707m1504,1707l1514,1647m1514,1647l1534,1577m1534,1577l1544,1564m1544,1564l1566,1567m1566,1564l1586,1482m1586,1482l1596,1484m1596,1482l1616,1459m1616,1459l1629,1542m1629,1542l1649,1599m1649,1599l1669,1602e" filled="false" stroked="true" strokeweight="1pt" strokecolor="#00a2a0">
              <v:path arrowok="t"/>
              <v:stroke dashstyle="solid"/>
            </v:shape>
            <v:line style="position:absolute" from="1673,1589" to="1673,1692" stroked="true" strokeweight="1.5pt" strokecolor="#00a2a0">
              <v:stroke dashstyle="solid"/>
            </v:line>
            <v:line style="position:absolute" from="1678,1682" to="1701,1764" stroked="true" strokeweight="1pt" strokecolor="#00a2a0">
              <v:stroke dashstyle="solid"/>
            </v:line>
            <v:line style="position:absolute" from="1706,1754" to="1706,1879" stroked="true" strokeweight="1.5pt" strokecolor="#00a2a0">
              <v:stroke dashstyle="solid"/>
            </v:line>
            <v:shape style="position:absolute;left:1711;top:1811;width:73;height:165" coordorigin="1711,1812" coordsize="73,165" path="m1711,1869l1731,1894m1731,1894l1741,1824m1741,1824l1761,1812m1761,1812l1783,1977e" filled="false" stroked="true" strokeweight="1pt" strokecolor="#00a2a0">
              <v:path arrowok="t"/>
              <v:stroke dashstyle="solid"/>
            </v:shape>
            <v:line style="position:absolute" from="1788,1967" to="1788,2127" stroked="true" strokeweight="1.5pt" strokecolor="#00a2a0">
              <v:stroke dashstyle="solid"/>
            </v:line>
            <v:line style="position:absolute" from="1793,2117" to="1813,2142" stroked="true" strokeweight="1pt" strokecolor="#00a2a0">
              <v:stroke dashstyle="solid"/>
            </v:line>
            <v:line style="position:absolute" from="1818,1989" to="1818,2152" stroked="true" strokeweight="1.5pt" strokecolor="#00a2a0">
              <v:stroke dashstyle="solid"/>
            </v:line>
            <v:shape style="position:absolute;left:1823;top:1999;width:43;height:95" coordorigin="1823,1999" coordsize="43,95" path="m1823,1999l1846,2094m1846,2094l1866,1999e" filled="false" stroked="true" strokeweight="1pt" strokecolor="#00a2a0">
              <v:path arrowok="t"/>
              <v:stroke dashstyle="solid"/>
            </v:shape>
            <v:line style="position:absolute" from="1871,1897" to="1871,2009" stroked="true" strokeweight="1.5pt" strokecolor="#00a2a0">
              <v:stroke dashstyle="solid"/>
            </v:line>
            <v:shape style="position:absolute;left:1876;top:1906;width:73;height:175" coordorigin="1876,1907" coordsize="73,175" path="m1876,1907l1896,1952m1896,1952l1908,1907m1908,1907l1928,1977m1928,1977l1948,2082e" filled="false" stroked="true" strokeweight="1pt" strokecolor="#00a2a0">
              <v:path arrowok="t"/>
              <v:stroke dashstyle="solid"/>
            </v:shape>
            <v:line style="position:absolute" from="1953,2072" to="1953,2209" stroked="true" strokeweight="1.5pt" strokecolor="#00a2a0">
              <v:stroke dashstyle="solid"/>
            </v:line>
            <v:shape style="position:absolute;left:1958;top:2116;width:53;height:83" coordorigin="1958,2117" coordsize="53,83" path="m1958,2199l1981,2142m1981,2142l1991,2117m1991,2117l2011,2142e" filled="false" stroked="true" strokeweight="1pt" strokecolor="#00a2a0">
              <v:path arrowok="t"/>
              <v:stroke dashstyle="solid"/>
            </v:shape>
            <v:line style="position:absolute" from="2016,2132" to="2016,2257" stroked="true" strokeweight="1.5pt" strokecolor="#00a2a0">
              <v:stroke dashstyle="solid"/>
            </v:line>
            <v:shape style="position:absolute;left:2021;top:1951;width:240;height:473" coordorigin="2021,1952" coordsize="240,473" path="m2021,2247l2041,2342m2041,2342l2063,2412m2063,2412l2073,2422m2073,2422l2093,2424m2093,2422l2103,2424m2103,2422l2126,2259m2126,2259l2146,2262m2146,2259l2156,2247m2156,2247l2176,2199m2176,2199l2188,2142m2188,2142l2208,2117m2208,2117l2228,1952m2228,1952l2238,1977m2238,1977l2261,2034e" filled="false" stroked="true" strokeweight="1pt" strokecolor="#00a2a0">
              <v:path arrowok="t"/>
              <v:stroke dashstyle="solid"/>
            </v:shape>
            <v:line style="position:absolute" from="2266,2024" to="2266,2209" stroked="true" strokeweight="1.5pt" strokecolor="#00a2a0">
              <v:stroke dashstyle="solid"/>
            </v:line>
            <v:shape style="position:absolute;left:2271;top:1999;width:135;height:200" coordorigin="2271,1999" coordsize="135,200" path="m2271,2199l2291,2117m2291,2117l2301,2177m2301,2177l2324,1999m2324,1999l2344,2034m2344,2034l2354,2059m2354,2059l2374,2082m2374,2082l2384,2142m2384,2142l2406,2199e" filled="false" stroked="true" strokeweight="1pt" strokecolor="#00a2a0">
              <v:path arrowok="t"/>
              <v:stroke dashstyle="solid"/>
            </v:shape>
            <v:line style="position:absolute" from="2416,2189" to="2416,2397" stroked="true" strokeweight="2pt" strokecolor="#00a2a0">
              <v:stroke dashstyle="solid"/>
            </v:line>
            <v:line style="position:absolute" from="2431,2167" to="2431,2397" stroked="true" strokeweight="1.5pt" strokecolor="#00a2a0">
              <v:stroke dashstyle="solid"/>
            </v:line>
            <v:shape style="position:absolute;left:2436;top:1799;width:1308;height:508" coordorigin="2436,1799" coordsize="1308,508" path="m2436,2177l2456,2199m2456,2199l2469,2164m2469,2164l2489,2177m2489,2177l2509,2164m2509,2164l2519,2167m2519,2164l2541,2199m2541,2199l2551,2187m2551,2187l2571,2189m2571,2187l2591,2059m2591,2059l2604,2012m2604,2012l2624,1907m2624,1907l2634,1952m2634,1952l2654,1977m2654,1977l2664,1999m2664,1999l2686,2002m2686,1999l2706,1964m2706,1964l2716,1999m2716,1999l2739,1989m2739,1989l2749,2034m2749,2034l2769,2037m2769,2034l2789,2047m2789,2047l2799,2082m2799,2082l2821,2084m2821,2082l2831,2069m2831,2069l2851,2094m2851,2094l2871,2164m2871,2164l2884,2259m2884,2259l2904,2304m2904,2304l2914,2307m2914,2304l2934,2282m2934,2282l2946,2247m2946,2247l2966,2249m2966,2247l2986,2259m2986,2259l2996,2262m2996,2259l3019,2262m3019,2259l3029,2224m3029,2224l3049,2247m3049,2247l3069,2187m3069,2187l3079,2177m3079,2177l3101,2129m3101,2129l3111,2094m3111,2094l3131,2097m3131,2094l3151,2097m3151,2094l3164,2097m3164,2094l3184,2024m3184,2024l3194,2047m3194,2047l3214,2024m3214,2024l3226,2094m3226,2094l3246,2069m3246,2069l3266,2117m3266,2117l3276,2107m3276,2107l3299,2059m3299,2059l3309,2062m3309,2059l3329,2012m3329,2012l3349,1999m3349,1999l3359,1942m3359,1942l3381,1944m3381,1942l3391,1917m3391,1917l3411,1929m3411,1929l3434,1869m3434,1869l3444,1812m3444,1812l3464,1799m3464,1799l3474,1824m3474,1824l3494,1907m3494,1907l3506,1909m3506,1907l3526,1964m3526,1964l3546,1989m3546,1989l3556,2047m3556,2047l3579,2059m3579,2059l3589,2034m3589,2034l3609,1964m3609,1964l3629,2012m3629,2012l3641,2059m3641,2059l3661,2034m3661,2034l3671,1977m3671,1977l3691,1907m3691,1907l3714,1964m3714,1964l3724,1917m3724,1917l3744,1919e" filled="false" stroked="true" strokeweight="1pt" strokecolor="#00a2a0">
              <v:path arrowok="t"/>
              <v:stroke dashstyle="solid"/>
            </v:shape>
            <v:line style="position:absolute" from="3748,1779" to="3748,1927" stroked="true" strokeweight="1.5pt" strokecolor="#00a2a0">
              <v:stroke dashstyle="solid"/>
            </v:line>
            <v:shape style="position:absolute;left:3753;top:1671;width:73;height:140" coordorigin="3753,1672" coordsize="73,140" path="m3753,1789l3773,1694m3773,1694l3786,1672m3786,1672l3806,1729m3806,1729l3826,1812e" filled="false" stroked="true" strokeweight="1pt" strokecolor="#00a2a0">
              <v:path arrowok="t"/>
              <v:stroke dashstyle="solid"/>
            </v:shape>
            <v:line style="position:absolute" from="3831,1802" to="3831,1917" stroked="true" strokeweight="1.5pt" strokecolor="#00a2a0">
              <v:stroke dashstyle="solid"/>
            </v:line>
            <v:shape style="position:absolute;left:3836;top:1906;width:53;height:130" coordorigin="3836,1907" coordsize="53,130" path="m3836,1907l3858,1999m3858,1999l3868,2034m3868,2034l3888,2037e" filled="false" stroked="true" strokeweight="1pt" strokecolor="#00a2a0">
              <v:path arrowok="t"/>
              <v:stroke dashstyle="solid"/>
            </v:shape>
            <v:line style="position:absolute" from="998,1988" to="3898,1988" stroked="true" strokeweight=".5pt" strokecolor="#000000">
              <v:stroke dashstyle="dash"/>
            </v:line>
            <v:shape style="position:absolute;left:848;top:156;width:3210;height:2136" coordorigin="849,157" coordsize="3210,2136" path="m1004,2225l3904,2225m849,158l936,158m849,571l936,571m849,984l936,984m849,1397l936,1397m849,2224l936,2224m849,1811l936,1811m3972,157l4058,157m3972,570l4058,570m3972,983l4058,983m3972,1396l4058,1396m3972,2223l4058,2223m3972,1809l4058,1809m1507,2075l1437,2292e" filled="false" stroked="true" strokeweight=".5pt" strokecolor="#000000">
              <v:path arrowok="t"/>
              <v:stroke dashstyle="solid"/>
            </v:shape>
            <v:shape style="position:absolute;left:1477;top:2010;width:50;height:89" coordorigin="1478,2011" coordsize="50,89" path="m1527,2011l1491,2068,1478,2084,1526,2099,1524,2082,1524,2069,1524,2056,1524,2043,1525,2030,1526,2020,1527,2011xe" filled="true" fillcolor="#000000" stroked="false">
              <v:path arrowok="t"/>
              <v:fill type="solid"/>
            </v:shape>
            <w10:wrap type="none"/>
          </v:group>
        </w:pict>
      </w:r>
      <w:r>
        <w:rPr>
          <w:sz w:val="12"/>
        </w:rPr>
        <w:t>nominal earnings</w:t>
        <w:tab/>
      </w:r>
      <w:r>
        <w:rPr>
          <w:position w:val="-6"/>
          <w:sz w:val="12"/>
        </w:rPr>
        <w:t>10</w:t>
      </w:r>
    </w:p>
    <w:p>
      <w:pPr>
        <w:pStyle w:val="BodyText"/>
        <w:spacing w:before="4"/>
      </w:pPr>
    </w:p>
    <w:p>
      <w:pPr>
        <w:spacing w:before="0"/>
        <w:ind w:left="3499" w:right="0" w:firstLine="0"/>
        <w:jc w:val="left"/>
        <w:rPr>
          <w:sz w:val="12"/>
        </w:rPr>
      </w:pPr>
      <w:r>
        <w:rPr>
          <w:sz w:val="12"/>
        </w:rPr>
        <w:t>8</w:t>
      </w:r>
    </w:p>
    <w:p>
      <w:pPr>
        <w:pStyle w:val="BodyText"/>
        <w:rPr>
          <w:sz w:val="12"/>
        </w:rPr>
      </w:pPr>
    </w:p>
    <w:p>
      <w:pPr>
        <w:pStyle w:val="BodyText"/>
        <w:spacing w:before="10"/>
        <w:rPr>
          <w:sz w:val="11"/>
        </w:rPr>
      </w:pPr>
    </w:p>
    <w:p>
      <w:pPr>
        <w:spacing w:before="0"/>
        <w:ind w:left="3499" w:right="0" w:firstLine="0"/>
        <w:jc w:val="left"/>
        <w:rPr>
          <w:sz w:val="12"/>
        </w:rPr>
      </w:pPr>
      <w:r>
        <w:rPr>
          <w:sz w:val="12"/>
        </w:rPr>
        <w:t>6</w:t>
      </w:r>
    </w:p>
    <w:p>
      <w:pPr>
        <w:spacing w:before="2"/>
        <w:ind w:left="788" w:right="0" w:firstLine="0"/>
        <w:jc w:val="left"/>
        <w:rPr>
          <w:sz w:val="12"/>
        </w:rPr>
      </w:pPr>
      <w:r>
        <w:rPr>
          <w:sz w:val="12"/>
        </w:rPr>
        <w:t>Settlements (a)</w:t>
      </w:r>
    </w:p>
    <w:p>
      <w:pPr>
        <w:pStyle w:val="BodyText"/>
        <w:spacing w:before="9"/>
        <w:rPr>
          <w:sz w:val="11"/>
        </w:rPr>
      </w:pPr>
    </w:p>
    <w:p>
      <w:pPr>
        <w:spacing w:before="0"/>
        <w:ind w:left="3499" w:right="0" w:firstLine="0"/>
        <w:jc w:val="left"/>
        <w:rPr>
          <w:sz w:val="12"/>
        </w:rPr>
      </w:pPr>
      <w:r>
        <w:rPr>
          <w:sz w:val="12"/>
        </w:rPr>
        <w:t>4</w:t>
      </w:r>
    </w:p>
    <w:p>
      <w:pPr>
        <w:pStyle w:val="BodyText"/>
        <w:rPr>
          <w:sz w:val="12"/>
        </w:rPr>
      </w:pPr>
    </w:p>
    <w:p>
      <w:pPr>
        <w:pStyle w:val="BodyText"/>
        <w:spacing w:before="10"/>
        <w:rPr>
          <w:sz w:val="11"/>
        </w:rPr>
      </w:pPr>
    </w:p>
    <w:p>
      <w:pPr>
        <w:spacing w:before="0"/>
        <w:ind w:left="3499" w:right="0" w:firstLine="0"/>
        <w:jc w:val="left"/>
        <w:rPr>
          <w:sz w:val="12"/>
        </w:rPr>
      </w:pPr>
      <w:r>
        <w:rPr>
          <w:sz w:val="12"/>
        </w:rPr>
        <w:t>2</w:t>
      </w:r>
    </w:p>
    <w:p>
      <w:pPr>
        <w:pStyle w:val="BodyText"/>
        <w:spacing w:line="242" w:lineRule="auto" w:before="90"/>
        <w:ind w:left="181"/>
      </w:pPr>
      <w:r>
        <w:rPr/>
        <w:br w:type="column"/>
      </w:r>
      <w:r>
        <w:rPr/>
        <w:t>These factors do not completely resolve the uncertainty surrounding the recent negative bonus contributions.</w:t>
      </w:r>
    </w:p>
    <w:p>
      <w:pPr>
        <w:pStyle w:val="BodyText"/>
        <w:spacing w:line="242" w:lineRule="auto" w:before="2"/>
        <w:ind w:left="181" w:right="183"/>
      </w:pPr>
      <w:r>
        <w:rPr/>
        <w:t>Those contributions </w:t>
      </w:r>
      <w:r>
        <w:rPr>
          <w:spacing w:val="-3"/>
        </w:rPr>
        <w:t>have, </w:t>
      </w:r>
      <w:r>
        <w:rPr>
          <w:spacing w:val="-4"/>
        </w:rPr>
        <w:t>however, </w:t>
      </w:r>
      <w:r>
        <w:rPr/>
        <w:t>been less pronounced in recent months than earlier in the </w:t>
      </w:r>
      <w:r>
        <w:rPr>
          <w:spacing w:val="-3"/>
        </w:rPr>
        <w:t>year, </w:t>
      </w:r>
      <w:r>
        <w:rPr/>
        <w:t>especially in </w:t>
      </w:r>
      <w:r>
        <w:rPr>
          <w:spacing w:val="-3"/>
        </w:rPr>
        <w:t>private </w:t>
      </w:r>
      <w:r>
        <w:rPr/>
        <w:t>sector services (see </w:t>
      </w:r>
      <w:r>
        <w:rPr>
          <w:spacing w:val="-5"/>
        </w:rPr>
        <w:t>Table </w:t>
      </w:r>
      <w:r>
        <w:rPr/>
        <w:t>3.C). And bonuses may grow more in line with regular pay in future months.  An additional factor here, </w:t>
      </w:r>
      <w:r>
        <w:rPr>
          <w:spacing w:val="-4"/>
        </w:rPr>
        <w:t>however, </w:t>
      </w:r>
      <w:r>
        <w:rPr/>
        <w:t>is that tax breaks on profit-related </w:t>
      </w:r>
      <w:r>
        <w:rPr>
          <w:spacing w:val="-5"/>
        </w:rPr>
        <w:t>pay, </w:t>
      </w:r>
      <w:r>
        <w:rPr/>
        <w:t>which may </w:t>
      </w:r>
      <w:r>
        <w:rPr>
          <w:spacing w:val="-3"/>
        </w:rPr>
        <w:t>have </w:t>
      </w:r>
      <w:r>
        <w:rPr/>
        <w:t>contributed to the rise in the proportion of earnings paid through bonuses </w:t>
      </w:r>
      <w:r>
        <w:rPr>
          <w:spacing w:val="-3"/>
        </w:rPr>
        <w:t>over </w:t>
      </w:r>
      <w:r>
        <w:rPr/>
        <w:t>the last </w:t>
      </w:r>
      <w:r>
        <w:rPr>
          <w:spacing w:val="-3"/>
        </w:rPr>
        <w:t>few </w:t>
      </w:r>
      <w:r>
        <w:rPr/>
        <w:t>years, are in the process of being phased out.</w:t>
      </w:r>
      <w:r>
        <w:rPr>
          <w:position w:val="5"/>
          <w:sz w:val="16"/>
        </w:rPr>
        <w:t>(1) </w:t>
      </w:r>
      <w:r>
        <w:rPr/>
        <w:t>This suggests that this incentive to raise the proportion of earnings paid in bonuses may not continue to rise as strongly as in the past. Contacts of the </w:t>
      </w:r>
      <w:r>
        <w:rPr>
          <w:spacing w:val="-3"/>
        </w:rPr>
        <w:t>Bank’s </w:t>
      </w:r>
      <w:r>
        <w:rPr/>
        <w:t>regional Agents, </w:t>
      </w:r>
      <w:r>
        <w:rPr>
          <w:spacing w:val="-4"/>
        </w:rPr>
        <w:t>however, </w:t>
      </w:r>
      <w:r>
        <w:rPr/>
        <w:t>report a continuing desire to </w:t>
      </w:r>
      <w:r>
        <w:rPr>
          <w:spacing w:val="-3"/>
        </w:rPr>
        <w:t>move </w:t>
      </w:r>
      <w:r>
        <w:rPr/>
        <w:t>to more flexible remuneration packages. Other taxation changes could also affect remuneration and measured AEI growth. For example, tax breaks on employers remunerating employees with company shares </w:t>
      </w:r>
      <w:r>
        <w:rPr>
          <w:spacing w:val="-3"/>
        </w:rPr>
        <w:t>have </w:t>
      </w:r>
      <w:r>
        <w:rPr/>
        <w:t>recently been expanded. Such payments are not, like other non-cash elements of remuneration (eg holiday entitlements), captured in the AEI</w:t>
      </w:r>
      <w:r>
        <w:rPr>
          <w:spacing w:val="-19"/>
        </w:rPr>
        <w:t> </w:t>
      </w:r>
      <w:r>
        <w:rPr/>
        <w:t>data.</w:t>
      </w:r>
    </w:p>
    <w:p>
      <w:pPr>
        <w:pStyle w:val="BodyText"/>
        <w:spacing w:before="6"/>
        <w:rPr>
          <w:sz w:val="26"/>
        </w:rPr>
      </w:pPr>
    </w:p>
    <w:p>
      <w:pPr>
        <w:pStyle w:val="BodyText"/>
        <w:spacing w:line="242" w:lineRule="auto" w:before="1"/>
        <w:ind w:left="181" w:right="161"/>
      </w:pPr>
      <w:r>
        <w:rPr/>
        <w:t>Wage settlements are an important component of earnings growth. The Bank collects information on settlements and weights it by sector to match the AEI sample. The average settlement recorded in the previous twelve months edged down between 1998 and the spring of this year, before stabilising at 3.0% in recent months</w:t>
      </w:r>
    </w:p>
    <w:p>
      <w:pPr>
        <w:spacing w:after="0" w:line="242" w:lineRule="auto"/>
        <w:sectPr>
          <w:type w:val="continuous"/>
          <w:pgSz w:w="11900" w:h="16840"/>
          <w:pgMar w:top="1260" w:bottom="280" w:left="640" w:right="640"/>
          <w:cols w:num="2" w:equalWidth="0">
            <w:col w:w="3600" w:space="1205"/>
            <w:col w:w="5815"/>
          </w:cols>
        </w:sectPr>
      </w:pPr>
    </w:p>
    <w:p>
      <w:pPr>
        <w:pStyle w:val="BodyText"/>
        <w:rPr>
          <w:sz w:val="12"/>
        </w:rPr>
      </w:pPr>
    </w:p>
    <w:p>
      <w:pPr>
        <w:pStyle w:val="BodyText"/>
        <w:spacing w:before="10"/>
        <w:rPr>
          <w:sz w:val="12"/>
        </w:rPr>
      </w:pPr>
    </w:p>
    <w:p>
      <w:pPr>
        <w:spacing w:line="208" w:lineRule="auto" w:before="0"/>
        <w:ind w:left="445" w:right="0" w:hanging="60"/>
        <w:jc w:val="left"/>
        <w:rPr>
          <w:sz w:val="12"/>
        </w:rPr>
      </w:pPr>
      <w:r>
        <w:rPr>
          <w:sz w:val="12"/>
        </w:rPr>
        <w:t>Average wage drift</w:t>
      </w:r>
      <w:r>
        <w:rPr>
          <w:spacing w:val="8"/>
          <w:sz w:val="12"/>
        </w:rPr>
        <w:t> </w:t>
      </w:r>
      <w:r>
        <w:rPr>
          <w:spacing w:val="-3"/>
          <w:sz w:val="12"/>
        </w:rPr>
        <w:t>1986–2000</w:t>
      </w:r>
    </w:p>
    <w:p>
      <w:pPr>
        <w:pStyle w:val="BodyText"/>
        <w:spacing w:before="6"/>
        <w:rPr>
          <w:sz w:val="13"/>
        </w:rPr>
      </w:pPr>
    </w:p>
    <w:p>
      <w:pPr>
        <w:tabs>
          <w:tab w:pos="694" w:val="left" w:leader="none"/>
          <w:tab w:pos="1089" w:val="left" w:leader="none"/>
        </w:tabs>
        <w:spacing w:before="0"/>
        <w:ind w:left="249" w:right="0" w:firstLine="0"/>
        <w:jc w:val="left"/>
        <w:rPr>
          <w:sz w:val="12"/>
        </w:rPr>
      </w:pPr>
      <w:r>
        <w:rPr>
          <w:sz w:val="12"/>
        </w:rPr>
        <w:t>1986</w:t>
        <w:tab/>
        <w:t>88</w:t>
        <w:tab/>
        <w:t>90</w:t>
      </w:r>
    </w:p>
    <w:p>
      <w:pPr>
        <w:spacing w:line="154" w:lineRule="exact" w:before="0"/>
        <w:ind w:left="2126" w:right="0" w:firstLine="0"/>
        <w:jc w:val="left"/>
        <w:rPr>
          <w:sz w:val="16"/>
        </w:rPr>
      </w:pPr>
      <w:r>
        <w:rPr/>
        <w:br w:type="column"/>
      </w:r>
      <w:r>
        <w:rPr>
          <w:sz w:val="16"/>
        </w:rPr>
        <w:t>+</w:t>
      </w:r>
    </w:p>
    <w:p>
      <w:pPr>
        <w:spacing w:line="168" w:lineRule="auto" w:before="7"/>
        <w:ind w:left="2142" w:right="0" w:firstLine="0"/>
        <w:jc w:val="left"/>
        <w:rPr>
          <w:sz w:val="12"/>
        </w:rPr>
      </w:pPr>
      <w:r>
        <w:rPr>
          <w:position w:val="-9"/>
          <w:sz w:val="16"/>
        </w:rPr>
        <w:t>_</w:t>
      </w:r>
      <w:r>
        <w:rPr>
          <w:spacing w:val="-27"/>
          <w:position w:val="-9"/>
          <w:sz w:val="16"/>
        </w:rPr>
        <w:t> </w:t>
      </w:r>
      <w:r>
        <w:rPr>
          <w:sz w:val="12"/>
        </w:rPr>
        <w:t>0</w:t>
      </w:r>
    </w:p>
    <w:p>
      <w:pPr>
        <w:spacing w:line="136" w:lineRule="exact" w:before="0"/>
        <w:ind w:left="553" w:right="0" w:firstLine="0"/>
        <w:jc w:val="left"/>
        <w:rPr>
          <w:sz w:val="12"/>
        </w:rPr>
      </w:pPr>
      <w:r>
        <w:rPr>
          <w:sz w:val="12"/>
        </w:rPr>
        <w:t>Wage drift (b)</w:t>
      </w:r>
    </w:p>
    <w:p>
      <w:pPr>
        <w:spacing w:line="130" w:lineRule="exact" w:before="70"/>
        <w:ind w:left="2236" w:right="0" w:firstLine="0"/>
        <w:jc w:val="left"/>
        <w:rPr>
          <w:sz w:val="12"/>
        </w:rPr>
      </w:pPr>
      <w:r>
        <w:rPr/>
        <w:pict>
          <v:shape style="position:absolute;margin-left:42.443001pt;margin-top:4.574557pt;width:152.2pt;height:3.45pt;mso-position-horizontal-relative:page;mso-position-vertical-relative:paragraph;z-index:16074752" coordorigin="849,91" coordsize="3044,69" path="m1001,159l3892,159m999,91l999,159m1396,91l1396,159m1792,91l1792,159m2189,91l2189,159m2586,91l2586,159m2982,91l2982,159m3379,91l3379,159m3776,91l3776,159m849,160l936,160e" filled="false" stroked="true" strokeweight=".5pt" strokecolor="#000000">
            <v:path arrowok="t"/>
            <v:stroke dashstyle="solid"/>
            <w10:wrap type="none"/>
          </v:shape>
        </w:pict>
      </w:r>
      <w:r>
        <w:rPr/>
        <w:pict>
          <v:line style="position:absolute;mso-position-horizontal-relative:page;mso-position-vertical-relative:paragraph;z-index:16075776" from="198.591003pt,7.929557pt" to="202.923003pt,7.929557pt" stroked="true" strokeweight=".5pt" strokecolor="#000000">
            <v:stroke dashstyle="solid"/>
            <w10:wrap type="none"/>
          </v:line>
        </w:pict>
      </w:r>
      <w:r>
        <w:rPr>
          <w:sz w:val="12"/>
        </w:rPr>
        <w:t>2</w:t>
      </w:r>
    </w:p>
    <w:p>
      <w:pPr>
        <w:tabs>
          <w:tab w:pos="624" w:val="left" w:leader="none"/>
          <w:tab w:pos="1019" w:val="left" w:leader="none"/>
          <w:tab w:pos="1411" w:val="left" w:leader="none"/>
          <w:tab w:pos="1765" w:val="left" w:leader="none"/>
        </w:tabs>
        <w:spacing w:line="130" w:lineRule="exact" w:before="0"/>
        <w:ind w:left="219" w:right="0" w:firstLine="0"/>
        <w:jc w:val="left"/>
        <w:rPr>
          <w:sz w:val="12"/>
        </w:rPr>
      </w:pPr>
      <w:r>
        <w:rPr>
          <w:sz w:val="12"/>
        </w:rPr>
        <w:t>92</w:t>
        <w:tab/>
        <w:t>94</w:t>
        <w:tab/>
        <w:t>96</w:t>
        <w:tab/>
        <w:t>98</w:t>
        <w:tab/>
        <w:t>2000</w:t>
      </w:r>
    </w:p>
    <w:p>
      <w:pPr>
        <w:pStyle w:val="BodyText"/>
        <w:spacing w:line="242" w:lineRule="auto" w:before="7"/>
        <w:ind w:left="249"/>
      </w:pPr>
      <w:r>
        <w:rPr/>
        <w:br w:type="column"/>
      </w:r>
      <w:r>
        <w:rPr/>
        <w:t>(see Chart 3.17). The average settlement recorded in the previous three months has, </w:t>
      </w:r>
      <w:r>
        <w:rPr>
          <w:spacing w:val="-4"/>
        </w:rPr>
        <w:t>however, </w:t>
      </w:r>
      <w:r>
        <w:rPr/>
        <w:t>edged up recently—from 3.0% in May to 3.2% in</w:t>
      </w:r>
      <w:r>
        <w:rPr>
          <w:spacing w:val="-14"/>
        </w:rPr>
        <w:t> </w:t>
      </w:r>
      <w:r>
        <w:rPr>
          <w:spacing w:val="-3"/>
        </w:rPr>
        <w:t>September.</w:t>
      </w:r>
    </w:p>
    <w:p>
      <w:pPr>
        <w:pStyle w:val="BodyText"/>
        <w:spacing w:line="214" w:lineRule="exact" w:before="4"/>
        <w:ind w:left="249"/>
      </w:pPr>
      <w:r>
        <w:rPr/>
        <w:t>And</w:t>
      </w:r>
      <w:r>
        <w:rPr>
          <w:spacing w:val="-8"/>
        </w:rPr>
        <w:t> </w:t>
      </w:r>
      <w:r>
        <w:rPr/>
        <w:t>there</w:t>
      </w:r>
      <w:r>
        <w:rPr>
          <w:spacing w:val="-7"/>
        </w:rPr>
        <w:t> </w:t>
      </w:r>
      <w:r>
        <w:rPr>
          <w:spacing w:val="-3"/>
        </w:rPr>
        <w:t>have</w:t>
      </w:r>
      <w:r>
        <w:rPr>
          <w:spacing w:val="-7"/>
        </w:rPr>
        <w:t> </w:t>
      </w:r>
      <w:r>
        <w:rPr/>
        <w:t>been</w:t>
      </w:r>
      <w:r>
        <w:rPr>
          <w:spacing w:val="-7"/>
        </w:rPr>
        <w:t> </w:t>
      </w:r>
      <w:r>
        <w:rPr/>
        <w:t>growing</w:t>
      </w:r>
      <w:r>
        <w:rPr>
          <w:spacing w:val="-7"/>
        </w:rPr>
        <w:t> </w:t>
      </w:r>
      <w:r>
        <w:rPr/>
        <w:t>reports</w:t>
      </w:r>
      <w:r>
        <w:rPr>
          <w:spacing w:val="-7"/>
        </w:rPr>
        <w:t> </w:t>
      </w:r>
      <w:r>
        <w:rPr/>
        <w:t>of</w:t>
      </w:r>
      <w:r>
        <w:rPr>
          <w:spacing w:val="-7"/>
        </w:rPr>
        <w:t> </w:t>
      </w:r>
      <w:r>
        <w:rPr/>
        <w:t>prospective</w:t>
      </w:r>
    </w:p>
    <w:p>
      <w:pPr>
        <w:spacing w:after="0" w:line="214" w:lineRule="exact"/>
        <w:sectPr>
          <w:type w:val="continuous"/>
          <w:pgSz w:w="11900" w:h="16840"/>
          <w:pgMar w:top="1260" w:bottom="280" w:left="640" w:right="640"/>
          <w:cols w:num="3" w:equalWidth="0">
            <w:col w:w="1223" w:space="40"/>
            <w:col w:w="2337" w:space="1136"/>
            <w:col w:w="5884"/>
          </w:cols>
        </w:sectPr>
      </w:pPr>
    </w:p>
    <w:p>
      <w:pPr>
        <w:spacing w:line="133" w:lineRule="exact" w:before="0"/>
        <w:ind w:left="180" w:right="0" w:firstLine="0"/>
        <w:jc w:val="left"/>
        <w:rPr>
          <w:sz w:val="12"/>
        </w:rPr>
      </w:pPr>
      <w:r>
        <w:rPr>
          <w:sz w:val="12"/>
        </w:rPr>
        <w:t>Sources: ONS, Bank of England and Industrial Relations Services (IRS).</w:t>
      </w:r>
    </w:p>
    <w:p>
      <w:pPr>
        <w:pStyle w:val="BodyText"/>
        <w:spacing w:before="1"/>
        <w:rPr>
          <w:sz w:val="10"/>
        </w:rPr>
      </w:pPr>
    </w:p>
    <w:p>
      <w:pPr>
        <w:pStyle w:val="ListParagraph"/>
        <w:numPr>
          <w:ilvl w:val="2"/>
          <w:numId w:val="31"/>
        </w:numPr>
        <w:tabs>
          <w:tab w:pos="421" w:val="left" w:leader="none"/>
        </w:tabs>
        <w:spacing w:line="208" w:lineRule="auto" w:before="0" w:after="0"/>
        <w:ind w:left="420" w:right="38" w:hanging="240"/>
        <w:jc w:val="left"/>
        <w:rPr>
          <w:sz w:val="12"/>
        </w:rPr>
      </w:pPr>
      <w:r>
        <w:rPr>
          <w:sz w:val="12"/>
        </w:rPr>
        <w:t>Based on IRS data until 1994, then Bank of England, which draws on information from the CBI, Incomes Data Services, Industrial Relations Services,</w:t>
      </w:r>
      <w:r>
        <w:rPr>
          <w:spacing w:val="-7"/>
          <w:sz w:val="12"/>
        </w:rPr>
        <w:t> </w:t>
      </w:r>
      <w:r>
        <w:rPr>
          <w:sz w:val="12"/>
        </w:rPr>
        <w:t>Labour</w:t>
      </w:r>
      <w:r>
        <w:rPr>
          <w:spacing w:val="-6"/>
          <w:sz w:val="12"/>
        </w:rPr>
        <w:t> </w:t>
      </w:r>
      <w:r>
        <w:rPr>
          <w:sz w:val="12"/>
        </w:rPr>
        <w:t>Research</w:t>
      </w:r>
      <w:r>
        <w:rPr>
          <w:spacing w:val="-7"/>
          <w:sz w:val="12"/>
        </w:rPr>
        <w:t> </w:t>
      </w:r>
      <w:r>
        <w:rPr>
          <w:sz w:val="12"/>
        </w:rPr>
        <w:t>Department</w:t>
      </w:r>
      <w:r>
        <w:rPr>
          <w:spacing w:val="-7"/>
          <w:sz w:val="12"/>
        </w:rPr>
        <w:t> </w:t>
      </w:r>
      <w:r>
        <w:rPr>
          <w:sz w:val="12"/>
        </w:rPr>
        <w:t>and</w:t>
      </w:r>
      <w:r>
        <w:rPr>
          <w:spacing w:val="-7"/>
          <w:sz w:val="12"/>
        </w:rPr>
        <w:t> </w:t>
      </w:r>
      <w:r>
        <w:rPr>
          <w:sz w:val="12"/>
        </w:rPr>
        <w:t>the</w:t>
      </w:r>
      <w:r>
        <w:rPr>
          <w:spacing w:val="-7"/>
          <w:sz w:val="12"/>
        </w:rPr>
        <w:t> </w:t>
      </w:r>
      <w:r>
        <w:rPr>
          <w:sz w:val="12"/>
        </w:rPr>
        <w:t>Bank’s</w:t>
      </w:r>
      <w:r>
        <w:rPr>
          <w:spacing w:val="-7"/>
          <w:sz w:val="12"/>
        </w:rPr>
        <w:t> </w:t>
      </w:r>
      <w:r>
        <w:rPr>
          <w:sz w:val="12"/>
        </w:rPr>
        <w:t>regional</w:t>
      </w:r>
      <w:r>
        <w:rPr>
          <w:spacing w:val="-12"/>
          <w:sz w:val="12"/>
        </w:rPr>
        <w:t> </w:t>
      </w:r>
      <w:r>
        <w:rPr>
          <w:sz w:val="12"/>
        </w:rPr>
        <w:t>Agents.</w:t>
      </w:r>
    </w:p>
    <w:p>
      <w:pPr>
        <w:pStyle w:val="ListParagraph"/>
        <w:numPr>
          <w:ilvl w:val="2"/>
          <w:numId w:val="31"/>
        </w:numPr>
        <w:tabs>
          <w:tab w:pos="421" w:val="left" w:leader="none"/>
        </w:tabs>
        <w:spacing w:line="123" w:lineRule="exact" w:before="0" w:after="0"/>
        <w:ind w:left="420" w:right="0" w:hanging="241"/>
        <w:jc w:val="left"/>
        <w:rPr>
          <w:sz w:val="12"/>
        </w:rPr>
      </w:pPr>
      <w:r>
        <w:rPr>
          <w:sz w:val="12"/>
        </w:rPr>
        <w:t>Difference between earnings growth and</w:t>
      </w:r>
      <w:r>
        <w:rPr>
          <w:spacing w:val="-11"/>
          <w:sz w:val="12"/>
        </w:rPr>
        <w:t> </w:t>
      </w:r>
      <w:r>
        <w:rPr>
          <w:sz w:val="12"/>
        </w:rPr>
        <w:t>settlements.</w:t>
      </w:r>
    </w:p>
    <w:p>
      <w:pPr>
        <w:pStyle w:val="BodyText"/>
        <w:spacing w:line="242" w:lineRule="auto" w:before="66"/>
        <w:ind w:left="185" w:right="156"/>
      </w:pPr>
      <w:r>
        <w:rPr/>
        <w:br w:type="column"/>
      </w:r>
      <w:r>
        <w:rPr/>
        <w:t>upward pressures on settlements. Such pressures are reported to reflect factors such as the tightness of the labour market and RPI inflation, the basis of many settlement negotiations, running at a higher rate this year than last </w:t>
      </w:r>
      <w:hyperlink w:history="true" w:anchor="_bookmark28">
        <w:r>
          <w:rPr/>
          <w:t>(</w:t>
        </w:r>
        <w:r>
          <w:rPr>
            <w:color w:val="FF0000"/>
          </w:rPr>
          <w:t>see Section 4.5</w:t>
        </w:r>
        <w:r>
          <w:rPr/>
          <w:t>).</w:t>
        </w:r>
      </w:hyperlink>
      <w:r>
        <w:rPr/>
        <w:t> Earnings growth will, however, be most affected if settlement pressures persist into early next year: settlements in January to April each</w:t>
      </w:r>
    </w:p>
    <w:p>
      <w:pPr>
        <w:pStyle w:val="BodyText"/>
        <w:spacing w:before="6"/>
        <w:rPr>
          <w:sz w:val="12"/>
        </w:rPr>
      </w:pPr>
      <w:r>
        <w:rPr/>
        <w:pict>
          <v:shape style="position:absolute;margin-left:279.549988pt;margin-top:9.278171pt;width:277.25pt;height:.1pt;mso-position-horizontal-relative:page;mso-position-vertical-relative:paragraph;z-index:-15383552;mso-wrap-distance-left:0;mso-wrap-distance-right:0" coordorigin="5591,186" coordsize="5545,0" path="m5591,186l11136,186e" filled="false" stroked="true" strokeweight=".125pt" strokecolor="#000000">
            <v:path arrowok="t"/>
            <v:stroke dashstyle="solid"/>
            <w10:wrap type="topAndBottom"/>
          </v:shape>
        </w:pict>
      </w:r>
    </w:p>
    <w:p>
      <w:pPr>
        <w:pStyle w:val="ListParagraph"/>
        <w:numPr>
          <w:ilvl w:val="0"/>
          <w:numId w:val="32"/>
        </w:numPr>
        <w:tabs>
          <w:tab w:pos="421" w:val="left" w:leader="none"/>
        </w:tabs>
        <w:spacing w:line="208" w:lineRule="auto" w:before="0" w:after="0"/>
        <w:ind w:left="420" w:right="663" w:hanging="240"/>
        <w:jc w:val="left"/>
        <w:rPr>
          <w:sz w:val="16"/>
        </w:rPr>
      </w:pPr>
      <w:r>
        <w:rPr>
          <w:sz w:val="16"/>
        </w:rPr>
        <w:t>Profit-related</w:t>
      </w:r>
      <w:r>
        <w:rPr>
          <w:spacing w:val="-6"/>
          <w:sz w:val="16"/>
        </w:rPr>
        <w:t> </w:t>
      </w:r>
      <w:r>
        <w:rPr>
          <w:sz w:val="16"/>
        </w:rPr>
        <w:t>pay</w:t>
      </w:r>
      <w:r>
        <w:rPr>
          <w:spacing w:val="-6"/>
          <w:sz w:val="16"/>
        </w:rPr>
        <w:t> </w:t>
      </w:r>
      <w:r>
        <w:rPr>
          <w:sz w:val="16"/>
        </w:rPr>
        <w:t>schemes</w:t>
      </w:r>
      <w:r>
        <w:rPr>
          <w:spacing w:val="-5"/>
          <w:sz w:val="16"/>
        </w:rPr>
        <w:t> </w:t>
      </w:r>
      <w:r>
        <w:rPr>
          <w:sz w:val="16"/>
        </w:rPr>
        <w:t>were</w:t>
      </w:r>
      <w:r>
        <w:rPr>
          <w:spacing w:val="-6"/>
          <w:sz w:val="16"/>
        </w:rPr>
        <w:t> </w:t>
      </w:r>
      <w:r>
        <w:rPr>
          <w:sz w:val="16"/>
        </w:rPr>
        <w:t>only</w:t>
      </w:r>
      <w:r>
        <w:rPr>
          <w:spacing w:val="-6"/>
          <w:sz w:val="16"/>
        </w:rPr>
        <w:t> </w:t>
      </w:r>
      <w:r>
        <w:rPr>
          <w:sz w:val="16"/>
        </w:rPr>
        <w:t>eligible</w:t>
      </w:r>
      <w:r>
        <w:rPr>
          <w:spacing w:val="-5"/>
          <w:sz w:val="16"/>
        </w:rPr>
        <w:t> </w:t>
      </w:r>
      <w:r>
        <w:rPr>
          <w:sz w:val="16"/>
        </w:rPr>
        <w:t>for</w:t>
      </w:r>
      <w:r>
        <w:rPr>
          <w:spacing w:val="-6"/>
          <w:sz w:val="16"/>
        </w:rPr>
        <w:t> </w:t>
      </w:r>
      <w:r>
        <w:rPr>
          <w:sz w:val="16"/>
        </w:rPr>
        <w:t>tax</w:t>
      </w:r>
      <w:r>
        <w:rPr>
          <w:spacing w:val="-6"/>
          <w:sz w:val="16"/>
        </w:rPr>
        <w:t> </w:t>
      </w:r>
      <w:r>
        <w:rPr>
          <w:sz w:val="16"/>
        </w:rPr>
        <w:t>breaks</w:t>
      </w:r>
      <w:r>
        <w:rPr>
          <w:spacing w:val="-5"/>
          <w:sz w:val="16"/>
        </w:rPr>
        <w:t> </w:t>
      </w:r>
      <w:r>
        <w:rPr>
          <w:sz w:val="16"/>
        </w:rPr>
        <w:t>if</w:t>
      </w:r>
      <w:r>
        <w:rPr>
          <w:spacing w:val="-6"/>
          <w:sz w:val="16"/>
        </w:rPr>
        <w:t> </w:t>
      </w:r>
      <w:r>
        <w:rPr>
          <w:sz w:val="16"/>
        </w:rPr>
        <w:t>they</w:t>
      </w:r>
      <w:r>
        <w:rPr>
          <w:spacing w:val="-6"/>
          <w:sz w:val="16"/>
        </w:rPr>
        <w:t> </w:t>
      </w:r>
      <w:r>
        <w:rPr>
          <w:sz w:val="16"/>
        </w:rPr>
        <w:t>started before 31 December 1999, and the tax breaks available then were lower than in previous</w:t>
      </w:r>
      <w:r>
        <w:rPr>
          <w:spacing w:val="-4"/>
          <w:sz w:val="16"/>
        </w:rPr>
        <w:t> </w:t>
      </w:r>
      <w:r>
        <w:rPr>
          <w:sz w:val="16"/>
        </w:rPr>
        <w:t>years.</w:t>
      </w:r>
    </w:p>
    <w:p>
      <w:pPr>
        <w:spacing w:after="0" w:line="208" w:lineRule="auto"/>
        <w:jc w:val="left"/>
        <w:rPr>
          <w:sz w:val="16"/>
        </w:rPr>
        <w:sectPr>
          <w:type w:val="continuous"/>
          <w:pgSz w:w="11900" w:h="16840"/>
          <w:pgMar w:top="1260" w:bottom="280" w:left="640" w:right="640"/>
          <w:cols w:num="2" w:equalWidth="0">
            <w:col w:w="3898" w:space="902"/>
            <w:col w:w="5820"/>
          </w:cols>
        </w:sectPr>
      </w:pPr>
    </w:p>
    <w:p>
      <w:pPr>
        <w:pStyle w:val="BodyText"/>
        <w:rPr>
          <w:sz w:val="20"/>
        </w:rPr>
      </w:pPr>
    </w:p>
    <w:p>
      <w:pPr>
        <w:pStyle w:val="BodyText"/>
        <w:spacing w:before="7"/>
        <w:rPr>
          <w:sz w:val="20"/>
        </w:rPr>
      </w:pPr>
    </w:p>
    <w:p>
      <w:pPr>
        <w:pStyle w:val="BodyText"/>
        <w:spacing w:line="242" w:lineRule="auto"/>
        <w:ind w:left="4970" w:right="215"/>
      </w:pPr>
      <w:r>
        <w:rPr/>
        <w:t>year cover a much larger proportion of the workforce than those in the rest of the year.</w:t>
      </w:r>
    </w:p>
    <w:p>
      <w:pPr>
        <w:pStyle w:val="BodyText"/>
        <w:spacing w:before="6"/>
      </w:pPr>
    </w:p>
    <w:p>
      <w:pPr>
        <w:pStyle w:val="BodyText"/>
        <w:spacing w:line="242" w:lineRule="auto"/>
        <w:ind w:left="4970"/>
      </w:pPr>
      <w:r>
        <w:rPr/>
        <w:t>The portion of aggregate earnings growth not accounted for by settlements is often referred to as wage drift.</w:t>
      </w:r>
    </w:p>
    <w:p>
      <w:pPr>
        <w:pStyle w:val="BodyText"/>
        <w:spacing w:line="242" w:lineRule="auto" w:before="3"/>
        <w:ind w:left="4970" w:right="178"/>
      </w:pPr>
      <w:r>
        <w:rPr/>
        <w:t>Wage drift includes factors such as overtime payments, bonuses, profit-related pay, individual merit awards, and compositional changes in the workforce. There are few official data on these components. But the profile of wage drift can be inferred by subtracting estimated wage settlements from measured earnings growth. The combination of falling earnings growth and unchanged settlements means that the decline in wage drift apparent since the end of 1999 has continued in recent months (see Chart 3.17). Indeed, wage drift has dropped below the average level of the past 15 years.</w:t>
      </w:r>
    </w:p>
    <w:p>
      <w:pPr>
        <w:pStyle w:val="BodyText"/>
        <w:spacing w:before="9"/>
        <w:rPr>
          <w:sz w:val="30"/>
        </w:rPr>
      </w:pPr>
    </w:p>
    <w:p>
      <w:pPr>
        <w:pStyle w:val="BodyText"/>
        <w:spacing w:line="242" w:lineRule="auto"/>
        <w:ind w:left="4970" w:right="171"/>
      </w:pPr>
      <w:r>
        <w:rPr/>
        <w:t>Other indicators of pay developments are generally consistent with the earnings </w:t>
      </w:r>
      <w:r>
        <w:rPr>
          <w:spacing w:val="-3"/>
        </w:rPr>
        <w:t>slowdown </w:t>
      </w:r>
      <w:r>
        <w:rPr/>
        <w:t>apparent in the AEI. Annual growth in wages and salaries per head slowed from 4.8% in 2000 Q1 to 3.6% in Q2. The consistency with the AEI slowdown is, </w:t>
      </w:r>
      <w:r>
        <w:rPr>
          <w:spacing w:val="-4"/>
        </w:rPr>
        <w:t>however, </w:t>
      </w:r>
      <w:r>
        <w:rPr/>
        <w:t>unsurprising </w:t>
      </w:r>
      <w:r>
        <w:rPr>
          <w:spacing w:val="-3"/>
        </w:rPr>
        <w:t>given </w:t>
      </w:r>
      <w:r>
        <w:rPr/>
        <w:t>that the wages and salaries data are based partly on the AEI. The </w:t>
      </w:r>
      <w:r>
        <w:rPr>
          <w:spacing w:val="-3"/>
        </w:rPr>
        <w:t>New </w:t>
      </w:r>
      <w:r>
        <w:rPr/>
        <w:t>Earnings Survey (NES), which is based on a 1% sample of employees in </w:t>
      </w:r>
      <w:r>
        <w:rPr>
          <w:spacing w:val="-13"/>
        </w:rPr>
        <w:t>PAYE </w:t>
      </w:r>
      <w:r>
        <w:rPr/>
        <w:t>schemes, reports average gross weekly earnings rising by 2.0% in the year to April 2000. This is </w:t>
      </w:r>
      <w:r>
        <w:rPr>
          <w:spacing w:val="-4"/>
        </w:rPr>
        <w:t>likely, however, </w:t>
      </w:r>
      <w:r>
        <w:rPr/>
        <w:t>to understate actual earnings growth—because this </w:t>
      </w:r>
      <w:r>
        <w:rPr>
          <w:spacing w:val="-3"/>
        </w:rPr>
        <w:t>year’s </w:t>
      </w:r>
      <w:r>
        <w:rPr/>
        <w:t>NES sample included a higher than normal proportion of manual workers,</w:t>
      </w:r>
      <w:r>
        <w:rPr>
          <w:position w:val="5"/>
          <w:sz w:val="16"/>
        </w:rPr>
        <w:t>(1) </w:t>
      </w:r>
      <w:r>
        <w:rPr/>
        <w:t>who tend to earn less than non-manual workers. The earnings of employees appearing in both the 2000 and 1999 NES samples grew by 6.0% in the year to April 2000—although this comparison typically overstates earnings growth because, for example, no adjustment is made for the increase in the age of the matched sample. The REC </w:t>
      </w:r>
      <w:r>
        <w:rPr>
          <w:spacing w:val="-4"/>
        </w:rPr>
        <w:t>survey, </w:t>
      </w:r>
      <w:r>
        <w:rPr/>
        <w:t>which covers the segment of the labour market using recruitment and placing agencies, shows salaries for permanent and temporary/contract staff rising less sharply in recent months than earlier in the </w:t>
      </w:r>
      <w:r>
        <w:rPr>
          <w:spacing w:val="-4"/>
        </w:rPr>
        <w:t>year. </w:t>
      </w:r>
      <w:r>
        <w:rPr/>
        <w:t>In contrast, the Reward index of </w:t>
      </w:r>
      <w:r>
        <w:rPr>
          <w:spacing w:val="-3"/>
        </w:rPr>
        <w:t>private </w:t>
      </w:r>
      <w:r>
        <w:rPr/>
        <w:t>sector pay has</w:t>
      </w:r>
      <w:r>
        <w:rPr>
          <w:spacing w:val="-42"/>
        </w:rPr>
        <w:t> </w:t>
      </w:r>
      <w:r>
        <w:rPr/>
        <w:t>risen significantly since April, although that rise brought it into line with the</w:t>
      </w:r>
      <w:r>
        <w:rPr>
          <w:spacing w:val="-18"/>
        </w:rPr>
        <w:t> </w:t>
      </w:r>
      <w:r>
        <w:rPr/>
        <w:t>AEI.</w:t>
      </w:r>
    </w:p>
    <w:p>
      <w:pPr>
        <w:pStyle w:val="BodyText"/>
        <w:spacing w:before="8"/>
        <w:rPr>
          <w:sz w:val="30"/>
        </w:rPr>
      </w:pPr>
    </w:p>
    <w:p>
      <w:pPr>
        <w:pStyle w:val="BodyText"/>
        <w:spacing w:line="242" w:lineRule="auto"/>
        <w:ind w:left="4970"/>
      </w:pPr>
      <w:r>
        <w:rPr/>
        <w:t>Although wages are typically agreed in nominal terms, firms and employees care ultimately about expected real wages, which depend also on expected inflation.</w:t>
      </w:r>
    </w:p>
    <w:p>
      <w:pPr>
        <w:pStyle w:val="BodyText"/>
        <w:spacing w:line="242" w:lineRule="auto" w:before="4"/>
        <w:ind w:left="4970" w:right="177"/>
      </w:pPr>
      <w:r>
        <w:rPr/>
        <w:t>Expectations of higher inflation tend to result in stronger nominal earnings growth. RPI inflation expectations</w:t>
      </w:r>
    </w:p>
    <w:p>
      <w:pPr>
        <w:pStyle w:val="BodyText"/>
        <w:spacing w:before="9"/>
        <w:rPr>
          <w:sz w:val="12"/>
        </w:rPr>
      </w:pPr>
      <w:r>
        <w:rPr/>
        <w:pict>
          <v:shape style="position:absolute;margin-left:279.720001pt;margin-top:9.440031pt;width:277.5pt;height:.1pt;mso-position-horizontal-relative:page;mso-position-vertical-relative:paragraph;z-index:-15380992;mso-wrap-distance-left:0;mso-wrap-distance-right:0" coordorigin="5594,189" coordsize="5550,0" path="m5594,189l11144,189e" filled="false" stroked="true" strokeweight=".125pt" strokecolor="#000000">
            <v:path arrowok="t"/>
            <v:stroke dashstyle="solid"/>
            <w10:wrap type="topAndBottom"/>
          </v:shape>
        </w:pict>
      </w:r>
    </w:p>
    <w:p>
      <w:pPr>
        <w:pStyle w:val="ListParagraph"/>
        <w:numPr>
          <w:ilvl w:val="1"/>
          <w:numId w:val="32"/>
        </w:numPr>
        <w:tabs>
          <w:tab w:pos="5225" w:val="left" w:leader="none"/>
        </w:tabs>
        <w:spacing w:line="208" w:lineRule="auto" w:before="20" w:after="0"/>
        <w:ind w:left="5224" w:right="1406" w:hanging="240"/>
        <w:jc w:val="left"/>
        <w:rPr>
          <w:sz w:val="16"/>
        </w:rPr>
      </w:pPr>
      <w:r>
        <w:rPr>
          <w:sz w:val="16"/>
        </w:rPr>
        <w:t>Unlike</w:t>
      </w:r>
      <w:r>
        <w:rPr>
          <w:spacing w:val="-5"/>
          <w:sz w:val="16"/>
        </w:rPr>
        <w:t> </w:t>
      </w:r>
      <w:r>
        <w:rPr>
          <w:sz w:val="16"/>
        </w:rPr>
        <w:t>the</w:t>
      </w:r>
      <w:r>
        <w:rPr>
          <w:spacing w:val="-12"/>
          <w:sz w:val="16"/>
        </w:rPr>
        <w:t> </w:t>
      </w:r>
      <w:r>
        <w:rPr>
          <w:sz w:val="16"/>
        </w:rPr>
        <w:t>AEI,</w:t>
      </w:r>
      <w:r>
        <w:rPr>
          <w:spacing w:val="-3"/>
          <w:sz w:val="16"/>
        </w:rPr>
        <w:t> </w:t>
      </w:r>
      <w:r>
        <w:rPr>
          <w:sz w:val="16"/>
        </w:rPr>
        <w:t>the</w:t>
      </w:r>
      <w:r>
        <w:rPr>
          <w:spacing w:val="-4"/>
          <w:sz w:val="16"/>
        </w:rPr>
        <w:t> </w:t>
      </w:r>
      <w:r>
        <w:rPr>
          <w:sz w:val="16"/>
        </w:rPr>
        <w:t>NES</w:t>
      </w:r>
      <w:r>
        <w:rPr>
          <w:spacing w:val="-5"/>
          <w:sz w:val="16"/>
        </w:rPr>
        <w:t> </w:t>
      </w:r>
      <w:r>
        <w:rPr>
          <w:sz w:val="16"/>
        </w:rPr>
        <w:t>data</w:t>
      </w:r>
      <w:r>
        <w:rPr>
          <w:spacing w:val="-4"/>
          <w:sz w:val="16"/>
        </w:rPr>
        <w:t> </w:t>
      </w:r>
      <w:r>
        <w:rPr>
          <w:sz w:val="16"/>
        </w:rPr>
        <w:t>are</w:t>
      </w:r>
      <w:r>
        <w:rPr>
          <w:spacing w:val="-5"/>
          <w:sz w:val="16"/>
        </w:rPr>
        <w:t> </w:t>
      </w:r>
      <w:r>
        <w:rPr>
          <w:sz w:val="16"/>
        </w:rPr>
        <w:t>not</w:t>
      </w:r>
      <w:r>
        <w:rPr>
          <w:spacing w:val="-4"/>
          <w:sz w:val="16"/>
        </w:rPr>
        <w:t> </w:t>
      </w:r>
      <w:r>
        <w:rPr>
          <w:sz w:val="16"/>
        </w:rPr>
        <w:t>weighted</w:t>
      </w:r>
      <w:r>
        <w:rPr>
          <w:spacing w:val="-4"/>
          <w:sz w:val="16"/>
        </w:rPr>
        <w:t> </w:t>
      </w:r>
      <w:r>
        <w:rPr>
          <w:sz w:val="16"/>
        </w:rPr>
        <w:t>to</w:t>
      </w:r>
      <w:r>
        <w:rPr>
          <w:spacing w:val="-5"/>
          <w:sz w:val="16"/>
        </w:rPr>
        <w:t> </w:t>
      </w:r>
      <w:r>
        <w:rPr>
          <w:sz w:val="16"/>
        </w:rPr>
        <w:t>replicate</w:t>
      </w:r>
      <w:r>
        <w:rPr>
          <w:spacing w:val="-4"/>
          <w:sz w:val="16"/>
        </w:rPr>
        <w:t> </w:t>
      </w:r>
      <w:r>
        <w:rPr>
          <w:sz w:val="16"/>
        </w:rPr>
        <w:t>the characteristics of the labour</w:t>
      </w:r>
      <w:r>
        <w:rPr>
          <w:spacing w:val="-7"/>
          <w:sz w:val="16"/>
        </w:rPr>
        <w:t> </w:t>
      </w:r>
      <w:r>
        <w:rPr>
          <w:sz w:val="16"/>
        </w:rPr>
        <w:t>force.</w:t>
      </w:r>
    </w:p>
    <w:p>
      <w:pPr>
        <w:spacing w:after="0" w:line="208" w:lineRule="auto"/>
        <w:jc w:val="left"/>
        <w:rPr>
          <w:sz w:val="16"/>
        </w:rPr>
        <w:sectPr>
          <w:pgSz w:w="11900" w:h="16840"/>
          <w:pgMar w:header="586" w:footer="592" w:top="780" w:bottom="780" w:left="640" w:right="640"/>
        </w:sectPr>
      </w:pPr>
    </w:p>
    <w:p>
      <w:pPr>
        <w:pStyle w:val="BodyText"/>
        <w:rPr>
          <w:sz w:val="20"/>
        </w:rPr>
      </w:pPr>
    </w:p>
    <w:p>
      <w:pPr>
        <w:spacing w:after="0"/>
        <w:rPr>
          <w:sz w:val="20"/>
        </w:rPr>
        <w:sectPr>
          <w:pgSz w:w="11900" w:h="16840"/>
          <w:pgMar w:header="601" w:footer="612" w:top="800" w:bottom="800" w:left="640" w:right="640"/>
        </w:sectPr>
      </w:pPr>
    </w:p>
    <w:p>
      <w:pPr>
        <w:pStyle w:val="BodyText"/>
        <w:rPr>
          <w:sz w:val="21"/>
        </w:rPr>
      </w:pPr>
    </w:p>
    <w:p>
      <w:pPr>
        <w:spacing w:before="0"/>
        <w:ind w:left="190" w:right="0" w:firstLine="0"/>
        <w:jc w:val="left"/>
        <w:rPr>
          <w:b/>
          <w:sz w:val="20"/>
        </w:rPr>
      </w:pPr>
      <w:bookmarkStart w:name="_bookmark22" w:id="54"/>
      <w:bookmarkEnd w:id="54"/>
      <w:r>
        <w:rPr/>
      </w:r>
      <w:r>
        <w:rPr>
          <w:b/>
          <w:color w:val="0092C7"/>
          <w:sz w:val="20"/>
        </w:rPr>
        <w:t>Table 3.D</w:t>
      </w:r>
    </w:p>
    <w:p>
      <w:pPr>
        <w:spacing w:before="10"/>
        <w:ind w:left="190" w:right="0" w:firstLine="0"/>
        <w:jc w:val="left"/>
        <w:rPr>
          <w:sz w:val="12"/>
        </w:rPr>
      </w:pPr>
      <w:r>
        <w:rPr>
          <w:b/>
          <w:color w:val="0092C7"/>
          <w:sz w:val="20"/>
        </w:rPr>
        <w:t>Survey-based inflation expectations</w:t>
      </w:r>
      <w:r>
        <w:rPr>
          <w:position w:val="4"/>
          <w:sz w:val="12"/>
        </w:rPr>
        <w:t>(a)</w:t>
      </w:r>
    </w:p>
    <w:p>
      <w:pPr>
        <w:spacing w:before="106"/>
        <w:ind w:left="190" w:right="0" w:firstLine="0"/>
        <w:jc w:val="left"/>
        <w:rPr>
          <w:sz w:val="14"/>
        </w:rPr>
      </w:pPr>
      <w:r>
        <w:rPr>
          <w:sz w:val="14"/>
        </w:rPr>
        <w:t>Percentage increase in prices</w:t>
      </w:r>
    </w:p>
    <w:p>
      <w:pPr>
        <w:tabs>
          <w:tab w:pos="3179" w:val="left" w:leader="none"/>
          <w:tab w:pos="4469" w:val="left" w:leader="none"/>
        </w:tabs>
        <w:spacing w:line="150" w:lineRule="exact" w:before="119"/>
        <w:ind w:left="1590" w:right="0" w:firstLine="0"/>
        <w:jc w:val="left"/>
        <w:rPr>
          <w:sz w:val="14"/>
        </w:rPr>
      </w:pPr>
      <w:r>
        <w:rPr>
          <w:spacing w:val="-15"/>
          <w:sz w:val="14"/>
          <w:u w:val="single"/>
        </w:rPr>
        <w:t> </w:t>
      </w:r>
      <w:r>
        <w:rPr>
          <w:sz w:val="14"/>
          <w:u w:val="single"/>
        </w:rPr>
        <w:t>1999</w:t>
        <w:tab/>
        <w:t> 2000</w:t>
        <w:tab/>
      </w:r>
    </w:p>
    <w:p>
      <w:pPr>
        <w:tabs>
          <w:tab w:pos="2080" w:val="left" w:leader="none"/>
          <w:tab w:pos="2510" w:val="left" w:leader="none"/>
          <w:tab w:pos="2960" w:val="left" w:leader="none"/>
          <w:tab w:pos="3380" w:val="left" w:leader="none"/>
          <w:tab w:pos="3800" w:val="left" w:leader="none"/>
          <w:tab w:pos="4190" w:val="left" w:leader="none"/>
        </w:tabs>
        <w:spacing w:line="140" w:lineRule="exact" w:before="0"/>
        <w:ind w:left="1610" w:right="0" w:firstLine="0"/>
        <w:jc w:val="left"/>
        <w:rPr>
          <w:sz w:val="14"/>
        </w:rPr>
      </w:pPr>
      <w:r>
        <w:rPr>
          <w:sz w:val="14"/>
        </w:rPr>
        <w:t>Q1</w:t>
        <w:tab/>
        <w:t>Q2</w:t>
        <w:tab/>
        <w:t>Q3</w:t>
        <w:tab/>
        <w:t>Q4</w:t>
        <w:tab/>
        <w:t>Q1</w:t>
        <w:tab/>
        <w:t>Q2</w:t>
        <w:tab/>
        <w:t>Q3</w:t>
      </w:r>
    </w:p>
    <w:p>
      <w:pPr>
        <w:spacing w:line="208" w:lineRule="auto" w:before="7"/>
        <w:ind w:left="225" w:right="3242" w:hanging="35"/>
        <w:jc w:val="left"/>
        <w:rPr>
          <w:b/>
          <w:sz w:val="14"/>
        </w:rPr>
      </w:pPr>
      <w:r>
        <w:rPr/>
        <w:pict>
          <v:line style="position:absolute;mso-position-horizontal-relative:page;mso-position-vertical-relative:paragraph;z-index:16081408" from="111.5pt,1.545596pt" to="123pt,1.545596pt" stroked="true" strokeweight=".125pt" strokecolor="#000000">
            <v:stroke dashstyle="solid"/>
            <w10:wrap type="none"/>
          </v:line>
        </w:pict>
      </w:r>
      <w:r>
        <w:rPr/>
        <w:pict>
          <v:line style="position:absolute;mso-position-horizontal-relative:page;mso-position-vertical-relative:paragraph;z-index:16081920" from="135.5pt,1.545596pt" to="147pt,1.545596pt" stroked="true" strokeweight=".125pt" strokecolor="#000000">
            <v:stroke dashstyle="solid"/>
            <w10:wrap type="none"/>
          </v:line>
        </w:pict>
      </w:r>
      <w:r>
        <w:rPr/>
        <w:pict>
          <v:line style="position:absolute;mso-position-horizontal-relative:page;mso-position-vertical-relative:paragraph;z-index:16082432" from="157.5pt,1.545596pt" to="169pt,1.545596pt" stroked="true" strokeweight=".125pt" strokecolor="#000000">
            <v:stroke dashstyle="solid"/>
            <w10:wrap type="none"/>
          </v:line>
        </w:pict>
      </w:r>
      <w:r>
        <w:rPr/>
        <w:pict>
          <v:line style="position:absolute;mso-position-horizontal-relative:page;mso-position-vertical-relative:paragraph;z-index:16082944" from="179.5pt,1.545596pt" to="191pt,1.545596pt" stroked="true" strokeweight=".125pt" strokecolor="#000000">
            <v:stroke dashstyle="solid"/>
            <w10:wrap type="none"/>
          </v:line>
        </w:pict>
      </w:r>
      <w:r>
        <w:rPr/>
        <w:pict>
          <v:line style="position:absolute;mso-position-horizontal-relative:page;mso-position-vertical-relative:paragraph;z-index:16083456" from="200.5pt,1.545596pt" to="212pt,1.545596pt" stroked="true" strokeweight=".125pt" strokecolor="#000000">
            <v:stroke dashstyle="solid"/>
            <w10:wrap type="none"/>
          </v:line>
        </w:pict>
      </w:r>
      <w:r>
        <w:rPr/>
        <w:pict>
          <v:line style="position:absolute;mso-position-horizontal-relative:page;mso-position-vertical-relative:paragraph;z-index:16083968" from="221.5pt,1.545596pt" to="233pt,1.545596pt" stroked="true" strokeweight=".125pt" strokecolor="#000000">
            <v:stroke dashstyle="solid"/>
            <w10:wrap type="none"/>
          </v:line>
        </w:pict>
      </w:r>
      <w:r>
        <w:rPr/>
        <w:pict>
          <v:line style="position:absolute;mso-position-horizontal-relative:page;mso-position-vertical-relative:paragraph;z-index:16084480" from="241.5pt,1.545596pt" to="253pt,1.545596pt" stroked="true" strokeweight=".125pt" strokecolor="#000000">
            <v:stroke dashstyle="solid"/>
            <w10:wrap type="none"/>
          </v:line>
        </w:pict>
      </w:r>
      <w:r>
        <w:rPr>
          <w:b/>
          <w:sz w:val="14"/>
        </w:rPr>
        <w:t>RPI inflation rate one year ahead</w:t>
      </w:r>
    </w:p>
    <w:p>
      <w:pPr>
        <w:tabs>
          <w:tab w:pos="1625" w:val="left" w:leader="none"/>
          <w:tab w:pos="2105" w:val="left" w:leader="none"/>
          <w:tab w:pos="2535" w:val="left" w:leader="none"/>
          <w:tab w:pos="2985" w:val="left" w:leader="none"/>
          <w:tab w:pos="3425" w:val="left" w:leader="none"/>
          <w:tab w:pos="3825" w:val="left" w:leader="none"/>
          <w:tab w:pos="4225" w:val="left" w:leader="none"/>
        </w:tabs>
        <w:spacing w:line="133" w:lineRule="exact" w:before="0"/>
        <w:ind w:left="190" w:right="0" w:firstLine="0"/>
        <w:jc w:val="left"/>
        <w:rPr>
          <w:sz w:val="14"/>
        </w:rPr>
      </w:pPr>
      <w:r>
        <w:rPr>
          <w:sz w:val="14"/>
        </w:rPr>
        <w:t>Academic</w:t>
      </w:r>
      <w:r>
        <w:rPr>
          <w:spacing w:val="-1"/>
          <w:sz w:val="14"/>
        </w:rPr>
        <w:t> </w:t>
      </w:r>
      <w:r>
        <w:rPr>
          <w:sz w:val="14"/>
        </w:rPr>
        <w:t>economists</w:t>
        <w:tab/>
        <w:t>2.3</w:t>
        <w:tab/>
        <w:t>2.3</w:t>
        <w:tab/>
        <w:t>2.5</w:t>
        <w:tab/>
        <w:t>2.2</w:t>
        <w:tab/>
        <w:t>2.4</w:t>
        <w:tab/>
        <w:t>2.6</w:t>
        <w:tab/>
        <w:t>2.6</w:t>
      </w:r>
    </w:p>
    <w:p>
      <w:pPr>
        <w:tabs>
          <w:tab w:pos="1625" w:val="left" w:leader="none"/>
          <w:tab w:pos="2105" w:val="left" w:leader="none"/>
          <w:tab w:pos="2535" w:val="left" w:leader="none"/>
          <w:tab w:pos="2985" w:val="left" w:leader="none"/>
          <w:tab w:pos="3425" w:val="left" w:leader="none"/>
          <w:tab w:pos="3825" w:val="left" w:leader="none"/>
          <w:tab w:pos="4225" w:val="left" w:leader="none"/>
        </w:tabs>
        <w:spacing w:line="140" w:lineRule="exact" w:before="0"/>
        <w:ind w:left="190" w:right="0" w:firstLine="0"/>
        <w:jc w:val="left"/>
        <w:rPr>
          <w:sz w:val="14"/>
        </w:rPr>
      </w:pPr>
      <w:r>
        <w:rPr>
          <w:sz w:val="14"/>
        </w:rPr>
        <w:t>Business</w:t>
      </w:r>
      <w:r>
        <w:rPr>
          <w:spacing w:val="-1"/>
          <w:sz w:val="14"/>
        </w:rPr>
        <w:t> </w:t>
      </w:r>
      <w:r>
        <w:rPr>
          <w:sz w:val="14"/>
        </w:rPr>
        <w:t>economists</w:t>
        <w:tab/>
        <w:t>2.1</w:t>
        <w:tab/>
        <w:t>2.2</w:t>
        <w:tab/>
        <w:t>2.4</w:t>
        <w:tab/>
        <w:t>2.4</w:t>
        <w:tab/>
        <w:t>2.5</w:t>
        <w:tab/>
        <w:t>2.5</w:t>
        <w:tab/>
        <w:t>2.7</w:t>
      </w:r>
    </w:p>
    <w:p>
      <w:pPr>
        <w:tabs>
          <w:tab w:pos="1625" w:val="left" w:leader="none"/>
          <w:tab w:pos="2105" w:val="left" w:leader="none"/>
          <w:tab w:pos="2535" w:val="left" w:leader="none"/>
          <w:tab w:pos="2985" w:val="left" w:leader="none"/>
          <w:tab w:pos="3425" w:val="left" w:leader="none"/>
          <w:tab w:pos="3825" w:val="left" w:leader="none"/>
          <w:tab w:pos="4225" w:val="left" w:leader="none"/>
        </w:tabs>
        <w:spacing w:line="140" w:lineRule="exact" w:before="0"/>
        <w:ind w:left="190" w:right="0" w:firstLine="0"/>
        <w:jc w:val="left"/>
        <w:rPr>
          <w:sz w:val="14"/>
        </w:rPr>
      </w:pPr>
      <w:r>
        <w:rPr>
          <w:sz w:val="14"/>
        </w:rPr>
        <w:t>Finance</w:t>
      </w:r>
      <w:r>
        <w:rPr>
          <w:spacing w:val="-1"/>
          <w:sz w:val="14"/>
        </w:rPr>
        <w:t> </w:t>
      </w:r>
      <w:r>
        <w:rPr>
          <w:sz w:val="14"/>
        </w:rPr>
        <w:t>directors</w:t>
        <w:tab/>
        <w:t>2.3</w:t>
        <w:tab/>
        <w:t>2.3</w:t>
        <w:tab/>
        <w:t>2.4</w:t>
        <w:tab/>
        <w:t>2.3</w:t>
        <w:tab/>
        <w:t>2.4</w:t>
        <w:tab/>
        <w:t>2.5</w:t>
        <w:tab/>
        <w:t>2.8</w:t>
      </w:r>
    </w:p>
    <w:p>
      <w:pPr>
        <w:tabs>
          <w:tab w:pos="1625" w:val="left" w:leader="none"/>
          <w:tab w:pos="2105" w:val="left" w:leader="none"/>
          <w:tab w:pos="2535" w:val="left" w:leader="none"/>
          <w:tab w:pos="2985" w:val="left" w:leader="none"/>
          <w:tab w:pos="3425" w:val="left" w:leader="none"/>
          <w:tab w:pos="3825" w:val="left" w:leader="none"/>
          <w:tab w:pos="4225" w:val="left" w:leader="none"/>
        </w:tabs>
        <w:spacing w:line="140" w:lineRule="exact" w:before="0"/>
        <w:ind w:left="190" w:right="0" w:firstLine="0"/>
        <w:jc w:val="left"/>
        <w:rPr>
          <w:sz w:val="14"/>
        </w:rPr>
      </w:pPr>
      <w:r>
        <w:rPr>
          <w:sz w:val="14"/>
        </w:rPr>
        <w:t>Trade</w:t>
      </w:r>
      <w:r>
        <w:rPr>
          <w:spacing w:val="-3"/>
          <w:sz w:val="14"/>
        </w:rPr>
        <w:t> </w:t>
      </w:r>
      <w:r>
        <w:rPr>
          <w:sz w:val="14"/>
        </w:rPr>
        <w:t>unions</w:t>
        <w:tab/>
        <w:t>2.7</w:t>
        <w:tab/>
        <w:t>2.5</w:t>
        <w:tab/>
        <w:t>2.5</w:t>
        <w:tab/>
        <w:t>2.6</w:t>
        <w:tab/>
        <w:t>2.4</w:t>
        <w:tab/>
        <w:t>2.6</w:t>
        <w:tab/>
        <w:t>2.9</w:t>
      </w:r>
    </w:p>
    <w:p>
      <w:pPr>
        <w:tabs>
          <w:tab w:pos="1625" w:val="left" w:leader="none"/>
          <w:tab w:pos="2105" w:val="left" w:leader="none"/>
          <w:tab w:pos="2535" w:val="left" w:leader="none"/>
          <w:tab w:pos="2985" w:val="left" w:leader="none"/>
          <w:tab w:pos="3425" w:val="left" w:leader="none"/>
          <w:tab w:pos="3825" w:val="left" w:leader="none"/>
          <w:tab w:pos="4225" w:val="left" w:leader="none"/>
        </w:tabs>
        <w:spacing w:line="150" w:lineRule="exact" w:before="0"/>
        <w:ind w:left="190" w:right="0" w:firstLine="0"/>
        <w:jc w:val="left"/>
        <w:rPr>
          <w:sz w:val="14"/>
        </w:rPr>
      </w:pPr>
      <w:r>
        <w:rPr>
          <w:sz w:val="14"/>
        </w:rPr>
        <w:t>General</w:t>
      </w:r>
      <w:r>
        <w:rPr>
          <w:spacing w:val="-5"/>
          <w:sz w:val="14"/>
        </w:rPr>
        <w:t> </w:t>
      </w:r>
      <w:r>
        <w:rPr>
          <w:sz w:val="14"/>
        </w:rPr>
        <w:t>public</w:t>
        <w:tab/>
        <w:t>4.1</w:t>
        <w:tab/>
        <w:t>4.0</w:t>
        <w:tab/>
        <w:t>3.7</w:t>
        <w:tab/>
        <w:t>3.9</w:t>
        <w:tab/>
        <w:t>3.9</w:t>
        <w:tab/>
        <w:t>3.8</w:t>
        <w:tab/>
        <w:t>4.2</w:t>
      </w:r>
    </w:p>
    <w:p>
      <w:pPr>
        <w:spacing w:before="117"/>
        <w:ind w:left="190" w:right="0" w:firstLine="0"/>
        <w:jc w:val="left"/>
        <w:rPr>
          <w:sz w:val="12"/>
        </w:rPr>
      </w:pPr>
      <w:r>
        <w:rPr>
          <w:sz w:val="12"/>
        </w:rPr>
        <w:t>Source: Barclays Basix survey.</w:t>
      </w:r>
    </w:p>
    <w:p>
      <w:pPr>
        <w:pStyle w:val="BodyText"/>
        <w:spacing w:before="2"/>
        <w:rPr>
          <w:sz w:val="10"/>
        </w:rPr>
      </w:pPr>
    </w:p>
    <w:p>
      <w:pPr>
        <w:spacing w:line="208" w:lineRule="auto" w:before="0"/>
        <w:ind w:left="430" w:right="0" w:hanging="240"/>
        <w:jc w:val="left"/>
        <w:rPr>
          <w:sz w:val="12"/>
        </w:rPr>
      </w:pPr>
      <w:r>
        <w:rPr>
          <w:sz w:val="12"/>
        </w:rPr>
        <w:t>(a) Figures refer to RPI inflation except for general public, for which the measure of inflation is not specified.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4"/>
        </w:rPr>
      </w:pPr>
    </w:p>
    <w:p>
      <w:pPr>
        <w:spacing w:before="0"/>
        <w:ind w:left="181" w:right="0" w:firstLine="0"/>
        <w:jc w:val="left"/>
        <w:rPr>
          <w:b/>
          <w:sz w:val="20"/>
        </w:rPr>
      </w:pPr>
      <w:r>
        <w:rPr>
          <w:b/>
          <w:color w:val="0092C7"/>
          <w:sz w:val="20"/>
        </w:rPr>
        <w:t>Chart 3.18</w:t>
      </w:r>
    </w:p>
    <w:p>
      <w:pPr>
        <w:spacing w:before="10"/>
        <w:ind w:left="181" w:right="0" w:firstLine="0"/>
        <w:jc w:val="left"/>
        <w:rPr>
          <w:b/>
          <w:sz w:val="20"/>
        </w:rPr>
      </w:pPr>
      <w:r>
        <w:rPr>
          <w:b/>
          <w:color w:val="0092C7"/>
          <w:sz w:val="20"/>
        </w:rPr>
        <w:t>Growth in real wages</w:t>
      </w:r>
    </w:p>
    <w:p>
      <w:pPr>
        <w:spacing w:line="121" w:lineRule="exact" w:before="126"/>
        <w:ind w:left="0" w:right="1088" w:firstLine="0"/>
        <w:jc w:val="right"/>
        <w:rPr>
          <w:sz w:val="12"/>
        </w:rPr>
      </w:pPr>
      <w:r>
        <w:rPr>
          <w:sz w:val="12"/>
        </w:rPr>
        <w:t>Percentage changes on a year earlier</w:t>
      </w:r>
    </w:p>
    <w:p>
      <w:pPr>
        <w:spacing w:line="121" w:lineRule="exact" w:before="0"/>
        <w:ind w:left="0" w:right="993" w:firstLine="0"/>
        <w:jc w:val="right"/>
        <w:rPr>
          <w:sz w:val="12"/>
        </w:rPr>
      </w:pPr>
      <w:r>
        <w:rPr/>
        <w:pict>
          <v:line style="position:absolute;mso-position-horizontal-relative:page;mso-position-vertical-relative:paragraph;z-index:16079360" from="42.841999pt,2.503718pt" to="47.173999pt,2.503718pt" stroked="true" strokeweight=".5pt" strokecolor="#000000">
            <v:stroke dashstyle="solid"/>
            <w10:wrap type="none"/>
          </v:line>
        </w:pict>
      </w:r>
      <w:r>
        <w:rPr/>
        <w:pict>
          <v:line style="position:absolute;mso-position-horizontal-relative:page;mso-position-vertical-relative:paragraph;z-index:16080384" from="198.509003pt,2.503718pt" to="202.841003pt,2.503718pt" stroked="true" strokeweight=".5pt" strokecolor="#000000">
            <v:stroke dashstyle="solid"/>
            <w10:wrap type="none"/>
          </v:line>
        </w:pict>
      </w:r>
      <w:r>
        <w:rPr>
          <w:sz w:val="12"/>
        </w:rPr>
        <w:t>5</w:t>
      </w:r>
    </w:p>
    <w:p>
      <w:pPr>
        <w:pStyle w:val="BodyText"/>
        <w:rPr>
          <w:sz w:val="12"/>
        </w:rPr>
      </w:pPr>
    </w:p>
    <w:p>
      <w:pPr>
        <w:pStyle w:val="BodyText"/>
        <w:spacing w:before="10"/>
        <w:rPr>
          <w:sz w:val="11"/>
        </w:rPr>
      </w:pPr>
    </w:p>
    <w:p>
      <w:pPr>
        <w:spacing w:before="0"/>
        <w:ind w:left="0" w:right="993" w:firstLine="0"/>
        <w:jc w:val="right"/>
        <w:rPr>
          <w:sz w:val="12"/>
        </w:rPr>
      </w:pPr>
      <w:r>
        <w:rPr/>
        <w:pict>
          <v:group style="position:absolute;margin-left:42.841999pt;margin-top:-3.774449pt;width:164.3pt;height:113.55pt;mso-position-horizontal-relative:page;mso-position-vertical-relative:paragraph;z-index:-22574592" coordorigin="857,-75" coordsize="3286,2271">
            <v:shape style="position:absolute;left:1021;top:257;width:1663;height:1640" coordorigin="1021,257" coordsize="1663,1640" path="m1021,727l1103,1407m1103,1407l1188,992m1188,992l1286,257m1286,257l1368,992m1368,992l1453,785m1453,785l1538,1635m1538,1635l1633,1897m1633,1897l1718,1200m1718,1200l1803,785m1803,785l1888,557m1888,557l1983,897m1983,897l2068,935m2068,935l2153,1220m2153,1220l2236,1540m2236,1540l2333,1672m2333,1672l2418,1595m2418,1595l2501,1822m2501,1822l2586,1842m2586,1842l2683,1220e" filled="false" stroked="true" strokeweight="1pt" strokecolor="#006caa">
              <v:path arrowok="t"/>
              <v:stroke dashstyle="solid"/>
            </v:shape>
            <v:shape style="position:absolute;left:2673;top:642;width:718;height:590" type="#_x0000_t75" stroked="false">
              <v:imagedata r:id="rId142" o:title=""/>
            </v:shape>
            <v:shape style="position:absolute;left:3381;top:257;width:520;height:548" coordorigin="3381,257" coordsize="520,548" path="m3381,652l3466,257m3466,257l3551,672m3551,672l3633,710m3633,710l3731,465m3731,465l3816,805m3816,805l3901,785e" filled="false" stroked="true" strokeweight="1pt" strokecolor="#006caa">
              <v:path arrowok="t"/>
              <v:stroke dashstyle="solid"/>
            </v:shape>
            <v:shape style="position:absolute;left:1021;top:162;width:1480;height:1905" coordorigin="1021,162" coordsize="1480,1905" path="m1021,162l1103,482m1103,482l1188,635m1188,635l1286,407m1286,407l1368,445m1368,445l1453,690m1453,690l1538,1105m1538,1105l1633,1220m1633,1220l1718,1465m1718,1465l1803,1802m1803,1802l1888,1615m1888,1615l1983,1577m1983,1577l2068,1897m2068,1897l2153,1842m2153,1842l2236,2010m2236,2010l2333,2067m2333,2067l2418,1672m2418,1672l2501,727e" filled="false" stroked="true" strokeweight="1pt" strokecolor="#835335">
              <v:path arrowok="t"/>
              <v:stroke dashstyle="solid"/>
            </v:shape>
            <v:shape style="position:absolute;left:2491;top:454;width:635;height:663" type="#_x0000_t75" stroked="false">
              <v:imagedata r:id="rId143" o:title=""/>
            </v:shape>
            <v:shape style="position:absolute;left:3116;top:-66;width:435;height:1755" coordorigin="3116,-65" coordsize="435,1755" path="m3116,1105l3201,1690m3201,1690l3286,1275m3286,1275l3381,1012m3381,1012l3466,557m3466,557l3551,-65e" filled="false" stroked="true" strokeweight="1pt" strokecolor="#835335">
              <v:path arrowok="t"/>
              <v:stroke dashstyle="solid"/>
            </v:shape>
            <v:line style="position:absolute" from="3541,-64" to="3643,-64" stroked="true" strokeweight="1.125pt" strokecolor="#835335">
              <v:stroke dashstyle="solid"/>
            </v:line>
            <v:shape style="position:absolute;left:3633;top:-66;width:268;height:1568" coordorigin="3633,-65" coordsize="268,1568" path="m3633,-65l3731,12m3731,12l3816,540m3816,540l3901,1502e" filled="false" stroked="true" strokeweight="1pt" strokecolor="#835335">
              <v:path arrowok="t"/>
              <v:stroke dashstyle="solid"/>
            </v:shape>
            <v:shape style="position:absolute;left:856;top:69;width:3200;height:2058" coordorigin="857,70" coordsize="3200,2058" path="m857,70l943,70m857,482l943,482m857,1297l943,1297m857,1712l943,1712m857,2127l943,2127m857,900l943,900m3970,70l4057,70m3970,482l4057,482m3970,1297l4057,1297m3970,1712l4057,1712m3970,2127l4057,2127m3970,900l4057,900m1020,1712l3900,1712e" filled="false" stroked="true" strokeweight=".5pt" strokecolor="#000000">
              <v:path arrowok="t"/>
              <v:stroke dashstyle="solid"/>
            </v:shape>
            <v:shape style="position:absolute;left:1627;top:245;width:637;height:259" type="#_x0000_t202" filled="false" stroked="false">
              <v:textbox inset="0,0,0,0">
                <w:txbxContent>
                  <w:p>
                    <w:pPr>
                      <w:spacing w:line="218" w:lineRule="auto" w:before="5"/>
                      <w:ind w:left="80" w:right="0" w:hanging="80"/>
                      <w:jc w:val="left"/>
                      <w:rPr>
                        <w:sz w:val="12"/>
                      </w:rPr>
                    </w:pPr>
                    <w:r>
                      <w:rPr>
                        <w:sz w:val="12"/>
                      </w:rPr>
                      <w:t>Real product wage (a)</w:t>
                    </w:r>
                  </w:p>
                </w:txbxContent>
              </v:textbox>
              <w10:wrap type="none"/>
            </v:shape>
            <v:shape style="position:absolute;left:4032;top:1449;width:111;height:478" type="#_x0000_t202" filled="false" stroked="false">
              <v:textbox inset="0,0,0,0">
                <w:txbxContent>
                  <w:p>
                    <w:pPr>
                      <w:spacing w:line="177" w:lineRule="exact" w:before="0"/>
                      <w:ind w:left="0" w:right="0" w:firstLine="0"/>
                      <w:jc w:val="left"/>
                      <w:rPr>
                        <w:sz w:val="16"/>
                      </w:rPr>
                    </w:pPr>
                    <w:r>
                      <w:rPr>
                        <w:sz w:val="16"/>
                      </w:rPr>
                      <w:t>+</w:t>
                    </w:r>
                  </w:p>
                  <w:p>
                    <w:pPr>
                      <w:spacing w:before="116"/>
                      <w:ind w:left="5" w:right="0" w:firstLine="0"/>
                      <w:jc w:val="left"/>
                      <w:rPr>
                        <w:sz w:val="16"/>
                      </w:rPr>
                    </w:pPr>
                    <w:r>
                      <w:rPr>
                        <w:sz w:val="16"/>
                      </w:rPr>
                      <w:t>–</w:t>
                    </w:r>
                  </w:p>
                </w:txbxContent>
              </v:textbox>
              <w10:wrap type="none"/>
            </v:shape>
            <v:shape style="position:absolute;left:1768;top:2061;width:1343;height:134" type="#_x0000_t202" filled="false" stroked="false">
              <v:textbox inset="0,0,0,0">
                <w:txbxContent>
                  <w:p>
                    <w:pPr>
                      <w:spacing w:line="133" w:lineRule="exact" w:before="0"/>
                      <w:ind w:left="0" w:right="0" w:firstLine="0"/>
                      <w:jc w:val="left"/>
                      <w:rPr>
                        <w:sz w:val="12"/>
                      </w:rPr>
                    </w:pPr>
                    <w:r>
                      <w:rPr>
                        <w:sz w:val="12"/>
                      </w:rPr>
                      <w:t>Real consumption wage (b)</w:t>
                    </w:r>
                  </w:p>
                </w:txbxContent>
              </v:textbox>
              <w10:wrap type="none"/>
            </v:shape>
            <w10:wrap type="none"/>
          </v:group>
        </w:pict>
      </w:r>
      <w:r>
        <w:rPr>
          <w:sz w:val="12"/>
        </w:rPr>
        <w:t>4</w:t>
      </w:r>
    </w:p>
    <w:p>
      <w:pPr>
        <w:pStyle w:val="BodyText"/>
        <w:rPr>
          <w:sz w:val="12"/>
        </w:rPr>
      </w:pPr>
    </w:p>
    <w:p>
      <w:pPr>
        <w:pStyle w:val="BodyText"/>
        <w:spacing w:before="1"/>
        <w:rPr>
          <w:sz w:val="12"/>
        </w:rPr>
      </w:pPr>
    </w:p>
    <w:p>
      <w:pPr>
        <w:spacing w:before="0"/>
        <w:ind w:left="0" w:right="993" w:firstLine="0"/>
        <w:jc w:val="right"/>
        <w:rPr>
          <w:sz w:val="12"/>
        </w:rPr>
      </w:pPr>
      <w:r>
        <w:rPr>
          <w:sz w:val="12"/>
        </w:rPr>
        <w:t>3</w:t>
      </w:r>
    </w:p>
    <w:p>
      <w:pPr>
        <w:pStyle w:val="BodyText"/>
        <w:rPr>
          <w:sz w:val="12"/>
        </w:rPr>
      </w:pPr>
    </w:p>
    <w:p>
      <w:pPr>
        <w:pStyle w:val="BodyText"/>
        <w:spacing w:before="1"/>
        <w:rPr>
          <w:sz w:val="12"/>
        </w:rPr>
      </w:pPr>
    </w:p>
    <w:p>
      <w:pPr>
        <w:spacing w:before="0"/>
        <w:ind w:left="0" w:right="993" w:firstLine="0"/>
        <w:jc w:val="right"/>
        <w:rPr>
          <w:sz w:val="12"/>
        </w:rPr>
      </w:pPr>
      <w:r>
        <w:rPr>
          <w:sz w:val="12"/>
        </w:rPr>
        <w:t>2</w:t>
      </w:r>
    </w:p>
    <w:p>
      <w:pPr>
        <w:pStyle w:val="BodyText"/>
        <w:rPr>
          <w:sz w:val="12"/>
        </w:rPr>
      </w:pPr>
    </w:p>
    <w:p>
      <w:pPr>
        <w:pStyle w:val="BodyText"/>
        <w:spacing w:before="7"/>
        <w:rPr>
          <w:sz w:val="10"/>
        </w:rPr>
      </w:pPr>
    </w:p>
    <w:p>
      <w:pPr>
        <w:spacing w:before="0"/>
        <w:ind w:left="0" w:right="993" w:firstLine="0"/>
        <w:jc w:val="right"/>
        <w:rPr>
          <w:sz w:val="12"/>
        </w:rPr>
      </w:pPr>
      <w:r>
        <w:rPr>
          <w:sz w:val="12"/>
        </w:rPr>
        <w:t>1</w:t>
      </w:r>
    </w:p>
    <w:p>
      <w:pPr>
        <w:pStyle w:val="BodyText"/>
        <w:rPr>
          <w:sz w:val="12"/>
        </w:rPr>
      </w:pPr>
    </w:p>
    <w:p>
      <w:pPr>
        <w:pStyle w:val="BodyText"/>
        <w:spacing w:before="1"/>
        <w:rPr>
          <w:sz w:val="12"/>
        </w:rPr>
      </w:pPr>
    </w:p>
    <w:p>
      <w:pPr>
        <w:spacing w:before="0"/>
        <w:ind w:left="0" w:right="993" w:firstLine="0"/>
        <w:jc w:val="right"/>
        <w:rPr>
          <w:sz w:val="12"/>
        </w:rPr>
      </w:pPr>
      <w:r>
        <w:rPr>
          <w:sz w:val="12"/>
        </w:rPr>
        <w:t>0</w:t>
      </w:r>
    </w:p>
    <w:p>
      <w:pPr>
        <w:pStyle w:val="BodyText"/>
        <w:rPr>
          <w:sz w:val="12"/>
        </w:rPr>
      </w:pPr>
    </w:p>
    <w:p>
      <w:pPr>
        <w:pStyle w:val="BodyText"/>
        <w:spacing w:before="1"/>
        <w:rPr>
          <w:sz w:val="12"/>
        </w:rPr>
      </w:pPr>
    </w:p>
    <w:p>
      <w:pPr>
        <w:spacing w:before="0"/>
        <w:ind w:left="0" w:right="993" w:firstLine="0"/>
        <w:jc w:val="right"/>
        <w:rPr>
          <w:sz w:val="12"/>
        </w:rPr>
      </w:pPr>
      <w:r>
        <w:rPr>
          <w:sz w:val="12"/>
        </w:rPr>
        <w:t>1</w:t>
      </w:r>
    </w:p>
    <w:p>
      <w:pPr>
        <w:pStyle w:val="BodyText"/>
        <w:rPr>
          <w:sz w:val="12"/>
        </w:rPr>
      </w:pPr>
    </w:p>
    <w:p>
      <w:pPr>
        <w:pStyle w:val="BodyText"/>
        <w:spacing w:before="1"/>
        <w:rPr>
          <w:sz w:val="12"/>
        </w:rPr>
      </w:pPr>
    </w:p>
    <w:p>
      <w:pPr>
        <w:spacing w:line="120" w:lineRule="exact" w:before="0"/>
        <w:ind w:left="3456" w:right="0" w:firstLine="0"/>
        <w:jc w:val="left"/>
        <w:rPr>
          <w:sz w:val="12"/>
        </w:rPr>
      </w:pPr>
      <w:r>
        <w:rPr/>
        <w:pict>
          <v:line style="position:absolute;mso-position-horizontal-relative:page;mso-position-vertical-relative:paragraph;z-index:16078848" from="42.841999pt,3.476558pt" to="47.173999pt,3.476558pt" stroked="true" strokeweight=".5pt" strokecolor="#000000">
            <v:stroke dashstyle="solid"/>
            <w10:wrap type="none"/>
          </v:line>
        </w:pict>
      </w:r>
      <w:r>
        <w:rPr/>
        <w:pict>
          <v:line style="position:absolute;mso-position-horizontal-relative:page;mso-position-vertical-relative:paragraph;z-index:16079872" from="198.509003pt,3.476558pt" to="202.841003pt,3.476558pt" stroked="true" strokeweight=".5pt" strokecolor="#000000">
            <v:stroke dashstyle="solid"/>
            <w10:wrap type="none"/>
          </v:line>
        </w:pict>
      </w:r>
      <w:r>
        <w:rPr/>
        <w:pict>
          <v:shape style="position:absolute;margin-left:51.007999pt;margin-top:.372558pt;width:144pt;height:3.4pt;mso-position-horizontal-relative:page;mso-position-vertical-relative:paragraph;z-index:16080896" coordorigin="1020,7" coordsize="2880,68" path="m1021,7l1021,75m1721,7l1721,75m3118,7l3118,75m2421,7l2421,75m3818,7l3818,75m1020,70l3900,70e" filled="false" stroked="true" strokeweight=".5pt" strokecolor="#000000">
            <v:path arrowok="t"/>
            <v:stroke dashstyle="solid"/>
            <w10:wrap type="none"/>
          </v:shape>
        </w:pict>
      </w:r>
      <w:r>
        <w:rPr>
          <w:sz w:val="12"/>
        </w:rPr>
        <w:t>2</w:t>
      </w:r>
    </w:p>
    <w:p>
      <w:pPr>
        <w:tabs>
          <w:tab w:pos="1013" w:val="left" w:leader="none"/>
          <w:tab w:pos="1713" w:val="left" w:leader="none"/>
          <w:tab w:pos="2430" w:val="left" w:leader="none"/>
          <w:tab w:pos="3060" w:val="left" w:leader="none"/>
        </w:tabs>
        <w:spacing w:line="120" w:lineRule="exact" w:before="0"/>
        <w:ind w:left="270" w:right="0" w:firstLine="0"/>
        <w:jc w:val="left"/>
        <w:rPr>
          <w:sz w:val="12"/>
        </w:rPr>
      </w:pPr>
      <w:r>
        <w:rPr>
          <w:sz w:val="12"/>
        </w:rPr>
        <w:t>1992</w:t>
        <w:tab/>
        <w:t>94</w:t>
        <w:tab/>
        <w:t>96</w:t>
        <w:tab/>
        <w:t>98</w:t>
        <w:tab/>
        <w:t>2000</w:t>
      </w:r>
    </w:p>
    <w:p>
      <w:pPr>
        <w:pStyle w:val="BodyText"/>
        <w:spacing w:before="2"/>
        <w:rPr>
          <w:sz w:val="16"/>
        </w:rPr>
      </w:pPr>
    </w:p>
    <w:p>
      <w:pPr>
        <w:spacing w:before="0"/>
        <w:ind w:left="180" w:right="0" w:firstLine="0"/>
        <w:jc w:val="left"/>
        <w:rPr>
          <w:sz w:val="12"/>
        </w:rPr>
      </w:pPr>
      <w:r>
        <w:rPr>
          <w:sz w:val="12"/>
        </w:rPr>
        <w:t>Sources: ONS and Bank of England.</w:t>
      </w:r>
    </w:p>
    <w:p>
      <w:pPr>
        <w:pStyle w:val="BodyText"/>
        <w:spacing w:before="1"/>
        <w:rPr>
          <w:sz w:val="10"/>
        </w:rPr>
      </w:pPr>
    </w:p>
    <w:p>
      <w:pPr>
        <w:pStyle w:val="ListParagraph"/>
        <w:numPr>
          <w:ilvl w:val="0"/>
          <w:numId w:val="33"/>
        </w:numPr>
        <w:tabs>
          <w:tab w:pos="421" w:val="left" w:leader="none"/>
        </w:tabs>
        <w:spacing w:line="208" w:lineRule="auto" w:before="0" w:after="0"/>
        <w:ind w:left="420" w:right="1033" w:hanging="240"/>
        <w:jc w:val="left"/>
        <w:rPr>
          <w:sz w:val="12"/>
        </w:rPr>
      </w:pPr>
      <w:r>
        <w:rPr>
          <w:spacing w:val="-3"/>
          <w:sz w:val="12"/>
        </w:rPr>
        <w:t>Wages</w:t>
      </w:r>
      <w:r>
        <w:rPr>
          <w:spacing w:val="-7"/>
          <w:sz w:val="12"/>
        </w:rPr>
        <w:t> </w:t>
      </w:r>
      <w:r>
        <w:rPr>
          <w:sz w:val="12"/>
        </w:rPr>
        <w:t>and</w:t>
      </w:r>
      <w:r>
        <w:rPr>
          <w:spacing w:val="-6"/>
          <w:sz w:val="12"/>
        </w:rPr>
        <w:t> </w:t>
      </w:r>
      <w:r>
        <w:rPr>
          <w:sz w:val="12"/>
        </w:rPr>
        <w:t>salaries</w:t>
      </w:r>
      <w:r>
        <w:rPr>
          <w:spacing w:val="-6"/>
          <w:sz w:val="12"/>
        </w:rPr>
        <w:t> </w:t>
      </w:r>
      <w:r>
        <w:rPr>
          <w:sz w:val="12"/>
        </w:rPr>
        <w:t>and</w:t>
      </w:r>
      <w:r>
        <w:rPr>
          <w:spacing w:val="-6"/>
          <w:sz w:val="12"/>
        </w:rPr>
        <w:t> </w:t>
      </w:r>
      <w:r>
        <w:rPr>
          <w:sz w:val="12"/>
        </w:rPr>
        <w:t>employers’</w:t>
      </w:r>
      <w:r>
        <w:rPr>
          <w:spacing w:val="-13"/>
          <w:sz w:val="12"/>
        </w:rPr>
        <w:t> </w:t>
      </w:r>
      <w:r>
        <w:rPr>
          <w:sz w:val="12"/>
        </w:rPr>
        <w:t>social</w:t>
      </w:r>
      <w:r>
        <w:rPr>
          <w:spacing w:val="-6"/>
          <w:sz w:val="12"/>
        </w:rPr>
        <w:t> </w:t>
      </w:r>
      <w:r>
        <w:rPr>
          <w:sz w:val="12"/>
        </w:rPr>
        <w:t>security</w:t>
      </w:r>
      <w:r>
        <w:rPr>
          <w:spacing w:val="-6"/>
          <w:sz w:val="12"/>
        </w:rPr>
        <w:t> </w:t>
      </w:r>
      <w:r>
        <w:rPr>
          <w:sz w:val="12"/>
        </w:rPr>
        <w:t>contributions per head divided by GDP deflator at basic</w:t>
      </w:r>
      <w:r>
        <w:rPr>
          <w:spacing w:val="-17"/>
          <w:sz w:val="12"/>
        </w:rPr>
        <w:t> </w:t>
      </w:r>
      <w:r>
        <w:rPr>
          <w:sz w:val="12"/>
        </w:rPr>
        <w:t>prices.</w:t>
      </w:r>
    </w:p>
    <w:p>
      <w:pPr>
        <w:pStyle w:val="ListParagraph"/>
        <w:numPr>
          <w:ilvl w:val="0"/>
          <w:numId w:val="33"/>
        </w:numPr>
        <w:tabs>
          <w:tab w:pos="421" w:val="left" w:leader="none"/>
        </w:tabs>
        <w:spacing w:line="123" w:lineRule="exact" w:before="0" w:after="0"/>
        <w:ind w:left="420" w:right="0" w:hanging="241"/>
        <w:jc w:val="left"/>
        <w:rPr>
          <w:sz w:val="12"/>
        </w:rPr>
      </w:pPr>
      <w:r>
        <w:rPr>
          <w:spacing w:val="-3"/>
          <w:sz w:val="12"/>
        </w:rPr>
        <w:t>Wages </w:t>
      </w:r>
      <w:r>
        <w:rPr>
          <w:sz w:val="12"/>
        </w:rPr>
        <w:t>and salaries per head divided by the tax and prices</w:t>
      </w:r>
      <w:r>
        <w:rPr>
          <w:spacing w:val="-18"/>
          <w:sz w:val="12"/>
        </w:rPr>
        <w:t> </w:t>
      </w:r>
      <w:r>
        <w:rPr>
          <w:sz w:val="12"/>
        </w:rPr>
        <w:t>index.</w:t>
      </w:r>
    </w:p>
    <w:p>
      <w:pPr>
        <w:pStyle w:val="BodyText"/>
        <w:spacing w:line="242" w:lineRule="auto" w:before="212"/>
        <w:ind w:left="180" w:right="154"/>
      </w:pPr>
      <w:r>
        <w:rPr/>
        <w:br w:type="column"/>
      </w:r>
      <w:r>
        <w:rPr/>
        <w:t>according to the Basix survey generally rose in Q3 (see Table 3.D). Indeed, the inflation expectations of most groups were at their highest levels for around two years. It is unclear whether that pick-up will persist, and whether it will affect forthcoming wage settlements. The rise may, for example, reflect a reaction to the disruption of petrol supplies in the first half of September, and so could prove temporary. Indeed, monthly data from the GfK survey of consumer confidence suggest that inflation expectations fell back in October from the September peak.</w:t>
      </w:r>
    </w:p>
    <w:p>
      <w:pPr>
        <w:pStyle w:val="BodyText"/>
        <w:spacing w:before="9"/>
        <w:rPr>
          <w:sz w:val="30"/>
        </w:rPr>
      </w:pPr>
    </w:p>
    <w:p>
      <w:pPr>
        <w:pStyle w:val="BodyText"/>
        <w:spacing w:line="242" w:lineRule="auto"/>
        <w:ind w:left="180" w:right="151"/>
      </w:pPr>
      <w:r>
        <w:rPr/>
        <w:t>When involved in wage negotiations, employees aim to enhance the real purchasing power of their post-tax earnings, the real consumption wage. Employers, on the other hand, wish to control their total labour costs per employee relative to the prices of the goods and services that they sell, the real product wage. So factors such as changes in the terms of trade and in the taxes faced by employees and employers, which drive a wedge between these two measures of real wage growth, tend to affect the relative bargaining intensity of these two groups in wage negotiations, and hence potential wage pressures. For example, when employees’ real wages are being eroded by relative rises in import prices or tax rates they will tend to press harder for increases in nominal earnings to attempt to maintain their effective purchasing power. The real consumption wage grew more slowly than the real product wage in 2000 Q2 (see Chart 3.18). This reversal of the pattern of the previous year suggests some increase in wage pressure from this source.</w:t>
      </w:r>
    </w:p>
    <w:p>
      <w:pPr>
        <w:pStyle w:val="BodyText"/>
        <w:spacing w:before="5"/>
        <w:rPr>
          <w:sz w:val="33"/>
        </w:rPr>
      </w:pPr>
    </w:p>
    <w:p>
      <w:pPr>
        <w:pStyle w:val="BodyText"/>
        <w:spacing w:line="242" w:lineRule="auto"/>
        <w:ind w:left="180" w:right="196"/>
      </w:pPr>
      <w:r>
        <w:rPr/>
        <w:t>There are considerable uncertainties about the future path of earnings growth. The </w:t>
      </w:r>
      <w:r>
        <w:rPr>
          <w:spacing w:val="-4"/>
        </w:rPr>
        <w:t>MPC’s </w:t>
      </w:r>
      <w:r>
        <w:rPr/>
        <w:t>best collective judgment is that temporary factors </w:t>
      </w:r>
      <w:r>
        <w:rPr>
          <w:spacing w:val="-3"/>
        </w:rPr>
        <w:t>have </w:t>
      </w:r>
      <w:r>
        <w:rPr/>
        <w:t>played a significant role in the </w:t>
      </w:r>
      <w:r>
        <w:rPr>
          <w:spacing w:val="-3"/>
        </w:rPr>
        <w:t>slowdown </w:t>
      </w:r>
      <w:r>
        <w:rPr/>
        <w:t>in earnings growth in recent months. For example, the </w:t>
      </w:r>
      <w:r>
        <w:rPr>
          <w:spacing w:val="-3"/>
        </w:rPr>
        <w:t>negative </w:t>
      </w:r>
      <w:r>
        <w:rPr/>
        <w:t>effects on earnings growth of bonus payments may be transient. And factors that may </w:t>
      </w:r>
      <w:r>
        <w:rPr>
          <w:spacing w:val="-3"/>
        </w:rPr>
        <w:t>have </w:t>
      </w:r>
      <w:r>
        <w:rPr/>
        <w:t>helped moderate the pay pressures</w:t>
      </w:r>
      <w:r>
        <w:rPr>
          <w:spacing w:val="-9"/>
        </w:rPr>
        <w:t> </w:t>
      </w:r>
      <w:r>
        <w:rPr/>
        <w:t>associated</w:t>
      </w:r>
      <w:r>
        <w:rPr>
          <w:spacing w:val="-8"/>
        </w:rPr>
        <w:t> </w:t>
      </w:r>
      <w:r>
        <w:rPr/>
        <w:t>with</w:t>
      </w:r>
      <w:r>
        <w:rPr>
          <w:spacing w:val="-8"/>
        </w:rPr>
        <w:t> </w:t>
      </w:r>
      <w:r>
        <w:rPr/>
        <w:t>the</w:t>
      </w:r>
      <w:r>
        <w:rPr>
          <w:spacing w:val="-8"/>
        </w:rPr>
        <w:t> </w:t>
      </w:r>
      <w:r>
        <w:rPr/>
        <w:t>tight</w:t>
      </w:r>
      <w:r>
        <w:rPr>
          <w:spacing w:val="-8"/>
        </w:rPr>
        <w:t> </w:t>
      </w:r>
      <w:r>
        <w:rPr/>
        <w:t>labour</w:t>
      </w:r>
      <w:r>
        <w:rPr>
          <w:spacing w:val="-8"/>
        </w:rPr>
        <w:t> </w:t>
      </w:r>
      <w:r>
        <w:rPr/>
        <w:t>market—lower unemployment mainly occurring through</w:t>
      </w:r>
      <w:r>
        <w:rPr>
          <w:spacing w:val="-13"/>
        </w:rPr>
        <w:t> </w:t>
      </w:r>
      <w:r>
        <w:rPr/>
        <w:t>falling</w:t>
      </w:r>
    </w:p>
    <w:p>
      <w:pPr>
        <w:pStyle w:val="BodyText"/>
        <w:spacing w:line="242" w:lineRule="auto" w:before="11"/>
        <w:ind w:left="180" w:right="131"/>
      </w:pPr>
      <w:r>
        <w:rPr/>
        <w:t>long-term unemployment and relative movements in employers’ and employees’ real wage growth—appear to be abating. Moreover, there are growing indications of upward pressures on settlements. So the MPC expects that earnings growth will edge up a little, reflecting the tightness of the labour market. However, the MPC also views the combination of falling unemployment and low earnings growth in recent months as indicating some fall in the rate of unemployment consistent with stable earnings growth and inflation. While considerable</w:t>
      </w:r>
    </w:p>
    <w:p>
      <w:pPr>
        <w:spacing w:after="0" w:line="242" w:lineRule="auto"/>
        <w:sectPr>
          <w:type w:val="continuous"/>
          <w:pgSz w:w="11900" w:h="16840"/>
          <w:pgMar w:top="1260" w:bottom="280" w:left="640" w:right="640"/>
          <w:cols w:num="2" w:equalWidth="0">
            <w:col w:w="4510" w:space="274"/>
            <w:col w:w="5836"/>
          </w:cols>
        </w:sectPr>
      </w:pPr>
    </w:p>
    <w:p>
      <w:pPr>
        <w:pStyle w:val="BodyText"/>
        <w:rPr>
          <w:sz w:val="20"/>
        </w:rPr>
      </w:pPr>
    </w:p>
    <w:p>
      <w:pPr>
        <w:spacing w:after="0"/>
        <w:rPr>
          <w:sz w:val="20"/>
        </w:rPr>
        <w:sectPr>
          <w:pgSz w:w="11900" w:h="16840"/>
          <w:pgMar w:header="586" w:footer="592" w:top="780" w:bottom="780" w:left="640" w:right="640"/>
        </w:sectPr>
      </w:pPr>
    </w:p>
    <w:p>
      <w:pPr>
        <w:pStyle w:val="BodyText"/>
        <w:rPr>
          <w:sz w:val="22"/>
        </w:rPr>
      </w:pPr>
    </w:p>
    <w:p>
      <w:pPr>
        <w:spacing w:before="0"/>
        <w:ind w:left="184" w:right="0" w:firstLine="0"/>
        <w:jc w:val="left"/>
        <w:rPr>
          <w:b/>
          <w:sz w:val="20"/>
        </w:rPr>
      </w:pPr>
      <w:bookmarkStart w:name="Summary" w:id="55"/>
      <w:bookmarkEnd w:id="55"/>
      <w:r>
        <w:rPr/>
      </w:r>
      <w:bookmarkStart w:name="_bookmark23" w:id="56"/>
      <w:bookmarkEnd w:id="56"/>
      <w:r>
        <w:rPr/>
      </w:r>
      <w:r>
        <w:rPr>
          <w:b/>
          <w:color w:val="0092C7"/>
          <w:sz w:val="20"/>
        </w:rPr>
        <w:t>Chart 3.19</w:t>
      </w:r>
    </w:p>
    <w:p>
      <w:pPr>
        <w:spacing w:before="10"/>
        <w:ind w:left="184" w:right="0" w:firstLine="0"/>
        <w:jc w:val="left"/>
        <w:rPr>
          <w:b/>
          <w:sz w:val="20"/>
        </w:rPr>
      </w:pPr>
      <w:r>
        <w:rPr>
          <w:b/>
          <w:color w:val="0092C7"/>
          <w:sz w:val="20"/>
        </w:rPr>
        <w:t>Unit wage cost growth</w:t>
      </w:r>
    </w:p>
    <w:p>
      <w:pPr>
        <w:spacing w:line="115" w:lineRule="exact" w:before="124"/>
        <w:ind w:left="1647" w:right="0" w:firstLine="0"/>
        <w:jc w:val="left"/>
        <w:rPr>
          <w:sz w:val="12"/>
        </w:rPr>
      </w:pPr>
      <w:r>
        <w:rPr>
          <w:sz w:val="12"/>
        </w:rPr>
        <w:t>Percentage changes on a year earlier</w:t>
      </w:r>
    </w:p>
    <w:p>
      <w:pPr>
        <w:spacing w:line="115" w:lineRule="exact" w:before="0"/>
        <w:ind w:left="3431" w:right="0" w:firstLine="0"/>
        <w:jc w:val="left"/>
        <w:rPr>
          <w:sz w:val="12"/>
        </w:rPr>
      </w:pPr>
      <w:r>
        <w:rPr/>
        <w:pict>
          <v:line style="position:absolute;mso-position-horizontal-relative:page;mso-position-vertical-relative:paragraph;z-index:16087552" from="198.292007pt,2.694606pt" to="202.064007pt,2.694606pt" stroked="true" strokeweight=".5pt" strokecolor="#000000">
            <v:stroke dashstyle="solid"/>
            <w10:wrap type="none"/>
          </v:line>
        </w:pict>
      </w:r>
      <w:r>
        <w:rPr/>
        <w:pict>
          <v:line style="position:absolute;mso-position-horizontal-relative:page;mso-position-vertical-relative:paragraph;z-index:16088064" from="43.959pt,2.694606pt" to="47.731pt,2.694606pt" stroked="true" strokeweight=".5pt" strokecolor="#000000">
            <v:stroke dashstyle="solid"/>
            <w10:wrap type="none"/>
          </v:line>
        </w:pict>
      </w:r>
      <w:r>
        <w:rPr>
          <w:sz w:val="12"/>
        </w:rPr>
        <w:t>18</w:t>
      </w:r>
    </w:p>
    <w:p>
      <w:pPr>
        <w:pStyle w:val="BodyText"/>
        <w:spacing w:before="1"/>
        <w:rPr>
          <w:sz w:val="11"/>
        </w:rPr>
      </w:pPr>
    </w:p>
    <w:p>
      <w:pPr>
        <w:spacing w:before="0"/>
        <w:ind w:left="0" w:right="65" w:firstLine="0"/>
        <w:jc w:val="right"/>
        <w:rPr>
          <w:sz w:val="12"/>
        </w:rPr>
      </w:pPr>
      <w:r>
        <w:rPr/>
        <w:pict>
          <v:group style="position:absolute;margin-left:43.959pt;margin-top:3.727412pt;width:158.15pt;height:120.5pt;mso-position-horizontal-relative:page;mso-position-vertical-relative:paragraph;z-index:16086528" coordorigin="879,75" coordsize="3163,2410">
            <v:shape style="position:absolute;left:1014;top:1132;width:495;height:725" type="#_x0000_t75" stroked="false">
              <v:imagedata r:id="rId144" o:title=""/>
            </v:shape>
            <v:line style="position:absolute" from="1518,1132" to="1518,1655" stroked="true" strokeweight="2.875pt" strokecolor="#de0035">
              <v:stroke dashstyle="solid"/>
            </v:line>
            <v:shape style="position:absolute;left:1536;top:1314;width:398;height:375" coordorigin="1537,1315" coordsize="398,375" path="m1537,1645l1577,1535m1577,1535l1614,1565m1614,1565l1652,1597m1652,1597l1692,1345m1692,1345l1729,1502m1729,1502l1769,1690m1769,1690l1807,1627m1807,1627l1844,1535m1844,1535l1897,1517m1897,1517l1934,1315e" filled="false" stroked="true" strokeweight="1pt" strokecolor="#de0035">
              <v:path arrowok="t"/>
              <v:stroke dashstyle="solid"/>
            </v:shape>
            <v:line style="position:absolute" from="1924,1316" to="1984,1316" stroked="true" strokeweight="1.125pt" strokecolor="#de0035">
              <v:stroke dashstyle="solid"/>
            </v:line>
            <v:shape style="position:absolute;left:1974;top:704;width:820;height:1488" coordorigin="1974,705" coordsize="820,1488" path="m1974,1315l2012,1237m2012,1237l2049,1157m2049,1157l2089,1080m2089,1080l2127,892m2127,892l2167,845m2167,845l2204,720m2204,720l2242,705m2242,705l2282,860m2282,860l2319,875m2319,875l2359,892m2359,892l2397,1127m2397,1127l2434,1080m2434,1080l2487,1252m2487,1252l2524,1425m2524,1425l2564,1550m2564,1550l2602,1612m2602,1612l2642,1690m2642,1690l2679,1925m2679,1925l2717,1972m2717,1972l2757,2192m2757,2192l2794,2177e" filled="false" stroked="true" strokeweight="1pt" strokecolor="#de0035">
              <v:path arrowok="t"/>
              <v:stroke dashstyle="solid"/>
            </v:shape>
            <v:line style="position:absolute" from="2784,2178" to="2844,2178" stroked="true" strokeweight="1.125pt" strokecolor="#de0035">
              <v:stroke dashstyle="solid"/>
            </v:line>
            <v:shape style="position:absolute;left:2834;top:1769;width:668;height:533" coordorigin="2834,1770" coordsize="668,533" path="m2834,2177l2872,2112m2872,2112l2909,2145m2909,2145l2949,2302m2949,2302l2987,2255m2987,2255l3027,2207m3027,2207l3077,2082m3077,2082l3117,1942m3117,1942l3154,1925m3154,1925l3192,1957m3192,1957l3232,2005m3232,2005l3269,1957m3269,1957l3309,1925m3309,1925l3347,1862m3347,1862l3384,1770m3384,1770l3424,1785m3424,1785l3462,1770m3462,1770l3502,1785e" filled="false" stroked="true" strokeweight="1pt" strokecolor="#de0035">
              <v:path arrowok="t"/>
              <v:stroke dashstyle="solid"/>
            </v:shape>
            <v:line style="position:absolute" from="3492,1786" to="3549,1786" stroked="true" strokeweight="1.125pt" strokecolor="#de0035">
              <v:stroke dashstyle="solid"/>
            </v:line>
            <v:shape style="position:absolute;left:3539;top:1612;width:360;height:408" coordorigin="3539,1612" coordsize="360,408" path="m3539,1785l3577,1862m3577,1862l3629,1785m3629,1785l3667,1707m3667,1707l3707,1690m3707,1690l3744,1612m3744,1612l3784,1737m3784,1737l3822,1770m3822,1770l3859,1815m3859,1815l3899,2020e" filled="false" stroked="true" strokeweight="1pt" strokecolor="#de0035">
              <v:path arrowok="t"/>
              <v:stroke dashstyle="solid"/>
            </v:shape>
            <v:shape style="position:absolute;left:1024;top:107;width:153;height:1913" coordorigin="1024,107" coordsize="153,1913" path="m1024,202l1062,107m1062,107l1102,360m1102,360l1139,265m1139,265l1177,2020e" filled="false" stroked="true" strokeweight="1pt" strokecolor="#006caa">
              <v:path arrowok="t"/>
              <v:stroke dashstyle="solid"/>
            </v:shape>
            <v:shape style="position:absolute;left:1166;top:1289;width:535;height:770" type="#_x0000_t75" stroked="false">
              <v:imagedata r:id="rId145" o:title=""/>
            </v:shape>
            <v:line style="position:absolute" from="1711,1290" to="1711,1700" stroked="true" strokeweight="2.875pt" strokecolor="#006caa">
              <v:stroke dashstyle="solid"/>
            </v:line>
            <v:line style="position:absolute" from="1749,1680" to="1749,2250" stroked="true" strokeweight="3pt" strokecolor="#006caa">
              <v:stroke dashstyle="solid"/>
            </v:line>
            <v:shape style="position:absolute;left:1759;top:1634;width:418;height:615" type="#_x0000_t75" stroked="false">
              <v:imagedata r:id="rId146" o:title=""/>
            </v:shape>
            <v:line style="position:absolute" from="2186,1290" to="2186,1700" stroked="true" strokeweight="2.875pt" strokecolor="#006caa">
              <v:stroke dashstyle="solid"/>
            </v:line>
            <v:shape style="position:absolute;left:2194;top:1227;width:418;height:633" type="#_x0000_t75" stroked="false">
              <v:imagedata r:id="rId147" o:title=""/>
            </v:shape>
            <v:line style="position:absolute" from="2622,1837" to="2622,2250" stroked="true" strokeweight="3pt" strokecolor="#006caa">
              <v:stroke dashstyle="solid"/>
            </v:line>
            <v:shape style="position:absolute;left:2631;top:1869;width:405;height:615" type="#_x0000_t75" stroked="false">
              <v:imagedata r:id="rId148" o:title=""/>
            </v:shape>
            <v:shape style="position:absolute;left:3026;top:1534;width:90;height:658" coordorigin="3027,1535" coordsize="90,658" path="m3027,2192l3077,1722m3077,1722l3117,1535e" filled="false" stroked="true" strokeweight="1pt" strokecolor="#006caa">
              <v:path arrowok="t"/>
              <v:stroke dashstyle="solid"/>
            </v:shape>
            <v:line style="position:absolute" from="3107,1536" to="3164,1536" stroked="true" strokeweight="1.125pt" strokecolor="#006caa">
              <v:stroke dashstyle="solid"/>
            </v:line>
            <v:shape style="position:absolute;left:3154;top:1299;width:705;height:970" coordorigin="3154,1300" coordsize="705,970" path="m3154,1535l3192,1300m3192,1300l3232,1487m3232,1487l3269,1440m3269,1440l3309,1345m3309,1345l3347,1597m3347,1597l3384,1737m3384,1737l3424,1675m3424,1675l3462,1770m3462,1770l3502,1580m3502,1580l3539,1345m3539,1345l3577,1550m3577,1550l3629,1502m3629,1502l3667,1707m3667,1707l3707,1895m3707,1895l3744,2050m3744,2050l3784,2270m3784,2270l3822,2255m3822,2255l3859,2097e" filled="false" stroked="true" strokeweight="1pt" strokecolor="#006caa">
              <v:path arrowok="t"/>
              <v:stroke dashstyle="solid"/>
            </v:shape>
            <v:line style="position:absolute" from="3849,2098" to="3909,2098" stroked="true" strokeweight="1.125pt" strokecolor="#006caa">
              <v:stroke dashstyle="solid"/>
            </v:line>
            <v:shape style="position:absolute;left:1024;top:547;width:1733;height:1598" coordorigin="1024,547" coordsize="1733,1598" path="m1024,1800l1062,1957m1062,1957l1102,1895m1102,1895l1139,2082m1139,2082l1177,1785m1177,1785l1217,1565m1217,1565l1254,1502m1254,1502l1294,1425m1294,1425l1344,1392m1344,1392l1382,1252m1382,1252l1422,1237m1422,1237l1459,1127m1459,1127l1499,1032m1499,1032l1537,1675m1537,1675l1577,1597m1577,1597l1614,1627m1614,1627l1652,1675m1652,1675l1692,1362m1692,1362l1729,1455m1729,1455l1769,1535m1769,1535l1807,1550m1807,1550l1844,1425m1844,1425l1897,1410m1897,1410l1934,1237m1934,1237l1974,1190m1974,1190l2012,1127m2012,1127l2049,985m2049,985l2089,907m2089,907l2127,672m2127,672l2167,642m2167,642l2204,577m2204,577l2242,547m2242,547l2282,767m2282,767l2319,750m2319,750l2359,782m2359,782l2397,1080m2397,1080l2434,1017m2434,1017l2487,1252m2487,1252l2524,1377m2524,1377l2564,1487m2564,1487l2602,1550m2602,1550l2642,1580m2642,1580l2679,1847m2679,1847l2717,1910m2717,1910l2757,2145e" filled="false" stroked="true" strokeweight="1pt" strokecolor="#44af34">
              <v:path arrowok="t"/>
              <v:stroke dashstyle="solid"/>
            </v:shape>
            <v:line style="position:absolute" from="2747,2146" to="2804,2146" stroked="true" strokeweight="1.125pt" strokecolor="#44af34">
              <v:stroke dashstyle="solid"/>
            </v:line>
            <v:shape style="position:absolute;left:2794;top:1534;width:1105;height:813" coordorigin="2794,1535" coordsize="1105,813" path="m2794,2145l2834,2192m2834,2192l2872,2160m2872,2160l2909,2192m2909,2192l2949,2347m2949,2347l2987,2270m2987,2270l3027,2207m3027,2207l3077,2145m3077,2145l3117,2020m3117,2020l3154,2005m3154,2005l3192,2082m3192,2082l3232,2097m3232,2097l3269,2067m3269,2067l3309,2050m3309,2050l3347,1925m3347,1925l3384,1785m3384,1785l3424,1815m3424,1815l3462,1785m3462,1785l3502,1832m3502,1832l3539,1880m3539,1880l3577,1925m3577,1925l3629,1847m3629,1847l3667,1707m3667,1707l3707,1660m3707,1660l3744,1535m3744,1535l3784,1627m3784,1627l3822,1690m3822,1690l3859,1770m3859,1770l3899,2005e" filled="false" stroked="true" strokeweight="1pt" strokecolor="#44af34">
              <v:path arrowok="t"/>
              <v:stroke dashstyle="solid"/>
            </v:shape>
            <v:line style="position:absolute" from="1637,2328" to="1354,1631" stroked="true" strokeweight=".5pt" strokecolor="#000000">
              <v:stroke dashstyle="solid"/>
            </v:line>
            <v:shape style="position:absolute;left:1328;top:1568;width:56;height:88" coordorigin="1329,1568" coordsize="56,88" path="m1329,1568l1337,1656,1384,1637,1340,1585,1333,1576,1329,1568xe" filled="true" fillcolor="#000000" stroked="false">
              <v:path arrowok="t"/>
              <v:fill type="solid"/>
            </v:shape>
            <v:shape style="position:absolute;left:879;top:79;width:3163;height:2350" coordorigin="879,80" coordsize="3163,2350" path="m3966,80l4041,80m3966,327l4041,327m3966,595l4041,595m3966,860l4041,860m3966,1380l4041,1380m3966,1912l4041,1912m3966,2430l4041,2430m3966,2180l4041,2180m879,80l955,80m879,327l955,327m879,595l955,595m879,860l955,860m879,1380l955,1380m879,1912l955,1912m879,2430l955,2430m879,2180l955,2180m3966,1130l4041,1130m3966,1647l4041,1647m879,1130l955,1130m879,1647l955,1647m1024,2180l3904,2180e" filled="false" stroked="true" strokeweight=".5pt" strokecolor="#000000">
              <v:path arrowok="t"/>
              <v:stroke dashstyle="solid"/>
            </v:shape>
            <v:shape style="position:absolute;left:1141;top:102;width:734;height:134" type="#_x0000_t202" filled="false" stroked="false">
              <v:textbox inset="0,0,0,0">
                <w:txbxContent>
                  <w:p>
                    <w:pPr>
                      <w:spacing w:line="133" w:lineRule="exact" w:before="0"/>
                      <w:ind w:left="0" w:right="0" w:firstLine="0"/>
                      <w:jc w:val="left"/>
                      <w:rPr>
                        <w:sz w:val="12"/>
                      </w:rPr>
                    </w:pPr>
                    <w:r>
                      <w:rPr>
                        <w:sz w:val="12"/>
                      </w:rPr>
                      <w:t>Manufacturing</w:t>
                    </w:r>
                  </w:p>
                </w:txbxContent>
              </v:textbox>
              <w10:wrap type="none"/>
            </v:shape>
            <v:shape style="position:absolute;left:2294;top:507;width:1130;height:134" type="#_x0000_t202" filled="false" stroked="false">
              <v:textbox inset="0,0,0,0">
                <w:txbxContent>
                  <w:p>
                    <w:pPr>
                      <w:spacing w:line="133" w:lineRule="exact" w:before="0"/>
                      <w:ind w:left="0" w:right="0" w:firstLine="0"/>
                      <w:jc w:val="left"/>
                      <w:rPr>
                        <w:sz w:val="12"/>
                      </w:rPr>
                    </w:pPr>
                    <w:r>
                      <w:rPr>
                        <w:sz w:val="12"/>
                      </w:rPr>
                      <w:t>Non-manufacturing (a)</w:t>
                    </w:r>
                  </w:p>
                </w:txbxContent>
              </v:textbox>
              <w10:wrap type="none"/>
            </v:shape>
            <v:shape style="position:absolute;left:1344;top:2328;width:820;height:134" type="#_x0000_t202" filled="false" stroked="false">
              <v:textbox inset="0,0,0,0">
                <w:txbxContent>
                  <w:p>
                    <w:pPr>
                      <w:spacing w:line="133" w:lineRule="exact" w:before="0"/>
                      <w:ind w:left="0" w:right="0" w:firstLine="0"/>
                      <w:jc w:val="left"/>
                      <w:rPr>
                        <w:sz w:val="12"/>
                      </w:rPr>
                    </w:pPr>
                    <w:r>
                      <w:rPr>
                        <w:sz w:val="12"/>
                      </w:rPr>
                      <w:t>Whole-economy</w:t>
                    </w:r>
                  </w:p>
                </w:txbxContent>
              </v:textbox>
              <w10:wrap type="none"/>
            </v:shape>
            <w10:wrap type="none"/>
          </v:group>
        </w:pict>
      </w:r>
      <w:r>
        <w:rPr>
          <w:sz w:val="12"/>
        </w:rPr>
        <w:t>16</w:t>
      </w:r>
    </w:p>
    <w:p>
      <w:pPr>
        <w:pStyle w:val="BodyText"/>
        <w:spacing w:before="8"/>
        <w:rPr>
          <w:sz w:val="9"/>
        </w:rPr>
      </w:pPr>
    </w:p>
    <w:p>
      <w:pPr>
        <w:spacing w:before="0"/>
        <w:ind w:left="0" w:right="65" w:firstLine="0"/>
        <w:jc w:val="right"/>
        <w:rPr>
          <w:sz w:val="12"/>
        </w:rPr>
      </w:pPr>
      <w:r>
        <w:rPr>
          <w:sz w:val="12"/>
        </w:rPr>
        <w:t>14</w:t>
      </w:r>
    </w:p>
    <w:p>
      <w:pPr>
        <w:pStyle w:val="BodyText"/>
        <w:spacing w:before="3"/>
        <w:rPr>
          <w:sz w:val="11"/>
        </w:rPr>
      </w:pPr>
    </w:p>
    <w:p>
      <w:pPr>
        <w:spacing w:before="0"/>
        <w:ind w:left="0" w:right="65" w:firstLine="0"/>
        <w:jc w:val="right"/>
        <w:rPr>
          <w:sz w:val="12"/>
        </w:rPr>
      </w:pPr>
      <w:r>
        <w:rPr>
          <w:sz w:val="12"/>
        </w:rPr>
        <w:t>12</w:t>
      </w:r>
    </w:p>
    <w:p>
      <w:pPr>
        <w:pStyle w:val="BodyText"/>
        <w:spacing w:before="1"/>
        <w:rPr>
          <w:sz w:val="11"/>
        </w:rPr>
      </w:pPr>
    </w:p>
    <w:p>
      <w:pPr>
        <w:spacing w:before="0"/>
        <w:ind w:left="0" w:right="65" w:firstLine="0"/>
        <w:jc w:val="right"/>
        <w:rPr>
          <w:sz w:val="12"/>
        </w:rPr>
      </w:pPr>
      <w:r>
        <w:rPr>
          <w:sz w:val="12"/>
        </w:rPr>
        <w:t>10</w:t>
      </w:r>
    </w:p>
    <w:p>
      <w:pPr>
        <w:pStyle w:val="BodyText"/>
        <w:spacing w:before="3"/>
        <w:rPr>
          <w:sz w:val="11"/>
        </w:rPr>
      </w:pPr>
    </w:p>
    <w:p>
      <w:pPr>
        <w:spacing w:before="0"/>
        <w:ind w:left="0" w:right="65" w:firstLine="0"/>
        <w:jc w:val="right"/>
        <w:rPr>
          <w:sz w:val="12"/>
        </w:rPr>
      </w:pPr>
      <w:r>
        <w:rPr>
          <w:sz w:val="12"/>
        </w:rPr>
        <w:t>8</w:t>
      </w:r>
    </w:p>
    <w:p>
      <w:pPr>
        <w:pStyle w:val="BodyText"/>
        <w:spacing w:before="8"/>
        <w:rPr>
          <w:sz w:val="9"/>
        </w:rPr>
      </w:pPr>
    </w:p>
    <w:p>
      <w:pPr>
        <w:spacing w:before="0"/>
        <w:ind w:left="0" w:right="65" w:firstLine="0"/>
        <w:jc w:val="right"/>
        <w:rPr>
          <w:sz w:val="12"/>
        </w:rPr>
      </w:pPr>
      <w:r>
        <w:rPr>
          <w:sz w:val="12"/>
        </w:rPr>
        <w:t>6</w:t>
      </w:r>
    </w:p>
    <w:p>
      <w:pPr>
        <w:pStyle w:val="BodyText"/>
        <w:spacing w:before="3"/>
        <w:rPr>
          <w:sz w:val="11"/>
        </w:rPr>
      </w:pPr>
    </w:p>
    <w:p>
      <w:pPr>
        <w:spacing w:before="0"/>
        <w:ind w:left="0" w:right="65" w:firstLine="0"/>
        <w:jc w:val="right"/>
        <w:rPr>
          <w:sz w:val="12"/>
        </w:rPr>
      </w:pPr>
      <w:r>
        <w:rPr>
          <w:sz w:val="12"/>
        </w:rPr>
        <w:t>4</w:t>
      </w:r>
    </w:p>
    <w:p>
      <w:pPr>
        <w:pStyle w:val="BodyText"/>
        <w:spacing w:before="1"/>
        <w:rPr>
          <w:sz w:val="11"/>
        </w:rPr>
      </w:pPr>
    </w:p>
    <w:p>
      <w:pPr>
        <w:spacing w:line="123" w:lineRule="exact" w:before="0"/>
        <w:ind w:left="3491" w:right="0" w:firstLine="0"/>
        <w:jc w:val="left"/>
        <w:rPr>
          <w:sz w:val="12"/>
        </w:rPr>
      </w:pPr>
      <w:r>
        <w:rPr>
          <w:sz w:val="12"/>
        </w:rPr>
        <w:t>2</w:t>
      </w:r>
    </w:p>
    <w:p>
      <w:pPr>
        <w:spacing w:line="157" w:lineRule="exact" w:before="0"/>
        <w:ind w:left="3396" w:right="0" w:firstLine="0"/>
        <w:jc w:val="left"/>
        <w:rPr>
          <w:sz w:val="16"/>
        </w:rPr>
      </w:pPr>
      <w:r>
        <w:rPr>
          <w:sz w:val="16"/>
        </w:rPr>
        <w:t>+</w:t>
      </w:r>
    </w:p>
    <w:p>
      <w:pPr>
        <w:spacing w:line="102" w:lineRule="exact" w:before="0"/>
        <w:ind w:left="3491" w:right="0" w:firstLine="0"/>
        <w:jc w:val="left"/>
        <w:rPr>
          <w:sz w:val="12"/>
        </w:rPr>
      </w:pPr>
      <w:r>
        <w:rPr>
          <w:sz w:val="12"/>
        </w:rPr>
        <w:t>0</w:t>
      </w:r>
    </w:p>
    <w:p>
      <w:pPr>
        <w:spacing w:line="148" w:lineRule="exact" w:before="0"/>
        <w:ind w:left="3401" w:right="0" w:firstLine="0"/>
        <w:jc w:val="left"/>
        <w:rPr>
          <w:sz w:val="16"/>
        </w:rPr>
      </w:pPr>
      <w:r>
        <w:rPr>
          <w:sz w:val="16"/>
        </w:rPr>
        <w:t>–</w:t>
      </w:r>
    </w:p>
    <w:p>
      <w:pPr>
        <w:spacing w:line="126" w:lineRule="exact" w:before="0"/>
        <w:ind w:left="3491" w:right="0" w:firstLine="0"/>
        <w:jc w:val="left"/>
        <w:rPr>
          <w:sz w:val="12"/>
        </w:rPr>
      </w:pPr>
      <w:r>
        <w:rPr>
          <w:sz w:val="12"/>
        </w:rPr>
        <w:t>2</w:t>
      </w:r>
    </w:p>
    <w:p>
      <w:pPr>
        <w:pStyle w:val="BodyText"/>
        <w:rPr>
          <w:sz w:val="11"/>
        </w:rPr>
      </w:pPr>
    </w:p>
    <w:p>
      <w:pPr>
        <w:spacing w:line="120" w:lineRule="exact" w:before="0"/>
        <w:ind w:left="3491" w:right="0" w:firstLine="0"/>
        <w:jc w:val="left"/>
        <w:rPr>
          <w:sz w:val="12"/>
        </w:rPr>
      </w:pPr>
      <w:r>
        <w:rPr/>
        <w:pict>
          <v:shape style="position:absolute;margin-left:43.959pt;margin-top:1.610839pt;width:158.15pt;height:2.65pt;mso-position-horizontal-relative:page;mso-position-vertical-relative:paragraph;z-index:16087040" coordorigin="879,32" coordsize="3163,53" path="m3966,80l4041,80m879,80l955,80m1024,32l1024,85m1344,32l1344,85m1653,32l1653,85m1977,32l1977,85m2277,32l2277,85m2602,32l2602,85m2912,32l2912,85m3224,32l3224,85m3542,32l3542,85m3862,32l3862,85m1024,80l3904,80e" filled="false" stroked="true" strokeweight=".5pt" strokecolor="#000000">
            <v:path arrowok="t"/>
            <v:stroke dashstyle="solid"/>
            <w10:wrap type="none"/>
          </v:shape>
        </w:pict>
      </w:r>
      <w:r>
        <w:rPr>
          <w:sz w:val="12"/>
        </w:rPr>
        <w:t>4</w:t>
      </w:r>
    </w:p>
    <w:p>
      <w:pPr>
        <w:spacing w:line="120" w:lineRule="exact" w:before="0"/>
        <w:ind w:left="264" w:right="0" w:firstLine="0"/>
        <w:jc w:val="left"/>
        <w:rPr>
          <w:sz w:val="12"/>
        </w:rPr>
      </w:pPr>
      <w:r>
        <w:rPr>
          <w:sz w:val="12"/>
        </w:rPr>
        <w:t>1982 84 86 88 90 92 94 96 98 2000</w:t>
      </w:r>
    </w:p>
    <w:p>
      <w:pPr>
        <w:pStyle w:val="BodyText"/>
        <w:rPr>
          <w:sz w:val="12"/>
        </w:rPr>
      </w:pPr>
    </w:p>
    <w:p>
      <w:pPr>
        <w:spacing w:before="88"/>
        <w:ind w:left="184" w:right="0" w:firstLine="0"/>
        <w:jc w:val="left"/>
        <w:rPr>
          <w:sz w:val="12"/>
        </w:rPr>
      </w:pPr>
      <w:r>
        <w:rPr>
          <w:sz w:val="12"/>
        </w:rPr>
        <w:t>Sources: ONS and Bank of England.</w:t>
      </w:r>
    </w:p>
    <w:p>
      <w:pPr>
        <w:pStyle w:val="BodyText"/>
        <w:spacing w:before="1"/>
        <w:rPr>
          <w:sz w:val="10"/>
        </w:rPr>
      </w:pPr>
    </w:p>
    <w:p>
      <w:pPr>
        <w:spacing w:line="208" w:lineRule="auto" w:before="1"/>
        <w:ind w:left="424" w:right="0" w:hanging="240"/>
        <w:jc w:val="left"/>
        <w:rPr>
          <w:sz w:val="12"/>
        </w:rPr>
      </w:pPr>
      <w:r>
        <w:rPr>
          <w:sz w:val="12"/>
        </w:rPr>
        <w:t>(a) Based on official measures of whole-economy and manufacturing unit wage cost growth.</w:t>
      </w:r>
    </w:p>
    <w:p>
      <w:pPr>
        <w:pStyle w:val="BodyText"/>
        <w:spacing w:before="5"/>
        <w:rPr>
          <w:sz w:val="21"/>
        </w:rPr>
      </w:pPr>
      <w:r>
        <w:rPr/>
        <w:br w:type="column"/>
      </w:r>
      <w:r>
        <w:rPr>
          <w:sz w:val="21"/>
        </w:rPr>
      </w:r>
    </w:p>
    <w:p>
      <w:pPr>
        <w:pStyle w:val="BodyText"/>
        <w:spacing w:line="242" w:lineRule="auto"/>
        <w:ind w:left="184"/>
      </w:pPr>
      <w:r>
        <w:rPr/>
        <w:t>uncertainty remains, the MPC judges that pressures on earnings growth over the next two years could be somewhat weaker than estimated in the August </w:t>
      </w:r>
      <w:r>
        <w:rPr>
          <w:i/>
        </w:rPr>
        <w:t>Report</w:t>
      </w:r>
      <w:r>
        <w:rPr/>
        <w:t>. But, reflecting the considerable uncertainty about the outlook, some Committee members prefer to make alternative judgments to those incorporated in the central case on supply-side and labour market developments.</w:t>
      </w:r>
    </w:p>
    <w:p>
      <w:pPr>
        <w:pStyle w:val="BodyText"/>
        <w:spacing w:line="242" w:lineRule="auto" w:before="9"/>
        <w:ind w:left="184"/>
      </w:pPr>
      <w:r>
        <w:rPr/>
        <w:t>Section 6 discusses the implications of these alternative judgments for inflation.</w:t>
      </w:r>
    </w:p>
    <w:p>
      <w:pPr>
        <w:pStyle w:val="BodyText"/>
        <w:spacing w:before="7"/>
      </w:pPr>
    </w:p>
    <w:p>
      <w:pPr>
        <w:pStyle w:val="BodyText"/>
        <w:spacing w:line="242" w:lineRule="auto"/>
        <w:ind w:left="184" w:right="200"/>
      </w:pPr>
      <w:r>
        <w:rPr/>
        <w:t>The inflationary pressures generated by the labour market are determined by both nominal earnings growth and productivity growth. Productivity growth tempers the effect of nominal earnings growth on the growth of firms’ unit wage costs—which is what matters for inflationary pressures. Reflecting rising productivity growth and declining earnings growth, annual</w:t>
      </w:r>
    </w:p>
    <w:p>
      <w:pPr>
        <w:pStyle w:val="BodyText"/>
        <w:spacing w:line="242" w:lineRule="auto" w:before="9"/>
        <w:ind w:left="184" w:right="158"/>
      </w:pPr>
      <w:r>
        <w:rPr/>
        <w:t>whole-economy unit wage cost growth fell sharply to 1.1% in Q2 (see Chart 3.19), the slowest growth in more than </w:t>
      </w:r>
      <w:r>
        <w:rPr>
          <w:spacing w:val="-4"/>
        </w:rPr>
        <w:t>five </w:t>
      </w:r>
      <w:r>
        <w:rPr/>
        <w:t>years. The slowdown was </w:t>
      </w:r>
      <w:r>
        <w:rPr>
          <w:spacing w:val="-3"/>
        </w:rPr>
        <w:t>driven </w:t>
      </w:r>
      <w:r>
        <w:rPr/>
        <w:t>by a marked decline in unit wage costs growth outside the manufacturing </w:t>
      </w:r>
      <w:r>
        <w:rPr>
          <w:spacing w:val="-3"/>
        </w:rPr>
        <w:t>sector. </w:t>
      </w:r>
      <w:r>
        <w:rPr/>
        <w:t>Manufacturing unit wage cost growth, which has a smaller weight in whole-economy developments, was unchanged in Q2.  But, because of the strong growth in manufacturing </w:t>
      </w:r>
      <w:r>
        <w:rPr>
          <w:spacing w:val="-3"/>
        </w:rPr>
        <w:t>productivity, </w:t>
      </w:r>
      <w:r>
        <w:rPr/>
        <w:t>this was at around half the </w:t>
      </w:r>
      <w:r>
        <w:rPr>
          <w:spacing w:val="-3"/>
        </w:rPr>
        <w:t>level </w:t>
      </w:r>
      <w:r>
        <w:rPr/>
        <w:t>outside manufacturing. Section 4 discusses developments in other components of firms’ costs.</w:t>
      </w:r>
    </w:p>
    <w:p>
      <w:pPr>
        <w:pStyle w:val="BodyText"/>
        <w:spacing w:before="3"/>
        <w:rPr>
          <w:sz w:val="22"/>
        </w:rPr>
      </w:pPr>
    </w:p>
    <w:p>
      <w:pPr>
        <w:pStyle w:val="Heading4"/>
        <w:numPr>
          <w:ilvl w:val="1"/>
          <w:numId w:val="26"/>
        </w:numPr>
        <w:tabs>
          <w:tab w:pos="4282" w:val="left" w:leader="none"/>
          <w:tab w:pos="4283" w:val="left" w:leader="none"/>
          <w:tab w:pos="5698" w:val="left" w:leader="none"/>
        </w:tabs>
        <w:spacing w:line="240" w:lineRule="auto" w:before="0" w:after="0"/>
        <w:ind w:left="4282" w:right="0" w:hanging="4099"/>
        <w:jc w:val="left"/>
        <w:rPr>
          <w:color w:val="009391"/>
        </w:rPr>
      </w:pPr>
      <w:r>
        <w:rPr>
          <w:color w:val="009391"/>
          <w:u w:val="thick" w:color="0092C7"/>
        </w:rPr>
        <w:t>Summary</w:t>
        <w:tab/>
      </w:r>
    </w:p>
    <w:p>
      <w:pPr>
        <w:pStyle w:val="BodyText"/>
        <w:spacing w:line="242" w:lineRule="auto" w:before="264"/>
        <w:ind w:left="184" w:right="167"/>
      </w:pPr>
      <w:r>
        <w:rPr/>
        <w:t>Labour demand has continued to grow strongly and unemployment has continued to fall—to its lowest rate on the claimant count measure for 25 years. And reports of skill shortages and recruitment difficulties are rising. </w:t>
      </w:r>
      <w:r>
        <w:rPr>
          <w:spacing w:val="-9"/>
        </w:rPr>
        <w:t>Yet </w:t>
      </w:r>
      <w:r>
        <w:rPr/>
        <w:t>headline earnings growth has edged down to its lowest </w:t>
      </w:r>
      <w:r>
        <w:rPr>
          <w:spacing w:val="-3"/>
        </w:rPr>
        <w:t>level </w:t>
      </w:r>
      <w:r>
        <w:rPr/>
        <w:t>for four years, partly reflecting lower bonus payments. The outlook for unit labour cost growth is uncertain, and depends on whether the recent </w:t>
      </w:r>
      <w:r>
        <w:rPr>
          <w:spacing w:val="-3"/>
        </w:rPr>
        <w:t>low </w:t>
      </w:r>
      <w:r>
        <w:rPr/>
        <w:t>growth in earnings and upturn in productivity growth are sustained. The </w:t>
      </w:r>
      <w:r>
        <w:rPr>
          <w:spacing w:val="-4"/>
        </w:rPr>
        <w:t>MPC’s </w:t>
      </w:r>
      <w:r>
        <w:rPr/>
        <w:t>best collective judgment is that nominal earnings growth is likely to edge up from its recent </w:t>
      </w:r>
      <w:r>
        <w:rPr>
          <w:spacing w:val="-3"/>
        </w:rPr>
        <w:t>low levels </w:t>
      </w:r>
      <w:r>
        <w:rPr/>
        <w:t>and that productivity growth will remain at around trend.</w:t>
      </w:r>
    </w:p>
    <w:p>
      <w:pPr>
        <w:spacing w:after="0" w:line="242" w:lineRule="auto"/>
        <w:sectPr>
          <w:type w:val="continuous"/>
          <w:pgSz w:w="11900" w:h="16840"/>
          <w:pgMar w:top="1260" w:bottom="280" w:left="640" w:right="640"/>
          <w:cols w:num="2" w:equalWidth="0">
            <w:col w:w="3620" w:space="1156"/>
            <w:col w:w="5844"/>
          </w:cols>
        </w:sectPr>
      </w:pPr>
    </w:p>
    <w:p>
      <w:pPr>
        <w:pStyle w:val="BodyText"/>
        <w:spacing w:line="20" w:lineRule="exact"/>
        <w:ind w:left="138"/>
        <w:rPr>
          <w:sz w:val="2"/>
        </w:rPr>
      </w:pPr>
      <w:r>
        <w:rPr>
          <w:sz w:val="2"/>
        </w:rPr>
        <w:pict>
          <v:group style="width:516pt;height:.15pt;mso-position-horizontal-relative:char;mso-position-vertical-relative:line" coordorigin="0,0" coordsize="10320,3">
            <v:line style="position:absolute" from="0,1" to="10320,1" stroked="true" strokeweight=".125pt" strokecolor="#000000">
              <v:stroke dashstyle="solid"/>
            </v:line>
          </v:group>
        </w:pict>
      </w:r>
      <w:r>
        <w:rPr>
          <w:sz w:val="2"/>
        </w:rPr>
      </w:r>
    </w:p>
    <w:p>
      <w:pPr>
        <w:pStyle w:val="BodyText"/>
        <w:rPr>
          <w:sz w:val="20"/>
        </w:rPr>
      </w:pPr>
    </w:p>
    <w:p>
      <w:pPr>
        <w:pStyle w:val="BodyText"/>
        <w:spacing w:before="9"/>
        <w:rPr>
          <w:sz w:val="18"/>
        </w:rPr>
      </w:pPr>
      <w:r>
        <w:rPr/>
        <w:pict>
          <v:shape style="position:absolute;margin-left:40pt;margin-top:12.000977pt;width:516pt;height:48pt;mso-position-horizontal-relative:page;mso-position-vertical-relative:paragraph;z-index:-15368192;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Costs and prices" w:id="57"/>
                  <w:bookmarkEnd w:id="57"/>
                  <w:r>
                    <w:rPr/>
                  </w:r>
                  <w:bookmarkStart w:name="Raw materials and commodity prices" w:id="58"/>
                  <w:bookmarkEnd w:id="58"/>
                  <w:r>
                    <w:rPr/>
                  </w:r>
                  <w:bookmarkStart w:name="_bookmark24" w:id="59"/>
                  <w:bookmarkEnd w:id="59"/>
                  <w:r>
                    <w:rPr/>
                  </w:r>
                  <w:r>
                    <w:rPr>
                      <w:b/>
                      <w:color w:val="009391"/>
                      <w:sz w:val="48"/>
                    </w:rPr>
                    <w:t>Costs</w:t>
                  </w:r>
                  <w:r>
                    <w:rPr>
                      <w:b/>
                      <w:color w:val="009391"/>
                      <w:spacing w:val="-2"/>
                      <w:sz w:val="48"/>
                    </w:rPr>
                    <w:t> </w:t>
                  </w:r>
                  <w:r>
                    <w:rPr>
                      <w:b/>
                      <w:color w:val="009391"/>
                      <w:sz w:val="48"/>
                    </w:rPr>
                    <w:t>and</w:t>
                  </w:r>
                  <w:r>
                    <w:rPr>
                      <w:b/>
                      <w:color w:val="009391"/>
                      <w:spacing w:val="-1"/>
                      <w:sz w:val="48"/>
                    </w:rPr>
                    <w:t> </w:t>
                  </w:r>
                  <w:r>
                    <w:rPr>
                      <w:b/>
                      <w:color w:val="009391"/>
                      <w:sz w:val="48"/>
                    </w:rPr>
                    <w:t>prices</w:t>
                    <w:tab/>
                  </w:r>
                  <w:r>
                    <w:rPr>
                      <w:b/>
                      <w:color w:val="009391"/>
                      <w:sz w:val="72"/>
                    </w:rPr>
                    <w:t>4</w:t>
                  </w:r>
                </w:p>
              </w:txbxContent>
            </v:textbox>
            <v:fill type="solid"/>
            <w10:wrap type="topAndBottom"/>
          </v:shape>
        </w:pict>
      </w:r>
    </w:p>
    <w:p>
      <w:pPr>
        <w:pStyle w:val="BodyText"/>
        <w:rPr>
          <w:sz w:val="20"/>
        </w:rPr>
      </w:pPr>
    </w:p>
    <w:p>
      <w:pPr>
        <w:pStyle w:val="BodyText"/>
        <w:rPr>
          <w:sz w:val="20"/>
        </w:rPr>
      </w:pPr>
    </w:p>
    <w:p>
      <w:pPr>
        <w:spacing w:after="0"/>
        <w:rPr>
          <w:sz w:val="20"/>
        </w:rPr>
        <w:sectPr>
          <w:headerReference w:type="default" r:id="rId149"/>
          <w:footerReference w:type="default" r:id="rId150"/>
          <w:footerReference w:type="even" r:id="rId151"/>
          <w:pgSz w:w="11900" w:h="16840"/>
          <w:pgMar w:header="0" w:footer="612" w:top="800" w:bottom="800" w:left="640" w:right="640"/>
          <w:pgNumType w:start="37"/>
        </w:sectPr>
      </w:pPr>
    </w:p>
    <w:p>
      <w:pPr>
        <w:pStyle w:val="BodyText"/>
        <w:rPr>
          <w:sz w:val="22"/>
        </w:rPr>
      </w:pPr>
    </w:p>
    <w:p>
      <w:pPr>
        <w:pStyle w:val="BodyText"/>
        <w:rPr>
          <w:sz w:val="22"/>
        </w:rPr>
      </w:pPr>
    </w:p>
    <w:p>
      <w:pPr>
        <w:pStyle w:val="BodyText"/>
        <w:rPr>
          <w:sz w:val="22"/>
        </w:rPr>
      </w:pPr>
    </w:p>
    <w:p>
      <w:pPr>
        <w:pStyle w:val="BodyText"/>
        <w:spacing w:before="4"/>
        <w:rPr>
          <w:sz w:val="23"/>
        </w:rPr>
      </w:pPr>
    </w:p>
    <w:p>
      <w:pPr>
        <w:spacing w:before="0"/>
        <w:ind w:left="179" w:right="0" w:firstLine="0"/>
        <w:jc w:val="left"/>
        <w:rPr>
          <w:b/>
          <w:sz w:val="20"/>
        </w:rPr>
      </w:pPr>
      <w:r>
        <w:rPr>
          <w:b/>
          <w:color w:val="0092C7"/>
          <w:sz w:val="20"/>
        </w:rPr>
        <w:t>Chart 4.1</w:t>
      </w:r>
    </w:p>
    <w:p>
      <w:pPr>
        <w:spacing w:before="10"/>
        <w:ind w:left="179" w:right="0" w:firstLine="0"/>
        <w:jc w:val="left"/>
        <w:rPr>
          <w:b/>
          <w:sz w:val="20"/>
        </w:rPr>
      </w:pPr>
      <w:r>
        <w:rPr>
          <w:b/>
          <w:color w:val="0092C7"/>
          <w:sz w:val="20"/>
        </w:rPr>
        <w:t>Brent oil futures in August and November</w:t>
      </w:r>
    </w:p>
    <w:p>
      <w:pPr>
        <w:spacing w:line="124" w:lineRule="exact" w:before="71"/>
        <w:ind w:left="3056" w:right="0" w:firstLine="0"/>
        <w:jc w:val="left"/>
        <w:rPr>
          <w:sz w:val="12"/>
        </w:rPr>
      </w:pPr>
      <w:r>
        <w:rPr>
          <w:sz w:val="12"/>
        </w:rPr>
        <w:t>$ per barrel</w:t>
      </w:r>
    </w:p>
    <w:p>
      <w:pPr>
        <w:spacing w:line="124" w:lineRule="exact" w:before="0"/>
        <w:ind w:left="3706" w:right="0" w:firstLine="0"/>
        <w:jc w:val="left"/>
        <w:rPr>
          <w:sz w:val="12"/>
        </w:rPr>
      </w:pPr>
      <w:r>
        <w:rPr/>
        <w:drawing>
          <wp:anchor distT="0" distB="0" distL="0" distR="0" allowOverlap="1" layoutInCell="1" locked="0" behindDoc="0" simplePos="0" relativeHeight="16094720">
            <wp:simplePos x="0" y="0"/>
            <wp:positionH relativeFrom="page">
              <wp:posOffset>527469</wp:posOffset>
            </wp:positionH>
            <wp:positionV relativeFrom="paragraph">
              <wp:posOffset>39479</wp:posOffset>
            </wp:positionV>
            <wp:extent cx="55041" cy="6350"/>
            <wp:effectExtent l="0" t="0" r="0" b="0"/>
            <wp:wrapNone/>
            <wp:docPr id="225" name="image14.png"/>
            <wp:cNvGraphicFramePr>
              <a:graphicFrameLocks noChangeAspect="1"/>
            </wp:cNvGraphicFramePr>
            <a:graphic>
              <a:graphicData uri="http://schemas.openxmlformats.org/drawingml/2006/picture">
                <pic:pic>
                  <pic:nvPicPr>
                    <pic:cNvPr id="226" name="image14.png"/>
                    <pic:cNvPicPr/>
                  </pic:nvPicPr>
                  <pic:blipFill>
                    <a:blip r:embed="rId3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0864">
            <wp:simplePos x="0" y="0"/>
            <wp:positionH relativeFrom="page">
              <wp:posOffset>2645841</wp:posOffset>
            </wp:positionH>
            <wp:positionV relativeFrom="paragraph">
              <wp:posOffset>38691</wp:posOffset>
            </wp:positionV>
            <wp:extent cx="55041" cy="6350"/>
            <wp:effectExtent l="0" t="0" r="0" b="0"/>
            <wp:wrapNone/>
            <wp:docPr id="227" name="image14.png"/>
            <wp:cNvGraphicFramePr>
              <a:graphicFrameLocks noChangeAspect="1"/>
            </wp:cNvGraphicFramePr>
            <a:graphic>
              <a:graphicData uri="http://schemas.openxmlformats.org/drawingml/2006/picture">
                <pic:pic>
                  <pic:nvPicPr>
                    <pic:cNvPr id="228"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34</w:t>
      </w:r>
    </w:p>
    <w:p>
      <w:pPr>
        <w:tabs>
          <w:tab w:pos="3826" w:val="right" w:leader="none"/>
        </w:tabs>
        <w:spacing w:before="93"/>
        <w:ind w:left="2652" w:right="0" w:firstLine="0"/>
        <w:jc w:val="left"/>
        <w:rPr>
          <w:sz w:val="12"/>
        </w:rPr>
      </w:pPr>
      <w:r>
        <w:rPr/>
        <w:pict>
          <v:group style="position:absolute;margin-left:50.5pt;margin-top:12.777014pt;width:153.5pt;height:120.15pt;mso-position-horizontal-relative:page;mso-position-vertical-relative:paragraph;z-index:16094208" coordorigin="1010,256" coordsize="3070,2403">
            <v:shape style="position:absolute;left:1010;top:255;width:2898;height:2403" type="#_x0000_t75" stroked="false">
              <v:imagedata r:id="rId152" o:title=""/>
            </v:shape>
            <v:shape style="position:absolute;left:2059;top:1018;width:380;height:133" type="#_x0000_t202" filled="false" stroked="false">
              <v:textbox inset="0,0,0,0">
                <w:txbxContent>
                  <w:p>
                    <w:pPr>
                      <w:spacing w:line="133" w:lineRule="exact" w:before="0"/>
                      <w:ind w:left="0" w:right="0" w:firstLine="0"/>
                      <w:jc w:val="left"/>
                      <w:rPr>
                        <w:sz w:val="12"/>
                      </w:rPr>
                    </w:pPr>
                    <w:r>
                      <w:rPr>
                        <w:sz w:val="12"/>
                      </w:rPr>
                      <w:t>History</w:t>
                    </w:r>
                  </w:p>
                </w:txbxContent>
              </v:textbox>
              <w10:wrap type="none"/>
            </v:shape>
            <v:shape style="position:absolute;left:3248;top:1515;width:831;height:254" type="#_x0000_t202" filled="false" stroked="false">
              <v:textbox inset="0,0,0,0">
                <w:txbxContent>
                  <w:p>
                    <w:pPr>
                      <w:spacing w:line="124" w:lineRule="exact" w:before="0"/>
                      <w:ind w:left="0" w:right="0" w:firstLine="0"/>
                      <w:jc w:val="left"/>
                      <w:rPr>
                        <w:sz w:val="12"/>
                      </w:rPr>
                    </w:pPr>
                    <w:r>
                      <w:rPr>
                        <w:sz w:val="12"/>
                      </w:rPr>
                      <w:t>August</w:t>
                    </w:r>
                  </w:p>
                  <w:p>
                    <w:pPr>
                      <w:spacing w:line="129" w:lineRule="exact" w:before="0"/>
                      <w:ind w:left="40" w:right="0" w:firstLine="0"/>
                      <w:jc w:val="left"/>
                      <w:rPr>
                        <w:i/>
                        <w:sz w:val="12"/>
                      </w:rPr>
                    </w:pPr>
                    <w:r>
                      <w:rPr>
                        <w:i/>
                        <w:sz w:val="12"/>
                      </w:rPr>
                      <w:t>Inflation Report</w:t>
                    </w:r>
                  </w:p>
                </w:txbxContent>
              </v:textbox>
              <w10:wrap type="none"/>
            </v:shape>
            <w10:wrap type="none"/>
          </v:group>
        </w:pict>
      </w:r>
      <w:r>
        <w:rPr/>
        <w:drawing>
          <wp:anchor distT="0" distB="0" distL="0" distR="0" allowOverlap="1" layoutInCell="1" locked="0" behindDoc="0" simplePos="0" relativeHeight="16095232">
            <wp:simplePos x="0" y="0"/>
            <wp:positionH relativeFrom="page">
              <wp:posOffset>527469</wp:posOffset>
            </wp:positionH>
            <wp:positionV relativeFrom="paragraph">
              <wp:posOffset>124828</wp:posOffset>
            </wp:positionV>
            <wp:extent cx="55041" cy="6350"/>
            <wp:effectExtent l="0" t="0" r="0" b="0"/>
            <wp:wrapNone/>
            <wp:docPr id="229" name="image17.png"/>
            <wp:cNvGraphicFramePr>
              <a:graphicFrameLocks noChangeAspect="1"/>
            </wp:cNvGraphicFramePr>
            <a:graphic>
              <a:graphicData uri="http://schemas.openxmlformats.org/drawingml/2006/picture">
                <pic:pic>
                  <pic:nvPicPr>
                    <pic:cNvPr id="230" name="image17.png"/>
                    <pic:cNvPicPr/>
                  </pic:nvPicPr>
                  <pic:blipFill>
                    <a:blip r:embed="rId42"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1" simplePos="0" relativeHeight="480764928">
            <wp:simplePos x="0" y="0"/>
            <wp:positionH relativeFrom="page">
              <wp:posOffset>2645841</wp:posOffset>
            </wp:positionH>
            <wp:positionV relativeFrom="paragraph">
              <wp:posOffset>124041</wp:posOffset>
            </wp:positionV>
            <wp:extent cx="55041" cy="6350"/>
            <wp:effectExtent l="0" t="0" r="0" b="0"/>
            <wp:wrapNone/>
            <wp:docPr id="231" name="image17.png"/>
            <wp:cNvGraphicFramePr>
              <a:graphicFrameLocks noChangeAspect="1"/>
            </wp:cNvGraphicFramePr>
            <a:graphic>
              <a:graphicData uri="http://schemas.openxmlformats.org/drawingml/2006/picture">
                <pic:pic>
                  <pic:nvPicPr>
                    <pic:cNvPr id="232" name="image17.png"/>
                    <pic:cNvPicPr/>
                  </pic:nvPicPr>
                  <pic:blipFill>
                    <a:blip r:embed="rId42" cstate="print"/>
                    <a:stretch>
                      <a:fillRect/>
                    </a:stretch>
                  </pic:blipFill>
                  <pic:spPr>
                    <a:xfrm>
                      <a:off x="0" y="0"/>
                      <a:ext cx="55041" cy="6350"/>
                    </a:xfrm>
                    <a:prstGeom prst="rect">
                      <a:avLst/>
                    </a:prstGeom>
                  </pic:spPr>
                </pic:pic>
              </a:graphicData>
            </a:graphic>
          </wp:anchor>
        </w:drawing>
      </w:r>
      <w:r>
        <w:rPr>
          <w:sz w:val="12"/>
        </w:rPr>
        <w:t>7 November</w:t>
        <w:tab/>
      </w:r>
      <w:r>
        <w:rPr>
          <w:position w:val="-2"/>
          <w:sz w:val="12"/>
        </w:rPr>
        <w:t>32</w:t>
      </w:r>
    </w:p>
    <w:p>
      <w:pPr>
        <w:spacing w:before="108"/>
        <w:ind w:left="3706" w:right="0" w:firstLine="0"/>
        <w:jc w:val="left"/>
        <w:rPr>
          <w:sz w:val="12"/>
        </w:rPr>
      </w:pPr>
      <w:r>
        <w:rPr/>
        <w:drawing>
          <wp:anchor distT="0" distB="0" distL="0" distR="0" allowOverlap="1" layoutInCell="1" locked="0" behindDoc="0" simplePos="0" relativeHeight="16095744">
            <wp:simplePos x="0" y="0"/>
            <wp:positionH relativeFrom="page">
              <wp:posOffset>527469</wp:posOffset>
            </wp:positionH>
            <wp:positionV relativeFrom="paragraph">
              <wp:posOffset>103337</wp:posOffset>
            </wp:positionV>
            <wp:extent cx="55041" cy="6350"/>
            <wp:effectExtent l="0" t="0" r="0" b="0"/>
            <wp:wrapNone/>
            <wp:docPr id="233" name="image14.png"/>
            <wp:cNvGraphicFramePr>
              <a:graphicFrameLocks noChangeAspect="1"/>
            </wp:cNvGraphicFramePr>
            <a:graphic>
              <a:graphicData uri="http://schemas.openxmlformats.org/drawingml/2006/picture">
                <pic:pic>
                  <pic:nvPicPr>
                    <pic:cNvPr id="234" name="image14.png"/>
                    <pic:cNvPicPr/>
                  </pic:nvPicPr>
                  <pic:blipFill>
                    <a:blip r:embed="rId3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1888">
            <wp:simplePos x="0" y="0"/>
            <wp:positionH relativeFrom="page">
              <wp:posOffset>2645841</wp:posOffset>
            </wp:positionH>
            <wp:positionV relativeFrom="paragraph">
              <wp:posOffset>102549</wp:posOffset>
            </wp:positionV>
            <wp:extent cx="55041" cy="6350"/>
            <wp:effectExtent l="0" t="0" r="0" b="0"/>
            <wp:wrapNone/>
            <wp:docPr id="235" name="image14.png"/>
            <wp:cNvGraphicFramePr>
              <a:graphicFrameLocks noChangeAspect="1"/>
            </wp:cNvGraphicFramePr>
            <a:graphic>
              <a:graphicData uri="http://schemas.openxmlformats.org/drawingml/2006/picture">
                <pic:pic>
                  <pic:nvPicPr>
                    <pic:cNvPr id="236"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30</w:t>
      </w:r>
    </w:p>
    <w:p>
      <w:pPr>
        <w:spacing w:before="78"/>
        <w:ind w:left="3706" w:right="0" w:firstLine="0"/>
        <w:jc w:val="left"/>
        <w:rPr>
          <w:sz w:val="12"/>
        </w:rPr>
      </w:pPr>
      <w:r>
        <w:rPr/>
        <w:drawing>
          <wp:anchor distT="0" distB="0" distL="0" distR="0" allowOverlap="1" layoutInCell="1" locked="0" behindDoc="0" simplePos="0" relativeHeight="16096256">
            <wp:simplePos x="0" y="0"/>
            <wp:positionH relativeFrom="page">
              <wp:posOffset>527469</wp:posOffset>
            </wp:positionH>
            <wp:positionV relativeFrom="paragraph">
              <wp:posOffset>100910</wp:posOffset>
            </wp:positionV>
            <wp:extent cx="55041" cy="6350"/>
            <wp:effectExtent l="0" t="0" r="0" b="0"/>
            <wp:wrapNone/>
            <wp:docPr id="237" name="image14.png"/>
            <wp:cNvGraphicFramePr>
              <a:graphicFrameLocks noChangeAspect="1"/>
            </wp:cNvGraphicFramePr>
            <a:graphic>
              <a:graphicData uri="http://schemas.openxmlformats.org/drawingml/2006/picture">
                <pic:pic>
                  <pic:nvPicPr>
                    <pic:cNvPr id="238" name="image14.png"/>
                    <pic:cNvPicPr/>
                  </pic:nvPicPr>
                  <pic:blipFill>
                    <a:blip r:embed="rId3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2400">
            <wp:simplePos x="0" y="0"/>
            <wp:positionH relativeFrom="page">
              <wp:posOffset>2645841</wp:posOffset>
            </wp:positionH>
            <wp:positionV relativeFrom="paragraph">
              <wp:posOffset>100123</wp:posOffset>
            </wp:positionV>
            <wp:extent cx="55041" cy="6350"/>
            <wp:effectExtent l="0" t="0" r="0" b="0"/>
            <wp:wrapNone/>
            <wp:docPr id="239" name="image14.png"/>
            <wp:cNvGraphicFramePr>
              <a:graphicFrameLocks noChangeAspect="1"/>
            </wp:cNvGraphicFramePr>
            <a:graphic>
              <a:graphicData uri="http://schemas.openxmlformats.org/drawingml/2006/picture">
                <pic:pic>
                  <pic:nvPicPr>
                    <pic:cNvPr id="240"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28</w:t>
      </w:r>
    </w:p>
    <w:p>
      <w:pPr>
        <w:spacing w:before="104"/>
        <w:ind w:left="3706" w:right="0" w:firstLine="0"/>
        <w:jc w:val="left"/>
        <w:rPr>
          <w:sz w:val="12"/>
        </w:rPr>
      </w:pPr>
      <w:r>
        <w:rPr/>
        <w:drawing>
          <wp:anchor distT="0" distB="0" distL="0" distR="0" allowOverlap="1" layoutInCell="1" locked="0" behindDoc="0" simplePos="0" relativeHeight="16096768">
            <wp:simplePos x="0" y="0"/>
            <wp:positionH relativeFrom="page">
              <wp:posOffset>527469</wp:posOffset>
            </wp:positionH>
            <wp:positionV relativeFrom="paragraph">
              <wp:posOffset>114198</wp:posOffset>
            </wp:positionV>
            <wp:extent cx="55041" cy="6350"/>
            <wp:effectExtent l="0" t="0" r="0" b="0"/>
            <wp:wrapNone/>
            <wp:docPr id="241" name="image14.png"/>
            <wp:cNvGraphicFramePr>
              <a:graphicFrameLocks noChangeAspect="1"/>
            </wp:cNvGraphicFramePr>
            <a:graphic>
              <a:graphicData uri="http://schemas.openxmlformats.org/drawingml/2006/picture">
                <pic:pic>
                  <pic:nvPicPr>
                    <pic:cNvPr id="242" name="image14.png"/>
                    <pic:cNvPicPr/>
                  </pic:nvPicPr>
                  <pic:blipFill>
                    <a:blip r:embed="rId3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2912">
            <wp:simplePos x="0" y="0"/>
            <wp:positionH relativeFrom="page">
              <wp:posOffset>2645841</wp:posOffset>
            </wp:positionH>
            <wp:positionV relativeFrom="paragraph">
              <wp:posOffset>113410</wp:posOffset>
            </wp:positionV>
            <wp:extent cx="55041" cy="6350"/>
            <wp:effectExtent l="0" t="0" r="0" b="0"/>
            <wp:wrapNone/>
            <wp:docPr id="243" name="image14.png"/>
            <wp:cNvGraphicFramePr>
              <a:graphicFrameLocks noChangeAspect="1"/>
            </wp:cNvGraphicFramePr>
            <a:graphic>
              <a:graphicData uri="http://schemas.openxmlformats.org/drawingml/2006/picture">
                <pic:pic>
                  <pic:nvPicPr>
                    <pic:cNvPr id="244"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26</w:t>
      </w:r>
    </w:p>
    <w:p>
      <w:pPr>
        <w:spacing w:before="102"/>
        <w:ind w:left="3706" w:right="0" w:firstLine="0"/>
        <w:jc w:val="left"/>
        <w:rPr>
          <w:sz w:val="12"/>
        </w:rPr>
      </w:pPr>
      <w:r>
        <w:rPr/>
        <w:drawing>
          <wp:anchor distT="0" distB="0" distL="0" distR="0" allowOverlap="1" layoutInCell="1" locked="0" behindDoc="0" simplePos="0" relativeHeight="16097280">
            <wp:simplePos x="0" y="0"/>
            <wp:positionH relativeFrom="page">
              <wp:posOffset>527469</wp:posOffset>
            </wp:positionH>
            <wp:positionV relativeFrom="paragraph">
              <wp:posOffset>119367</wp:posOffset>
            </wp:positionV>
            <wp:extent cx="55041" cy="6350"/>
            <wp:effectExtent l="0" t="0" r="0" b="0"/>
            <wp:wrapNone/>
            <wp:docPr id="245" name="image14.png"/>
            <wp:cNvGraphicFramePr>
              <a:graphicFrameLocks noChangeAspect="1"/>
            </wp:cNvGraphicFramePr>
            <a:graphic>
              <a:graphicData uri="http://schemas.openxmlformats.org/drawingml/2006/picture">
                <pic:pic>
                  <pic:nvPicPr>
                    <pic:cNvPr id="246" name="image14.png"/>
                    <pic:cNvPicPr/>
                  </pic:nvPicPr>
                  <pic:blipFill>
                    <a:blip r:embed="rId3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3424">
            <wp:simplePos x="0" y="0"/>
            <wp:positionH relativeFrom="page">
              <wp:posOffset>2645841</wp:posOffset>
            </wp:positionH>
            <wp:positionV relativeFrom="paragraph">
              <wp:posOffset>118579</wp:posOffset>
            </wp:positionV>
            <wp:extent cx="55041" cy="6350"/>
            <wp:effectExtent l="0" t="0" r="0" b="0"/>
            <wp:wrapNone/>
            <wp:docPr id="247" name="image14.png"/>
            <wp:cNvGraphicFramePr>
              <a:graphicFrameLocks noChangeAspect="1"/>
            </wp:cNvGraphicFramePr>
            <a:graphic>
              <a:graphicData uri="http://schemas.openxmlformats.org/drawingml/2006/picture">
                <pic:pic>
                  <pic:nvPicPr>
                    <pic:cNvPr id="248"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24</w:t>
      </w:r>
    </w:p>
    <w:p>
      <w:pPr>
        <w:spacing w:before="105"/>
        <w:ind w:left="3706" w:right="0" w:firstLine="0"/>
        <w:jc w:val="left"/>
        <w:rPr>
          <w:sz w:val="12"/>
        </w:rPr>
      </w:pPr>
      <w:r>
        <w:rPr/>
        <w:drawing>
          <wp:anchor distT="0" distB="0" distL="0" distR="0" allowOverlap="1" layoutInCell="1" locked="0" behindDoc="0" simplePos="0" relativeHeight="16097792">
            <wp:simplePos x="0" y="0"/>
            <wp:positionH relativeFrom="page">
              <wp:posOffset>527469</wp:posOffset>
            </wp:positionH>
            <wp:positionV relativeFrom="paragraph">
              <wp:posOffset>112079</wp:posOffset>
            </wp:positionV>
            <wp:extent cx="55041" cy="6350"/>
            <wp:effectExtent l="0" t="0" r="0" b="0"/>
            <wp:wrapNone/>
            <wp:docPr id="249" name="image17.png"/>
            <wp:cNvGraphicFramePr>
              <a:graphicFrameLocks noChangeAspect="1"/>
            </wp:cNvGraphicFramePr>
            <a:graphic>
              <a:graphicData uri="http://schemas.openxmlformats.org/drawingml/2006/picture">
                <pic:pic>
                  <pic:nvPicPr>
                    <pic:cNvPr id="250" name="image17.png"/>
                    <pic:cNvPicPr/>
                  </pic:nvPicPr>
                  <pic:blipFill>
                    <a:blip r:embed="rId42"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3936">
            <wp:simplePos x="0" y="0"/>
            <wp:positionH relativeFrom="page">
              <wp:posOffset>2645841</wp:posOffset>
            </wp:positionH>
            <wp:positionV relativeFrom="paragraph">
              <wp:posOffset>111279</wp:posOffset>
            </wp:positionV>
            <wp:extent cx="55041" cy="6350"/>
            <wp:effectExtent l="0" t="0" r="0" b="0"/>
            <wp:wrapNone/>
            <wp:docPr id="251" name="image17.png"/>
            <wp:cNvGraphicFramePr>
              <a:graphicFrameLocks noChangeAspect="1"/>
            </wp:cNvGraphicFramePr>
            <a:graphic>
              <a:graphicData uri="http://schemas.openxmlformats.org/drawingml/2006/picture">
                <pic:pic>
                  <pic:nvPicPr>
                    <pic:cNvPr id="252" name="image17.png"/>
                    <pic:cNvPicPr/>
                  </pic:nvPicPr>
                  <pic:blipFill>
                    <a:blip r:embed="rId42" cstate="print"/>
                    <a:stretch>
                      <a:fillRect/>
                    </a:stretch>
                  </pic:blipFill>
                  <pic:spPr>
                    <a:xfrm>
                      <a:off x="0" y="0"/>
                      <a:ext cx="55041" cy="6350"/>
                    </a:xfrm>
                    <a:prstGeom prst="rect">
                      <a:avLst/>
                    </a:prstGeom>
                  </pic:spPr>
                </pic:pic>
              </a:graphicData>
            </a:graphic>
          </wp:anchor>
        </w:drawing>
      </w:r>
      <w:r>
        <w:rPr>
          <w:sz w:val="12"/>
        </w:rPr>
        <w:t>22</w:t>
      </w:r>
    </w:p>
    <w:p>
      <w:pPr>
        <w:pStyle w:val="BodyText"/>
        <w:spacing w:before="7"/>
        <w:rPr>
          <w:sz w:val="9"/>
        </w:rPr>
      </w:pPr>
    </w:p>
    <w:p>
      <w:pPr>
        <w:spacing w:before="0"/>
        <w:ind w:left="3706" w:right="0" w:firstLine="0"/>
        <w:jc w:val="left"/>
        <w:rPr>
          <w:sz w:val="12"/>
        </w:rPr>
      </w:pPr>
      <w:r>
        <w:rPr/>
        <w:drawing>
          <wp:anchor distT="0" distB="0" distL="0" distR="0" allowOverlap="1" layoutInCell="1" locked="0" behindDoc="0" simplePos="0" relativeHeight="16098304">
            <wp:simplePos x="0" y="0"/>
            <wp:positionH relativeFrom="page">
              <wp:posOffset>527469</wp:posOffset>
            </wp:positionH>
            <wp:positionV relativeFrom="paragraph">
              <wp:posOffset>51220</wp:posOffset>
            </wp:positionV>
            <wp:extent cx="55041" cy="6350"/>
            <wp:effectExtent l="0" t="0" r="0" b="0"/>
            <wp:wrapNone/>
            <wp:docPr id="253" name="image14.png"/>
            <wp:cNvGraphicFramePr>
              <a:graphicFrameLocks noChangeAspect="1"/>
            </wp:cNvGraphicFramePr>
            <a:graphic>
              <a:graphicData uri="http://schemas.openxmlformats.org/drawingml/2006/picture">
                <pic:pic>
                  <pic:nvPicPr>
                    <pic:cNvPr id="254" name="image14.png"/>
                    <pic:cNvPicPr/>
                  </pic:nvPicPr>
                  <pic:blipFill>
                    <a:blip r:embed="rId3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4448">
            <wp:simplePos x="0" y="0"/>
            <wp:positionH relativeFrom="page">
              <wp:posOffset>2645841</wp:posOffset>
            </wp:positionH>
            <wp:positionV relativeFrom="paragraph">
              <wp:posOffset>50433</wp:posOffset>
            </wp:positionV>
            <wp:extent cx="55041" cy="6350"/>
            <wp:effectExtent l="0" t="0" r="0" b="0"/>
            <wp:wrapNone/>
            <wp:docPr id="255" name="image14.png"/>
            <wp:cNvGraphicFramePr>
              <a:graphicFrameLocks noChangeAspect="1"/>
            </wp:cNvGraphicFramePr>
            <a:graphic>
              <a:graphicData uri="http://schemas.openxmlformats.org/drawingml/2006/picture">
                <pic:pic>
                  <pic:nvPicPr>
                    <pic:cNvPr id="256"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20</w:t>
      </w:r>
    </w:p>
    <w:p>
      <w:pPr>
        <w:spacing w:before="105"/>
        <w:ind w:left="3706" w:right="0" w:firstLine="0"/>
        <w:jc w:val="left"/>
        <w:rPr>
          <w:sz w:val="12"/>
        </w:rPr>
      </w:pPr>
      <w:r>
        <w:rPr/>
        <w:drawing>
          <wp:anchor distT="0" distB="0" distL="0" distR="0" allowOverlap="1" layoutInCell="1" locked="0" behindDoc="0" simplePos="0" relativeHeight="16098816">
            <wp:simplePos x="0" y="0"/>
            <wp:positionH relativeFrom="page">
              <wp:posOffset>527469</wp:posOffset>
            </wp:positionH>
            <wp:positionV relativeFrom="paragraph">
              <wp:posOffset>108163</wp:posOffset>
            </wp:positionV>
            <wp:extent cx="55041" cy="6350"/>
            <wp:effectExtent l="0" t="0" r="0" b="0"/>
            <wp:wrapNone/>
            <wp:docPr id="257" name="image17.png"/>
            <wp:cNvGraphicFramePr>
              <a:graphicFrameLocks noChangeAspect="1"/>
            </wp:cNvGraphicFramePr>
            <a:graphic>
              <a:graphicData uri="http://schemas.openxmlformats.org/drawingml/2006/picture">
                <pic:pic>
                  <pic:nvPicPr>
                    <pic:cNvPr id="258" name="image17.png"/>
                    <pic:cNvPicPr/>
                  </pic:nvPicPr>
                  <pic:blipFill>
                    <a:blip r:embed="rId42"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4960">
            <wp:simplePos x="0" y="0"/>
            <wp:positionH relativeFrom="page">
              <wp:posOffset>2645841</wp:posOffset>
            </wp:positionH>
            <wp:positionV relativeFrom="paragraph">
              <wp:posOffset>107375</wp:posOffset>
            </wp:positionV>
            <wp:extent cx="55041" cy="6350"/>
            <wp:effectExtent l="0" t="0" r="0" b="0"/>
            <wp:wrapNone/>
            <wp:docPr id="259" name="image14.png"/>
            <wp:cNvGraphicFramePr>
              <a:graphicFrameLocks noChangeAspect="1"/>
            </wp:cNvGraphicFramePr>
            <a:graphic>
              <a:graphicData uri="http://schemas.openxmlformats.org/drawingml/2006/picture">
                <pic:pic>
                  <pic:nvPicPr>
                    <pic:cNvPr id="260"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18</w:t>
      </w:r>
    </w:p>
    <w:p>
      <w:pPr>
        <w:pStyle w:val="BodyText"/>
        <w:spacing w:before="6"/>
        <w:rPr>
          <w:sz w:val="9"/>
        </w:rPr>
      </w:pPr>
    </w:p>
    <w:p>
      <w:pPr>
        <w:spacing w:before="0"/>
        <w:ind w:left="3706" w:right="0" w:firstLine="0"/>
        <w:jc w:val="left"/>
        <w:rPr>
          <w:sz w:val="12"/>
        </w:rPr>
      </w:pPr>
      <w:r>
        <w:rPr/>
        <w:drawing>
          <wp:anchor distT="0" distB="0" distL="0" distR="0" allowOverlap="1" layoutInCell="1" locked="0" behindDoc="0" simplePos="0" relativeHeight="16099328">
            <wp:simplePos x="0" y="0"/>
            <wp:positionH relativeFrom="page">
              <wp:posOffset>527469</wp:posOffset>
            </wp:positionH>
            <wp:positionV relativeFrom="paragraph">
              <wp:posOffset>37784</wp:posOffset>
            </wp:positionV>
            <wp:extent cx="55041" cy="6350"/>
            <wp:effectExtent l="0" t="0" r="0" b="0"/>
            <wp:wrapNone/>
            <wp:docPr id="261" name="image17.png"/>
            <wp:cNvGraphicFramePr>
              <a:graphicFrameLocks noChangeAspect="1"/>
            </wp:cNvGraphicFramePr>
            <a:graphic>
              <a:graphicData uri="http://schemas.openxmlformats.org/drawingml/2006/picture">
                <pic:pic>
                  <pic:nvPicPr>
                    <pic:cNvPr id="262" name="image17.png"/>
                    <pic:cNvPicPr/>
                  </pic:nvPicPr>
                  <pic:blipFill>
                    <a:blip r:embed="rId42"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5472">
            <wp:simplePos x="0" y="0"/>
            <wp:positionH relativeFrom="page">
              <wp:posOffset>2645841</wp:posOffset>
            </wp:positionH>
            <wp:positionV relativeFrom="paragraph">
              <wp:posOffset>36984</wp:posOffset>
            </wp:positionV>
            <wp:extent cx="55041" cy="6350"/>
            <wp:effectExtent l="0" t="0" r="0" b="0"/>
            <wp:wrapNone/>
            <wp:docPr id="263" name="image17.png"/>
            <wp:cNvGraphicFramePr>
              <a:graphicFrameLocks noChangeAspect="1"/>
            </wp:cNvGraphicFramePr>
            <a:graphic>
              <a:graphicData uri="http://schemas.openxmlformats.org/drawingml/2006/picture">
                <pic:pic>
                  <pic:nvPicPr>
                    <pic:cNvPr id="264" name="image17.png"/>
                    <pic:cNvPicPr/>
                  </pic:nvPicPr>
                  <pic:blipFill>
                    <a:blip r:embed="rId42" cstate="print"/>
                    <a:stretch>
                      <a:fillRect/>
                    </a:stretch>
                  </pic:blipFill>
                  <pic:spPr>
                    <a:xfrm>
                      <a:off x="0" y="0"/>
                      <a:ext cx="55041" cy="6350"/>
                    </a:xfrm>
                    <a:prstGeom prst="rect">
                      <a:avLst/>
                    </a:prstGeom>
                  </pic:spPr>
                </pic:pic>
              </a:graphicData>
            </a:graphic>
          </wp:anchor>
        </w:drawing>
      </w:r>
      <w:r>
        <w:rPr>
          <w:sz w:val="12"/>
        </w:rPr>
        <w:t>16</w:t>
      </w:r>
    </w:p>
    <w:p>
      <w:pPr>
        <w:spacing w:before="97"/>
        <w:ind w:left="3706" w:right="0" w:firstLine="0"/>
        <w:jc w:val="left"/>
        <w:rPr>
          <w:sz w:val="12"/>
        </w:rPr>
      </w:pPr>
      <w:r>
        <w:rPr/>
        <w:drawing>
          <wp:anchor distT="0" distB="0" distL="0" distR="0" allowOverlap="1" layoutInCell="1" locked="0" behindDoc="0" simplePos="0" relativeHeight="16099840">
            <wp:simplePos x="0" y="0"/>
            <wp:positionH relativeFrom="page">
              <wp:posOffset>527469</wp:posOffset>
            </wp:positionH>
            <wp:positionV relativeFrom="paragraph">
              <wp:posOffset>101223</wp:posOffset>
            </wp:positionV>
            <wp:extent cx="55041" cy="6350"/>
            <wp:effectExtent l="0" t="0" r="0" b="0"/>
            <wp:wrapNone/>
            <wp:docPr id="265" name="image14.png"/>
            <wp:cNvGraphicFramePr>
              <a:graphicFrameLocks noChangeAspect="1"/>
            </wp:cNvGraphicFramePr>
            <a:graphic>
              <a:graphicData uri="http://schemas.openxmlformats.org/drawingml/2006/picture">
                <pic:pic>
                  <pic:nvPicPr>
                    <pic:cNvPr id="266" name="image14.png"/>
                    <pic:cNvPicPr/>
                  </pic:nvPicPr>
                  <pic:blipFill>
                    <a:blip r:embed="rId39"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5984">
            <wp:simplePos x="0" y="0"/>
            <wp:positionH relativeFrom="page">
              <wp:posOffset>2645841</wp:posOffset>
            </wp:positionH>
            <wp:positionV relativeFrom="paragraph">
              <wp:posOffset>100423</wp:posOffset>
            </wp:positionV>
            <wp:extent cx="55041" cy="6350"/>
            <wp:effectExtent l="0" t="0" r="0" b="0"/>
            <wp:wrapNone/>
            <wp:docPr id="267" name="image14.png"/>
            <wp:cNvGraphicFramePr>
              <a:graphicFrameLocks noChangeAspect="1"/>
            </wp:cNvGraphicFramePr>
            <a:graphic>
              <a:graphicData uri="http://schemas.openxmlformats.org/drawingml/2006/picture">
                <pic:pic>
                  <pic:nvPicPr>
                    <pic:cNvPr id="268" name="image14.png"/>
                    <pic:cNvPicPr/>
                  </pic:nvPicPr>
                  <pic:blipFill>
                    <a:blip r:embed="rId39" cstate="print"/>
                    <a:stretch>
                      <a:fillRect/>
                    </a:stretch>
                  </pic:blipFill>
                  <pic:spPr>
                    <a:xfrm>
                      <a:off x="0" y="0"/>
                      <a:ext cx="55041" cy="6350"/>
                    </a:xfrm>
                    <a:prstGeom prst="rect">
                      <a:avLst/>
                    </a:prstGeom>
                  </pic:spPr>
                </pic:pic>
              </a:graphicData>
            </a:graphic>
          </wp:anchor>
        </w:drawing>
      </w:r>
      <w:r>
        <w:rPr>
          <w:sz w:val="12"/>
        </w:rPr>
        <w:t>14</w:t>
      </w:r>
    </w:p>
    <w:p>
      <w:pPr>
        <w:spacing w:before="102"/>
        <w:ind w:left="3706" w:right="0" w:firstLine="0"/>
        <w:jc w:val="left"/>
        <w:rPr>
          <w:sz w:val="12"/>
        </w:rPr>
      </w:pPr>
      <w:r>
        <w:rPr/>
        <w:drawing>
          <wp:anchor distT="0" distB="0" distL="0" distR="0" allowOverlap="1" layoutInCell="1" locked="0" behindDoc="0" simplePos="0" relativeHeight="16100352">
            <wp:simplePos x="0" y="0"/>
            <wp:positionH relativeFrom="page">
              <wp:posOffset>527469</wp:posOffset>
            </wp:positionH>
            <wp:positionV relativeFrom="paragraph">
              <wp:posOffset>110837</wp:posOffset>
            </wp:positionV>
            <wp:extent cx="55041" cy="6350"/>
            <wp:effectExtent l="0" t="0" r="0" b="0"/>
            <wp:wrapNone/>
            <wp:docPr id="269" name="image17.png"/>
            <wp:cNvGraphicFramePr>
              <a:graphicFrameLocks noChangeAspect="1"/>
            </wp:cNvGraphicFramePr>
            <a:graphic>
              <a:graphicData uri="http://schemas.openxmlformats.org/drawingml/2006/picture">
                <pic:pic>
                  <pic:nvPicPr>
                    <pic:cNvPr id="270" name="image17.png"/>
                    <pic:cNvPicPr/>
                  </pic:nvPicPr>
                  <pic:blipFill>
                    <a:blip r:embed="rId42" cstate="print"/>
                    <a:stretch>
                      <a:fillRect/>
                    </a:stretch>
                  </pic:blipFill>
                  <pic:spPr>
                    <a:xfrm>
                      <a:off x="0" y="0"/>
                      <a:ext cx="55041" cy="6350"/>
                    </a:xfrm>
                    <a:prstGeom prst="rect">
                      <a:avLst/>
                    </a:prstGeom>
                  </pic:spPr>
                </pic:pic>
              </a:graphicData>
            </a:graphic>
          </wp:anchor>
        </w:drawing>
      </w:r>
      <w:r>
        <w:rPr/>
        <w:drawing>
          <wp:anchor distT="0" distB="0" distL="0" distR="0" allowOverlap="1" layoutInCell="1" locked="0" behindDoc="0" simplePos="0" relativeHeight="16106496">
            <wp:simplePos x="0" y="0"/>
            <wp:positionH relativeFrom="page">
              <wp:posOffset>2645841</wp:posOffset>
            </wp:positionH>
            <wp:positionV relativeFrom="paragraph">
              <wp:posOffset>110050</wp:posOffset>
            </wp:positionV>
            <wp:extent cx="55041" cy="6350"/>
            <wp:effectExtent l="0" t="0" r="0" b="0"/>
            <wp:wrapNone/>
            <wp:docPr id="271" name="image17.png"/>
            <wp:cNvGraphicFramePr>
              <a:graphicFrameLocks noChangeAspect="1"/>
            </wp:cNvGraphicFramePr>
            <a:graphic>
              <a:graphicData uri="http://schemas.openxmlformats.org/drawingml/2006/picture">
                <pic:pic>
                  <pic:nvPicPr>
                    <pic:cNvPr id="272" name="image17.png"/>
                    <pic:cNvPicPr/>
                  </pic:nvPicPr>
                  <pic:blipFill>
                    <a:blip r:embed="rId42" cstate="print"/>
                    <a:stretch>
                      <a:fillRect/>
                    </a:stretch>
                  </pic:blipFill>
                  <pic:spPr>
                    <a:xfrm>
                      <a:off x="0" y="0"/>
                      <a:ext cx="55041" cy="6350"/>
                    </a:xfrm>
                    <a:prstGeom prst="rect">
                      <a:avLst/>
                    </a:prstGeom>
                  </pic:spPr>
                </pic:pic>
              </a:graphicData>
            </a:graphic>
          </wp:anchor>
        </w:drawing>
      </w:r>
      <w:r>
        <w:rPr>
          <w:sz w:val="12"/>
        </w:rPr>
        <w:t>12</w:t>
      </w:r>
    </w:p>
    <w:p>
      <w:pPr>
        <w:spacing w:before="80"/>
        <w:ind w:left="3706" w:right="0" w:firstLine="0"/>
        <w:jc w:val="left"/>
        <w:rPr>
          <w:sz w:val="12"/>
        </w:rPr>
      </w:pPr>
      <w:r>
        <w:rPr/>
        <w:drawing>
          <wp:anchor distT="0" distB="0" distL="0" distR="0" allowOverlap="1" layoutInCell="1" locked="0" behindDoc="0" simplePos="0" relativeHeight="16107008">
            <wp:simplePos x="0" y="0"/>
            <wp:positionH relativeFrom="page">
              <wp:posOffset>516890</wp:posOffset>
            </wp:positionH>
            <wp:positionV relativeFrom="paragraph">
              <wp:posOffset>88602</wp:posOffset>
            </wp:positionV>
            <wp:extent cx="2201417" cy="94970"/>
            <wp:effectExtent l="0" t="0" r="0" b="0"/>
            <wp:wrapNone/>
            <wp:docPr id="273" name="image98.png"/>
            <wp:cNvGraphicFramePr>
              <a:graphicFrameLocks noChangeAspect="1"/>
            </wp:cNvGraphicFramePr>
            <a:graphic>
              <a:graphicData uri="http://schemas.openxmlformats.org/drawingml/2006/picture">
                <pic:pic>
                  <pic:nvPicPr>
                    <pic:cNvPr id="274" name="image98.png"/>
                    <pic:cNvPicPr/>
                  </pic:nvPicPr>
                  <pic:blipFill>
                    <a:blip r:embed="rId153" cstate="print"/>
                    <a:stretch>
                      <a:fillRect/>
                    </a:stretch>
                  </pic:blipFill>
                  <pic:spPr>
                    <a:xfrm>
                      <a:off x="0" y="0"/>
                      <a:ext cx="2201417" cy="94970"/>
                    </a:xfrm>
                    <a:prstGeom prst="rect">
                      <a:avLst/>
                    </a:prstGeom>
                  </pic:spPr>
                </pic:pic>
              </a:graphicData>
            </a:graphic>
          </wp:anchor>
        </w:drawing>
      </w:r>
      <w:r>
        <w:rPr>
          <w:sz w:val="12"/>
        </w:rPr>
        <w:t>10</w:t>
      </w:r>
    </w:p>
    <w:p>
      <w:pPr>
        <w:spacing w:line="114" w:lineRule="exact" w:before="5"/>
        <w:ind w:left="3766" w:right="0" w:firstLine="0"/>
        <w:jc w:val="left"/>
        <w:rPr>
          <w:sz w:val="12"/>
        </w:rPr>
      </w:pPr>
      <w:r>
        <w:rPr>
          <w:sz w:val="12"/>
        </w:rPr>
        <w:t>0</w:t>
      </w:r>
    </w:p>
    <w:p>
      <w:pPr>
        <w:spacing w:line="114" w:lineRule="exact" w:before="0"/>
        <w:ind w:left="397" w:right="0" w:firstLine="0"/>
        <w:jc w:val="left"/>
        <w:rPr>
          <w:sz w:val="12"/>
        </w:rPr>
      </w:pPr>
      <w:r>
        <w:rPr>
          <w:sz w:val="12"/>
        </w:rPr>
        <w:t>1992 93 94 95 96 97 98 99 2000 01 02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1"/>
        </w:rPr>
      </w:pPr>
    </w:p>
    <w:p>
      <w:pPr>
        <w:spacing w:before="1"/>
        <w:ind w:left="169" w:right="0" w:firstLine="0"/>
        <w:jc w:val="left"/>
        <w:rPr>
          <w:b/>
          <w:sz w:val="20"/>
        </w:rPr>
      </w:pPr>
      <w:r>
        <w:rPr>
          <w:b/>
          <w:color w:val="0092C7"/>
          <w:sz w:val="20"/>
        </w:rPr>
        <w:t>Chart 4.2</w:t>
      </w:r>
    </w:p>
    <w:p>
      <w:pPr>
        <w:spacing w:line="249" w:lineRule="auto" w:before="10"/>
        <w:ind w:left="169" w:right="478" w:firstLine="0"/>
        <w:jc w:val="left"/>
        <w:rPr>
          <w:sz w:val="12"/>
        </w:rPr>
      </w:pPr>
      <w:r>
        <w:rPr>
          <w:b/>
          <w:color w:val="0092C7"/>
          <w:sz w:val="20"/>
        </w:rPr>
        <w:t>Probability distribution for the December 2001 oil price</w:t>
      </w:r>
      <w:r>
        <w:rPr>
          <w:position w:val="4"/>
          <w:sz w:val="12"/>
        </w:rPr>
        <w:t>(a)</w:t>
      </w:r>
    </w:p>
    <w:p>
      <w:pPr>
        <w:spacing w:line="127" w:lineRule="exact" w:before="180"/>
        <w:ind w:left="2754" w:right="0" w:firstLine="0"/>
        <w:jc w:val="left"/>
        <w:rPr>
          <w:sz w:val="12"/>
        </w:rPr>
      </w:pPr>
      <w:r>
        <w:rPr>
          <w:sz w:val="12"/>
        </w:rPr>
        <w:t>Per cent (b)</w:t>
      </w:r>
    </w:p>
    <w:p>
      <w:pPr>
        <w:spacing w:line="127" w:lineRule="exact" w:before="0"/>
        <w:ind w:left="3405" w:right="0" w:firstLine="0"/>
        <w:jc w:val="left"/>
        <w:rPr>
          <w:sz w:val="12"/>
        </w:rPr>
      </w:pPr>
      <w:r>
        <w:rPr/>
        <w:pict>
          <v:group style="position:absolute;margin-left:42.971001pt;margin-top:6.74818pt;width:155.050pt;height:144.550pt;mso-position-horizontal-relative:page;mso-position-vertical-relative:paragraph;z-index:16091648" coordorigin="859,135" coordsize="3101,2891">
            <v:shape style="position:absolute;left:859;top:191;width:3101;height:2834" type="#_x0000_t75" stroked="false">
              <v:imagedata r:id="rId154" o:title=""/>
            </v:shape>
            <v:shape style="position:absolute;left:2280;top:134;width:883;height:133" type="#_x0000_t202" filled="false" stroked="false">
              <v:textbox inset="0,0,0,0">
                <w:txbxContent>
                  <w:p>
                    <w:pPr>
                      <w:spacing w:line="133" w:lineRule="exact" w:before="0"/>
                      <w:ind w:left="0" w:right="0" w:firstLine="0"/>
                      <w:jc w:val="left"/>
                      <w:rPr>
                        <w:sz w:val="12"/>
                      </w:rPr>
                    </w:pPr>
                    <w:r>
                      <w:rPr>
                        <w:sz w:val="12"/>
                      </w:rPr>
                      <w:t>7 November 2000</w:t>
                    </w:r>
                  </w:p>
                </w:txbxContent>
              </v:textbox>
              <w10:wrap type="none"/>
            </v:shape>
            <v:shape style="position:absolute;left:1083;top:349;width:721;height:133" type="#_x0000_t202" filled="false" stroked="false">
              <v:textbox inset="0,0,0,0">
                <w:txbxContent>
                  <w:p>
                    <w:pPr>
                      <w:spacing w:line="133" w:lineRule="exact" w:before="0"/>
                      <w:ind w:left="0" w:right="0" w:firstLine="0"/>
                      <w:jc w:val="left"/>
                      <w:rPr>
                        <w:sz w:val="12"/>
                      </w:rPr>
                    </w:pPr>
                    <w:r>
                      <w:rPr>
                        <w:sz w:val="12"/>
                      </w:rPr>
                      <w:t>2 August 2000</w:t>
                    </w:r>
                  </w:p>
                </w:txbxContent>
              </v:textbox>
              <w10:wrap type="none"/>
            </v:shape>
            <v:shape style="position:absolute;left:2686;top:968;width:827;height:133" type="#_x0000_t202" filled="false" stroked="false">
              <v:textbox inset="0,0,0,0">
                <w:txbxContent>
                  <w:p>
                    <w:pPr>
                      <w:spacing w:line="133" w:lineRule="exact" w:before="0"/>
                      <w:ind w:left="0" w:right="0" w:firstLine="0"/>
                      <w:jc w:val="left"/>
                      <w:rPr>
                        <w:sz w:val="12"/>
                      </w:rPr>
                    </w:pPr>
                    <w:r>
                      <w:rPr>
                        <w:sz w:val="12"/>
                      </w:rPr>
                      <w:t>10 October 2000</w:t>
                    </w:r>
                  </w:p>
                </w:txbxContent>
              </v:textbox>
              <w10:wrap type="none"/>
            </v:shape>
            <w10:wrap type="none"/>
          </v:group>
        </w:pict>
      </w:r>
      <w:r>
        <w:rPr/>
        <w:drawing>
          <wp:anchor distT="0" distB="0" distL="0" distR="0" allowOverlap="1" layoutInCell="1" locked="0" behindDoc="0" simplePos="0" relativeHeight="16092160">
            <wp:simplePos x="0" y="0"/>
            <wp:positionH relativeFrom="page">
              <wp:posOffset>2452001</wp:posOffset>
            </wp:positionH>
            <wp:positionV relativeFrom="paragraph">
              <wp:posOffset>31727</wp:posOffset>
            </wp:positionV>
            <wp:extent cx="62737" cy="6350"/>
            <wp:effectExtent l="0" t="0" r="0" b="0"/>
            <wp:wrapNone/>
            <wp:docPr id="275" name="image100.png"/>
            <wp:cNvGraphicFramePr>
              <a:graphicFrameLocks noChangeAspect="1"/>
            </wp:cNvGraphicFramePr>
            <a:graphic>
              <a:graphicData uri="http://schemas.openxmlformats.org/drawingml/2006/picture">
                <pic:pic>
                  <pic:nvPicPr>
                    <pic:cNvPr id="276" name="image100.png"/>
                    <pic:cNvPicPr/>
                  </pic:nvPicPr>
                  <pic:blipFill>
                    <a:blip r:embed="rId155" cstate="print"/>
                    <a:stretch>
                      <a:fillRect/>
                    </a:stretch>
                  </pic:blipFill>
                  <pic:spPr>
                    <a:xfrm>
                      <a:off x="0" y="0"/>
                      <a:ext cx="62737" cy="6350"/>
                    </a:xfrm>
                    <a:prstGeom prst="rect">
                      <a:avLst/>
                    </a:prstGeom>
                  </pic:spPr>
                </pic:pic>
              </a:graphicData>
            </a:graphic>
          </wp:anchor>
        </w:drawing>
      </w:r>
      <w:r>
        <w:rPr/>
        <w:drawing>
          <wp:anchor distT="0" distB="0" distL="0" distR="0" allowOverlap="1" layoutInCell="1" locked="0" behindDoc="0" simplePos="0" relativeHeight="16092672">
            <wp:simplePos x="0" y="0"/>
            <wp:positionH relativeFrom="page">
              <wp:posOffset>545731</wp:posOffset>
            </wp:positionH>
            <wp:positionV relativeFrom="paragraph">
              <wp:posOffset>27371</wp:posOffset>
            </wp:positionV>
            <wp:extent cx="62738" cy="6350"/>
            <wp:effectExtent l="0" t="0" r="0" b="0"/>
            <wp:wrapNone/>
            <wp:docPr id="277" name="image101.png"/>
            <wp:cNvGraphicFramePr>
              <a:graphicFrameLocks noChangeAspect="1"/>
            </wp:cNvGraphicFramePr>
            <a:graphic>
              <a:graphicData uri="http://schemas.openxmlformats.org/drawingml/2006/picture">
                <pic:pic>
                  <pic:nvPicPr>
                    <pic:cNvPr id="278" name="image101.png"/>
                    <pic:cNvPicPr/>
                  </pic:nvPicPr>
                  <pic:blipFill>
                    <a:blip r:embed="rId156" cstate="print"/>
                    <a:stretch>
                      <a:fillRect/>
                    </a:stretch>
                  </pic:blipFill>
                  <pic:spPr>
                    <a:xfrm>
                      <a:off x="0" y="0"/>
                      <a:ext cx="62738" cy="6350"/>
                    </a:xfrm>
                    <a:prstGeom prst="rect">
                      <a:avLst/>
                    </a:prstGeom>
                  </pic:spPr>
                </pic:pic>
              </a:graphicData>
            </a:graphic>
          </wp:anchor>
        </w:drawing>
      </w:r>
      <w:r>
        <w:rPr>
          <w:sz w:val="12"/>
        </w:rPr>
        <w:t>4.5</w:t>
      </w:r>
    </w:p>
    <w:p>
      <w:pPr>
        <w:pStyle w:val="BodyText"/>
        <w:spacing w:before="8"/>
        <w:rPr>
          <w:sz w:val="15"/>
        </w:rPr>
      </w:pPr>
    </w:p>
    <w:p>
      <w:pPr>
        <w:spacing w:before="0"/>
        <w:ind w:left="0" w:right="585" w:firstLine="0"/>
        <w:jc w:val="right"/>
        <w:rPr>
          <w:sz w:val="12"/>
        </w:rPr>
      </w:pPr>
      <w:r>
        <w:rPr>
          <w:sz w:val="12"/>
        </w:rPr>
        <w:t>4.0</w:t>
      </w:r>
    </w:p>
    <w:p>
      <w:pPr>
        <w:pStyle w:val="BodyText"/>
        <w:spacing w:before="9"/>
        <w:rPr>
          <w:sz w:val="15"/>
        </w:rPr>
      </w:pPr>
    </w:p>
    <w:p>
      <w:pPr>
        <w:pStyle w:val="ListParagraph"/>
        <w:numPr>
          <w:ilvl w:val="1"/>
          <w:numId w:val="26"/>
        </w:numPr>
        <w:tabs>
          <w:tab w:pos="151" w:val="left" w:leader="none"/>
        </w:tabs>
        <w:spacing w:line="240" w:lineRule="auto" w:before="0" w:after="0"/>
        <w:ind w:left="3556" w:right="585" w:hanging="3557"/>
        <w:jc w:val="right"/>
        <w:rPr>
          <w:sz w:val="10"/>
        </w:rPr>
      </w:pPr>
      <w:r>
        <w:rPr>
          <w:sz w:val="12"/>
        </w:rPr>
        <w:t>3.5</w:t>
      </w:r>
    </w:p>
    <w:p>
      <w:pPr>
        <w:pStyle w:val="BodyText"/>
        <w:spacing w:before="11"/>
        <w:rPr>
          <w:sz w:val="14"/>
        </w:rPr>
      </w:pPr>
    </w:p>
    <w:p>
      <w:pPr>
        <w:spacing w:before="0"/>
        <w:ind w:left="0" w:right="585" w:firstLine="0"/>
        <w:jc w:val="right"/>
        <w:rPr>
          <w:sz w:val="12"/>
        </w:rPr>
      </w:pPr>
      <w:r>
        <w:rPr>
          <w:sz w:val="12"/>
        </w:rPr>
        <w:t>3.0</w:t>
      </w:r>
    </w:p>
    <w:p>
      <w:pPr>
        <w:pStyle w:val="BodyText"/>
        <w:spacing w:before="2"/>
        <w:rPr>
          <w:sz w:val="15"/>
        </w:rPr>
      </w:pPr>
    </w:p>
    <w:p>
      <w:pPr>
        <w:spacing w:before="0"/>
        <w:ind w:left="0" w:right="585" w:firstLine="0"/>
        <w:jc w:val="right"/>
        <w:rPr>
          <w:sz w:val="12"/>
        </w:rPr>
      </w:pPr>
      <w:r>
        <w:rPr>
          <w:sz w:val="12"/>
        </w:rPr>
        <w:t>2.5</w:t>
      </w:r>
    </w:p>
    <w:p>
      <w:pPr>
        <w:pStyle w:val="BodyText"/>
        <w:spacing w:before="6"/>
        <w:rPr>
          <w:sz w:val="16"/>
        </w:rPr>
      </w:pPr>
    </w:p>
    <w:p>
      <w:pPr>
        <w:spacing w:before="1"/>
        <w:ind w:left="0" w:right="585" w:firstLine="0"/>
        <w:jc w:val="right"/>
        <w:rPr>
          <w:sz w:val="12"/>
        </w:rPr>
      </w:pPr>
      <w:r>
        <w:rPr>
          <w:sz w:val="12"/>
        </w:rPr>
        <w:t>2.0</w:t>
      </w:r>
    </w:p>
    <w:p>
      <w:pPr>
        <w:pStyle w:val="BodyText"/>
        <w:spacing w:before="1"/>
        <w:rPr>
          <w:sz w:val="14"/>
        </w:rPr>
      </w:pPr>
    </w:p>
    <w:p>
      <w:pPr>
        <w:spacing w:before="1"/>
        <w:ind w:left="0" w:right="585" w:firstLine="0"/>
        <w:jc w:val="right"/>
        <w:rPr>
          <w:sz w:val="12"/>
        </w:rPr>
      </w:pPr>
      <w:r>
        <w:rPr>
          <w:sz w:val="12"/>
        </w:rPr>
        <w:t>1.5</w:t>
      </w:r>
    </w:p>
    <w:p>
      <w:pPr>
        <w:pStyle w:val="BodyText"/>
        <w:spacing w:before="1"/>
        <w:rPr>
          <w:sz w:val="15"/>
        </w:rPr>
      </w:pPr>
    </w:p>
    <w:p>
      <w:pPr>
        <w:spacing w:before="0"/>
        <w:ind w:left="0" w:right="585" w:firstLine="0"/>
        <w:jc w:val="right"/>
        <w:rPr>
          <w:sz w:val="12"/>
        </w:rPr>
      </w:pPr>
      <w:r>
        <w:rPr>
          <w:sz w:val="12"/>
        </w:rPr>
        <w:t>1.0</w:t>
      </w:r>
    </w:p>
    <w:p>
      <w:pPr>
        <w:pStyle w:val="BodyText"/>
        <w:spacing w:before="9"/>
        <w:rPr>
          <w:sz w:val="17"/>
        </w:rPr>
      </w:pPr>
    </w:p>
    <w:p>
      <w:pPr>
        <w:spacing w:before="0"/>
        <w:ind w:left="0" w:right="585" w:firstLine="0"/>
        <w:jc w:val="right"/>
        <w:rPr>
          <w:sz w:val="12"/>
        </w:rPr>
      </w:pPr>
      <w:r>
        <w:rPr>
          <w:sz w:val="12"/>
        </w:rPr>
        <w:t>0.5</w:t>
      </w:r>
    </w:p>
    <w:p>
      <w:pPr>
        <w:pStyle w:val="BodyText"/>
        <w:spacing w:before="11"/>
        <w:rPr>
          <w:sz w:val="13"/>
        </w:rPr>
      </w:pPr>
    </w:p>
    <w:p>
      <w:pPr>
        <w:spacing w:before="0"/>
        <w:ind w:left="0" w:right="585" w:firstLine="0"/>
        <w:jc w:val="right"/>
        <w:rPr>
          <w:sz w:val="12"/>
        </w:rPr>
      </w:pPr>
      <w:r>
        <w:rPr>
          <w:sz w:val="12"/>
        </w:rPr>
        <w:t>0.0</w:t>
      </w:r>
    </w:p>
    <w:p>
      <w:pPr>
        <w:tabs>
          <w:tab w:pos="423" w:val="left" w:leader="none"/>
          <w:tab w:pos="902" w:val="left" w:leader="none"/>
          <w:tab w:pos="1373" w:val="left" w:leader="none"/>
          <w:tab w:pos="1838" w:val="left" w:leader="none"/>
          <w:tab w:pos="2314" w:val="left" w:leader="none"/>
          <w:tab w:pos="2790" w:val="left" w:leader="none"/>
        </w:tabs>
        <w:spacing w:before="71"/>
        <w:ind w:left="0" w:right="593" w:firstLine="0"/>
        <w:jc w:val="center"/>
        <w:rPr>
          <w:sz w:val="12"/>
        </w:rPr>
      </w:pPr>
      <w:r>
        <w:rPr>
          <w:sz w:val="12"/>
        </w:rPr>
        <w:t>0</w:t>
        <w:tab/>
        <w:t>10</w:t>
        <w:tab/>
        <w:t>20</w:t>
        <w:tab/>
        <w:t>30</w:t>
        <w:tab/>
        <w:t>40</w:t>
        <w:tab/>
        <w:t>50</w:t>
        <w:tab/>
        <w:t>60</w:t>
      </w:r>
    </w:p>
    <w:p>
      <w:pPr>
        <w:spacing w:before="54"/>
        <w:ind w:left="0" w:right="655" w:firstLine="0"/>
        <w:jc w:val="center"/>
        <w:rPr>
          <w:sz w:val="12"/>
        </w:rPr>
      </w:pPr>
      <w:r>
        <w:rPr>
          <w:sz w:val="12"/>
        </w:rPr>
        <w:t>US dollars per barrel</w:t>
      </w:r>
    </w:p>
    <w:p>
      <w:pPr>
        <w:pStyle w:val="ListParagraph"/>
        <w:numPr>
          <w:ilvl w:val="0"/>
          <w:numId w:val="34"/>
        </w:numPr>
        <w:tabs>
          <w:tab w:pos="401" w:val="left" w:leader="none"/>
        </w:tabs>
        <w:spacing w:line="208" w:lineRule="auto" w:before="87" w:after="0"/>
        <w:ind w:left="400" w:right="193" w:hanging="240"/>
        <w:jc w:val="left"/>
        <w:rPr>
          <w:sz w:val="12"/>
        </w:rPr>
      </w:pPr>
      <w:r>
        <w:rPr>
          <w:sz w:val="12"/>
        </w:rPr>
        <w:t>Derived from option prices for </w:t>
      </w:r>
      <w:r>
        <w:rPr>
          <w:spacing w:val="-3"/>
          <w:sz w:val="12"/>
        </w:rPr>
        <w:t>West Texas </w:t>
      </w:r>
      <w:r>
        <w:rPr>
          <w:sz w:val="12"/>
        </w:rPr>
        <w:t>Intermediate oil (WTI). Prices for WTI tend on average to be around $1 per barrel higher than those for Brent crude</w:t>
      </w:r>
      <w:r>
        <w:rPr>
          <w:spacing w:val="-3"/>
          <w:sz w:val="12"/>
        </w:rPr>
        <w:t> </w:t>
      </w:r>
      <w:r>
        <w:rPr>
          <w:sz w:val="12"/>
        </w:rPr>
        <w:t>oil.</w:t>
      </w:r>
    </w:p>
    <w:p>
      <w:pPr>
        <w:pStyle w:val="ListParagraph"/>
        <w:numPr>
          <w:ilvl w:val="0"/>
          <w:numId w:val="34"/>
        </w:numPr>
        <w:tabs>
          <w:tab w:pos="401" w:val="left" w:leader="none"/>
        </w:tabs>
        <w:spacing w:line="208" w:lineRule="auto" w:before="0" w:after="0"/>
        <w:ind w:left="400" w:right="38" w:hanging="240"/>
        <w:jc w:val="left"/>
        <w:rPr>
          <w:sz w:val="12"/>
        </w:rPr>
      </w:pPr>
      <w:r>
        <w:rPr>
          <w:sz w:val="12"/>
        </w:rPr>
        <w:t>Probability</w:t>
      </w:r>
      <w:r>
        <w:rPr>
          <w:spacing w:val="-5"/>
          <w:sz w:val="12"/>
        </w:rPr>
        <w:t> </w:t>
      </w:r>
      <w:r>
        <w:rPr>
          <w:sz w:val="12"/>
        </w:rPr>
        <w:t>of</w:t>
      </w:r>
      <w:r>
        <w:rPr>
          <w:spacing w:val="-5"/>
          <w:sz w:val="12"/>
        </w:rPr>
        <w:t> </w:t>
      </w:r>
      <w:r>
        <w:rPr>
          <w:sz w:val="12"/>
        </w:rPr>
        <w:t>price</w:t>
      </w:r>
      <w:r>
        <w:rPr>
          <w:spacing w:val="-5"/>
          <w:sz w:val="12"/>
        </w:rPr>
        <w:t> </w:t>
      </w:r>
      <w:r>
        <w:rPr>
          <w:sz w:val="12"/>
        </w:rPr>
        <w:t>of</w:t>
      </w:r>
      <w:r>
        <w:rPr>
          <w:spacing w:val="-5"/>
          <w:sz w:val="12"/>
        </w:rPr>
        <w:t> </w:t>
      </w:r>
      <w:r>
        <w:rPr>
          <w:sz w:val="12"/>
        </w:rPr>
        <w:t>oil</w:t>
      </w:r>
      <w:r>
        <w:rPr>
          <w:spacing w:val="-5"/>
          <w:sz w:val="12"/>
        </w:rPr>
        <w:t> </w:t>
      </w:r>
      <w:r>
        <w:rPr>
          <w:sz w:val="12"/>
        </w:rPr>
        <w:t>being</w:t>
      </w:r>
      <w:r>
        <w:rPr>
          <w:spacing w:val="-5"/>
          <w:sz w:val="12"/>
        </w:rPr>
        <w:t> </w:t>
      </w:r>
      <w:r>
        <w:rPr>
          <w:sz w:val="12"/>
        </w:rPr>
        <w:t>within</w:t>
      </w:r>
      <w:r>
        <w:rPr>
          <w:spacing w:val="-5"/>
          <w:sz w:val="12"/>
        </w:rPr>
        <w:t> </w:t>
      </w:r>
      <w:r>
        <w:rPr>
          <w:sz w:val="12"/>
        </w:rPr>
        <w:t>35</w:t>
      </w:r>
      <w:r>
        <w:rPr>
          <w:spacing w:val="-4"/>
          <w:sz w:val="12"/>
        </w:rPr>
        <w:t> </w:t>
      </w:r>
      <w:r>
        <w:rPr>
          <w:sz w:val="12"/>
        </w:rPr>
        <w:t>cents</w:t>
      </w:r>
      <w:r>
        <w:rPr>
          <w:spacing w:val="-5"/>
          <w:sz w:val="12"/>
        </w:rPr>
        <w:t> </w:t>
      </w:r>
      <w:r>
        <w:rPr>
          <w:sz w:val="12"/>
        </w:rPr>
        <w:t>of</w:t>
      </w:r>
      <w:r>
        <w:rPr>
          <w:spacing w:val="-5"/>
          <w:sz w:val="12"/>
        </w:rPr>
        <w:t> </w:t>
      </w:r>
      <w:r>
        <w:rPr>
          <w:sz w:val="12"/>
        </w:rPr>
        <w:t>any</w:t>
      </w:r>
      <w:r>
        <w:rPr>
          <w:spacing w:val="-5"/>
          <w:sz w:val="12"/>
        </w:rPr>
        <w:t> </w:t>
      </w:r>
      <w:r>
        <w:rPr>
          <w:sz w:val="12"/>
        </w:rPr>
        <w:t>given</w:t>
      </w:r>
      <w:r>
        <w:rPr>
          <w:spacing w:val="-5"/>
          <w:sz w:val="12"/>
        </w:rPr>
        <w:t> </w:t>
      </w:r>
      <w:r>
        <w:rPr>
          <w:sz w:val="12"/>
        </w:rPr>
        <w:t>price,</w:t>
      </w:r>
      <w:r>
        <w:rPr>
          <w:spacing w:val="-4"/>
          <w:sz w:val="12"/>
        </w:rPr>
        <w:t> </w:t>
      </w:r>
      <w:r>
        <w:rPr>
          <w:sz w:val="12"/>
        </w:rPr>
        <w:t>expressed as a</w:t>
      </w:r>
      <w:r>
        <w:rPr>
          <w:spacing w:val="-3"/>
          <w:sz w:val="12"/>
        </w:rPr>
        <w:t> </w:t>
      </w:r>
      <w:r>
        <w:rPr>
          <w:sz w:val="12"/>
        </w:rPr>
        <w:t>percentage.</w:t>
      </w:r>
    </w:p>
    <w:p>
      <w:pPr>
        <w:pStyle w:val="BodyText"/>
        <w:spacing w:line="242" w:lineRule="auto" w:before="218"/>
        <w:ind w:left="160" w:right="147"/>
      </w:pPr>
      <w:r>
        <w:rPr/>
        <w:br w:type="column"/>
      </w:r>
      <w:r>
        <w:rPr/>
        <w:t>Higher oil prices have continued to exert upward pressure on costs. The price of crude oil has fallen from its September peak, but it has remained well above the levels generally seen in the first half of the year. Other upward pressures on UK costs have come from higher prices of imported materials, especially metals. But the growth in whole-economy unit wage costs slowed in Q2, partly as a result of a moderation in earnings growth in recent months and partly as a result of higher productivity, and manufacturing unit wage costs have been flat for around two years. There appear to be continued competitive pressures on producers and retailers that limit their ability to pass on cost increases. The outturn for RPIX inflation in Q3 was a little below the August projection and inflation remains below the 2</w:t>
      </w:r>
      <w:r>
        <w:rPr>
          <w:position w:val="8"/>
          <w:sz w:val="12"/>
        </w:rPr>
        <w:t>1</w:t>
      </w:r>
      <w:r>
        <w:rPr/>
        <w:t>/</w:t>
      </w:r>
      <w:r>
        <w:rPr>
          <w:sz w:val="12"/>
        </w:rPr>
        <w:t>2</w:t>
      </w:r>
      <w:r>
        <w:rPr/>
        <w:t>% target.</w:t>
      </w:r>
    </w:p>
    <w:p>
      <w:pPr>
        <w:pStyle w:val="BodyText"/>
        <w:spacing w:before="10"/>
        <w:rPr>
          <w:sz w:val="22"/>
        </w:rPr>
      </w:pPr>
    </w:p>
    <w:p>
      <w:pPr>
        <w:pStyle w:val="Heading4"/>
        <w:numPr>
          <w:ilvl w:val="1"/>
          <w:numId w:val="35"/>
        </w:numPr>
        <w:tabs>
          <w:tab w:pos="992" w:val="left" w:leader="none"/>
          <w:tab w:pos="993" w:val="left" w:leader="none"/>
          <w:tab w:pos="5639" w:val="left" w:leader="none"/>
        </w:tabs>
        <w:spacing w:line="240" w:lineRule="auto" w:before="0" w:after="0"/>
        <w:ind w:left="992" w:right="0" w:hanging="833"/>
        <w:jc w:val="left"/>
      </w:pPr>
      <w:r>
        <w:rPr>
          <w:color w:val="009391"/>
          <w:u w:val="thick" w:color="0092C7"/>
        </w:rPr>
        <w:t>Raw materials and commodity</w:t>
      </w:r>
      <w:r>
        <w:rPr>
          <w:color w:val="009391"/>
          <w:spacing w:val="-29"/>
          <w:u w:val="thick" w:color="0092C7"/>
        </w:rPr>
        <w:t> </w:t>
      </w:r>
      <w:r>
        <w:rPr>
          <w:color w:val="009391"/>
          <w:u w:val="thick" w:color="0092C7"/>
        </w:rPr>
        <w:t>prices</w:t>
        <w:tab/>
      </w:r>
    </w:p>
    <w:p>
      <w:pPr>
        <w:pStyle w:val="BodyText"/>
        <w:spacing w:line="242" w:lineRule="auto" w:before="264"/>
        <w:ind w:left="160" w:right="170"/>
      </w:pPr>
      <w:r>
        <w:rPr/>
        <w:t>There has been an upward trend in crude oil prices since February 1999, so successive recent </w:t>
      </w:r>
      <w:r>
        <w:rPr>
          <w:i/>
        </w:rPr>
        <w:t>Inflation Reports </w:t>
      </w:r>
      <w:r>
        <w:rPr>
          <w:spacing w:val="-3"/>
        </w:rPr>
        <w:t>have </w:t>
      </w:r>
      <w:r>
        <w:rPr/>
        <w:t>been reporting higher oil prices. This </w:t>
      </w:r>
      <w:r>
        <w:rPr>
          <w:i/>
        </w:rPr>
        <w:t>Report </w:t>
      </w:r>
      <w:r>
        <w:rPr/>
        <w:t>is no exception, though the spot prices seen in late October and early November </w:t>
      </w:r>
      <w:r>
        <w:rPr>
          <w:spacing w:val="-3"/>
        </w:rPr>
        <w:t>have </w:t>
      </w:r>
      <w:r>
        <w:rPr/>
        <w:t>generally been below the peaks seen in </w:t>
      </w:r>
      <w:r>
        <w:rPr>
          <w:spacing w:val="-3"/>
        </w:rPr>
        <w:t>September. </w:t>
      </w:r>
      <w:r>
        <w:rPr/>
        <w:t>The average price of Brent crude in Q2 was just </w:t>
      </w:r>
      <w:r>
        <w:rPr>
          <w:spacing w:val="-3"/>
        </w:rPr>
        <w:t>over </w:t>
      </w:r>
      <w:r>
        <w:rPr/>
        <w:t>$27 per barrel, while in Q3 the comparable figure was $31.4. Chart 4.1 shows the upward shift in Brent futures prices between the August and November MPC meetings. Chart 4.2 shows the probability distributions for oil prices in December 2001 implied by option contracts (based on the price of </w:t>
      </w:r>
      <w:r>
        <w:rPr>
          <w:spacing w:val="-6"/>
        </w:rPr>
        <w:t>West </w:t>
      </w:r>
      <w:r>
        <w:rPr>
          <w:spacing w:val="-5"/>
        </w:rPr>
        <w:t>Texas </w:t>
      </w:r>
      <w:r>
        <w:rPr/>
        <w:t>Intermediate (WTI) crude) as at the time of the August and November MPC meetings, and at the peak price for this contract in early October.</w:t>
      </w:r>
      <w:r>
        <w:rPr>
          <w:position w:val="5"/>
          <w:sz w:val="16"/>
        </w:rPr>
        <w:t>(1) </w:t>
      </w:r>
      <w:r>
        <w:rPr/>
        <w:t>The mean of this distribution rose from around $25 per barrel on</w:t>
      </w:r>
    </w:p>
    <w:p>
      <w:pPr>
        <w:pStyle w:val="BodyText"/>
        <w:spacing w:line="242" w:lineRule="auto" w:before="20"/>
        <w:ind w:left="160" w:right="179"/>
      </w:pPr>
      <w:r>
        <w:rPr/>
        <w:t>2 August to around $29 on 10 October and then fell</w:t>
      </w:r>
      <w:r>
        <w:rPr>
          <w:spacing w:val="-24"/>
        </w:rPr>
        <w:t> </w:t>
      </w:r>
      <w:r>
        <w:rPr/>
        <w:t>back to around $27 on 7 </w:t>
      </w:r>
      <w:r>
        <w:rPr>
          <w:spacing w:val="-3"/>
        </w:rPr>
        <w:t>November. </w:t>
      </w:r>
      <w:r>
        <w:rPr/>
        <w:t>The MPC has revised up its projection for the Brent oil price at a two-year horizon to around $24 per</w:t>
      </w:r>
      <w:r>
        <w:rPr>
          <w:spacing w:val="-8"/>
        </w:rPr>
        <w:t> </w:t>
      </w:r>
      <w:r>
        <w:rPr/>
        <w:t>barrel.</w:t>
      </w:r>
    </w:p>
    <w:p>
      <w:pPr>
        <w:pStyle w:val="BodyText"/>
        <w:spacing w:before="9"/>
      </w:pPr>
    </w:p>
    <w:p>
      <w:pPr>
        <w:pStyle w:val="BodyText"/>
        <w:spacing w:line="242" w:lineRule="auto"/>
        <w:ind w:left="160" w:right="214"/>
      </w:pPr>
      <w:r>
        <w:rPr/>
        <w:t>The Bank’s sterling commodity price index rose sharply in September, though this index is volatile and greatly influenced by oil prices. The oil-inclusive index rose by</w:t>
      </w:r>
    </w:p>
    <w:p>
      <w:pPr>
        <w:spacing w:after="0" w:line="242" w:lineRule="auto"/>
        <w:sectPr>
          <w:type w:val="continuous"/>
          <w:pgSz w:w="11900" w:h="16840"/>
          <w:pgMar w:top="1260" w:bottom="280" w:left="640" w:right="640"/>
          <w:cols w:num="2" w:equalWidth="0">
            <w:col w:w="4144" w:space="676"/>
            <w:col w:w="5800"/>
          </w:cols>
        </w:sectPr>
      </w:pPr>
    </w:p>
    <w:p>
      <w:pPr>
        <w:pStyle w:val="BodyText"/>
        <w:spacing w:before="8" w:after="1"/>
        <w:rPr>
          <w:sz w:val="21"/>
        </w:rPr>
      </w:pPr>
    </w:p>
    <w:p>
      <w:pPr>
        <w:pStyle w:val="BodyText"/>
        <w:spacing w:line="20" w:lineRule="exact"/>
        <w:ind w:left="4978"/>
        <w:rPr>
          <w:sz w:val="2"/>
        </w:rPr>
      </w:pPr>
      <w:r>
        <w:rPr>
          <w:sz w:val="2"/>
        </w:rPr>
        <w:pict>
          <v:group style="width:274pt;height:.15pt;mso-position-horizontal-relative:char;mso-position-vertical-relative:line" coordorigin="0,0" coordsize="5480,3">
            <v:line style="position:absolute" from="0,1" to="5480,1" stroked="true" strokeweight=".125pt" strokecolor="#000000">
              <v:stroke dashstyle="solid"/>
            </v:line>
          </v:group>
        </w:pict>
      </w:r>
      <w:r>
        <w:rPr>
          <w:sz w:val="2"/>
        </w:rPr>
      </w:r>
    </w:p>
    <w:p>
      <w:pPr>
        <w:pStyle w:val="ListParagraph"/>
        <w:numPr>
          <w:ilvl w:val="2"/>
          <w:numId w:val="35"/>
        </w:numPr>
        <w:tabs>
          <w:tab w:pos="5211" w:val="left" w:leader="none"/>
        </w:tabs>
        <w:spacing w:line="208" w:lineRule="auto" w:before="13" w:after="0"/>
        <w:ind w:left="5210" w:right="756" w:hanging="240"/>
        <w:jc w:val="left"/>
        <w:rPr>
          <w:sz w:val="16"/>
        </w:rPr>
      </w:pPr>
      <w:r>
        <w:rPr>
          <w:sz w:val="16"/>
        </w:rPr>
        <w:t>While the spot prices of both Brent crude and WTI peaked in early September,</w:t>
      </w:r>
      <w:r>
        <w:rPr>
          <w:spacing w:val="-7"/>
          <w:sz w:val="16"/>
        </w:rPr>
        <w:t> </w:t>
      </w:r>
      <w:r>
        <w:rPr>
          <w:sz w:val="16"/>
        </w:rPr>
        <w:t>the</w:t>
      </w:r>
      <w:r>
        <w:rPr>
          <w:spacing w:val="-7"/>
          <w:sz w:val="16"/>
        </w:rPr>
        <w:t> </w:t>
      </w:r>
      <w:r>
        <w:rPr>
          <w:sz w:val="16"/>
        </w:rPr>
        <w:t>December</w:t>
      </w:r>
      <w:r>
        <w:rPr>
          <w:spacing w:val="-7"/>
          <w:sz w:val="16"/>
        </w:rPr>
        <w:t> </w:t>
      </w:r>
      <w:r>
        <w:rPr>
          <w:sz w:val="16"/>
        </w:rPr>
        <w:t>2001</w:t>
      </w:r>
      <w:r>
        <w:rPr>
          <w:spacing w:val="-8"/>
          <w:sz w:val="16"/>
        </w:rPr>
        <w:t> </w:t>
      </w:r>
      <w:r>
        <w:rPr>
          <w:sz w:val="16"/>
        </w:rPr>
        <w:t>futures</w:t>
      </w:r>
      <w:r>
        <w:rPr>
          <w:spacing w:val="-7"/>
          <w:sz w:val="16"/>
        </w:rPr>
        <w:t> </w:t>
      </w:r>
      <w:r>
        <w:rPr>
          <w:sz w:val="16"/>
        </w:rPr>
        <w:t>contract</w:t>
      </w:r>
      <w:r>
        <w:rPr>
          <w:spacing w:val="-7"/>
          <w:sz w:val="16"/>
        </w:rPr>
        <w:t> </w:t>
      </w:r>
      <w:r>
        <w:rPr>
          <w:sz w:val="16"/>
        </w:rPr>
        <w:t>peaked</w:t>
      </w:r>
      <w:r>
        <w:rPr>
          <w:spacing w:val="-8"/>
          <w:sz w:val="16"/>
        </w:rPr>
        <w:t> </w:t>
      </w:r>
      <w:r>
        <w:rPr>
          <w:sz w:val="16"/>
        </w:rPr>
        <w:t>in</w:t>
      </w:r>
      <w:r>
        <w:rPr>
          <w:spacing w:val="-7"/>
          <w:sz w:val="16"/>
        </w:rPr>
        <w:t> </w:t>
      </w:r>
      <w:r>
        <w:rPr>
          <w:sz w:val="16"/>
        </w:rPr>
        <w:t>early</w:t>
      </w:r>
      <w:r>
        <w:rPr>
          <w:spacing w:val="-7"/>
          <w:sz w:val="16"/>
        </w:rPr>
        <w:t> </w:t>
      </w:r>
      <w:r>
        <w:rPr>
          <w:sz w:val="16"/>
        </w:rPr>
        <w:t>October.</w:t>
      </w:r>
    </w:p>
    <w:p>
      <w:pPr>
        <w:spacing w:after="0" w:line="208" w:lineRule="auto"/>
        <w:jc w:val="left"/>
        <w:rPr>
          <w:sz w:val="16"/>
        </w:rPr>
        <w:sectPr>
          <w:type w:val="continuous"/>
          <w:pgSz w:w="11900" w:h="16840"/>
          <w:pgMar w:top="1260" w:bottom="280" w:left="640" w:right="640"/>
        </w:sectPr>
      </w:pPr>
    </w:p>
    <w:p>
      <w:pPr>
        <w:pStyle w:val="BodyText"/>
        <w:rPr>
          <w:sz w:val="20"/>
        </w:rPr>
      </w:pPr>
    </w:p>
    <w:p>
      <w:pPr>
        <w:spacing w:after="0"/>
        <w:rPr>
          <w:sz w:val="20"/>
        </w:rPr>
        <w:sectPr>
          <w:headerReference w:type="default" r:id="rId157"/>
          <w:headerReference w:type="even" r:id="rId158"/>
          <w:pgSz w:w="11900" w:h="16840"/>
          <w:pgMar w:header="586" w:footer="612" w:top="780" w:bottom="7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before="154"/>
        <w:ind w:left="179" w:right="0" w:firstLine="0"/>
        <w:jc w:val="left"/>
        <w:rPr>
          <w:b/>
          <w:sz w:val="20"/>
        </w:rPr>
      </w:pPr>
      <w:bookmarkStart w:name="Trade prices and the exchange rate" w:id="60"/>
      <w:bookmarkEnd w:id="60"/>
      <w:r>
        <w:rPr/>
      </w:r>
      <w:bookmarkStart w:name="_bookmark25" w:id="61"/>
      <w:bookmarkEnd w:id="61"/>
      <w:r>
        <w:rPr/>
      </w:r>
      <w:r>
        <w:rPr>
          <w:b/>
          <w:color w:val="0092C7"/>
          <w:sz w:val="20"/>
        </w:rPr>
        <w:t>Chart 4.3</w:t>
      </w:r>
    </w:p>
    <w:p>
      <w:pPr>
        <w:spacing w:line="249" w:lineRule="auto" w:before="10"/>
        <w:ind w:left="179" w:right="0" w:firstLine="0"/>
        <w:jc w:val="left"/>
        <w:rPr>
          <w:sz w:val="12"/>
        </w:rPr>
      </w:pPr>
      <w:r>
        <w:rPr/>
        <w:pict>
          <v:group style="position:absolute;margin-left:42.814999pt;margin-top:29.170204pt;width:169.35pt;height:135.65pt;mso-position-horizontal-relative:page;mso-position-vertical-relative:paragraph;z-index:-22541312" coordorigin="856,583" coordsize="3387,2713">
            <v:shape style="position:absolute;left:1020;top:1341;width:1268;height:1905" coordorigin="1020,1342" coordsize="1268,1905" path="m1020,1427l1062,1342m1062,1342l1102,1394m1102,1394l1142,1529m1142,1529l1195,1767m1195,1767l1235,2039m1235,2039l1275,2022m1275,2022l1317,1937m1317,1937l1357,1904m1357,1904l1400,1734m1400,1734l1440,1904m1440,1904l1490,1989m1490,1989l1532,2092m1532,2092l1572,2227m1572,2227l1612,2262m1612,2262l1655,2277m1655,2277l1695,2364m1695,2364l1747,2124m1747,2124l1787,2227m1787,2227l1827,2534m1827,2534l1870,2754m1870,2754l1910,2839m1910,2839l1950,2822m1950,2822l1992,2857m1992,2857l2042,2874m2042,2874l2085,3027m2085,3027l2125,3044m2125,3044l2165,3247m2165,3247l2207,3179m2207,3179l2247,3027m2247,3027l2287,2992e" filled="false" stroked="true" strokeweight="1pt" strokecolor="#f5b37a">
              <v:path arrowok="t"/>
              <v:stroke dashstyle="solid"/>
            </v:shape>
            <v:line style="position:absolute" from="2277,2993" to="2350,2993" stroked="true" strokeweight="1.125pt" strokecolor="#f5b37a">
              <v:stroke dashstyle="solid"/>
            </v:line>
            <v:shape style="position:absolute;left:2340;top:2364;width:755;height:798" coordorigin="2340,2364" coordsize="755,798" path="m2340,2992l2380,2924m2380,2924l2422,2959m2422,2959l2502,3094m2502,3094l2545,3162m2545,3162l2585,3112m2585,3112l2635,3129m2635,3129l2677,2907m2677,2907l2717,2804m2717,2804l2757,2857m2757,2857l2800,2772m2800,2772l2840,2804m2840,2804l2882,3009m2882,3009l2932,2839m2932,2839l2972,2634m2972,2634l3015,2567m3015,2567l3055,2499m3055,2499l3095,2364e" filled="false" stroked="true" strokeweight="1pt" strokecolor="#f5b37a">
              <v:path arrowok="t"/>
              <v:stroke dashstyle="solid"/>
            </v:shape>
            <v:line style="position:absolute" from="3085,2366" to="3147,2366" stroked="true" strokeweight="1.125pt" strokecolor="#f5b37a">
              <v:stroke dashstyle="solid"/>
            </v:line>
            <v:shape style="position:absolute;left:3137;top:2364;width:553;height:578" coordorigin="3137,2364" coordsize="553,578" path="m3137,2364l3187,2482m3187,2482l3230,2619m3230,2619l3270,2874m3270,2874l3310,2857m3310,2857l3352,2669m3352,2669l3392,2602m3392,2602l3432,2704m3432,2704l3485,2754m3485,2754l3525,2804m3525,2804l3567,2839m3567,2839l3607,2942m3607,2942l3647,2822m3647,2822l3690,2704e" filled="false" stroked="true" strokeweight="1pt" strokecolor="#f5b37a">
              <v:path arrowok="t"/>
              <v:stroke dashstyle="solid"/>
            </v:shape>
            <v:line style="position:absolute" from="3680,2706" to="3740,2706" stroked="true" strokeweight="1.125pt" strokecolor="#f5b37a">
              <v:stroke dashstyle="solid"/>
            </v:line>
            <v:shape style="position:absolute;left:3730;top:2056;width:175;height:648" coordorigin="3730,2057" coordsize="175,648" path="m3730,2704l3780,2262m3780,2262l3822,2177m3822,2177l3862,2209m3862,2209l3905,2057e" filled="false" stroked="true" strokeweight="1pt" strokecolor="#f5b37a">
              <v:path arrowok="t"/>
              <v:stroke dashstyle="solid"/>
            </v:shape>
            <v:line style="position:absolute" from="1020,1887" to="1062,1954" stroked="true" strokeweight="1pt" strokecolor="#610e7a">
              <v:stroke dashstyle="solid"/>
            </v:line>
            <v:line style="position:absolute" from="1052,1956" to="1112,1956" stroked="true" strokeweight="1.125pt" strokecolor="#610e7a">
              <v:stroke dashstyle="solid"/>
            </v:line>
            <v:shape style="position:absolute;left:1102;top:1851;width:1145;height:868" coordorigin="1102,1852" coordsize="1145,868" path="m1102,1954l1142,2007m1142,2007l1195,1869m1195,1869l1235,1937m1235,1937l1275,2074m1275,2074l1317,2007m1317,2007l1357,1972m1357,1972l1400,2039m1400,2039l1440,2142m1440,2142l1490,2022m1490,2022l1532,2092m1532,2092l1572,2124m1572,2124l1612,1922m1612,1922l1655,1852m1655,1852l1695,2177m1695,2177l1747,2329m1747,2329l1787,2277m1787,2277l1827,2227m1827,2227l1870,2159m1870,2159l1910,2039m1910,2039l1950,2209m1950,2209l1992,2244m1992,2244l2042,2209m2042,2209l2085,2262m2085,2262l2125,2464m2125,2464l2165,2719m2165,2719l2207,2567m2207,2567l2247,2449e" filled="false" stroked="true" strokeweight="1pt" strokecolor="#610e7a">
              <v:path arrowok="t"/>
              <v:stroke dashstyle="solid"/>
            </v:shape>
            <v:line style="position:absolute" from="2237,2451" to="2297,2451" stroked="true" strokeweight="1.125pt" strokecolor="#610e7a">
              <v:stroke dashstyle="solid"/>
            </v:line>
            <v:shape style="position:absolute;left:2287;top:2431;width:135;height:255" coordorigin="2287,2432" coordsize="135,255" path="m2287,2449l2340,2432m2340,2432l2380,2634m2380,2634l2422,2687e" filled="false" stroked="true" strokeweight="1pt" strokecolor="#610e7a">
              <v:path arrowok="t"/>
              <v:stroke dashstyle="solid"/>
            </v:shape>
            <v:line style="position:absolute" from="2412,2688" to="2472,2688" stroked="true" strokeweight="1.125pt" strokecolor="#610e7a">
              <v:stroke dashstyle="solid"/>
            </v:line>
            <v:shape style="position:absolute;left:2462;top:969;width:1318;height:2143" coordorigin="2462,969" coordsize="1318,2143" path="m2462,2687l2502,2857m2502,2857l2545,3044m2545,3044l2585,3059m2585,3059l2635,3044m2635,3044l2677,2889m2677,2889l2717,2924m2717,2924l2757,3027m2757,3027l2800,3044m2800,3044l2840,3112m2840,3112l2882,2942m2882,2942l2932,3009m2932,3009l2972,2974m2972,2974l3015,2959m3015,2959l3055,2704m3055,2704l3095,2669m3095,2669l3137,2449m3137,2449l3187,2277m3187,2277l3230,2312m3230,2312l3270,2124m3270,2124l3310,1802m3310,1802l3352,1752m3352,1752l3392,1682m3392,1682l3432,1632m3432,1632l3485,1342m3485,1342l3525,1104m3525,1104l3567,1224m3567,1224l3607,969m3607,969l3647,1172m3647,1172l3690,1802m3690,1802l3730,1427m3730,1427l3780,1274e" filled="false" stroked="true" strokeweight="1pt" strokecolor="#610e7a">
              <v:path arrowok="t"/>
              <v:stroke dashstyle="solid"/>
            </v:shape>
            <v:line style="position:absolute" from="3801,1264" to="3801,1692" stroked="true" strokeweight="3.125pt" strokecolor="#610e7a">
              <v:stroke dashstyle="solid"/>
            </v:line>
            <v:shape style="position:absolute;left:3822;top:1394;width:83;height:288" coordorigin="3822,1394" coordsize="83,288" path="m3822,1682l3862,1649m3862,1649l3905,1394e" filled="false" stroked="true" strokeweight="1pt" strokecolor="#610e7a">
              <v:path arrowok="t"/>
              <v:stroke dashstyle="solid"/>
            </v:shape>
            <v:shape style="position:absolute;left:856;top:1066;width:3214;height:2224" coordorigin="856,1067" coordsize="3214,2224" path="m856,1067l943,1067m856,1384l943,1384m856,1702l943,1702m856,2019l943,2019m856,2337l943,2337m856,2654l943,2654m856,3289l943,3289m856,2972l943,2972m3983,1068l4070,1068m3983,1386l4070,1386m3983,1703l4070,1703m3983,2021l4070,2021m3983,2656l4070,2656m3983,3291l4070,3291m3983,2973l4070,2973e" filled="false" stroked="true" strokeweight=".5pt" strokecolor="#000000">
              <v:path arrowok="t"/>
              <v:stroke dashstyle="solid"/>
            </v:shape>
            <v:shape style="position:absolute;left:2320;top:583;width:1769;height:134" type="#_x0000_t202" filled="false" stroked="false">
              <v:textbox inset="0,0,0,0">
                <w:txbxContent>
                  <w:p>
                    <w:pPr>
                      <w:spacing w:line="133" w:lineRule="exact" w:before="0"/>
                      <w:ind w:left="0" w:right="0" w:firstLine="0"/>
                      <w:jc w:val="left"/>
                      <w:rPr>
                        <w:sz w:val="12"/>
                      </w:rPr>
                    </w:pPr>
                    <w:r>
                      <w:rPr>
                        <w:sz w:val="12"/>
                      </w:rPr>
                      <w:t>Percentage changes on a year earlier</w:t>
                    </w:r>
                  </w:p>
                </w:txbxContent>
              </v:textbox>
              <w10:wrap type="none"/>
            </v:shape>
            <v:shape style="position:absolute;left:4103;top:680;width:140;height:133" type="#_x0000_t202" filled="false" stroked="false">
              <v:textbox inset="0,0,0,0">
                <w:txbxContent>
                  <w:p>
                    <w:pPr>
                      <w:spacing w:line="133" w:lineRule="exact" w:before="0"/>
                      <w:ind w:left="0" w:right="0" w:firstLine="0"/>
                      <w:jc w:val="left"/>
                      <w:rPr>
                        <w:sz w:val="12"/>
                      </w:rPr>
                    </w:pPr>
                    <w:r>
                      <w:rPr>
                        <w:sz w:val="12"/>
                      </w:rPr>
                      <w:t>25</w:t>
                    </w:r>
                  </w:p>
                </w:txbxContent>
              </v:textbox>
              <w10:wrap type="none"/>
            </v:shape>
            <v:shape style="position:absolute;left:2333;top:1041;width:1160;height:134" type="#_x0000_t202" filled="false" stroked="false">
              <v:textbox inset="0,0,0,0">
                <w:txbxContent>
                  <w:p>
                    <w:pPr>
                      <w:spacing w:line="133" w:lineRule="exact" w:before="0"/>
                      <w:ind w:left="0" w:right="0" w:firstLine="0"/>
                      <w:jc w:val="left"/>
                      <w:rPr>
                        <w:sz w:val="12"/>
                      </w:rPr>
                    </w:pPr>
                    <w:r>
                      <w:rPr>
                        <w:sz w:val="12"/>
                      </w:rPr>
                      <w:t>‘Hard’ commodities (b)</w:t>
                    </w:r>
                  </w:p>
                </w:txbxContent>
              </v:textbox>
              <w10:wrap type="none"/>
            </v:shape>
            <v:shape style="position:absolute;left:4103;top:997;width:140;height:768" type="#_x0000_t202" filled="false" stroked="false">
              <v:textbox inset="0,0,0,0">
                <w:txbxContent>
                  <w:p>
                    <w:pPr>
                      <w:spacing w:line="133" w:lineRule="exact" w:before="0"/>
                      <w:ind w:left="0" w:right="0" w:firstLine="0"/>
                      <w:jc w:val="left"/>
                      <w:rPr>
                        <w:sz w:val="12"/>
                      </w:rPr>
                    </w:pPr>
                    <w:r>
                      <w:rPr>
                        <w:sz w:val="12"/>
                      </w:rPr>
                      <w:t>20</w:t>
                    </w:r>
                  </w:p>
                  <w:p>
                    <w:pPr>
                      <w:spacing w:line="240" w:lineRule="auto" w:before="7"/>
                      <w:rPr>
                        <w:sz w:val="15"/>
                      </w:rPr>
                    </w:pPr>
                  </w:p>
                  <w:p>
                    <w:pPr>
                      <w:spacing w:before="0"/>
                      <w:ind w:left="0" w:right="0" w:firstLine="0"/>
                      <w:jc w:val="left"/>
                      <w:rPr>
                        <w:sz w:val="12"/>
                      </w:rPr>
                    </w:pPr>
                    <w:r>
                      <w:rPr>
                        <w:sz w:val="12"/>
                      </w:rPr>
                      <w:t>15</w:t>
                    </w:r>
                  </w:p>
                  <w:p>
                    <w:pPr>
                      <w:spacing w:line="240" w:lineRule="auto" w:before="7"/>
                      <w:rPr>
                        <w:sz w:val="15"/>
                      </w:rPr>
                    </w:pPr>
                  </w:p>
                  <w:p>
                    <w:pPr>
                      <w:spacing w:before="0"/>
                      <w:ind w:left="0" w:right="0" w:firstLine="0"/>
                      <w:jc w:val="left"/>
                      <w:rPr>
                        <w:sz w:val="12"/>
                      </w:rPr>
                    </w:pPr>
                    <w:r>
                      <w:rPr>
                        <w:sz w:val="12"/>
                      </w:rPr>
                      <w:t>10</w:t>
                    </w:r>
                  </w:p>
                </w:txbxContent>
              </v:textbox>
              <w10:wrap type="none"/>
            </v:shape>
            <v:shape style="position:absolute;left:1013;top:2088;width:3177;height:400" type="#_x0000_t202" filled="false" stroked="false">
              <v:textbox inset="0,0,0,0">
                <w:txbxContent>
                  <w:p>
                    <w:pPr>
                      <w:tabs>
                        <w:tab w:pos="2893" w:val="left" w:leader="none"/>
                      </w:tabs>
                      <w:spacing w:line="178" w:lineRule="exact" w:before="0"/>
                      <w:ind w:left="0" w:right="18" w:firstLine="0"/>
                      <w:jc w:val="right"/>
                      <w:rPr>
                        <w:sz w:val="16"/>
                      </w:rPr>
                    </w:pPr>
                    <w:r>
                      <w:rPr>
                        <w:sz w:val="16"/>
                        <w:u w:val="single"/>
                      </w:rPr>
                      <w:t> </w:t>
                      <w:tab/>
                    </w:r>
                    <w:r>
                      <w:rPr>
                        <w:sz w:val="16"/>
                      </w:rPr>
                      <w:t> </w:t>
                    </w:r>
                    <w:r>
                      <w:rPr>
                        <w:spacing w:val="-5"/>
                        <w:sz w:val="16"/>
                      </w:rPr>
                      <w:t> </w:t>
                    </w:r>
                    <w:r>
                      <w:rPr>
                        <w:sz w:val="16"/>
                        <w:u w:val="single"/>
                      </w:rPr>
                      <w:t> </w:t>
                    </w:r>
                    <w:r>
                      <w:rPr>
                        <w:spacing w:val="6"/>
                        <w:sz w:val="16"/>
                        <w:u w:val="single"/>
                      </w:rPr>
                      <w:t> </w:t>
                    </w:r>
                    <w:r>
                      <w:rPr>
                        <w:sz w:val="16"/>
                      </w:rPr>
                      <w:t>+</w:t>
                    </w:r>
                  </w:p>
                  <w:p>
                    <w:pPr>
                      <w:spacing w:before="38"/>
                      <w:ind w:left="0" w:right="21" w:firstLine="0"/>
                      <w:jc w:val="right"/>
                      <w:rPr>
                        <w:sz w:val="16"/>
                      </w:rPr>
                    </w:pPr>
                    <w:r>
                      <w:rPr>
                        <w:sz w:val="16"/>
                      </w:rPr>
                      <w:t>_</w:t>
                    </w:r>
                  </w:p>
                </w:txbxContent>
              </v:textbox>
              <w10:wrap type="none"/>
            </v:shape>
            <v:shape style="position:absolute;left:4103;top:2902;width:140;height:133" type="#_x0000_t202" filled="false" stroked="false">
              <v:textbox inset="0,0,0,0">
                <w:txbxContent>
                  <w:p>
                    <w:pPr>
                      <w:spacing w:line="133" w:lineRule="exact" w:before="0"/>
                      <w:ind w:left="0" w:right="0" w:firstLine="0"/>
                      <w:jc w:val="left"/>
                      <w:rPr>
                        <w:sz w:val="12"/>
                      </w:rPr>
                    </w:pPr>
                    <w:r>
                      <w:rPr>
                        <w:sz w:val="12"/>
                      </w:rPr>
                      <w:t>10</w:t>
                    </w:r>
                  </w:p>
                </w:txbxContent>
              </v:textbox>
              <w10:wrap type="none"/>
            </v:shape>
            <w10:wrap type="none"/>
          </v:group>
        </w:pict>
      </w:r>
      <w:r>
        <w:rPr>
          <w:b/>
          <w:color w:val="0092C7"/>
          <w:sz w:val="20"/>
        </w:rPr>
        <w:t>Bank’s sterling non-oil commodity price index</w:t>
      </w:r>
      <w:r>
        <w:rPr>
          <w:position w:val="4"/>
          <w:sz w:val="12"/>
        </w:rPr>
        <w:t>(a)</w:t>
      </w:r>
    </w:p>
    <w:p>
      <w:pPr>
        <w:pStyle w:val="BodyText"/>
        <w:spacing w:before="9"/>
        <w:rPr>
          <w:sz w:val="18"/>
        </w:rPr>
      </w:pPr>
      <w:r>
        <w:rPr/>
        <w:pict>
          <v:shape style="position:absolute;margin-left:42.814999pt;margin-top:13.048332pt;width:4.350pt;height:.1pt;mso-position-horizontal-relative:page;mso-position-vertical-relative:paragraph;z-index:-15349760;mso-wrap-distance-left:0;mso-wrap-distance-right:0" coordorigin="856,261" coordsize="87,0" path="m856,261l943,261e" filled="false" stroked="true" strokeweight=".5pt" strokecolor="#000000">
            <v:path arrowok="t"/>
            <v:stroke dashstyle="solid"/>
            <w10:wrap type="topAndBottom"/>
          </v:shape>
        </w:pict>
      </w:r>
      <w:r>
        <w:rPr/>
        <w:pict>
          <v:shape style="position:absolute;margin-left:199.156006pt;margin-top:13.116332pt;width:4.350pt;height:.1pt;mso-position-horizontal-relative:page;mso-position-vertical-relative:paragraph;z-index:-15349248;mso-wrap-distance-left:0;mso-wrap-distance-right:0" coordorigin="3983,262" coordsize="87,0" path="m3983,262l4070,262e" filled="false" stroked="true" strokeweight=".5pt" strokecolor="#000000">
            <v:path arrowok="t"/>
            <v:stroke dashstyle="solid"/>
            <w10:wrap type="topAndBottom"/>
          </v:shape>
        </w:pict>
      </w:r>
    </w:p>
    <w:p>
      <w:pPr>
        <w:pStyle w:val="BodyText"/>
        <w:rPr>
          <w:sz w:val="22"/>
        </w:rPr>
      </w:pPr>
    </w:p>
    <w:p>
      <w:pPr>
        <w:pStyle w:val="BodyText"/>
        <w:rPr>
          <w:sz w:val="22"/>
        </w:rPr>
      </w:pPr>
    </w:p>
    <w:p>
      <w:pPr>
        <w:pStyle w:val="BodyText"/>
        <w:rPr>
          <w:sz w:val="22"/>
        </w:rPr>
      </w:pPr>
    </w:p>
    <w:p>
      <w:pPr>
        <w:pStyle w:val="BodyText"/>
        <w:rPr>
          <w:sz w:val="22"/>
        </w:rPr>
      </w:pPr>
    </w:p>
    <w:p>
      <w:pPr>
        <w:spacing w:before="148"/>
        <w:ind w:left="0" w:right="351" w:firstLine="0"/>
        <w:jc w:val="right"/>
        <w:rPr>
          <w:sz w:val="12"/>
        </w:rPr>
      </w:pPr>
      <w:r>
        <w:rPr>
          <w:sz w:val="12"/>
        </w:rPr>
        <w:t>5</w:t>
      </w:r>
    </w:p>
    <w:p>
      <w:pPr>
        <w:pStyle w:val="BodyText"/>
        <w:spacing w:before="7"/>
        <w:rPr>
          <w:sz w:val="15"/>
        </w:rPr>
      </w:pPr>
    </w:p>
    <w:p>
      <w:pPr>
        <w:spacing w:before="0"/>
        <w:ind w:left="0" w:right="351" w:firstLine="0"/>
        <w:jc w:val="right"/>
        <w:rPr>
          <w:sz w:val="12"/>
        </w:rPr>
      </w:pPr>
      <w:r>
        <w:rPr>
          <w:sz w:val="12"/>
        </w:rPr>
        <w:t>0</w:t>
      </w:r>
    </w:p>
    <w:p>
      <w:pPr>
        <w:pStyle w:val="BodyText"/>
        <w:spacing w:before="7"/>
        <w:rPr>
          <w:sz w:val="15"/>
        </w:rPr>
      </w:pPr>
    </w:p>
    <w:p>
      <w:pPr>
        <w:spacing w:before="0"/>
        <w:ind w:left="0" w:right="351" w:firstLine="0"/>
        <w:jc w:val="right"/>
        <w:rPr>
          <w:sz w:val="12"/>
        </w:rPr>
      </w:pPr>
      <w:r>
        <w:rPr>
          <w:sz w:val="12"/>
        </w:rPr>
        <w:t>5</w:t>
      </w:r>
    </w:p>
    <w:p>
      <w:pPr>
        <w:tabs>
          <w:tab w:pos="3583" w:val="right" w:leader="none"/>
        </w:tabs>
        <w:spacing w:before="496"/>
        <w:ind w:left="1551" w:right="0" w:firstLine="0"/>
        <w:jc w:val="left"/>
        <w:rPr>
          <w:sz w:val="12"/>
        </w:rPr>
      </w:pPr>
      <w:r>
        <w:rPr>
          <w:sz w:val="12"/>
        </w:rPr>
        <w:t>‘Soft’ commodities (c)</w:t>
        <w:tab/>
      </w:r>
      <w:r>
        <w:rPr>
          <w:position w:val="3"/>
          <w:sz w:val="12"/>
        </w:rPr>
        <w:t>15</w:t>
      </w:r>
    </w:p>
    <w:p>
      <w:pPr>
        <w:pStyle w:val="BodyText"/>
        <w:spacing w:before="1"/>
        <w:rPr>
          <w:sz w:val="13"/>
        </w:rPr>
      </w:pPr>
    </w:p>
    <w:p>
      <w:pPr>
        <w:spacing w:line="118" w:lineRule="exact" w:before="0"/>
        <w:ind w:left="3463" w:right="0" w:firstLine="0"/>
        <w:jc w:val="left"/>
        <w:rPr>
          <w:sz w:val="12"/>
        </w:rPr>
      </w:pPr>
      <w:r>
        <w:rPr/>
        <w:pict>
          <v:line style="position:absolute;mso-position-horizontal-relative:page;mso-position-vertical-relative:paragraph;z-index:16112128" from="42.814999pt,3.708557pt" to="47.147999pt,3.708557pt" stroked="true" strokeweight=".5pt" strokecolor="#000000">
            <v:stroke dashstyle="solid"/>
            <w10:wrap type="none"/>
          </v:line>
        </w:pict>
      </w:r>
      <w:r>
        <w:rPr/>
        <w:pict>
          <v:shape style="position:absolute;margin-left:50.928001pt;margin-top:-2.015443pt;width:152.6pt;height:5.8pt;mso-position-horizontal-relative:page;mso-position-vertical-relative:paragraph;z-index:16112640" coordorigin="1019,-40" coordsize="3052,116" path="m3983,76l4070,76m1019,76l3914,76m1020,-40l1020,76m1147,29l1147,76m1275,29l1275,76m1402,29l1402,76m1530,-40l1530,76m1657,29l1657,76m1785,29l1785,76m1912,29l1912,76m2040,-40l2040,76m2167,29l2167,76m2295,29l2295,76m2422,29l2422,76m2550,-40l2550,76m2677,29l2677,76m2805,29l2805,76m2932,29l2932,76m3060,-40l3060,76m3187,29l3187,76m3315,29l3315,76m3442,29l3442,76m3570,-40l3570,76m3698,29l3698,76m3825,29l3825,76e" filled="false" stroked="true" strokeweight=".5pt" strokecolor="#000000">
            <v:path arrowok="t"/>
            <v:stroke dashstyle="solid"/>
            <w10:wrap type="none"/>
          </v:shape>
        </w:pict>
      </w:r>
      <w:r>
        <w:rPr>
          <w:sz w:val="12"/>
        </w:rPr>
        <w:t>20</w:t>
      </w:r>
    </w:p>
    <w:p>
      <w:pPr>
        <w:tabs>
          <w:tab w:pos="1095" w:val="left" w:leader="none"/>
          <w:tab w:pos="1608" w:val="left" w:leader="none"/>
          <w:tab w:pos="2108" w:val="left" w:leader="none"/>
          <w:tab w:pos="2620" w:val="left" w:leader="none"/>
          <w:tab w:pos="2989" w:val="left" w:leader="none"/>
        </w:tabs>
        <w:spacing w:line="118" w:lineRule="exact" w:before="0"/>
        <w:ind w:left="525" w:right="0" w:firstLine="0"/>
        <w:jc w:val="left"/>
        <w:rPr>
          <w:sz w:val="12"/>
        </w:rPr>
      </w:pPr>
      <w:r>
        <w:rPr>
          <w:sz w:val="12"/>
        </w:rPr>
        <w:t>1995</w:t>
        <w:tab/>
        <w:t>96</w:t>
        <w:tab/>
        <w:t>97</w:t>
        <w:tab/>
        <w:t>98</w:t>
        <w:tab/>
        <w:t>99</w:t>
        <w:tab/>
        <w:t>2000</w:t>
      </w:r>
    </w:p>
    <w:p>
      <w:pPr>
        <w:pStyle w:val="BodyText"/>
        <w:rPr>
          <w:sz w:val="17"/>
        </w:rPr>
      </w:pPr>
    </w:p>
    <w:p>
      <w:pPr>
        <w:pStyle w:val="ListParagraph"/>
        <w:numPr>
          <w:ilvl w:val="0"/>
          <w:numId w:val="36"/>
        </w:numPr>
        <w:tabs>
          <w:tab w:pos="420" w:val="left" w:leader="none"/>
        </w:tabs>
        <w:spacing w:line="208" w:lineRule="auto" w:before="0" w:after="0"/>
        <w:ind w:left="419" w:right="566" w:hanging="240"/>
        <w:jc w:val="left"/>
        <w:rPr>
          <w:sz w:val="12"/>
        </w:rPr>
      </w:pPr>
      <w:r>
        <w:rPr>
          <w:sz w:val="12"/>
        </w:rPr>
        <w:t>Monthly</w:t>
      </w:r>
      <w:r>
        <w:rPr>
          <w:spacing w:val="-7"/>
          <w:sz w:val="12"/>
        </w:rPr>
        <w:t> </w:t>
      </w:r>
      <w:r>
        <w:rPr>
          <w:sz w:val="12"/>
        </w:rPr>
        <w:t>average</w:t>
      </w:r>
      <w:r>
        <w:rPr>
          <w:spacing w:val="-6"/>
          <w:sz w:val="12"/>
        </w:rPr>
        <w:t> </w:t>
      </w:r>
      <w:r>
        <w:rPr>
          <w:sz w:val="12"/>
        </w:rPr>
        <w:t>of</w:t>
      </w:r>
      <w:r>
        <w:rPr>
          <w:spacing w:val="-6"/>
          <w:sz w:val="12"/>
        </w:rPr>
        <w:t> </w:t>
      </w:r>
      <w:r>
        <w:rPr>
          <w:sz w:val="12"/>
        </w:rPr>
        <w:t>prices</w:t>
      </w:r>
      <w:r>
        <w:rPr>
          <w:spacing w:val="-7"/>
          <w:sz w:val="12"/>
        </w:rPr>
        <w:t> </w:t>
      </w:r>
      <w:r>
        <w:rPr>
          <w:sz w:val="12"/>
        </w:rPr>
        <w:t>of</w:t>
      </w:r>
      <w:r>
        <w:rPr>
          <w:spacing w:val="-6"/>
          <w:sz w:val="12"/>
        </w:rPr>
        <w:t> </w:t>
      </w:r>
      <w:r>
        <w:rPr>
          <w:sz w:val="12"/>
        </w:rPr>
        <w:t>primary</w:t>
      </w:r>
      <w:r>
        <w:rPr>
          <w:spacing w:val="-6"/>
          <w:sz w:val="12"/>
        </w:rPr>
        <w:t> </w:t>
      </w:r>
      <w:r>
        <w:rPr>
          <w:sz w:val="12"/>
        </w:rPr>
        <w:t>commodities,</w:t>
      </w:r>
      <w:r>
        <w:rPr>
          <w:spacing w:val="-6"/>
          <w:sz w:val="12"/>
        </w:rPr>
        <w:t> </w:t>
      </w:r>
      <w:r>
        <w:rPr>
          <w:sz w:val="12"/>
        </w:rPr>
        <w:t>weighted by their shares in UK</w:t>
      </w:r>
      <w:r>
        <w:rPr>
          <w:spacing w:val="-7"/>
          <w:sz w:val="12"/>
        </w:rPr>
        <w:t> </w:t>
      </w:r>
      <w:r>
        <w:rPr>
          <w:sz w:val="12"/>
        </w:rPr>
        <w:t>demand.</w:t>
      </w:r>
    </w:p>
    <w:p>
      <w:pPr>
        <w:pStyle w:val="ListParagraph"/>
        <w:numPr>
          <w:ilvl w:val="0"/>
          <w:numId w:val="36"/>
        </w:numPr>
        <w:tabs>
          <w:tab w:pos="420" w:val="left" w:leader="none"/>
        </w:tabs>
        <w:spacing w:line="114" w:lineRule="exact" w:before="0" w:after="0"/>
        <w:ind w:left="419" w:right="0" w:hanging="241"/>
        <w:jc w:val="left"/>
        <w:rPr>
          <w:sz w:val="12"/>
        </w:rPr>
      </w:pPr>
      <w:r>
        <w:rPr>
          <w:sz w:val="12"/>
        </w:rPr>
        <w:t>Includes prices of non-oil fuels and</w:t>
      </w:r>
      <w:r>
        <w:rPr>
          <w:spacing w:val="-10"/>
          <w:sz w:val="12"/>
        </w:rPr>
        <w:t> </w:t>
      </w:r>
      <w:r>
        <w:rPr>
          <w:sz w:val="12"/>
        </w:rPr>
        <w:t>metals.</w:t>
      </w:r>
    </w:p>
    <w:p>
      <w:pPr>
        <w:pStyle w:val="ListParagraph"/>
        <w:numPr>
          <w:ilvl w:val="0"/>
          <w:numId w:val="36"/>
        </w:numPr>
        <w:tabs>
          <w:tab w:pos="420" w:val="left" w:leader="none"/>
        </w:tabs>
        <w:spacing w:line="208" w:lineRule="auto" w:before="6" w:after="0"/>
        <w:ind w:left="419" w:right="362" w:hanging="240"/>
        <w:jc w:val="left"/>
        <w:rPr>
          <w:sz w:val="12"/>
        </w:rPr>
      </w:pPr>
      <w:r>
        <w:rPr>
          <w:sz w:val="12"/>
        </w:rPr>
        <w:t>Includes</w:t>
      </w:r>
      <w:r>
        <w:rPr>
          <w:spacing w:val="-7"/>
          <w:sz w:val="12"/>
        </w:rPr>
        <w:t> </w:t>
      </w:r>
      <w:r>
        <w:rPr>
          <w:sz w:val="12"/>
        </w:rPr>
        <w:t>prices</w:t>
      </w:r>
      <w:r>
        <w:rPr>
          <w:spacing w:val="-7"/>
          <w:sz w:val="12"/>
        </w:rPr>
        <w:t> </w:t>
      </w:r>
      <w:r>
        <w:rPr>
          <w:sz w:val="12"/>
        </w:rPr>
        <w:t>of</w:t>
      </w:r>
      <w:r>
        <w:rPr>
          <w:spacing w:val="-7"/>
          <w:sz w:val="12"/>
        </w:rPr>
        <w:t> </w:t>
      </w:r>
      <w:r>
        <w:rPr>
          <w:sz w:val="12"/>
        </w:rPr>
        <w:t>domestically</w:t>
      </w:r>
      <w:r>
        <w:rPr>
          <w:spacing w:val="-7"/>
          <w:sz w:val="12"/>
        </w:rPr>
        <w:t> </w:t>
      </w:r>
      <w:r>
        <w:rPr>
          <w:sz w:val="12"/>
        </w:rPr>
        <w:t>produced</w:t>
      </w:r>
      <w:r>
        <w:rPr>
          <w:spacing w:val="-6"/>
          <w:sz w:val="12"/>
        </w:rPr>
        <w:t> </w:t>
      </w:r>
      <w:r>
        <w:rPr>
          <w:sz w:val="12"/>
        </w:rPr>
        <w:t>and</w:t>
      </w:r>
      <w:r>
        <w:rPr>
          <w:spacing w:val="-7"/>
          <w:sz w:val="12"/>
        </w:rPr>
        <w:t> </w:t>
      </w:r>
      <w:r>
        <w:rPr>
          <w:sz w:val="12"/>
        </w:rPr>
        <w:t>imported</w:t>
      </w:r>
      <w:r>
        <w:rPr>
          <w:spacing w:val="-7"/>
          <w:sz w:val="12"/>
        </w:rPr>
        <w:t> </w:t>
      </w:r>
      <w:r>
        <w:rPr>
          <w:sz w:val="12"/>
        </w:rPr>
        <w:t>foodstuffs and non-food agricultural</w:t>
      </w:r>
      <w:r>
        <w:rPr>
          <w:spacing w:val="-5"/>
          <w:sz w:val="12"/>
        </w:rPr>
        <w:t> </w:t>
      </w:r>
      <w:r>
        <w:rPr>
          <w:sz w:val="12"/>
        </w:rPr>
        <w:t>products.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2"/>
        <w:ind w:left="175" w:right="0" w:firstLine="0"/>
        <w:jc w:val="left"/>
        <w:rPr>
          <w:b/>
          <w:sz w:val="20"/>
        </w:rPr>
      </w:pPr>
      <w:r>
        <w:rPr>
          <w:b/>
          <w:color w:val="0092C7"/>
          <w:sz w:val="20"/>
        </w:rPr>
        <w:t>Chart 4.4</w:t>
      </w:r>
    </w:p>
    <w:p>
      <w:pPr>
        <w:spacing w:line="249" w:lineRule="auto" w:before="10"/>
        <w:ind w:left="175" w:right="20" w:firstLine="0"/>
        <w:jc w:val="left"/>
        <w:rPr>
          <w:b/>
          <w:sz w:val="20"/>
        </w:rPr>
      </w:pPr>
      <w:r>
        <w:rPr>
          <w:b/>
          <w:color w:val="0092C7"/>
          <w:sz w:val="20"/>
        </w:rPr>
        <w:t>UK sterling import prices and the exchange rate</w:t>
      </w:r>
    </w:p>
    <w:p>
      <w:pPr>
        <w:spacing w:before="131"/>
        <w:ind w:left="0" w:right="277" w:firstLine="0"/>
        <w:jc w:val="right"/>
        <w:rPr>
          <w:sz w:val="12"/>
        </w:rPr>
      </w:pPr>
      <w:r>
        <w:rPr/>
        <w:pict>
          <v:line style="position:absolute;mso-position-horizontal-relative:page;mso-position-vertical-relative:paragraph;z-index:16119296" from="42.799pt,14.426936pt" to="47.132pt,14.426936pt" stroked="true" strokeweight=".5pt" strokecolor="#000000">
            <v:stroke dashstyle="solid"/>
            <w10:wrap type="none"/>
          </v:line>
        </w:pict>
      </w:r>
      <w:r>
        <w:rPr>
          <w:sz w:val="12"/>
        </w:rPr>
        <w:t>1995 Q1 = 1</w:t>
      </w:r>
      <w:r>
        <w:rPr>
          <w:sz w:val="12"/>
          <w:u w:val="single"/>
        </w:rPr>
        <w:t>00</w:t>
      </w:r>
      <w:r>
        <w:rPr>
          <w:spacing w:val="7"/>
          <w:sz w:val="12"/>
        </w:rPr>
        <w:t> </w:t>
      </w:r>
      <w:r>
        <w:rPr>
          <w:position w:val="-7"/>
          <w:sz w:val="12"/>
        </w:rPr>
        <w:t>110</w:t>
      </w:r>
    </w:p>
    <w:p>
      <w:pPr>
        <w:pStyle w:val="BodyText"/>
        <w:spacing w:before="2"/>
        <w:rPr>
          <w:sz w:val="23"/>
        </w:rPr>
      </w:pPr>
    </w:p>
    <w:p>
      <w:pPr>
        <w:spacing w:before="0"/>
        <w:ind w:left="0" w:right="277" w:firstLine="0"/>
        <w:jc w:val="right"/>
        <w:rPr>
          <w:sz w:val="12"/>
        </w:rPr>
      </w:pPr>
      <w:r>
        <w:rPr/>
        <w:pict>
          <v:group style="position:absolute;margin-left:51.154999pt;margin-top:3.253965pt;width:144.25pt;height:104.15pt;mso-position-horizontal-relative:page;mso-position-vertical-relative:paragraph;z-index:16114688" coordorigin="1023,65" coordsize="2885,2083">
            <v:shape style="position:absolute;left:1033;top:195;width:255;height:300" coordorigin="1033,195" coordsize="255,300" path="m1033,495l1161,375m1161,375l1288,195e" filled="false" stroked="true" strokeweight="1pt" strokecolor="#610e7a">
              <v:path arrowok="t"/>
              <v:stroke dashstyle="solid"/>
            </v:shape>
            <v:line style="position:absolute" from="1278,203" to="1438,203" stroked="true" strokeweight="1.75pt" strokecolor="#610e7a">
              <v:stroke dashstyle="solid"/>
            </v:line>
            <v:line style="position:absolute" from="1428,210" to="1556,195" stroked="true" strokeweight="1pt" strokecolor="#610e7a">
              <v:stroke dashstyle="solid"/>
            </v:line>
            <v:line style="position:absolute" from="1546,196" to="1693,196" stroked="true" strokeweight="1.125pt" strokecolor="#610e7a">
              <v:stroke dashstyle="solid"/>
            </v:line>
            <v:shape style="position:absolute;left:1683;top:195;width:1300;height:1440" coordorigin="1683,195" coordsize="1300,1440" path="m1683,195l1811,405m1811,405l1951,465m1951,465l2078,690m2078,690l2206,885m2206,885l2333,915m2333,915l2471,1005m2471,1005l2598,1245m2598,1245l2726,1395m2726,1395l2853,1515m2853,1515l2983,1635e" filled="false" stroked="true" strokeweight="1pt" strokecolor="#610e7a">
              <v:path arrowok="t"/>
              <v:stroke dashstyle="solid"/>
            </v:shape>
            <v:line style="position:absolute" from="2973,1643" to="3131,1643" stroked="true" strokeweight="1.75pt" strokecolor="#610e7a">
              <v:stroke dashstyle="solid"/>
            </v:line>
            <v:line style="position:absolute" from="3121,1650" to="3248,1665" stroked="true" strokeweight="1pt" strokecolor="#610e7a">
              <v:stroke dashstyle="solid"/>
            </v:line>
            <v:line style="position:absolute" from="3238,1666" to="3386,1666" stroked="true" strokeweight="1.125pt" strokecolor="#610e7a">
              <v:stroke dashstyle="solid"/>
            </v:line>
            <v:shape style="position:absolute;left:3375;top:1545;width:395;height:135" coordorigin="3376,1545" coordsize="395,135" path="m3376,1665l3503,1680m3503,1680l3643,1605m3643,1605l3771,1545e" filled="false" stroked="true" strokeweight="1pt" strokecolor="#610e7a">
              <v:path arrowok="t"/>
              <v:stroke dashstyle="solid"/>
            </v:shape>
            <v:shape style="position:absolute;left:1033;top:75;width:523;height:420" coordorigin="1033,75" coordsize="523,420" path="m1033,495l1161,360m1161,360l1288,270m1288,270l1428,300m1428,300l1556,75e" filled="false" stroked="true" strokeweight="1pt" strokecolor="#f6bd61">
              <v:path arrowok="t"/>
              <v:stroke dashstyle="solid"/>
            </v:shape>
            <v:line style="position:absolute" from="1546,76" to="1693,76" stroked="true" strokeweight="1.125pt" strokecolor="#f6bd61">
              <v:stroke dashstyle="solid"/>
            </v:line>
            <v:shape style="position:absolute;left:1683;top:75;width:268;height:555" coordorigin="1683,75" coordsize="268,555" path="m1683,75l1811,210m1811,210l1951,630e" filled="false" stroked="true" strokeweight="1pt" strokecolor="#f6bd61">
              <v:path arrowok="t"/>
              <v:stroke dashstyle="solid"/>
            </v:shape>
            <v:line style="position:absolute" from="1941,631" to="2088,631" stroked="true" strokeweight="1.125pt" strokecolor="#f6bd61">
              <v:stroke dashstyle="solid"/>
            </v:line>
            <v:shape style="position:absolute;left:2078;top:630;width:648;height:420" coordorigin="2078,630" coordsize="648,420" path="m2078,630l2206,690m2206,690l2333,885m2333,885l2471,1020m2471,1020l2598,1050m2598,1050l2726,945e" filled="false" stroked="true" strokeweight="1pt" strokecolor="#f6bd61">
              <v:path arrowok="t"/>
              <v:stroke dashstyle="solid"/>
            </v:shape>
            <v:line style="position:absolute" from="2716,946" to="2863,946" stroked="true" strokeweight="1.125pt" strokecolor="#f6bd61">
              <v:stroke dashstyle="solid"/>
            </v:line>
            <v:line style="position:absolute" from="2853,945" to="2983,885" stroked="true" strokeweight="1pt" strokecolor="#f6bd61">
              <v:stroke dashstyle="solid"/>
            </v:line>
            <v:line style="position:absolute" from="2973,893" to="3131,893" stroked="true" strokeweight="1.75pt" strokecolor="#f6bd61">
              <v:stroke dashstyle="solid"/>
            </v:line>
            <v:shape style="position:absolute;left:3120;top:900;width:650;height:240" coordorigin="3121,900" coordsize="650,240" path="m3121,900l3248,1005m3248,1005l3376,1065m3376,1065l3503,1140m3503,1140l3643,1110m3643,1110l3771,1125e" filled="false" stroked="true" strokeweight="1pt" strokecolor="#f6bd61">
              <v:path arrowok="t"/>
              <v:stroke dashstyle="solid"/>
            </v:shape>
            <v:shape style="position:absolute;left:1023;top:110;width:798;height:395" type="#_x0000_t75" stroked="false">
              <v:imagedata r:id="rId159" o:title=""/>
            </v:shape>
            <v:shape style="position:absolute;left:1810;top:330;width:788;height:1575" coordorigin="1811,330" coordsize="788,1575" path="m1811,330l1951,870m1951,870l2078,1305m2078,1305l2206,1515m2206,1515l2333,1710m2333,1710l2471,1755m2471,1755l2598,1905e" filled="false" stroked="true" strokeweight="1pt" strokecolor="#9ed01a">
              <v:path arrowok="t"/>
              <v:stroke dashstyle="solid"/>
            </v:shape>
            <v:line style="position:absolute" from="2588,1906" to="2736,1906" stroked="true" strokeweight="1.125pt" strokecolor="#9ed01a">
              <v:stroke dashstyle="solid"/>
            </v:line>
            <v:shape style="position:absolute;left:2725;top:1575;width:1173;height:510" coordorigin="2726,1575" coordsize="1173,510" path="m2726,1905l2853,1845m2853,1845l2983,1575m2983,1575l3121,1620m3121,1620l3248,1815m3248,1815l3376,1800m3376,1800l3503,1935m3503,1935l3643,2085m3643,2085l3771,2055m3771,2055l3898,1965e" filled="false" stroked="true" strokeweight="1pt" strokecolor="#9ed01a">
              <v:path arrowok="t"/>
              <v:stroke dashstyle="solid"/>
            </v:shape>
            <v:shape style="position:absolute;left:3169;top:784;width:427;height:133" type="#_x0000_t202" filled="false" stroked="false">
              <v:textbox inset="0,0,0,0">
                <w:txbxContent>
                  <w:p>
                    <w:pPr>
                      <w:spacing w:line="133" w:lineRule="exact" w:before="0"/>
                      <w:ind w:left="0" w:right="0" w:firstLine="0"/>
                      <w:jc w:val="left"/>
                      <w:rPr>
                        <w:sz w:val="12"/>
                      </w:rPr>
                    </w:pPr>
                    <w:r>
                      <w:rPr>
                        <w:sz w:val="12"/>
                      </w:rPr>
                      <w:t>Services</w:t>
                    </w:r>
                  </w:p>
                </w:txbxContent>
              </v:textbox>
              <w10:wrap type="none"/>
            </v:shape>
            <v:shape style="position:absolute;left:2671;top:1189;width:334;height:133" type="#_x0000_t202" filled="false" stroked="false">
              <v:textbox inset="0,0,0,0">
                <w:txbxContent>
                  <w:p>
                    <w:pPr>
                      <w:spacing w:line="133" w:lineRule="exact" w:before="0"/>
                      <w:ind w:left="0" w:right="0" w:firstLine="0"/>
                      <w:jc w:val="left"/>
                      <w:rPr>
                        <w:sz w:val="12"/>
                      </w:rPr>
                    </w:pPr>
                    <w:r>
                      <w:rPr>
                        <w:sz w:val="12"/>
                      </w:rPr>
                      <w:t>Goods</w:t>
                    </w:r>
                  </w:p>
                </w:txbxContent>
              </v:textbox>
              <w10:wrap type="none"/>
            </v:shape>
            <v:shape style="position:absolute;left:1721;top:1894;width:1610;height:254" type="#_x0000_t202" filled="false" stroked="false">
              <v:textbox inset="0,0,0,0">
                <w:txbxContent>
                  <w:p>
                    <w:pPr>
                      <w:spacing w:line="124" w:lineRule="exact" w:before="0"/>
                      <w:ind w:left="0" w:right="0" w:firstLine="0"/>
                      <w:jc w:val="left"/>
                      <w:rPr>
                        <w:sz w:val="12"/>
                      </w:rPr>
                    </w:pPr>
                    <w:r>
                      <w:rPr>
                        <w:sz w:val="12"/>
                      </w:rPr>
                      <w:t>Sterling effective exchange</w:t>
                    </w:r>
                  </w:p>
                  <w:p>
                    <w:pPr>
                      <w:spacing w:line="129" w:lineRule="exact" w:before="0"/>
                      <w:ind w:left="60" w:right="0" w:firstLine="0"/>
                      <w:jc w:val="left"/>
                      <w:rPr>
                        <w:sz w:val="12"/>
                      </w:rPr>
                    </w:pPr>
                    <w:r>
                      <w:rPr>
                        <w:sz w:val="12"/>
                      </w:rPr>
                      <w:t>rate index, inverted and rebased</w:t>
                    </w:r>
                  </w:p>
                </w:txbxContent>
              </v:textbox>
              <w10:wrap type="none"/>
            </v:shape>
            <w10:wrap type="none"/>
          </v:group>
        </w:pict>
      </w:r>
      <w:r>
        <w:rPr/>
        <w:pict>
          <v:line style="position:absolute;mso-position-horizontal-relative:page;mso-position-vertical-relative:paragraph;z-index:16115712" from="42.799pt,4.092966pt" to="47.132pt,4.092966pt" stroked="true" strokeweight=".5pt" strokecolor="#000000">
            <v:stroke dashstyle="solid"/>
            <w10:wrap type="none"/>
          </v:line>
        </w:pict>
      </w:r>
      <w:r>
        <w:rPr/>
        <w:pict>
          <v:line style="position:absolute;mso-position-horizontal-relative:page;mso-position-vertical-relative:paragraph;z-index:16119808" from="199.654007pt,4.119966pt" to="203.986007pt,4.119966pt" stroked="true" strokeweight=".5pt" strokecolor="#000000">
            <v:stroke dashstyle="solid"/>
            <w10:wrap type="none"/>
          </v:line>
        </w:pict>
      </w:r>
      <w:r>
        <w:rPr>
          <w:sz w:val="12"/>
        </w:rPr>
        <w:t>105</w:t>
      </w:r>
    </w:p>
    <w:p>
      <w:pPr>
        <w:pStyle w:val="BodyText"/>
        <w:rPr>
          <w:sz w:val="12"/>
        </w:rPr>
      </w:pPr>
    </w:p>
    <w:p>
      <w:pPr>
        <w:pStyle w:val="BodyText"/>
        <w:spacing w:before="7"/>
        <w:rPr>
          <w:sz w:val="11"/>
        </w:rPr>
      </w:pPr>
    </w:p>
    <w:p>
      <w:pPr>
        <w:spacing w:before="0"/>
        <w:ind w:left="0" w:right="277" w:firstLine="0"/>
        <w:jc w:val="right"/>
        <w:rPr>
          <w:sz w:val="12"/>
        </w:rPr>
      </w:pPr>
      <w:r>
        <w:rPr/>
        <w:pict>
          <v:line style="position:absolute;mso-position-horizontal-relative:page;mso-position-vertical-relative:paragraph;z-index:16116224" from="42.799pt,4.093762pt" to="47.132pt,4.093762pt" stroked="true" strokeweight=".5pt" strokecolor="#000000">
            <v:stroke dashstyle="solid"/>
            <w10:wrap type="none"/>
          </v:line>
        </w:pict>
      </w:r>
      <w:r>
        <w:rPr/>
        <w:pict>
          <v:line style="position:absolute;mso-position-horizontal-relative:page;mso-position-vertical-relative:paragraph;z-index:16120320" from="199.654007pt,4.119762pt" to="203.986007pt,4.119762pt" stroked="true" strokeweight=".5pt" strokecolor="#000000">
            <v:stroke dashstyle="solid"/>
            <w10:wrap type="none"/>
          </v:line>
        </w:pict>
      </w:r>
      <w:r>
        <w:rPr>
          <w:sz w:val="12"/>
        </w:rPr>
        <w:t>100</w:t>
      </w:r>
    </w:p>
    <w:p>
      <w:pPr>
        <w:pStyle w:val="BodyText"/>
        <w:rPr>
          <w:sz w:val="12"/>
        </w:rPr>
      </w:pPr>
    </w:p>
    <w:p>
      <w:pPr>
        <w:pStyle w:val="BodyText"/>
        <w:spacing w:before="7"/>
        <w:rPr>
          <w:sz w:val="11"/>
        </w:rPr>
      </w:pPr>
    </w:p>
    <w:p>
      <w:pPr>
        <w:spacing w:before="0"/>
        <w:ind w:left="0" w:right="277" w:firstLine="0"/>
        <w:jc w:val="right"/>
        <w:rPr>
          <w:sz w:val="12"/>
        </w:rPr>
      </w:pPr>
      <w:r>
        <w:rPr/>
        <w:pict>
          <v:line style="position:absolute;mso-position-horizontal-relative:page;mso-position-vertical-relative:paragraph;z-index:16116736" from="42.799pt,4.09417pt" to="47.132pt,4.09417pt" stroked="true" strokeweight=".5pt" strokecolor="#000000">
            <v:stroke dashstyle="solid"/>
            <w10:wrap type="none"/>
          </v:line>
        </w:pict>
      </w:r>
      <w:r>
        <w:rPr/>
        <w:pict>
          <v:line style="position:absolute;mso-position-horizontal-relative:page;mso-position-vertical-relative:paragraph;z-index:16120832" from="199.654007pt,4.12017pt" to="203.986007pt,4.12017pt" stroked="true" strokeweight=".5pt" strokecolor="#000000">
            <v:stroke dashstyle="solid"/>
            <w10:wrap type="none"/>
          </v:line>
        </w:pict>
      </w:r>
      <w:r>
        <w:rPr>
          <w:sz w:val="12"/>
        </w:rPr>
        <w:t>95</w:t>
      </w:r>
    </w:p>
    <w:p>
      <w:pPr>
        <w:pStyle w:val="BodyText"/>
        <w:rPr>
          <w:sz w:val="12"/>
        </w:rPr>
      </w:pPr>
    </w:p>
    <w:p>
      <w:pPr>
        <w:pStyle w:val="BodyText"/>
        <w:spacing w:before="6"/>
        <w:rPr>
          <w:sz w:val="11"/>
        </w:rPr>
      </w:pPr>
    </w:p>
    <w:p>
      <w:pPr>
        <w:spacing w:before="1"/>
        <w:ind w:left="0" w:right="277" w:firstLine="0"/>
        <w:jc w:val="right"/>
        <w:rPr>
          <w:sz w:val="12"/>
        </w:rPr>
      </w:pPr>
      <w:r>
        <w:rPr/>
        <w:pict>
          <v:line style="position:absolute;mso-position-horizontal-relative:page;mso-position-vertical-relative:paragraph;z-index:16117248" from="42.799pt,4.143357pt" to="47.132pt,4.143357pt" stroked="true" strokeweight=".5pt" strokecolor="#000000">
            <v:stroke dashstyle="solid"/>
            <w10:wrap type="none"/>
          </v:line>
        </w:pict>
      </w:r>
      <w:r>
        <w:rPr/>
        <w:pict>
          <v:line style="position:absolute;mso-position-horizontal-relative:page;mso-position-vertical-relative:paragraph;z-index:16121344" from="199.654007pt,4.169357pt" to="203.986007pt,4.169357pt" stroked="true" strokeweight=".5pt" strokecolor="#000000">
            <v:stroke dashstyle="solid"/>
            <w10:wrap type="none"/>
          </v:line>
        </w:pict>
      </w:r>
      <w:r>
        <w:rPr>
          <w:sz w:val="12"/>
        </w:rPr>
        <w:t>90</w:t>
      </w:r>
    </w:p>
    <w:p>
      <w:pPr>
        <w:pStyle w:val="BodyText"/>
        <w:rPr>
          <w:sz w:val="12"/>
        </w:rPr>
      </w:pPr>
    </w:p>
    <w:p>
      <w:pPr>
        <w:pStyle w:val="BodyText"/>
        <w:spacing w:before="6"/>
        <w:rPr>
          <w:sz w:val="11"/>
        </w:rPr>
      </w:pPr>
    </w:p>
    <w:p>
      <w:pPr>
        <w:spacing w:before="0"/>
        <w:ind w:left="0" w:right="277" w:firstLine="0"/>
        <w:jc w:val="right"/>
        <w:rPr>
          <w:sz w:val="12"/>
        </w:rPr>
      </w:pPr>
      <w:r>
        <w:rPr/>
        <w:pict>
          <v:line style="position:absolute;mso-position-horizontal-relative:page;mso-position-vertical-relative:paragraph;z-index:16118272" from="42.799pt,4.092559pt" to="47.132pt,4.092559pt" stroked="true" strokeweight=".5pt" strokecolor="#000000">
            <v:stroke dashstyle="solid"/>
            <w10:wrap type="none"/>
          </v:line>
        </w:pict>
      </w:r>
      <w:r>
        <w:rPr/>
        <w:pict>
          <v:line style="position:absolute;mso-position-horizontal-relative:page;mso-position-vertical-relative:paragraph;z-index:16122368" from="199.654007pt,4.119559pt" to="203.986007pt,4.119559pt" stroked="true" strokeweight=".5pt" strokecolor="#000000">
            <v:stroke dashstyle="solid"/>
            <w10:wrap type="none"/>
          </v:line>
        </w:pict>
      </w:r>
      <w:r>
        <w:rPr>
          <w:sz w:val="12"/>
        </w:rPr>
        <w:t>85</w:t>
      </w:r>
    </w:p>
    <w:p>
      <w:pPr>
        <w:pStyle w:val="BodyText"/>
        <w:rPr>
          <w:sz w:val="12"/>
        </w:rPr>
      </w:pPr>
    </w:p>
    <w:p>
      <w:pPr>
        <w:pStyle w:val="BodyText"/>
        <w:spacing w:before="7"/>
        <w:rPr>
          <w:sz w:val="11"/>
        </w:rPr>
      </w:pPr>
    </w:p>
    <w:p>
      <w:pPr>
        <w:spacing w:before="0"/>
        <w:ind w:left="0" w:right="277" w:firstLine="0"/>
        <w:jc w:val="right"/>
        <w:rPr>
          <w:sz w:val="12"/>
        </w:rPr>
      </w:pPr>
      <w:r>
        <w:rPr/>
        <w:pict>
          <v:line style="position:absolute;mso-position-horizontal-relative:page;mso-position-vertical-relative:paragraph;z-index:16117760" from="42.799pt,4.092761pt" to="47.132pt,4.092761pt" stroked="true" strokeweight=".5pt" strokecolor="#000000">
            <v:stroke dashstyle="solid"/>
            <w10:wrap type="none"/>
          </v:line>
        </w:pict>
      </w:r>
      <w:r>
        <w:rPr/>
        <w:pict>
          <v:line style="position:absolute;mso-position-horizontal-relative:page;mso-position-vertical-relative:paragraph;z-index:16121856" from="199.654007pt,4.118761pt" to="203.986007pt,4.118761pt" stroked="true" strokeweight=".5pt" strokecolor="#000000">
            <v:stroke dashstyle="solid"/>
            <w10:wrap type="none"/>
          </v:line>
        </w:pict>
      </w:r>
      <w:r>
        <w:rPr>
          <w:sz w:val="12"/>
        </w:rPr>
        <w:t>80</w:t>
      </w:r>
    </w:p>
    <w:p>
      <w:pPr>
        <w:pStyle w:val="BodyText"/>
        <w:rPr>
          <w:sz w:val="12"/>
        </w:rPr>
      </w:pPr>
    </w:p>
    <w:p>
      <w:pPr>
        <w:pStyle w:val="BodyText"/>
        <w:spacing w:before="7"/>
        <w:rPr>
          <w:sz w:val="11"/>
        </w:rPr>
      </w:pPr>
    </w:p>
    <w:p>
      <w:pPr>
        <w:spacing w:line="123" w:lineRule="exact" w:before="0"/>
        <w:ind w:left="3537" w:right="0" w:firstLine="0"/>
        <w:jc w:val="left"/>
        <w:rPr>
          <w:sz w:val="12"/>
        </w:rPr>
      </w:pPr>
      <w:r>
        <w:rPr/>
        <w:pict>
          <v:shape style="position:absolute;margin-left:51.750999pt;margin-top:.763566pt;width:143.450pt;height:3.4pt;mso-position-horizontal-relative:page;mso-position-vertical-relative:paragraph;z-index:16115200" coordorigin="1035,15" coordsize="2869,68" path="m1038,82l3904,82m1035,15l1035,82m1557,15l1557,82m2079,15l2079,82m2601,15l2601,82m3123,15l3123,82m3646,15l3646,82e" filled="false" stroked="true" strokeweight=".5pt" strokecolor="#000000">
            <v:path arrowok="t"/>
            <v:stroke dashstyle="solid"/>
            <w10:wrap type="none"/>
          </v:shape>
        </w:pict>
      </w:r>
      <w:r>
        <w:rPr/>
        <w:pict>
          <v:line style="position:absolute;mso-position-horizontal-relative:page;mso-position-vertical-relative:paragraph;z-index:16118784" from="42.799pt,4.092566pt" to="47.132pt,4.092566pt" stroked="true" strokeweight=".5pt" strokecolor="#000000">
            <v:stroke dashstyle="solid"/>
            <w10:wrap type="none"/>
          </v:line>
        </w:pict>
      </w:r>
      <w:r>
        <w:rPr/>
        <w:pict>
          <v:line style="position:absolute;mso-position-horizontal-relative:page;mso-position-vertical-relative:paragraph;z-index:16122880" from="199.654007pt,4.118566pt" to="203.986007pt,4.118566pt" stroked="true" strokeweight=".5pt" strokecolor="#000000">
            <v:stroke dashstyle="solid"/>
            <w10:wrap type="none"/>
          </v:line>
        </w:pict>
      </w:r>
      <w:r>
        <w:rPr>
          <w:sz w:val="12"/>
        </w:rPr>
        <w:t>75</w:t>
      </w:r>
    </w:p>
    <w:p>
      <w:pPr>
        <w:tabs>
          <w:tab w:pos="1108" w:val="left" w:leader="none"/>
          <w:tab w:pos="1631" w:val="left" w:leader="none"/>
          <w:tab w:pos="2153" w:val="left" w:leader="none"/>
          <w:tab w:pos="2673" w:val="left" w:leader="none"/>
          <w:tab w:pos="3034" w:val="left" w:leader="none"/>
        </w:tabs>
        <w:spacing w:line="123" w:lineRule="exact" w:before="0"/>
        <w:ind w:left="525" w:right="0" w:firstLine="0"/>
        <w:jc w:val="left"/>
        <w:rPr>
          <w:sz w:val="12"/>
        </w:rPr>
      </w:pPr>
      <w:r>
        <w:rPr>
          <w:sz w:val="12"/>
        </w:rPr>
        <w:t>1995</w:t>
        <w:tab/>
        <w:t>96</w:t>
        <w:tab/>
        <w:t>97</w:t>
        <w:tab/>
        <w:t>98</w:t>
        <w:tab/>
        <w:t>99</w:t>
        <w:tab/>
        <w:t>2000</w:t>
      </w:r>
    </w:p>
    <w:p>
      <w:pPr>
        <w:spacing w:before="94"/>
        <w:ind w:left="185" w:right="0" w:firstLine="0"/>
        <w:jc w:val="left"/>
        <w:rPr>
          <w:sz w:val="12"/>
        </w:rPr>
      </w:pPr>
      <w:r>
        <w:rPr>
          <w:sz w:val="12"/>
        </w:rPr>
        <w:t>Sources: ONS and Bank of England.</w:t>
      </w:r>
    </w:p>
    <w:p>
      <w:pPr>
        <w:pStyle w:val="BodyText"/>
        <w:spacing w:before="227"/>
        <w:ind w:left="175"/>
      </w:pPr>
      <w:r>
        <w:rPr/>
        <w:br w:type="column"/>
      </w:r>
      <w:r>
        <w:rPr/>
        <w:t>21.7% on a year earlier in September, while the</w:t>
      </w:r>
    </w:p>
    <w:p>
      <w:pPr>
        <w:pStyle w:val="BodyText"/>
        <w:spacing w:line="242" w:lineRule="auto" w:before="4"/>
        <w:ind w:left="175" w:right="75"/>
      </w:pPr>
      <w:r>
        <w:rPr/>
        <w:t>oil-exclusive index rose by 8.8% over the same period. Sterling prices of commodities have been affected by the fall in the sterling-dollar exchange rate, particularly since May, as the world prices of many commodities are denominated in US dollars. For example, the average daily price of Brent crude in September was 42% higher than a year earlier in US dollar terms but 61% higher in sterling terms.</w:t>
      </w:r>
    </w:p>
    <w:p>
      <w:pPr>
        <w:pStyle w:val="BodyText"/>
        <w:spacing w:before="2"/>
        <w:rPr>
          <w:sz w:val="25"/>
        </w:rPr>
      </w:pPr>
    </w:p>
    <w:p>
      <w:pPr>
        <w:pStyle w:val="BodyText"/>
        <w:spacing w:line="242" w:lineRule="auto" w:before="1"/>
        <w:ind w:left="175" w:right="163"/>
      </w:pPr>
      <w:r>
        <w:rPr/>
        <w:t>Higher dollar oil prices over the past 18 months have probably been driven by a combination of demand and supply factors: robust world growth has raised the demand for energy, while supply has been affected by OPEC supply decisions </w:t>
      </w:r>
      <w:hyperlink w:history="true" w:anchor="_bookmark11">
        <w:r>
          <w:rPr/>
          <w:t>(</w:t>
        </w:r>
        <w:r>
          <w:rPr>
            <w:color w:val="FF0000"/>
          </w:rPr>
          <w:t>see the box on page 15</w:t>
        </w:r>
        <w:r>
          <w:rPr/>
          <w:t>).</w:t>
        </w:r>
      </w:hyperlink>
    </w:p>
    <w:p>
      <w:pPr>
        <w:pStyle w:val="BodyText"/>
        <w:spacing w:before="10"/>
      </w:pPr>
    </w:p>
    <w:p>
      <w:pPr>
        <w:pStyle w:val="BodyText"/>
        <w:spacing w:line="242" w:lineRule="auto"/>
        <w:ind w:left="175" w:right="163"/>
      </w:pPr>
      <w:r>
        <w:rPr/>
        <w:t>One way of distinguishing between the influence of demand and supply factors is by examining the contrasting price behaviour of ‘hard’ and ‘soft’</w:t>
      </w:r>
    </w:p>
    <w:p>
      <w:pPr>
        <w:pStyle w:val="BodyText"/>
        <w:spacing w:line="242" w:lineRule="auto" w:before="4"/>
        <w:ind w:left="175" w:right="154"/>
      </w:pPr>
      <w:r>
        <w:rPr/>
        <w:t>non-oil commodities. Hard commodity prices rose by nearly 15% in September on a year earlier while prices of soft commodities rose by just </w:t>
      </w:r>
      <w:r>
        <w:rPr>
          <w:spacing w:val="-3"/>
        </w:rPr>
        <w:t>over </w:t>
      </w:r>
      <w:r>
        <w:rPr/>
        <w:t>4% (see Chart 4.3). The strength of metal prices (a major component of the ‘hard’ commodity category), which rose by 21.4% in sterling terms in the year to September, suggests that some of the driving force behind the strength of hard commodity prices is coming from demand growth in the world </w:t>
      </w:r>
      <w:r>
        <w:rPr>
          <w:spacing w:val="-3"/>
        </w:rPr>
        <w:t>economy.  </w:t>
      </w:r>
      <w:r>
        <w:rPr/>
        <w:t>The prices of hard commodities, such as metals, that are used as inputs in industrial production tend to </w:t>
      </w:r>
      <w:r>
        <w:rPr>
          <w:spacing w:val="-3"/>
        </w:rPr>
        <w:t>move </w:t>
      </w:r>
      <w:r>
        <w:rPr/>
        <w:t>pro-cyclically with world </w:t>
      </w:r>
      <w:r>
        <w:rPr>
          <w:spacing w:val="-4"/>
        </w:rPr>
        <w:t>activity, </w:t>
      </w:r>
      <w:r>
        <w:rPr/>
        <w:t>rising when world demand is high. In contrast, agricultural commodity prices, especially foods, are not so closely correlated with world industrial </w:t>
      </w:r>
      <w:r>
        <w:rPr>
          <w:spacing w:val="-4"/>
        </w:rPr>
        <w:t>activity, </w:t>
      </w:r>
      <w:r>
        <w:rPr/>
        <w:t>as</w:t>
      </w:r>
      <w:r>
        <w:rPr>
          <w:spacing w:val="-11"/>
        </w:rPr>
        <w:t> </w:t>
      </w:r>
      <w:r>
        <w:rPr/>
        <w:t>demand</w:t>
      </w:r>
    </w:p>
    <w:p>
      <w:pPr>
        <w:pStyle w:val="BodyText"/>
        <w:spacing w:line="242" w:lineRule="auto" w:before="18"/>
        <w:ind w:left="175" w:right="75"/>
      </w:pPr>
      <w:r>
        <w:rPr/>
        <w:t>for food is relatively stable throughout the cycle. Moreover, agricultural production is particularly subject to specific supply influences such as those resulting from abnormal weather and changes in global trading arrangements.</w:t>
      </w:r>
    </w:p>
    <w:p>
      <w:pPr>
        <w:pStyle w:val="BodyText"/>
        <w:spacing w:before="7"/>
        <w:rPr>
          <w:sz w:val="21"/>
        </w:rPr>
      </w:pPr>
    </w:p>
    <w:p>
      <w:pPr>
        <w:pStyle w:val="Heading4"/>
        <w:numPr>
          <w:ilvl w:val="1"/>
          <w:numId w:val="37"/>
        </w:numPr>
        <w:tabs>
          <w:tab w:pos="1269" w:val="left" w:leader="none"/>
          <w:tab w:pos="1270" w:val="left" w:leader="none"/>
          <w:tab w:pos="5675" w:val="left" w:leader="none"/>
        </w:tabs>
        <w:spacing w:line="240" w:lineRule="auto" w:before="0" w:after="0"/>
        <w:ind w:left="1269" w:right="0" w:hanging="1095"/>
        <w:jc w:val="left"/>
        <w:rPr>
          <w:color w:val="009391"/>
        </w:rPr>
      </w:pPr>
      <w:r>
        <w:rPr>
          <w:color w:val="009391"/>
          <w:spacing w:val="-5"/>
          <w:u w:val="thick" w:color="0092C7"/>
        </w:rPr>
        <w:t>Trade </w:t>
      </w:r>
      <w:r>
        <w:rPr>
          <w:color w:val="009391"/>
          <w:u w:val="thick" w:color="0092C7"/>
        </w:rPr>
        <w:t>prices and the exchange</w:t>
      </w:r>
      <w:r>
        <w:rPr>
          <w:color w:val="009391"/>
          <w:spacing w:val="-18"/>
          <w:u w:val="thick" w:color="0092C7"/>
        </w:rPr>
        <w:t> </w:t>
      </w:r>
      <w:r>
        <w:rPr>
          <w:color w:val="009391"/>
          <w:u w:val="thick" w:color="0092C7"/>
        </w:rPr>
        <w:t>rate</w:t>
        <w:tab/>
      </w:r>
    </w:p>
    <w:p>
      <w:pPr>
        <w:pStyle w:val="BodyText"/>
        <w:spacing w:line="242" w:lineRule="auto" w:before="264"/>
        <w:ind w:left="175" w:right="163"/>
      </w:pPr>
      <w:r>
        <w:rPr/>
        <w:t>Prices of goods imports rose in Q2, associated both with the rise in oil prices and a slight decline of the sterling effective exchange rate. Prices of services imports have changed little over the year to Q2. Sterling import prices have tended to fall since 1996 (see Chart 4.4), following the appreciation of sterling, but less far and less fast, as importers’ margins increased on UK sales (for given foreign currency costs). Goods import prices fell for three years or so before stabilising in 1999 and rising in 2000 H1. Services import prices have been broadly flat</w:t>
      </w:r>
    </w:p>
    <w:p>
      <w:pPr>
        <w:spacing w:after="0" w:line="242" w:lineRule="auto"/>
        <w:sectPr>
          <w:type w:val="continuous"/>
          <w:pgSz w:w="11900" w:h="16840"/>
          <w:pgMar w:top="1260" w:bottom="280" w:left="640" w:right="640"/>
          <w:cols w:num="2" w:equalWidth="0">
            <w:col w:w="3937" w:space="868"/>
            <w:col w:w="5815"/>
          </w:cols>
        </w:sectPr>
      </w:pPr>
    </w:p>
    <w:p>
      <w:pPr>
        <w:pStyle w:val="BodyText"/>
        <w:rPr>
          <w:sz w:val="20"/>
        </w:rPr>
      </w:pPr>
    </w:p>
    <w:p>
      <w:pPr>
        <w:spacing w:after="0"/>
        <w:rPr>
          <w:sz w:val="20"/>
        </w:rPr>
        <w:sectPr>
          <w:footerReference w:type="default" r:id="rId160"/>
          <w:footerReference w:type="even" r:id="rId161"/>
          <w:pgSz w:w="11900" w:h="16840"/>
          <w:pgMar w:footer="612" w:header="586" w:top="800" w:bottom="800" w:left="640" w:right="640"/>
          <w:pgNumType w:start="39"/>
        </w:sectPr>
      </w:pPr>
    </w:p>
    <w:p>
      <w:pPr>
        <w:pStyle w:val="BodyText"/>
        <w:spacing w:before="10"/>
        <w:rPr>
          <w:sz w:val="19"/>
        </w:rPr>
      </w:pPr>
    </w:p>
    <w:p>
      <w:pPr>
        <w:spacing w:before="0"/>
        <w:ind w:left="169" w:right="0" w:firstLine="0"/>
        <w:jc w:val="left"/>
        <w:rPr>
          <w:b/>
          <w:sz w:val="20"/>
        </w:rPr>
      </w:pPr>
      <w:bookmarkStart w:name="Costs and prices in manufacturing" w:id="62"/>
      <w:bookmarkEnd w:id="62"/>
      <w:r>
        <w:rPr/>
      </w:r>
      <w:bookmarkStart w:name="_bookmark26" w:id="63"/>
      <w:bookmarkEnd w:id="63"/>
      <w:r>
        <w:rPr/>
      </w:r>
      <w:r>
        <w:rPr>
          <w:b/>
          <w:color w:val="0092C7"/>
          <w:sz w:val="20"/>
        </w:rPr>
        <w:t>Chart 4.5</w:t>
      </w:r>
    </w:p>
    <w:p>
      <w:pPr>
        <w:spacing w:before="10"/>
        <w:ind w:left="169" w:right="0" w:firstLine="0"/>
        <w:jc w:val="left"/>
        <w:rPr>
          <w:sz w:val="12"/>
        </w:rPr>
      </w:pPr>
      <w:r>
        <w:rPr>
          <w:b/>
          <w:color w:val="0092C7"/>
          <w:sz w:val="20"/>
        </w:rPr>
        <w:t>UK terms of trade</w:t>
      </w:r>
      <w:r>
        <w:rPr>
          <w:position w:val="4"/>
          <w:sz w:val="12"/>
        </w:rPr>
        <w:t>(a)</w:t>
      </w:r>
    </w:p>
    <w:p>
      <w:pPr>
        <w:pStyle w:val="BodyText"/>
        <w:spacing w:before="5" w:after="39"/>
        <w:rPr>
          <w:sz w:val="13"/>
        </w:rPr>
      </w:pPr>
    </w:p>
    <w:p>
      <w:pPr>
        <w:pStyle w:val="BodyText"/>
        <w:spacing w:line="20" w:lineRule="exact"/>
        <w:ind w:left="206"/>
        <w:rPr>
          <w:sz w:val="2"/>
        </w:rPr>
      </w:pPr>
      <w:r>
        <w:rPr>
          <w:sz w:val="2"/>
        </w:rPr>
        <w:drawing>
          <wp:inline distT="0" distB="0" distL="0" distR="0">
            <wp:extent cx="55317" cy="6381"/>
            <wp:effectExtent l="0" t="0" r="0" b="0"/>
            <wp:docPr id="279" name="image14.png"/>
            <wp:cNvGraphicFramePr>
              <a:graphicFrameLocks noChangeAspect="1"/>
            </wp:cNvGraphicFramePr>
            <a:graphic>
              <a:graphicData uri="http://schemas.openxmlformats.org/drawingml/2006/picture">
                <pic:pic>
                  <pic:nvPicPr>
                    <pic:cNvPr id="280" name="image14.png"/>
                    <pic:cNvPicPr/>
                  </pic:nvPicPr>
                  <pic:blipFill>
                    <a:blip r:embed="rId39" cstate="print"/>
                    <a:stretch>
                      <a:fillRect/>
                    </a:stretch>
                  </pic:blipFill>
                  <pic:spPr>
                    <a:xfrm>
                      <a:off x="0" y="0"/>
                      <a:ext cx="55317" cy="6381"/>
                    </a:xfrm>
                    <a:prstGeom prst="rect">
                      <a:avLst/>
                    </a:prstGeom>
                  </pic:spPr>
                </pic:pic>
              </a:graphicData>
            </a:graphic>
          </wp:inline>
        </w:drawing>
      </w:r>
      <w:r>
        <w:rPr>
          <w:sz w:val="2"/>
        </w:rPr>
      </w:r>
    </w:p>
    <w:p>
      <w:pPr>
        <w:pStyle w:val="BodyText"/>
        <w:rPr>
          <w:sz w:val="20"/>
        </w:rPr>
      </w:pPr>
    </w:p>
    <w:p>
      <w:pPr>
        <w:pStyle w:val="BodyText"/>
        <w:spacing w:before="7"/>
        <w:rPr>
          <w:sz w:val="10"/>
        </w:rPr>
      </w:pPr>
      <w:r>
        <w:rPr/>
        <w:drawing>
          <wp:anchor distT="0" distB="0" distL="0" distR="0" allowOverlap="1" layoutInCell="1" locked="0" behindDoc="0" simplePos="0" relativeHeight="771">
            <wp:simplePos x="0" y="0"/>
            <wp:positionH relativeFrom="page">
              <wp:posOffset>537463</wp:posOffset>
            </wp:positionH>
            <wp:positionV relativeFrom="paragraph">
              <wp:posOffset>102298</wp:posOffset>
            </wp:positionV>
            <wp:extent cx="55317" cy="6381"/>
            <wp:effectExtent l="0" t="0" r="0" b="0"/>
            <wp:wrapTopAndBottom/>
            <wp:docPr id="281" name="image14.png"/>
            <wp:cNvGraphicFramePr>
              <a:graphicFrameLocks noChangeAspect="1"/>
            </wp:cNvGraphicFramePr>
            <a:graphic>
              <a:graphicData uri="http://schemas.openxmlformats.org/drawingml/2006/picture">
                <pic:pic>
                  <pic:nvPicPr>
                    <pic:cNvPr id="282" name="image14.png"/>
                    <pic:cNvPicPr/>
                  </pic:nvPicPr>
                  <pic:blipFill>
                    <a:blip r:embed="rId39"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72">
            <wp:simplePos x="0" y="0"/>
            <wp:positionH relativeFrom="page">
              <wp:posOffset>537463</wp:posOffset>
            </wp:positionH>
            <wp:positionV relativeFrom="paragraph">
              <wp:posOffset>363321</wp:posOffset>
            </wp:positionV>
            <wp:extent cx="55317" cy="6381"/>
            <wp:effectExtent l="0" t="0" r="0" b="0"/>
            <wp:wrapTopAndBottom/>
            <wp:docPr id="283" name="image14.png"/>
            <wp:cNvGraphicFramePr>
              <a:graphicFrameLocks noChangeAspect="1"/>
            </wp:cNvGraphicFramePr>
            <a:graphic>
              <a:graphicData uri="http://schemas.openxmlformats.org/drawingml/2006/picture">
                <pic:pic>
                  <pic:nvPicPr>
                    <pic:cNvPr id="284" name="image14.png"/>
                    <pic:cNvPicPr/>
                  </pic:nvPicPr>
                  <pic:blipFill>
                    <a:blip r:embed="rId39"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73">
            <wp:simplePos x="0" y="0"/>
            <wp:positionH relativeFrom="page">
              <wp:posOffset>537463</wp:posOffset>
            </wp:positionH>
            <wp:positionV relativeFrom="paragraph">
              <wp:posOffset>624357</wp:posOffset>
            </wp:positionV>
            <wp:extent cx="55317" cy="6381"/>
            <wp:effectExtent l="0" t="0" r="0" b="0"/>
            <wp:wrapTopAndBottom/>
            <wp:docPr id="285" name="image14.png"/>
            <wp:cNvGraphicFramePr>
              <a:graphicFrameLocks noChangeAspect="1"/>
            </wp:cNvGraphicFramePr>
            <a:graphic>
              <a:graphicData uri="http://schemas.openxmlformats.org/drawingml/2006/picture">
                <pic:pic>
                  <pic:nvPicPr>
                    <pic:cNvPr id="286" name="image14.png"/>
                    <pic:cNvPicPr/>
                  </pic:nvPicPr>
                  <pic:blipFill>
                    <a:blip r:embed="rId39"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74">
            <wp:simplePos x="0" y="0"/>
            <wp:positionH relativeFrom="page">
              <wp:posOffset>537463</wp:posOffset>
            </wp:positionH>
            <wp:positionV relativeFrom="paragraph">
              <wp:posOffset>885380</wp:posOffset>
            </wp:positionV>
            <wp:extent cx="54491" cy="6286"/>
            <wp:effectExtent l="0" t="0" r="0" b="0"/>
            <wp:wrapTopAndBottom/>
            <wp:docPr id="287" name="image17.png"/>
            <wp:cNvGraphicFramePr>
              <a:graphicFrameLocks noChangeAspect="1"/>
            </wp:cNvGraphicFramePr>
            <a:graphic>
              <a:graphicData uri="http://schemas.openxmlformats.org/drawingml/2006/picture">
                <pic:pic>
                  <pic:nvPicPr>
                    <pic:cNvPr id="288" name="image17.png"/>
                    <pic:cNvPicPr/>
                  </pic:nvPicPr>
                  <pic:blipFill>
                    <a:blip r:embed="rId42"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775">
            <wp:simplePos x="0" y="0"/>
            <wp:positionH relativeFrom="page">
              <wp:posOffset>537463</wp:posOffset>
            </wp:positionH>
            <wp:positionV relativeFrom="paragraph">
              <wp:posOffset>1146415</wp:posOffset>
            </wp:positionV>
            <wp:extent cx="54491" cy="6286"/>
            <wp:effectExtent l="0" t="0" r="0" b="0"/>
            <wp:wrapTopAndBottom/>
            <wp:docPr id="289" name="image17.png"/>
            <wp:cNvGraphicFramePr>
              <a:graphicFrameLocks noChangeAspect="1"/>
            </wp:cNvGraphicFramePr>
            <a:graphic>
              <a:graphicData uri="http://schemas.openxmlformats.org/drawingml/2006/picture">
                <pic:pic>
                  <pic:nvPicPr>
                    <pic:cNvPr id="290" name="image17.png"/>
                    <pic:cNvPicPr/>
                  </pic:nvPicPr>
                  <pic:blipFill>
                    <a:blip r:embed="rId42" cstate="print"/>
                    <a:stretch>
                      <a:fillRect/>
                    </a:stretch>
                  </pic:blipFill>
                  <pic:spPr>
                    <a:xfrm>
                      <a:off x="0" y="0"/>
                      <a:ext cx="54491" cy="6286"/>
                    </a:xfrm>
                    <a:prstGeom prst="rect">
                      <a:avLst/>
                    </a:prstGeom>
                  </pic:spPr>
                </pic:pic>
              </a:graphicData>
            </a:graphic>
          </wp:anchor>
        </w:drawing>
      </w:r>
      <w:r>
        <w:rPr/>
        <w:drawing>
          <wp:anchor distT="0" distB="0" distL="0" distR="0" allowOverlap="1" layoutInCell="1" locked="0" behindDoc="0" simplePos="0" relativeHeight="776">
            <wp:simplePos x="0" y="0"/>
            <wp:positionH relativeFrom="page">
              <wp:posOffset>537463</wp:posOffset>
            </wp:positionH>
            <wp:positionV relativeFrom="paragraph">
              <wp:posOffset>1407439</wp:posOffset>
            </wp:positionV>
            <wp:extent cx="55317" cy="6381"/>
            <wp:effectExtent l="0" t="0" r="0" b="0"/>
            <wp:wrapTopAndBottom/>
            <wp:docPr id="291" name="image14.png"/>
            <wp:cNvGraphicFramePr>
              <a:graphicFrameLocks noChangeAspect="1"/>
            </wp:cNvGraphicFramePr>
            <a:graphic>
              <a:graphicData uri="http://schemas.openxmlformats.org/drawingml/2006/picture">
                <pic:pic>
                  <pic:nvPicPr>
                    <pic:cNvPr id="292" name="image14.png"/>
                    <pic:cNvPicPr/>
                  </pic:nvPicPr>
                  <pic:blipFill>
                    <a:blip r:embed="rId39" cstate="print"/>
                    <a:stretch>
                      <a:fillRect/>
                    </a:stretch>
                  </pic:blipFill>
                  <pic:spPr>
                    <a:xfrm>
                      <a:off x="0" y="0"/>
                      <a:ext cx="55317" cy="6381"/>
                    </a:xfrm>
                    <a:prstGeom prst="rect">
                      <a:avLst/>
                    </a:prstGeom>
                  </pic:spPr>
                </pic:pic>
              </a:graphicData>
            </a:graphic>
          </wp:anchor>
        </w:drawing>
      </w:r>
      <w:r>
        <w:rPr/>
        <w:drawing>
          <wp:anchor distT="0" distB="0" distL="0" distR="0" allowOverlap="1" layoutInCell="1" locked="0" behindDoc="0" simplePos="0" relativeHeight="777">
            <wp:simplePos x="0" y="0"/>
            <wp:positionH relativeFrom="page">
              <wp:posOffset>537463</wp:posOffset>
            </wp:positionH>
            <wp:positionV relativeFrom="paragraph">
              <wp:posOffset>1668474</wp:posOffset>
            </wp:positionV>
            <wp:extent cx="55317" cy="6381"/>
            <wp:effectExtent l="0" t="0" r="0" b="0"/>
            <wp:wrapTopAndBottom/>
            <wp:docPr id="293" name="image14.png"/>
            <wp:cNvGraphicFramePr>
              <a:graphicFrameLocks noChangeAspect="1"/>
            </wp:cNvGraphicFramePr>
            <a:graphic>
              <a:graphicData uri="http://schemas.openxmlformats.org/drawingml/2006/picture">
                <pic:pic>
                  <pic:nvPicPr>
                    <pic:cNvPr id="294" name="image14.png"/>
                    <pic:cNvPicPr/>
                  </pic:nvPicPr>
                  <pic:blipFill>
                    <a:blip r:embed="rId39" cstate="print"/>
                    <a:stretch>
                      <a:fillRect/>
                    </a:stretch>
                  </pic:blipFill>
                  <pic:spPr>
                    <a:xfrm>
                      <a:off x="0" y="0"/>
                      <a:ext cx="55317" cy="6381"/>
                    </a:xfrm>
                    <a:prstGeom prst="rect">
                      <a:avLst/>
                    </a:prstGeom>
                  </pic:spPr>
                </pic:pic>
              </a:graphicData>
            </a:graphic>
          </wp:anchor>
        </w:drawing>
      </w:r>
    </w:p>
    <w:p>
      <w:pPr>
        <w:pStyle w:val="BodyText"/>
        <w:spacing w:before="11"/>
        <w:rPr>
          <w:sz w:val="28"/>
        </w:rPr>
      </w:pPr>
    </w:p>
    <w:p>
      <w:pPr>
        <w:pStyle w:val="BodyText"/>
        <w:spacing w:before="11"/>
        <w:rPr>
          <w:sz w:val="28"/>
        </w:rPr>
      </w:pPr>
    </w:p>
    <w:p>
      <w:pPr>
        <w:pStyle w:val="BodyText"/>
        <w:spacing w:before="11"/>
        <w:rPr>
          <w:sz w:val="28"/>
        </w:rPr>
      </w:pPr>
    </w:p>
    <w:p>
      <w:pPr>
        <w:pStyle w:val="BodyText"/>
        <w:spacing w:before="11"/>
        <w:rPr>
          <w:sz w:val="28"/>
        </w:rPr>
      </w:pPr>
    </w:p>
    <w:p>
      <w:pPr>
        <w:pStyle w:val="BodyText"/>
        <w:spacing w:before="11"/>
        <w:rPr>
          <w:sz w:val="28"/>
        </w:rPr>
      </w:pPr>
    </w:p>
    <w:p>
      <w:pPr>
        <w:pStyle w:val="BodyText"/>
        <w:spacing w:before="11"/>
        <w:rPr>
          <w:sz w:val="28"/>
        </w:rPr>
      </w:pPr>
    </w:p>
    <w:p>
      <w:pPr>
        <w:pStyle w:val="BodyText"/>
        <w:rPr>
          <w:sz w:val="20"/>
        </w:rPr>
      </w:pPr>
      <w:r>
        <w:rPr/>
        <w:br w:type="column"/>
      </w:r>
      <w:r>
        <w:rPr>
          <w:sz w:val="20"/>
        </w:rPr>
      </w:r>
    </w:p>
    <w:p>
      <w:pPr>
        <w:pStyle w:val="BodyText"/>
        <w:rPr>
          <w:sz w:val="20"/>
        </w:rPr>
      </w:pPr>
    </w:p>
    <w:p>
      <w:pPr>
        <w:pStyle w:val="BodyText"/>
        <w:spacing w:before="6"/>
        <w:rPr>
          <w:sz w:val="25"/>
        </w:rPr>
      </w:pPr>
    </w:p>
    <w:p>
      <w:pPr>
        <w:spacing w:before="0"/>
        <w:ind w:left="169" w:right="0" w:firstLine="0"/>
        <w:jc w:val="left"/>
        <w:rPr>
          <w:sz w:val="12"/>
        </w:rPr>
      </w:pPr>
      <w:r>
        <w:rPr>
          <w:sz w:val="12"/>
        </w:rPr>
        <w:t>1995 = 1</w:t>
      </w:r>
      <w:r>
        <w:rPr>
          <w:sz w:val="12"/>
          <w:u w:val="single"/>
        </w:rPr>
        <w:t>00</w:t>
      </w:r>
      <w:r>
        <w:rPr>
          <w:spacing w:val="-1"/>
          <w:sz w:val="12"/>
        </w:rPr>
        <w:t> </w:t>
      </w:r>
      <w:r>
        <w:rPr>
          <w:position w:val="-6"/>
          <w:sz w:val="12"/>
        </w:rPr>
        <w:t>105</w:t>
      </w:r>
    </w:p>
    <w:p>
      <w:pPr>
        <w:pStyle w:val="BodyText"/>
        <w:spacing w:before="7"/>
        <w:rPr>
          <w:sz w:val="23"/>
        </w:rPr>
      </w:pPr>
    </w:p>
    <w:p>
      <w:pPr>
        <w:spacing w:before="1"/>
        <w:ind w:left="0" w:right="38" w:firstLine="0"/>
        <w:jc w:val="right"/>
        <w:rPr>
          <w:sz w:val="12"/>
        </w:rPr>
      </w:pPr>
      <w:r>
        <w:rPr/>
        <w:pict>
          <v:group style="position:absolute;margin-left:50.259998pt;margin-top:-11.277864pt;width:152.950pt;height:128.5pt;mso-position-horizontal-relative:page;mso-position-vertical-relative:paragraph;z-index:16134656" coordorigin="1005,-226" coordsize="3059,2570">
            <v:shape style="position:absolute;left:1005;top:-226;width:3059;height:2570" type="#_x0000_t75" stroked="false">
              <v:imagedata r:id="rId162" o:title=""/>
            </v:shape>
            <v:shape style="position:absolute;left:2492;top:750;width:637;height:134" type="#_x0000_t202" filled="false" stroked="false">
              <v:textbox inset="0,0,0,0">
                <w:txbxContent>
                  <w:p>
                    <w:pPr>
                      <w:spacing w:line="133" w:lineRule="exact" w:before="0"/>
                      <w:ind w:left="0" w:right="0" w:firstLine="0"/>
                      <w:jc w:val="left"/>
                      <w:rPr>
                        <w:sz w:val="12"/>
                      </w:rPr>
                    </w:pPr>
                    <w:r>
                      <w:rPr>
                        <w:sz w:val="12"/>
                      </w:rPr>
                      <w:t>Including oil</w:t>
                    </w:r>
                  </w:p>
                </w:txbxContent>
              </v:textbox>
              <w10:wrap type="none"/>
            </v:shape>
            <v:shape style="position:absolute;left:2964;top:1519;width:670;height:134" type="#_x0000_t202" filled="false" stroked="false">
              <v:textbox inset="0,0,0,0">
                <w:txbxContent>
                  <w:p>
                    <w:pPr>
                      <w:spacing w:line="133" w:lineRule="exact" w:before="0"/>
                      <w:ind w:left="0" w:right="0" w:firstLine="0"/>
                      <w:jc w:val="left"/>
                      <w:rPr>
                        <w:sz w:val="12"/>
                      </w:rPr>
                    </w:pPr>
                    <w:r>
                      <w:rPr>
                        <w:sz w:val="12"/>
                      </w:rPr>
                      <w:t>Excluding oil</w:t>
                    </w:r>
                  </w:p>
                </w:txbxContent>
              </v:textbox>
              <w10:wrap type="none"/>
            </v:shape>
            <w10:wrap type="none"/>
          </v:group>
        </w:pict>
      </w:r>
      <w:r>
        <w:rPr>
          <w:sz w:val="12"/>
        </w:rPr>
        <w:t>104</w:t>
      </w:r>
    </w:p>
    <w:p>
      <w:pPr>
        <w:pStyle w:val="BodyText"/>
        <w:rPr>
          <w:sz w:val="12"/>
        </w:rPr>
      </w:pPr>
    </w:p>
    <w:p>
      <w:pPr>
        <w:pStyle w:val="BodyText"/>
        <w:spacing w:before="8"/>
        <w:rPr>
          <w:sz w:val="11"/>
        </w:rPr>
      </w:pPr>
    </w:p>
    <w:p>
      <w:pPr>
        <w:spacing w:before="0"/>
        <w:ind w:left="0" w:right="38" w:firstLine="0"/>
        <w:jc w:val="right"/>
        <w:rPr>
          <w:sz w:val="12"/>
        </w:rPr>
      </w:pPr>
      <w:r>
        <w:rPr>
          <w:sz w:val="12"/>
        </w:rPr>
        <w:t>103</w:t>
      </w:r>
    </w:p>
    <w:p>
      <w:pPr>
        <w:pStyle w:val="BodyText"/>
        <w:rPr>
          <w:sz w:val="12"/>
        </w:rPr>
      </w:pPr>
    </w:p>
    <w:p>
      <w:pPr>
        <w:pStyle w:val="BodyText"/>
        <w:spacing w:before="8"/>
        <w:rPr>
          <w:sz w:val="11"/>
        </w:rPr>
      </w:pPr>
    </w:p>
    <w:p>
      <w:pPr>
        <w:spacing w:before="0"/>
        <w:ind w:left="0" w:right="38" w:firstLine="0"/>
        <w:jc w:val="right"/>
        <w:rPr>
          <w:sz w:val="12"/>
        </w:rPr>
      </w:pPr>
      <w:r>
        <w:rPr>
          <w:sz w:val="12"/>
        </w:rPr>
        <w:t>102</w:t>
      </w:r>
    </w:p>
    <w:p>
      <w:pPr>
        <w:pStyle w:val="BodyText"/>
        <w:rPr>
          <w:sz w:val="12"/>
        </w:rPr>
      </w:pPr>
    </w:p>
    <w:p>
      <w:pPr>
        <w:pStyle w:val="BodyText"/>
        <w:spacing w:before="8"/>
        <w:rPr>
          <w:sz w:val="11"/>
        </w:rPr>
      </w:pPr>
    </w:p>
    <w:p>
      <w:pPr>
        <w:spacing w:before="0"/>
        <w:ind w:left="0" w:right="38" w:firstLine="0"/>
        <w:jc w:val="right"/>
        <w:rPr>
          <w:sz w:val="12"/>
        </w:rPr>
      </w:pPr>
      <w:r>
        <w:rPr>
          <w:sz w:val="12"/>
        </w:rPr>
        <w:t>101</w:t>
      </w:r>
    </w:p>
    <w:p>
      <w:pPr>
        <w:pStyle w:val="BodyText"/>
        <w:rPr>
          <w:sz w:val="12"/>
        </w:rPr>
      </w:pPr>
    </w:p>
    <w:p>
      <w:pPr>
        <w:pStyle w:val="BodyText"/>
        <w:spacing w:before="8"/>
        <w:rPr>
          <w:sz w:val="11"/>
        </w:rPr>
      </w:pPr>
    </w:p>
    <w:p>
      <w:pPr>
        <w:spacing w:before="1"/>
        <w:ind w:left="0" w:right="38" w:firstLine="0"/>
        <w:jc w:val="right"/>
        <w:rPr>
          <w:sz w:val="12"/>
        </w:rPr>
      </w:pPr>
      <w:r>
        <w:rPr>
          <w:sz w:val="12"/>
        </w:rPr>
        <w:t>100</w:t>
      </w:r>
    </w:p>
    <w:p>
      <w:pPr>
        <w:pStyle w:val="BodyText"/>
        <w:rPr>
          <w:sz w:val="12"/>
        </w:rPr>
      </w:pPr>
    </w:p>
    <w:p>
      <w:pPr>
        <w:pStyle w:val="BodyText"/>
        <w:spacing w:before="8"/>
        <w:rPr>
          <w:sz w:val="11"/>
        </w:rPr>
      </w:pPr>
    </w:p>
    <w:p>
      <w:pPr>
        <w:spacing w:before="0"/>
        <w:ind w:left="0" w:right="38" w:firstLine="0"/>
        <w:jc w:val="right"/>
        <w:rPr>
          <w:sz w:val="12"/>
        </w:rPr>
      </w:pPr>
      <w:r>
        <w:rPr>
          <w:sz w:val="12"/>
        </w:rPr>
        <w:t>99</w:t>
      </w:r>
    </w:p>
    <w:p>
      <w:pPr>
        <w:pStyle w:val="BodyText"/>
        <w:rPr>
          <w:sz w:val="12"/>
        </w:rPr>
      </w:pPr>
    </w:p>
    <w:p>
      <w:pPr>
        <w:pStyle w:val="BodyText"/>
        <w:spacing w:before="8"/>
        <w:rPr>
          <w:sz w:val="11"/>
        </w:rPr>
      </w:pPr>
    </w:p>
    <w:p>
      <w:pPr>
        <w:spacing w:line="97" w:lineRule="exact" w:before="0"/>
        <w:ind w:left="0" w:right="38" w:firstLine="0"/>
        <w:jc w:val="right"/>
        <w:rPr>
          <w:sz w:val="12"/>
        </w:rPr>
      </w:pPr>
      <w:r>
        <w:rPr/>
        <w:drawing>
          <wp:anchor distT="0" distB="0" distL="0" distR="0" allowOverlap="1" layoutInCell="1" locked="0" behindDoc="0" simplePos="0" relativeHeight="16135168">
            <wp:simplePos x="0" y="0"/>
            <wp:positionH relativeFrom="page">
              <wp:posOffset>643064</wp:posOffset>
            </wp:positionH>
            <wp:positionV relativeFrom="paragraph">
              <wp:posOffset>7944</wp:posOffset>
            </wp:positionV>
            <wp:extent cx="1937270" cy="45783"/>
            <wp:effectExtent l="0" t="0" r="0" b="0"/>
            <wp:wrapNone/>
            <wp:docPr id="295" name="image104.png"/>
            <wp:cNvGraphicFramePr>
              <a:graphicFrameLocks noChangeAspect="1"/>
            </wp:cNvGraphicFramePr>
            <a:graphic>
              <a:graphicData uri="http://schemas.openxmlformats.org/drawingml/2006/picture">
                <pic:pic>
                  <pic:nvPicPr>
                    <pic:cNvPr id="296" name="image104.png"/>
                    <pic:cNvPicPr/>
                  </pic:nvPicPr>
                  <pic:blipFill>
                    <a:blip r:embed="rId163" cstate="print"/>
                    <a:stretch>
                      <a:fillRect/>
                    </a:stretch>
                  </pic:blipFill>
                  <pic:spPr>
                    <a:xfrm>
                      <a:off x="0" y="0"/>
                      <a:ext cx="1937270" cy="45783"/>
                    </a:xfrm>
                    <a:prstGeom prst="rect">
                      <a:avLst/>
                    </a:prstGeom>
                  </pic:spPr>
                </pic:pic>
              </a:graphicData>
            </a:graphic>
          </wp:anchor>
        </w:drawing>
      </w:r>
      <w:r>
        <w:rPr>
          <w:sz w:val="12"/>
        </w:rPr>
        <w:t>98</w:t>
      </w:r>
    </w:p>
    <w:p>
      <w:pPr>
        <w:pStyle w:val="BodyText"/>
        <w:spacing w:line="242" w:lineRule="auto" w:before="212"/>
        <w:ind w:left="169" w:right="155"/>
      </w:pPr>
      <w:r>
        <w:rPr/>
        <w:br w:type="column"/>
      </w:r>
      <w:r>
        <w:rPr/>
        <w:t>since 1997, but the gap between goods and services import prices has narrowed recently.</w:t>
      </w:r>
    </w:p>
    <w:p>
      <w:pPr>
        <w:pStyle w:val="BodyText"/>
        <w:spacing w:before="7"/>
      </w:pPr>
    </w:p>
    <w:p>
      <w:pPr>
        <w:pStyle w:val="BodyText"/>
        <w:spacing w:line="242" w:lineRule="auto"/>
        <w:ind w:left="169" w:right="135"/>
      </w:pPr>
      <w:r>
        <w:rPr/>
        <w:t>Previous </w:t>
      </w:r>
      <w:r>
        <w:rPr>
          <w:i/>
        </w:rPr>
        <w:t>Reports </w:t>
      </w:r>
      <w:r>
        <w:rPr/>
        <w:t>have discussed an imbalance in the UK economy, arising from the strength of sterling, between sectors that depend heavily on sales to export markets and/or which are exposed to import competition and those less affected by international competition.</w:t>
      </w:r>
    </w:p>
    <w:p>
      <w:pPr>
        <w:pStyle w:val="BodyText"/>
        <w:spacing w:line="242" w:lineRule="auto" w:before="6"/>
        <w:ind w:left="169" w:right="429"/>
      </w:pPr>
      <w:r>
        <w:rPr/>
        <w:t>Another imbalance has arisen over the past year or so due to differences between the oil and non-oil sectors. Chart 4.5 shows the UK terms of trade, measured as export prices as a percentage of import prices. Export prices have risen relative to import prices since 1996</w:t>
      </w:r>
    </w:p>
    <w:p>
      <w:pPr>
        <w:spacing w:after="0" w:line="242" w:lineRule="auto"/>
        <w:sectPr>
          <w:type w:val="continuous"/>
          <w:pgSz w:w="11900" w:h="16840"/>
          <w:pgMar w:top="1260" w:bottom="280" w:left="640" w:right="640"/>
          <w:cols w:num="3" w:equalWidth="0">
            <w:col w:w="1904" w:space="802"/>
            <w:col w:w="967" w:space="1137"/>
            <w:col w:w="5810"/>
          </w:cols>
        </w:sectPr>
      </w:pPr>
    </w:p>
    <w:p>
      <w:pPr>
        <w:spacing w:line="82" w:lineRule="exact" w:before="0"/>
        <w:ind w:left="376" w:right="0" w:firstLine="0"/>
        <w:jc w:val="left"/>
        <w:rPr>
          <w:sz w:val="12"/>
        </w:rPr>
      </w:pPr>
      <w:r>
        <w:rPr>
          <w:sz w:val="12"/>
        </w:rPr>
        <w:t>1990 91 92 93 94 95 96 97 98 99 2000</w:t>
      </w:r>
    </w:p>
    <w:p>
      <w:pPr>
        <w:spacing w:before="82"/>
        <w:ind w:left="180" w:right="0" w:firstLine="0"/>
        <w:jc w:val="left"/>
        <w:rPr>
          <w:sz w:val="12"/>
        </w:rPr>
      </w:pPr>
      <w:r>
        <w:rPr>
          <w:sz w:val="12"/>
        </w:rPr>
        <w:t>Source: ONS.</w:t>
      </w:r>
    </w:p>
    <w:p>
      <w:pPr>
        <w:spacing w:before="102"/>
        <w:ind w:left="180" w:right="0" w:firstLine="0"/>
        <w:jc w:val="left"/>
        <w:rPr>
          <w:sz w:val="12"/>
        </w:rPr>
      </w:pPr>
      <w:r>
        <w:rPr>
          <w:sz w:val="12"/>
        </w:rPr>
        <w:t>(a) Export price deflator as percentage of import price deflator.</w:t>
      </w:r>
    </w:p>
    <w:p>
      <w:pPr>
        <w:pStyle w:val="BodyText"/>
        <w:spacing w:before="9"/>
        <w:rPr>
          <w:sz w:val="16"/>
        </w:rPr>
      </w:pPr>
    </w:p>
    <w:p>
      <w:pPr>
        <w:spacing w:before="0"/>
        <w:ind w:left="169" w:right="0" w:firstLine="0"/>
        <w:jc w:val="left"/>
        <w:rPr>
          <w:b/>
          <w:sz w:val="20"/>
        </w:rPr>
      </w:pPr>
      <w:r>
        <w:rPr>
          <w:b/>
          <w:color w:val="0092C7"/>
          <w:sz w:val="20"/>
        </w:rPr>
        <w:t>Chart 4.6</w:t>
      </w:r>
    </w:p>
    <w:p>
      <w:pPr>
        <w:spacing w:before="10"/>
        <w:ind w:left="169" w:right="0" w:firstLine="0"/>
        <w:jc w:val="left"/>
        <w:rPr>
          <w:b/>
          <w:sz w:val="20"/>
        </w:rPr>
      </w:pPr>
      <w:r>
        <w:rPr>
          <w:b/>
          <w:color w:val="0092C7"/>
          <w:sz w:val="20"/>
        </w:rPr>
        <w:t>Manufacturing input prices</w:t>
      </w:r>
    </w:p>
    <w:p>
      <w:pPr>
        <w:pStyle w:val="BodyText"/>
        <w:spacing w:line="242" w:lineRule="auto" w:before="6"/>
        <w:ind w:left="169" w:right="143"/>
      </w:pPr>
      <w:r>
        <w:rPr/>
        <w:br w:type="column"/>
      </w:r>
      <w:r>
        <w:rPr/>
        <w:t>when sterling began to appreciate, and until 1999 the picture looked the same whether oil prices were included or not. However, oil has a bigger weight in UK exports than in imports, and, while the non-oil terms of trade have fallen sharply in the past year, the oil-inclusive</w:t>
      </w:r>
    </w:p>
    <w:p>
      <w:pPr>
        <w:spacing w:after="0" w:line="242" w:lineRule="auto"/>
        <w:sectPr>
          <w:type w:val="continuous"/>
          <w:pgSz w:w="11900" w:h="16840"/>
          <w:pgMar w:top="1260" w:bottom="280" w:left="640" w:right="640"/>
          <w:cols w:num="2" w:equalWidth="0">
            <w:col w:w="3477" w:space="1333"/>
            <w:col w:w="5810"/>
          </w:cols>
        </w:sectPr>
      </w:pPr>
    </w:p>
    <w:p>
      <w:pPr>
        <w:spacing w:line="187" w:lineRule="auto" w:before="0"/>
        <w:ind w:left="202" w:right="0" w:firstLine="0"/>
        <w:jc w:val="left"/>
        <w:rPr>
          <w:sz w:val="12"/>
        </w:rPr>
      </w:pPr>
      <w:r>
        <w:rPr/>
        <w:pict>
          <v:group style="position:absolute;margin-left:49.777pt;margin-top:7.980234pt;width:153.5pt;height:128.9pt;mso-position-horizontal-relative:page;mso-position-vertical-relative:paragraph;z-index:16129536" coordorigin="996,160" coordsize="3070,2578">
            <v:shape style="position:absolute;left:995;top:159;width:3070;height:2578" type="#_x0000_t75" stroked="false">
              <v:imagedata r:id="rId164" o:title=""/>
            </v:shape>
            <v:shape style="position:absolute;left:995;top:159;width:3070;height:2578" type="#_x0000_t202" filled="false" stroked="false">
              <v:textbox inset="0,0,0,0">
                <w:txbxContent>
                  <w:p>
                    <w:pPr>
                      <w:spacing w:line="129" w:lineRule="exact" w:before="82"/>
                      <w:ind w:left="1735" w:right="0" w:firstLine="0"/>
                      <w:jc w:val="left"/>
                      <w:rPr>
                        <w:sz w:val="12"/>
                      </w:rPr>
                    </w:pPr>
                    <w:r>
                      <w:rPr>
                        <w:sz w:val="12"/>
                      </w:rPr>
                      <w:t>Input prices</w:t>
                    </w:r>
                  </w:p>
                  <w:p>
                    <w:pPr>
                      <w:spacing w:line="129" w:lineRule="exact" w:before="0"/>
                      <w:ind w:left="1795" w:right="0" w:firstLine="0"/>
                      <w:jc w:val="left"/>
                      <w:rPr>
                        <w:sz w:val="12"/>
                      </w:rPr>
                    </w:pPr>
                    <w:r>
                      <w:rPr>
                        <w:sz w:val="12"/>
                      </w:rPr>
                      <w:t>(right-hand scale)</w:t>
                    </w:r>
                  </w:p>
                  <w:p>
                    <w:pPr>
                      <w:spacing w:line="240" w:lineRule="auto" w:before="0"/>
                      <w:rPr>
                        <w:sz w:val="12"/>
                      </w:rPr>
                    </w:pPr>
                  </w:p>
                  <w:p>
                    <w:pPr>
                      <w:spacing w:line="208" w:lineRule="auto" w:before="79"/>
                      <w:ind w:left="1012" w:right="1205" w:hanging="60"/>
                      <w:jc w:val="left"/>
                      <w:rPr>
                        <w:sz w:val="12"/>
                      </w:rPr>
                    </w:pPr>
                    <w:r>
                      <w:rPr>
                        <w:sz w:val="12"/>
                      </w:rPr>
                      <w:t>Unit wage costs (right-hand scale)</w:t>
                    </w:r>
                  </w:p>
                </w:txbxContent>
              </v:textbox>
              <w10:wrap type="none"/>
            </v:shape>
            <w10:wrap type="none"/>
          </v:group>
        </w:pict>
      </w:r>
      <w:r>
        <w:rPr>
          <w:position w:val="-8"/>
          <w:sz w:val="12"/>
        </w:rPr>
        <w:t>80 </w:t>
      </w:r>
      <w:r>
        <w:rPr>
          <w:sz w:val="12"/>
        </w:rPr>
        <w:t>Index</w:t>
      </w:r>
    </w:p>
    <w:p>
      <w:pPr>
        <w:pStyle w:val="BodyText"/>
        <w:spacing w:before="8"/>
        <w:rPr>
          <w:sz w:val="30"/>
        </w:rPr>
      </w:pPr>
    </w:p>
    <w:p>
      <w:pPr>
        <w:spacing w:before="0"/>
        <w:ind w:left="202" w:right="0" w:firstLine="0"/>
        <w:jc w:val="left"/>
        <w:rPr>
          <w:sz w:val="12"/>
        </w:rPr>
      </w:pPr>
      <w:r>
        <w:rPr>
          <w:sz w:val="12"/>
        </w:rPr>
        <w:t>70</w:t>
      </w:r>
    </w:p>
    <w:p>
      <w:pPr>
        <w:pStyle w:val="BodyText"/>
        <w:rPr>
          <w:sz w:val="12"/>
        </w:rPr>
      </w:pPr>
    </w:p>
    <w:p>
      <w:pPr>
        <w:pStyle w:val="BodyText"/>
        <w:rPr>
          <w:sz w:val="12"/>
        </w:rPr>
      </w:pPr>
    </w:p>
    <w:p>
      <w:pPr>
        <w:spacing w:before="74"/>
        <w:ind w:left="202" w:right="0" w:firstLine="0"/>
        <w:jc w:val="left"/>
        <w:rPr>
          <w:sz w:val="12"/>
        </w:rPr>
      </w:pPr>
      <w:r>
        <w:rPr>
          <w:sz w:val="12"/>
        </w:rPr>
        <w:t>60</w:t>
      </w:r>
    </w:p>
    <w:p>
      <w:pPr>
        <w:pStyle w:val="BodyText"/>
        <w:rPr>
          <w:sz w:val="12"/>
        </w:rPr>
      </w:pPr>
    </w:p>
    <w:p>
      <w:pPr>
        <w:pStyle w:val="BodyText"/>
        <w:rPr>
          <w:sz w:val="12"/>
        </w:rPr>
      </w:pPr>
    </w:p>
    <w:p>
      <w:pPr>
        <w:spacing w:before="74"/>
        <w:ind w:left="202" w:right="0" w:firstLine="0"/>
        <w:jc w:val="left"/>
        <w:rPr>
          <w:sz w:val="12"/>
        </w:rPr>
      </w:pPr>
      <w:r>
        <w:rPr>
          <w:sz w:val="12"/>
        </w:rPr>
        <w:t>50</w:t>
      </w:r>
    </w:p>
    <w:p>
      <w:pPr>
        <w:pStyle w:val="BodyText"/>
        <w:rPr>
          <w:sz w:val="12"/>
        </w:rPr>
      </w:pPr>
    </w:p>
    <w:p>
      <w:pPr>
        <w:pStyle w:val="BodyText"/>
        <w:rPr>
          <w:sz w:val="12"/>
        </w:rPr>
      </w:pPr>
    </w:p>
    <w:p>
      <w:pPr>
        <w:spacing w:before="74"/>
        <w:ind w:left="202" w:right="0" w:firstLine="0"/>
        <w:jc w:val="left"/>
        <w:rPr>
          <w:sz w:val="12"/>
        </w:rPr>
      </w:pPr>
      <w:r>
        <w:rPr>
          <w:sz w:val="12"/>
        </w:rPr>
        <w:t>40</w:t>
      </w:r>
    </w:p>
    <w:p>
      <w:pPr>
        <w:pStyle w:val="BodyText"/>
        <w:rPr>
          <w:sz w:val="12"/>
        </w:rPr>
      </w:pPr>
    </w:p>
    <w:p>
      <w:pPr>
        <w:pStyle w:val="BodyText"/>
        <w:rPr>
          <w:sz w:val="12"/>
        </w:rPr>
      </w:pPr>
    </w:p>
    <w:p>
      <w:pPr>
        <w:spacing w:before="74"/>
        <w:ind w:left="202" w:right="0" w:firstLine="0"/>
        <w:jc w:val="left"/>
        <w:rPr>
          <w:sz w:val="12"/>
        </w:rPr>
      </w:pPr>
      <w:r>
        <w:rPr>
          <w:sz w:val="12"/>
        </w:rPr>
        <w:t>30</w:t>
      </w:r>
    </w:p>
    <w:p>
      <w:pPr>
        <w:pStyle w:val="BodyText"/>
        <w:rPr>
          <w:sz w:val="12"/>
        </w:rPr>
      </w:pPr>
    </w:p>
    <w:p>
      <w:pPr>
        <w:pStyle w:val="BodyText"/>
        <w:rPr>
          <w:sz w:val="12"/>
        </w:rPr>
      </w:pPr>
    </w:p>
    <w:p>
      <w:pPr>
        <w:spacing w:line="95" w:lineRule="exact" w:before="74"/>
        <w:ind w:left="202" w:right="0" w:firstLine="0"/>
        <w:jc w:val="left"/>
        <w:rPr>
          <w:sz w:val="12"/>
        </w:rPr>
      </w:pPr>
      <w:r>
        <w:rPr/>
        <w:drawing>
          <wp:anchor distT="0" distB="0" distL="0" distR="0" allowOverlap="1" layoutInCell="1" locked="0" behindDoc="0" simplePos="0" relativeHeight="16130048">
            <wp:simplePos x="0" y="0"/>
            <wp:positionH relativeFrom="page">
              <wp:posOffset>632167</wp:posOffset>
            </wp:positionH>
            <wp:positionV relativeFrom="paragraph">
              <wp:posOffset>56853</wp:posOffset>
            </wp:positionV>
            <wp:extent cx="2050935" cy="45783"/>
            <wp:effectExtent l="0" t="0" r="0" b="0"/>
            <wp:wrapNone/>
            <wp:docPr id="297" name="image106.png"/>
            <wp:cNvGraphicFramePr>
              <a:graphicFrameLocks noChangeAspect="1"/>
            </wp:cNvGraphicFramePr>
            <a:graphic>
              <a:graphicData uri="http://schemas.openxmlformats.org/drawingml/2006/picture">
                <pic:pic>
                  <pic:nvPicPr>
                    <pic:cNvPr id="298" name="image106.png"/>
                    <pic:cNvPicPr/>
                  </pic:nvPicPr>
                  <pic:blipFill>
                    <a:blip r:embed="rId165" cstate="print"/>
                    <a:stretch>
                      <a:fillRect/>
                    </a:stretch>
                  </pic:blipFill>
                  <pic:spPr>
                    <a:xfrm>
                      <a:off x="0" y="0"/>
                      <a:ext cx="2050935" cy="45783"/>
                    </a:xfrm>
                    <a:prstGeom prst="rect">
                      <a:avLst/>
                    </a:prstGeom>
                  </pic:spPr>
                </pic:pic>
              </a:graphicData>
            </a:graphic>
          </wp:anchor>
        </w:drawing>
      </w:r>
      <w:r>
        <w:rPr>
          <w:sz w:val="12"/>
        </w:rPr>
        <w:t>20</w:t>
      </w:r>
    </w:p>
    <w:p>
      <w:pPr>
        <w:spacing w:line="187" w:lineRule="auto" w:before="0"/>
        <w:ind w:left="202" w:right="0" w:firstLine="0"/>
        <w:jc w:val="left"/>
        <w:rPr>
          <w:sz w:val="12"/>
        </w:rPr>
      </w:pPr>
      <w:r>
        <w:rPr/>
        <w:br w:type="column"/>
      </w:r>
      <w:r>
        <w:rPr>
          <w:sz w:val="12"/>
        </w:rPr>
        <w:t>Percentage changes on a year earlier</w:t>
      </w:r>
      <w:r>
        <w:rPr>
          <w:spacing w:val="-3"/>
          <w:sz w:val="12"/>
        </w:rPr>
        <w:t> </w:t>
      </w:r>
      <w:r>
        <w:rPr>
          <w:position w:val="-8"/>
          <w:sz w:val="12"/>
        </w:rPr>
        <w:t>15</w:t>
      </w:r>
    </w:p>
    <w:p>
      <w:pPr>
        <w:pStyle w:val="BodyText"/>
        <w:spacing w:before="8"/>
        <w:rPr>
          <w:sz w:val="30"/>
        </w:rPr>
      </w:pPr>
    </w:p>
    <w:p>
      <w:pPr>
        <w:spacing w:before="0"/>
        <w:ind w:left="1978" w:right="0" w:firstLine="0"/>
        <w:jc w:val="left"/>
        <w:rPr>
          <w:sz w:val="12"/>
        </w:rPr>
      </w:pPr>
      <w:r>
        <w:rPr/>
        <w:drawing>
          <wp:anchor distT="0" distB="0" distL="0" distR="0" allowOverlap="1" layoutInCell="1" locked="0" behindDoc="0" simplePos="0" relativeHeight="16130560">
            <wp:simplePos x="0" y="0"/>
            <wp:positionH relativeFrom="page">
              <wp:posOffset>2628074</wp:posOffset>
            </wp:positionH>
            <wp:positionV relativeFrom="paragraph">
              <wp:posOffset>49567</wp:posOffset>
            </wp:positionV>
            <wp:extent cx="55029" cy="6350"/>
            <wp:effectExtent l="0" t="0" r="0" b="0"/>
            <wp:wrapNone/>
            <wp:docPr id="299" name="image17.png"/>
            <wp:cNvGraphicFramePr>
              <a:graphicFrameLocks noChangeAspect="1"/>
            </wp:cNvGraphicFramePr>
            <a:graphic>
              <a:graphicData uri="http://schemas.openxmlformats.org/drawingml/2006/picture">
                <pic:pic>
                  <pic:nvPicPr>
                    <pic:cNvPr id="300" name="image17.png"/>
                    <pic:cNvPicPr/>
                  </pic:nvPicPr>
                  <pic:blipFill>
                    <a:blip r:embed="rId42"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133120">
            <wp:simplePos x="0" y="0"/>
            <wp:positionH relativeFrom="page">
              <wp:posOffset>2628074</wp:posOffset>
            </wp:positionH>
            <wp:positionV relativeFrom="paragraph">
              <wp:posOffset>-260210</wp:posOffset>
            </wp:positionV>
            <wp:extent cx="55029" cy="6350"/>
            <wp:effectExtent l="0" t="0" r="0" b="0"/>
            <wp:wrapNone/>
            <wp:docPr id="301" name="image17.png"/>
            <wp:cNvGraphicFramePr>
              <a:graphicFrameLocks noChangeAspect="1"/>
            </wp:cNvGraphicFramePr>
            <a:graphic>
              <a:graphicData uri="http://schemas.openxmlformats.org/drawingml/2006/picture">
                <pic:pic>
                  <pic:nvPicPr>
                    <pic:cNvPr id="302" name="image17.png"/>
                    <pic:cNvPicPr/>
                  </pic:nvPicPr>
                  <pic:blipFill>
                    <a:blip r:embed="rId42" cstate="print"/>
                    <a:stretch>
                      <a:fillRect/>
                    </a:stretch>
                  </pic:blipFill>
                  <pic:spPr>
                    <a:xfrm>
                      <a:off x="0" y="0"/>
                      <a:ext cx="55029" cy="6350"/>
                    </a:xfrm>
                    <a:prstGeom prst="rect">
                      <a:avLst/>
                    </a:prstGeom>
                  </pic:spPr>
                </pic:pic>
              </a:graphicData>
            </a:graphic>
          </wp:anchor>
        </w:drawing>
      </w:r>
      <w:r>
        <w:rPr>
          <w:sz w:val="12"/>
        </w:rPr>
        <w:t>10</w:t>
      </w:r>
    </w:p>
    <w:p>
      <w:pPr>
        <w:pStyle w:val="BodyText"/>
        <w:rPr>
          <w:sz w:val="12"/>
        </w:rPr>
      </w:pPr>
    </w:p>
    <w:p>
      <w:pPr>
        <w:pStyle w:val="BodyText"/>
        <w:rPr>
          <w:sz w:val="12"/>
        </w:rPr>
      </w:pPr>
    </w:p>
    <w:p>
      <w:pPr>
        <w:spacing w:before="74"/>
        <w:ind w:left="2038" w:right="0" w:firstLine="0"/>
        <w:jc w:val="left"/>
        <w:rPr>
          <w:sz w:val="12"/>
        </w:rPr>
      </w:pPr>
      <w:r>
        <w:rPr/>
        <w:drawing>
          <wp:anchor distT="0" distB="0" distL="0" distR="0" allowOverlap="1" layoutInCell="1" locked="0" behindDoc="0" simplePos="0" relativeHeight="16131072">
            <wp:simplePos x="0" y="0"/>
            <wp:positionH relativeFrom="page">
              <wp:posOffset>2628074</wp:posOffset>
            </wp:positionH>
            <wp:positionV relativeFrom="paragraph">
              <wp:posOffset>96514</wp:posOffset>
            </wp:positionV>
            <wp:extent cx="55029" cy="6350"/>
            <wp:effectExtent l="0" t="0" r="0" b="0"/>
            <wp:wrapNone/>
            <wp:docPr id="303" name="image17.png"/>
            <wp:cNvGraphicFramePr>
              <a:graphicFrameLocks noChangeAspect="1"/>
            </wp:cNvGraphicFramePr>
            <a:graphic>
              <a:graphicData uri="http://schemas.openxmlformats.org/drawingml/2006/picture">
                <pic:pic>
                  <pic:nvPicPr>
                    <pic:cNvPr id="304" name="image17.png"/>
                    <pic:cNvPicPr/>
                  </pic:nvPicPr>
                  <pic:blipFill>
                    <a:blip r:embed="rId42" cstate="print"/>
                    <a:stretch>
                      <a:fillRect/>
                    </a:stretch>
                  </pic:blipFill>
                  <pic:spPr>
                    <a:xfrm>
                      <a:off x="0" y="0"/>
                      <a:ext cx="55029" cy="6350"/>
                    </a:xfrm>
                    <a:prstGeom prst="rect">
                      <a:avLst/>
                    </a:prstGeom>
                  </pic:spPr>
                </pic:pic>
              </a:graphicData>
            </a:graphic>
          </wp:anchor>
        </w:drawing>
      </w:r>
      <w:r>
        <w:rPr>
          <w:sz w:val="12"/>
        </w:rPr>
        <w:t>5</w:t>
      </w:r>
    </w:p>
    <w:p>
      <w:pPr>
        <w:pStyle w:val="BodyText"/>
        <w:spacing w:before="11"/>
        <w:rPr>
          <w:sz w:val="12"/>
        </w:rPr>
      </w:pPr>
    </w:p>
    <w:p>
      <w:pPr>
        <w:spacing w:before="0"/>
        <w:ind w:left="1926" w:right="0" w:firstLine="0"/>
        <w:jc w:val="left"/>
        <w:rPr>
          <w:sz w:val="16"/>
        </w:rPr>
      </w:pPr>
      <w:r>
        <w:rPr>
          <w:sz w:val="16"/>
        </w:rPr>
        <w:t>+</w:t>
      </w:r>
    </w:p>
    <w:p>
      <w:pPr>
        <w:spacing w:line="108" w:lineRule="exact" w:before="17"/>
        <w:ind w:left="2038" w:right="0" w:firstLine="0"/>
        <w:jc w:val="left"/>
        <w:rPr>
          <w:sz w:val="12"/>
        </w:rPr>
      </w:pPr>
      <w:r>
        <w:rPr/>
        <w:drawing>
          <wp:anchor distT="0" distB="0" distL="0" distR="0" allowOverlap="1" layoutInCell="1" locked="0" behindDoc="0" simplePos="0" relativeHeight="16131584">
            <wp:simplePos x="0" y="0"/>
            <wp:positionH relativeFrom="page">
              <wp:posOffset>2628074</wp:posOffset>
            </wp:positionH>
            <wp:positionV relativeFrom="paragraph">
              <wp:posOffset>60255</wp:posOffset>
            </wp:positionV>
            <wp:extent cx="55029" cy="6350"/>
            <wp:effectExtent l="0" t="0" r="0" b="0"/>
            <wp:wrapNone/>
            <wp:docPr id="305" name="image14.png"/>
            <wp:cNvGraphicFramePr>
              <a:graphicFrameLocks noChangeAspect="1"/>
            </wp:cNvGraphicFramePr>
            <a:graphic>
              <a:graphicData uri="http://schemas.openxmlformats.org/drawingml/2006/picture">
                <pic:pic>
                  <pic:nvPicPr>
                    <pic:cNvPr id="306" name="image14.png"/>
                    <pic:cNvPicPr/>
                  </pic:nvPicPr>
                  <pic:blipFill>
                    <a:blip r:embed="rId39" cstate="print"/>
                    <a:stretch>
                      <a:fillRect/>
                    </a:stretch>
                  </pic:blipFill>
                  <pic:spPr>
                    <a:xfrm>
                      <a:off x="0" y="0"/>
                      <a:ext cx="55029" cy="6350"/>
                    </a:xfrm>
                    <a:prstGeom prst="rect">
                      <a:avLst/>
                    </a:prstGeom>
                  </pic:spPr>
                </pic:pic>
              </a:graphicData>
            </a:graphic>
          </wp:anchor>
        </w:drawing>
      </w:r>
      <w:r>
        <w:rPr>
          <w:sz w:val="12"/>
        </w:rPr>
        <w:t>0</w:t>
      </w:r>
    </w:p>
    <w:p>
      <w:pPr>
        <w:spacing w:line="154" w:lineRule="exact" w:before="0"/>
        <w:ind w:left="1926" w:right="0" w:firstLine="0"/>
        <w:jc w:val="left"/>
        <w:rPr>
          <w:sz w:val="16"/>
        </w:rPr>
      </w:pPr>
      <w:r>
        <w:rPr>
          <w:sz w:val="16"/>
        </w:rPr>
        <w:t>_</w:t>
      </w:r>
    </w:p>
    <w:p>
      <w:pPr>
        <w:pStyle w:val="BodyText"/>
        <w:spacing w:before="8"/>
        <w:rPr>
          <w:sz w:val="19"/>
        </w:rPr>
      </w:pPr>
    </w:p>
    <w:p>
      <w:pPr>
        <w:spacing w:before="0"/>
        <w:ind w:left="2038" w:right="0" w:firstLine="0"/>
        <w:jc w:val="left"/>
        <w:rPr>
          <w:sz w:val="12"/>
        </w:rPr>
      </w:pPr>
      <w:r>
        <w:rPr/>
        <w:drawing>
          <wp:anchor distT="0" distB="0" distL="0" distR="0" allowOverlap="1" layoutInCell="1" locked="0" behindDoc="0" simplePos="0" relativeHeight="16132096">
            <wp:simplePos x="0" y="0"/>
            <wp:positionH relativeFrom="page">
              <wp:posOffset>2628074</wp:posOffset>
            </wp:positionH>
            <wp:positionV relativeFrom="paragraph">
              <wp:posOffset>49410</wp:posOffset>
            </wp:positionV>
            <wp:extent cx="55029" cy="6350"/>
            <wp:effectExtent l="0" t="0" r="0" b="0"/>
            <wp:wrapNone/>
            <wp:docPr id="307" name="image14.png"/>
            <wp:cNvGraphicFramePr>
              <a:graphicFrameLocks noChangeAspect="1"/>
            </wp:cNvGraphicFramePr>
            <a:graphic>
              <a:graphicData uri="http://schemas.openxmlformats.org/drawingml/2006/picture">
                <pic:pic>
                  <pic:nvPicPr>
                    <pic:cNvPr id="308" name="image14.png"/>
                    <pic:cNvPicPr/>
                  </pic:nvPicPr>
                  <pic:blipFill>
                    <a:blip r:embed="rId39" cstate="print"/>
                    <a:stretch>
                      <a:fillRect/>
                    </a:stretch>
                  </pic:blipFill>
                  <pic:spPr>
                    <a:xfrm>
                      <a:off x="0" y="0"/>
                      <a:ext cx="55029" cy="6350"/>
                    </a:xfrm>
                    <a:prstGeom prst="rect">
                      <a:avLst/>
                    </a:prstGeom>
                  </pic:spPr>
                </pic:pic>
              </a:graphicData>
            </a:graphic>
          </wp:anchor>
        </w:drawing>
      </w:r>
      <w:r>
        <w:rPr>
          <w:sz w:val="12"/>
        </w:rPr>
        <w:t>5</w:t>
      </w:r>
    </w:p>
    <w:p>
      <w:pPr>
        <w:pStyle w:val="BodyText"/>
        <w:rPr>
          <w:sz w:val="12"/>
        </w:rPr>
      </w:pPr>
    </w:p>
    <w:p>
      <w:pPr>
        <w:pStyle w:val="BodyText"/>
        <w:rPr>
          <w:sz w:val="12"/>
        </w:rPr>
      </w:pPr>
    </w:p>
    <w:p>
      <w:pPr>
        <w:spacing w:before="74"/>
        <w:ind w:left="1978" w:right="0" w:firstLine="0"/>
        <w:jc w:val="left"/>
        <w:rPr>
          <w:sz w:val="12"/>
        </w:rPr>
      </w:pPr>
      <w:r>
        <w:rPr/>
        <w:drawing>
          <wp:anchor distT="0" distB="0" distL="0" distR="0" allowOverlap="1" layoutInCell="1" locked="0" behindDoc="0" simplePos="0" relativeHeight="16132608">
            <wp:simplePos x="0" y="0"/>
            <wp:positionH relativeFrom="page">
              <wp:posOffset>2628074</wp:posOffset>
            </wp:positionH>
            <wp:positionV relativeFrom="paragraph">
              <wp:posOffset>96328</wp:posOffset>
            </wp:positionV>
            <wp:extent cx="55029" cy="6350"/>
            <wp:effectExtent l="0" t="0" r="0" b="0"/>
            <wp:wrapNone/>
            <wp:docPr id="309" name="image14.png"/>
            <wp:cNvGraphicFramePr>
              <a:graphicFrameLocks noChangeAspect="1"/>
            </wp:cNvGraphicFramePr>
            <a:graphic>
              <a:graphicData uri="http://schemas.openxmlformats.org/drawingml/2006/picture">
                <pic:pic>
                  <pic:nvPicPr>
                    <pic:cNvPr id="310" name="image14.png"/>
                    <pic:cNvPicPr/>
                  </pic:nvPicPr>
                  <pic:blipFill>
                    <a:blip r:embed="rId39" cstate="print"/>
                    <a:stretch>
                      <a:fillRect/>
                    </a:stretch>
                  </pic:blipFill>
                  <pic:spPr>
                    <a:xfrm>
                      <a:off x="0" y="0"/>
                      <a:ext cx="55029" cy="6350"/>
                    </a:xfrm>
                    <a:prstGeom prst="rect">
                      <a:avLst/>
                    </a:prstGeom>
                  </pic:spPr>
                </pic:pic>
              </a:graphicData>
            </a:graphic>
          </wp:anchor>
        </w:drawing>
      </w:r>
      <w:r>
        <w:rPr>
          <w:sz w:val="12"/>
        </w:rPr>
        <w:t>10</w:t>
      </w:r>
    </w:p>
    <w:p>
      <w:pPr>
        <w:spacing w:line="208" w:lineRule="auto" w:before="49"/>
        <w:ind w:left="492" w:right="443" w:hanging="60"/>
        <w:jc w:val="left"/>
        <w:rPr>
          <w:sz w:val="12"/>
        </w:rPr>
      </w:pPr>
      <w:r>
        <w:rPr>
          <w:sz w:val="12"/>
        </w:rPr>
        <w:t>CIPS input price index (a) (left-hand scale)</w:t>
      </w:r>
    </w:p>
    <w:p>
      <w:pPr>
        <w:spacing w:line="95" w:lineRule="exact" w:before="61"/>
        <w:ind w:left="1978" w:right="0" w:firstLine="0"/>
        <w:jc w:val="left"/>
        <w:rPr>
          <w:sz w:val="12"/>
        </w:rPr>
      </w:pPr>
      <w:r>
        <w:rPr>
          <w:sz w:val="12"/>
        </w:rPr>
        <w:t>15</w:t>
      </w:r>
    </w:p>
    <w:p>
      <w:pPr>
        <w:pStyle w:val="BodyText"/>
        <w:spacing w:line="242" w:lineRule="auto" w:before="7"/>
        <w:ind w:left="202" w:right="175"/>
      </w:pPr>
      <w:r>
        <w:rPr/>
        <w:br w:type="column"/>
      </w:r>
      <w:r>
        <w:rPr>
          <w:spacing w:val="-3"/>
        </w:rPr>
        <w:t>level </w:t>
      </w:r>
      <w:r>
        <w:rPr/>
        <w:t>has remained high.  The falls in the non-oil terms of trade are consistent with the existence of a relative squeeze on profit margins of UK non-oil exporters, as these prices </w:t>
      </w:r>
      <w:r>
        <w:rPr>
          <w:spacing w:val="-3"/>
        </w:rPr>
        <w:t>have </w:t>
      </w:r>
      <w:r>
        <w:rPr/>
        <w:t>returned to around 1996 </w:t>
      </w:r>
      <w:r>
        <w:rPr>
          <w:spacing w:val="-3"/>
        </w:rPr>
        <w:t>levels </w:t>
      </w:r>
      <w:r>
        <w:rPr/>
        <w:t>(relative to import prices) despite a much higher exchange rate (see </w:t>
      </w:r>
      <w:hyperlink w:history="true" w:anchor="_bookmark12">
        <w:r>
          <w:rPr>
            <w:color w:val="FF0000"/>
          </w:rPr>
          <w:t>Chart 2.2 </w:t>
        </w:r>
      </w:hyperlink>
      <w:r>
        <w:rPr/>
        <w:t>on page</w:t>
      </w:r>
      <w:r>
        <w:rPr>
          <w:spacing w:val="-5"/>
        </w:rPr>
        <w:t> </w:t>
      </w:r>
      <w:r>
        <w:rPr/>
        <w:t>16).</w:t>
      </w:r>
    </w:p>
    <w:p>
      <w:pPr>
        <w:pStyle w:val="BodyText"/>
        <w:spacing w:before="8"/>
        <w:rPr>
          <w:sz w:val="21"/>
        </w:rPr>
      </w:pPr>
    </w:p>
    <w:p>
      <w:pPr>
        <w:pStyle w:val="Heading4"/>
        <w:numPr>
          <w:ilvl w:val="1"/>
          <w:numId w:val="37"/>
        </w:numPr>
        <w:tabs>
          <w:tab w:pos="1360" w:val="left" w:leader="none"/>
          <w:tab w:pos="1361" w:val="left" w:leader="none"/>
        </w:tabs>
        <w:spacing w:line="240" w:lineRule="auto" w:before="0" w:after="0"/>
        <w:ind w:left="1360" w:right="0" w:hanging="1159"/>
        <w:jc w:val="left"/>
        <w:rPr>
          <w:color w:val="009391"/>
        </w:rPr>
      </w:pPr>
      <w:r>
        <w:rPr>
          <w:color w:val="009391"/>
          <w:u w:val="thick" w:color="0092C7"/>
        </w:rPr>
        <w:t>Costs and prices in</w:t>
      </w:r>
      <w:r>
        <w:rPr>
          <w:color w:val="009391"/>
          <w:spacing w:val="-14"/>
          <w:u w:val="thick" w:color="0092C7"/>
        </w:rPr>
        <w:t> </w:t>
      </w:r>
      <w:r>
        <w:rPr>
          <w:color w:val="009391"/>
          <w:u w:val="thick" w:color="0092C7"/>
        </w:rPr>
        <w:t>manufacturing</w:t>
      </w:r>
      <w:r>
        <w:rPr>
          <w:color w:val="009391"/>
          <w:spacing w:val="-11"/>
          <w:u w:val="thick" w:color="0092C7"/>
        </w:rPr>
        <w:t> </w:t>
      </w:r>
    </w:p>
    <w:p>
      <w:pPr>
        <w:pStyle w:val="BodyText"/>
        <w:spacing w:line="242" w:lineRule="auto" w:before="264"/>
        <w:ind w:left="202" w:right="215"/>
      </w:pPr>
      <w:r>
        <w:rPr/>
        <w:t>Manufacturing input prices of materials and fuels rose by 2.8% in September, though month-to-month changes</w:t>
      </w:r>
    </w:p>
    <w:p>
      <w:pPr>
        <w:spacing w:after="0" w:line="242" w:lineRule="auto"/>
        <w:sectPr>
          <w:type w:val="continuous"/>
          <w:pgSz w:w="11900" w:h="16840"/>
          <w:pgMar w:top="1260" w:bottom="280" w:left="640" w:right="640"/>
          <w:cols w:num="3" w:equalWidth="0">
            <w:col w:w="669" w:space="965"/>
            <w:col w:w="2139" w:space="1005"/>
            <w:col w:w="5842"/>
          </w:cols>
        </w:sectPr>
      </w:pPr>
    </w:p>
    <w:p>
      <w:pPr>
        <w:tabs>
          <w:tab w:pos="1220" w:val="left" w:leader="none"/>
          <w:tab w:pos="1733" w:val="left" w:leader="none"/>
          <w:tab w:pos="2248" w:val="left" w:leader="none"/>
          <w:tab w:pos="2760" w:val="left" w:leader="none"/>
          <w:tab w:pos="3142" w:val="left" w:leader="none"/>
        </w:tabs>
        <w:spacing w:before="13"/>
        <w:ind w:left="627" w:right="0" w:firstLine="0"/>
        <w:jc w:val="left"/>
        <w:rPr>
          <w:sz w:val="12"/>
        </w:rPr>
      </w:pPr>
      <w:r>
        <w:rPr>
          <w:sz w:val="12"/>
        </w:rPr>
        <w:t>1995</w:t>
        <w:tab/>
        <w:t>96</w:t>
        <w:tab/>
        <w:t>97</w:t>
        <w:tab/>
        <w:t>98</w:t>
        <w:tab/>
        <w:t>99</w:t>
        <w:tab/>
        <w:t>2000</w:t>
      </w:r>
    </w:p>
    <w:p>
      <w:pPr>
        <w:spacing w:before="88"/>
        <w:ind w:left="167" w:right="0" w:firstLine="0"/>
        <w:jc w:val="left"/>
        <w:rPr>
          <w:sz w:val="12"/>
        </w:rPr>
      </w:pPr>
      <w:r>
        <w:rPr>
          <w:sz w:val="12"/>
        </w:rPr>
        <w:t>Sources: ONS and CIPS.</w:t>
      </w:r>
    </w:p>
    <w:p>
      <w:pPr>
        <w:spacing w:line="129" w:lineRule="exact" w:before="102"/>
        <w:ind w:left="167" w:right="0" w:firstLine="0"/>
        <w:jc w:val="left"/>
        <w:rPr>
          <w:sz w:val="12"/>
        </w:rPr>
      </w:pPr>
      <w:r>
        <w:rPr>
          <w:sz w:val="12"/>
        </w:rPr>
        <w:t>(a) Survey responses to question asking how prices compare with the</w:t>
      </w:r>
    </w:p>
    <w:p>
      <w:pPr>
        <w:spacing w:line="208" w:lineRule="auto" w:before="6"/>
        <w:ind w:left="407" w:right="0" w:firstLine="0"/>
        <w:jc w:val="left"/>
        <w:rPr>
          <w:sz w:val="12"/>
        </w:rPr>
      </w:pPr>
      <w:r>
        <w:rPr>
          <w:sz w:val="12"/>
        </w:rPr>
        <w:t>same month a year ago. Readings above 50 suggest that prices are rising, readings below 50 indicate falling prices.</w:t>
      </w:r>
    </w:p>
    <w:p>
      <w:pPr>
        <w:pStyle w:val="BodyText"/>
        <w:rPr>
          <w:sz w:val="12"/>
        </w:rPr>
      </w:pPr>
    </w:p>
    <w:p>
      <w:pPr>
        <w:pStyle w:val="BodyText"/>
        <w:spacing w:before="5"/>
        <w:rPr>
          <w:sz w:val="11"/>
        </w:rPr>
      </w:pPr>
    </w:p>
    <w:p>
      <w:pPr>
        <w:spacing w:before="0"/>
        <w:ind w:left="169" w:right="0" w:firstLine="0"/>
        <w:jc w:val="left"/>
        <w:rPr>
          <w:b/>
          <w:sz w:val="20"/>
        </w:rPr>
      </w:pPr>
      <w:r>
        <w:rPr>
          <w:b/>
          <w:color w:val="0092C7"/>
          <w:sz w:val="20"/>
        </w:rPr>
        <w:t>Chart 4.7</w:t>
      </w:r>
    </w:p>
    <w:p>
      <w:pPr>
        <w:spacing w:line="249" w:lineRule="auto" w:before="10"/>
        <w:ind w:left="169" w:right="245" w:firstLine="0"/>
        <w:jc w:val="left"/>
        <w:rPr>
          <w:b/>
          <w:sz w:val="20"/>
        </w:rPr>
      </w:pPr>
      <w:r>
        <w:rPr>
          <w:b/>
          <w:color w:val="0092C7"/>
          <w:sz w:val="20"/>
        </w:rPr>
        <w:t>Manufacturing output price inflation and CBI average price expectations</w:t>
      </w:r>
    </w:p>
    <w:p>
      <w:pPr>
        <w:pStyle w:val="BodyText"/>
        <w:spacing w:line="242" w:lineRule="auto"/>
        <w:ind w:left="167" w:right="283"/>
      </w:pPr>
      <w:r>
        <w:rPr/>
        <w:br w:type="column"/>
      </w:r>
      <w:r>
        <w:rPr/>
        <w:t>can be very volatile. Input prices in Q3 were 12.5% higher than a year earlier, up from the 11.7% growth in Q2. These cost increases were largely oil related, though metals and other imported materials also contributed. Excluding food, beverages, tobacco and petrol, manufacturing input prices rose by 4.2% in Q3 on the corresponding quarter a year earlier.</w:t>
      </w:r>
    </w:p>
    <w:p>
      <w:pPr>
        <w:spacing w:after="0" w:line="242" w:lineRule="auto"/>
        <w:sectPr>
          <w:type w:val="continuous"/>
          <w:pgSz w:w="11900" w:h="16840"/>
          <w:pgMar w:top="1260" w:bottom="280" w:left="640" w:right="640"/>
          <w:cols w:num="2" w:equalWidth="0">
            <w:col w:w="3979" w:space="833"/>
            <w:col w:w="5808"/>
          </w:cols>
        </w:sectPr>
      </w:pPr>
    </w:p>
    <w:p>
      <w:pPr>
        <w:spacing w:before="142"/>
        <w:ind w:left="203" w:right="0" w:firstLine="0"/>
        <w:jc w:val="left"/>
        <w:rPr>
          <w:sz w:val="12"/>
        </w:rPr>
      </w:pPr>
      <w:r>
        <w:rPr/>
        <w:drawing>
          <wp:anchor distT="0" distB="0" distL="0" distR="0" allowOverlap="1" layoutInCell="1" locked="0" behindDoc="1" simplePos="0" relativeHeight="480791552">
            <wp:simplePos x="0" y="0"/>
            <wp:positionH relativeFrom="page">
              <wp:posOffset>634415</wp:posOffset>
            </wp:positionH>
            <wp:positionV relativeFrom="paragraph">
              <wp:posOffset>189251</wp:posOffset>
            </wp:positionV>
            <wp:extent cx="55029" cy="6350"/>
            <wp:effectExtent l="0" t="0" r="0" b="0"/>
            <wp:wrapNone/>
            <wp:docPr id="311" name="image24.png"/>
            <wp:cNvGraphicFramePr>
              <a:graphicFrameLocks noChangeAspect="1"/>
            </wp:cNvGraphicFramePr>
            <a:graphic>
              <a:graphicData uri="http://schemas.openxmlformats.org/drawingml/2006/picture">
                <pic:pic>
                  <pic:nvPicPr>
                    <pic:cNvPr id="312" name="image24.png"/>
                    <pic:cNvPicPr/>
                  </pic:nvPicPr>
                  <pic:blipFill>
                    <a:blip r:embed="rId53" cstate="print"/>
                    <a:stretch>
                      <a:fillRect/>
                    </a:stretch>
                  </pic:blipFill>
                  <pic:spPr>
                    <a:xfrm>
                      <a:off x="0" y="0"/>
                      <a:ext cx="55029" cy="6350"/>
                    </a:xfrm>
                    <a:prstGeom prst="rect">
                      <a:avLst/>
                    </a:prstGeom>
                  </pic:spPr>
                </pic:pic>
              </a:graphicData>
            </a:graphic>
          </wp:anchor>
        </w:drawing>
      </w:r>
      <w:r>
        <w:rPr>
          <w:position w:val="-7"/>
          <w:sz w:val="12"/>
        </w:rPr>
        <w:t>40 </w:t>
      </w:r>
      <w:r>
        <w:rPr>
          <w:sz w:val="12"/>
        </w:rPr>
        <w:t>Percentage balance</w:t>
      </w:r>
    </w:p>
    <w:p>
      <w:pPr>
        <w:spacing w:line="208" w:lineRule="auto" w:before="56"/>
        <w:ind w:left="589" w:right="300" w:hanging="60"/>
        <w:jc w:val="left"/>
        <w:rPr>
          <w:sz w:val="12"/>
        </w:rPr>
      </w:pPr>
      <w:r>
        <w:rPr>
          <w:sz w:val="12"/>
        </w:rPr>
        <w:t>Output price inflation (a)</w:t>
      </w:r>
    </w:p>
    <w:p>
      <w:pPr>
        <w:tabs>
          <w:tab w:pos="589" w:val="left" w:leader="none"/>
        </w:tabs>
        <w:spacing w:line="206" w:lineRule="auto" w:before="0"/>
        <w:ind w:left="203" w:right="0" w:firstLine="0"/>
        <w:jc w:val="left"/>
        <w:rPr>
          <w:sz w:val="12"/>
        </w:rPr>
      </w:pPr>
      <w:r>
        <w:rPr>
          <w:position w:val="5"/>
          <w:sz w:val="12"/>
        </w:rPr>
        <w:t>30</w:t>
        <w:tab/>
      </w:r>
      <w:r>
        <w:rPr>
          <w:sz w:val="12"/>
        </w:rPr>
        <w:t>(right-hand scale)</w:t>
      </w:r>
    </w:p>
    <w:p>
      <w:pPr>
        <w:spacing w:line="129" w:lineRule="exact" w:before="22"/>
        <w:ind w:left="203" w:right="0" w:firstLine="0"/>
        <w:jc w:val="left"/>
        <w:rPr>
          <w:sz w:val="12"/>
        </w:rPr>
      </w:pPr>
      <w:r>
        <w:rPr/>
        <w:br w:type="column"/>
      </w:r>
      <w:r>
        <w:rPr>
          <w:sz w:val="12"/>
        </w:rPr>
        <w:t>Percentage changes on</w:t>
      </w:r>
    </w:p>
    <w:p>
      <w:pPr>
        <w:spacing w:line="218" w:lineRule="auto" w:before="0"/>
        <w:ind w:left="669" w:right="0" w:firstLine="0"/>
        <w:jc w:val="left"/>
        <w:rPr>
          <w:sz w:val="12"/>
        </w:rPr>
      </w:pPr>
      <w:r>
        <w:rPr/>
        <w:drawing>
          <wp:anchor distT="0" distB="0" distL="0" distR="0" allowOverlap="1" layoutInCell="1" locked="0" behindDoc="1" simplePos="0" relativeHeight="480792064">
            <wp:simplePos x="0" y="0"/>
            <wp:positionH relativeFrom="page">
              <wp:posOffset>2595041</wp:posOffset>
            </wp:positionH>
            <wp:positionV relativeFrom="paragraph">
              <wp:posOffset>98060</wp:posOffset>
            </wp:positionV>
            <wp:extent cx="55029" cy="6350"/>
            <wp:effectExtent l="0" t="0" r="0" b="0"/>
            <wp:wrapNone/>
            <wp:docPr id="313" name="image14.png"/>
            <wp:cNvGraphicFramePr>
              <a:graphicFrameLocks noChangeAspect="1"/>
            </wp:cNvGraphicFramePr>
            <a:graphic>
              <a:graphicData uri="http://schemas.openxmlformats.org/drawingml/2006/picture">
                <pic:pic>
                  <pic:nvPicPr>
                    <pic:cNvPr id="314" name="image14.png"/>
                    <pic:cNvPicPr/>
                  </pic:nvPicPr>
                  <pic:blipFill>
                    <a:blip r:embed="rId39" cstate="print"/>
                    <a:stretch>
                      <a:fillRect/>
                    </a:stretch>
                  </pic:blipFill>
                  <pic:spPr>
                    <a:xfrm>
                      <a:off x="0" y="0"/>
                      <a:ext cx="55029" cy="6350"/>
                    </a:xfrm>
                    <a:prstGeom prst="rect">
                      <a:avLst/>
                    </a:prstGeom>
                  </pic:spPr>
                </pic:pic>
              </a:graphicData>
            </a:graphic>
          </wp:anchor>
        </w:drawing>
      </w:r>
      <w:r>
        <w:rPr>
          <w:sz w:val="12"/>
        </w:rPr>
        <w:t>a year earlier</w:t>
      </w:r>
      <w:r>
        <w:rPr>
          <w:spacing w:val="15"/>
          <w:sz w:val="12"/>
        </w:rPr>
        <w:t> </w:t>
      </w:r>
      <w:r>
        <w:rPr>
          <w:position w:val="-7"/>
          <w:sz w:val="12"/>
        </w:rPr>
        <w:t>5.5</w:t>
      </w:r>
    </w:p>
    <w:p>
      <w:pPr>
        <w:spacing w:before="74"/>
        <w:ind w:left="1341" w:right="0" w:firstLine="0"/>
        <w:jc w:val="left"/>
        <w:rPr>
          <w:sz w:val="12"/>
        </w:rPr>
      </w:pPr>
      <w:r>
        <w:rPr/>
        <w:drawing>
          <wp:anchor distT="0" distB="0" distL="0" distR="0" allowOverlap="1" layoutInCell="1" locked="0" behindDoc="1" simplePos="0" relativeHeight="480790528">
            <wp:simplePos x="0" y="0"/>
            <wp:positionH relativeFrom="page">
              <wp:posOffset>634415</wp:posOffset>
            </wp:positionH>
            <wp:positionV relativeFrom="paragraph">
              <wp:posOffset>94893</wp:posOffset>
            </wp:positionV>
            <wp:extent cx="2015655" cy="1598396"/>
            <wp:effectExtent l="0" t="0" r="0" b="0"/>
            <wp:wrapNone/>
            <wp:docPr id="315" name="image107.png"/>
            <wp:cNvGraphicFramePr>
              <a:graphicFrameLocks noChangeAspect="1"/>
            </wp:cNvGraphicFramePr>
            <a:graphic>
              <a:graphicData uri="http://schemas.openxmlformats.org/drawingml/2006/picture">
                <pic:pic>
                  <pic:nvPicPr>
                    <pic:cNvPr id="316" name="image107.png"/>
                    <pic:cNvPicPr/>
                  </pic:nvPicPr>
                  <pic:blipFill>
                    <a:blip r:embed="rId166" cstate="print"/>
                    <a:stretch>
                      <a:fillRect/>
                    </a:stretch>
                  </pic:blipFill>
                  <pic:spPr>
                    <a:xfrm>
                      <a:off x="0" y="0"/>
                      <a:ext cx="2015655" cy="1598396"/>
                    </a:xfrm>
                    <a:prstGeom prst="rect">
                      <a:avLst/>
                    </a:prstGeom>
                  </pic:spPr>
                </pic:pic>
              </a:graphicData>
            </a:graphic>
          </wp:anchor>
        </w:drawing>
      </w:r>
      <w:r>
        <w:rPr>
          <w:sz w:val="12"/>
        </w:rPr>
        <w:t>5.0</w:t>
      </w:r>
    </w:p>
    <w:p>
      <w:pPr>
        <w:spacing w:before="71"/>
        <w:ind w:left="1341" w:right="0" w:firstLine="0"/>
        <w:jc w:val="left"/>
        <w:rPr>
          <w:sz w:val="12"/>
        </w:rPr>
      </w:pPr>
      <w:r>
        <w:rPr>
          <w:sz w:val="12"/>
        </w:rPr>
        <w:t>4.5</w:t>
      </w:r>
    </w:p>
    <w:p>
      <w:pPr>
        <w:pStyle w:val="BodyText"/>
        <w:spacing w:line="242" w:lineRule="auto"/>
        <w:ind w:left="203" w:right="128"/>
      </w:pPr>
      <w:r>
        <w:rPr/>
        <w:br w:type="column"/>
      </w:r>
      <w:r>
        <w:rPr/>
        <w:t>Manufacturing unit wage costs, in contrast, have been broadly constant for about two years, as productivity growth has matched the rise in earnings over this period.</w:t>
      </w:r>
    </w:p>
    <w:p>
      <w:pPr>
        <w:spacing w:after="0" w:line="242" w:lineRule="auto"/>
        <w:sectPr>
          <w:type w:val="continuous"/>
          <w:pgSz w:w="11900" w:h="16840"/>
          <w:pgMar w:top="1260" w:bottom="280" w:left="640" w:right="640"/>
          <w:cols w:num="3" w:equalWidth="0">
            <w:col w:w="1479" w:space="758"/>
            <w:col w:w="1532" w:space="1008"/>
            <w:col w:w="5843"/>
          </w:cols>
        </w:sectPr>
      </w:pPr>
    </w:p>
    <w:p>
      <w:pPr>
        <w:pStyle w:val="BodyText"/>
        <w:spacing w:before="3"/>
        <w:rPr>
          <w:sz w:val="10"/>
        </w:rPr>
      </w:pPr>
    </w:p>
    <w:p>
      <w:pPr>
        <w:spacing w:before="0"/>
        <w:ind w:left="203" w:right="0" w:firstLine="0"/>
        <w:jc w:val="left"/>
        <w:rPr>
          <w:sz w:val="12"/>
        </w:rPr>
      </w:pPr>
      <w:r>
        <w:rPr>
          <w:sz w:val="12"/>
        </w:rPr>
        <w:t>20</w:t>
      </w:r>
    </w:p>
    <w:p>
      <w:pPr>
        <w:pStyle w:val="BodyText"/>
        <w:rPr>
          <w:sz w:val="12"/>
        </w:rPr>
      </w:pPr>
    </w:p>
    <w:p>
      <w:pPr>
        <w:spacing w:before="89"/>
        <w:ind w:left="203" w:right="0" w:firstLine="0"/>
        <w:jc w:val="left"/>
        <w:rPr>
          <w:sz w:val="12"/>
        </w:rPr>
      </w:pPr>
      <w:r>
        <w:rPr>
          <w:sz w:val="12"/>
        </w:rPr>
        <w:t>10</w:t>
      </w:r>
    </w:p>
    <w:p>
      <w:pPr>
        <w:spacing w:before="39"/>
        <w:ind w:left="288" w:right="0" w:firstLine="0"/>
        <w:jc w:val="left"/>
        <w:rPr>
          <w:sz w:val="16"/>
        </w:rPr>
      </w:pPr>
      <w:r>
        <w:rPr>
          <w:sz w:val="16"/>
        </w:rPr>
        <w:t>+</w:t>
      </w:r>
    </w:p>
    <w:p>
      <w:pPr>
        <w:spacing w:before="5"/>
        <w:ind w:left="263" w:right="0" w:firstLine="0"/>
        <w:jc w:val="left"/>
        <w:rPr>
          <w:sz w:val="16"/>
        </w:rPr>
      </w:pPr>
      <w:r>
        <w:rPr>
          <w:spacing w:val="-15"/>
          <w:sz w:val="12"/>
        </w:rPr>
        <w:t>0</w:t>
      </w:r>
      <w:r>
        <w:rPr>
          <w:spacing w:val="-15"/>
          <w:position w:val="-9"/>
          <w:sz w:val="16"/>
        </w:rPr>
        <w:t>_</w:t>
      </w:r>
    </w:p>
    <w:p>
      <w:pPr>
        <w:tabs>
          <w:tab w:pos="892" w:val="left" w:leader="none"/>
        </w:tabs>
        <w:spacing w:line="165" w:lineRule="exact" w:before="122"/>
        <w:ind w:left="203" w:right="0" w:firstLine="0"/>
        <w:jc w:val="left"/>
        <w:rPr>
          <w:sz w:val="12"/>
        </w:rPr>
      </w:pPr>
      <w:r>
        <w:rPr>
          <w:position w:val="4"/>
          <w:sz w:val="12"/>
        </w:rPr>
        <w:t>10</w:t>
        <w:tab/>
      </w:r>
      <w:r>
        <w:rPr>
          <w:sz w:val="12"/>
        </w:rPr>
        <w:t>Output price</w:t>
      </w:r>
      <w:r>
        <w:rPr>
          <w:spacing w:val="5"/>
          <w:sz w:val="12"/>
        </w:rPr>
        <w:t> </w:t>
      </w:r>
      <w:r>
        <w:rPr>
          <w:spacing w:val="-3"/>
          <w:sz w:val="12"/>
        </w:rPr>
        <w:t>inflation</w:t>
      </w:r>
    </w:p>
    <w:p>
      <w:pPr>
        <w:spacing w:line="85" w:lineRule="exact" w:before="0"/>
        <w:ind w:left="32" w:right="0" w:firstLine="0"/>
        <w:jc w:val="left"/>
        <w:rPr>
          <w:sz w:val="12"/>
        </w:rPr>
      </w:pPr>
      <w:r>
        <w:rPr/>
        <w:br w:type="column"/>
      </w:r>
      <w:r>
        <w:rPr>
          <w:sz w:val="12"/>
        </w:rPr>
        <w:t>CBI price expectations (b)</w:t>
      </w:r>
    </w:p>
    <w:p>
      <w:pPr>
        <w:spacing w:line="129" w:lineRule="exact" w:before="0"/>
        <w:ind w:left="92" w:right="0" w:firstLine="0"/>
        <w:jc w:val="left"/>
        <w:rPr>
          <w:sz w:val="12"/>
        </w:rPr>
      </w:pPr>
      <w:r>
        <w:rPr>
          <w:sz w:val="12"/>
        </w:rPr>
        <w:t>(left-hand scale)</w:t>
      </w:r>
    </w:p>
    <w:p>
      <w:pPr>
        <w:spacing w:before="13"/>
        <w:ind w:left="203" w:right="0" w:firstLine="0"/>
        <w:jc w:val="left"/>
        <w:rPr>
          <w:sz w:val="12"/>
        </w:rPr>
      </w:pPr>
      <w:r>
        <w:rPr/>
        <w:br w:type="column"/>
      </w:r>
      <w:r>
        <w:rPr>
          <w:sz w:val="12"/>
        </w:rPr>
        <w:t>4.0</w:t>
      </w:r>
    </w:p>
    <w:p>
      <w:pPr>
        <w:spacing w:before="71"/>
        <w:ind w:left="203" w:right="0" w:firstLine="0"/>
        <w:jc w:val="left"/>
        <w:rPr>
          <w:sz w:val="12"/>
        </w:rPr>
      </w:pPr>
      <w:r>
        <w:rPr>
          <w:sz w:val="12"/>
        </w:rPr>
        <w:t>3.5</w:t>
      </w:r>
    </w:p>
    <w:p>
      <w:pPr>
        <w:spacing w:before="71"/>
        <w:ind w:left="203" w:right="0" w:firstLine="0"/>
        <w:jc w:val="left"/>
        <w:rPr>
          <w:sz w:val="12"/>
        </w:rPr>
      </w:pPr>
      <w:r>
        <w:rPr>
          <w:sz w:val="12"/>
        </w:rPr>
        <w:t>3.0</w:t>
      </w:r>
    </w:p>
    <w:p>
      <w:pPr>
        <w:spacing w:before="71"/>
        <w:ind w:left="203" w:right="0" w:firstLine="0"/>
        <w:jc w:val="left"/>
        <w:rPr>
          <w:sz w:val="12"/>
        </w:rPr>
      </w:pPr>
      <w:r>
        <w:rPr>
          <w:sz w:val="12"/>
        </w:rPr>
        <w:t>2.5</w:t>
      </w:r>
    </w:p>
    <w:p>
      <w:pPr>
        <w:spacing w:before="71"/>
        <w:ind w:left="203" w:right="0" w:firstLine="0"/>
        <w:jc w:val="left"/>
        <w:rPr>
          <w:sz w:val="12"/>
        </w:rPr>
      </w:pPr>
      <w:r>
        <w:rPr>
          <w:sz w:val="12"/>
        </w:rPr>
        <w:t>2.0</w:t>
      </w:r>
    </w:p>
    <w:p>
      <w:pPr>
        <w:spacing w:before="70"/>
        <w:ind w:left="203" w:right="0" w:firstLine="0"/>
        <w:jc w:val="left"/>
        <w:rPr>
          <w:sz w:val="12"/>
        </w:rPr>
      </w:pPr>
      <w:r>
        <w:rPr>
          <w:sz w:val="12"/>
        </w:rPr>
        <w:t>1.5</w:t>
      </w:r>
    </w:p>
    <w:p>
      <w:pPr>
        <w:spacing w:line="117" w:lineRule="exact" w:before="71"/>
        <w:ind w:left="203" w:right="0" w:firstLine="0"/>
        <w:jc w:val="left"/>
        <w:rPr>
          <w:sz w:val="12"/>
        </w:rPr>
      </w:pPr>
      <w:r>
        <w:rPr>
          <w:sz w:val="12"/>
        </w:rPr>
        <w:t>1.0</w:t>
      </w:r>
    </w:p>
    <w:p>
      <w:pPr>
        <w:pStyle w:val="BodyText"/>
        <w:spacing w:line="242" w:lineRule="auto" w:before="2"/>
        <w:ind w:left="203" w:right="267"/>
      </w:pPr>
      <w:r>
        <w:rPr/>
        <w:br w:type="column"/>
      </w:r>
      <w:r>
        <w:rPr/>
        <w:t>The CIPS survey has indicated a lower balance of respondents in recent months reporting that input prices are rising. However, the October CBI quarterly industrial trends survey showed a small shift towards a positive balance of firms reporting an increase in</w:t>
      </w:r>
    </w:p>
    <w:p>
      <w:pPr>
        <w:spacing w:after="0" w:line="242" w:lineRule="auto"/>
        <w:sectPr>
          <w:type w:val="continuous"/>
          <w:pgSz w:w="11900" w:h="16840"/>
          <w:pgMar w:top="1260" w:bottom="280" w:left="640" w:right="640"/>
          <w:cols w:num="4" w:equalWidth="0">
            <w:col w:w="1933" w:space="40"/>
            <w:col w:w="1343" w:space="59"/>
            <w:col w:w="394" w:space="1008"/>
            <w:col w:w="5843"/>
          </w:cols>
        </w:sectPr>
      </w:pPr>
    </w:p>
    <w:p>
      <w:pPr>
        <w:spacing w:line="208" w:lineRule="auto" w:before="0"/>
        <w:ind w:left="952" w:right="1438" w:firstLine="0"/>
        <w:jc w:val="left"/>
        <w:rPr>
          <w:sz w:val="12"/>
        </w:rPr>
      </w:pPr>
      <w:r>
        <w:rPr>
          <w:sz w:val="12"/>
        </w:rPr>
        <w:t>excluding food, drink, tobacco and oil</w:t>
      </w:r>
    </w:p>
    <w:p>
      <w:pPr>
        <w:tabs>
          <w:tab w:pos="952" w:val="left" w:leader="none"/>
        </w:tabs>
        <w:spacing w:line="123" w:lineRule="exact" w:before="0"/>
        <w:ind w:left="203" w:right="0" w:firstLine="0"/>
        <w:jc w:val="left"/>
        <w:rPr>
          <w:sz w:val="12"/>
        </w:rPr>
      </w:pPr>
      <w:r>
        <w:rPr>
          <w:position w:val="4"/>
          <w:sz w:val="12"/>
        </w:rPr>
        <w:t>20</w:t>
        <w:tab/>
      </w:r>
      <w:r>
        <w:rPr>
          <w:sz w:val="12"/>
        </w:rPr>
        <w:t>(right-hand scale)</w:t>
      </w:r>
    </w:p>
    <w:p>
      <w:pPr>
        <w:pStyle w:val="BodyText"/>
        <w:spacing w:before="1"/>
        <w:rPr>
          <w:sz w:val="16"/>
        </w:rPr>
      </w:pPr>
    </w:p>
    <w:p>
      <w:pPr>
        <w:spacing w:before="0"/>
        <w:ind w:left="203" w:right="0" w:firstLine="0"/>
        <w:jc w:val="left"/>
        <w:rPr>
          <w:sz w:val="12"/>
        </w:rPr>
      </w:pPr>
      <w:r>
        <w:rPr>
          <w:sz w:val="12"/>
        </w:rPr>
        <w:t>30</w:t>
      </w:r>
    </w:p>
    <w:p>
      <w:pPr>
        <w:pStyle w:val="BodyText"/>
        <w:rPr>
          <w:sz w:val="12"/>
        </w:rPr>
      </w:pPr>
    </w:p>
    <w:p>
      <w:pPr>
        <w:spacing w:line="119" w:lineRule="exact" w:before="90"/>
        <w:ind w:left="203" w:right="0" w:firstLine="0"/>
        <w:jc w:val="left"/>
        <w:rPr>
          <w:sz w:val="12"/>
        </w:rPr>
      </w:pPr>
      <w:r>
        <w:rPr/>
        <w:drawing>
          <wp:anchor distT="0" distB="0" distL="0" distR="0" allowOverlap="1" layoutInCell="1" locked="0" behindDoc="0" simplePos="0" relativeHeight="16127488">
            <wp:simplePos x="0" y="0"/>
            <wp:positionH relativeFrom="page">
              <wp:posOffset>634415</wp:posOffset>
            </wp:positionH>
            <wp:positionV relativeFrom="paragraph">
              <wp:posOffset>36125</wp:posOffset>
            </wp:positionV>
            <wp:extent cx="2015655" cy="76720"/>
            <wp:effectExtent l="0" t="0" r="0" b="0"/>
            <wp:wrapNone/>
            <wp:docPr id="317" name="image108.png"/>
            <wp:cNvGraphicFramePr>
              <a:graphicFrameLocks noChangeAspect="1"/>
            </wp:cNvGraphicFramePr>
            <a:graphic>
              <a:graphicData uri="http://schemas.openxmlformats.org/drawingml/2006/picture">
                <pic:pic>
                  <pic:nvPicPr>
                    <pic:cNvPr id="318" name="image108.png"/>
                    <pic:cNvPicPr/>
                  </pic:nvPicPr>
                  <pic:blipFill>
                    <a:blip r:embed="rId167" cstate="print"/>
                    <a:stretch>
                      <a:fillRect/>
                    </a:stretch>
                  </pic:blipFill>
                  <pic:spPr>
                    <a:xfrm>
                      <a:off x="0" y="0"/>
                      <a:ext cx="2015655" cy="76720"/>
                    </a:xfrm>
                    <a:prstGeom prst="rect">
                      <a:avLst/>
                    </a:prstGeom>
                  </pic:spPr>
                </pic:pic>
              </a:graphicData>
            </a:graphic>
          </wp:anchor>
        </w:drawing>
      </w:r>
      <w:r>
        <w:rPr>
          <w:sz w:val="12"/>
        </w:rPr>
        <w:t>40</w:t>
      </w:r>
    </w:p>
    <w:p>
      <w:pPr>
        <w:tabs>
          <w:tab w:pos="2184" w:val="left" w:leader="none"/>
        </w:tabs>
        <w:spacing w:line="104" w:lineRule="exact" w:before="0"/>
        <w:ind w:left="542" w:right="0" w:firstLine="0"/>
        <w:jc w:val="left"/>
        <w:rPr>
          <w:sz w:val="12"/>
        </w:rPr>
      </w:pPr>
      <w:r>
        <w:rPr>
          <w:sz w:val="12"/>
        </w:rPr>
        <w:t>1992     93       94    </w:t>
      </w:r>
      <w:r>
        <w:rPr>
          <w:spacing w:val="22"/>
          <w:sz w:val="12"/>
        </w:rPr>
        <w:t> </w:t>
      </w:r>
      <w:r>
        <w:rPr>
          <w:sz w:val="12"/>
        </w:rPr>
        <w:t>95     </w:t>
      </w:r>
      <w:r>
        <w:rPr>
          <w:spacing w:val="7"/>
          <w:sz w:val="12"/>
        </w:rPr>
        <w:t> </w:t>
      </w:r>
      <w:r>
        <w:rPr>
          <w:sz w:val="12"/>
        </w:rPr>
        <w:t>96</w:t>
        <w:tab/>
        <w:t>97 98 99 2000 </w:t>
      </w:r>
      <w:r>
        <w:rPr>
          <w:spacing w:val="-9"/>
          <w:sz w:val="12"/>
        </w:rPr>
        <w:t>01</w:t>
      </w:r>
    </w:p>
    <w:p>
      <w:pPr>
        <w:spacing w:line="107" w:lineRule="exact" w:before="79"/>
        <w:ind w:left="61" w:right="0" w:firstLine="0"/>
        <w:jc w:val="left"/>
        <w:rPr>
          <w:sz w:val="12"/>
        </w:rPr>
      </w:pPr>
      <w:r>
        <w:rPr/>
        <w:br w:type="column"/>
      </w:r>
      <w:r>
        <w:rPr>
          <w:sz w:val="12"/>
        </w:rPr>
        <w:t>0.5</w:t>
      </w:r>
    </w:p>
    <w:p>
      <w:pPr>
        <w:spacing w:line="127" w:lineRule="exact" w:before="0"/>
        <w:ind w:left="-23" w:right="0" w:firstLine="0"/>
        <w:jc w:val="left"/>
        <w:rPr>
          <w:sz w:val="16"/>
        </w:rPr>
      </w:pPr>
      <w:r>
        <w:rPr>
          <w:sz w:val="16"/>
        </w:rPr>
        <w:t>+</w:t>
      </w:r>
    </w:p>
    <w:p>
      <w:pPr>
        <w:spacing w:line="139" w:lineRule="auto" w:before="12"/>
        <w:ind w:left="-14" w:right="0" w:firstLine="0"/>
        <w:jc w:val="left"/>
        <w:rPr>
          <w:sz w:val="12"/>
        </w:rPr>
      </w:pPr>
      <w:r>
        <w:rPr>
          <w:position w:val="-5"/>
          <w:sz w:val="16"/>
        </w:rPr>
        <w:t>_</w:t>
      </w:r>
      <w:r>
        <w:rPr>
          <w:sz w:val="12"/>
        </w:rPr>
        <w:t>0.0</w:t>
      </w:r>
    </w:p>
    <w:p>
      <w:pPr>
        <w:spacing w:before="42"/>
        <w:ind w:left="61" w:right="0" w:firstLine="0"/>
        <w:jc w:val="left"/>
        <w:rPr>
          <w:sz w:val="12"/>
        </w:rPr>
      </w:pPr>
      <w:r>
        <w:rPr>
          <w:sz w:val="12"/>
        </w:rPr>
        <w:t>0.5</w:t>
      </w:r>
    </w:p>
    <w:p>
      <w:pPr>
        <w:spacing w:before="71"/>
        <w:ind w:left="61" w:right="0" w:firstLine="0"/>
        <w:jc w:val="left"/>
        <w:rPr>
          <w:sz w:val="12"/>
        </w:rPr>
      </w:pPr>
      <w:r>
        <w:rPr>
          <w:sz w:val="12"/>
        </w:rPr>
        <w:t>1.0</w:t>
      </w:r>
    </w:p>
    <w:p>
      <w:pPr>
        <w:spacing w:before="71"/>
        <w:ind w:left="61" w:right="0" w:firstLine="0"/>
        <w:jc w:val="left"/>
        <w:rPr>
          <w:sz w:val="12"/>
        </w:rPr>
      </w:pPr>
      <w:r>
        <w:rPr>
          <w:sz w:val="12"/>
        </w:rPr>
        <w:t>1.5</w:t>
      </w:r>
    </w:p>
    <w:p>
      <w:pPr>
        <w:pStyle w:val="BodyText"/>
        <w:spacing w:line="242" w:lineRule="auto" w:before="7"/>
        <w:ind w:left="203" w:right="128"/>
      </w:pPr>
      <w:r>
        <w:rPr/>
        <w:br w:type="column"/>
      </w:r>
      <w:r>
        <w:rPr/>
        <w:t>average unit costs over the past four months, and a similar shift in the balance expecting them to rise in the next four months.</w:t>
      </w:r>
    </w:p>
    <w:p>
      <w:pPr>
        <w:spacing w:after="0" w:line="242" w:lineRule="auto"/>
        <w:sectPr>
          <w:type w:val="continuous"/>
          <w:pgSz w:w="11900" w:h="16840"/>
          <w:pgMar w:top="1260" w:bottom="280" w:left="640" w:right="640"/>
          <w:cols w:num="3" w:equalWidth="0">
            <w:col w:w="3477" w:space="40"/>
            <w:col w:w="252" w:space="1008"/>
            <w:col w:w="5843"/>
          </w:cols>
        </w:sectPr>
      </w:pPr>
    </w:p>
    <w:p>
      <w:pPr>
        <w:spacing w:before="56"/>
        <w:ind w:left="170" w:right="0" w:firstLine="0"/>
        <w:jc w:val="left"/>
        <w:rPr>
          <w:sz w:val="12"/>
        </w:rPr>
      </w:pPr>
      <w:r>
        <w:rPr>
          <w:sz w:val="12"/>
        </w:rPr>
        <w:t>Sources: ONS and CBI.</w:t>
      </w:r>
    </w:p>
    <w:p>
      <w:pPr>
        <w:pStyle w:val="ListParagraph"/>
        <w:numPr>
          <w:ilvl w:val="0"/>
          <w:numId w:val="38"/>
        </w:numPr>
        <w:tabs>
          <w:tab w:pos="411" w:val="left" w:leader="none"/>
        </w:tabs>
        <w:spacing w:line="129" w:lineRule="exact" w:before="102" w:after="0"/>
        <w:ind w:left="410" w:right="0" w:hanging="241"/>
        <w:jc w:val="left"/>
        <w:rPr>
          <w:sz w:val="12"/>
        </w:rPr>
      </w:pPr>
      <w:r>
        <w:rPr>
          <w:sz w:val="12"/>
        </w:rPr>
        <w:t>Excluding excise</w:t>
      </w:r>
      <w:r>
        <w:rPr>
          <w:spacing w:val="-3"/>
          <w:sz w:val="12"/>
        </w:rPr>
        <w:t> </w:t>
      </w:r>
      <w:r>
        <w:rPr>
          <w:sz w:val="12"/>
        </w:rPr>
        <w:t>duties.</w:t>
      </w:r>
    </w:p>
    <w:p>
      <w:pPr>
        <w:pStyle w:val="ListParagraph"/>
        <w:numPr>
          <w:ilvl w:val="0"/>
          <w:numId w:val="38"/>
        </w:numPr>
        <w:tabs>
          <w:tab w:pos="411" w:val="left" w:leader="none"/>
        </w:tabs>
        <w:spacing w:line="208" w:lineRule="auto" w:before="5" w:after="0"/>
        <w:ind w:left="410" w:right="38" w:hanging="240"/>
        <w:jc w:val="left"/>
        <w:rPr>
          <w:sz w:val="12"/>
        </w:rPr>
      </w:pPr>
      <w:r>
        <w:rPr>
          <w:sz w:val="12"/>
        </w:rPr>
        <w:t>Balance of manufacturers expecting to increase prices over the following four months minus those expecting to reduce prices, adjusted for seasonal variation. This series has been advanced by four</w:t>
      </w:r>
      <w:r>
        <w:rPr>
          <w:spacing w:val="-6"/>
          <w:sz w:val="12"/>
        </w:rPr>
        <w:t> </w:t>
      </w:r>
      <w:r>
        <w:rPr>
          <w:sz w:val="12"/>
        </w:rPr>
        <w:t>months,</w:t>
      </w:r>
      <w:r>
        <w:rPr>
          <w:spacing w:val="-4"/>
          <w:sz w:val="12"/>
        </w:rPr>
        <w:t> </w:t>
      </w:r>
      <w:r>
        <w:rPr>
          <w:sz w:val="12"/>
        </w:rPr>
        <w:t>as</w:t>
      </w:r>
      <w:r>
        <w:rPr>
          <w:spacing w:val="-6"/>
          <w:sz w:val="12"/>
        </w:rPr>
        <w:t> </w:t>
      </w:r>
      <w:r>
        <w:rPr>
          <w:sz w:val="12"/>
        </w:rPr>
        <w:t>it</w:t>
      </w:r>
      <w:r>
        <w:rPr>
          <w:spacing w:val="-5"/>
          <w:sz w:val="12"/>
        </w:rPr>
        <w:t> </w:t>
      </w:r>
      <w:r>
        <w:rPr>
          <w:sz w:val="12"/>
        </w:rPr>
        <w:t>relates</w:t>
      </w:r>
      <w:r>
        <w:rPr>
          <w:spacing w:val="-5"/>
          <w:sz w:val="12"/>
        </w:rPr>
        <w:t> </w:t>
      </w:r>
      <w:r>
        <w:rPr>
          <w:sz w:val="12"/>
        </w:rPr>
        <w:t>to</w:t>
      </w:r>
      <w:r>
        <w:rPr>
          <w:spacing w:val="-6"/>
          <w:sz w:val="12"/>
        </w:rPr>
        <w:t> </w:t>
      </w:r>
      <w:r>
        <w:rPr>
          <w:sz w:val="12"/>
        </w:rPr>
        <w:t>producers’</w:t>
      </w:r>
      <w:r>
        <w:rPr>
          <w:spacing w:val="-12"/>
          <w:sz w:val="12"/>
        </w:rPr>
        <w:t> </w:t>
      </w:r>
      <w:r>
        <w:rPr>
          <w:sz w:val="12"/>
        </w:rPr>
        <w:t>expectations</w:t>
      </w:r>
      <w:r>
        <w:rPr>
          <w:spacing w:val="-5"/>
          <w:sz w:val="12"/>
        </w:rPr>
        <w:t> </w:t>
      </w:r>
      <w:r>
        <w:rPr>
          <w:sz w:val="12"/>
        </w:rPr>
        <w:t>of</w:t>
      </w:r>
      <w:r>
        <w:rPr>
          <w:spacing w:val="-5"/>
          <w:sz w:val="12"/>
        </w:rPr>
        <w:t> </w:t>
      </w:r>
      <w:r>
        <w:rPr>
          <w:sz w:val="12"/>
        </w:rPr>
        <w:t>future</w:t>
      </w:r>
      <w:r>
        <w:rPr>
          <w:spacing w:val="-6"/>
          <w:sz w:val="12"/>
        </w:rPr>
        <w:t> </w:t>
      </w:r>
      <w:r>
        <w:rPr>
          <w:sz w:val="12"/>
        </w:rPr>
        <w:t>prices.</w:t>
      </w:r>
    </w:p>
    <w:p>
      <w:pPr>
        <w:pStyle w:val="BodyText"/>
        <w:spacing w:line="242" w:lineRule="auto"/>
        <w:ind w:left="170" w:right="221"/>
      </w:pPr>
      <w:r>
        <w:rPr/>
        <w:br w:type="column"/>
      </w:r>
      <w:r>
        <w:rPr/>
        <w:t>Producer output prices (excluding excise duties) rose by 1.7% in the year to September, the same annual rate as in August but down from 2.4% in the year to June (see</w:t>
      </w:r>
    </w:p>
    <w:p>
      <w:pPr>
        <w:spacing w:after="0" w:line="242" w:lineRule="auto"/>
        <w:sectPr>
          <w:type w:val="continuous"/>
          <w:pgSz w:w="11900" w:h="16840"/>
          <w:pgMar w:top="1260" w:bottom="280" w:left="640" w:right="640"/>
          <w:cols w:num="2" w:equalWidth="0">
            <w:col w:w="3711" w:space="1099"/>
            <w:col w:w="5810"/>
          </w:cols>
        </w:sectPr>
      </w:pPr>
    </w:p>
    <w:p>
      <w:pPr>
        <w:pStyle w:val="BodyText"/>
        <w:rPr>
          <w:sz w:val="20"/>
        </w:rPr>
      </w:pPr>
    </w:p>
    <w:p>
      <w:pPr>
        <w:spacing w:after="0"/>
        <w:rPr>
          <w:sz w:val="20"/>
        </w:rPr>
        <w:sectPr>
          <w:pgSz w:w="11900" w:h="16840"/>
          <w:pgMar w:header="601" w:footer="592" w:top="780" w:bottom="7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17"/>
        </w:rPr>
      </w:pPr>
    </w:p>
    <w:p>
      <w:pPr>
        <w:spacing w:before="0"/>
        <w:ind w:left="175" w:right="0" w:firstLine="0"/>
        <w:jc w:val="left"/>
        <w:rPr>
          <w:b/>
          <w:sz w:val="20"/>
        </w:rPr>
      </w:pPr>
      <w:bookmarkStart w:name="Costs and prices in the service sector" w:id="64"/>
      <w:bookmarkEnd w:id="64"/>
      <w:r>
        <w:rPr/>
      </w:r>
      <w:bookmarkStart w:name="_bookmark27" w:id="65"/>
      <w:bookmarkEnd w:id="65"/>
      <w:r>
        <w:rPr/>
      </w:r>
      <w:r>
        <w:rPr>
          <w:b/>
          <w:color w:val="0092C7"/>
          <w:sz w:val="20"/>
        </w:rPr>
        <w:t>Table 4.A</w:t>
      </w:r>
    </w:p>
    <w:p>
      <w:pPr>
        <w:spacing w:before="10"/>
        <w:ind w:left="175" w:right="0" w:firstLine="0"/>
        <w:jc w:val="left"/>
        <w:rPr>
          <w:b/>
          <w:sz w:val="20"/>
        </w:rPr>
      </w:pPr>
      <w:r>
        <w:rPr>
          <w:b/>
          <w:color w:val="0092C7"/>
          <w:sz w:val="20"/>
        </w:rPr>
        <w:t>Manufacturers’ cost and prices</w:t>
      </w:r>
    </w:p>
    <w:p>
      <w:pPr>
        <w:spacing w:before="106"/>
        <w:ind w:left="175" w:right="0" w:firstLine="0"/>
        <w:jc w:val="left"/>
        <w:rPr>
          <w:sz w:val="14"/>
        </w:rPr>
      </w:pPr>
      <w:r>
        <w:rPr>
          <w:sz w:val="14"/>
        </w:rPr>
        <w:t>Percentage changes on a year earlier</w:t>
      </w:r>
    </w:p>
    <w:p>
      <w:pPr>
        <w:pStyle w:val="BodyText"/>
        <w:spacing w:before="10"/>
        <w:rPr>
          <w:sz w:val="13"/>
        </w:rPr>
      </w:pPr>
    </w:p>
    <w:p>
      <w:pPr>
        <w:tabs>
          <w:tab w:pos="4409" w:val="left" w:leader="none"/>
        </w:tabs>
        <w:spacing w:before="0"/>
        <w:ind w:left="1885" w:right="0" w:firstLine="0"/>
        <w:jc w:val="left"/>
        <w:rPr>
          <w:sz w:val="14"/>
        </w:rPr>
      </w:pPr>
      <w:r>
        <w:rPr>
          <w:sz w:val="14"/>
          <w:u w:val="single"/>
        </w:rPr>
        <w:t>2000</w:t>
        <w:tab/>
      </w:r>
    </w:p>
    <w:p>
      <w:pPr>
        <w:spacing w:before="19"/>
        <w:ind w:left="1885" w:right="0" w:firstLine="0"/>
        <w:jc w:val="left"/>
        <w:rPr>
          <w:sz w:val="14"/>
        </w:rPr>
      </w:pPr>
      <w:r>
        <w:rPr>
          <w:spacing w:val="-3"/>
          <w:sz w:val="14"/>
          <w:u w:val="single"/>
        </w:rPr>
        <w:t>Mar. </w:t>
      </w:r>
      <w:r>
        <w:rPr>
          <w:spacing w:val="-3"/>
          <w:sz w:val="14"/>
        </w:rPr>
        <w:t>    </w:t>
      </w:r>
      <w:r>
        <w:rPr>
          <w:spacing w:val="-3"/>
          <w:sz w:val="14"/>
          <w:u w:val="single"/>
        </w:rPr>
        <w:t>Apr.    </w:t>
      </w:r>
      <w:r>
        <w:rPr>
          <w:sz w:val="14"/>
          <w:u w:val="single"/>
        </w:rPr>
        <w:t>May</w:t>
      </w:r>
      <w:r>
        <w:rPr>
          <w:spacing w:val="35"/>
          <w:sz w:val="14"/>
        </w:rPr>
        <w:t> </w:t>
      </w:r>
      <w:r>
        <w:rPr>
          <w:sz w:val="14"/>
          <w:u w:val="single"/>
        </w:rPr>
        <w:t>June  </w:t>
      </w:r>
      <w:r>
        <w:rPr>
          <w:sz w:val="14"/>
        </w:rPr>
        <w:t> </w:t>
      </w:r>
      <w:r>
        <w:rPr>
          <w:sz w:val="14"/>
          <w:u w:val="single"/>
        </w:rPr>
        <w:t>July  </w:t>
      </w:r>
      <w:r>
        <w:rPr>
          <w:sz w:val="14"/>
        </w:rPr>
        <w:t>  </w:t>
      </w:r>
      <w:r>
        <w:rPr>
          <w:sz w:val="14"/>
          <w:u w:val="single"/>
        </w:rPr>
        <w:t>Aug.</w:t>
      </w:r>
      <w:r>
        <w:rPr>
          <w:sz w:val="14"/>
        </w:rPr>
        <w:t> </w:t>
      </w:r>
      <w:r>
        <w:rPr>
          <w:spacing w:val="11"/>
          <w:sz w:val="14"/>
        </w:rPr>
        <w:t> </w:t>
      </w:r>
      <w:r>
        <w:rPr>
          <w:sz w:val="14"/>
          <w:u w:val="single"/>
        </w:rPr>
        <w:t>Sept.</w:t>
      </w:r>
    </w:p>
    <w:p>
      <w:pPr>
        <w:tabs>
          <w:tab w:pos="2050" w:val="left" w:leader="none"/>
          <w:tab w:pos="2760" w:val="left" w:leader="none"/>
        </w:tabs>
        <w:spacing w:line="150" w:lineRule="exact" w:before="119"/>
        <w:ind w:left="175" w:right="0" w:firstLine="0"/>
        <w:jc w:val="left"/>
        <w:rPr>
          <w:sz w:val="14"/>
        </w:rPr>
      </w:pPr>
      <w:r>
        <w:rPr>
          <w:spacing w:val="-3"/>
          <w:sz w:val="14"/>
        </w:rPr>
        <w:t>Weighted</w:t>
      </w:r>
      <w:r>
        <w:rPr>
          <w:spacing w:val="-1"/>
          <w:sz w:val="14"/>
        </w:rPr>
        <w:t> </w:t>
      </w:r>
      <w:r>
        <w:rPr>
          <w:sz w:val="14"/>
        </w:rPr>
        <w:t>costs </w:t>
      </w:r>
      <w:r>
        <w:rPr>
          <w:sz w:val="12"/>
        </w:rPr>
        <w:t>(a)</w:t>
        <w:tab/>
      </w:r>
      <w:r>
        <w:rPr>
          <w:sz w:val="14"/>
        </w:rPr>
        <w:t>3.3   </w:t>
      </w:r>
      <w:r>
        <w:rPr>
          <w:spacing w:val="15"/>
          <w:sz w:val="14"/>
        </w:rPr>
        <w:t> </w:t>
      </w:r>
      <w:r>
        <w:rPr>
          <w:sz w:val="14"/>
        </w:rPr>
        <w:t>2.3</w:t>
        <w:tab/>
        <w:t>3.7      3.6     3.4    n.a.  </w:t>
      </w:r>
      <w:r>
        <w:rPr>
          <w:spacing w:val="24"/>
          <w:sz w:val="14"/>
        </w:rPr>
        <w:t> </w:t>
      </w:r>
      <w:r>
        <w:rPr>
          <w:sz w:val="14"/>
        </w:rPr>
        <w:t>n.a.</w:t>
      </w:r>
    </w:p>
    <w:p>
      <w:pPr>
        <w:tabs>
          <w:tab w:pos="2760" w:val="left" w:leader="none"/>
        </w:tabs>
        <w:spacing w:line="140" w:lineRule="exact" w:before="0"/>
        <w:ind w:left="415" w:right="0" w:firstLine="0"/>
        <w:jc w:val="left"/>
        <w:rPr>
          <w:sz w:val="14"/>
        </w:rPr>
      </w:pPr>
      <w:r>
        <w:rPr>
          <w:sz w:val="14"/>
        </w:rPr>
        <w:t>Unit labour costs (46.8%)   </w:t>
      </w:r>
      <w:r>
        <w:rPr>
          <w:spacing w:val="32"/>
          <w:sz w:val="14"/>
        </w:rPr>
        <w:t> </w:t>
      </w:r>
      <w:r>
        <w:rPr>
          <w:sz w:val="14"/>
        </w:rPr>
        <w:t>0.0   </w:t>
      </w:r>
      <w:r>
        <w:rPr>
          <w:spacing w:val="9"/>
          <w:sz w:val="14"/>
        </w:rPr>
        <w:t> </w:t>
      </w:r>
      <w:r>
        <w:rPr>
          <w:sz w:val="14"/>
        </w:rPr>
        <w:t>0.5</w:t>
        <w:tab/>
        <w:t>1.0      0.0     1.0     0.1  </w:t>
      </w:r>
      <w:r>
        <w:rPr>
          <w:spacing w:val="5"/>
          <w:sz w:val="14"/>
        </w:rPr>
        <w:t> </w:t>
      </w:r>
      <w:r>
        <w:rPr>
          <w:sz w:val="14"/>
        </w:rPr>
        <w:t>n.a.</w:t>
      </w:r>
    </w:p>
    <w:p>
      <w:pPr>
        <w:spacing w:line="140" w:lineRule="exact" w:before="0"/>
        <w:ind w:left="415" w:right="0" w:firstLine="0"/>
        <w:jc w:val="left"/>
        <w:rPr>
          <w:sz w:val="14"/>
        </w:rPr>
      </w:pPr>
      <w:r>
        <w:rPr>
          <w:sz w:val="14"/>
        </w:rPr>
        <w:t>Materials and fuels</w:t>
      </w:r>
    </w:p>
    <w:p>
      <w:pPr>
        <w:tabs>
          <w:tab w:pos="1980" w:val="left" w:leader="none"/>
        </w:tabs>
        <w:spacing w:line="140" w:lineRule="exact" w:before="0"/>
        <w:ind w:left="485" w:right="0" w:firstLine="0"/>
        <w:jc w:val="left"/>
        <w:rPr>
          <w:sz w:val="14"/>
        </w:rPr>
      </w:pPr>
      <w:r>
        <w:rPr>
          <w:sz w:val="14"/>
        </w:rPr>
        <w:t>(30.1%)</w:t>
      </w:r>
      <w:r>
        <w:rPr>
          <w:spacing w:val="-4"/>
          <w:sz w:val="14"/>
        </w:rPr>
        <w:t> </w:t>
      </w:r>
      <w:r>
        <w:rPr>
          <w:sz w:val="12"/>
        </w:rPr>
        <w:t>(b)</w:t>
        <w:tab/>
      </w:r>
      <w:r>
        <w:rPr>
          <w:sz w:val="14"/>
        </w:rPr>
        <w:t>13.4 7.9 12.9 14.7 11.4 11.9</w:t>
      </w:r>
      <w:r>
        <w:rPr>
          <w:spacing w:val="20"/>
          <w:sz w:val="14"/>
        </w:rPr>
        <w:t> </w:t>
      </w:r>
      <w:r>
        <w:rPr>
          <w:sz w:val="14"/>
        </w:rPr>
        <w:t>14.3</w:t>
      </w:r>
    </w:p>
    <w:p>
      <w:pPr>
        <w:spacing w:line="140" w:lineRule="exact" w:before="0"/>
        <w:ind w:left="415" w:right="0" w:firstLine="0"/>
        <w:jc w:val="left"/>
        <w:rPr>
          <w:sz w:val="14"/>
        </w:rPr>
      </w:pPr>
      <w:r>
        <w:rPr>
          <w:sz w:val="14"/>
        </w:rPr>
        <w:t>Imports of finished goods</w:t>
      </w:r>
    </w:p>
    <w:p>
      <w:pPr>
        <w:tabs>
          <w:tab w:pos="2050" w:val="left" w:leader="none"/>
          <w:tab w:pos="2760" w:val="left" w:leader="none"/>
        </w:tabs>
        <w:spacing w:line="140" w:lineRule="exact" w:before="0"/>
        <w:ind w:left="485" w:right="0" w:firstLine="0"/>
        <w:jc w:val="left"/>
        <w:rPr>
          <w:sz w:val="14"/>
        </w:rPr>
      </w:pPr>
      <w:r>
        <w:rPr>
          <w:sz w:val="14"/>
        </w:rPr>
        <w:t>(6.9%)</w:t>
        <w:tab/>
        <w:t>0.0  </w:t>
      </w:r>
      <w:r>
        <w:rPr>
          <w:spacing w:val="3"/>
          <w:sz w:val="14"/>
        </w:rPr>
        <w:t> </w:t>
      </w:r>
      <w:r>
        <w:rPr>
          <w:sz w:val="14"/>
        </w:rPr>
        <w:t>-1.1</w:t>
        <w:tab/>
        <w:t>1.1      1.1     1.1     1.1  </w:t>
      </w:r>
      <w:r>
        <w:rPr>
          <w:spacing w:val="17"/>
          <w:sz w:val="14"/>
        </w:rPr>
        <w:t> </w:t>
      </w:r>
      <w:r>
        <w:rPr>
          <w:sz w:val="14"/>
        </w:rPr>
        <w:t>n.a.</w:t>
      </w:r>
    </w:p>
    <w:p>
      <w:pPr>
        <w:tabs>
          <w:tab w:pos="2760" w:val="left" w:leader="none"/>
        </w:tabs>
        <w:spacing w:line="140" w:lineRule="exact" w:before="0"/>
        <w:ind w:left="415" w:right="0" w:firstLine="0"/>
        <w:jc w:val="left"/>
        <w:rPr>
          <w:sz w:val="14"/>
        </w:rPr>
      </w:pPr>
      <w:r>
        <w:rPr>
          <w:sz w:val="14"/>
        </w:rPr>
        <w:t>Bought-in services (16.2%) </w:t>
      </w:r>
      <w:r>
        <w:rPr>
          <w:spacing w:val="8"/>
          <w:sz w:val="14"/>
        </w:rPr>
        <w:t> </w:t>
      </w:r>
      <w:r>
        <w:rPr>
          <w:sz w:val="14"/>
        </w:rPr>
        <w:t>1.7   </w:t>
      </w:r>
      <w:r>
        <w:rPr>
          <w:spacing w:val="6"/>
          <w:sz w:val="14"/>
        </w:rPr>
        <w:t> </w:t>
      </w:r>
      <w:r>
        <w:rPr>
          <w:sz w:val="14"/>
        </w:rPr>
        <w:t>1.5</w:t>
        <w:tab/>
        <w:t>1.3      1.1     1.1    n.a.  </w:t>
      </w:r>
      <w:r>
        <w:rPr>
          <w:spacing w:val="11"/>
          <w:sz w:val="14"/>
        </w:rPr>
        <w:t> </w:t>
      </w:r>
      <w:r>
        <w:rPr>
          <w:sz w:val="14"/>
        </w:rPr>
        <w:t>n.a.</w:t>
      </w:r>
    </w:p>
    <w:p>
      <w:pPr>
        <w:tabs>
          <w:tab w:pos="2760" w:val="left" w:leader="none"/>
        </w:tabs>
        <w:spacing w:line="150" w:lineRule="exact" w:before="0"/>
        <w:ind w:left="175" w:right="0" w:firstLine="0"/>
        <w:jc w:val="left"/>
        <w:rPr>
          <w:sz w:val="14"/>
        </w:rPr>
      </w:pPr>
      <w:r>
        <w:rPr>
          <w:sz w:val="14"/>
        </w:rPr>
        <w:t>Output prices (excluding duties)</w:t>
      </w:r>
      <w:r>
        <w:rPr>
          <w:spacing w:val="17"/>
          <w:sz w:val="14"/>
        </w:rPr>
        <w:t> </w:t>
      </w:r>
      <w:r>
        <w:rPr>
          <w:sz w:val="14"/>
        </w:rPr>
        <w:t>1.9   </w:t>
      </w:r>
      <w:r>
        <w:rPr>
          <w:spacing w:val="4"/>
          <w:sz w:val="14"/>
        </w:rPr>
        <w:t> </w:t>
      </w:r>
      <w:r>
        <w:rPr>
          <w:sz w:val="14"/>
        </w:rPr>
        <w:t>1.7</w:t>
        <w:tab/>
        <w:t>1.8      2.4     2.0     1.7  </w:t>
      </w:r>
      <w:r>
        <w:rPr>
          <w:spacing w:val="34"/>
          <w:sz w:val="14"/>
        </w:rPr>
        <w:t> </w:t>
      </w:r>
      <w:r>
        <w:rPr>
          <w:sz w:val="14"/>
        </w:rPr>
        <w:t>1.7</w:t>
      </w:r>
    </w:p>
    <w:p>
      <w:pPr>
        <w:spacing w:before="117"/>
        <w:ind w:left="175" w:right="0" w:firstLine="0"/>
        <w:jc w:val="left"/>
        <w:rPr>
          <w:sz w:val="12"/>
        </w:rPr>
      </w:pPr>
      <w:r>
        <w:rPr>
          <w:sz w:val="12"/>
        </w:rPr>
        <w:t>Sources: ONS and Bank of England.</w:t>
      </w:r>
    </w:p>
    <w:p>
      <w:pPr>
        <w:pStyle w:val="BodyText"/>
        <w:spacing w:before="2"/>
        <w:rPr>
          <w:sz w:val="10"/>
        </w:rPr>
      </w:pPr>
    </w:p>
    <w:p>
      <w:pPr>
        <w:pStyle w:val="ListParagraph"/>
        <w:numPr>
          <w:ilvl w:val="0"/>
          <w:numId w:val="39"/>
        </w:numPr>
        <w:tabs>
          <w:tab w:pos="416" w:val="left" w:leader="none"/>
        </w:tabs>
        <w:spacing w:line="208" w:lineRule="auto" w:before="0" w:after="0"/>
        <w:ind w:left="415" w:right="140" w:hanging="240"/>
        <w:jc w:val="left"/>
        <w:rPr>
          <w:sz w:val="12"/>
        </w:rPr>
      </w:pPr>
      <w:r>
        <w:rPr>
          <w:sz w:val="12"/>
        </w:rPr>
        <w:t>Percentages</w:t>
      </w:r>
      <w:r>
        <w:rPr>
          <w:spacing w:val="-7"/>
          <w:sz w:val="12"/>
        </w:rPr>
        <w:t> </w:t>
      </w:r>
      <w:r>
        <w:rPr>
          <w:sz w:val="12"/>
        </w:rPr>
        <w:t>shown</w:t>
      </w:r>
      <w:r>
        <w:rPr>
          <w:spacing w:val="-6"/>
          <w:sz w:val="12"/>
        </w:rPr>
        <w:t> </w:t>
      </w:r>
      <w:r>
        <w:rPr>
          <w:sz w:val="12"/>
        </w:rPr>
        <w:t>in</w:t>
      </w:r>
      <w:r>
        <w:rPr>
          <w:spacing w:val="-6"/>
          <w:sz w:val="12"/>
        </w:rPr>
        <w:t> </w:t>
      </w:r>
      <w:r>
        <w:rPr>
          <w:sz w:val="12"/>
        </w:rPr>
        <w:t>brackets</w:t>
      </w:r>
      <w:r>
        <w:rPr>
          <w:spacing w:val="-7"/>
          <w:sz w:val="12"/>
        </w:rPr>
        <w:t> </w:t>
      </w:r>
      <w:r>
        <w:rPr>
          <w:sz w:val="12"/>
        </w:rPr>
        <w:t>reflect</w:t>
      </w:r>
      <w:r>
        <w:rPr>
          <w:spacing w:val="-6"/>
          <w:sz w:val="12"/>
        </w:rPr>
        <w:t> </w:t>
      </w:r>
      <w:r>
        <w:rPr>
          <w:sz w:val="12"/>
        </w:rPr>
        <w:t>weights</w:t>
      </w:r>
      <w:r>
        <w:rPr>
          <w:spacing w:val="-6"/>
          <w:sz w:val="12"/>
        </w:rPr>
        <w:t> </w:t>
      </w:r>
      <w:r>
        <w:rPr>
          <w:sz w:val="12"/>
        </w:rPr>
        <w:t>of</w:t>
      </w:r>
      <w:r>
        <w:rPr>
          <w:spacing w:val="-6"/>
          <w:sz w:val="12"/>
        </w:rPr>
        <w:t> </w:t>
      </w:r>
      <w:r>
        <w:rPr>
          <w:sz w:val="12"/>
        </w:rPr>
        <w:t>components,</w:t>
      </w:r>
      <w:r>
        <w:rPr>
          <w:spacing w:val="-6"/>
          <w:sz w:val="12"/>
        </w:rPr>
        <w:t> </w:t>
      </w:r>
      <w:r>
        <w:rPr>
          <w:sz w:val="12"/>
        </w:rPr>
        <w:t>derived</w:t>
      </w:r>
      <w:r>
        <w:rPr>
          <w:spacing w:val="-6"/>
          <w:sz w:val="12"/>
        </w:rPr>
        <w:t> </w:t>
      </w:r>
      <w:r>
        <w:rPr>
          <w:sz w:val="12"/>
        </w:rPr>
        <w:t>from</w:t>
      </w:r>
      <w:r>
        <w:rPr>
          <w:spacing w:val="-6"/>
          <w:sz w:val="12"/>
        </w:rPr>
        <w:t> </w:t>
      </w:r>
      <w:r>
        <w:rPr>
          <w:sz w:val="12"/>
        </w:rPr>
        <w:t>1990 input-output tables for the United</w:t>
      </w:r>
      <w:r>
        <w:rPr>
          <w:spacing w:val="-8"/>
          <w:sz w:val="12"/>
        </w:rPr>
        <w:t> </w:t>
      </w:r>
      <w:r>
        <w:rPr>
          <w:sz w:val="12"/>
        </w:rPr>
        <w:t>Kingdom.</w:t>
      </w:r>
    </w:p>
    <w:p>
      <w:pPr>
        <w:pStyle w:val="ListParagraph"/>
        <w:numPr>
          <w:ilvl w:val="0"/>
          <w:numId w:val="39"/>
        </w:numPr>
        <w:tabs>
          <w:tab w:pos="416" w:val="left" w:leader="none"/>
        </w:tabs>
        <w:spacing w:line="123" w:lineRule="exact" w:before="0" w:after="0"/>
        <w:ind w:left="415" w:right="0" w:hanging="241"/>
        <w:jc w:val="left"/>
        <w:rPr>
          <w:sz w:val="12"/>
        </w:rPr>
      </w:pPr>
      <w:r>
        <w:rPr>
          <w:sz w:val="12"/>
        </w:rPr>
        <w:t>Includes imports of semi-finished</w:t>
      </w:r>
      <w:r>
        <w:rPr>
          <w:spacing w:val="-6"/>
          <w:sz w:val="12"/>
        </w:rPr>
        <w:t> </w:t>
      </w:r>
      <w:r>
        <w:rPr>
          <w:sz w:val="12"/>
        </w:rPr>
        <w:t>goods.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82"/>
        <w:ind w:left="165" w:right="0" w:firstLine="0"/>
        <w:jc w:val="left"/>
        <w:rPr>
          <w:b/>
          <w:sz w:val="20"/>
        </w:rPr>
      </w:pPr>
      <w:r>
        <w:rPr>
          <w:b/>
          <w:color w:val="0092C7"/>
          <w:sz w:val="20"/>
        </w:rPr>
        <w:t>Table 4.B</w:t>
      </w:r>
    </w:p>
    <w:p>
      <w:pPr>
        <w:spacing w:line="249" w:lineRule="auto" w:before="10"/>
        <w:ind w:left="165" w:right="10" w:firstLine="0"/>
        <w:jc w:val="left"/>
        <w:rPr>
          <w:b/>
          <w:sz w:val="20"/>
        </w:rPr>
      </w:pPr>
      <w:r>
        <w:rPr>
          <w:b/>
          <w:color w:val="0092C7"/>
          <w:sz w:val="20"/>
        </w:rPr>
        <w:t>BCC and CIPS surveys of service sector prices and corporate services price index</w:t>
      </w:r>
    </w:p>
    <w:p>
      <w:pPr>
        <w:pStyle w:val="BodyText"/>
        <w:spacing w:before="5"/>
        <w:rPr>
          <w:b/>
          <w:sz w:val="12"/>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5"/>
        <w:gridCol w:w="330"/>
        <w:gridCol w:w="526"/>
        <w:gridCol w:w="175"/>
        <w:gridCol w:w="336"/>
        <w:gridCol w:w="471"/>
        <w:gridCol w:w="141"/>
        <w:gridCol w:w="311"/>
      </w:tblGrid>
      <w:tr>
        <w:trPr>
          <w:trHeight w:val="155" w:hRule="atLeast"/>
        </w:trPr>
        <w:tc>
          <w:tcPr>
            <w:tcW w:w="2751" w:type="dxa"/>
            <w:gridSpan w:val="3"/>
          </w:tcPr>
          <w:p>
            <w:pPr>
              <w:pStyle w:val="TableParagraph"/>
              <w:tabs>
                <w:tab w:pos="820" w:val="left" w:leader="none"/>
              </w:tabs>
              <w:spacing w:line="135" w:lineRule="exact"/>
              <w:jc w:val="right"/>
              <w:rPr>
                <w:sz w:val="14"/>
              </w:rPr>
            </w:pPr>
            <w:r>
              <w:rPr>
                <w:sz w:val="14"/>
                <w:u w:val="single"/>
              </w:rPr>
              <w:t>1999</w:t>
              <w:tab/>
            </w:r>
          </w:p>
        </w:tc>
        <w:tc>
          <w:tcPr>
            <w:tcW w:w="1434" w:type="dxa"/>
            <w:gridSpan w:val="5"/>
          </w:tcPr>
          <w:p>
            <w:pPr>
              <w:pStyle w:val="TableParagraph"/>
              <w:tabs>
                <w:tab w:pos="1353" w:val="left" w:leader="none"/>
              </w:tabs>
              <w:spacing w:line="135" w:lineRule="exact"/>
              <w:ind w:left="199"/>
              <w:rPr>
                <w:sz w:val="14"/>
              </w:rPr>
            </w:pPr>
            <w:r>
              <w:rPr>
                <w:sz w:val="14"/>
                <w:u w:val="single"/>
              </w:rPr>
              <w:t>2000</w:t>
              <w:tab/>
            </w:r>
          </w:p>
        </w:tc>
      </w:tr>
      <w:tr>
        <w:trPr>
          <w:trHeight w:val="217" w:hRule="atLeast"/>
        </w:trPr>
        <w:tc>
          <w:tcPr>
            <w:tcW w:w="1895" w:type="dxa"/>
          </w:tcPr>
          <w:p>
            <w:pPr>
              <w:pStyle w:val="TableParagraph"/>
              <w:spacing w:line="240" w:lineRule="auto"/>
              <w:rPr>
                <w:sz w:val="14"/>
              </w:rPr>
            </w:pPr>
          </w:p>
        </w:tc>
        <w:tc>
          <w:tcPr>
            <w:tcW w:w="330" w:type="dxa"/>
            <w:tcBorders>
              <w:bottom w:val="single" w:sz="2" w:space="0" w:color="000000"/>
            </w:tcBorders>
          </w:tcPr>
          <w:p>
            <w:pPr>
              <w:pStyle w:val="TableParagraph"/>
              <w:spacing w:line="240" w:lineRule="auto" w:before="19"/>
              <w:ind w:right="121"/>
              <w:jc w:val="right"/>
              <w:rPr>
                <w:sz w:val="14"/>
              </w:rPr>
            </w:pPr>
            <w:r>
              <w:rPr>
                <w:sz w:val="14"/>
              </w:rPr>
              <w:t>Q3</w:t>
            </w:r>
          </w:p>
        </w:tc>
        <w:tc>
          <w:tcPr>
            <w:tcW w:w="526" w:type="dxa"/>
            <w:tcBorders>
              <w:bottom w:val="single" w:sz="2" w:space="0" w:color="000000"/>
            </w:tcBorders>
          </w:tcPr>
          <w:p>
            <w:pPr>
              <w:pStyle w:val="TableParagraph"/>
              <w:spacing w:line="240" w:lineRule="auto" w:before="19"/>
              <w:ind w:left="206" w:right="91"/>
              <w:jc w:val="center"/>
              <w:rPr>
                <w:sz w:val="14"/>
              </w:rPr>
            </w:pPr>
            <w:r>
              <w:rPr>
                <w:sz w:val="14"/>
              </w:rPr>
              <w:t>Q4</w:t>
            </w:r>
          </w:p>
        </w:tc>
        <w:tc>
          <w:tcPr>
            <w:tcW w:w="175" w:type="dxa"/>
          </w:tcPr>
          <w:p>
            <w:pPr>
              <w:pStyle w:val="TableParagraph"/>
              <w:spacing w:line="240" w:lineRule="auto"/>
              <w:rPr>
                <w:sz w:val="14"/>
              </w:rPr>
            </w:pPr>
          </w:p>
        </w:tc>
        <w:tc>
          <w:tcPr>
            <w:tcW w:w="336" w:type="dxa"/>
            <w:tcBorders>
              <w:bottom w:val="single" w:sz="2" w:space="0" w:color="000000"/>
            </w:tcBorders>
          </w:tcPr>
          <w:p>
            <w:pPr>
              <w:pStyle w:val="TableParagraph"/>
              <w:spacing w:line="240" w:lineRule="auto" w:before="19"/>
              <w:ind w:left="24"/>
              <w:rPr>
                <w:sz w:val="14"/>
              </w:rPr>
            </w:pPr>
            <w:r>
              <w:rPr>
                <w:sz w:val="14"/>
              </w:rPr>
              <w:t>Q1</w:t>
            </w:r>
          </w:p>
        </w:tc>
        <w:tc>
          <w:tcPr>
            <w:tcW w:w="471" w:type="dxa"/>
            <w:tcBorders>
              <w:bottom w:val="single" w:sz="2" w:space="0" w:color="000000"/>
            </w:tcBorders>
          </w:tcPr>
          <w:p>
            <w:pPr>
              <w:pStyle w:val="TableParagraph"/>
              <w:spacing w:line="240" w:lineRule="auto" w:before="19"/>
              <w:ind w:left="118" w:right="102"/>
              <w:jc w:val="center"/>
              <w:rPr>
                <w:sz w:val="14"/>
              </w:rPr>
            </w:pPr>
            <w:r>
              <w:rPr>
                <w:sz w:val="14"/>
              </w:rPr>
              <w:t>Q2</w:t>
            </w:r>
          </w:p>
        </w:tc>
        <w:tc>
          <w:tcPr>
            <w:tcW w:w="141" w:type="dxa"/>
          </w:tcPr>
          <w:p>
            <w:pPr>
              <w:pStyle w:val="TableParagraph"/>
              <w:spacing w:line="240" w:lineRule="auto"/>
              <w:rPr>
                <w:sz w:val="14"/>
              </w:rPr>
            </w:pPr>
          </w:p>
        </w:tc>
        <w:tc>
          <w:tcPr>
            <w:tcW w:w="311" w:type="dxa"/>
            <w:tcBorders>
              <w:bottom w:val="single" w:sz="2" w:space="0" w:color="000000"/>
            </w:tcBorders>
          </w:tcPr>
          <w:p>
            <w:pPr>
              <w:pStyle w:val="TableParagraph"/>
              <w:spacing w:line="240" w:lineRule="auto" w:before="19"/>
              <w:ind w:left="16"/>
              <w:rPr>
                <w:sz w:val="14"/>
              </w:rPr>
            </w:pPr>
            <w:r>
              <w:rPr>
                <w:sz w:val="14"/>
              </w:rPr>
              <w:t>Q3</w:t>
            </w:r>
          </w:p>
        </w:tc>
      </w:tr>
      <w:tr>
        <w:trPr>
          <w:trHeight w:val="230" w:hRule="atLeast"/>
        </w:trPr>
        <w:tc>
          <w:tcPr>
            <w:tcW w:w="1895" w:type="dxa"/>
          </w:tcPr>
          <w:p>
            <w:pPr>
              <w:pStyle w:val="TableParagraph"/>
              <w:spacing w:line="133" w:lineRule="exact" w:before="76"/>
              <w:ind w:left="50"/>
              <w:rPr>
                <w:sz w:val="12"/>
              </w:rPr>
            </w:pPr>
            <w:r>
              <w:rPr>
                <w:sz w:val="14"/>
              </w:rPr>
              <w:t>BCC prices balance </w:t>
            </w:r>
            <w:r>
              <w:rPr>
                <w:sz w:val="12"/>
              </w:rPr>
              <w:t>(a)</w:t>
            </w:r>
          </w:p>
        </w:tc>
        <w:tc>
          <w:tcPr>
            <w:tcW w:w="330" w:type="dxa"/>
            <w:tcBorders>
              <w:top w:val="single" w:sz="2" w:space="0" w:color="000000"/>
            </w:tcBorders>
          </w:tcPr>
          <w:p>
            <w:pPr>
              <w:pStyle w:val="TableParagraph"/>
              <w:spacing w:line="133" w:lineRule="exact" w:before="76"/>
              <w:ind w:right="84"/>
              <w:jc w:val="right"/>
              <w:rPr>
                <w:sz w:val="14"/>
              </w:rPr>
            </w:pPr>
            <w:r>
              <w:rPr>
                <w:sz w:val="14"/>
              </w:rPr>
              <w:t>22</w:t>
            </w:r>
          </w:p>
        </w:tc>
        <w:tc>
          <w:tcPr>
            <w:tcW w:w="526" w:type="dxa"/>
            <w:tcBorders>
              <w:top w:val="single" w:sz="2" w:space="0" w:color="000000"/>
            </w:tcBorders>
          </w:tcPr>
          <w:p>
            <w:pPr>
              <w:pStyle w:val="TableParagraph"/>
              <w:spacing w:line="133" w:lineRule="exact" w:before="76"/>
              <w:ind w:left="214" w:right="50"/>
              <w:jc w:val="center"/>
              <w:rPr>
                <w:sz w:val="14"/>
              </w:rPr>
            </w:pPr>
            <w:r>
              <w:rPr>
                <w:sz w:val="14"/>
              </w:rPr>
              <w:t>24</w:t>
            </w:r>
          </w:p>
        </w:tc>
        <w:tc>
          <w:tcPr>
            <w:tcW w:w="175" w:type="dxa"/>
          </w:tcPr>
          <w:p>
            <w:pPr>
              <w:pStyle w:val="TableParagraph"/>
              <w:spacing w:line="240" w:lineRule="auto"/>
              <w:rPr>
                <w:sz w:val="16"/>
              </w:rPr>
            </w:pPr>
          </w:p>
        </w:tc>
        <w:tc>
          <w:tcPr>
            <w:tcW w:w="336" w:type="dxa"/>
            <w:tcBorders>
              <w:top w:val="single" w:sz="2" w:space="0" w:color="000000"/>
            </w:tcBorders>
          </w:tcPr>
          <w:p>
            <w:pPr>
              <w:pStyle w:val="TableParagraph"/>
              <w:spacing w:line="133" w:lineRule="exact" w:before="76"/>
              <w:ind w:left="103"/>
              <w:rPr>
                <w:sz w:val="14"/>
              </w:rPr>
            </w:pPr>
            <w:r>
              <w:rPr>
                <w:sz w:val="14"/>
              </w:rPr>
              <w:t>26</w:t>
            </w:r>
          </w:p>
        </w:tc>
        <w:tc>
          <w:tcPr>
            <w:tcW w:w="471" w:type="dxa"/>
            <w:tcBorders>
              <w:top w:val="single" w:sz="2" w:space="0" w:color="000000"/>
            </w:tcBorders>
          </w:tcPr>
          <w:p>
            <w:pPr>
              <w:pStyle w:val="TableParagraph"/>
              <w:spacing w:line="133" w:lineRule="exact" w:before="76"/>
              <w:ind w:left="137" w:right="52"/>
              <w:jc w:val="center"/>
              <w:rPr>
                <w:sz w:val="14"/>
              </w:rPr>
            </w:pPr>
            <w:r>
              <w:rPr>
                <w:sz w:val="14"/>
              </w:rPr>
              <w:t>21</w:t>
            </w:r>
          </w:p>
        </w:tc>
        <w:tc>
          <w:tcPr>
            <w:tcW w:w="141" w:type="dxa"/>
          </w:tcPr>
          <w:p>
            <w:pPr>
              <w:pStyle w:val="TableParagraph"/>
              <w:spacing w:line="240" w:lineRule="auto"/>
              <w:rPr>
                <w:sz w:val="16"/>
              </w:rPr>
            </w:pPr>
          </w:p>
        </w:tc>
        <w:tc>
          <w:tcPr>
            <w:tcW w:w="311" w:type="dxa"/>
            <w:tcBorders>
              <w:top w:val="single" w:sz="2" w:space="0" w:color="000000"/>
            </w:tcBorders>
          </w:tcPr>
          <w:p>
            <w:pPr>
              <w:pStyle w:val="TableParagraph"/>
              <w:spacing w:line="133" w:lineRule="exact" w:before="76"/>
              <w:ind w:left="116"/>
              <w:rPr>
                <w:sz w:val="14"/>
              </w:rPr>
            </w:pPr>
            <w:r>
              <w:rPr>
                <w:sz w:val="14"/>
              </w:rPr>
              <w:t>23</w:t>
            </w:r>
          </w:p>
        </w:tc>
      </w:tr>
      <w:tr>
        <w:trPr>
          <w:trHeight w:val="140" w:hRule="atLeast"/>
        </w:trPr>
        <w:tc>
          <w:tcPr>
            <w:tcW w:w="1895" w:type="dxa"/>
          </w:tcPr>
          <w:p>
            <w:pPr>
              <w:pStyle w:val="TableParagraph"/>
              <w:ind w:left="50"/>
              <w:rPr>
                <w:sz w:val="12"/>
              </w:rPr>
            </w:pPr>
            <w:r>
              <w:rPr>
                <w:sz w:val="14"/>
              </w:rPr>
              <w:t>CIPS input price index </w:t>
            </w:r>
            <w:r>
              <w:rPr>
                <w:sz w:val="12"/>
              </w:rPr>
              <w:t>(b)</w:t>
            </w:r>
          </w:p>
        </w:tc>
        <w:tc>
          <w:tcPr>
            <w:tcW w:w="330" w:type="dxa"/>
          </w:tcPr>
          <w:p>
            <w:pPr>
              <w:pStyle w:val="TableParagraph"/>
              <w:ind w:right="84"/>
              <w:jc w:val="right"/>
              <w:rPr>
                <w:sz w:val="14"/>
              </w:rPr>
            </w:pPr>
            <w:r>
              <w:rPr>
                <w:sz w:val="14"/>
              </w:rPr>
              <w:t>54.8</w:t>
            </w:r>
          </w:p>
        </w:tc>
        <w:tc>
          <w:tcPr>
            <w:tcW w:w="526" w:type="dxa"/>
          </w:tcPr>
          <w:p>
            <w:pPr>
              <w:pStyle w:val="TableParagraph"/>
              <w:ind w:left="150" w:right="91"/>
              <w:jc w:val="center"/>
              <w:rPr>
                <w:sz w:val="14"/>
              </w:rPr>
            </w:pPr>
            <w:r>
              <w:rPr>
                <w:sz w:val="14"/>
              </w:rPr>
              <w:t>57.6</w:t>
            </w:r>
          </w:p>
        </w:tc>
        <w:tc>
          <w:tcPr>
            <w:tcW w:w="175" w:type="dxa"/>
          </w:tcPr>
          <w:p>
            <w:pPr>
              <w:pStyle w:val="TableParagraph"/>
              <w:spacing w:line="240" w:lineRule="auto"/>
              <w:rPr>
                <w:sz w:val="8"/>
              </w:rPr>
            </w:pPr>
          </w:p>
        </w:tc>
        <w:tc>
          <w:tcPr>
            <w:tcW w:w="336" w:type="dxa"/>
          </w:tcPr>
          <w:p>
            <w:pPr>
              <w:pStyle w:val="TableParagraph"/>
              <w:ind w:left="-2"/>
              <w:rPr>
                <w:sz w:val="14"/>
              </w:rPr>
            </w:pPr>
            <w:r>
              <w:rPr>
                <w:sz w:val="14"/>
              </w:rPr>
              <w:t>59.3</w:t>
            </w:r>
          </w:p>
        </w:tc>
        <w:tc>
          <w:tcPr>
            <w:tcW w:w="471" w:type="dxa"/>
          </w:tcPr>
          <w:p>
            <w:pPr>
              <w:pStyle w:val="TableParagraph"/>
              <w:ind w:left="83" w:right="102"/>
              <w:jc w:val="center"/>
              <w:rPr>
                <w:sz w:val="14"/>
              </w:rPr>
            </w:pPr>
            <w:r>
              <w:rPr>
                <w:sz w:val="14"/>
              </w:rPr>
              <w:t>61.7</w:t>
            </w:r>
          </w:p>
        </w:tc>
        <w:tc>
          <w:tcPr>
            <w:tcW w:w="141" w:type="dxa"/>
          </w:tcPr>
          <w:p>
            <w:pPr>
              <w:pStyle w:val="TableParagraph"/>
              <w:spacing w:line="240" w:lineRule="auto"/>
              <w:rPr>
                <w:sz w:val="8"/>
              </w:rPr>
            </w:pPr>
          </w:p>
        </w:tc>
        <w:tc>
          <w:tcPr>
            <w:tcW w:w="311" w:type="dxa"/>
          </w:tcPr>
          <w:p>
            <w:pPr>
              <w:pStyle w:val="TableParagraph"/>
              <w:ind w:left="11"/>
              <w:rPr>
                <w:sz w:val="14"/>
              </w:rPr>
            </w:pPr>
            <w:r>
              <w:rPr>
                <w:sz w:val="14"/>
              </w:rPr>
              <w:t>61.7</w:t>
            </w:r>
          </w:p>
        </w:tc>
      </w:tr>
      <w:tr>
        <w:trPr>
          <w:trHeight w:val="147" w:hRule="atLeast"/>
        </w:trPr>
        <w:tc>
          <w:tcPr>
            <w:tcW w:w="1895" w:type="dxa"/>
          </w:tcPr>
          <w:p>
            <w:pPr>
              <w:pStyle w:val="TableParagraph"/>
              <w:spacing w:line="128" w:lineRule="exact"/>
              <w:ind w:left="50"/>
              <w:rPr>
                <w:sz w:val="12"/>
              </w:rPr>
            </w:pPr>
            <w:r>
              <w:rPr>
                <w:sz w:val="14"/>
              </w:rPr>
              <w:t>CIPS selling price index </w:t>
            </w:r>
            <w:r>
              <w:rPr>
                <w:sz w:val="12"/>
              </w:rPr>
              <w:t>(b)</w:t>
            </w:r>
          </w:p>
        </w:tc>
        <w:tc>
          <w:tcPr>
            <w:tcW w:w="330" w:type="dxa"/>
          </w:tcPr>
          <w:p>
            <w:pPr>
              <w:pStyle w:val="TableParagraph"/>
              <w:spacing w:line="128" w:lineRule="exact"/>
              <w:ind w:right="84"/>
              <w:jc w:val="right"/>
              <w:rPr>
                <w:sz w:val="14"/>
              </w:rPr>
            </w:pPr>
            <w:r>
              <w:rPr>
                <w:sz w:val="14"/>
              </w:rPr>
              <w:t>49.2</w:t>
            </w:r>
          </w:p>
        </w:tc>
        <w:tc>
          <w:tcPr>
            <w:tcW w:w="526" w:type="dxa"/>
          </w:tcPr>
          <w:p>
            <w:pPr>
              <w:pStyle w:val="TableParagraph"/>
              <w:spacing w:line="128" w:lineRule="exact"/>
              <w:ind w:left="150" w:right="91"/>
              <w:jc w:val="center"/>
              <w:rPr>
                <w:sz w:val="14"/>
              </w:rPr>
            </w:pPr>
            <w:r>
              <w:rPr>
                <w:sz w:val="14"/>
              </w:rPr>
              <w:t>52.6</w:t>
            </w:r>
          </w:p>
        </w:tc>
        <w:tc>
          <w:tcPr>
            <w:tcW w:w="175" w:type="dxa"/>
          </w:tcPr>
          <w:p>
            <w:pPr>
              <w:pStyle w:val="TableParagraph"/>
              <w:spacing w:line="240" w:lineRule="auto"/>
              <w:rPr>
                <w:sz w:val="8"/>
              </w:rPr>
            </w:pPr>
          </w:p>
        </w:tc>
        <w:tc>
          <w:tcPr>
            <w:tcW w:w="336" w:type="dxa"/>
          </w:tcPr>
          <w:p>
            <w:pPr>
              <w:pStyle w:val="TableParagraph"/>
              <w:spacing w:line="128" w:lineRule="exact"/>
              <w:ind w:left="-2"/>
              <w:rPr>
                <w:sz w:val="14"/>
              </w:rPr>
            </w:pPr>
            <w:r>
              <w:rPr>
                <w:sz w:val="14"/>
              </w:rPr>
              <w:t>53.6</w:t>
            </w:r>
          </w:p>
        </w:tc>
        <w:tc>
          <w:tcPr>
            <w:tcW w:w="471" w:type="dxa"/>
          </w:tcPr>
          <w:p>
            <w:pPr>
              <w:pStyle w:val="TableParagraph"/>
              <w:spacing w:line="128" w:lineRule="exact"/>
              <w:ind w:left="83" w:right="102"/>
              <w:jc w:val="center"/>
              <w:rPr>
                <w:sz w:val="14"/>
              </w:rPr>
            </w:pPr>
            <w:r>
              <w:rPr>
                <w:sz w:val="14"/>
              </w:rPr>
              <w:t>54.1</w:t>
            </w:r>
          </w:p>
        </w:tc>
        <w:tc>
          <w:tcPr>
            <w:tcW w:w="141" w:type="dxa"/>
          </w:tcPr>
          <w:p>
            <w:pPr>
              <w:pStyle w:val="TableParagraph"/>
              <w:spacing w:line="240" w:lineRule="auto"/>
              <w:rPr>
                <w:sz w:val="8"/>
              </w:rPr>
            </w:pPr>
          </w:p>
        </w:tc>
        <w:tc>
          <w:tcPr>
            <w:tcW w:w="311" w:type="dxa"/>
          </w:tcPr>
          <w:p>
            <w:pPr>
              <w:pStyle w:val="TableParagraph"/>
              <w:spacing w:line="128" w:lineRule="exact"/>
              <w:ind w:left="11"/>
              <w:rPr>
                <w:sz w:val="14"/>
              </w:rPr>
            </w:pPr>
            <w:r>
              <w:rPr>
                <w:sz w:val="14"/>
              </w:rPr>
              <w:t>53.4</w:t>
            </w:r>
          </w:p>
        </w:tc>
      </w:tr>
      <w:tr>
        <w:trPr>
          <w:trHeight w:val="191" w:hRule="atLeast"/>
        </w:trPr>
        <w:tc>
          <w:tcPr>
            <w:tcW w:w="2225" w:type="dxa"/>
            <w:gridSpan w:val="2"/>
          </w:tcPr>
          <w:p>
            <w:pPr>
              <w:pStyle w:val="TableParagraph"/>
              <w:spacing w:line="155" w:lineRule="exact"/>
              <w:ind w:left="50"/>
              <w:rPr>
                <w:sz w:val="14"/>
              </w:rPr>
            </w:pPr>
            <w:r>
              <w:rPr>
                <w:sz w:val="14"/>
              </w:rPr>
              <w:t>Corporate services price index </w:t>
            </w:r>
            <w:r>
              <w:rPr>
                <w:sz w:val="12"/>
              </w:rPr>
              <w:t>(c) </w:t>
            </w:r>
            <w:r>
              <w:rPr>
                <w:sz w:val="14"/>
              </w:rPr>
              <w:t>3.3</w:t>
            </w:r>
          </w:p>
        </w:tc>
        <w:tc>
          <w:tcPr>
            <w:tcW w:w="526" w:type="dxa"/>
          </w:tcPr>
          <w:p>
            <w:pPr>
              <w:pStyle w:val="TableParagraph"/>
              <w:spacing w:line="155" w:lineRule="exact"/>
              <w:ind w:left="214" w:right="85"/>
              <w:jc w:val="center"/>
              <w:rPr>
                <w:sz w:val="14"/>
              </w:rPr>
            </w:pPr>
            <w:r>
              <w:rPr>
                <w:sz w:val="14"/>
              </w:rPr>
              <w:t>3.9</w:t>
            </w:r>
          </w:p>
        </w:tc>
        <w:tc>
          <w:tcPr>
            <w:tcW w:w="511" w:type="dxa"/>
            <w:gridSpan w:val="2"/>
          </w:tcPr>
          <w:p>
            <w:pPr>
              <w:pStyle w:val="TableParagraph"/>
              <w:spacing w:line="155" w:lineRule="exact"/>
              <w:ind w:left="243"/>
              <w:rPr>
                <w:sz w:val="14"/>
              </w:rPr>
            </w:pPr>
            <w:r>
              <w:rPr>
                <w:sz w:val="14"/>
              </w:rPr>
              <w:t>3.6</w:t>
            </w:r>
          </w:p>
        </w:tc>
        <w:tc>
          <w:tcPr>
            <w:tcW w:w="471" w:type="dxa"/>
          </w:tcPr>
          <w:p>
            <w:pPr>
              <w:pStyle w:val="TableParagraph"/>
              <w:spacing w:line="155" w:lineRule="exact"/>
              <w:ind w:left="137" w:right="87"/>
              <w:jc w:val="center"/>
              <w:rPr>
                <w:sz w:val="14"/>
              </w:rPr>
            </w:pPr>
            <w:r>
              <w:rPr>
                <w:sz w:val="14"/>
              </w:rPr>
              <w:t>4.1</w:t>
            </w:r>
          </w:p>
        </w:tc>
        <w:tc>
          <w:tcPr>
            <w:tcW w:w="452" w:type="dxa"/>
            <w:gridSpan w:val="2"/>
          </w:tcPr>
          <w:p>
            <w:pPr>
              <w:pStyle w:val="TableParagraph"/>
              <w:spacing w:line="155" w:lineRule="exact"/>
              <w:ind w:left="194"/>
              <w:rPr>
                <w:sz w:val="14"/>
              </w:rPr>
            </w:pPr>
            <w:r>
              <w:rPr>
                <w:sz w:val="14"/>
              </w:rPr>
              <w:t>n.a.</w:t>
            </w:r>
          </w:p>
        </w:tc>
      </w:tr>
      <w:tr>
        <w:trPr>
          <w:trHeight w:val="184" w:hRule="atLeast"/>
        </w:trPr>
        <w:tc>
          <w:tcPr>
            <w:tcW w:w="2225" w:type="dxa"/>
            <w:gridSpan w:val="2"/>
          </w:tcPr>
          <w:p>
            <w:pPr>
              <w:pStyle w:val="TableParagraph"/>
              <w:spacing w:line="118" w:lineRule="exact" w:before="46"/>
              <w:ind w:left="50"/>
              <w:rPr>
                <w:sz w:val="12"/>
              </w:rPr>
            </w:pPr>
            <w:r>
              <w:rPr>
                <w:sz w:val="12"/>
              </w:rPr>
              <w:t>Sources: CIPS and BCC.</w:t>
            </w:r>
          </w:p>
        </w:tc>
        <w:tc>
          <w:tcPr>
            <w:tcW w:w="526" w:type="dxa"/>
          </w:tcPr>
          <w:p>
            <w:pPr>
              <w:pStyle w:val="TableParagraph"/>
              <w:spacing w:line="240" w:lineRule="auto"/>
              <w:rPr>
                <w:sz w:val="12"/>
              </w:rPr>
            </w:pPr>
          </w:p>
        </w:tc>
        <w:tc>
          <w:tcPr>
            <w:tcW w:w="511" w:type="dxa"/>
            <w:gridSpan w:val="2"/>
          </w:tcPr>
          <w:p>
            <w:pPr>
              <w:pStyle w:val="TableParagraph"/>
              <w:spacing w:line="240" w:lineRule="auto"/>
              <w:rPr>
                <w:sz w:val="12"/>
              </w:rPr>
            </w:pPr>
          </w:p>
        </w:tc>
        <w:tc>
          <w:tcPr>
            <w:tcW w:w="471" w:type="dxa"/>
          </w:tcPr>
          <w:p>
            <w:pPr>
              <w:pStyle w:val="TableParagraph"/>
              <w:spacing w:line="240" w:lineRule="auto"/>
              <w:rPr>
                <w:sz w:val="12"/>
              </w:rPr>
            </w:pPr>
          </w:p>
        </w:tc>
        <w:tc>
          <w:tcPr>
            <w:tcW w:w="452" w:type="dxa"/>
            <w:gridSpan w:val="2"/>
          </w:tcPr>
          <w:p>
            <w:pPr>
              <w:pStyle w:val="TableParagraph"/>
              <w:spacing w:line="240" w:lineRule="auto"/>
              <w:rPr>
                <w:sz w:val="12"/>
              </w:rPr>
            </w:pPr>
          </w:p>
        </w:tc>
      </w:tr>
    </w:tbl>
    <w:p>
      <w:pPr>
        <w:pStyle w:val="ListParagraph"/>
        <w:numPr>
          <w:ilvl w:val="0"/>
          <w:numId w:val="40"/>
        </w:numPr>
        <w:tabs>
          <w:tab w:pos="406" w:val="left" w:leader="none"/>
        </w:tabs>
        <w:spacing w:line="208" w:lineRule="auto" w:before="116" w:after="0"/>
        <w:ind w:left="405" w:right="223" w:hanging="240"/>
        <w:jc w:val="left"/>
        <w:rPr>
          <w:sz w:val="12"/>
        </w:rPr>
      </w:pPr>
      <w:r>
        <w:rPr>
          <w:sz w:val="12"/>
        </w:rPr>
        <w:t>Percentage balance of responses to the question: ‘Over the next three months, do</w:t>
      </w:r>
      <w:r>
        <w:rPr>
          <w:spacing w:val="-6"/>
          <w:sz w:val="12"/>
        </w:rPr>
        <w:t> </w:t>
      </w:r>
      <w:r>
        <w:rPr>
          <w:sz w:val="12"/>
        </w:rPr>
        <w:t>you</w:t>
      </w:r>
      <w:r>
        <w:rPr>
          <w:spacing w:val="-5"/>
          <w:sz w:val="12"/>
        </w:rPr>
        <w:t> </w:t>
      </w:r>
      <w:r>
        <w:rPr>
          <w:sz w:val="12"/>
        </w:rPr>
        <w:t>expect</w:t>
      </w:r>
      <w:r>
        <w:rPr>
          <w:spacing w:val="-5"/>
          <w:sz w:val="12"/>
        </w:rPr>
        <w:t> </w:t>
      </w:r>
      <w:r>
        <w:rPr>
          <w:sz w:val="12"/>
        </w:rPr>
        <w:t>the</w:t>
      </w:r>
      <w:r>
        <w:rPr>
          <w:spacing w:val="-5"/>
          <w:sz w:val="12"/>
        </w:rPr>
        <w:t> </w:t>
      </w:r>
      <w:r>
        <w:rPr>
          <w:sz w:val="12"/>
        </w:rPr>
        <w:t>price</w:t>
      </w:r>
      <w:r>
        <w:rPr>
          <w:spacing w:val="-6"/>
          <w:sz w:val="12"/>
        </w:rPr>
        <w:t> </w:t>
      </w:r>
      <w:r>
        <w:rPr>
          <w:sz w:val="12"/>
        </w:rPr>
        <w:t>of</w:t>
      </w:r>
      <w:r>
        <w:rPr>
          <w:spacing w:val="-5"/>
          <w:sz w:val="12"/>
        </w:rPr>
        <w:t> </w:t>
      </w:r>
      <w:r>
        <w:rPr>
          <w:sz w:val="12"/>
        </w:rPr>
        <w:t>your</w:t>
      </w:r>
      <w:r>
        <w:rPr>
          <w:spacing w:val="-5"/>
          <w:sz w:val="12"/>
        </w:rPr>
        <w:t> </w:t>
      </w:r>
      <w:r>
        <w:rPr>
          <w:sz w:val="12"/>
        </w:rPr>
        <w:t>services</w:t>
      </w:r>
      <w:r>
        <w:rPr>
          <w:spacing w:val="-5"/>
          <w:sz w:val="12"/>
        </w:rPr>
        <w:t> </w:t>
      </w:r>
      <w:r>
        <w:rPr>
          <w:sz w:val="12"/>
        </w:rPr>
        <w:t>to</w:t>
      </w:r>
      <w:r>
        <w:rPr>
          <w:spacing w:val="-5"/>
          <w:sz w:val="12"/>
        </w:rPr>
        <w:t> </w:t>
      </w:r>
      <w:r>
        <w:rPr>
          <w:sz w:val="12"/>
        </w:rPr>
        <w:t>increase/remain</w:t>
      </w:r>
      <w:r>
        <w:rPr>
          <w:spacing w:val="-6"/>
          <w:sz w:val="12"/>
        </w:rPr>
        <w:t> </w:t>
      </w:r>
      <w:r>
        <w:rPr>
          <w:sz w:val="12"/>
        </w:rPr>
        <w:t>the</w:t>
      </w:r>
      <w:r>
        <w:rPr>
          <w:spacing w:val="-5"/>
          <w:sz w:val="12"/>
        </w:rPr>
        <w:t> </w:t>
      </w:r>
      <w:r>
        <w:rPr>
          <w:sz w:val="12"/>
        </w:rPr>
        <w:t>same/decrease?’</w:t>
      </w:r>
    </w:p>
    <w:p>
      <w:pPr>
        <w:pStyle w:val="ListParagraph"/>
        <w:numPr>
          <w:ilvl w:val="0"/>
          <w:numId w:val="40"/>
        </w:numPr>
        <w:tabs>
          <w:tab w:pos="406" w:val="left" w:leader="none"/>
        </w:tabs>
        <w:spacing w:line="208" w:lineRule="auto" w:before="0" w:after="0"/>
        <w:ind w:left="405" w:right="151" w:hanging="240"/>
        <w:jc w:val="left"/>
        <w:rPr>
          <w:sz w:val="12"/>
        </w:rPr>
      </w:pPr>
      <w:r>
        <w:rPr>
          <w:sz w:val="12"/>
        </w:rPr>
        <w:t>A reading above 50 suggests rising prices, a reading below 50 suggests falling prices. The CIPS survey is monthly, and the quarterly values shown are averages over the relevant three</w:t>
      </w:r>
      <w:r>
        <w:rPr>
          <w:spacing w:val="-6"/>
          <w:sz w:val="12"/>
        </w:rPr>
        <w:t> </w:t>
      </w:r>
      <w:r>
        <w:rPr>
          <w:sz w:val="12"/>
        </w:rPr>
        <w:t>months.</w:t>
      </w:r>
    </w:p>
    <w:p>
      <w:pPr>
        <w:pStyle w:val="ListParagraph"/>
        <w:numPr>
          <w:ilvl w:val="0"/>
          <w:numId w:val="40"/>
        </w:numPr>
        <w:tabs>
          <w:tab w:pos="406" w:val="left" w:leader="none"/>
        </w:tabs>
        <w:spacing w:line="123" w:lineRule="exact" w:before="0" w:after="0"/>
        <w:ind w:left="405" w:right="0" w:hanging="241"/>
        <w:jc w:val="left"/>
        <w:rPr>
          <w:sz w:val="12"/>
        </w:rPr>
      </w:pPr>
      <w:r>
        <w:rPr>
          <w:sz w:val="12"/>
        </w:rPr>
        <w:t>Percentage change on a year</w:t>
      </w:r>
      <w:r>
        <w:rPr>
          <w:spacing w:val="-7"/>
          <w:sz w:val="12"/>
        </w:rPr>
        <w:t> </w:t>
      </w:r>
      <w:r>
        <w:rPr>
          <w:sz w:val="12"/>
        </w:rPr>
        <w:t>earlier.</w:t>
      </w:r>
    </w:p>
    <w:p>
      <w:pPr>
        <w:pStyle w:val="BodyText"/>
        <w:spacing w:line="242" w:lineRule="auto" w:before="227"/>
        <w:ind w:left="165" w:right="89"/>
      </w:pPr>
      <w:r>
        <w:rPr/>
        <w:br w:type="column"/>
      </w:r>
      <w:r>
        <w:rPr/>
        <w:t>Chart 4.7). This suggests that there is little sign so far of higher costs of materials and fuels leading to higher output prices. Output prices excluding food, drink, tobacco and oil rose by 1.2% in the year to September, indicating little impact to date of possible second-round effects on output prices from higher oil prices. Indeed, some survey evidence suggests that manufacturers continue to experience strong downward pressures on their output prices. For example, the balance of manufacturers reporting in the monthly CBI industrial trends survey that they expected to lower prices in the following four months increased in September. This balance narrowed in the October survey, but there has been a persistent majority expecting future price falls since early 1998. In contrast to the CBI responses, the BCC survey over the past year has shown a small majority of manufacturers expecting price rises, and this positive balance increased slightly in Q3 from +6 to +10.</w:t>
      </w:r>
    </w:p>
    <w:p>
      <w:pPr>
        <w:pStyle w:val="BodyText"/>
        <w:spacing w:before="4"/>
        <w:rPr>
          <w:sz w:val="26"/>
        </w:rPr>
      </w:pPr>
    </w:p>
    <w:p>
      <w:pPr>
        <w:pStyle w:val="BodyText"/>
        <w:spacing w:line="242" w:lineRule="auto"/>
        <w:ind w:left="165" w:right="139"/>
      </w:pPr>
      <w:r>
        <w:rPr/>
        <w:t>An approximate indicator of the pressure on manufacturing margins can be constructed by adding the various cost components of production using suitable weights and comparing the resulting weighted costs with actual output price increases (see </w:t>
      </w:r>
      <w:r>
        <w:rPr>
          <w:spacing w:val="-5"/>
        </w:rPr>
        <w:t>Table </w:t>
      </w:r>
      <w:r>
        <w:rPr/>
        <w:t>4.A). The weights used may no longer be accurate (as they are based</w:t>
      </w:r>
      <w:r>
        <w:rPr>
          <w:spacing w:val="-6"/>
        </w:rPr>
        <w:t> </w:t>
      </w:r>
      <w:r>
        <w:rPr/>
        <w:t>on</w:t>
      </w:r>
      <w:r>
        <w:rPr>
          <w:spacing w:val="-5"/>
        </w:rPr>
        <w:t> </w:t>
      </w:r>
      <w:r>
        <w:rPr/>
        <w:t>1990</w:t>
      </w:r>
      <w:r>
        <w:rPr>
          <w:spacing w:val="-6"/>
        </w:rPr>
        <w:t> </w:t>
      </w:r>
      <w:r>
        <w:rPr/>
        <w:t>input</w:t>
      </w:r>
      <w:r>
        <w:rPr>
          <w:spacing w:val="-5"/>
        </w:rPr>
        <w:t> </w:t>
      </w:r>
      <w:r>
        <w:rPr/>
        <w:t>proportions)</w:t>
      </w:r>
      <w:r>
        <w:rPr>
          <w:spacing w:val="-5"/>
        </w:rPr>
        <w:t> </w:t>
      </w:r>
      <w:r>
        <w:rPr/>
        <w:t>but</w:t>
      </w:r>
      <w:r>
        <w:rPr>
          <w:spacing w:val="-6"/>
        </w:rPr>
        <w:t> </w:t>
      </w:r>
      <w:r>
        <w:rPr/>
        <w:t>a</w:t>
      </w:r>
      <w:r>
        <w:rPr>
          <w:spacing w:val="-5"/>
        </w:rPr>
        <w:t> </w:t>
      </w:r>
      <w:r>
        <w:rPr/>
        <w:t>range</w:t>
      </w:r>
      <w:r>
        <w:rPr>
          <w:spacing w:val="-5"/>
        </w:rPr>
        <w:t> </w:t>
      </w:r>
      <w:r>
        <w:rPr/>
        <w:t>of</w:t>
      </w:r>
      <w:r>
        <w:rPr>
          <w:spacing w:val="-6"/>
        </w:rPr>
        <w:t> </w:t>
      </w:r>
      <w:r>
        <w:rPr/>
        <w:t>plausible weights would yield a broadly similar picture, which shows that output prices </w:t>
      </w:r>
      <w:r>
        <w:rPr>
          <w:spacing w:val="-3"/>
        </w:rPr>
        <w:t>have </w:t>
      </w:r>
      <w:r>
        <w:rPr/>
        <w:t>been rising less fast than weighted costs. In addition, as discussed above, export margins appear to </w:t>
      </w:r>
      <w:r>
        <w:rPr>
          <w:spacing w:val="-3"/>
        </w:rPr>
        <w:t>have </w:t>
      </w:r>
      <w:r>
        <w:rPr/>
        <w:t>been squeezed </w:t>
      </w:r>
      <w:r>
        <w:rPr>
          <w:spacing w:val="-3"/>
        </w:rPr>
        <w:t>even </w:t>
      </w:r>
      <w:r>
        <w:rPr/>
        <w:t>more than domestic margins. This picture of margins pressure for manufacturers, especially in export markets, is supported by reports from the </w:t>
      </w:r>
      <w:r>
        <w:rPr>
          <w:spacing w:val="-3"/>
        </w:rPr>
        <w:t>Bank’s </w:t>
      </w:r>
      <w:r>
        <w:rPr/>
        <w:t>regional</w:t>
      </w:r>
      <w:r>
        <w:rPr>
          <w:spacing w:val="-22"/>
        </w:rPr>
        <w:t> </w:t>
      </w:r>
      <w:r>
        <w:rPr/>
        <w:t>Agents.</w:t>
      </w:r>
    </w:p>
    <w:p>
      <w:pPr>
        <w:pStyle w:val="BodyText"/>
        <w:spacing w:before="7"/>
        <w:rPr>
          <w:sz w:val="22"/>
        </w:rPr>
      </w:pPr>
    </w:p>
    <w:p>
      <w:pPr>
        <w:pStyle w:val="Heading4"/>
        <w:numPr>
          <w:ilvl w:val="1"/>
          <w:numId w:val="37"/>
        </w:numPr>
        <w:tabs>
          <w:tab w:pos="1062" w:val="left" w:leader="none"/>
          <w:tab w:pos="1064" w:val="left" w:leader="none"/>
          <w:tab w:pos="5659" w:val="left" w:leader="none"/>
        </w:tabs>
        <w:spacing w:line="240" w:lineRule="auto" w:before="0" w:after="0"/>
        <w:ind w:left="1063" w:right="0" w:hanging="899"/>
        <w:jc w:val="left"/>
        <w:rPr>
          <w:color w:val="009391"/>
        </w:rPr>
      </w:pPr>
      <w:r>
        <w:rPr>
          <w:color w:val="009391"/>
          <w:u w:val="thick" w:color="0092C7"/>
        </w:rPr>
        <w:t>Costs and prices in the service</w:t>
      </w:r>
      <w:r>
        <w:rPr>
          <w:color w:val="009391"/>
          <w:spacing w:val="-33"/>
          <w:u w:val="thick" w:color="0092C7"/>
        </w:rPr>
        <w:t> </w:t>
      </w:r>
      <w:r>
        <w:rPr>
          <w:color w:val="009391"/>
          <w:u w:val="thick" w:color="0092C7"/>
        </w:rPr>
        <w:t>sector</w:t>
        <w:tab/>
      </w:r>
    </w:p>
    <w:p>
      <w:pPr>
        <w:pStyle w:val="BodyText"/>
        <w:spacing w:line="242" w:lineRule="auto" w:before="264"/>
        <w:ind w:left="165" w:right="183"/>
      </w:pPr>
      <w:r>
        <w:rPr/>
        <w:t>Annual unit wage cost growth in the service sector slowed to an estimated 1.3% in Q2 from 4% in Q1. Some of this may reflect an ending of special millennium payments affecting Q1, and hence the change between the two quarters may exaggerate the underlying movement. Nevertheless, service sector unit wage cost growth averaged nearly 4% for the calendar year 1999, so the recent </w:t>
      </w:r>
      <w:r>
        <w:rPr>
          <w:spacing w:val="-3"/>
        </w:rPr>
        <w:t>slowdown </w:t>
      </w:r>
      <w:r>
        <w:rPr/>
        <w:t>appears substantial. Survey evidence, </w:t>
      </w:r>
      <w:r>
        <w:rPr>
          <w:spacing w:val="-4"/>
        </w:rPr>
        <w:t>however, </w:t>
      </w:r>
      <w:r>
        <w:rPr/>
        <w:t>provides a slightly different picture. The CIPS services survey for September reported rising staff costs as contributing to the highest rise in input costs during its four-year existence, though the quarterly average for input cost inflation was the same for Q3 as for Q2 (see </w:t>
      </w:r>
      <w:r>
        <w:rPr>
          <w:spacing w:val="-5"/>
        </w:rPr>
        <w:t>Table </w:t>
      </w:r>
      <w:r>
        <w:rPr/>
        <w:t>4.B) and fuel prices were also a major contributory </w:t>
      </w:r>
      <w:r>
        <w:rPr>
          <w:spacing w:val="-3"/>
        </w:rPr>
        <w:t>factor. </w:t>
      </w:r>
      <w:r>
        <w:rPr/>
        <w:t>The October</w:t>
      </w:r>
      <w:r>
        <w:rPr>
          <w:spacing w:val="-40"/>
        </w:rPr>
        <w:t> </w:t>
      </w:r>
      <w:r>
        <w:rPr/>
        <w:t>CIPS</w:t>
      </w:r>
    </w:p>
    <w:p>
      <w:pPr>
        <w:spacing w:after="0" w:line="242" w:lineRule="auto"/>
        <w:sectPr>
          <w:type w:val="continuous"/>
          <w:pgSz w:w="11900" w:h="16840"/>
          <w:pgMar w:top="1260" w:bottom="280" w:left="640" w:right="640"/>
          <w:cols w:num="2" w:equalWidth="0">
            <w:col w:w="4450" w:space="370"/>
            <w:col w:w="5800"/>
          </w:cols>
        </w:sectPr>
      </w:pPr>
    </w:p>
    <w:p>
      <w:pPr>
        <w:pStyle w:val="BodyText"/>
        <w:rPr>
          <w:sz w:val="20"/>
        </w:rPr>
      </w:pPr>
    </w:p>
    <w:p>
      <w:pPr>
        <w:pStyle w:val="BodyText"/>
        <w:spacing w:line="242" w:lineRule="auto" w:before="212"/>
        <w:ind w:left="4960" w:right="276"/>
      </w:pPr>
      <w:bookmarkStart w:name="Retail prices" w:id="66"/>
      <w:bookmarkEnd w:id="66"/>
      <w:r>
        <w:rPr/>
      </w:r>
      <w:bookmarkStart w:name="_bookmark28" w:id="67"/>
      <w:bookmarkEnd w:id="67"/>
      <w:r>
        <w:rPr/>
      </w:r>
      <w:r>
        <w:rPr/>
        <w:t>services survey also reported that: ‘… higher demand for staff and a tight labour market continued to drive up average wage costs’.</w:t>
      </w:r>
    </w:p>
    <w:p>
      <w:pPr>
        <w:pStyle w:val="BodyText"/>
        <w:spacing w:before="10"/>
        <w:rPr>
          <w:sz w:val="16"/>
        </w:rPr>
      </w:pPr>
    </w:p>
    <w:p>
      <w:pPr>
        <w:spacing w:after="0"/>
        <w:rPr>
          <w:sz w:val="16"/>
        </w:rPr>
        <w:sectPr>
          <w:pgSz w:w="11900" w:h="16840"/>
          <w:pgMar w:header="586" w:footer="612" w:top="800" w:bottom="80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spacing w:before="159"/>
        <w:ind w:left="179" w:right="0" w:firstLine="0"/>
        <w:jc w:val="left"/>
        <w:rPr>
          <w:b/>
          <w:sz w:val="20"/>
        </w:rPr>
      </w:pPr>
      <w:r>
        <w:rPr>
          <w:b/>
          <w:color w:val="0092C7"/>
          <w:sz w:val="20"/>
        </w:rPr>
        <w:t>Chart 4.8</w:t>
      </w:r>
    </w:p>
    <w:p>
      <w:pPr>
        <w:spacing w:before="10"/>
        <w:ind w:left="179" w:right="0" w:firstLine="0"/>
        <w:jc w:val="left"/>
        <w:rPr>
          <w:b/>
          <w:sz w:val="20"/>
        </w:rPr>
      </w:pPr>
      <w:r>
        <w:rPr>
          <w:b/>
          <w:color w:val="0092C7"/>
          <w:sz w:val="20"/>
        </w:rPr>
        <w:t>Retail price inflation</w:t>
      </w:r>
    </w:p>
    <w:p>
      <w:pPr>
        <w:spacing w:before="128"/>
        <w:ind w:left="1575" w:right="0" w:firstLine="0"/>
        <w:jc w:val="left"/>
        <w:rPr>
          <w:sz w:val="12"/>
        </w:rPr>
      </w:pPr>
      <w:r>
        <w:rPr/>
        <w:pict>
          <v:line style="position:absolute;mso-position-horizontal-relative:page;mso-position-vertical-relative:paragraph;z-index:16141312" from="42.191002pt,14.107166pt" to="46.524002pt,14.107166pt" stroked="true" strokeweight=".5pt" strokecolor="#000000">
            <v:stroke dashstyle="solid"/>
            <w10:wrap type="none"/>
          </v:line>
        </w:pict>
      </w:r>
      <w:r>
        <w:rPr>
          <w:sz w:val="12"/>
        </w:rPr>
        <w:t>Percentage changes on a year earli</w:t>
      </w:r>
      <w:r>
        <w:rPr>
          <w:sz w:val="12"/>
          <w:u w:val="single"/>
        </w:rPr>
        <w:t>er</w:t>
      </w:r>
      <w:r>
        <w:rPr>
          <w:spacing w:val="22"/>
          <w:sz w:val="12"/>
        </w:rPr>
        <w:t> </w:t>
      </w:r>
      <w:r>
        <w:rPr>
          <w:position w:val="-5"/>
          <w:sz w:val="12"/>
        </w:rPr>
        <w:t>4.5</w:t>
      </w:r>
    </w:p>
    <w:p>
      <w:pPr>
        <w:pStyle w:val="BodyText"/>
        <w:spacing w:before="8"/>
        <w:rPr>
          <w:sz w:val="15"/>
        </w:rPr>
      </w:pPr>
    </w:p>
    <w:p>
      <w:pPr>
        <w:spacing w:before="1"/>
        <w:ind w:left="3376" w:right="0" w:firstLine="0"/>
        <w:jc w:val="left"/>
        <w:rPr>
          <w:sz w:val="12"/>
        </w:rPr>
      </w:pPr>
      <w:r>
        <w:rPr/>
        <w:pict>
          <v:group style="position:absolute;margin-left:42.191002pt;margin-top:-2.89555pt;width:156.050pt;height:102.7pt;mso-position-horizontal-relative:page;mso-position-vertical-relative:paragraph;z-index:16139776" coordorigin="844,-58" coordsize="3121,2054">
            <v:line style="position:absolute" from="997,789" to="1049,919" stroked="true" strokeweight="1pt" strokecolor="#006caa">
              <v:stroke dashstyle="solid"/>
            </v:line>
            <v:line style="position:absolute" from="1039,920" to="1109,920" stroked="true" strokeweight="1.125pt" strokecolor="#006caa">
              <v:stroke dashstyle="solid"/>
            </v:line>
            <v:shape style="position:absolute;left:1099;top:918;width:245;height:378" coordorigin="1099,919" coordsize="245,378" path="m1099,919l1152,1099m1152,1099l1202,1231m1202,1231l1254,1296m1254,1296l1294,1231m1294,1231l1344,1296e" filled="false" stroked="true" strokeweight="1pt" strokecolor="#006caa">
              <v:path arrowok="t"/>
              <v:stroke dashstyle="solid"/>
            </v:shape>
            <v:line style="position:absolute" from="1334,1297" to="1407,1297" stroked="true" strokeweight="1.125pt" strokecolor="#006caa">
              <v:stroke dashstyle="solid"/>
            </v:line>
            <v:line style="position:absolute" from="1397,1296" to="1447,919" stroked="true" strokeweight="1pt" strokecolor="#006caa">
              <v:stroke dashstyle="solid"/>
            </v:line>
            <v:line style="position:absolute" from="1437,920" to="1509,920" stroked="true" strokeweight="1.125pt" strokecolor="#006caa">
              <v:stroke dashstyle="solid"/>
            </v:line>
            <v:shape style="position:absolute;left:1499;top:281;width:553;height:818" coordorigin="1499,281" coordsize="553,818" path="m1499,919l1549,1034m1549,1034l1602,854m1602,854l1652,919m1652,919l1704,969m1704,969l1754,1099m1754,1099l1807,969m1807,969l1847,789m1847,789l1899,526m1899,526l1949,411m1949,411l1999,346m1999,346l2052,281e" filled="false" stroked="true" strokeweight="1pt" strokecolor="#006caa">
              <v:path arrowok="t"/>
              <v:stroke dashstyle="solid"/>
            </v:shape>
            <v:line style="position:absolute" from="2042,282" to="2112,282" stroked="true" strokeweight="1.125pt" strokecolor="#006caa">
              <v:stroke dashstyle="solid"/>
            </v:line>
            <v:shape style="position:absolute;left:2101;top:-29;width:758;height:1325" coordorigin="2102,-29" coordsize="758,1325" path="m2102,281l2154,346m2154,346l2204,526m2204,526l2257,479m2257,479l2307,411m2307,411l2359,84m2359,84l2409,-29m2409,-29l2452,281m2452,281l2502,411m2502,411l2554,526m2554,526l2604,591m2604,591l2657,659m2657,659l2707,724m2707,724l2757,854m2757,854l2809,1099m2809,1099l2859,1296e" filled="false" stroked="true" strokeweight="1pt" strokecolor="#006caa">
              <v:path arrowok="t"/>
              <v:stroke dashstyle="solid"/>
            </v:shape>
            <v:line style="position:absolute" from="2849,1297" to="2922,1297" stroked="true" strokeweight="1.125pt" strokecolor="#006caa">
              <v:stroke dashstyle="solid"/>
            </v:line>
            <v:shape style="position:absolute;left:2911;top:1296;width:93;height:508" coordorigin="2912,1296" coordsize="93,508" path="m2912,1296l2962,1606m2962,1606l3004,1804e" filled="false" stroked="true" strokeweight="1pt" strokecolor="#006caa">
              <v:path arrowok="t"/>
              <v:stroke dashstyle="solid"/>
            </v:shape>
            <v:shape style="position:absolute;left:2994;top:1804;width:123;height:2" coordorigin="2994,1805" coordsize="123,0" path="m2994,1805l3064,1805m3044,1805l3117,1805e" filled="false" stroked="true" strokeweight="1.125pt" strokecolor="#006caa">
              <v:path arrowok="t"/>
              <v:stroke dashstyle="solid"/>
            </v:shape>
            <v:line style="position:absolute" from="3107,1804" to="3157,1919" stroked="true" strokeweight="1pt" strokecolor="#006caa">
              <v:stroke dashstyle="solid"/>
            </v:line>
            <v:line style="position:absolute" from="3147,1920" to="3219,1920" stroked="true" strokeweight="1.125pt" strokecolor="#006caa">
              <v:stroke dashstyle="solid"/>
            </v:line>
            <v:shape style="position:absolute;left:3209;top:526;width:603;height:1393" coordorigin="3209,526" coordsize="603,1393" path="m3209,1919l3259,1869m3259,1869l3312,1739m3312,1739l3362,1476m3362,1476l3412,1379m3412,1379l3464,1149m3464,1149l3514,969m3514,969l3557,739m3557,739l3607,674m3607,674l3659,526m3659,526l3709,559m3709,559l3762,706m3762,706l3812,526e" filled="false" stroked="true" strokeweight="1pt" strokecolor="#006caa">
              <v:path arrowok="t"/>
              <v:stroke dashstyle="solid"/>
            </v:shape>
            <v:line style="position:absolute" from="997,854" to="1049,789" stroked="true" strokeweight="1pt" strokecolor="#de0035">
              <v:stroke dashstyle="solid"/>
            </v:line>
            <v:shape style="position:absolute;left:1039;top:789;width:123;height:2" coordorigin="1039,790" coordsize="123,0" path="m1039,790l1109,790m1089,790l1162,790e" filled="false" stroked="true" strokeweight="1.125pt" strokecolor="#de0035">
              <v:path arrowok="t"/>
              <v:stroke dashstyle="solid"/>
            </v:shape>
            <v:line style="position:absolute" from="1152,789" to="1202,854" stroked="true" strokeweight="1pt" strokecolor="#de0035">
              <v:stroke dashstyle="solid"/>
            </v:line>
            <v:shape style="position:absolute;left:1191;top:854;width:163;height:2" coordorigin="1192,855" coordsize="163,0" path="m1192,855l1264,855m1244,855l1304,855m1284,855l1354,855e" filled="false" stroked="true" strokeweight="1.125pt" strokecolor="#de0035">
              <v:path arrowok="t"/>
              <v:stroke dashstyle="solid"/>
            </v:shape>
            <v:shape style="position:absolute;left:1344;top:526;width:103;height:328" coordorigin="1344,526" coordsize="103,328" path="m1344,854l1397,789m1397,789l1447,526e" filled="false" stroked="true" strokeweight="1pt" strokecolor="#de0035">
              <v:path arrowok="t"/>
              <v:stroke dashstyle="solid"/>
            </v:shape>
            <v:line style="position:absolute" from="1437,527" to="1509,527" stroked="true" strokeweight="1.125pt" strokecolor="#de0035">
              <v:stroke dashstyle="solid"/>
            </v:line>
            <v:line style="position:absolute" from="1499,526" to="1549,659" stroked="true" strokeweight="1pt" strokecolor="#de0035">
              <v:stroke dashstyle="solid"/>
            </v:line>
            <v:line style="position:absolute" from="1539,660" to="1612,660" stroked="true" strokeweight="1.125pt" strokecolor="#de0035">
              <v:stroke dashstyle="solid"/>
            </v:line>
            <v:shape style="position:absolute;left:1601;top:658;width:153;height:375" coordorigin="1602,659" coordsize="153,375" path="m1602,659l1652,789m1652,789l1704,919m1704,919l1754,1034e" filled="false" stroked="true" strokeweight="1pt" strokecolor="#de0035">
              <v:path arrowok="t"/>
              <v:stroke dashstyle="solid"/>
            </v:shape>
            <v:line style="position:absolute" from="1744,1035" to="1817,1035" stroked="true" strokeweight="1.125pt" strokecolor="#de0035">
              <v:stroke dashstyle="solid"/>
            </v:line>
            <v:shape style="position:absolute;left:1806;top:723;width:245;height:310" coordorigin="1807,724" coordsize="245,310" path="m1807,1034l1847,919m1847,919l1899,724m1899,724l1949,854m1949,854l1999,919m1999,919l2052,854e" filled="false" stroked="true" strokeweight="1pt" strokecolor="#de0035">
              <v:path arrowok="t"/>
              <v:stroke dashstyle="solid"/>
            </v:shape>
            <v:line style="position:absolute" from="2042,855" to="2112,855" stroked="true" strokeweight="1.125pt" strokecolor="#de0035">
              <v:stroke dashstyle="solid"/>
            </v:line>
            <v:shape style="position:absolute;left:2101;top:853;width:155;height:180" coordorigin="2102,854" coordsize="155,180" path="m2102,854l2154,919m2154,919l2204,1034m2204,1034l2257,969e" filled="false" stroked="true" strokeweight="1pt" strokecolor="#de0035">
              <v:path arrowok="t"/>
              <v:stroke dashstyle="solid"/>
            </v:shape>
            <v:line style="position:absolute" from="2247,970" to="2317,970" stroked="true" strokeweight="1.125pt" strokecolor="#de0035">
              <v:stroke dashstyle="solid"/>
            </v:line>
            <v:shape style="position:absolute;left:2306;top:591;width:248;height:443" coordorigin="2307,591" coordsize="248,443" path="m2307,969l2359,724m2359,724l2409,591m2409,591l2452,854m2452,854l2502,969m2502,969l2554,1034e" filled="false" stroked="true" strokeweight="1pt" strokecolor="#de0035">
              <v:path arrowok="t"/>
              <v:stroke dashstyle="solid"/>
            </v:shape>
            <v:shape style="position:absolute;left:2544;top:1034;width:173;height:2" coordorigin="2544,1035" coordsize="173,0" path="m2544,1035l2614,1035m2594,1035l2667,1035m2647,1035l2717,1035e" filled="false" stroked="true" strokeweight="1.125pt" strokecolor="#de0035">
              <v:path arrowok="t"/>
              <v:stroke dashstyle="solid"/>
            </v:shape>
            <v:line style="position:absolute" from="2707,1034" to="2757,969" stroked="true" strokeweight="1pt" strokecolor="#de0035">
              <v:stroke dashstyle="solid"/>
            </v:line>
            <v:line style="position:absolute" from="2747,970" to="2819,970" stroked="true" strokeweight="1.125pt" strokecolor="#de0035">
              <v:stroke dashstyle="solid"/>
            </v:line>
            <v:shape style="position:absolute;left:2809;top:918;width:245;height:378" coordorigin="2809,919" coordsize="245,378" path="m2809,969l2859,1099m2859,1099l2912,919m2912,919l2962,1099m2962,1099l3004,1296m3004,1296l3054,1231e" filled="false" stroked="true" strokeweight="1pt" strokecolor="#de0035">
              <v:path arrowok="t"/>
              <v:stroke dashstyle="solid"/>
            </v:shape>
            <v:line style="position:absolute" from="3044,1232" to="3117,1232" stroked="true" strokeweight="1.125pt" strokecolor="#de0035">
              <v:stroke dashstyle="solid"/>
            </v:line>
            <v:line style="position:absolute" from="3107,1231" to="3157,1296" stroked="true" strokeweight="1pt" strokecolor="#de0035">
              <v:stroke dashstyle="solid"/>
            </v:line>
            <v:line style="position:absolute" from="3147,1297" to="3219,1297" stroked="true" strokeweight="1.125pt" strokecolor="#de0035">
              <v:stroke dashstyle="solid"/>
            </v:line>
            <v:line style="position:absolute" from="3209,1296" to="3259,1231" stroked="true" strokeweight="1pt" strokecolor="#de0035">
              <v:stroke dashstyle="solid"/>
            </v:line>
            <v:line style="position:absolute" from="3249,1232" to="3322,1232" stroked="true" strokeweight="1.125pt" strokecolor="#de0035">
              <v:stroke dashstyle="solid"/>
            </v:line>
            <v:shape style="position:absolute;left:3311;top:1198;width:500;height:228" coordorigin="3312,1199" coordsize="500,228" path="m3312,1231l3412,1296m3412,1296l3464,1264m3464,1264l3514,1379m3514,1379l3557,1394m3557,1394l3607,1361m3607,1361l3659,1199m3659,1199l3709,1231m3709,1231l3762,1426m3762,1426l3812,1199e" filled="false" stroked="true" strokeweight="1pt" strokecolor="#de0035">
              <v:path arrowok="t"/>
              <v:stroke dashstyle="solid"/>
            </v:shape>
            <v:line style="position:absolute" from="987,1035" to="1059,1035" stroked="true" strokeweight="1.125pt" strokecolor="#a64991">
              <v:stroke dashstyle="solid"/>
            </v:line>
            <v:line style="position:absolute" from="1049,1034" to="1099,969" stroked="true" strokeweight="1pt" strokecolor="#a64991">
              <v:stroke dashstyle="solid"/>
            </v:line>
            <v:line style="position:absolute" from="1089,970" to="1162,970" stroked="true" strokeweight="1.125pt" strokecolor="#a64991">
              <v:stroke dashstyle="solid"/>
            </v:line>
            <v:line style="position:absolute" from="1152,969" to="1202,1166" stroked="true" strokeweight="1pt" strokecolor="#a64991">
              <v:stroke dashstyle="solid"/>
            </v:line>
            <v:line style="position:absolute" from="1192,1167" to="1264,1167" stroked="true" strokeweight="1.125pt" strokecolor="#a64991">
              <v:stroke dashstyle="solid"/>
            </v:line>
            <v:line style="position:absolute" from="1254,1166" to="1294,1099" stroked="true" strokeweight="1pt" strokecolor="#a64991">
              <v:stroke dashstyle="solid"/>
            </v:line>
            <v:line style="position:absolute" from="1284,1100" to="1354,1100" stroked="true" strokeweight="1.125pt" strokecolor="#a64991">
              <v:stroke dashstyle="solid"/>
            </v:line>
            <v:shape style="position:absolute;left:1344;top:723;width:103;height:375" coordorigin="1344,724" coordsize="103,375" path="m1344,1099l1397,1034m1397,1034l1447,724e" filled="false" stroked="true" strokeweight="1pt" strokecolor="#a64991">
              <v:path arrowok="t"/>
              <v:stroke dashstyle="solid"/>
            </v:shape>
            <v:line style="position:absolute" from="1437,725" to="1509,725" stroked="true" strokeweight="1.125pt" strokecolor="#a64991">
              <v:stroke dashstyle="solid"/>
            </v:line>
            <v:shape style="position:absolute;left:1499;top:723;width:255;height:638" coordorigin="1499,724" coordsize="255,638" path="m1499,724l1549,919m1549,919l1602,854m1602,854l1652,1034m1652,1034l1704,1166m1704,1166l1754,1361e" filled="false" stroked="true" strokeweight="1pt" strokecolor="#a64991">
              <v:path arrowok="t"/>
              <v:stroke dashstyle="solid"/>
            </v:shape>
            <v:line style="position:absolute" from="1744,1362" to="1817,1362" stroked="true" strokeweight="1.125pt" strokecolor="#a64991">
              <v:stroke dashstyle="solid"/>
            </v:line>
            <v:line style="position:absolute" from="1807,1361" to="1847,1231" stroked="true" strokeweight="1pt" strokecolor="#a64991">
              <v:stroke dashstyle="solid"/>
            </v:line>
            <v:line style="position:absolute" from="1837,1232" to="1909,1232" stroked="true" strokeweight="1.125pt" strokecolor="#a64991">
              <v:stroke dashstyle="solid"/>
            </v:line>
            <v:shape style="position:absolute;left:1899;top:1231;width:358;height:195" coordorigin="1899,1231" coordsize="358,195" path="m1899,1231l1999,1361m1999,1361l2052,1231m2052,1231l2102,1296m2102,1296l2154,1231m2154,1231l2204,1426m2204,1426l2257,1296e" filled="false" stroked="true" strokeweight="1pt" strokecolor="#a64991">
              <v:path arrowok="t"/>
              <v:stroke dashstyle="solid"/>
            </v:shape>
            <v:line style="position:absolute" from="2247,1297" to="2317,1297" stroked="true" strokeweight="1.125pt" strokecolor="#a64991">
              <v:stroke dashstyle="solid"/>
            </v:line>
            <v:shape style="position:absolute;left:2306;top:1033;width:195;height:328" coordorigin="2307,1034" coordsize="195,328" path="m2307,1296l2359,1231m2359,1231l2409,1034m2409,1034l2452,1361m2452,1361l2502,1296e" filled="false" stroked="true" strokeweight="1pt" strokecolor="#a64991">
              <v:path arrowok="t"/>
              <v:stroke dashstyle="solid"/>
            </v:shape>
            <v:line style="position:absolute" from="2492,1297" to="2564,1297" stroked="true" strokeweight="1.125pt" strokecolor="#a64991">
              <v:stroke dashstyle="solid"/>
            </v:line>
            <v:shape style="position:absolute;left:2554;top:1296;width:103;height:180" coordorigin="2554,1296" coordsize="103,180" path="m2554,1296l2604,1361m2604,1361l2657,1476e" filled="false" stroked="true" strokeweight="1pt" strokecolor="#a64991">
              <v:path arrowok="t"/>
              <v:stroke dashstyle="solid"/>
            </v:shape>
            <v:line style="position:absolute" from="2647,1477" to="2717,1477" stroked="true" strokeweight="1.125pt" strokecolor="#a64991">
              <v:stroke dashstyle="solid"/>
            </v:line>
            <v:line style="position:absolute" from="2707,1476" to="2757,1361" stroked="true" strokeweight="1pt" strokecolor="#a64991">
              <v:stroke dashstyle="solid"/>
            </v:line>
            <v:line style="position:absolute" from="2747,1362" to="2819,1362" stroked="true" strokeweight="1.125pt" strokecolor="#a64991">
              <v:stroke dashstyle="solid"/>
            </v:line>
            <v:shape style="position:absolute;left:2809;top:1361;width:195;height:313" coordorigin="2809,1361" coordsize="195,313" path="m2809,1361l2859,1476m2859,1476l2912,1541m2912,1541l2962,1476m2962,1476l3004,1674e" filled="false" stroked="true" strokeweight="1pt" strokecolor="#a64991">
              <v:path arrowok="t"/>
              <v:stroke dashstyle="solid"/>
            </v:shape>
            <v:line style="position:absolute" from="2994,1675" to="3064,1675" stroked="true" strokeweight="1.125pt" strokecolor="#a64991">
              <v:stroke dashstyle="solid"/>
            </v:line>
            <v:shape style="position:absolute;left:3054;top:1328;width:758;height:475" coordorigin="3054,1329" coordsize="758,475" path="m3054,1674l3107,1606m3107,1606l3157,1739m3157,1739l3209,1804m3209,1804l3259,1674m3259,1674l3312,1541m3312,1541l3362,1494m3362,1494l3412,1476m3412,1476l3464,1494m3464,1494l3514,1329m3514,1329l3557,1606m3557,1606l3607,1574m3607,1574l3659,1379m3659,1379l3709,1411m3709,1411l3762,1656m3762,1656l3812,1379e" filled="false" stroked="true" strokeweight="1pt" strokecolor="#a64991">
              <v:path arrowok="t"/>
              <v:stroke dashstyle="solid"/>
            </v:shape>
            <v:shape style="position:absolute;left:843;top:90;width:3121;height:1901" coordorigin="844,91" coordsize="3121,1901" path="m844,93l930,93m844,409l930,409m844,725l930,725m844,1042l930,1042m844,1358l930,1358m844,1674l930,1674m844,1991l930,1991m3878,91l3965,91m3878,407l3965,407m3878,723l3965,723m3878,1040l3965,1040m3878,1356l3965,1356m3878,1673l3965,1673m3878,1989l3965,1989e" filled="false" stroked="true" strokeweight=".5pt" strokecolor="#000000">
              <v:path arrowok="t"/>
              <v:stroke dashstyle="solid"/>
            </v:shape>
            <v:shape style="position:absolute;left:2451;top:-58;width:207;height:133" type="#_x0000_t202" filled="false" stroked="false">
              <v:textbox inset="0,0,0,0">
                <w:txbxContent>
                  <w:p>
                    <w:pPr>
                      <w:spacing w:line="133" w:lineRule="exact" w:before="0"/>
                      <w:ind w:left="0" w:right="0" w:firstLine="0"/>
                      <w:jc w:val="left"/>
                      <w:rPr>
                        <w:sz w:val="12"/>
                      </w:rPr>
                    </w:pPr>
                    <w:r>
                      <w:rPr>
                        <w:sz w:val="12"/>
                      </w:rPr>
                      <w:t>RPI</w:t>
                    </w:r>
                  </w:p>
                </w:txbxContent>
              </v:textbox>
              <w10:wrap type="none"/>
            </v:shape>
            <v:shape style="position:absolute;left:2053;top:638;width:294;height:133" type="#_x0000_t202" filled="false" stroked="false">
              <v:textbox inset="0,0,0,0">
                <w:txbxContent>
                  <w:p>
                    <w:pPr>
                      <w:spacing w:line="133" w:lineRule="exact" w:before="0"/>
                      <w:ind w:left="0" w:right="0" w:firstLine="0"/>
                      <w:jc w:val="left"/>
                      <w:rPr>
                        <w:sz w:val="12"/>
                      </w:rPr>
                    </w:pPr>
                    <w:r>
                      <w:rPr>
                        <w:sz w:val="12"/>
                      </w:rPr>
                      <w:t>RPIX</w:t>
                    </w:r>
                  </w:p>
                </w:txbxContent>
              </v:textbox>
              <w10:wrap type="none"/>
            </v:shape>
            <v:shape style="position:absolute;left:2352;top:1431;width:294;height:133" type="#_x0000_t202" filled="false" stroked="false">
              <v:textbox inset="0,0,0,0">
                <w:txbxContent>
                  <w:p>
                    <w:pPr>
                      <w:spacing w:line="133" w:lineRule="exact" w:before="0"/>
                      <w:ind w:left="0" w:right="0" w:firstLine="0"/>
                      <w:jc w:val="left"/>
                      <w:rPr>
                        <w:sz w:val="12"/>
                      </w:rPr>
                    </w:pPr>
                    <w:r>
                      <w:rPr>
                        <w:sz w:val="12"/>
                      </w:rPr>
                      <w:t>RPIY</w:t>
                    </w:r>
                  </w:p>
                </w:txbxContent>
              </v:textbox>
              <w10:wrap type="none"/>
            </v:shape>
            <w10:wrap type="none"/>
          </v:group>
        </w:pict>
      </w:r>
      <w:r>
        <w:rPr>
          <w:sz w:val="12"/>
        </w:rPr>
        <w:t>4.0</w:t>
      </w:r>
    </w:p>
    <w:p>
      <w:pPr>
        <w:pStyle w:val="BodyText"/>
        <w:spacing w:before="6"/>
        <w:rPr>
          <w:sz w:val="15"/>
        </w:rPr>
      </w:pPr>
    </w:p>
    <w:p>
      <w:pPr>
        <w:spacing w:before="0"/>
        <w:ind w:left="3376" w:right="0" w:firstLine="0"/>
        <w:jc w:val="left"/>
        <w:rPr>
          <w:sz w:val="12"/>
        </w:rPr>
      </w:pPr>
      <w:r>
        <w:rPr>
          <w:sz w:val="12"/>
        </w:rPr>
        <w:t>3.5</w:t>
      </w:r>
    </w:p>
    <w:p>
      <w:pPr>
        <w:pStyle w:val="BodyText"/>
        <w:spacing w:before="6"/>
        <w:rPr>
          <w:sz w:val="15"/>
        </w:rPr>
      </w:pPr>
    </w:p>
    <w:p>
      <w:pPr>
        <w:spacing w:before="0"/>
        <w:ind w:left="3376" w:right="0" w:firstLine="0"/>
        <w:jc w:val="left"/>
        <w:rPr>
          <w:sz w:val="12"/>
        </w:rPr>
      </w:pPr>
      <w:r>
        <w:rPr>
          <w:sz w:val="12"/>
        </w:rPr>
        <w:t>3.0</w:t>
      </w:r>
    </w:p>
    <w:p>
      <w:pPr>
        <w:pStyle w:val="BodyText"/>
        <w:spacing w:before="6"/>
        <w:rPr>
          <w:sz w:val="15"/>
        </w:rPr>
      </w:pPr>
    </w:p>
    <w:p>
      <w:pPr>
        <w:spacing w:before="0"/>
        <w:ind w:left="3376" w:right="0" w:firstLine="0"/>
        <w:jc w:val="left"/>
        <w:rPr>
          <w:sz w:val="12"/>
        </w:rPr>
      </w:pPr>
      <w:r>
        <w:rPr>
          <w:sz w:val="12"/>
        </w:rPr>
        <w:t>2.5</w:t>
      </w:r>
    </w:p>
    <w:p>
      <w:pPr>
        <w:pStyle w:val="BodyText"/>
        <w:spacing w:before="6"/>
        <w:rPr>
          <w:sz w:val="15"/>
        </w:rPr>
      </w:pPr>
    </w:p>
    <w:p>
      <w:pPr>
        <w:spacing w:before="0"/>
        <w:ind w:left="3376" w:right="0" w:firstLine="0"/>
        <w:jc w:val="left"/>
        <w:rPr>
          <w:sz w:val="12"/>
        </w:rPr>
      </w:pPr>
      <w:r>
        <w:rPr>
          <w:sz w:val="12"/>
        </w:rPr>
        <w:t>2.0</w:t>
      </w:r>
    </w:p>
    <w:p>
      <w:pPr>
        <w:pStyle w:val="BodyText"/>
        <w:spacing w:before="6"/>
        <w:rPr>
          <w:sz w:val="15"/>
        </w:rPr>
      </w:pPr>
    </w:p>
    <w:p>
      <w:pPr>
        <w:spacing w:before="1"/>
        <w:ind w:left="3376" w:right="0" w:firstLine="0"/>
        <w:jc w:val="left"/>
        <w:rPr>
          <w:sz w:val="12"/>
        </w:rPr>
      </w:pPr>
      <w:r>
        <w:rPr>
          <w:sz w:val="12"/>
        </w:rPr>
        <w:t>1.5</w:t>
      </w:r>
    </w:p>
    <w:p>
      <w:pPr>
        <w:pStyle w:val="BodyText"/>
        <w:spacing w:before="6"/>
        <w:rPr>
          <w:sz w:val="15"/>
        </w:rPr>
      </w:pPr>
    </w:p>
    <w:p>
      <w:pPr>
        <w:spacing w:before="0"/>
        <w:ind w:left="3376" w:right="0" w:firstLine="0"/>
        <w:jc w:val="left"/>
        <w:rPr>
          <w:sz w:val="12"/>
        </w:rPr>
      </w:pPr>
      <w:r>
        <w:rPr>
          <w:sz w:val="12"/>
        </w:rPr>
        <w:t>1.0</w:t>
      </w:r>
    </w:p>
    <w:p>
      <w:pPr>
        <w:pStyle w:val="BodyText"/>
        <w:spacing w:before="6"/>
        <w:rPr>
          <w:sz w:val="15"/>
        </w:rPr>
      </w:pPr>
    </w:p>
    <w:p>
      <w:pPr>
        <w:spacing w:before="0"/>
        <w:ind w:left="3376" w:right="0" w:firstLine="0"/>
        <w:jc w:val="left"/>
        <w:rPr>
          <w:sz w:val="12"/>
        </w:rPr>
      </w:pPr>
      <w:r>
        <w:rPr/>
        <w:pict>
          <v:line style="position:absolute;mso-position-horizontal-relative:page;mso-position-vertical-relative:paragraph;z-index:16140288" from="42.191002pt,4.481368pt" to="46.524002pt,4.481368pt" stroked="true" strokeweight=".5pt" strokecolor="#000000">
            <v:stroke dashstyle="solid"/>
            <w10:wrap type="none"/>
          </v:line>
        </w:pict>
      </w:r>
      <w:r>
        <w:rPr/>
        <w:pict>
          <v:line style="position:absolute;mso-position-horizontal-relative:page;mso-position-vertical-relative:paragraph;z-index:16141824" from="193.906998pt,4.388368pt" to="198.238998pt,4.388368pt" stroked="true" strokeweight=".5pt" strokecolor="#000000">
            <v:stroke dashstyle="solid"/>
            <w10:wrap type="none"/>
          </v:line>
        </w:pict>
      </w:r>
      <w:r>
        <w:rPr>
          <w:sz w:val="12"/>
        </w:rPr>
        <w:t>0.5</w:t>
      </w:r>
    </w:p>
    <w:p>
      <w:pPr>
        <w:pStyle w:val="BodyText"/>
        <w:spacing w:before="6"/>
        <w:rPr>
          <w:sz w:val="15"/>
        </w:rPr>
      </w:pPr>
    </w:p>
    <w:p>
      <w:pPr>
        <w:spacing w:line="125" w:lineRule="exact" w:before="0"/>
        <w:ind w:left="3376" w:right="0" w:firstLine="0"/>
        <w:jc w:val="left"/>
        <w:rPr>
          <w:sz w:val="12"/>
        </w:rPr>
      </w:pPr>
      <w:r>
        <w:rPr/>
        <w:pict>
          <v:shape style="position:absolute;margin-left:42.191002pt;margin-top:-1.416427pt;width:156.050pt;height:5.9pt;mso-position-horizontal-relative:page;mso-position-vertical-relative:paragraph;z-index:16140800" coordorigin="844,-28" coordsize="3121,118" path="m844,89l930,89m3878,87l3965,87m996,87l3812,87m997,-28l997,87m1148,41l1148,87m1299,41l1299,87m1450,41l1450,87m1600,-28l1600,87m1751,41l1751,87m1902,41l1902,87m2053,41l2053,87m2204,-28l2204,87m2354,41l2354,87m2505,41l2505,87m2656,41l2656,87m2807,-28l2807,87m2958,41l2958,87m3108,41l3108,87m3259,41l3259,87m3410,-28l3410,87m3561,41l3561,87m3712,41l3712,87e" filled="false" stroked="true" strokeweight=".5pt" strokecolor="#000000">
            <v:path arrowok="t"/>
            <v:stroke dashstyle="solid"/>
            <w10:wrap type="none"/>
          </v:shape>
        </w:pict>
      </w:r>
      <w:r>
        <w:rPr>
          <w:sz w:val="12"/>
        </w:rPr>
        <w:t>0.0</w:t>
      </w:r>
    </w:p>
    <w:p>
      <w:pPr>
        <w:tabs>
          <w:tab w:pos="1208" w:val="left" w:leader="none"/>
          <w:tab w:pos="1813" w:val="left" w:leader="none"/>
          <w:tab w:pos="2416" w:val="left" w:leader="none"/>
          <w:tab w:pos="2869" w:val="left" w:leader="none"/>
        </w:tabs>
        <w:spacing w:line="125" w:lineRule="exact" w:before="0"/>
        <w:ind w:left="545" w:right="0" w:firstLine="0"/>
        <w:jc w:val="left"/>
        <w:rPr>
          <w:sz w:val="12"/>
        </w:rPr>
      </w:pPr>
      <w:r>
        <w:rPr>
          <w:sz w:val="12"/>
        </w:rPr>
        <w:t>1996</w:t>
        <w:tab/>
        <w:t>97</w:t>
        <w:tab/>
        <w:t>98</w:t>
        <w:tab/>
        <w:t>99</w:t>
        <w:tab/>
        <w:t>2000</w:t>
      </w:r>
    </w:p>
    <w:p>
      <w:pPr>
        <w:spacing w:before="72"/>
        <w:ind w:left="180" w:right="0" w:firstLine="0"/>
        <w:jc w:val="left"/>
        <w:rPr>
          <w:sz w:val="12"/>
        </w:rPr>
      </w:pPr>
      <w:r>
        <w:rPr>
          <w:sz w:val="12"/>
        </w:rPr>
        <w:t>Source: ONS.</w:t>
      </w:r>
    </w:p>
    <w:p>
      <w:pPr>
        <w:spacing w:line="129" w:lineRule="exact" w:before="102"/>
        <w:ind w:left="180" w:right="0" w:firstLine="0"/>
        <w:jc w:val="left"/>
        <w:rPr>
          <w:sz w:val="12"/>
        </w:rPr>
      </w:pPr>
      <w:r>
        <w:rPr>
          <w:sz w:val="12"/>
        </w:rPr>
        <w:t>RPIX = retail price index excluding mortgage payments.</w:t>
      </w:r>
    </w:p>
    <w:p>
      <w:pPr>
        <w:spacing w:line="129" w:lineRule="exact" w:before="0"/>
        <w:ind w:left="180" w:right="0" w:firstLine="0"/>
        <w:jc w:val="left"/>
        <w:rPr>
          <w:sz w:val="12"/>
        </w:rPr>
      </w:pPr>
      <w:r>
        <w:rPr>
          <w:sz w:val="12"/>
        </w:rPr>
        <w:t>RPIY = RPIX excluding </w:t>
      </w:r>
      <w:r>
        <w:rPr>
          <w:spacing w:val="-10"/>
          <w:sz w:val="12"/>
        </w:rPr>
        <w:t>VAT, </w:t>
      </w:r>
      <w:r>
        <w:rPr>
          <w:sz w:val="12"/>
        </w:rPr>
        <w:t>local authorities’ taxes and excise duties.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5"/>
        </w:rPr>
      </w:pPr>
    </w:p>
    <w:p>
      <w:pPr>
        <w:spacing w:before="1"/>
        <w:ind w:left="169" w:right="0" w:firstLine="0"/>
        <w:jc w:val="left"/>
        <w:rPr>
          <w:b/>
          <w:sz w:val="20"/>
        </w:rPr>
      </w:pPr>
      <w:r>
        <w:rPr>
          <w:b/>
          <w:color w:val="0092C7"/>
          <w:sz w:val="20"/>
        </w:rPr>
        <w:t>Chart 4.9</w:t>
      </w:r>
    </w:p>
    <w:p>
      <w:pPr>
        <w:spacing w:before="10"/>
        <w:ind w:left="169" w:right="0" w:firstLine="0"/>
        <w:jc w:val="left"/>
        <w:rPr>
          <w:b/>
          <w:sz w:val="20"/>
        </w:rPr>
      </w:pPr>
      <w:r>
        <w:rPr>
          <w:b/>
          <w:color w:val="0092C7"/>
          <w:sz w:val="20"/>
        </w:rPr>
        <w:t>Goods and services price inflation</w:t>
      </w:r>
    </w:p>
    <w:p>
      <w:pPr>
        <w:spacing w:before="84"/>
        <w:ind w:left="1652" w:right="0" w:firstLine="0"/>
        <w:jc w:val="left"/>
        <w:rPr>
          <w:sz w:val="12"/>
        </w:rPr>
      </w:pPr>
      <w:r>
        <w:rPr/>
        <w:pict>
          <v:line style="position:absolute;mso-position-horizontal-relative:page;mso-position-vertical-relative:paragraph;z-index:16137216" from="41.178001pt,12.576129pt" to="45.511001pt,12.576129pt" stroked="true" strokeweight=".5pt" strokecolor="#000000">
            <v:stroke dashstyle="solid"/>
            <w10:wrap type="none"/>
          </v:line>
        </w:pict>
      </w:r>
      <w:r>
        <w:rPr/>
        <w:pict>
          <v:line style="position:absolute;mso-position-horizontal-relative:page;mso-position-vertical-relative:paragraph;z-index:-22515200" from="197.738007pt,12.57513pt" to="202.070007pt,12.57513pt" stroked="true" strokeweight=".5pt" strokecolor="#000000">
            <v:stroke dashstyle="solid"/>
            <w10:wrap type="none"/>
          </v:line>
        </w:pict>
      </w:r>
      <w:r>
        <w:rPr>
          <w:sz w:val="12"/>
        </w:rPr>
        <w:t>Percentage changes on a year earlier</w:t>
      </w:r>
      <w:r>
        <w:rPr>
          <w:spacing w:val="4"/>
          <w:sz w:val="12"/>
        </w:rPr>
        <w:t> </w:t>
      </w:r>
      <w:r>
        <w:rPr>
          <w:position w:val="-7"/>
          <w:sz w:val="12"/>
        </w:rPr>
        <w:t>4.5</w:t>
      </w:r>
    </w:p>
    <w:p>
      <w:pPr>
        <w:spacing w:line="129" w:lineRule="exact" w:before="148"/>
        <w:ind w:left="3435" w:right="0" w:firstLine="0"/>
        <w:jc w:val="left"/>
        <w:rPr>
          <w:sz w:val="12"/>
        </w:rPr>
      </w:pPr>
      <w:r>
        <w:rPr/>
        <w:pict>
          <v:group style="position:absolute;margin-left:41.178001pt;margin-top:5.478964pt;width:160.9pt;height:128.65pt;mso-position-horizontal-relative:page;mso-position-vertical-relative:paragraph;z-index:-22516736" coordorigin="824,110" coordsize="3218,2573">
            <v:shape style="position:absolute;left:982;top:2566;width:3059;height:2" coordorigin="983,2566" coordsize="3059,0" path="m3955,2566l4041,2566m983,2566l3882,2566e" filled="false" stroked="true" strokeweight=".5pt" strokecolor="#000000">
              <v:path arrowok="t"/>
              <v:stroke dashstyle="solid"/>
            </v:shape>
            <v:shape style="position:absolute;left:982;top:554;width:168;height:575" coordorigin="983,555" coordsize="168,575" path="m983,667l1028,597m1028,597l1073,555m1073,555l1105,1130m1105,1130l1150,1102e" filled="false" stroked="true" strokeweight="1pt" strokecolor="#f6bd61">
              <v:path arrowok="t"/>
              <v:stroke dashstyle="solid"/>
            </v:shape>
            <v:line style="position:absolute" from="1140,1103" to="1205,1103" stroked="true" strokeweight="1.125pt" strokecolor="#f6bd61">
              <v:stroke dashstyle="solid"/>
            </v:line>
            <v:shape style="position:absolute;left:1195;top:1072;width:598;height:338" coordorigin="1195,1072" coordsize="598,338" path="m1195,1102l1240,1215m1240,1215l1285,1172m1285,1172l1320,1102m1320,1102l1365,1325m1365,1325l1410,1255m1410,1255l1455,1325m1455,1325l1500,1255m1500,1255l1533,1325m1533,1325l1578,1297m1578,1297l1623,1410m1623,1410l1668,1382m1668,1382l1713,1312m1713,1312l1748,1072m1748,1072l1793,1142e" filled="false" stroked="true" strokeweight="1pt" strokecolor="#f6bd61">
              <v:path arrowok="t"/>
              <v:stroke dashstyle="solid"/>
            </v:shape>
            <v:line style="position:absolute" from="1783,1143" to="1848,1143" stroked="true" strokeweight="1.125pt" strokecolor="#f6bd61">
              <v:stroke dashstyle="solid"/>
            </v:line>
            <v:shape style="position:absolute;left:1837;top:667;width:215;height:475" coordorigin="1838,667" coordsize="215,475" path="m1838,1142l1883,890m1883,890l1915,932m1915,932l1963,862m1963,862l2008,737m2008,737l2053,667e" filled="false" stroked="true" strokeweight="1pt" strokecolor="#f6bd61">
              <v:path arrowok="t"/>
              <v:stroke dashstyle="solid"/>
            </v:shape>
            <v:line style="position:absolute" from="2043,668" to="2108,668" stroked="true" strokeweight="1.125pt" strokecolor="#f6bd61">
              <v:stroke dashstyle="solid"/>
            </v:line>
            <v:line style="position:absolute" from="2098,667" to="2130,652" stroked="true" strokeweight="1pt" strokecolor="#f6bd61">
              <v:stroke dashstyle="solid"/>
            </v:line>
            <v:line style="position:absolute" from="2120,653" to="2185,653" stroked="true" strokeweight="1.125pt" strokecolor="#f6bd61">
              <v:stroke dashstyle="solid"/>
            </v:line>
            <v:shape style="position:absolute;left:2175;top:652;width:215;height:253" coordorigin="2175,652" coordsize="215,253" path="m2175,652l2220,722m2220,722l2265,905m2265,905l2310,807m2310,807l2345,905m2345,905l2390,777e" filled="false" stroked="true" strokeweight="1pt" strokecolor="#f6bd61">
              <v:path arrowok="t"/>
              <v:stroke dashstyle="solid"/>
            </v:shape>
            <v:line style="position:absolute" from="2380,778" to="2445,778" stroked="true" strokeweight="1.125pt" strokecolor="#f6bd61">
              <v:stroke dashstyle="solid"/>
            </v:line>
            <v:line style="position:absolute" from="2435,777" to="2480,850" stroked="true" strokeweight="1pt" strokecolor="#f6bd61">
              <v:stroke dashstyle="solid"/>
            </v:line>
            <v:line style="position:absolute" from="2470,851" to="2535,851" stroked="true" strokeweight="1.125pt" strokecolor="#f6bd61">
              <v:stroke dashstyle="solid"/>
            </v:line>
            <v:shape style="position:absolute;left:2525;top:707;width:123;height:155" coordorigin="2525,707" coordsize="123,155" path="m2525,850l2558,862m2558,862l2603,820m2603,820l2648,707e" filled="false" stroked="true" strokeweight="1pt" strokecolor="#f6bd61">
              <v:path arrowok="t"/>
              <v:stroke dashstyle="solid"/>
            </v:shape>
            <v:shape style="position:absolute;left:2637;top:708;width:110;height:2" coordorigin="2638,708" coordsize="110,0" path="m2638,708l2703,708m2683,708l2748,708e" filled="false" stroked="true" strokeweight="1.125pt" strokecolor="#f6bd61">
              <v:path arrowok="t"/>
              <v:stroke dashstyle="solid"/>
            </v:shape>
            <v:shape style="position:absolute;left:2737;top:524;width:215;height:183" coordorigin="2738,525" coordsize="215,183" path="m2738,707l2773,652m2773,652l2818,695m2818,695l2863,525m2863,525l2908,567m2908,567l2953,540e" filled="false" stroked="true" strokeweight="1pt" strokecolor="#f6bd61">
              <v:path arrowok="t"/>
              <v:stroke dashstyle="solid"/>
            </v:shape>
            <v:line style="position:absolute" from="2943,541" to="2995,541" stroked="true" strokeweight="1.125pt" strokecolor="#f6bd61">
              <v:stroke dashstyle="solid"/>
            </v:line>
            <v:shape style="position:absolute;left:2985;top:539;width:183;height:128" coordorigin="2985,540" coordsize="183,128" path="m2985,540l3030,610m3030,610l3075,652m3075,652l3120,625m3120,625l3168,667e" filled="false" stroked="true" strokeweight="1pt" strokecolor="#f6bd61">
              <v:path arrowok="t"/>
              <v:stroke dashstyle="solid"/>
            </v:shape>
            <v:line style="position:absolute" from="3158,668" to="3210,668" stroked="true" strokeweight="1.125pt" strokecolor="#f6bd61">
              <v:stroke dashstyle="solid"/>
            </v:line>
            <v:shape style="position:absolute;left:3200;top:287;width:260;height:393" coordorigin="3200,287" coordsize="260,393" path="m3200,667l3245,680m3245,680l3290,485m3290,485l3335,497m3335,497l3370,470m3370,470l3415,315m3415,315l3460,287e" filled="false" stroked="true" strokeweight="1pt" strokecolor="#f6bd61">
              <v:path arrowok="t"/>
              <v:stroke dashstyle="solid"/>
            </v:shape>
            <v:line style="position:absolute" from="3450,288" to="3515,288" stroked="true" strokeweight="1.125pt" strokecolor="#f6bd61">
              <v:stroke dashstyle="solid"/>
            </v:line>
            <v:shape style="position:absolute;left:3505;top:119;width:123;height:168" coordorigin="3505,120" coordsize="123,168" path="m3505,287l3550,132m3550,132l3583,147m3583,147l3628,120e" filled="false" stroked="true" strokeweight="1pt" strokecolor="#f6bd61">
              <v:path arrowok="t"/>
              <v:stroke dashstyle="solid"/>
            </v:shape>
            <v:line style="position:absolute" from="3650,110" to="3650,620" stroked="true" strokeweight="3.25pt" strokecolor="#f6bd61">
              <v:stroke dashstyle="solid"/>
            </v:line>
            <v:shape style="position:absolute;left:3672;top:512;width:215;height:140" coordorigin="3673,512" coordsize="215,140" path="m3673,610l3718,582m3718,582l3763,512m3763,512l3798,625m3798,625l3843,652m3843,652l3888,567e" filled="false" stroked="true" strokeweight="1pt" strokecolor="#f6bd61">
              <v:path arrowok="t"/>
              <v:stroke dashstyle="solid"/>
            </v:shape>
            <v:shape style="position:absolute;left:982;top:764;width:383;height:268" coordorigin="983,765" coordsize="383,268" path="m983,960l1028,1017m1028,1017l1073,932m1073,932l1105,1032m1105,1032l1150,1002m1150,1002l1195,920m1195,920l1240,947m1240,947l1285,877m1285,877l1320,765m1320,765l1365,877e" filled="false" stroked="true" strokeweight="1pt" strokecolor="#de0035">
              <v:path arrowok="t"/>
              <v:stroke dashstyle="solid"/>
            </v:shape>
            <v:line style="position:absolute" from="1355,878" to="1420,878" stroked="true" strokeweight="1.125pt" strokecolor="#de0035">
              <v:stroke dashstyle="solid"/>
            </v:line>
            <v:shape style="position:absolute;left:1410;top:849;width:258;height:110" coordorigin="1410,850" coordsize="258,110" path="m1410,877l1455,850m1455,850l1500,920m1500,920l1533,890m1533,890l1578,862m1578,862l1623,877m1623,877l1668,960e" filled="false" stroked="true" strokeweight="1pt" strokecolor="#de0035">
              <v:path arrowok="t"/>
              <v:stroke dashstyle="solid"/>
            </v:shape>
            <v:line style="position:absolute" from="1658,961" to="1723,961" stroked="true" strokeweight="1.125pt" strokecolor="#de0035">
              <v:stroke dashstyle="solid"/>
            </v:line>
            <v:line style="position:absolute" from="1713,960" to="1748,920" stroked="true" strokeweight="1pt" strokecolor="#de0035">
              <v:stroke dashstyle="solid"/>
            </v:line>
            <v:line style="position:absolute" from="1738,921" to="1803,921" stroked="true" strokeweight="1.125pt" strokecolor="#de0035">
              <v:stroke dashstyle="solid"/>
            </v:line>
            <v:shape style="position:absolute;left:1792;top:652;width:90;height:268" coordorigin="1793,652" coordsize="90,268" path="m1793,920l1838,850m1838,850l1883,652e" filled="false" stroked="true" strokeweight="1pt" strokecolor="#de0035">
              <v:path arrowok="t"/>
              <v:stroke dashstyle="solid"/>
            </v:shape>
            <v:line style="position:absolute" from="1873,653" to="1925,653" stroked="true" strokeweight="1.125pt" strokecolor="#de0035">
              <v:stroke dashstyle="solid"/>
            </v:line>
            <v:line style="position:absolute" from="1915,652" to="1963,777" stroked="true" strokeweight="1pt" strokecolor="#de0035">
              <v:stroke dashstyle="solid"/>
            </v:line>
            <v:line style="position:absolute" from="1953,778" to="2018,778" stroked="true" strokeweight="1.125pt" strokecolor="#de0035">
              <v:stroke dashstyle="solid"/>
            </v:line>
            <v:shape style="position:absolute;left:2007;top:777;width:123;height:338" coordorigin="2008,777" coordsize="123,338" path="m2008,777l2098,1032m2098,1032l2130,1115e" filled="false" stroked="true" strokeweight="1pt" strokecolor="#de0035">
              <v:path arrowok="t"/>
              <v:stroke dashstyle="solid"/>
            </v:shape>
            <v:line style="position:absolute" from="2120,1116" to="2185,1116" stroked="true" strokeweight="1.125pt" strokecolor="#de0035">
              <v:stroke dashstyle="solid"/>
            </v:line>
            <v:shape style="position:absolute;left:2175;top:849;width:215;height:265" coordorigin="2175,850" coordsize="215,265" path="m2175,1115l2220,1002m2220,1002l2265,850m2265,850l2310,932m2310,932l2345,975m2345,975l2390,932e" filled="false" stroked="true" strokeweight="1pt" strokecolor="#de0035">
              <v:path arrowok="t"/>
              <v:stroke dashstyle="solid"/>
            </v:shape>
            <v:line style="position:absolute" from="2380,933" to="2445,933" stroked="true" strokeweight="1.125pt" strokecolor="#de0035">
              <v:stroke dashstyle="solid"/>
            </v:line>
            <v:shape style="position:absolute;left:2435;top:932;width:123;height:198" coordorigin="2435,932" coordsize="123,198" path="m2435,932l2480,1017m2480,1017l2525,1130m2525,1130l2558,1060e" filled="false" stroked="true" strokeweight="1pt" strokecolor="#de0035">
              <v:path arrowok="t"/>
              <v:stroke dashstyle="solid"/>
            </v:shape>
            <v:line style="position:absolute" from="2548,1061" to="2613,1061" stroked="true" strokeweight="1.125pt" strokecolor="#de0035">
              <v:stroke dashstyle="solid"/>
            </v:line>
            <v:shape style="position:absolute;left:2602;top:707;width:215;height:380" coordorigin="2603,707" coordsize="215,380" path="m2603,1060l2648,850m2648,850l2693,707m2693,707l2738,932m2738,932l2773,1045m2773,1045l2818,1087e" filled="false" stroked="true" strokeweight="1pt" strokecolor="#de0035">
              <v:path arrowok="t"/>
              <v:stroke dashstyle="solid"/>
            </v:shape>
            <v:shape style="position:absolute;left:2807;top:1088;width:155;height:2" coordorigin="2808,1088" coordsize="155,0" path="m2808,1088l2873,1088m2853,1088l2918,1088m2898,1088l2963,1088e" filled="false" stroked="true" strokeweight="1.125pt" strokecolor="#de0035">
              <v:path arrowok="t"/>
              <v:stroke dashstyle="solid"/>
            </v:shape>
            <v:line style="position:absolute" from="2953,1087" to="2985,1060" stroked="true" strokeweight="1pt" strokecolor="#de0035">
              <v:stroke dashstyle="solid"/>
            </v:line>
            <v:line style="position:absolute" from="2975,1061" to="3040,1061" stroked="true" strokeweight="1.125pt" strokecolor="#de0035">
              <v:stroke dashstyle="solid"/>
            </v:line>
            <v:shape style="position:absolute;left:3030;top:989;width:305;height:350" coordorigin="3030,990" coordsize="305,350" path="m3030,1060l3075,1172m3075,1172l3120,990m3120,990l3168,1157m3168,1157l3200,1340m3200,1340l3245,1270m3245,1270l3290,1255m3290,1255l3335,1340e" filled="false" stroked="true" strokeweight="1pt" strokecolor="#de0035">
              <v:path arrowok="t"/>
              <v:stroke dashstyle="solid"/>
            </v:shape>
            <v:line style="position:absolute" from="3325,1341" to="3380,1341" stroked="true" strokeweight="1.125pt" strokecolor="#de0035">
              <v:stroke dashstyle="solid"/>
            </v:line>
            <v:shape style="position:absolute;left:3370;top:1254;width:518;height:213" coordorigin="3370,1255" coordsize="518,213" path="m3370,1340l3415,1312m3415,1312l3460,1270m3460,1270l3505,1312m3505,1312l3550,1340m3550,1340l3583,1312m3583,1312l3628,1425m3628,1425l3673,1437m3673,1437l3718,1397m3718,1397l3763,1255m3763,1255l3798,1285m3798,1285l3843,1467m3843,1467l3888,1270e" filled="false" stroked="true" strokeweight="1pt" strokecolor="#de0035">
              <v:path arrowok="t"/>
              <v:stroke dashstyle="solid"/>
            </v:shape>
            <v:shape style="position:absolute;left:982;top:484;width:765;height:743" coordorigin="983,485" coordsize="765,743" path="m983,1130l1028,1227m1028,1227l1073,1072m1073,1072l1105,1032m1105,1032l1150,905m1150,905l1195,862m1195,862l1240,765m1240,765l1285,737m1285,737l1320,485m1320,485l1365,555m1365,555l1410,652m1410,652l1455,497m1455,497l1500,695m1500,695l1533,667m1533,667l1578,722m1578,722l1623,652m1623,652l1668,877m1668,877l1713,835m1713,835l1748,947e" filled="false" stroked="true" strokeweight="1pt" strokecolor="#0099d9">
              <v:path arrowok="t"/>
              <v:stroke dashstyle="solid"/>
            </v:shape>
            <v:line style="position:absolute" from="1738,948" to="1803,948" stroked="true" strokeweight="1.125pt" strokecolor="#0099d9">
              <v:stroke dashstyle="solid"/>
            </v:line>
            <v:shape style="position:absolute;left:1792;top:707;width:338;height:858" coordorigin="1793,707" coordsize="338,858" path="m1793,947l1838,920m1838,920l1883,750m1883,750l1915,707m1915,707l1963,1017m1963,1017l2008,1045m2008,1045l2053,1215m2053,1215l2098,1397m2098,1397l2130,1565e" filled="false" stroked="true" strokeweight="1pt" strokecolor="#0099d9">
              <v:path arrowok="t"/>
              <v:stroke dashstyle="solid"/>
            </v:shape>
            <v:line style="position:absolute" from="2120,1566" to="2185,1566" stroked="true" strokeweight="1.125pt" strokecolor="#0099d9">
              <v:stroke dashstyle="solid"/>
            </v:line>
            <v:shape style="position:absolute;left:2175;top:1102;width:383;height:548" coordorigin="2175,1102" coordsize="383,548" path="m2175,1565l2220,1397m2220,1397l2265,1102m2265,1102l2310,1157m2310,1157l2345,1242m2345,1242l2390,1200m2390,1200l2435,1242m2435,1242l2480,1410m2480,1410l2525,1650m2525,1650l2558,1452e" filled="false" stroked="true" strokeweight="1pt" strokecolor="#0099d9">
              <v:path arrowok="t"/>
              <v:stroke dashstyle="solid"/>
            </v:shape>
            <v:line style="position:absolute" from="2548,1453" to="2613,1453" stroked="true" strokeweight="1.125pt" strokecolor="#0099d9">
              <v:stroke dashstyle="solid"/>
            </v:line>
            <v:shape style="position:absolute;left:2602;top:1102;width:305;height:800" coordorigin="2603,1102" coordsize="305,800" path="m2603,1452l2648,1297m2648,1297l2693,1102m2693,1102l2738,1425m2738,1425l2773,1662m2773,1662l2818,1747m2818,1747l2863,1817m2863,1817l2908,1902e" filled="false" stroked="true" strokeweight="1pt" strokecolor="#0099d9">
              <v:path arrowok="t"/>
              <v:stroke dashstyle="solid"/>
            </v:shape>
            <v:line style="position:absolute" from="2898,1903" to="2963,1903" stroked="true" strokeweight="1.125pt" strokecolor="#0099d9">
              <v:stroke dashstyle="solid"/>
            </v:line>
            <v:shape style="position:absolute;left:2952;top:1704;width:248;height:365" coordorigin="2953,1705" coordsize="248,365" path="m2953,1902l2985,1747m2985,1747l3030,1732m3030,1732l3075,1942m3075,1942l3120,1705m3120,1705l3168,1832m3168,1832l3200,2070e" filled="false" stroked="true" strokeweight="1pt" strokecolor="#0099d9">
              <v:path arrowok="t"/>
              <v:stroke dashstyle="solid"/>
            </v:shape>
            <v:line style="position:absolute" from="3190,2071" to="3255,2071" stroked="true" strokeweight="1.125pt" strokecolor="#0099d9">
              <v:stroke dashstyle="solid"/>
            </v:line>
            <v:shape style="position:absolute;left:3245;top:2054;width:90;height:198" coordorigin="3245,2055" coordsize="90,198" path="m3245,2070l3290,2055m3290,2055l3335,2252e" filled="false" stroked="true" strokeweight="1pt" strokecolor="#0099d9">
              <v:path arrowok="t"/>
              <v:stroke dashstyle="solid"/>
            </v:shape>
            <v:line style="position:absolute" from="3325,2253" to="3380,2253" stroked="true" strokeweight="1.125pt" strokecolor="#0099d9">
              <v:stroke dashstyle="solid"/>
            </v:line>
            <v:shape style="position:absolute;left:3370;top:2182;width:518;height:490" coordorigin="3370,2182" coordsize="518,490" path="m3370,2252l3415,2337m3415,2337l3460,2295m3460,2295l3505,2380m3505,2380l3550,2562m3550,2562l3583,2532m3583,2532l3628,2672m3628,2672l3673,2407m3673,2407l3718,2450m3718,2450l3763,2182m3763,2182l3798,2252m3798,2252l3843,2532m3843,2532l3888,2295e" filled="false" stroked="true" strokeweight="1pt" strokecolor="#0099d9">
              <v:path arrowok="t"/>
              <v:stroke dashstyle="solid"/>
            </v:shape>
            <v:shape style="position:absolute;left:823;top:240;width:3218;height:2327" coordorigin="824,240" coordsize="3218,2327" path="m824,240l910,240m824,531l910,531m824,822l910,822m824,1113l910,1113m824,1403l910,1403m824,1694l910,1694m824,1985l910,1985m824,2566l910,2566m824,2276l910,2276m3955,240l4041,240m3955,531l4041,531m3955,822l4041,822m3955,1113l4041,1113m3955,1403l4041,1403m3955,1694l4041,1694m3955,1985l4041,1985m3955,2276l4041,2276e" filled="false" stroked="true" strokeweight=".5pt" strokecolor="#000000">
              <v:path arrowok="t"/>
              <v:stroke dashstyle="solid"/>
            </v:shape>
            <w10:wrap type="none"/>
          </v:group>
        </w:pict>
      </w:r>
      <w:r>
        <w:rPr>
          <w:sz w:val="12"/>
        </w:rPr>
        <w:t>4.0</w:t>
      </w:r>
    </w:p>
    <w:p>
      <w:pPr>
        <w:spacing w:line="129" w:lineRule="exact" w:before="0"/>
        <w:ind w:left="2324" w:right="0" w:firstLine="0"/>
        <w:jc w:val="left"/>
        <w:rPr>
          <w:sz w:val="12"/>
        </w:rPr>
      </w:pPr>
      <w:r>
        <w:rPr>
          <w:sz w:val="12"/>
        </w:rPr>
        <w:t>Services</w:t>
      </w:r>
    </w:p>
    <w:p>
      <w:pPr>
        <w:spacing w:before="32"/>
        <w:ind w:left="3435" w:right="0" w:firstLine="0"/>
        <w:jc w:val="left"/>
        <w:rPr>
          <w:sz w:val="12"/>
        </w:rPr>
      </w:pPr>
      <w:r>
        <w:rPr>
          <w:sz w:val="12"/>
        </w:rPr>
        <w:t>3.5</w:t>
      </w:r>
    </w:p>
    <w:p>
      <w:pPr>
        <w:pStyle w:val="BodyText"/>
        <w:spacing w:before="3"/>
        <w:rPr>
          <w:sz w:val="13"/>
        </w:rPr>
      </w:pPr>
    </w:p>
    <w:p>
      <w:pPr>
        <w:spacing w:before="0"/>
        <w:ind w:left="3435" w:right="0" w:firstLine="0"/>
        <w:jc w:val="left"/>
        <w:rPr>
          <w:sz w:val="12"/>
        </w:rPr>
      </w:pPr>
      <w:r>
        <w:rPr>
          <w:sz w:val="12"/>
        </w:rPr>
        <w:t>3.0</w:t>
      </w:r>
    </w:p>
    <w:p>
      <w:pPr>
        <w:pStyle w:val="BodyText"/>
        <w:spacing w:line="242" w:lineRule="auto" w:before="90"/>
        <w:ind w:left="169" w:right="210"/>
      </w:pPr>
      <w:r>
        <w:rPr/>
        <w:br w:type="column"/>
      </w:r>
      <w:r>
        <w:rPr/>
        <w:t>The CIPS output price balance for services fell slightly in Q3, though this was up sharply in September after a dip in August. The BCC survey reported a slight increase in the balance of service sector firms expecting higher output prices </w:t>
      </w:r>
      <w:r>
        <w:rPr>
          <w:spacing w:val="-3"/>
        </w:rPr>
        <w:t>over </w:t>
      </w:r>
      <w:r>
        <w:rPr/>
        <w:t>the next three months. The ONS prototype corporate services prices index</w:t>
      </w:r>
      <w:r>
        <w:rPr>
          <w:spacing w:val="-44"/>
        </w:rPr>
        <w:t> </w:t>
      </w:r>
      <w:r>
        <w:rPr/>
        <w:t>(CSPI)— which aims to measure movements in the prices of business-to-business services—rose by 1.4% in Q2 and was 4.1% higher than a year earlier, up from 3.6% in the year to Q1. The main contributions to this rise came from charges for road freight and property rental payments. The CSPI is still under development and currently covers about 45% of business-to-business services.</w:t>
      </w:r>
    </w:p>
    <w:p>
      <w:pPr>
        <w:pStyle w:val="BodyText"/>
        <w:spacing w:before="7"/>
        <w:rPr>
          <w:sz w:val="22"/>
        </w:rPr>
      </w:pPr>
    </w:p>
    <w:p>
      <w:pPr>
        <w:pStyle w:val="Heading4"/>
        <w:numPr>
          <w:ilvl w:val="1"/>
          <w:numId w:val="37"/>
        </w:numPr>
        <w:tabs>
          <w:tab w:pos="3949" w:val="left" w:leader="none"/>
          <w:tab w:pos="3950" w:val="left" w:leader="none"/>
          <w:tab w:pos="5689" w:val="left" w:leader="none"/>
        </w:tabs>
        <w:spacing w:line="240" w:lineRule="auto" w:before="0" w:after="0"/>
        <w:ind w:left="3949" w:right="0" w:hanging="3781"/>
        <w:jc w:val="left"/>
        <w:rPr>
          <w:color w:val="009391"/>
        </w:rPr>
      </w:pPr>
      <w:r>
        <w:rPr>
          <w:color w:val="009391"/>
          <w:u w:val="thick" w:color="0092C7"/>
        </w:rPr>
        <w:t>Retail</w:t>
      </w:r>
      <w:r>
        <w:rPr>
          <w:color w:val="009391"/>
          <w:spacing w:val="-11"/>
          <w:u w:val="thick" w:color="0092C7"/>
        </w:rPr>
        <w:t> </w:t>
      </w:r>
      <w:r>
        <w:rPr>
          <w:color w:val="009391"/>
          <w:u w:val="thick" w:color="0092C7"/>
        </w:rPr>
        <w:t>prices</w:t>
        <w:tab/>
      </w:r>
    </w:p>
    <w:p>
      <w:pPr>
        <w:pStyle w:val="BodyText"/>
        <w:spacing w:line="242" w:lineRule="auto" w:before="264"/>
        <w:ind w:left="169" w:right="227"/>
      </w:pPr>
      <w:r>
        <w:rPr/>
        <w:t>Annual RPIX inflation was 2.2% in June and July, but it dipped unexpectedly to 1.9% in August before returning to 2.2% in September (see Chart 4.8). This swing was largely a product of petrol and other fuel price changes, as retail petrol prices fell by 4.2% in August but rose by 2.0% in September. The August fall in petrol prices was mainly due to greater price competition on the forecourts, though partly reflected the pass-through of temporarily lower oil prices in July. In addition to the effects of high and volatile oil prices, there have been some other notable developments affecting RPIX. Seasonal food prices, for example, have behaved in an abnormal way, rising sharply in July and falling back in August (the reverse of the normal pattern). There has also been greater-than-expected weakness in used car prices, and in the prices of clothing and footwear.</w:t>
      </w:r>
    </w:p>
    <w:p>
      <w:pPr>
        <w:pStyle w:val="BodyText"/>
        <w:spacing w:before="9"/>
        <w:rPr>
          <w:sz w:val="25"/>
        </w:rPr>
      </w:pPr>
    </w:p>
    <w:p>
      <w:pPr>
        <w:pStyle w:val="BodyText"/>
        <w:spacing w:line="280" w:lineRule="atLeast"/>
        <w:ind w:left="169" w:right="147"/>
      </w:pPr>
      <w:r>
        <w:rPr/>
        <w:t>RPI inflation was 3.3% in September, higher than the 3.0% level in August but the same as in June and July. In the absence of further official rate changes, the gap between RPI and RPIX will probably start to narrow</w:t>
      </w:r>
    </w:p>
    <w:p>
      <w:pPr>
        <w:spacing w:after="0" w:line="280" w:lineRule="atLeast"/>
        <w:sectPr>
          <w:type w:val="continuous"/>
          <w:pgSz w:w="11900" w:h="16840"/>
          <w:pgMar w:top="1260" w:bottom="280" w:left="640" w:right="640"/>
          <w:cols w:num="2" w:equalWidth="0">
            <w:col w:w="3642" w:space="1149"/>
            <w:col w:w="5829"/>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7"/>
        <w:ind w:left="0" w:right="0" w:firstLine="0"/>
        <w:jc w:val="right"/>
        <w:rPr>
          <w:sz w:val="12"/>
        </w:rPr>
      </w:pPr>
      <w:r>
        <w:rPr>
          <w:sz w:val="12"/>
        </w:rPr>
        <w:t>Goods</w:t>
      </w:r>
    </w:p>
    <w:p>
      <w:pPr>
        <w:spacing w:line="67" w:lineRule="exact" w:before="0"/>
        <w:ind w:left="293" w:right="0" w:firstLine="0"/>
        <w:jc w:val="left"/>
        <w:rPr>
          <w:sz w:val="12"/>
        </w:rPr>
      </w:pPr>
      <w:r>
        <w:rPr/>
        <w:br w:type="column"/>
      </w:r>
      <w:r>
        <w:rPr>
          <w:sz w:val="12"/>
        </w:rPr>
        <w:t>RPIX</w:t>
      </w:r>
    </w:p>
    <w:p>
      <w:pPr>
        <w:spacing w:line="120" w:lineRule="exact" w:before="0"/>
        <w:ind w:left="574" w:right="0" w:firstLine="0"/>
        <w:jc w:val="left"/>
        <w:rPr>
          <w:sz w:val="12"/>
        </w:rPr>
      </w:pPr>
      <w:r>
        <w:rPr/>
        <w:br w:type="column"/>
      </w:r>
      <w:r>
        <w:rPr>
          <w:sz w:val="12"/>
        </w:rPr>
        <w:t>2.5</w:t>
      </w:r>
    </w:p>
    <w:p>
      <w:pPr>
        <w:pStyle w:val="BodyText"/>
        <w:spacing w:before="3"/>
        <w:rPr>
          <w:sz w:val="13"/>
        </w:rPr>
      </w:pPr>
    </w:p>
    <w:p>
      <w:pPr>
        <w:spacing w:before="0"/>
        <w:ind w:left="0" w:right="0" w:firstLine="0"/>
        <w:jc w:val="right"/>
        <w:rPr>
          <w:sz w:val="12"/>
        </w:rPr>
      </w:pPr>
      <w:r>
        <w:rPr>
          <w:sz w:val="12"/>
        </w:rPr>
        <w:t>2.0</w:t>
      </w:r>
    </w:p>
    <w:p>
      <w:pPr>
        <w:pStyle w:val="BodyText"/>
        <w:spacing w:before="3"/>
        <w:rPr>
          <w:sz w:val="13"/>
        </w:rPr>
      </w:pPr>
    </w:p>
    <w:p>
      <w:pPr>
        <w:spacing w:before="0"/>
        <w:ind w:left="0" w:right="0" w:firstLine="0"/>
        <w:jc w:val="right"/>
        <w:rPr>
          <w:sz w:val="12"/>
        </w:rPr>
      </w:pPr>
      <w:r>
        <w:rPr>
          <w:sz w:val="12"/>
        </w:rPr>
        <w:t>1.5</w:t>
      </w:r>
    </w:p>
    <w:p>
      <w:pPr>
        <w:pStyle w:val="BodyText"/>
        <w:spacing w:before="3"/>
        <w:rPr>
          <w:sz w:val="13"/>
        </w:rPr>
      </w:pPr>
    </w:p>
    <w:p>
      <w:pPr>
        <w:spacing w:before="0"/>
        <w:ind w:left="0" w:right="0" w:firstLine="0"/>
        <w:jc w:val="right"/>
        <w:rPr>
          <w:sz w:val="12"/>
        </w:rPr>
      </w:pPr>
      <w:r>
        <w:rPr>
          <w:sz w:val="12"/>
        </w:rPr>
        <w:t>1.0</w:t>
      </w:r>
    </w:p>
    <w:p>
      <w:pPr>
        <w:pStyle w:val="BodyText"/>
        <w:spacing w:before="3"/>
        <w:rPr>
          <w:sz w:val="13"/>
        </w:rPr>
      </w:pPr>
    </w:p>
    <w:p>
      <w:pPr>
        <w:spacing w:line="132" w:lineRule="exact" w:before="0"/>
        <w:ind w:left="574" w:right="0" w:firstLine="0"/>
        <w:jc w:val="left"/>
        <w:rPr>
          <w:sz w:val="12"/>
        </w:rPr>
      </w:pPr>
      <w:r>
        <w:rPr>
          <w:sz w:val="12"/>
        </w:rPr>
        <w:t>0.5</w:t>
      </w:r>
    </w:p>
    <w:p>
      <w:pPr>
        <w:spacing w:line="168" w:lineRule="exact" w:before="0"/>
        <w:ind w:left="497" w:right="0" w:firstLine="0"/>
        <w:jc w:val="left"/>
        <w:rPr>
          <w:sz w:val="16"/>
        </w:rPr>
      </w:pPr>
      <w:r>
        <w:rPr>
          <w:sz w:val="16"/>
        </w:rPr>
        <w:t>+</w:t>
      </w:r>
    </w:p>
    <w:p>
      <w:pPr>
        <w:spacing w:line="163" w:lineRule="auto" w:before="9"/>
        <w:ind w:left="518" w:right="0" w:firstLine="0"/>
        <w:jc w:val="left"/>
        <w:rPr>
          <w:sz w:val="12"/>
        </w:rPr>
      </w:pPr>
      <w:r>
        <w:rPr/>
        <w:pict>
          <v:shape style="position:absolute;margin-left:49.472pt;margin-top:15.397961pt;width:152.6pt;height:3.4pt;mso-position-horizontal-relative:page;mso-position-vertical-relative:paragraph;z-index:16136704" coordorigin="989,308" coordsize="3052,68" path="m992,375l3889,375m989,308l989,375m1502,308l1502,375m2015,308l2015,375m2527,308l2527,375m3040,308l3040,375m3553,308l3553,375m3955,375l4041,375e" filled="false" stroked="true" strokeweight=".5pt" strokecolor="#000000">
            <v:path arrowok="t"/>
            <v:stroke dashstyle="solid"/>
            <w10:wrap type="none"/>
          </v:shape>
        </w:pict>
      </w:r>
      <w:r>
        <w:rPr>
          <w:spacing w:val="-6"/>
          <w:position w:val="-8"/>
          <w:sz w:val="16"/>
        </w:rPr>
        <w:t>_</w:t>
      </w:r>
      <w:r>
        <w:rPr>
          <w:spacing w:val="-6"/>
          <w:sz w:val="12"/>
        </w:rPr>
        <w:t>0.0</w:t>
      </w:r>
    </w:p>
    <w:p>
      <w:pPr>
        <w:pStyle w:val="BodyText"/>
        <w:spacing w:line="242" w:lineRule="auto" w:before="4"/>
        <w:ind w:left="1334" w:right="56"/>
      </w:pPr>
      <w:r>
        <w:rPr/>
        <w:br w:type="column"/>
      </w:r>
      <w:r>
        <w:rPr/>
        <w:t>from now on, as the interest rate rises of September 1999 to February 2000 start to drop out of the annual inflation rate. RPIY, which excludes the effects of indirect tax changes and mortgage interest payments, was 2% higher in September than a year earlier.</w:t>
      </w:r>
    </w:p>
    <w:p>
      <w:pPr>
        <w:spacing w:after="0" w:line="242" w:lineRule="auto"/>
        <w:sectPr>
          <w:type w:val="continuous"/>
          <w:pgSz w:w="11900" w:h="16840"/>
          <w:pgMar w:top="1260" w:bottom="280" w:left="640" w:right="640"/>
          <w:cols w:num="4" w:equalWidth="0">
            <w:col w:w="2214" w:space="40"/>
            <w:col w:w="567" w:space="39"/>
            <w:col w:w="725" w:space="40"/>
            <w:col w:w="6995"/>
          </w:cols>
        </w:sectPr>
      </w:pPr>
    </w:p>
    <w:p>
      <w:pPr>
        <w:pStyle w:val="BodyText"/>
        <w:spacing w:before="11"/>
        <w:rPr>
          <w:sz w:val="15"/>
        </w:rPr>
      </w:pPr>
    </w:p>
    <w:p>
      <w:pPr>
        <w:pStyle w:val="BodyText"/>
        <w:spacing w:line="20" w:lineRule="exact"/>
        <w:ind w:left="178"/>
        <w:rPr>
          <w:sz w:val="2"/>
        </w:rPr>
      </w:pPr>
      <w:r>
        <w:rPr>
          <w:sz w:val="2"/>
        </w:rPr>
        <w:pict>
          <v:group style="width:4.350pt;height:.5pt;mso-position-horizontal-relative:char;mso-position-vertical-relative:line" coordorigin="0,0" coordsize="87,10">
            <v:line style="position:absolute" from="0,5" to="87,5" stroked="true" strokeweight=".5pt" strokecolor="#000000">
              <v:stroke dashstyle="solid"/>
            </v:line>
          </v:group>
        </w:pict>
      </w:r>
      <w:r>
        <w:rPr>
          <w:sz w:val="2"/>
        </w:rPr>
      </w:r>
    </w:p>
    <w:p>
      <w:pPr>
        <w:tabs>
          <w:tab w:pos="1069" w:val="left" w:leader="none"/>
          <w:tab w:pos="1576" w:val="left" w:leader="none"/>
          <w:tab w:pos="2094" w:val="left" w:leader="none"/>
          <w:tab w:pos="2599" w:val="left" w:leader="none"/>
          <w:tab w:pos="2978" w:val="left" w:leader="none"/>
        </w:tabs>
        <w:spacing w:before="0"/>
        <w:ind w:left="471" w:right="0" w:firstLine="0"/>
        <w:jc w:val="left"/>
        <w:rPr>
          <w:sz w:val="12"/>
        </w:rPr>
      </w:pPr>
      <w:r>
        <w:rPr>
          <w:sz w:val="12"/>
        </w:rPr>
        <w:t>1995</w:t>
        <w:tab/>
        <w:t>96</w:t>
        <w:tab/>
        <w:t>97</w:t>
        <w:tab/>
        <w:t>98</w:t>
        <w:tab/>
        <w:t>99</w:t>
        <w:tab/>
      </w:r>
      <w:r>
        <w:rPr>
          <w:spacing w:val="-5"/>
          <w:sz w:val="12"/>
        </w:rPr>
        <w:t>2000</w:t>
      </w:r>
    </w:p>
    <w:p>
      <w:pPr>
        <w:spacing w:before="91"/>
        <w:ind w:left="180" w:right="0" w:firstLine="0"/>
        <w:jc w:val="left"/>
        <w:rPr>
          <w:sz w:val="12"/>
        </w:rPr>
      </w:pPr>
      <w:r>
        <w:rPr>
          <w:sz w:val="12"/>
        </w:rPr>
        <w:t>Source: ONS.</w:t>
      </w:r>
    </w:p>
    <w:p>
      <w:pPr>
        <w:spacing w:before="94"/>
        <w:ind w:left="176" w:right="0" w:firstLine="0"/>
        <w:jc w:val="left"/>
        <w:rPr>
          <w:sz w:val="12"/>
        </w:rPr>
      </w:pPr>
      <w:r>
        <w:rPr/>
        <w:br w:type="column"/>
      </w:r>
      <w:r>
        <w:rPr>
          <w:sz w:val="12"/>
        </w:rPr>
        <w:t>0.5</w:t>
      </w:r>
    </w:p>
    <w:p>
      <w:pPr>
        <w:pStyle w:val="BodyText"/>
        <w:spacing w:line="242" w:lineRule="auto" w:before="53"/>
        <w:ind w:left="180" w:right="237"/>
        <w:jc w:val="both"/>
      </w:pPr>
      <w:r>
        <w:rPr/>
        <w:br w:type="column"/>
      </w:r>
      <w:r>
        <w:rPr/>
        <w:t>The gap between goods and services price inflation (see Chart</w:t>
      </w:r>
      <w:r>
        <w:rPr>
          <w:spacing w:val="-7"/>
        </w:rPr>
        <w:t> </w:t>
      </w:r>
      <w:r>
        <w:rPr/>
        <w:t>4.9)</w:t>
      </w:r>
      <w:r>
        <w:rPr>
          <w:spacing w:val="-7"/>
        </w:rPr>
        <w:t> </w:t>
      </w:r>
      <w:r>
        <w:rPr/>
        <w:t>has</w:t>
      </w:r>
      <w:r>
        <w:rPr>
          <w:spacing w:val="-7"/>
        </w:rPr>
        <w:t> </w:t>
      </w:r>
      <w:r>
        <w:rPr/>
        <w:t>narrowed</w:t>
      </w:r>
      <w:r>
        <w:rPr>
          <w:spacing w:val="-7"/>
        </w:rPr>
        <w:t> </w:t>
      </w:r>
      <w:r>
        <w:rPr/>
        <w:t>somewhat</w:t>
      </w:r>
      <w:r>
        <w:rPr>
          <w:spacing w:val="-7"/>
        </w:rPr>
        <w:t> </w:t>
      </w:r>
      <w:r>
        <w:rPr/>
        <w:t>in</w:t>
      </w:r>
      <w:r>
        <w:rPr>
          <w:spacing w:val="-7"/>
        </w:rPr>
        <w:t> </w:t>
      </w:r>
      <w:r>
        <w:rPr/>
        <w:t>recent</w:t>
      </w:r>
      <w:r>
        <w:rPr>
          <w:spacing w:val="-6"/>
        </w:rPr>
        <w:t> </w:t>
      </w:r>
      <w:r>
        <w:rPr/>
        <w:t>months,</w:t>
      </w:r>
      <w:r>
        <w:rPr>
          <w:spacing w:val="-6"/>
        </w:rPr>
        <w:t> </w:t>
      </w:r>
      <w:r>
        <w:rPr/>
        <w:t>but remains wide by the standards of the early 1990s.</w:t>
      </w:r>
      <w:r>
        <w:rPr>
          <w:spacing w:val="30"/>
        </w:rPr>
        <w:t> </w:t>
      </w:r>
      <w:r>
        <w:rPr/>
        <w:t>In</w:t>
      </w:r>
    </w:p>
    <w:p>
      <w:pPr>
        <w:spacing w:after="0" w:line="242" w:lineRule="auto"/>
        <w:jc w:val="both"/>
        <w:sectPr>
          <w:type w:val="continuous"/>
          <w:pgSz w:w="11900" w:h="16840"/>
          <w:pgMar w:top="1260" w:bottom="280" w:left="640" w:right="640"/>
          <w:cols w:num="3" w:equalWidth="0">
            <w:col w:w="3219" w:space="40"/>
            <w:col w:w="367" w:space="1154"/>
            <w:col w:w="5840"/>
          </w:cols>
        </w:sectPr>
      </w:pPr>
    </w:p>
    <w:p>
      <w:pPr>
        <w:pStyle w:val="BodyText"/>
        <w:rPr>
          <w:sz w:val="20"/>
        </w:rPr>
      </w:pPr>
    </w:p>
    <w:p>
      <w:pPr>
        <w:pStyle w:val="BodyText"/>
        <w:spacing w:before="7"/>
        <w:rPr>
          <w:sz w:val="20"/>
        </w:rPr>
      </w:pPr>
    </w:p>
    <w:p>
      <w:pPr>
        <w:pStyle w:val="BodyText"/>
        <w:spacing w:line="242" w:lineRule="auto"/>
        <w:ind w:left="4979" w:right="116"/>
      </w:pPr>
      <w:bookmarkStart w:name="Other price indices" w:id="68"/>
      <w:bookmarkEnd w:id="68"/>
      <w:r>
        <w:rPr/>
      </w:r>
      <w:bookmarkStart w:name="_bookmark29" w:id="69"/>
      <w:bookmarkEnd w:id="69"/>
      <w:r>
        <w:rPr/>
      </w:r>
      <w:r>
        <w:rPr/>
        <w:t>general, services that have a high labour input are likely to exhibit higher average price rises than manufactured goods (as the potential for productivity increases is more limited). But the appreciation of sterling since 1996 has contributed to the widening of the gap, as most services are domestically produced while many goods are imported (or face stronger competition from imports).</w:t>
      </w:r>
    </w:p>
    <w:p>
      <w:pPr>
        <w:pStyle w:val="BodyText"/>
        <w:spacing w:line="242" w:lineRule="auto" w:before="9"/>
        <w:ind w:left="4979" w:right="161"/>
      </w:pPr>
      <w:r>
        <w:rPr/>
        <w:t>Goods prices rose by 0.5% in the year to September, but prices of goods other than food, drink, tobacco and oil (including petrol) fell by 2.8% on a year earlier. The services component of RPI rose by 3.4% in the year to September. Non-shop services prices rose by 7.2% over the same period, with a significant contribution from travel costs and the price of holidays (indirectly affected by higher fuel costs). But there was an offsetting 4.4% fall in utility prices, though this decline, which took effect in April, was expected in advance as it had been announced by the relevant regulatory agencies.</w:t>
      </w:r>
    </w:p>
    <w:p>
      <w:pPr>
        <w:pStyle w:val="BodyText"/>
        <w:spacing w:before="8"/>
        <w:rPr>
          <w:sz w:val="17"/>
        </w:rPr>
      </w:pPr>
    </w:p>
    <w:p>
      <w:pPr>
        <w:spacing w:after="0"/>
        <w:rPr>
          <w:sz w:val="17"/>
        </w:rPr>
        <w:sectPr>
          <w:pgSz w:w="11900" w:h="16840"/>
          <w:pgMar w:header="601" w:footer="592" w:top="780" w:bottom="7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1"/>
        <w:rPr>
          <w:sz w:val="28"/>
        </w:rPr>
      </w:pPr>
    </w:p>
    <w:p>
      <w:pPr>
        <w:spacing w:before="0"/>
        <w:ind w:left="190" w:right="0" w:firstLine="0"/>
        <w:jc w:val="left"/>
        <w:rPr>
          <w:b/>
          <w:sz w:val="20"/>
        </w:rPr>
      </w:pPr>
      <w:r>
        <w:rPr>
          <w:b/>
          <w:color w:val="0092C7"/>
          <w:sz w:val="20"/>
        </w:rPr>
        <w:t>Chart 4.10</w:t>
      </w:r>
    </w:p>
    <w:p>
      <w:pPr>
        <w:spacing w:before="10"/>
        <w:ind w:left="190" w:right="0" w:firstLine="0"/>
        <w:jc w:val="left"/>
        <w:rPr>
          <w:sz w:val="12"/>
        </w:rPr>
      </w:pPr>
      <w:r>
        <w:rPr>
          <w:b/>
          <w:color w:val="0092C7"/>
          <w:sz w:val="20"/>
        </w:rPr>
        <w:t>Trimmed mean of RPIX inflation</w:t>
      </w:r>
      <w:r>
        <w:rPr>
          <w:position w:val="4"/>
          <w:sz w:val="12"/>
        </w:rPr>
        <w:t>(a)</w:t>
      </w:r>
    </w:p>
    <w:p>
      <w:pPr>
        <w:spacing w:line="126" w:lineRule="exact" w:before="107"/>
        <w:ind w:left="1690" w:right="0" w:firstLine="0"/>
        <w:jc w:val="left"/>
        <w:rPr>
          <w:sz w:val="12"/>
        </w:rPr>
      </w:pPr>
      <w:r>
        <w:rPr>
          <w:sz w:val="12"/>
        </w:rPr>
        <w:t>Percentage changes on a year earlier</w:t>
      </w:r>
    </w:p>
    <w:p>
      <w:pPr>
        <w:spacing w:line="126" w:lineRule="exact" w:before="0"/>
        <w:ind w:left="3523" w:right="0" w:firstLine="0"/>
        <w:jc w:val="left"/>
        <w:rPr>
          <w:sz w:val="12"/>
        </w:rPr>
      </w:pPr>
      <w:r>
        <w:rPr/>
        <w:pict>
          <v:group style="position:absolute;margin-left:54.404999pt;margin-top:10.024695pt;width:150.550pt;height:123.4pt;mso-position-horizontal-relative:page;mso-position-vertical-relative:paragraph;z-index:16144896" coordorigin="1088,200" coordsize="3011,2468">
            <v:shape style="position:absolute;left:1088;top:1128;width:508;height:788" type="#_x0000_t75" stroked="false">
              <v:imagedata r:id="rId168" o:title=""/>
            </v:shape>
            <v:line style="position:absolute" from="1586,1138" to="1611,658" stroked="true" strokeweight="1pt" strokecolor="#de0035">
              <v:stroke dashstyle="solid"/>
            </v:line>
            <v:shape style="position:absolute;left:1600;top:200;width:223;height:468" type="#_x0000_t75" stroked="false">
              <v:imagedata r:id="rId169" o:title=""/>
            </v:shape>
            <v:shape style="position:absolute;left:1813;top:513;width:83;height:513" coordorigin="1813,513" coordsize="83,513" path="m1813,513l1836,993m1836,993l1848,1025m1848,1025l1871,960m1871,960l1896,993e" filled="false" stroked="true" strokeweight="1pt" strokecolor="#de0035">
              <v:path arrowok="t"/>
              <v:stroke dashstyle="solid"/>
            </v:shape>
            <v:line style="position:absolute" from="1902,983" to="1902,1163" stroked="true" strokeweight="1.625pt" strokecolor="#de0035">
              <v:stroke dashstyle="solid"/>
            </v:line>
            <v:shape style="position:absolute;left:1908;top:1153;width:155;height:208" coordorigin="1908,1153" coordsize="155,208" path="m1908,1153l1931,1298m1931,1298l1943,1360m1943,1360l1966,1298m1966,1298l1991,1265m1991,1265l2003,1313m2003,1313l2026,1328m2026,1328l2038,1280m2038,1280l2063,1298e" filled="false" stroked="true" strokeweight="1pt" strokecolor="#de0035">
              <v:path arrowok="t"/>
              <v:stroke dashstyle="solid"/>
            </v:shape>
            <v:line style="position:absolute" from="2068,1288" to="2068,1418" stroked="true" strokeweight="1.5pt" strokecolor="#de0035">
              <v:stroke dashstyle="solid"/>
            </v:line>
            <v:shape style="position:absolute;left:2073;top:1408;width:143;height:480" coordorigin="2073,1408" coordsize="143,480" path="m2073,1408l2098,1553m2098,1553l2133,1728m2133,1728l2158,1775m2158,1775l2168,1825m2168,1825l2193,1888m2193,1888l2216,1873e" filled="false" stroked="true" strokeweight="1pt" strokecolor="#de0035">
              <v:path arrowok="t"/>
              <v:stroke dashstyle="solid"/>
            </v:shape>
            <v:line style="position:absolute" from="2222,1863" to="2222,2010" stroked="true" strokeweight="1.625pt" strokecolor="#de0035">
              <v:stroke dashstyle="solid"/>
            </v:line>
            <v:shape style="position:absolute;left:2228;top:1920;width:155;height:208" coordorigin="2228,1920" coordsize="155,208" path="m2228,2000l2253,1968m2253,1968l2266,1920m2266,1920l2288,2113m2288,2113l2301,2115m2301,2113l2323,2128m2323,2128l2348,2113m2348,2113l2361,2033m2361,2033l2383,1985e" filled="false" stroked="true" strokeweight="1pt" strokecolor="#de0035">
              <v:path arrowok="t"/>
              <v:stroke dashstyle="solid"/>
            </v:shape>
            <v:line style="position:absolute" from="2389,1975" to="2389,2123" stroked="true" strokeweight="1.625pt" strokecolor="#de0035">
              <v:stroke dashstyle="solid"/>
            </v:line>
            <v:shape style="position:absolute;left:2395;top:2033;width:668;height:335" coordorigin="2396,2033" coordsize="668,335" path="m2396,2113l2418,2208m2418,2208l2443,2160m2443,2160l2456,2113m2456,2113l2478,2128m2478,2128l2491,2223m2491,2223l2516,2255m2516,2255l2538,2223m2538,2223l2551,2240m2551,2240l2573,2303m2573,2303l2586,2273m2586,2273l2611,2335m2611,2335l2621,2368m2621,2368l2646,2273m2646,2273l2668,2223m2668,2223l2681,2145m2681,2145l2706,2160m2706,2160l2716,2128m2716,2128l2741,2175m2741,2175l2766,2160m2766,2160l2776,2113m2776,2113l2801,2128m2801,2128l2813,2095m2813,2095l2836,2033m2836,2033l2848,2095m2848,2095l2871,2098m2871,2095l2896,2080m2896,2080l2908,2113m2908,2113l2931,2115m2931,2113l2943,2080m2943,2080l2966,2095m2966,2095l2991,2145m2991,2145l3003,2148m3003,2145l3026,2113m3026,2113l3038,2115m3038,2113l3063,2080e" filled="false" stroked="true" strokeweight="1pt" strokecolor="#de0035">
              <v:path arrowok="t"/>
              <v:stroke dashstyle="solid"/>
            </v:shape>
            <v:line style="position:absolute" from="3068,1975" to="3068,2090" stroked="true" strokeweight="1.5pt" strokecolor="#de0035">
              <v:stroke dashstyle="solid"/>
            </v:line>
            <v:shape style="position:absolute;left:3073;top:1985;width:370;height:238" coordorigin="3073,1985" coordsize="370,238" path="m3073,1985l3098,1988m3098,1985l3121,2048m3121,2048l3133,2050m3133,2048l3158,2113m3158,2113l3168,2175m3168,2175l3193,2208m3193,2208l3216,2210m3216,2208l3228,2160m3228,2160l3253,2080m3253,2080l3266,2128m3266,2128l3288,2145m3288,2145l3313,2128m3313,2128l3323,2130m3323,2128l3348,2160m3348,2160l3361,2223m3361,2223l3383,2193m3383,2193l3396,2195m3396,2193l3418,2080m3418,2080l3443,2015e" filled="false" stroked="true" strokeweight="1pt" strokecolor="#de0035">
              <v:path arrowok="t"/>
              <v:stroke dashstyle="solid"/>
            </v:shape>
            <v:line style="position:absolute" from="3449,2005" to="3449,2138" stroked="true" strokeweight="1.625pt" strokecolor="#de0035">
              <v:stroke dashstyle="solid"/>
            </v:line>
            <v:shape style="position:absolute;left:3455;top:2128;width:155;height:113" coordorigin="3456,2128" coordsize="155,113" path="m3456,2128l3478,2175m3478,2175l3491,2193m3491,2193l3513,2208m3513,2208l3538,2210m3538,2208l3551,2210m3551,2208l3573,2193m3573,2193l3586,2175m3586,2175l3611,2240e" filled="false" stroked="true" strokeweight="1pt" strokecolor="#de0035">
              <v:path arrowok="t"/>
              <v:stroke dashstyle="solid"/>
            </v:shape>
            <v:line style="position:absolute" from="3616,2150" to="3616,2250" stroked="true" strokeweight="1.5pt" strokecolor="#de0035">
              <v:stroke dashstyle="solid"/>
            </v:line>
            <v:shape style="position:absolute;left:3620;top:2160;width:345;height:223" coordorigin="3621,2160" coordsize="345,223" path="m3621,2160l3646,2223m3646,2223l3668,2320m3668,2320l3681,2288m3681,2288l3706,2290m3706,2288l3716,2320m3716,2320l3741,2323m3741,2320l3763,2303m3763,2303l3776,2288m3776,2288l3801,2303m3801,2303l3813,2320m3813,2320l3836,2303m3836,2303l3848,2368m3848,2368l3871,2370m3871,2368l3896,2353m3896,2353l3908,2288m3908,2288l3931,2303m3931,2303l3943,2383m3943,2383l3966,2288e" filled="false" stroked="true" strokeweight="1pt" strokecolor="#de0035">
              <v:path arrowok="t"/>
              <v:stroke dashstyle="solid"/>
            </v:shape>
            <v:shape style="position:absolute;left:1098;top:1535;width:513;height:628" coordorigin="1098,1535" coordsize="513,628" path="m1098,2160l1121,2163m1121,2160l1133,2163m1133,2160l1158,2000m1158,2000l1168,1935m1168,1935l1193,1938m1193,1935l1218,1873m1218,1873l1228,1875m1228,1873l1253,1840m1253,1840l1266,1855m1266,1855l1288,1888m1288,1888l1301,1855m1301,1855l1323,1808m1323,1808l1348,1760m1348,1760l1361,1713m1361,1713l1383,1745m1383,1745l1396,1775m1396,1775l1418,1760m1418,1760l1443,1728m1443,1728l1456,1760m1456,1760l1478,1728m1478,1728l1491,1665m1491,1665l1516,1713m1516,1713l1526,1715m1526,1713l1551,1665m1551,1665l1573,1615m1573,1615l1586,1618m1586,1615l1611,1535e" filled="false" stroked="true" strokeweight="1pt" strokecolor="#008360">
              <v:path arrowok="t"/>
              <v:stroke dashstyle="solid"/>
            </v:shape>
            <v:line style="position:absolute" from="1616,1398" to="1616,1545" stroked="true" strokeweight="1.5pt" strokecolor="#008360">
              <v:stroke dashstyle="solid"/>
            </v:line>
            <v:shape style="position:absolute;left:1620;top:1393;width:48;height:15" coordorigin="1621,1393" coordsize="48,15" path="m1621,1408l1646,1393m1646,1393l1668,1395e" filled="false" stroked="true" strokeweight="1pt" strokecolor="#008360">
              <v:path arrowok="t"/>
              <v:stroke dashstyle="solid"/>
            </v:shape>
            <v:line style="position:absolute" from="1674,1255" to="1674,1403" stroked="true" strokeweight="1.625pt" strokecolor="#008360">
              <v:stroke dashstyle="solid"/>
            </v:line>
            <v:shape style="position:absolute;left:1680;top:1185;width:133;height:80" coordorigin="1681,1185" coordsize="133,80" path="m1681,1265l1706,1233m1706,1233l1718,1265m1718,1265l1741,1233m1741,1233l1753,1185m1753,1185l1776,1200m1776,1200l1801,1218m1801,1218l1813,1220e" filled="false" stroked="true" strokeweight="1pt" strokecolor="#008360">
              <v:path arrowok="t"/>
              <v:stroke dashstyle="solid"/>
            </v:shape>
            <v:line style="position:absolute" from="1824,888" to="1824,1228" stroked="true" strokeweight="2.125pt" strokecolor="#008360">
              <v:stroke dashstyle="solid"/>
            </v:line>
            <v:shape style="position:absolute;left:1835;top:898;width:60;height:95" coordorigin="1836,898" coordsize="60,95" path="m1836,898l1848,945m1848,945l1871,948m1871,945l1896,993e" filled="false" stroked="true" strokeweight="1pt" strokecolor="#008360">
              <v:path arrowok="t"/>
              <v:stroke dashstyle="solid"/>
            </v:shape>
            <v:line style="position:absolute" from="1902,983" to="1902,1115" stroked="true" strokeweight="1.625pt" strokecolor="#008360">
              <v:stroke dashstyle="solid"/>
            </v:line>
            <v:shape style="position:absolute;left:1908;top:1105;width:155;height:783" coordorigin="1908,1105" coordsize="155,783" path="m1908,1105l1931,1185m1931,1185l1943,1233m1943,1233l1966,1280m1966,1280l1991,1345m1991,1345l2003,1408m2003,1408l2026,1410m2026,1408l2038,1440m2038,1440l2063,1888e" filled="false" stroked="true" strokeweight="1pt" strokecolor="#008360">
              <v:path arrowok="t"/>
              <v:stroke dashstyle="solid"/>
            </v:shape>
            <v:line style="position:absolute" from="2068,1878" to="2068,1978" stroked="true" strokeweight="1.5pt" strokecolor="#008360">
              <v:stroke dashstyle="solid"/>
            </v:line>
            <v:shape style="position:absolute;left:2073;top:1968;width:1893;height:690" coordorigin="2073,1968" coordsize="1893,690" path="m2073,1968l2098,2033m2098,2033l2121,2048m2121,2048l2133,2128m2133,2128l2158,2175m2158,2175l2168,2208m2168,2208l2193,2223m2193,2223l2216,2225m2216,2223l2228,2255m2228,2255l2253,2273m2253,2273l2266,2240m2266,2240l2288,2175m2288,2175l2301,2223m2301,2223l2323,2255m2323,2255l2348,2223m2348,2223l2361,2145m2361,2145l2383,2095m2383,2095l2396,2175m2396,2175l2418,2208m2418,2208l2443,2210m2443,2208l2456,2210m2456,2208l2478,2273m2478,2273l2491,2353m2491,2353l2516,2495m2516,2495l2538,2513m2538,2513l2551,2528m2551,2528l2573,2543m2573,2543l2586,2593m2586,2593l2611,2655m2611,2655l2621,2658m2621,2655l2646,2658m2646,2655l2668,2623m2668,2623l2681,2593m2681,2593l2706,2543m2706,2543l2716,2480m2716,2480l2741,2463m2741,2463l2766,2400m2766,2400l2776,2403m2776,2400l2801,2383m2801,2383l2813,2368m2813,2368l2836,2303m2836,2303l2848,2305m2848,2303l2871,2288m2871,2288l2896,2320m2896,2320l2908,2288m2908,2288l2931,2303m2931,2303l2943,2353m2943,2353l2966,2273m2966,2273l2991,2303m2991,2303l3003,2273m3003,2273l3026,2288m3026,2288l3038,2303m3038,2303l3063,2305m3063,2303l3073,2273m3073,2273l3098,2275m3098,2273l3121,2275m3121,2273l3133,2255m3133,2255l3158,2288m3158,2288l3168,2303m3168,2303l3193,2353m3193,2353l3216,2335m3216,2335l3228,2338m3228,2335l3253,2320m3253,2320l3266,2303m3266,2303l3288,2320m3288,2320l3313,2288m3313,2288l3323,2303m3323,2303l3348,2288m3348,2288l3361,2353m3361,2353l3383,2355m3383,2353l3396,2355m3396,2353l3418,2383m3418,2383l3443,2368m3443,2368l3456,2415m3456,2415l3478,2400m3478,2400l3491,2415m3491,2415l3513,2433m3513,2433l3538,2448m3538,2448l3551,2450m3551,2448l3573,2463m3573,2463l3586,2465m3586,2463l3611,2495m3611,2495l3621,2498m3621,2495l3646,2463m3646,2463l3668,2543m3668,2543l3681,2545m3681,2543l3706,2575m3706,2575l3716,2578m3716,2575l3741,2593m3741,2593l3763,2623m3763,2623l3776,2625m3776,2623l3801,2625m3801,2623l3813,2575m3813,2575l3836,2593m3836,2593l3848,2560m3848,2560l3871,2593m3871,2593l3896,2595m3896,2593l3908,2575m3908,2575l3931,2543m3931,2543l3943,2545m3943,2543l3966,2495e" filled="false" stroked="true" strokeweight="1pt" strokecolor="#008360">
              <v:path arrowok="t"/>
              <v:stroke dashstyle="solid"/>
            </v:shape>
            <v:shape style="position:absolute;left:1098;top:1408;width:513;height:660" coordorigin="1098,1408" coordsize="513,660" path="m1098,2065l1121,2068m1121,2065l1133,2033m1133,2033l1158,1905m1158,1905l1168,1873m1168,1873l1193,1825m1193,1825l1218,1760m1218,1760l1228,1728m1228,1728l1253,1730m1253,1728l1266,1730m1266,1728l1288,1760m1288,1760l1301,1775m1301,1775l1323,1695m1323,1695l1348,1680m1348,1680l1361,1665m1361,1665l1383,1668m1383,1665l1396,1668m1396,1665l1418,1680m1418,1680l1443,1683m1443,1680l1456,1713m1456,1713l1478,1695m1478,1695l1491,1633m1491,1633l1516,1648m1516,1648l1526,1650m1526,1648l1551,1615m1551,1615l1573,1568m1573,1568l1586,1535m1586,1535l1611,1408e" filled="false" stroked="true" strokeweight="1pt" strokecolor="#b3dabb">
              <v:path arrowok="t"/>
              <v:stroke dashstyle="solid"/>
            </v:shape>
            <v:line style="position:absolute" from="1616,1270" to="1616,1418" stroked="true" strokeweight="1.5pt" strokecolor="#b3dabb">
              <v:stroke dashstyle="solid"/>
            </v:line>
            <v:shape style="position:absolute;left:1620;top:1233;width:48;height:48" coordorigin="1621,1233" coordsize="48,48" path="m1621,1280l1646,1248m1646,1248l1668,1233e" filled="false" stroked="true" strokeweight="1pt" strokecolor="#b3dabb">
              <v:path arrowok="t"/>
              <v:stroke dashstyle="solid"/>
            </v:shape>
            <v:line style="position:absolute" from="1674,1110" to="1674,1243" stroked="true" strokeweight="1.625pt" strokecolor="#b3dabb">
              <v:stroke dashstyle="solid"/>
            </v:line>
            <v:shape style="position:absolute;left:1680;top:1040;width:133;height:80" coordorigin="1681,1040" coordsize="133,80" path="m1681,1120l1706,1088m1706,1088l1718,1090m1718,1088l1741,1073m1741,1073l1753,1040m1753,1040l1776,1105m1776,1105l1801,1108m1801,1105l1813,1108e" filled="false" stroked="true" strokeweight="1pt" strokecolor="#b3dabb">
              <v:path arrowok="t"/>
              <v:stroke dashstyle="solid"/>
            </v:shape>
            <v:line style="position:absolute" from="1824,790" to="1824,1115" stroked="true" strokeweight="2.125pt" strokecolor="#b3dabb">
              <v:stroke dashstyle="solid"/>
            </v:line>
            <v:shape style="position:absolute;left:1835;top:800;width:228;height:800" coordorigin="1836,800" coordsize="228,800" path="m1836,800l1848,848m1848,848l1871,850m1871,848l1896,865m1896,865l1908,945m1908,945l1931,993m1931,993l1943,1040m1943,1040l1966,1073m1966,1073l1991,1120m1991,1120l2003,1138m2003,1138l2026,1153m2026,1153l2038,1138m2038,1138l2063,1600e" filled="false" stroked="true" strokeweight="1pt" strokecolor="#b3dabb">
              <v:path arrowok="t"/>
              <v:stroke dashstyle="solid"/>
            </v:shape>
            <v:line style="position:absolute" from="2068,1590" to="2068,1723" stroked="true" strokeweight="1.5pt" strokecolor="#b3dabb">
              <v:stroke dashstyle="solid"/>
            </v:line>
            <v:shape style="position:absolute;left:2073;top:1713;width:143;height:353" coordorigin="2073,1713" coordsize="143,353" path="m2073,1713l2098,1775m2098,1775l2121,1840m2121,1840l2133,1905m2133,1905l2158,1968m2158,1968l2168,2015m2168,2015l2193,2048m2193,2048l2216,2065e" filled="false" stroked="true" strokeweight="1pt" strokecolor="#b3dabb">
              <v:path arrowok="t"/>
              <v:stroke dashstyle="solid"/>
            </v:shape>
            <v:line style="position:absolute" from="2222,2055" to="2222,2203" stroked="true" strokeweight="1.625pt" strokecolor="#b3dabb">
              <v:stroke dashstyle="solid"/>
            </v:line>
            <v:shape style="position:absolute;left:2228;top:2113;width:215;height:110" coordorigin="2228,2113" coordsize="215,110" path="m2228,2193l2253,2160m2253,2160l2266,2128m2266,2128l2288,2145m2288,2145l2301,2175m2301,2175l2323,2208m2323,2208l2348,2193m2348,2193l2361,2145m2361,2145l2383,2113m2383,2113l2396,2175m2396,2175l2418,2208m2418,2208l2443,2223e" filled="false" stroked="true" strokeweight="1pt" strokecolor="#b3dabb">
              <v:path arrowok="t"/>
              <v:stroke dashstyle="solid"/>
            </v:shape>
            <v:line style="position:absolute" from="2449,2103" to="2449,2233" stroked="true" strokeweight="1.625pt" strokecolor="#b3dabb">
              <v:stroke dashstyle="solid"/>
            </v:line>
            <v:shape style="position:absolute;left:2455;top:2095;width:1510;height:448" coordorigin="2456,2095" coordsize="1510,448" path="m2456,2113l2478,2175m2478,2175l2491,2255m2491,2255l2516,2383m2516,2383l2538,2400m2538,2400l2551,2403m2551,2400l2573,2480m2573,2480l2586,2483m2586,2480l2611,2528m2611,2528l2621,2543m2621,2543l2646,2513m2646,2513l2668,2463m2668,2463l2681,2433m2681,2433l2706,2415m2706,2415l2716,2368m2716,2368l2741,2353m2741,2353l2766,2320m2766,2320l2776,2273m2776,2273l2801,2240m2801,2240l2813,2223m2813,2223l2836,2193m2836,2193l2848,2208m2848,2208l2871,2210m2871,2208l2896,2193m2896,2193l2908,2208m2908,2208l2931,2210m2931,2208l2943,2240m2943,2240l2966,2208m2966,2208l2991,2223m2991,2223l3003,2240m3003,2240l3026,2208m3026,2208l3038,2193m3038,2193l3063,2160m3063,2160l3073,2113m3073,2113l3098,2095m3098,2095l3121,2128m3121,2128l3133,2130m3133,2128l3158,2145m3158,2145l3168,2175m3168,2175l3193,2240m3193,2240l3216,2223m3216,2223l3228,2225m3228,2223l3253,2225m3253,2223l3266,2225m3266,2223l3288,2240m3288,2240l3313,2243m3313,2240l3323,2273m3323,2273l3348,2275m3348,2273l3361,2288m3361,2288l3383,2273m3383,2273l3396,2275m3396,2273l3418,2240m3418,2240l3443,2208m3443,2208l3456,2273m3456,2273l3478,2275m3478,2273l3491,2320m3491,2320l3513,2335m3513,2335l3538,2338m3538,2335l3551,2338m3551,2335l3573,2353m3573,2353l3586,2335m3586,2335l3611,2400m3611,2400l3621,2383m3621,2383l3646,2385m3646,2383l3668,2448m3668,2448l3681,2433m3681,2433l3706,2448m3706,2448l3716,2450m3716,2448l3741,2463m3741,2463l3763,2480m3763,2480l3776,2463m3776,2463l3801,2465m3801,2463l3813,2448m3813,2448l3836,2450m3836,2448l3848,2433m3848,2433l3871,2435m3871,2433l3896,2415m3896,2415l3908,2433m3908,2433l3931,2415m3931,2415l3943,2418m3943,2415l3966,2335e" filled="false" stroked="true" strokeweight="1pt" strokecolor="#b3dabb">
              <v:path arrowok="t"/>
              <v:stroke dashstyle="solid"/>
            </v:shape>
            <v:shape style="position:absolute;left:1996;top:828;width:295;height:204" type="#_x0000_t75" stroked="false">
              <v:imagedata r:id="rId170" o:title=""/>
            </v:shape>
            <v:shape style="position:absolute;left:4012;top:358;width:87;height:2284" coordorigin="4012,358" coordsize="87,2284" path="m4012,358l4099,358m4012,644l4099,644m4012,929l4099,929m4012,1215l4099,1215m4012,1500l4099,1500m4012,1786l4099,1786m4012,2071l4099,2071m4012,2642l4099,2642m4012,2357l4099,2357e" filled="false" stroked="true" strokeweight=".5pt" strokecolor="#000000">
              <v:path arrowok="t"/>
              <v:stroke dashstyle="solid"/>
            </v:shape>
            <v:shape style="position:absolute;left:1810;top:233;width:294;height:133" type="#_x0000_t202" filled="false" stroked="false">
              <v:textbox inset="0,0,0,0">
                <w:txbxContent>
                  <w:p>
                    <w:pPr>
                      <w:spacing w:line="133" w:lineRule="exact" w:before="0"/>
                      <w:ind w:left="0" w:right="0" w:firstLine="0"/>
                      <w:jc w:val="left"/>
                      <w:rPr>
                        <w:sz w:val="12"/>
                      </w:rPr>
                    </w:pPr>
                    <w:r>
                      <w:rPr>
                        <w:sz w:val="12"/>
                      </w:rPr>
                      <w:t>RPIX</w:t>
                    </w:r>
                  </w:p>
                </w:txbxContent>
              </v:textbox>
              <w10:wrap type="none"/>
            </v:shape>
            <v:shape style="position:absolute;left:2293;top:613;width:757;height:274" type="#_x0000_t202" filled="false" stroked="false">
              <v:textbox inset="0,0,0,0">
                <w:txbxContent>
                  <w:p>
                    <w:pPr>
                      <w:spacing w:line="242" w:lineRule="auto" w:before="0"/>
                      <w:ind w:left="62" w:right="1" w:hanging="63"/>
                      <w:jc w:val="left"/>
                      <w:rPr>
                        <w:sz w:val="12"/>
                      </w:rPr>
                    </w:pPr>
                    <w:r>
                      <w:rPr>
                        <w:sz w:val="12"/>
                      </w:rPr>
                      <w:t>Trimmed mean of RPIX</w:t>
                    </w:r>
                  </w:p>
                </w:txbxContent>
              </v:textbox>
              <w10:wrap type="none"/>
            </v:shape>
            <v:shape style="position:absolute;left:2108;top:2443;width:387;height:133" type="#_x0000_t202" filled="false" stroked="false">
              <v:textbox inset="0,0,0,0">
                <w:txbxContent>
                  <w:p>
                    <w:pPr>
                      <w:spacing w:line="133" w:lineRule="exact" w:before="0"/>
                      <w:ind w:left="0" w:right="0" w:firstLine="0"/>
                      <w:jc w:val="left"/>
                      <w:rPr>
                        <w:sz w:val="12"/>
                      </w:rPr>
                    </w:pPr>
                    <w:r>
                      <w:rPr>
                        <w:sz w:val="12"/>
                      </w:rPr>
                      <w:t>Median</w:t>
                    </w:r>
                  </w:p>
                </w:txbxContent>
              </v:textbox>
              <w10:wrap type="none"/>
            </v:shape>
            <w10:wrap type="none"/>
          </v:group>
        </w:pict>
      </w:r>
      <w:r>
        <w:rPr/>
        <w:pict>
          <v:line style="position:absolute;mso-position-horizontal-relative:page;mso-position-vertical-relative:paragraph;z-index:16150528" from="44.414001pt,3.024695pt" to="48.747001pt,3.024695pt" stroked="true" strokeweight=".5pt" strokecolor="#000000">
            <v:stroke dashstyle="solid"/>
            <w10:wrap type="none"/>
          </v:line>
        </w:pict>
      </w:r>
      <w:r>
        <w:rPr/>
        <w:pict>
          <v:line style="position:absolute;mso-position-horizontal-relative:page;mso-position-vertical-relative:paragraph;z-index:16151552" from="200.613998pt,3.649695pt" to="204.945998pt,3.649695pt" stroked="true" strokeweight=".5pt" strokecolor="#000000">
            <v:stroke dashstyle="solid"/>
            <w10:wrap type="none"/>
          </v:line>
        </w:pict>
      </w:r>
      <w:r>
        <w:rPr>
          <w:sz w:val="12"/>
        </w:rPr>
        <w:t>10</w:t>
      </w:r>
    </w:p>
    <w:p>
      <w:pPr>
        <w:pStyle w:val="BodyText"/>
        <w:rPr>
          <w:sz w:val="13"/>
        </w:rPr>
      </w:pPr>
    </w:p>
    <w:p>
      <w:pPr>
        <w:spacing w:before="0"/>
        <w:ind w:left="3583" w:right="0" w:firstLine="0"/>
        <w:jc w:val="left"/>
        <w:rPr>
          <w:sz w:val="12"/>
        </w:rPr>
      </w:pPr>
      <w:r>
        <w:rPr/>
        <w:pict>
          <v:line style="position:absolute;mso-position-horizontal-relative:page;mso-position-vertical-relative:paragraph;z-index:16145408" from="44.414001pt,3.50015pt" to="48.747001pt,3.50015pt" stroked="true" strokeweight=".5pt" strokecolor="#000000">
            <v:stroke dashstyle="solid"/>
            <w10:wrap type="none"/>
          </v:line>
        </w:pict>
      </w:r>
      <w:r>
        <w:rPr>
          <w:sz w:val="12"/>
        </w:rPr>
        <w:t>9</w:t>
      </w:r>
    </w:p>
    <w:p>
      <w:pPr>
        <w:pStyle w:val="BodyText"/>
        <w:spacing w:before="2"/>
        <w:rPr>
          <w:sz w:val="13"/>
        </w:rPr>
      </w:pPr>
    </w:p>
    <w:p>
      <w:pPr>
        <w:spacing w:before="0"/>
        <w:ind w:left="3583" w:right="0" w:firstLine="0"/>
        <w:jc w:val="left"/>
        <w:rPr>
          <w:sz w:val="12"/>
        </w:rPr>
      </w:pPr>
      <w:r>
        <w:rPr/>
        <w:pict>
          <v:line style="position:absolute;mso-position-horizontal-relative:page;mso-position-vertical-relative:paragraph;z-index:16145920" from="44.414001pt,3.274967pt" to="48.747001pt,3.274967pt" stroked="true" strokeweight=".5pt" strokecolor="#000000">
            <v:stroke dashstyle="solid"/>
            <w10:wrap type="none"/>
          </v:line>
        </w:pict>
      </w:r>
      <w:r>
        <w:rPr>
          <w:sz w:val="12"/>
        </w:rPr>
        <w:t>8</w:t>
      </w:r>
    </w:p>
    <w:p>
      <w:pPr>
        <w:pStyle w:val="BodyText"/>
        <w:rPr>
          <w:sz w:val="13"/>
        </w:rPr>
      </w:pPr>
    </w:p>
    <w:p>
      <w:pPr>
        <w:spacing w:before="0"/>
        <w:ind w:left="3583" w:right="0" w:firstLine="0"/>
        <w:jc w:val="left"/>
        <w:rPr>
          <w:sz w:val="12"/>
        </w:rPr>
      </w:pPr>
      <w:r>
        <w:rPr/>
        <w:pict>
          <v:line style="position:absolute;mso-position-horizontal-relative:page;mso-position-vertical-relative:paragraph;z-index:16146432" from="44.414001pt,3.17515pt" to="48.747001pt,3.17515pt" stroked="true" strokeweight=".5pt" strokecolor="#000000">
            <v:stroke dashstyle="solid"/>
            <w10:wrap type="none"/>
          </v:line>
        </w:pict>
      </w:r>
      <w:r>
        <w:rPr>
          <w:sz w:val="12"/>
        </w:rPr>
        <w:t>7</w:t>
      </w:r>
    </w:p>
    <w:p>
      <w:pPr>
        <w:pStyle w:val="BodyText"/>
        <w:rPr>
          <w:sz w:val="13"/>
        </w:rPr>
      </w:pPr>
    </w:p>
    <w:p>
      <w:pPr>
        <w:spacing w:before="0"/>
        <w:ind w:left="3583" w:right="0" w:firstLine="0"/>
        <w:jc w:val="left"/>
        <w:rPr>
          <w:sz w:val="12"/>
        </w:rPr>
      </w:pPr>
      <w:r>
        <w:rPr/>
        <w:pict>
          <v:line style="position:absolute;mso-position-horizontal-relative:page;mso-position-vertical-relative:paragraph;z-index:16146944" from="44.414001pt,3.075364pt" to="48.747001pt,3.075364pt" stroked="true" strokeweight=".5pt" strokecolor="#000000">
            <v:stroke dashstyle="solid"/>
            <w10:wrap type="none"/>
          </v:line>
        </w:pict>
      </w:r>
      <w:r>
        <w:rPr>
          <w:sz w:val="12"/>
        </w:rPr>
        <w:t>6</w:t>
      </w:r>
    </w:p>
    <w:p>
      <w:pPr>
        <w:pStyle w:val="BodyText"/>
        <w:spacing w:before="8"/>
        <w:rPr>
          <w:sz w:val="11"/>
        </w:rPr>
      </w:pPr>
    </w:p>
    <w:p>
      <w:pPr>
        <w:spacing w:before="0"/>
        <w:ind w:left="3583" w:right="0" w:firstLine="0"/>
        <w:jc w:val="left"/>
        <w:rPr>
          <w:sz w:val="12"/>
        </w:rPr>
      </w:pPr>
      <w:r>
        <w:rPr/>
        <w:pict>
          <v:line style="position:absolute;mso-position-horizontal-relative:page;mso-position-vertical-relative:paragraph;z-index:16147456" from="44.414001pt,3.725562pt" to="48.747001pt,3.725562pt" stroked="true" strokeweight=".5pt" strokecolor="#000000">
            <v:stroke dashstyle="solid"/>
            <w10:wrap type="none"/>
          </v:line>
        </w:pict>
      </w:r>
      <w:r>
        <w:rPr>
          <w:sz w:val="12"/>
        </w:rPr>
        <w:t>5</w:t>
      </w:r>
    </w:p>
    <w:p>
      <w:pPr>
        <w:pStyle w:val="BodyText"/>
        <w:rPr>
          <w:sz w:val="13"/>
        </w:rPr>
      </w:pPr>
    </w:p>
    <w:p>
      <w:pPr>
        <w:spacing w:before="0"/>
        <w:ind w:left="3583" w:right="0" w:firstLine="0"/>
        <w:jc w:val="left"/>
        <w:rPr>
          <w:sz w:val="12"/>
        </w:rPr>
      </w:pPr>
      <w:r>
        <w:rPr/>
        <w:pict>
          <v:line style="position:absolute;mso-position-horizontal-relative:page;mso-position-vertical-relative:paragraph;z-index:16147968" from="44.414001pt,3.625761pt" to="48.747001pt,3.625761pt" stroked="true" strokeweight=".5pt" strokecolor="#000000">
            <v:stroke dashstyle="solid"/>
            <w10:wrap type="none"/>
          </v:line>
        </w:pict>
      </w:r>
      <w:r>
        <w:rPr>
          <w:sz w:val="12"/>
        </w:rPr>
        <w:t>4</w:t>
      </w:r>
    </w:p>
    <w:p>
      <w:pPr>
        <w:pStyle w:val="BodyText"/>
        <w:rPr>
          <w:sz w:val="13"/>
        </w:rPr>
      </w:pPr>
    </w:p>
    <w:p>
      <w:pPr>
        <w:spacing w:before="0"/>
        <w:ind w:left="3583" w:right="0" w:firstLine="0"/>
        <w:jc w:val="left"/>
        <w:rPr>
          <w:sz w:val="12"/>
        </w:rPr>
      </w:pPr>
      <w:r>
        <w:rPr/>
        <w:pict>
          <v:line style="position:absolute;mso-position-horizontal-relative:page;mso-position-vertical-relative:paragraph;z-index:16148480" from="44.414001pt,3.525959pt" to="48.747001pt,3.525959pt" stroked="true" strokeweight=".5pt" strokecolor="#000000">
            <v:stroke dashstyle="solid"/>
            <w10:wrap type="none"/>
          </v:line>
        </w:pict>
      </w:r>
      <w:r>
        <w:rPr>
          <w:sz w:val="12"/>
        </w:rPr>
        <w:t>3</w:t>
      </w:r>
    </w:p>
    <w:p>
      <w:pPr>
        <w:pStyle w:val="BodyText"/>
        <w:rPr>
          <w:sz w:val="13"/>
        </w:rPr>
      </w:pPr>
    </w:p>
    <w:p>
      <w:pPr>
        <w:spacing w:before="0"/>
        <w:ind w:left="3583" w:right="0" w:firstLine="0"/>
        <w:jc w:val="left"/>
        <w:rPr>
          <w:sz w:val="12"/>
        </w:rPr>
      </w:pPr>
      <w:r>
        <w:rPr/>
        <w:pict>
          <v:line style="position:absolute;mso-position-horizontal-relative:page;mso-position-vertical-relative:paragraph;z-index:16149504" from="44.414001pt,3.426157pt" to="48.747001pt,3.426157pt" stroked="true" strokeweight=".5pt" strokecolor="#000000">
            <v:stroke dashstyle="solid"/>
            <w10:wrap type="none"/>
          </v:line>
        </w:pict>
      </w:r>
      <w:r>
        <w:rPr>
          <w:sz w:val="12"/>
        </w:rPr>
        <w:t>2</w:t>
      </w:r>
    </w:p>
    <w:p>
      <w:pPr>
        <w:pStyle w:val="BodyText"/>
        <w:rPr>
          <w:sz w:val="13"/>
        </w:rPr>
      </w:pPr>
    </w:p>
    <w:p>
      <w:pPr>
        <w:spacing w:before="0"/>
        <w:ind w:left="3583" w:right="0" w:firstLine="0"/>
        <w:jc w:val="left"/>
        <w:rPr>
          <w:sz w:val="12"/>
        </w:rPr>
      </w:pPr>
      <w:r>
        <w:rPr/>
        <w:pict>
          <v:line style="position:absolute;mso-position-horizontal-relative:page;mso-position-vertical-relative:paragraph;z-index:16148992" from="44.414001pt,3.326356pt" to="48.747001pt,3.326356pt" stroked="true" strokeweight=".5pt" strokecolor="#000000">
            <v:stroke dashstyle="solid"/>
            <w10:wrap type="none"/>
          </v:line>
        </w:pict>
      </w:r>
      <w:r>
        <w:rPr>
          <w:sz w:val="12"/>
        </w:rPr>
        <w:t>1</w:t>
      </w:r>
    </w:p>
    <w:p>
      <w:pPr>
        <w:pStyle w:val="BodyText"/>
        <w:rPr>
          <w:sz w:val="13"/>
        </w:rPr>
      </w:pPr>
    </w:p>
    <w:p>
      <w:pPr>
        <w:spacing w:before="0"/>
        <w:ind w:left="3583" w:right="0" w:firstLine="0"/>
        <w:jc w:val="left"/>
        <w:rPr>
          <w:sz w:val="12"/>
        </w:rPr>
      </w:pPr>
      <w:r>
        <w:rPr/>
        <w:pict>
          <v:line style="position:absolute;mso-position-horizontal-relative:page;mso-position-vertical-relative:paragraph;z-index:16150016" from="44.414001pt,3.226569pt" to="48.747001pt,3.226569pt" stroked="true" strokeweight=".5pt" strokecolor="#000000">
            <v:stroke dashstyle="solid"/>
            <w10:wrap type="none"/>
          </v:line>
        </w:pict>
      </w:r>
      <w:r>
        <w:rPr/>
        <w:pict>
          <v:shape style="position:absolute;margin-left:54.987pt;margin-top:.371569pt;width:150pt;height:3.5pt;mso-position-horizontal-relative:page;mso-position-vertical-relative:paragraph;z-index:16151040" coordorigin="1100,7" coordsize="3000,70" path="m1102,75l3976,75m1100,7l1100,75m1326,7l1326,75m1553,7l1553,75m2006,7l2006,75m2459,7l2459,75m2912,7l2912,75m3365,7l3365,75m3818,7l3818,75m3138,7l3138,75m3592,7l3592,75m1779,7l1779,75m2232,7l2232,75m2685,7l2685,75m4012,77l4099,77e" filled="false" stroked="true" strokeweight=".5pt" strokecolor="#000000">
            <v:path arrowok="t"/>
            <v:stroke dashstyle="solid"/>
            <w10:wrap type="none"/>
          </v:shape>
        </w:pict>
      </w:r>
      <w:r>
        <w:rPr>
          <w:sz w:val="12"/>
        </w:rPr>
        <w:t>0</w:t>
      </w:r>
    </w:p>
    <w:p>
      <w:pPr>
        <w:tabs>
          <w:tab w:pos="970" w:val="left" w:leader="none"/>
          <w:tab w:pos="1433" w:val="left" w:leader="none"/>
          <w:tab w:pos="1885" w:val="left" w:leader="none"/>
          <w:tab w:pos="2337" w:val="left" w:leader="none"/>
          <w:tab w:pos="2790" w:val="left" w:leader="none"/>
          <w:tab w:pos="3172" w:val="left" w:leader="none"/>
        </w:tabs>
        <w:spacing w:before="17"/>
        <w:ind w:left="450" w:right="0" w:firstLine="0"/>
        <w:jc w:val="left"/>
        <w:rPr>
          <w:sz w:val="12"/>
        </w:rPr>
      </w:pPr>
      <w:r>
        <w:rPr>
          <w:sz w:val="12"/>
        </w:rPr>
        <w:t>1988</w:t>
        <w:tab/>
        <w:t>90</w:t>
        <w:tab/>
        <w:t>92</w:t>
        <w:tab/>
        <w:t>94</w:t>
        <w:tab/>
        <w:t>96</w:t>
        <w:tab/>
        <w:t>98</w:t>
        <w:tab/>
        <w:t>2000</w:t>
      </w:r>
    </w:p>
    <w:p>
      <w:pPr>
        <w:spacing w:line="208" w:lineRule="auto" w:before="88"/>
        <w:ind w:left="425" w:right="34" w:hanging="240"/>
        <w:jc w:val="left"/>
        <w:rPr>
          <w:sz w:val="12"/>
        </w:rPr>
      </w:pPr>
      <w:r>
        <w:rPr>
          <w:sz w:val="12"/>
        </w:rPr>
        <w:t>(a) The trimmed mean measure of RPIX inflation is calculated by removing the largest 15% monthly price changes in the components of the RPIX. The calculation takes account not only of the size of price changes in different items that are included in the RPIX, but also the weights of each item in the index.</w:t>
      </w:r>
    </w:p>
    <w:p>
      <w:pPr>
        <w:pStyle w:val="BodyText"/>
        <w:spacing w:line="242" w:lineRule="auto" w:before="90"/>
        <w:ind w:left="185"/>
      </w:pPr>
      <w:r>
        <w:rPr/>
        <w:br w:type="column"/>
      </w:r>
      <w:r>
        <w:rPr/>
        <w:t>Survey evidence shows continued downward pressure on retail goods prices. The CBI distributive trades survey shows a substantially higher balance of firms reporting lower average selling prices (-25 in Q3 from -6 in Q2).</w:t>
      </w:r>
    </w:p>
    <w:p>
      <w:pPr>
        <w:pStyle w:val="BodyText"/>
        <w:spacing w:line="242" w:lineRule="auto" w:before="5"/>
        <w:ind w:left="185" w:right="162"/>
      </w:pPr>
      <w:r>
        <w:rPr/>
        <w:t>In the same survey there was also an increased balance of firms expecting prices to fall further in future (-23 in Q3 from -12 in Q2).  The BRC shop price index recorded a decline of 1.1% in August on the same month a year ago. The September figure showed an annual increase of 0.4%, the first positive figure in this series since April 1999, but this fell back to a decline of 0.2% in </w:t>
      </w:r>
      <w:r>
        <w:rPr>
          <w:spacing w:val="-3"/>
        </w:rPr>
        <w:t>October. </w:t>
      </w:r>
      <w:r>
        <w:rPr/>
        <w:t>The </w:t>
      </w:r>
      <w:r>
        <w:rPr>
          <w:spacing w:val="-3"/>
        </w:rPr>
        <w:t>Bank’s </w:t>
      </w:r>
      <w:r>
        <w:rPr/>
        <w:t>regional Agents report continued significant competitive pressures on retail goods prices. Their reports on retail services prices are more</w:t>
      </w:r>
      <w:r>
        <w:rPr>
          <w:spacing w:val="-33"/>
        </w:rPr>
        <w:t> </w:t>
      </w:r>
      <w:r>
        <w:rPr/>
        <w:t>mixed.</w:t>
      </w:r>
    </w:p>
    <w:p>
      <w:pPr>
        <w:pStyle w:val="BodyText"/>
        <w:spacing w:line="242" w:lineRule="auto" w:before="13"/>
        <w:ind w:left="185" w:right="209"/>
      </w:pPr>
      <w:r>
        <w:rPr/>
        <w:t>There are some reports of rising price inflation in advertising, legal services and health insurance, but competition in the tourism sector is creating downward price pressure. Overall, the Agents suggest that retail services price inflation appears to have eased slightly in recent months.</w:t>
      </w:r>
    </w:p>
    <w:p>
      <w:pPr>
        <w:pStyle w:val="BodyText"/>
        <w:spacing w:before="8"/>
        <w:rPr>
          <w:sz w:val="21"/>
        </w:rPr>
      </w:pPr>
    </w:p>
    <w:p>
      <w:pPr>
        <w:pStyle w:val="Heading4"/>
        <w:numPr>
          <w:ilvl w:val="1"/>
          <w:numId w:val="37"/>
        </w:numPr>
        <w:tabs>
          <w:tab w:pos="3179" w:val="left" w:leader="none"/>
          <w:tab w:pos="3180" w:val="left" w:leader="none"/>
        </w:tabs>
        <w:spacing w:line="240" w:lineRule="auto" w:before="1" w:after="0"/>
        <w:ind w:left="3179" w:right="0" w:hanging="2995"/>
        <w:jc w:val="left"/>
        <w:rPr>
          <w:color w:val="009391"/>
        </w:rPr>
      </w:pPr>
      <w:r>
        <w:rPr>
          <w:color w:val="009391"/>
        </w:rPr>
        <w:t>Other price</w:t>
      </w:r>
      <w:r>
        <w:rPr>
          <w:color w:val="009391"/>
          <w:spacing w:val="-7"/>
        </w:rPr>
        <w:t> </w:t>
      </w:r>
      <w:r>
        <w:rPr>
          <w:color w:val="009391"/>
        </w:rPr>
        <w:t>indices</w:t>
      </w:r>
    </w:p>
    <w:p>
      <w:pPr>
        <w:pStyle w:val="BodyText"/>
        <w:spacing w:line="40" w:lineRule="exact"/>
        <w:ind w:left="165"/>
        <w:rPr>
          <w:sz w:val="4"/>
        </w:rPr>
      </w:pPr>
      <w:r>
        <w:rPr>
          <w:position w:val="0"/>
          <w:sz w:val="4"/>
        </w:rPr>
        <w:pict>
          <v:group style="width:275pt;height:2pt;mso-position-horizontal-relative:char;mso-position-vertical-relative:line" coordorigin="0,0" coordsize="5500,40">
            <v:line style="position:absolute" from="0,20" to="5500,20" stroked="true" strokeweight="2pt" strokecolor="#0092c7">
              <v:stroke dashstyle="solid"/>
            </v:line>
          </v:group>
        </w:pict>
      </w:r>
      <w:r>
        <w:rPr>
          <w:position w:val="0"/>
          <w:sz w:val="4"/>
        </w:rPr>
      </w:r>
    </w:p>
    <w:p>
      <w:pPr>
        <w:pStyle w:val="BodyText"/>
        <w:spacing w:line="242" w:lineRule="auto" w:before="223"/>
        <w:ind w:left="185" w:right="209"/>
      </w:pPr>
      <w:r>
        <w:rPr/>
        <w:t>It is sometimes helpful to look at an index of ‘core inflation’ that excludes volatile items and extreme upward or downward movements in individual components. One such measure is the trimmed mean (see Chart 4.10), which excludes the highest and lowest 15% of weighted price changes in RPIX.</w:t>
      </w:r>
      <w:r>
        <w:rPr>
          <w:position w:val="5"/>
          <w:sz w:val="16"/>
        </w:rPr>
        <w:t>(1) </w:t>
      </w:r>
      <w:r>
        <w:rPr/>
        <w:t>In</w:t>
      </w:r>
    </w:p>
    <w:p>
      <w:pPr>
        <w:pStyle w:val="BodyText"/>
        <w:spacing w:before="6"/>
        <w:rPr>
          <w:sz w:val="19"/>
        </w:rPr>
      </w:pPr>
      <w:r>
        <w:rPr/>
        <w:pict>
          <v:shape style="position:absolute;margin-left:281.279999pt;margin-top:13.309101pt;width:273.75pt;height:.1pt;mso-position-horizontal-relative:page;mso-position-vertical-relative:paragraph;z-index:-15314432;mso-wrap-distance-left:0;mso-wrap-distance-right:0" coordorigin="5626,266" coordsize="5475,0" path="m5626,266l11100,266e" filled="false" stroked="true" strokeweight=".125pt" strokecolor="#000000">
            <v:path arrowok="t"/>
            <v:stroke dashstyle="solid"/>
            <w10:wrap type="topAndBottom"/>
          </v:shape>
        </w:pict>
      </w:r>
    </w:p>
    <w:p>
      <w:pPr>
        <w:pStyle w:val="ListParagraph"/>
        <w:numPr>
          <w:ilvl w:val="0"/>
          <w:numId w:val="41"/>
        </w:numPr>
        <w:tabs>
          <w:tab w:pos="432" w:val="left" w:leader="none"/>
        </w:tabs>
        <w:spacing w:line="208" w:lineRule="auto" w:before="0" w:after="0"/>
        <w:ind w:left="431" w:right="799" w:hanging="240"/>
        <w:jc w:val="left"/>
        <w:rPr>
          <w:sz w:val="16"/>
        </w:rPr>
      </w:pPr>
      <w:r>
        <w:rPr>
          <w:sz w:val="16"/>
        </w:rPr>
        <w:t>Please note that there was an error in Chart 4.12 of the August 2000 </w:t>
      </w:r>
      <w:r>
        <w:rPr>
          <w:i/>
          <w:sz w:val="16"/>
        </w:rPr>
        <w:t>Inflation</w:t>
      </w:r>
      <w:r>
        <w:rPr>
          <w:i/>
          <w:spacing w:val="-6"/>
          <w:sz w:val="16"/>
        </w:rPr>
        <w:t> </w:t>
      </w:r>
      <w:r>
        <w:rPr>
          <w:i/>
          <w:sz w:val="16"/>
        </w:rPr>
        <w:t>Report</w:t>
      </w:r>
      <w:r>
        <w:rPr>
          <w:i/>
          <w:spacing w:val="-5"/>
          <w:sz w:val="16"/>
        </w:rPr>
        <w:t> </w:t>
      </w:r>
      <w:r>
        <w:rPr>
          <w:sz w:val="16"/>
        </w:rPr>
        <w:t>relating</w:t>
      </w:r>
      <w:r>
        <w:rPr>
          <w:spacing w:val="-5"/>
          <w:sz w:val="16"/>
        </w:rPr>
        <w:t> </w:t>
      </w:r>
      <w:r>
        <w:rPr>
          <w:sz w:val="16"/>
        </w:rPr>
        <w:t>to</w:t>
      </w:r>
      <w:r>
        <w:rPr>
          <w:spacing w:val="-6"/>
          <w:sz w:val="16"/>
        </w:rPr>
        <w:t> </w:t>
      </w:r>
      <w:r>
        <w:rPr>
          <w:sz w:val="16"/>
        </w:rPr>
        <w:t>estimates</w:t>
      </w:r>
      <w:r>
        <w:rPr>
          <w:spacing w:val="-5"/>
          <w:sz w:val="16"/>
        </w:rPr>
        <w:t> </w:t>
      </w:r>
      <w:r>
        <w:rPr>
          <w:sz w:val="16"/>
        </w:rPr>
        <w:t>of</w:t>
      </w:r>
      <w:r>
        <w:rPr>
          <w:spacing w:val="-6"/>
          <w:sz w:val="16"/>
        </w:rPr>
        <w:t> </w:t>
      </w:r>
      <w:r>
        <w:rPr>
          <w:sz w:val="16"/>
        </w:rPr>
        <w:t>the</w:t>
      </w:r>
      <w:r>
        <w:rPr>
          <w:spacing w:val="-5"/>
          <w:sz w:val="16"/>
        </w:rPr>
        <w:t> </w:t>
      </w:r>
      <w:r>
        <w:rPr>
          <w:sz w:val="16"/>
        </w:rPr>
        <w:t>trimmed</w:t>
      </w:r>
      <w:r>
        <w:rPr>
          <w:spacing w:val="-6"/>
          <w:sz w:val="16"/>
        </w:rPr>
        <w:t> </w:t>
      </w:r>
      <w:r>
        <w:rPr>
          <w:sz w:val="16"/>
        </w:rPr>
        <w:t>mean</w:t>
      </w:r>
      <w:r>
        <w:rPr>
          <w:spacing w:val="-6"/>
          <w:sz w:val="16"/>
        </w:rPr>
        <w:t> </w:t>
      </w:r>
      <w:r>
        <w:rPr>
          <w:sz w:val="16"/>
        </w:rPr>
        <w:t>inflation</w:t>
      </w:r>
      <w:r>
        <w:rPr>
          <w:spacing w:val="-5"/>
          <w:sz w:val="16"/>
        </w:rPr>
        <w:t> </w:t>
      </w:r>
      <w:r>
        <w:rPr>
          <w:sz w:val="16"/>
        </w:rPr>
        <w:t>rate for the months in 2000. The correct values do not pick up sharply in 2000, as erroneously indicated in</w:t>
      </w:r>
      <w:r>
        <w:rPr>
          <w:spacing w:val="-15"/>
          <w:sz w:val="16"/>
        </w:rPr>
        <w:t> </w:t>
      </w:r>
      <w:r>
        <w:rPr>
          <w:sz w:val="16"/>
        </w:rPr>
        <w:t>August.</w:t>
      </w:r>
    </w:p>
    <w:p>
      <w:pPr>
        <w:spacing w:after="0" w:line="208" w:lineRule="auto"/>
        <w:jc w:val="left"/>
        <w:rPr>
          <w:sz w:val="16"/>
        </w:rPr>
        <w:sectPr>
          <w:type w:val="continuous"/>
          <w:pgSz w:w="11900" w:h="16840"/>
          <w:pgMar w:top="1260" w:bottom="280" w:left="640" w:right="640"/>
          <w:cols w:num="2" w:equalWidth="0">
            <w:col w:w="3942" w:space="852"/>
            <w:col w:w="5826"/>
          </w:cols>
        </w:sectPr>
      </w:pPr>
    </w:p>
    <w:p>
      <w:pPr>
        <w:pStyle w:val="BodyText"/>
        <w:rPr>
          <w:sz w:val="20"/>
        </w:rPr>
      </w:pPr>
    </w:p>
    <w:p>
      <w:pPr>
        <w:spacing w:after="0"/>
        <w:rPr>
          <w:sz w:val="20"/>
        </w:rPr>
        <w:sectPr>
          <w:pgSz w:w="11900" w:h="16840"/>
          <w:pgMar w:header="586" w:footer="612" w:top="800" w:bottom="800" w:left="640" w:right="640"/>
        </w:sectPr>
      </w:pPr>
    </w:p>
    <w:p>
      <w:pPr>
        <w:pStyle w:val="BodyText"/>
        <w:spacing w:before="3"/>
        <w:rPr>
          <w:sz w:val="21"/>
        </w:rPr>
      </w:pPr>
    </w:p>
    <w:p>
      <w:pPr>
        <w:spacing w:before="0"/>
        <w:ind w:left="169" w:right="0" w:firstLine="0"/>
        <w:jc w:val="left"/>
        <w:rPr>
          <w:b/>
          <w:sz w:val="20"/>
        </w:rPr>
      </w:pPr>
      <w:r>
        <w:rPr>
          <w:b/>
          <w:color w:val="0092C7"/>
          <w:sz w:val="20"/>
        </w:rPr>
        <w:t>Chart 4.11</w:t>
      </w:r>
    </w:p>
    <w:p>
      <w:pPr>
        <w:spacing w:before="10"/>
        <w:ind w:left="169" w:right="0" w:firstLine="0"/>
        <w:jc w:val="left"/>
        <w:rPr>
          <w:b/>
          <w:sz w:val="20"/>
        </w:rPr>
      </w:pPr>
      <w:r>
        <w:rPr>
          <w:b/>
          <w:color w:val="0092C7"/>
          <w:sz w:val="20"/>
        </w:rPr>
        <w:t>Tax and price index</w:t>
      </w:r>
    </w:p>
    <w:p>
      <w:pPr>
        <w:spacing w:before="72"/>
        <w:ind w:left="1635" w:right="0" w:firstLine="0"/>
        <w:jc w:val="left"/>
        <w:rPr>
          <w:sz w:val="12"/>
        </w:rPr>
      </w:pPr>
      <w:r>
        <w:rPr/>
        <w:pict>
          <v:line style="position:absolute;mso-position-horizontal-relative:page;mso-position-vertical-relative:paragraph;z-index:16158720" from="41.823002pt,12.273262pt" to="46.156002pt,12.273262pt" stroked="true" strokeweight=".5pt" strokecolor="#000000">
            <v:stroke dashstyle="solid"/>
            <w10:wrap type="none"/>
          </v:line>
        </w:pict>
      </w:r>
      <w:r>
        <w:rPr/>
        <w:pict>
          <v:line style="position:absolute;mso-position-horizontal-relative:page;mso-position-vertical-relative:paragraph;z-index:-22492160" from="196.912994pt,12.121262pt" to="201.244994pt,12.121262pt" stroked="true" strokeweight=".5pt" strokecolor="#000000">
            <v:stroke dashstyle="solid"/>
            <w10:wrap type="none"/>
          </v:line>
        </w:pict>
      </w:r>
      <w:r>
        <w:rPr>
          <w:sz w:val="12"/>
        </w:rPr>
        <w:t>Percentage changes on a year earlier </w:t>
      </w:r>
      <w:r>
        <w:rPr>
          <w:position w:val="-7"/>
          <w:sz w:val="12"/>
        </w:rPr>
        <w:t>8</w:t>
      </w:r>
    </w:p>
    <w:p>
      <w:pPr>
        <w:pStyle w:val="BodyText"/>
        <w:spacing w:before="3"/>
        <w:rPr>
          <w:sz w:val="19"/>
        </w:rPr>
      </w:pPr>
    </w:p>
    <w:p>
      <w:pPr>
        <w:spacing w:before="0"/>
        <w:ind w:left="3425" w:right="0" w:firstLine="0"/>
        <w:jc w:val="left"/>
        <w:rPr>
          <w:sz w:val="12"/>
        </w:rPr>
      </w:pPr>
      <w:r>
        <w:rPr/>
        <w:pict>
          <v:line style="position:absolute;mso-position-horizontal-relative:page;mso-position-vertical-relative:paragraph;z-index:16157184" from="41.823002pt,4.466169pt" to="46.156002pt,4.466169pt" stroked="true" strokeweight=".5pt" strokecolor="#000000">
            <v:stroke dashstyle="solid"/>
            <w10:wrap type="none"/>
          </v:line>
        </w:pict>
      </w:r>
      <w:r>
        <w:rPr/>
        <w:pict>
          <v:line style="position:absolute;mso-position-horizontal-relative:page;mso-position-vertical-relative:paragraph;z-index:16159232" from="196.912994pt,4.314169pt" to="201.244994pt,4.314169pt" stroked="true" strokeweight=".5pt" strokecolor="#000000">
            <v:stroke dashstyle="solid"/>
            <w10:wrap type="none"/>
          </v:line>
        </w:pict>
      </w:r>
      <w:r>
        <w:rPr>
          <w:sz w:val="12"/>
        </w:rPr>
        <w:t>7</w:t>
      </w:r>
    </w:p>
    <w:p>
      <w:pPr>
        <w:pStyle w:val="BodyText"/>
        <w:rPr>
          <w:sz w:val="12"/>
        </w:rPr>
      </w:pPr>
    </w:p>
    <w:p>
      <w:pPr>
        <w:spacing w:before="79"/>
        <w:ind w:left="3425" w:right="0" w:firstLine="0"/>
        <w:jc w:val="left"/>
        <w:rPr>
          <w:sz w:val="12"/>
        </w:rPr>
      </w:pPr>
      <w:r>
        <w:rPr/>
        <w:pict>
          <v:line style="position:absolute;mso-position-horizontal-relative:page;mso-position-vertical-relative:paragraph;z-index:16157696" from="41.823002pt,8.416352pt" to="46.156002pt,8.416352pt" stroked="true" strokeweight=".5pt" strokecolor="#000000">
            <v:stroke dashstyle="solid"/>
            <w10:wrap type="none"/>
          </v:line>
        </w:pict>
      </w:r>
      <w:r>
        <w:rPr/>
        <w:pict>
          <v:line style="position:absolute;mso-position-horizontal-relative:page;mso-position-vertical-relative:paragraph;z-index:16159744" from="196.912994pt,8.264353pt" to="201.244994pt,8.264353pt" stroked="true" strokeweight=".5pt" strokecolor="#000000">
            <v:stroke dashstyle="solid"/>
            <w10:wrap type="none"/>
          </v:line>
        </w:pict>
      </w:r>
      <w:r>
        <w:rPr>
          <w:sz w:val="12"/>
        </w:rPr>
        <w:t>6</w:t>
      </w:r>
    </w:p>
    <w:p>
      <w:pPr>
        <w:pStyle w:val="BodyText"/>
        <w:rPr>
          <w:sz w:val="12"/>
        </w:rPr>
      </w:pPr>
    </w:p>
    <w:p>
      <w:pPr>
        <w:spacing w:before="79"/>
        <w:ind w:left="3425" w:right="0" w:firstLine="0"/>
        <w:jc w:val="left"/>
        <w:rPr>
          <w:sz w:val="12"/>
        </w:rPr>
      </w:pPr>
      <w:r>
        <w:rPr/>
        <w:pict>
          <v:line style="position:absolute;mso-position-horizontal-relative:page;mso-position-vertical-relative:paragraph;z-index:16158208" from="41.823002pt,8.416535pt" to="46.156002pt,8.416535pt" stroked="true" strokeweight=".5pt" strokecolor="#000000">
            <v:stroke dashstyle="solid"/>
            <w10:wrap type="none"/>
          </v:line>
        </w:pict>
      </w:r>
      <w:r>
        <w:rPr/>
        <w:pict>
          <v:line style="position:absolute;mso-position-horizontal-relative:page;mso-position-vertical-relative:paragraph;z-index:16160256" from="196.912994pt,8.264536pt" to="201.244994pt,8.264536pt" stroked="true" strokeweight=".5pt" strokecolor="#000000">
            <v:stroke dashstyle="solid"/>
            <w10:wrap type="none"/>
          </v:line>
        </w:pict>
      </w:r>
      <w:r>
        <w:rPr>
          <w:sz w:val="12"/>
        </w:rPr>
        <w:t>5</w:t>
      </w:r>
    </w:p>
    <w:p>
      <w:pPr>
        <w:spacing w:before="44"/>
        <w:ind w:left="797" w:right="0" w:firstLine="0"/>
        <w:jc w:val="left"/>
        <w:rPr>
          <w:sz w:val="12"/>
        </w:rPr>
      </w:pPr>
      <w:r>
        <w:rPr/>
        <w:pict>
          <v:group style="position:absolute;margin-left:41.823002pt;margin-top:8.541902pt;width:159.450pt;height:77.850pt;mso-position-horizontal-relative:page;mso-position-vertical-relative:paragraph;z-index:16156672" coordorigin="836,171" coordsize="3189,1557">
            <v:shape style="position:absolute;left:962;top:180;width:223;height:280" coordorigin="963,181" coordsize="223,280" path="m963,246l993,263m993,263l1023,296m1023,296l1043,198m1043,198l1073,181m1073,181l1105,343m1105,343l1135,393m1135,393l1165,458m1165,458l1185,461e" filled="false" stroked="true" strokeweight="1pt" strokecolor="#006caa">
              <v:path arrowok="t"/>
              <v:stroke dashstyle="solid"/>
            </v:shape>
            <v:line style="position:absolute" from="1175,460" to="1225,460" stroked="true" strokeweight="1.125pt" strokecolor="#006caa">
              <v:stroke dashstyle="solid"/>
            </v:line>
            <v:shape style="position:absolute;left:1215;top:458;width:60;height:358" coordorigin="1215,458" coordsize="60,358" path="m1215,458l1245,653m1245,653l1275,816e" filled="false" stroked="true" strokeweight="1pt" strokecolor="#006caa">
              <v:path arrowok="t"/>
              <v:stroke dashstyle="solid"/>
            </v:shape>
            <v:line style="position:absolute" from="1285,806" to="1285,1133" stroked="true" strokeweight="2pt" strokecolor="#006caa">
              <v:stroke dashstyle="solid"/>
            </v:line>
            <v:shape style="position:absolute;left:1295;top:1040;width:90;height:228" coordorigin="1295,1041" coordsize="90,228" path="m1295,1123l1325,1073m1325,1073l1355,1041m1355,1041l1385,1268e" filled="false" stroked="true" strokeweight="1pt" strokecolor="#006caa">
              <v:path arrowok="t"/>
              <v:stroke dashstyle="solid"/>
            </v:shape>
            <v:line style="position:absolute" from="1375,1270" to="1425,1270" stroked="true" strokeweight="1.125pt" strokecolor="#006caa">
              <v:stroke dashstyle="solid"/>
            </v:line>
            <v:shape style="position:absolute;left:1415;top:815;width:303;height:470" coordorigin="1415,816" coordsize="303,470" path="m1415,1268l1435,1286m1435,1286l1465,1236m1465,1236l1495,1106m1495,1106l1525,1091m1525,1091l1555,1236m1555,1236l1575,1238m1575,1236l1605,1041m1605,1041l1635,848m1635,848l1668,881m1668,881l1698,913m1698,913l1718,816e" filled="false" stroked="true" strokeweight="1pt" strokecolor="#006caa">
              <v:path arrowok="t"/>
              <v:stroke dashstyle="solid"/>
            </v:shape>
            <v:line style="position:absolute" from="1708,817" to="1758,817" stroked="true" strokeweight="1.125pt" strokecolor="#006caa">
              <v:stroke dashstyle="solid"/>
            </v:line>
            <v:shape style="position:absolute;left:1747;top:473;width:360;height:470" coordorigin="1748,473" coordsize="360,470" path="m1748,816l1778,798m1778,798l1808,896m1808,896l1828,863m1828,863l1858,943m1858,943l1888,881m1888,881l1918,798m1918,798l1948,701m1948,701l1968,538m1968,538l1998,523m1998,523l2028,473m2028,473l2058,538m2058,538l2088,523m2088,523l2108,473e" filled="false" stroked="true" strokeweight="1pt" strokecolor="#006caa">
              <v:path arrowok="t"/>
              <v:stroke dashstyle="solid"/>
            </v:shape>
            <v:line style="position:absolute" from="2098,475" to="2148,475" stroked="true" strokeweight="1.125pt" strokecolor="#006caa">
              <v:stroke dashstyle="solid"/>
            </v:line>
            <v:shape style="position:absolute;left:2137;top:360;width:63;height:113" coordorigin="2138,361" coordsize="63,113" path="m2138,473l2168,441m2168,441l2200,361e" filled="false" stroked="true" strokeweight="1pt" strokecolor="#006caa">
              <v:path arrowok="t"/>
              <v:stroke dashstyle="solid"/>
            </v:shape>
            <v:line style="position:absolute" from="2210,351" to="2210,613" stroked="true" strokeweight="2pt" strokecolor="#006caa">
              <v:stroke dashstyle="solid"/>
            </v:line>
            <v:shape style="position:absolute;left:2220;top:408;width:673;height:568" coordorigin="2220,408" coordsize="673,568" path="m2220,603l2250,621m2250,621l2280,588m2280,588l2310,701m2310,701l2340,751m2340,751l2360,766m2360,766l2390,863m2390,863l2420,943m2420,943l2450,961m2450,961l2480,943m2480,943l2500,961m2500,961l2530,976m2530,976l2560,783m2560,783l2590,751m2590,751l2620,848m2620,848l2640,733m2640,733l2670,766m2670,766l2700,816m2700,816l2733,863m2733,863l2753,798m2753,798l2783,686m2783,686l2813,538m2813,538l2843,473m2843,473l2873,458m2873,458l2893,408e" filled="false" stroked="true" strokeweight="1pt" strokecolor="#006caa">
              <v:path arrowok="t"/>
              <v:stroke dashstyle="solid"/>
            </v:shape>
            <v:line style="position:absolute" from="2883,410" to="2933,410" stroked="true" strokeweight="1.125pt" strokecolor="#006caa">
              <v:stroke dashstyle="solid"/>
            </v:line>
            <v:shape style="position:absolute;left:2922;top:230;width:593;height:1103" coordorigin="2923,231" coordsize="593,1103" path="m2923,408l2953,441m2953,441l2983,556m2983,556l3013,506m3013,506l3033,491m3033,491l3063,296m3063,296l3093,231m3093,231l3123,393m3123,393l3173,556m3173,556l3203,588m3203,588l3233,603m3233,603l3263,653m3263,653l3285,751m3285,751l3345,976m3345,976l3375,993m3375,993l3405,1156m3405,1156l3425,1268m3425,1268l3455,1253m3455,1253l3485,1268m3485,1268l3515,1333e" filled="false" stroked="true" strokeweight="1pt" strokecolor="#006caa">
              <v:path arrowok="t"/>
              <v:stroke dashstyle="solid"/>
            </v:shape>
            <v:line style="position:absolute" from="3505,1335" to="3555,1335" stroked="true" strokeweight="1.125pt" strokecolor="#006caa">
              <v:stroke dashstyle="solid"/>
            </v:line>
            <v:shape style="position:absolute;left:3545;top:538;width:333;height:795" coordorigin="3545,538" coordsize="333,795" path="m3545,1333l3565,1286m3565,1286l3595,1221m3595,1221l3625,1091m3625,1091l3655,1026m3655,1026l3675,896m3675,896l3705,798m3705,798l3735,668m3735,668l3765,636m3765,636l3795,538m3795,538l3818,556m3818,556l3848,653m3848,653l3878,556e" filled="false" stroked="true" strokeweight="1pt" strokecolor="#006caa">
              <v:path arrowok="t"/>
              <v:stroke dashstyle="solid"/>
            </v:shape>
            <v:shape style="position:absolute;left:962;top:425;width:223;height:405" coordorigin="963,426" coordsize="223,405" path="m963,426l993,441m993,441l1023,473m1023,473l1043,538m1043,538l1073,473m1073,473l1105,686m1105,686l1135,766m1135,766l1165,831m1165,831l1185,798e" filled="false" stroked="true" strokeweight="1pt" strokecolor="#9ed01a">
              <v:path arrowok="t"/>
              <v:stroke dashstyle="solid"/>
            </v:shape>
            <v:line style="position:absolute" from="1175,800" to="1225,800" stroked="true" strokeweight="1.125pt" strokecolor="#9ed01a">
              <v:stroke dashstyle="solid"/>
            </v:line>
            <v:shape style="position:absolute;left:1215;top:798;width:60;height:405" coordorigin="1215,798" coordsize="60,405" path="m1215,798l1245,1026m1245,1026l1275,1203e" filled="false" stroked="true" strokeweight="1pt" strokecolor="#9ed01a">
              <v:path arrowok="t"/>
              <v:stroke dashstyle="solid"/>
            </v:shape>
            <v:line style="position:absolute" from="1285,1193" to="1285,1571" stroked="true" strokeweight="2pt" strokecolor="#9ed01a">
              <v:stroke dashstyle="solid"/>
            </v:line>
            <v:shape style="position:absolute;left:1295;top:1073;width:200;height:488" coordorigin="1295,1073" coordsize="200,488" path="m1295,1561l1325,1496m1325,1496l1355,1481m1355,1481l1385,1253m1385,1253l1415,1286m1415,1286l1435,1318m1435,1318l1465,1236m1465,1236l1495,1073e" filled="false" stroked="true" strokeweight="1pt" strokecolor="#9ed01a">
              <v:path arrowok="t"/>
              <v:stroke dashstyle="solid"/>
            </v:shape>
            <v:line style="position:absolute" from="1485,1075" to="1535,1075" stroked="true" strokeweight="1.125pt" strokecolor="#9ed01a">
              <v:stroke dashstyle="solid"/>
            </v:line>
            <v:shape style="position:absolute;left:1525;top:783;width:173;height:455" coordorigin="1525,783" coordsize="173,455" path="m1525,1073l1555,1236m1555,1236l1575,1238m1575,1236l1605,1008m1605,1008l1635,783m1635,783l1668,816m1668,816l1698,848e" filled="false" stroked="true" strokeweight="1pt" strokecolor="#9ed01a">
              <v:path arrowok="t"/>
              <v:stroke dashstyle="solid"/>
            </v:shape>
            <v:line style="position:absolute" from="1708,626" to="1708,858" stroked="true" strokeweight="2pt" strokecolor="#9ed01a">
              <v:stroke dashstyle="solid"/>
            </v:line>
            <v:shape style="position:absolute;left:1717;top:180;width:483;height:635" coordorigin="1718,181" coordsize="483,635" path="m1718,636l1748,653m1748,653l1778,621m1778,621l1808,718m1808,718l1828,733m1828,733l1858,816m1858,816l1888,701m1888,701l1918,621m1918,621l1948,523m1948,523l1968,361m1968,361l1998,311m1998,311l2028,278m2028,278l2058,408m2058,408l2088,361m2088,361l2108,311m2108,311l2138,328m2138,328l2168,278m2168,278l2200,181e" filled="false" stroked="true" strokeweight="1pt" strokecolor="#9ed01a">
              <v:path arrowok="t"/>
              <v:stroke dashstyle="solid"/>
            </v:shape>
            <v:line style="position:absolute" from="2210,171" to="2210,483" stroked="true" strokeweight="2pt" strokecolor="#9ed01a">
              <v:stroke dashstyle="solid"/>
            </v:line>
            <v:shape style="position:absolute;left:2220;top:458;width:673;height:1038" coordorigin="2220,458" coordsize="673,1038" path="m2220,473l2250,506m2250,506l2280,458m2280,458l2310,588m2310,588l2340,668m2340,668l2360,653m2360,653l2390,1366m2390,1366l2420,1463m2420,1463l2450,1496m2450,1496l2480,1448m2480,1448l2500,1496m2500,1496l2530,1481m2530,1481l2560,1268m2560,1268l2590,1253m2590,1253l2620,1351m2620,1351l2640,1221m2640,1221l2670,1253m2670,1253l2700,1333m2700,1333l2753,1123m2753,1123l2783,993m2783,993l2813,848m2813,848l2843,783m2843,783l2873,751m2873,751l2893,701e" filled="false" stroked="true" strokeweight="1pt" strokecolor="#9ed01a">
              <v:path arrowok="t"/>
              <v:stroke dashstyle="solid"/>
            </v:shape>
            <v:line style="position:absolute" from="2883,702" to="2933,702" stroked="true" strokeweight="1.125pt" strokecolor="#9ed01a">
              <v:stroke dashstyle="solid"/>
            </v:line>
            <v:shape style="position:absolute;left:2922;top:198;width:453;height:860" coordorigin="2923,198" coordsize="453,860" path="m2923,701l2953,733m2953,733l2983,863m2983,863l3013,816m3013,816l3033,798m3033,798l3063,263m3063,263l3093,198m3093,198l3123,376m3123,376l3153,473m3153,473l3173,556m3173,556l3203,621m3203,621l3233,636m3233,636l3263,686m3263,686l3285,783m3285,783l3315,896m3315,896l3345,1026m3345,1026l3375,1058e" filled="false" stroked="true" strokeweight="1pt" strokecolor="#9ed01a">
              <v:path arrowok="t"/>
              <v:stroke dashstyle="solid"/>
            </v:shape>
            <v:line style="position:absolute" from="3390,1048" to="3390,1376" stroked="true" strokeweight="2.5pt" strokecolor="#9ed01a">
              <v:stroke dashstyle="solid"/>
            </v:line>
            <v:shape style="position:absolute;left:3405;top:555;width:473;height:1005" coordorigin="3405,556" coordsize="473,1005" path="m3405,1366l3425,1463m3425,1463l3455,1448m3455,1448l3485,1481m3485,1481l3515,1561m3515,1561l3545,1528m3545,1528l3565,1496m3565,1496l3595,1416m3595,1416l3625,1286m3625,1286l3655,1203m3655,1203l3675,1041m3675,1041l3705,928m3705,928l3735,668m3735,668l3765,653m3765,653l3795,556m3795,556l3818,558m3818,556l3848,653m3848,653l3878,556e" filled="false" stroked="true" strokeweight="1pt" strokecolor="#9ed01a">
              <v:path arrowok="t"/>
              <v:stroke dashstyle="solid"/>
            </v:shape>
            <v:shape style="position:absolute;left:836;top:302;width:3189;height:1420" coordorigin="836,303" coordsize="3189,1420" path="m836,306l923,306m836,661l923,661m836,1371l923,1371m836,1016l923,1016m3938,303l4025,303m3938,658l4025,658m3938,1368l4025,1368m3938,1013l4025,1013m836,1723l923,1723m3938,1723l4025,1723m967,1723l3885,1723m969,1607l969,1723m1052,1676l1052,1723m1136,1676l1136,1723m1220,1676l1220,1723m1304,1607l1304,1723m1388,1676l1388,1723m1472,1676l1472,1723m1556,1676l1556,1723m1639,1607l1639,1723m1723,1676l1723,1723m1807,1676l1807,1723m1891,1676l1891,1723m1975,1607l1975,1723m2059,1676l2059,1723m2143,1676l2143,1723m2227,1676l2227,1723m2310,1607l2310,1723m2394,1676l2394,1723m2478,1676l2478,1723m2562,1676l2562,1723m2646,1607l2646,1723m2730,1676l2730,1723m2814,1676l2814,1723m2897,1676l2897,1723m2981,1607l2981,1723m3065,1676l3065,1723m3149,1676l3149,1723m3233,1676l3233,1723m3317,1607l3317,1723m3401,1676l3401,1723m3485,1676l3485,1723m3568,1676l3568,1723m3652,1607l3652,1723m3736,1676l3736,1723m3820,1676l3820,1723e" filled="false" stroked="true" strokeweight=".5pt" strokecolor="#000000">
              <v:path arrowok="t"/>
              <v:stroke dashstyle="solid"/>
            </v:shape>
            <v:shape style="position:absolute;left:2669;top:324;width:207;height:133" type="#_x0000_t202" filled="false" stroked="false">
              <v:textbox inset="0,0,0,0">
                <w:txbxContent>
                  <w:p>
                    <w:pPr>
                      <w:spacing w:line="133" w:lineRule="exact" w:before="0"/>
                      <w:ind w:left="0" w:right="0" w:firstLine="0"/>
                      <w:jc w:val="left"/>
                      <w:rPr>
                        <w:sz w:val="12"/>
                      </w:rPr>
                    </w:pPr>
                    <w:r>
                      <w:rPr>
                        <w:sz w:val="12"/>
                      </w:rPr>
                      <w:t>RPI</w:t>
                    </w:r>
                  </w:p>
                </w:txbxContent>
              </v:textbox>
              <w10:wrap type="none"/>
            </v:shape>
            <w10:wrap type="none"/>
          </v:group>
        </w:pict>
      </w:r>
      <w:r>
        <w:rPr>
          <w:sz w:val="12"/>
        </w:rPr>
        <w:t>Tax and price index</w:t>
      </w:r>
    </w:p>
    <w:p>
      <w:pPr>
        <w:spacing w:before="35"/>
        <w:ind w:left="3425" w:right="0" w:firstLine="0"/>
        <w:jc w:val="left"/>
        <w:rPr>
          <w:sz w:val="12"/>
        </w:rPr>
      </w:pPr>
      <w:r>
        <w:rPr>
          <w:sz w:val="12"/>
        </w:rPr>
        <w:t>4</w:t>
      </w:r>
    </w:p>
    <w:p>
      <w:pPr>
        <w:pStyle w:val="BodyText"/>
        <w:rPr>
          <w:sz w:val="12"/>
        </w:rPr>
      </w:pPr>
    </w:p>
    <w:p>
      <w:pPr>
        <w:spacing w:before="79"/>
        <w:ind w:left="3425" w:right="0" w:firstLine="0"/>
        <w:jc w:val="left"/>
        <w:rPr>
          <w:sz w:val="12"/>
        </w:rPr>
      </w:pPr>
      <w:r>
        <w:rPr>
          <w:sz w:val="12"/>
        </w:rPr>
        <w:t>3</w:t>
      </w:r>
    </w:p>
    <w:p>
      <w:pPr>
        <w:pStyle w:val="BodyText"/>
        <w:rPr>
          <w:sz w:val="12"/>
        </w:rPr>
      </w:pPr>
    </w:p>
    <w:p>
      <w:pPr>
        <w:spacing w:before="79"/>
        <w:ind w:left="3425" w:right="0" w:firstLine="0"/>
        <w:jc w:val="left"/>
        <w:rPr>
          <w:sz w:val="12"/>
        </w:rPr>
      </w:pPr>
      <w:r>
        <w:rPr>
          <w:sz w:val="12"/>
        </w:rPr>
        <w:t>2</w:t>
      </w:r>
    </w:p>
    <w:p>
      <w:pPr>
        <w:pStyle w:val="BodyText"/>
        <w:rPr>
          <w:sz w:val="12"/>
        </w:rPr>
      </w:pPr>
    </w:p>
    <w:p>
      <w:pPr>
        <w:spacing w:before="79"/>
        <w:ind w:left="3425" w:right="0" w:firstLine="0"/>
        <w:jc w:val="left"/>
        <w:rPr>
          <w:sz w:val="12"/>
        </w:rPr>
      </w:pPr>
      <w:r>
        <w:rPr>
          <w:sz w:val="12"/>
        </w:rPr>
        <w:t>1</w:t>
      </w:r>
    </w:p>
    <w:p>
      <w:pPr>
        <w:pStyle w:val="BodyText"/>
        <w:rPr>
          <w:sz w:val="12"/>
        </w:rPr>
      </w:pPr>
    </w:p>
    <w:p>
      <w:pPr>
        <w:spacing w:line="123" w:lineRule="exact" w:before="79"/>
        <w:ind w:left="3425" w:right="0" w:firstLine="0"/>
        <w:jc w:val="left"/>
        <w:rPr>
          <w:sz w:val="12"/>
        </w:rPr>
      </w:pPr>
      <w:r>
        <w:rPr>
          <w:sz w:val="12"/>
        </w:rPr>
        <w:t>0</w:t>
      </w:r>
    </w:p>
    <w:p>
      <w:pPr>
        <w:tabs>
          <w:tab w:pos="1110" w:val="left" w:leader="none"/>
          <w:tab w:pos="1442" w:val="left" w:leader="none"/>
          <w:tab w:pos="1785" w:val="left" w:leader="none"/>
          <w:tab w:pos="2115" w:val="left" w:leader="none"/>
          <w:tab w:pos="2457" w:val="left" w:leader="none"/>
          <w:tab w:pos="2787" w:val="left" w:leader="none"/>
        </w:tabs>
        <w:spacing w:line="123" w:lineRule="exact" w:before="0"/>
        <w:ind w:left="378" w:right="0" w:firstLine="0"/>
        <w:jc w:val="left"/>
        <w:rPr>
          <w:sz w:val="12"/>
        </w:rPr>
      </w:pPr>
      <w:r>
        <w:rPr>
          <w:sz w:val="12"/>
        </w:rPr>
        <w:t>1992    </w:t>
      </w:r>
      <w:r>
        <w:rPr>
          <w:spacing w:val="1"/>
          <w:sz w:val="12"/>
        </w:rPr>
        <w:t> </w:t>
      </w:r>
      <w:r>
        <w:rPr>
          <w:sz w:val="12"/>
        </w:rPr>
        <w:t>93</w:t>
        <w:tab/>
        <w:t>94</w:t>
        <w:tab/>
        <w:t>95</w:t>
        <w:tab/>
        <w:t>96</w:t>
        <w:tab/>
        <w:t>97</w:t>
        <w:tab/>
        <w:t>98</w:t>
        <w:tab/>
        <w:t>99</w:t>
      </w:r>
      <w:r>
        <w:rPr>
          <w:spacing w:val="2"/>
          <w:sz w:val="12"/>
        </w:rPr>
        <w:t> </w:t>
      </w:r>
      <w:r>
        <w:rPr>
          <w:sz w:val="12"/>
        </w:rPr>
        <w:t>2000</w:t>
      </w:r>
    </w:p>
    <w:p>
      <w:pPr>
        <w:pStyle w:val="BodyText"/>
        <w:spacing w:before="10"/>
        <w:rPr>
          <w:sz w:val="9"/>
        </w:rPr>
      </w:pPr>
    </w:p>
    <w:p>
      <w:pPr>
        <w:spacing w:before="0"/>
        <w:ind w:left="170" w:right="0" w:firstLine="0"/>
        <w:jc w:val="left"/>
        <w:rPr>
          <w:sz w:val="12"/>
        </w:rPr>
      </w:pPr>
      <w:r>
        <w:rPr>
          <w:sz w:val="12"/>
        </w:rPr>
        <w:t>Source: ONS.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1"/>
        </w:rPr>
      </w:pPr>
    </w:p>
    <w:p>
      <w:pPr>
        <w:spacing w:line="249" w:lineRule="auto" w:before="0"/>
        <w:ind w:left="179" w:right="2449" w:firstLine="0"/>
        <w:jc w:val="left"/>
        <w:rPr>
          <w:b/>
          <w:sz w:val="20"/>
        </w:rPr>
      </w:pPr>
      <w:r>
        <w:rPr>
          <w:b/>
          <w:color w:val="0092C7"/>
          <w:sz w:val="20"/>
        </w:rPr>
        <w:t>Chart 4.12 HICP and</w:t>
      </w:r>
      <w:r>
        <w:rPr>
          <w:b/>
          <w:color w:val="0092C7"/>
          <w:spacing w:val="-10"/>
          <w:sz w:val="20"/>
        </w:rPr>
        <w:t> </w:t>
      </w:r>
      <w:r>
        <w:rPr>
          <w:b/>
          <w:color w:val="0092C7"/>
          <w:sz w:val="20"/>
        </w:rPr>
        <w:t>RPIX</w:t>
      </w:r>
    </w:p>
    <w:p>
      <w:pPr>
        <w:spacing w:before="110"/>
        <w:ind w:left="1631" w:right="0" w:firstLine="0"/>
        <w:jc w:val="left"/>
        <w:rPr>
          <w:sz w:val="12"/>
        </w:rPr>
      </w:pPr>
      <w:r>
        <w:rPr/>
        <w:pict>
          <v:line style="position:absolute;mso-position-horizontal-relative:page;mso-position-vertical-relative:paragraph;z-index:16162816" from="42.145pt,13.47467pt" to="46.478pt,13.47467pt" stroked="true" strokeweight=".5pt" strokecolor="#000000">
            <v:stroke dashstyle="solid"/>
            <w10:wrap type="none"/>
          </v:line>
        </w:pict>
      </w:r>
      <w:r>
        <w:rPr>
          <w:sz w:val="12"/>
        </w:rPr>
        <w:t>Percentage changes on a year earli</w:t>
      </w:r>
      <w:r>
        <w:rPr>
          <w:sz w:val="12"/>
          <w:u w:val="single"/>
        </w:rPr>
        <w:t>er</w:t>
      </w:r>
      <w:r>
        <w:rPr>
          <w:sz w:val="12"/>
        </w:rPr>
        <w:t> </w:t>
      </w:r>
      <w:r>
        <w:rPr>
          <w:position w:val="-6"/>
          <w:sz w:val="12"/>
        </w:rPr>
        <w:t>8</w:t>
      </w:r>
    </w:p>
    <w:p>
      <w:pPr>
        <w:pStyle w:val="BodyText"/>
        <w:spacing w:before="8"/>
        <w:rPr>
          <w:sz w:val="18"/>
        </w:rPr>
      </w:pPr>
    </w:p>
    <w:p>
      <w:pPr>
        <w:spacing w:before="0"/>
        <w:ind w:left="3420" w:right="0" w:firstLine="0"/>
        <w:jc w:val="left"/>
        <w:rPr>
          <w:sz w:val="12"/>
        </w:rPr>
      </w:pPr>
      <w:r>
        <w:rPr/>
        <w:pict>
          <v:group style="position:absolute;margin-left:42.145pt;margin-top:4.05957pt;width:158.9pt;height:125.25pt;mso-position-horizontal-relative:page;mso-position-vertical-relative:paragraph;z-index:16162304" coordorigin="843,81" coordsize="3178,2505">
            <v:shape style="position:absolute;left:1005;top:91;width:278;height:1560" coordorigin="1006,91" coordsize="278,1560" path="m1006,91l1036,156m1036,156l1066,91m1066,91l1086,904m1086,904l1116,1049m1116,1049l1146,1261m1146,1261l1173,1294m1173,1294l1203,1439m1203,1439l1223,1554m1223,1554l1253,1586m1253,1586l1283,1651e" filled="false" stroked="true" strokeweight="1pt" strokecolor="#00a2a0">
              <v:path arrowok="t"/>
              <v:stroke dashstyle="solid"/>
            </v:shape>
            <v:line style="position:absolute" from="1273,1652" to="1323,1652" stroked="true" strokeweight="1.125pt" strokecolor="#00a2a0">
              <v:stroke dashstyle="solid"/>
            </v:line>
            <v:shape style="position:absolute;left:1313;top:1651;width:78;height:148" coordorigin="1313,1651" coordsize="78,148" path="m1313,1651l1331,1799m1331,1799l1361,1684m1361,1684l1391,1731e" filled="false" stroked="true" strokeweight="1pt" strokecolor="#00a2a0">
              <v:path arrowok="t"/>
              <v:stroke dashstyle="solid"/>
            </v:shape>
            <v:line style="position:absolute" from="1381,1732" to="1431,1732" stroked="true" strokeweight="1.125pt" strokecolor="#00a2a0">
              <v:stroke dashstyle="solid"/>
            </v:line>
            <v:shape style="position:absolute;left:1420;top:1471;width:463;height:570" coordorigin="1421,1471" coordsize="463,570" path="m1421,1731l1451,1684m1451,1684l1471,1731m1471,1731l1501,1684m1501,1684l1528,1504m1528,1504l1558,1471m1558,1471l1588,1651m1588,1651l1608,1764m1608,1764l1638,1731m1638,1731l1668,1651m1668,1651l1696,1684m1696,1684l1726,1764m1726,1764l1746,1864m1746,1864l1776,1896m1776,1896l1806,1864m1806,1864l1836,1976m1836,1976l1856,1944m1856,1944l1883,2041e" filled="false" stroked="true" strokeweight="1pt" strokecolor="#00a2a0">
              <v:path arrowok="t"/>
              <v:stroke dashstyle="solid"/>
            </v:shape>
            <v:line style="position:absolute" from="1873,2042" to="1923,2042" stroked="true" strokeweight="1.125pt" strokecolor="#00a2a0">
              <v:stroke dashstyle="solid"/>
            </v:line>
            <v:shape style="position:absolute;left:1913;top:1863;width:60;height:178" coordorigin="1913,1864" coordsize="60,178" path="m1913,2041l1943,1944m1943,1944l1973,1864e" filled="false" stroked="true" strokeweight="1pt" strokecolor="#00a2a0">
              <v:path arrowok="t"/>
              <v:stroke dashstyle="solid"/>
            </v:shape>
            <v:line style="position:absolute" from="1983,1674" to="1983,1874" stroked="true" strokeweight="2pt" strokecolor="#00a2a0">
              <v:stroke dashstyle="solid"/>
            </v:line>
            <v:shape style="position:absolute;left:1993;top:1651;width:168;height:113" coordorigin="1993,1651" coordsize="168,113" path="m1993,1684l2023,1764m2023,1764l2051,1684m2051,1684l2081,1764m2081,1764l2111,1684m2111,1684l2131,1686m2131,1684l2161,1651e" filled="false" stroked="true" strokeweight="1pt" strokecolor="#00a2a0">
              <v:path arrowok="t"/>
              <v:stroke dashstyle="solid"/>
            </v:shape>
            <v:line style="position:absolute" from="2151,1652" to="2201,1652" stroked="true" strokeweight="1.125pt" strokecolor="#00a2a0">
              <v:stroke dashstyle="solid"/>
            </v:line>
            <v:shape style="position:absolute;left:2190;top:1503;width:138;height:148" coordorigin="2191,1504" coordsize="138,148" path="m2191,1651l2218,1504m2218,1504l2238,1554m2238,1554l2268,1586m2268,1586l2298,1504m2298,1504l2328,1619e" filled="false" stroked="true" strokeweight="1pt" strokecolor="#00a2a0">
              <v:path arrowok="t"/>
              <v:stroke dashstyle="solid"/>
            </v:shape>
            <v:line style="position:absolute" from="2318,1620" to="2368,1620" stroked="true" strokeweight="1.125pt" strokecolor="#00a2a0">
              <v:stroke dashstyle="solid"/>
            </v:line>
            <v:shape style="position:absolute;left:2358;top:1618;width:158;height:148" coordorigin="2358,1619" coordsize="158,148" path="m2358,1619l2378,1621m2378,1619l2406,1651m2406,1651l2436,1764m2436,1764l2466,1684m2466,1684l2496,1764m2496,1764l2516,1766e" filled="false" stroked="true" strokeweight="1pt" strokecolor="#00a2a0">
              <v:path arrowok="t"/>
              <v:stroke dashstyle="solid"/>
            </v:shape>
            <v:line style="position:absolute" from="2506,1765" to="2556,1765" stroked="true" strokeweight="1.125pt" strokecolor="#00a2a0">
              <v:stroke dashstyle="solid"/>
            </v:line>
            <v:shape style="position:absolute;left:2545;top:1683;width:275;height:360" coordorigin="2546,1684" coordsize="275,360" path="m2546,1764l2573,1731m2573,1731l2603,1684m2603,1684l2633,1799m2633,1799l2653,1831m2653,1831l2683,1896m2683,1896l2713,1976m2713,1976l2743,2041m2743,2041l2761,2044m2761,2041l2791,1976m2791,1976l2821,1864e" filled="false" stroked="true" strokeweight="1pt" strokecolor="#00a2a0">
              <v:path arrowok="t"/>
              <v:stroke dashstyle="solid"/>
            </v:shape>
            <v:line style="position:absolute" from="2811,1865" to="2861,1865" stroked="true" strokeweight="1.125pt" strokecolor="#00a2a0">
              <v:stroke dashstyle="solid"/>
            </v:line>
            <v:shape style="position:absolute;left:2850;top:1863;width:50;height:80" coordorigin="2851,1864" coordsize="50,80" path="m2851,1864l2881,1944m2881,1944l2901,1896e" filled="false" stroked="true" strokeweight="1pt" strokecolor="#00a2a0">
              <v:path arrowok="t"/>
              <v:stroke dashstyle="solid"/>
            </v:shape>
            <v:line style="position:absolute" from="2891,1897" to="2938,1897" stroked="true" strokeweight="1.125pt" strokecolor="#00a2a0">
              <v:stroke dashstyle="solid"/>
            </v:line>
            <v:shape style="position:absolute;left:2928;top:1831;width:308;height:293" coordorigin="2928,1831" coordsize="308,293" path="m2928,1896l2958,1976m2958,1976l2988,2041m2988,2041l3018,2009m3018,2009l3038,2011m3038,2009l3068,1896m3068,1896l3098,1831m3098,1831l3126,1976m3126,1976l3156,2041m3156,2041l3176,2124m3176,2124l3206,2041m3206,2041l3236,2074e" filled="false" stroked="true" strokeweight="1pt" strokecolor="#00a2a0">
              <v:path arrowok="t"/>
              <v:stroke dashstyle="solid"/>
            </v:shape>
            <v:line style="position:absolute" from="3226,2075" to="3276,2075" stroked="true" strokeweight="1.125pt" strokecolor="#00a2a0">
              <v:stroke dashstyle="solid"/>
            </v:line>
            <v:line style="position:absolute" from="3266,2074" to="3283,2009" stroked="true" strokeweight="1pt" strokecolor="#00a2a0">
              <v:stroke dashstyle="solid"/>
            </v:line>
            <v:line style="position:absolute" from="3273,2010" to="3323,2010" stroked="true" strokeweight="1.125pt" strokecolor="#00a2a0">
              <v:stroke dashstyle="solid"/>
            </v:line>
            <v:shape style="position:absolute;left:3313;top:1976;width:168;height:148" coordorigin="3313,1976" coordsize="168,148" path="m3313,2009l3343,2041m3343,2041l3373,1976m3373,1976l3403,2041m3403,2041l3423,2124m3423,2124l3453,2074m3453,2074l3481,2124e" filled="false" stroked="true" strokeweight="1pt" strokecolor="#00a2a0">
              <v:path arrowok="t"/>
              <v:stroke dashstyle="solid"/>
            </v:shape>
            <v:line style="position:absolute" from="3471,2125" to="3521,2125" stroked="true" strokeweight="1.125pt" strokecolor="#00a2a0">
              <v:stroke dashstyle="solid"/>
            </v:line>
            <v:shape style="position:absolute;left:3510;top:2123;width:355;height:275" coordorigin="3511,2124" coordsize="355,275" path="m3511,2124l3541,2156m3541,2156l3561,2159m3561,2156l3591,2124m3591,2124l3621,2156m3621,2156l3648,2301m3648,2301l3668,2221m3668,2221l3698,2334m3698,2334l3758,2399m3758,2399l3788,2301m3788,2301l3808,2221m3808,2221l3836,2366m3836,2366l3866,2221e" filled="false" stroked="true" strokeweight="1pt" strokecolor="#00a2a0">
              <v:path arrowok="t"/>
              <v:stroke dashstyle="solid"/>
            </v:shape>
            <v:line style="position:absolute" from="996,580" to="1046,580" stroked="true" strokeweight="1.125pt" strokecolor="#de0035">
              <v:stroke dashstyle="solid"/>
            </v:line>
            <v:shape style="position:absolute;left:1035;top:528;width:385;height:1040" coordorigin="1036,529" coordsize="385,1040" path="m1036,579l1066,529m1066,529l1086,546m1086,546l1116,691m1116,691l1146,871m1146,871l1173,1001m1173,1001l1203,1081m1203,1081l1223,1146m1223,1146l1253,1211m1253,1211l1283,1294m1283,1294l1313,1276m1313,1276l1331,1424m1331,1424l1361,1374m1361,1374l1391,1341m1391,1341l1421,1569e" filled="false" stroked="true" strokeweight="1pt" strokecolor="#de0035">
              <v:path arrowok="t"/>
              <v:stroke dashstyle="solid"/>
            </v:shape>
            <v:line style="position:absolute" from="1411,1570" to="1461,1570" stroked="true" strokeweight="1.125pt" strokecolor="#de0035">
              <v:stroke dashstyle="solid"/>
            </v:line>
            <v:shape style="position:absolute;left:1450;top:1406;width:218;height:260" coordorigin="1451,1406" coordsize="218,260" path="m1451,1569l1471,1586m1471,1586l1501,1569m1501,1569l1528,1456m1528,1456l1558,1406m1558,1406l1588,1569m1588,1569l1608,1666m1608,1666l1638,1619m1638,1619l1668,1569e" filled="false" stroked="true" strokeweight="1pt" strokecolor="#de0035">
              <v:path arrowok="t"/>
              <v:stroke dashstyle="solid"/>
            </v:shape>
            <v:line style="position:absolute" from="1658,1570" to="1706,1570" stroked="true" strokeweight="1.125pt" strokecolor="#de0035">
              <v:stroke dashstyle="solid"/>
            </v:line>
            <v:shape style="position:absolute;left:1695;top:1471;width:543;height:408" coordorigin="1696,1471" coordsize="543,408" path="m1696,1569l1726,1716m1726,1716l1746,1749m1746,1749l1776,1699m1776,1699l1806,1716m1806,1716l1836,1799m1836,1799l1856,1764m1856,1764l1883,1846m1883,1846l1913,1879m1913,1879l1943,1764m1943,1764l1973,1699m1973,1699l1993,1601m1993,1601l2023,1634m2023,1634l2051,1586m2051,1586l2081,1634m2081,1634l2111,1619m2111,1619l2131,1569m2131,1569l2161,1586m2161,1586l2191,1536m2191,1536l2218,1471m2218,1471l2238,1536e" filled="false" stroked="true" strokeweight="1pt" strokecolor="#de0035">
              <v:path arrowok="t"/>
              <v:stroke dashstyle="solid"/>
            </v:shape>
            <v:line style="position:absolute" from="2228,1537" to="2278,1537" stroked="true" strokeweight="1.125pt" strokecolor="#de0035">
              <v:stroke dashstyle="solid"/>
            </v:line>
            <v:shape style="position:absolute;left:2268;top:1521;width:110;height:48" coordorigin="2268,1521" coordsize="110,48" path="m2268,1536l2298,1521m2298,1521l2328,1569m2328,1569l2358,1554m2358,1554l2378,1536e" filled="false" stroked="true" strokeweight="1pt" strokecolor="#de0035">
              <v:path arrowok="t"/>
              <v:stroke dashstyle="solid"/>
            </v:shape>
            <v:line style="position:absolute" from="2368,1537" to="2416,1537" stroked="true" strokeweight="1.125pt" strokecolor="#de0035">
              <v:stroke dashstyle="solid"/>
            </v:line>
            <v:line style="position:absolute" from="2406,1536" to="2436,1601" stroked="true" strokeweight="1pt" strokecolor="#de0035">
              <v:stroke dashstyle="solid"/>
            </v:line>
            <v:line style="position:absolute" from="2426,1602" to="2476,1602" stroked="true" strokeweight="1.125pt" strokecolor="#de0035">
              <v:stroke dashstyle="solid"/>
            </v:line>
            <v:shape style="position:absolute;left:2465;top:1406;width:108;height:195" coordorigin="2466,1406" coordsize="108,195" path="m2466,1601l2496,1569m2496,1569l2516,1571m2516,1569l2546,1521m2546,1521l2573,1406e" filled="false" stroked="true" strokeweight="1pt" strokecolor="#de0035">
              <v:path arrowok="t"/>
              <v:stroke dashstyle="solid"/>
            </v:shape>
            <v:line style="position:absolute" from="2563,1407" to="2613,1407" stroked="true" strokeweight="1.125pt" strokecolor="#de0035">
              <v:stroke dashstyle="solid"/>
            </v:line>
            <v:shape style="position:absolute;left:2603;top:1406;width:298;height:280" coordorigin="2603,1406" coordsize="298,280" path="m2603,1406l2633,1489m2633,1489l2653,1491m2653,1489l2683,1554m2683,1554l2713,1634m2713,1634l2743,1684m2743,1684l2761,1686m2761,1684l2791,1619m2791,1619l2821,1521m2821,1521l2851,1569m2851,1569l2881,1601m2881,1601l2901,1586e" filled="false" stroked="true" strokeweight="1pt" strokecolor="#de0035">
              <v:path arrowok="t"/>
              <v:stroke dashstyle="solid"/>
            </v:shape>
            <v:line style="position:absolute" from="2891,1587" to="2938,1587" stroked="true" strokeweight="1.125pt" strokecolor="#de0035">
              <v:stroke dashstyle="solid"/>
            </v:line>
            <v:shape style="position:absolute;left:2928;top:1438;width:278;height:260" coordorigin="2928,1439" coordsize="278,260" path="m2928,1586l2958,1634m2958,1634l2988,1699m2988,1699l3018,1651m3018,1651l3038,1666m3038,1666l3068,1521m3068,1521l3098,1439m3098,1439l3126,1586m3126,1586l3156,1651m3156,1651l3176,1666m3176,1666l3206,1684e" filled="false" stroked="true" strokeweight="1pt" strokecolor="#de0035">
              <v:path arrowok="t"/>
              <v:stroke dashstyle="solid"/>
            </v:shape>
            <v:shape style="position:absolute;left:3195;top:1684;width:80;height:2" coordorigin="3196,1685" coordsize="80,0" path="m3196,1685l3246,1685m3226,1685l3276,1685e" filled="false" stroked="true" strokeweight="1.125pt" strokecolor="#de0035">
              <v:path arrowok="t"/>
              <v:stroke dashstyle="solid"/>
            </v:shape>
            <v:line style="position:absolute" from="3266,1684" to="3283,1651" stroked="true" strokeweight="1pt" strokecolor="#de0035">
              <v:stroke dashstyle="solid"/>
            </v:line>
            <v:line style="position:absolute" from="3273,1652" to="3323,1652" stroked="true" strokeweight="1.125pt" strokecolor="#de0035">
              <v:stroke dashstyle="solid"/>
            </v:line>
            <v:shape style="position:absolute;left:3313;top:1618;width:140;height:213" coordorigin="3313,1619" coordsize="140,213" path="m3313,1651l3343,1731m3343,1731l3373,1619m3373,1619l3403,1716m3403,1716l3423,1831m3423,1831l3453,1781e" filled="false" stroked="true" strokeweight="1pt" strokecolor="#de0035">
              <v:path arrowok="t"/>
              <v:stroke dashstyle="solid"/>
            </v:shape>
            <v:line style="position:absolute" from="3443,1782" to="3491,1782" stroked="true" strokeweight="1.125pt" strokecolor="#de0035">
              <v:stroke dashstyle="solid"/>
            </v:line>
            <v:line style="position:absolute" from="3481,1781" to="3511,1831" stroked="true" strokeweight="1pt" strokecolor="#de0035">
              <v:stroke dashstyle="solid"/>
            </v:line>
            <v:line style="position:absolute" from="3501,1832" to="3551,1832" stroked="true" strokeweight="1.125pt" strokecolor="#de0035">
              <v:stroke dashstyle="solid"/>
            </v:line>
            <v:shape style="position:absolute;left:3540;top:1781;width:158;height:98" coordorigin="3541,1781" coordsize="158,98" path="m3541,1831l3561,1814m3561,1814l3591,1781m3591,1781l3621,1814m3621,1814l3648,1831m3648,1831l3668,1814m3668,1814l3698,1879e" filled="false" stroked="true" strokeweight="1pt" strokecolor="#de0035">
              <v:path arrowok="t"/>
              <v:stroke dashstyle="solid"/>
            </v:shape>
            <v:line style="position:absolute" from="3688,1880" to="3738,1880" stroked="true" strokeweight="1.125pt" strokecolor="#de0035">
              <v:stroke dashstyle="solid"/>
            </v:line>
            <v:shape style="position:absolute;left:3728;top:1781;width:138;height:130" coordorigin="3728,1781" coordsize="138,130" path="m3728,1879l3758,1864m3758,1864l3788,1781m3788,1781l3808,1799m3808,1799l3836,1911m3836,1911l3866,1781e" filled="false" stroked="true" strokeweight="1pt" strokecolor="#de0035">
              <v:path arrowok="t"/>
              <v:stroke dashstyle="solid"/>
            </v:shape>
            <v:shape style="position:absolute;left:842;top:88;width:3178;height:2493" coordorigin="843,88" coordsize="3178,2493" path="m843,92l930,92m843,447l930,447m843,803l930,803m843,1159l930,1159m843,1514l930,1514m843,2226l930,2226m843,1870l930,1870m3934,88l4021,88m3934,444l4021,444m3934,800l4021,800m3934,1155l4021,1155m3934,1511l4021,1511m3934,2222l4021,2222m3934,1867l4021,1867m843,2581l930,2581m3934,2578l4021,2578m998,2578l3877,2578m1000,2462l1000,2578m1082,2531l1082,2578m1165,2531l1165,2578m1248,2531l1248,2578m1330,2462l1330,2578m1413,2531l1413,2578m1496,2531l1496,2578m1578,2531l1578,2578m1661,2462l1661,2578m1744,2531l1744,2578m1826,2531l1826,2578m1909,2531l1909,2578m1992,2462l1992,2578m2074,2531l2074,2578m2157,2531l2157,2578m2240,2531l2240,2578m2322,2462l2322,2578m2405,2531l2405,2578m2488,2531l2488,2578m2570,2531l2570,2578m2653,2462l2653,2578m2736,2531l2736,2578m2818,2531l2818,2578m2901,2531l2901,2578m2984,2462l2984,2578m3067,2531l3067,2578m3149,2531l3149,2578m3232,2531l3232,2578m3315,2462l3315,2578m3397,2531l3397,2578m3480,2531l3480,2578m3563,2531l3563,2578m3645,2462l3645,2578m3728,2531l3728,2578m3811,2531l3811,2578e" filled="false" stroked="true" strokeweight=".5pt" strokecolor="#000000">
              <v:path arrowok="t"/>
              <v:stroke dashstyle="solid"/>
            </v:shape>
            <v:shape style="position:absolute;left:1183;top:781;width:294;height:133" type="#_x0000_t202" filled="false" stroked="false">
              <v:textbox inset="0,0,0,0">
                <w:txbxContent>
                  <w:p>
                    <w:pPr>
                      <w:spacing w:line="133" w:lineRule="exact" w:before="0"/>
                      <w:ind w:left="0" w:right="0" w:firstLine="0"/>
                      <w:jc w:val="left"/>
                      <w:rPr>
                        <w:sz w:val="12"/>
                      </w:rPr>
                    </w:pPr>
                    <w:r>
                      <w:rPr>
                        <w:sz w:val="12"/>
                      </w:rPr>
                      <w:t>RPIX</w:t>
                    </w:r>
                  </w:p>
                </w:txbxContent>
              </v:textbox>
              <w10:wrap type="none"/>
            </v:shape>
            <v:shape style="position:absolute;left:1569;top:1976;width:294;height:133" type="#_x0000_t202" filled="false" stroked="false">
              <v:textbox inset="0,0,0,0">
                <w:txbxContent>
                  <w:p>
                    <w:pPr>
                      <w:spacing w:line="133" w:lineRule="exact" w:before="0"/>
                      <w:ind w:left="0" w:right="0" w:firstLine="0"/>
                      <w:jc w:val="left"/>
                      <w:rPr>
                        <w:sz w:val="12"/>
                      </w:rPr>
                    </w:pPr>
                    <w:r>
                      <w:rPr>
                        <w:sz w:val="12"/>
                      </w:rPr>
                      <w:t>HICP</w:t>
                    </w:r>
                  </w:p>
                </w:txbxContent>
              </v:textbox>
              <w10:wrap type="none"/>
            </v:shape>
            <w10:wrap type="none"/>
          </v:group>
        </w:pict>
      </w:r>
      <w:r>
        <w:rPr>
          <w:sz w:val="12"/>
        </w:rPr>
        <w:t>7</w:t>
      </w:r>
    </w:p>
    <w:p>
      <w:pPr>
        <w:pStyle w:val="BodyText"/>
        <w:rPr>
          <w:sz w:val="12"/>
        </w:rPr>
      </w:pPr>
    </w:p>
    <w:p>
      <w:pPr>
        <w:spacing w:before="80"/>
        <w:ind w:left="3420" w:right="0" w:firstLine="0"/>
        <w:jc w:val="left"/>
        <w:rPr>
          <w:sz w:val="12"/>
        </w:rPr>
      </w:pPr>
      <w:r>
        <w:rPr>
          <w:sz w:val="12"/>
        </w:rPr>
        <w:t>6</w:t>
      </w:r>
    </w:p>
    <w:p>
      <w:pPr>
        <w:pStyle w:val="BodyText"/>
        <w:rPr>
          <w:sz w:val="12"/>
        </w:rPr>
      </w:pPr>
    </w:p>
    <w:p>
      <w:pPr>
        <w:spacing w:before="80"/>
        <w:ind w:left="3420" w:right="0" w:firstLine="0"/>
        <w:jc w:val="left"/>
        <w:rPr>
          <w:sz w:val="12"/>
        </w:rPr>
      </w:pPr>
      <w:r>
        <w:rPr>
          <w:sz w:val="12"/>
        </w:rPr>
        <w:t>5</w:t>
      </w:r>
    </w:p>
    <w:p>
      <w:pPr>
        <w:pStyle w:val="BodyText"/>
        <w:rPr>
          <w:sz w:val="12"/>
        </w:rPr>
      </w:pPr>
    </w:p>
    <w:p>
      <w:pPr>
        <w:spacing w:before="79"/>
        <w:ind w:left="3420" w:right="0" w:firstLine="0"/>
        <w:jc w:val="left"/>
        <w:rPr>
          <w:sz w:val="12"/>
        </w:rPr>
      </w:pPr>
      <w:r>
        <w:rPr>
          <w:sz w:val="12"/>
        </w:rPr>
        <w:t>4</w:t>
      </w:r>
    </w:p>
    <w:p>
      <w:pPr>
        <w:pStyle w:val="BodyText"/>
        <w:rPr>
          <w:sz w:val="12"/>
        </w:rPr>
      </w:pPr>
    </w:p>
    <w:p>
      <w:pPr>
        <w:spacing w:before="80"/>
        <w:ind w:left="3420" w:right="0" w:firstLine="0"/>
        <w:jc w:val="left"/>
        <w:rPr>
          <w:sz w:val="12"/>
        </w:rPr>
      </w:pPr>
      <w:r>
        <w:rPr>
          <w:sz w:val="12"/>
        </w:rPr>
        <w:t>3</w:t>
      </w:r>
    </w:p>
    <w:p>
      <w:pPr>
        <w:pStyle w:val="BodyText"/>
        <w:rPr>
          <w:sz w:val="12"/>
        </w:rPr>
      </w:pPr>
    </w:p>
    <w:p>
      <w:pPr>
        <w:spacing w:before="80"/>
        <w:ind w:left="3420" w:right="0" w:firstLine="0"/>
        <w:jc w:val="left"/>
        <w:rPr>
          <w:sz w:val="12"/>
        </w:rPr>
      </w:pPr>
      <w:r>
        <w:rPr>
          <w:sz w:val="12"/>
        </w:rPr>
        <w:t>2</w:t>
      </w:r>
    </w:p>
    <w:p>
      <w:pPr>
        <w:pStyle w:val="BodyText"/>
        <w:rPr>
          <w:sz w:val="12"/>
        </w:rPr>
      </w:pPr>
    </w:p>
    <w:p>
      <w:pPr>
        <w:spacing w:before="79"/>
        <w:ind w:left="3420" w:right="0" w:firstLine="0"/>
        <w:jc w:val="left"/>
        <w:rPr>
          <w:sz w:val="12"/>
        </w:rPr>
      </w:pPr>
      <w:r>
        <w:rPr>
          <w:sz w:val="12"/>
        </w:rPr>
        <w:t>1</w:t>
      </w:r>
    </w:p>
    <w:p>
      <w:pPr>
        <w:pStyle w:val="BodyText"/>
        <w:rPr>
          <w:sz w:val="12"/>
        </w:rPr>
      </w:pPr>
    </w:p>
    <w:p>
      <w:pPr>
        <w:spacing w:line="122" w:lineRule="exact" w:before="80"/>
        <w:ind w:left="3420" w:right="0" w:firstLine="0"/>
        <w:jc w:val="left"/>
        <w:rPr>
          <w:sz w:val="12"/>
        </w:rPr>
      </w:pPr>
      <w:r>
        <w:rPr>
          <w:sz w:val="12"/>
        </w:rPr>
        <w:t>0</w:t>
      </w:r>
    </w:p>
    <w:p>
      <w:pPr>
        <w:tabs>
          <w:tab w:pos="1131" w:val="left" w:leader="none"/>
          <w:tab w:pos="1456" w:val="left" w:leader="none"/>
          <w:tab w:pos="1791" w:val="left" w:leader="none"/>
          <w:tab w:pos="2116" w:val="left" w:leader="none"/>
          <w:tab w:pos="2451" w:val="left" w:leader="none"/>
          <w:tab w:pos="2778" w:val="left" w:leader="none"/>
        </w:tabs>
        <w:spacing w:line="122" w:lineRule="exact" w:before="0"/>
        <w:ind w:left="411" w:right="0" w:firstLine="0"/>
        <w:jc w:val="left"/>
        <w:rPr>
          <w:sz w:val="12"/>
        </w:rPr>
      </w:pPr>
      <w:r>
        <w:rPr>
          <w:sz w:val="12"/>
        </w:rPr>
        <w:t>1992   </w:t>
      </w:r>
      <w:r>
        <w:rPr>
          <w:spacing w:val="25"/>
          <w:sz w:val="12"/>
        </w:rPr>
        <w:t> </w:t>
      </w:r>
      <w:r>
        <w:rPr>
          <w:sz w:val="12"/>
        </w:rPr>
        <w:t>93</w:t>
        <w:tab/>
        <w:t>94</w:t>
        <w:tab/>
        <w:t>95</w:t>
        <w:tab/>
        <w:t>96</w:t>
        <w:tab/>
        <w:t>97</w:t>
        <w:tab/>
        <w:t>98</w:t>
        <w:tab/>
        <w:t>99</w:t>
      </w:r>
      <w:r>
        <w:rPr>
          <w:spacing w:val="15"/>
          <w:sz w:val="12"/>
        </w:rPr>
        <w:t> </w:t>
      </w:r>
      <w:r>
        <w:rPr>
          <w:sz w:val="12"/>
        </w:rPr>
        <w:t>2000</w:t>
      </w:r>
    </w:p>
    <w:p>
      <w:pPr>
        <w:pStyle w:val="BodyText"/>
        <w:spacing w:before="4"/>
        <w:rPr>
          <w:sz w:val="15"/>
        </w:rPr>
      </w:pPr>
    </w:p>
    <w:p>
      <w:pPr>
        <w:spacing w:before="0"/>
        <w:ind w:left="170" w:right="0" w:firstLine="0"/>
        <w:jc w:val="left"/>
        <w:rPr>
          <w:sz w:val="12"/>
        </w:rPr>
      </w:pPr>
      <w:r>
        <w:rPr>
          <w:sz w:val="12"/>
        </w:rPr>
        <w:t>Source: 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1"/>
        </w:rPr>
      </w:pPr>
    </w:p>
    <w:p>
      <w:pPr>
        <w:spacing w:before="0"/>
        <w:ind w:left="184" w:right="0" w:firstLine="0"/>
        <w:jc w:val="left"/>
        <w:rPr>
          <w:b/>
          <w:sz w:val="20"/>
        </w:rPr>
      </w:pPr>
      <w:r>
        <w:rPr>
          <w:b/>
          <w:color w:val="0092C7"/>
          <w:sz w:val="20"/>
        </w:rPr>
        <w:t>Chart 4.13</w:t>
      </w:r>
    </w:p>
    <w:p>
      <w:pPr>
        <w:spacing w:before="10"/>
        <w:ind w:left="184" w:right="0" w:firstLine="0"/>
        <w:jc w:val="left"/>
        <w:rPr>
          <w:b/>
          <w:sz w:val="20"/>
        </w:rPr>
      </w:pPr>
      <w:r>
        <w:rPr>
          <w:b/>
          <w:color w:val="0092C7"/>
          <w:sz w:val="20"/>
        </w:rPr>
        <w:t>Measures of domestically generated inflation</w:t>
      </w:r>
    </w:p>
    <w:p>
      <w:pPr>
        <w:spacing w:line="118" w:lineRule="exact" w:before="91"/>
        <w:ind w:left="0" w:right="551" w:firstLine="0"/>
        <w:jc w:val="right"/>
        <w:rPr>
          <w:sz w:val="12"/>
        </w:rPr>
      </w:pPr>
      <w:r>
        <w:rPr>
          <w:sz w:val="12"/>
        </w:rPr>
        <w:t>Percentage changes on a year earlier</w:t>
      </w:r>
    </w:p>
    <w:p>
      <w:pPr>
        <w:spacing w:line="118" w:lineRule="exact" w:before="0"/>
        <w:ind w:left="0" w:right="467" w:firstLine="0"/>
        <w:jc w:val="right"/>
        <w:rPr>
          <w:sz w:val="12"/>
        </w:rPr>
      </w:pPr>
      <w:r>
        <w:rPr/>
        <w:pict>
          <v:group style="position:absolute;margin-left:44.168999pt;margin-top:11.499319pt;width:165.8pt;height:114.55pt;mso-position-horizontal-relative:page;mso-position-vertical-relative:paragraph;z-index:-22499840" coordorigin="883,230" coordsize="3316,2291">
            <v:shape style="position:absolute;left:1032;top:254;width:2950;height:1610" coordorigin="1032,255" coordsize="2950,1610" path="m1032,1472l1130,1865m1130,1865l1230,1715m1230,1715l1340,1442m1340,1442l1440,1127m1440,1127l1537,1322m1537,1322l1637,1670m1637,1670l1747,1595m1747,1595l1845,1550m1845,1550l1945,1595m1945,1595l2045,1442m2045,1442l2155,1427m2155,1427l2252,1277m2252,1277l2352,1172m2352,1172l2452,752m2452,752l2562,450m2562,450l2660,360m2660,360l2760,255m2760,255l2857,270m2857,270l2970,315m2970,315l3067,360m3067,360l3167,285m3167,285l3265,420m3265,420l3375,497m3375,497l3475,692m3475,692l3575,872m3575,872l3672,1052m3672,1052l3782,1127m3782,1127l3882,1247m3882,1247l3982,1382e" filled="false" stroked="true" strokeweight="1pt" strokecolor="#de0035">
              <v:path arrowok="t"/>
              <v:stroke dashstyle="solid"/>
            </v:shape>
            <v:shape style="position:absolute;left:1032;top:1307;width:408;height:678" coordorigin="1032,1307" coordsize="408,678" path="m1032,1307l1130,1382m1130,1382l1230,1985m1230,1985l1340,1895m1340,1895l1440,1790e" filled="false" stroked="true" strokeweight="1pt" strokecolor="#f6bd61">
              <v:path arrowok="t"/>
              <v:stroke dashstyle="solid"/>
            </v:shape>
            <v:line style="position:absolute" from="1430,1791" to="1547,1791" stroked="true" strokeweight="1.125pt" strokecolor="#f6bd61">
              <v:stroke dashstyle="solid"/>
            </v:line>
            <v:shape style="position:absolute;left:1537;top:1157;width:1025;height:633" coordorigin="1538,1157" coordsize="1025,633" path="m1538,1790l1638,1745m1638,1745l1748,1790m1748,1790l1845,1760m1845,1760l1945,1775m1945,1775l2045,1457m2045,1457l2155,1520m2155,1520l2253,1247m2253,1247l2353,1157m2353,1157l2453,1565m2453,1565l2563,1367e" filled="false" stroked="true" strokeweight="1pt" strokecolor="#f6bd61">
              <v:path arrowok="t"/>
              <v:stroke dashstyle="solid"/>
            </v:shape>
            <v:line style="position:absolute" from="2553,1368" to="2670,1368" stroked="true" strokeweight="1.125pt" strokecolor="#f6bd61">
              <v:stroke dashstyle="solid"/>
            </v:line>
            <v:shape style="position:absolute;left:2660;top:1082;width:1323;height:588" coordorigin="2660,1082" coordsize="1323,588" path="m2660,1367l2760,1472m2760,1472l2858,1247m2858,1247l2970,1352m2970,1352l3068,1520m3068,1520l3168,1262m3168,1262l3265,1307m3265,1307l3375,1262m3375,1262l3475,1127m3475,1127l3575,1247m3575,1247l3673,1202m3673,1202l3783,1082m3783,1082l3883,1307m3883,1307l3983,1670e" filled="false" stroked="true" strokeweight="1pt" strokecolor="#f6bd61">
              <v:path arrowok="t"/>
              <v:stroke dashstyle="solid"/>
            </v:shape>
            <v:line style="position:absolute" from="1022,2016" to="1140,2016" stroked="true" strokeweight="1.125pt" strokecolor="#835335">
              <v:stroke dashstyle="solid"/>
            </v:line>
            <v:shape style="position:absolute;left:1130;top:797;width:2853;height:1698" coordorigin="1130,797" coordsize="2853,1698" path="m1130,2015l1230,2345m1230,2345l1340,1985m1340,1985l1440,2090m1440,2090l1537,2495m1537,2495l1637,2450m1637,2450l1747,2495m1747,2495l1845,2150m1845,2150l1945,1685m1945,1685l2045,1202m2045,1202l2155,1157m2155,1157l2252,1067m2252,1067l2352,977m2352,977l2452,1352m2452,1352l2562,1262m2562,1262l2660,1142m2660,1142l2760,1247m2760,1247l2857,1127m2857,1127l2970,1157m2970,1157l3067,1172m3067,1172l3167,1202m3167,1202l3265,1097m3265,1097l3375,917m3375,917l3475,842m3475,842l3575,797m3575,797l3672,992m3672,992l3782,1082m3782,1082l3882,1337m3882,1337l3982,1835e" filled="false" stroked="true" strokeweight="1pt" strokecolor="#835335">
              <v:path arrowok="t"/>
              <v:stroke dashstyle="solid"/>
            </v:shape>
            <v:shape style="position:absolute;left:883;top:418;width:3246;height:1816" coordorigin="883,419" coordsize="3246,1816" path="m883,423l970,423m883,786l970,786m883,1149l970,1149m883,1512l970,1512m883,1875l970,1875m883,2235l970,2235m4042,419l4129,419m4042,782l4129,782m4042,1145l4129,1145m4042,1508l4129,1508m4042,1871l4129,1871e" filled="false" stroked="true" strokeweight=".5pt" strokecolor="#000000">
              <v:path arrowok="t"/>
              <v:stroke dashstyle="solid"/>
            </v:shape>
            <v:shape style="position:absolute;left:1814;top:229;width:797;height:254" type="#_x0000_t202" filled="false" stroked="false">
              <v:textbox inset="0,0,0,0">
                <w:txbxContent>
                  <w:p>
                    <w:pPr>
                      <w:spacing w:line="208" w:lineRule="auto" w:before="9"/>
                      <w:ind w:left="60" w:right="0" w:hanging="60"/>
                      <w:jc w:val="left"/>
                      <w:rPr>
                        <w:sz w:val="12"/>
                      </w:rPr>
                    </w:pPr>
                    <w:r>
                      <w:rPr>
                        <w:sz w:val="12"/>
                      </w:rPr>
                      <w:t>RPIX excluding import prices</w:t>
                    </w:r>
                  </w:p>
                </w:txbxContent>
              </v:textbox>
              <w10:wrap type="none"/>
            </v:shape>
            <v:shape style="position:absolute;left:1029;top:1515;width:3170;height:1006" type="#_x0000_t202" filled="false" stroked="false">
              <v:textbox inset="0,0,0,0">
                <w:txbxContent>
                  <w:p>
                    <w:pPr>
                      <w:spacing w:line="208" w:lineRule="auto" w:before="9"/>
                      <w:ind w:left="1651" w:right="609" w:hanging="60"/>
                      <w:jc w:val="left"/>
                      <w:rPr>
                        <w:sz w:val="12"/>
                      </w:rPr>
                    </w:pPr>
                    <w:r>
                      <w:rPr>
                        <w:sz w:val="12"/>
                      </w:rPr>
                      <w:t>Unit labour costs based on trend productivity (a)(b)</w:t>
                    </w:r>
                  </w:p>
                  <w:p>
                    <w:pPr>
                      <w:tabs>
                        <w:tab w:pos="2950" w:val="left" w:leader="none"/>
                      </w:tabs>
                      <w:spacing w:before="96"/>
                      <w:ind w:left="0" w:right="30" w:firstLine="0"/>
                      <w:jc w:val="right"/>
                      <w:rPr>
                        <w:sz w:val="16"/>
                      </w:rPr>
                    </w:pPr>
                    <w:r>
                      <w:rPr>
                        <w:sz w:val="16"/>
                        <w:u w:val="single"/>
                      </w:rPr>
                      <w:t> </w:t>
                      <w:tab/>
                    </w:r>
                    <w:r>
                      <w:rPr>
                        <w:sz w:val="16"/>
                      </w:rPr>
                      <w:t> </w:t>
                    </w:r>
                    <w:r>
                      <w:rPr>
                        <w:spacing w:val="-18"/>
                        <w:sz w:val="16"/>
                      </w:rPr>
                      <w:t> </w:t>
                    </w:r>
                    <w:r>
                      <w:rPr>
                        <w:spacing w:val="-7"/>
                        <w:sz w:val="16"/>
                        <w:u w:val="single"/>
                      </w:rPr>
                      <w:t> </w:t>
                    </w:r>
                    <w:r>
                      <w:rPr>
                        <w:spacing w:val="-16"/>
                        <w:sz w:val="16"/>
                        <w:u w:val="single"/>
                      </w:rPr>
                      <w:t>+</w:t>
                    </w:r>
                  </w:p>
                  <w:p>
                    <w:pPr>
                      <w:spacing w:line="172" w:lineRule="exact" w:before="58"/>
                      <w:ind w:left="0" w:right="18" w:firstLine="0"/>
                      <w:jc w:val="right"/>
                      <w:rPr>
                        <w:sz w:val="16"/>
                      </w:rPr>
                    </w:pPr>
                    <w:r>
                      <w:rPr>
                        <w:sz w:val="16"/>
                      </w:rPr>
                      <w:t>_</w:t>
                    </w:r>
                  </w:p>
                  <w:p>
                    <w:pPr>
                      <w:spacing w:line="126" w:lineRule="exact" w:before="0"/>
                      <w:ind w:left="780" w:right="0" w:firstLine="0"/>
                      <w:jc w:val="left"/>
                      <w:rPr>
                        <w:sz w:val="12"/>
                      </w:rPr>
                    </w:pPr>
                    <w:r>
                      <w:rPr>
                        <w:sz w:val="12"/>
                      </w:rPr>
                      <w:t>Unit labour costs (a)</w:t>
                    </w:r>
                  </w:p>
                </w:txbxContent>
              </v:textbox>
              <w10:wrap type="none"/>
            </v:shape>
            <w10:wrap type="none"/>
          </v:group>
        </w:pict>
      </w:r>
      <w:r>
        <w:rPr/>
        <w:pict>
          <v:line style="position:absolute;mso-position-horizontal-relative:page;mso-position-vertical-relative:paragraph;z-index:16154624" from="44.168999pt,2.977393pt" to="48.501999pt,2.977393pt" stroked="true" strokeweight=".5pt" strokecolor="#000000">
            <v:stroke dashstyle="solid"/>
            <w10:wrap type="none"/>
          </v:line>
        </w:pict>
      </w:r>
      <w:r>
        <w:rPr/>
        <w:pict>
          <v:line style="position:absolute;mso-position-horizontal-relative:page;mso-position-vertical-relative:paragraph;z-index:16155648" from="202.117004pt,2.790393pt" to="206.451004pt,2.790393pt" stroked="true" strokeweight=".5pt" strokecolor="#000000">
            <v:stroke dashstyle="solid"/>
            <w10:wrap type="none"/>
          </v:line>
        </w:pict>
      </w:r>
      <w:r>
        <w:rPr>
          <w:sz w:val="12"/>
        </w:rPr>
        <w:t>6</w:t>
      </w:r>
    </w:p>
    <w:p>
      <w:pPr>
        <w:pStyle w:val="BodyText"/>
        <w:rPr>
          <w:sz w:val="12"/>
        </w:rPr>
      </w:pPr>
    </w:p>
    <w:p>
      <w:pPr>
        <w:spacing w:before="87"/>
        <w:ind w:left="3512" w:right="0" w:firstLine="0"/>
        <w:jc w:val="left"/>
        <w:rPr>
          <w:sz w:val="12"/>
        </w:rPr>
      </w:pPr>
      <w:r>
        <w:rPr>
          <w:sz w:val="12"/>
        </w:rPr>
        <w:t>5</w:t>
      </w:r>
    </w:p>
    <w:p>
      <w:pPr>
        <w:pStyle w:val="BodyText"/>
        <w:rPr>
          <w:sz w:val="12"/>
        </w:rPr>
      </w:pPr>
    </w:p>
    <w:p>
      <w:pPr>
        <w:spacing w:before="87"/>
        <w:ind w:left="3512" w:right="0" w:firstLine="0"/>
        <w:jc w:val="left"/>
        <w:rPr>
          <w:sz w:val="12"/>
        </w:rPr>
      </w:pPr>
      <w:r>
        <w:rPr>
          <w:sz w:val="12"/>
        </w:rPr>
        <w:t>4</w:t>
      </w:r>
    </w:p>
    <w:p>
      <w:pPr>
        <w:pStyle w:val="BodyText"/>
        <w:rPr>
          <w:sz w:val="12"/>
        </w:rPr>
      </w:pPr>
    </w:p>
    <w:p>
      <w:pPr>
        <w:spacing w:before="86"/>
        <w:ind w:left="3512" w:right="0" w:firstLine="0"/>
        <w:jc w:val="left"/>
        <w:rPr>
          <w:sz w:val="12"/>
        </w:rPr>
      </w:pPr>
      <w:r>
        <w:rPr>
          <w:sz w:val="12"/>
        </w:rPr>
        <w:t>3</w:t>
      </w:r>
    </w:p>
    <w:p>
      <w:pPr>
        <w:pStyle w:val="BodyText"/>
        <w:rPr>
          <w:sz w:val="12"/>
        </w:rPr>
      </w:pPr>
    </w:p>
    <w:p>
      <w:pPr>
        <w:spacing w:before="87"/>
        <w:ind w:left="3512" w:right="0" w:firstLine="0"/>
        <w:jc w:val="left"/>
        <w:rPr>
          <w:sz w:val="12"/>
        </w:rPr>
      </w:pPr>
      <w:r>
        <w:rPr>
          <w:sz w:val="12"/>
        </w:rPr>
        <w:t>2</w:t>
      </w:r>
    </w:p>
    <w:p>
      <w:pPr>
        <w:pStyle w:val="BodyText"/>
        <w:rPr>
          <w:sz w:val="12"/>
        </w:rPr>
      </w:pPr>
    </w:p>
    <w:p>
      <w:pPr>
        <w:spacing w:before="87"/>
        <w:ind w:left="3512" w:right="0" w:firstLine="0"/>
        <w:jc w:val="left"/>
        <w:rPr>
          <w:sz w:val="12"/>
        </w:rPr>
      </w:pPr>
      <w:r>
        <w:rPr>
          <w:sz w:val="12"/>
        </w:rPr>
        <w:t>1</w:t>
      </w:r>
    </w:p>
    <w:p>
      <w:pPr>
        <w:pStyle w:val="BodyText"/>
        <w:rPr>
          <w:sz w:val="12"/>
        </w:rPr>
      </w:pPr>
    </w:p>
    <w:p>
      <w:pPr>
        <w:spacing w:before="87"/>
        <w:ind w:left="3512" w:right="0" w:firstLine="0"/>
        <w:jc w:val="left"/>
        <w:rPr>
          <w:sz w:val="12"/>
        </w:rPr>
      </w:pPr>
      <w:r>
        <w:rPr>
          <w:sz w:val="12"/>
        </w:rPr>
        <w:t>0</w:t>
      </w:r>
    </w:p>
    <w:p>
      <w:pPr>
        <w:pStyle w:val="BodyText"/>
        <w:rPr>
          <w:sz w:val="12"/>
        </w:rPr>
      </w:pPr>
    </w:p>
    <w:p>
      <w:pPr>
        <w:spacing w:before="87"/>
        <w:ind w:left="3512" w:right="0" w:firstLine="0"/>
        <w:jc w:val="left"/>
        <w:rPr>
          <w:sz w:val="12"/>
        </w:rPr>
      </w:pPr>
      <w:r>
        <w:rPr/>
        <w:pict>
          <v:line style="position:absolute;mso-position-horizontal-relative:page;mso-position-vertical-relative:paragraph;z-index:16153600" from="44.168999pt,8.426963pt" to="48.501999pt,8.426963pt" stroked="true" strokeweight=".5pt" strokecolor="#000000">
            <v:stroke dashstyle="solid"/>
            <w10:wrap type="none"/>
          </v:line>
        </w:pict>
      </w:r>
      <w:r>
        <w:rPr/>
        <w:pict>
          <v:line style="position:absolute;mso-position-horizontal-relative:page;mso-position-vertical-relative:paragraph;z-index:16155136" from="202.117004pt,8.238962pt" to="206.451004pt,8.238962pt" stroked="true" strokeweight=".5pt" strokecolor="#000000">
            <v:stroke dashstyle="solid"/>
            <w10:wrap type="none"/>
          </v:line>
        </w:pict>
      </w:r>
      <w:r>
        <w:rPr>
          <w:sz w:val="12"/>
        </w:rPr>
        <w:t>1</w:t>
      </w:r>
    </w:p>
    <w:p>
      <w:pPr>
        <w:pStyle w:val="BodyText"/>
        <w:rPr>
          <w:sz w:val="12"/>
        </w:rPr>
      </w:pPr>
    </w:p>
    <w:p>
      <w:pPr>
        <w:spacing w:line="118" w:lineRule="exact" w:before="87"/>
        <w:ind w:left="0" w:right="467" w:firstLine="0"/>
        <w:jc w:val="right"/>
        <w:rPr>
          <w:sz w:val="12"/>
        </w:rPr>
      </w:pPr>
      <w:r>
        <w:rPr/>
        <w:pict>
          <v:shape style="position:absolute;margin-left:44.168999pt;margin-top:2.464559pt;width:162.3pt;height:6pt;mso-position-horizontal-relative:page;mso-position-vertical-relative:paragraph;z-index:16154112" coordorigin="883,49" coordsize="3246,120" path="m883,169l970,169m4042,165l4129,165m1033,165l3990,165m1034,49l1034,165m1136,118l1136,165m1238,118l1238,165m1339,118l1339,165m1441,49l1441,165m1543,118l1543,165m1644,118l1644,165m1746,118l1746,165m1848,49l1848,165m1949,118l1949,165m2051,118l2051,165m2153,118l2153,165m2254,49l2254,165m2356,118l2356,165m2458,118l2458,165m2559,118l2559,165m2661,49l2661,165m2763,118l2763,165m2864,118l2864,165m2966,118l2966,165m3068,49l3068,165m3169,118l3169,165m3271,118l3271,165m3373,118l3373,165m3474,49l3474,165m3576,118l3576,165m3678,118l3678,165m3779,118l3779,165m3881,49l3881,165m3982,118l3982,165e" filled="false" stroked="true" strokeweight=".5pt" strokecolor="#000000">
            <v:path arrowok="t"/>
            <v:stroke dashstyle="solid"/>
            <w10:wrap type="none"/>
          </v:shape>
        </w:pict>
      </w:r>
      <w:r>
        <w:rPr>
          <w:sz w:val="12"/>
        </w:rPr>
        <w:t>2</w:t>
      </w:r>
    </w:p>
    <w:p>
      <w:pPr>
        <w:tabs>
          <w:tab w:pos="447" w:val="left" w:leader="none"/>
          <w:tab w:pos="854" w:val="left" w:leader="none"/>
          <w:tab w:pos="1262" w:val="left" w:leader="none"/>
          <w:tab w:pos="1667" w:val="left" w:leader="none"/>
          <w:tab w:pos="2074" w:val="left" w:leader="none"/>
          <w:tab w:pos="2502" w:val="left" w:leader="none"/>
        </w:tabs>
        <w:spacing w:line="118" w:lineRule="exact" w:before="0"/>
        <w:ind w:left="0" w:right="563" w:firstLine="0"/>
        <w:jc w:val="right"/>
        <w:rPr>
          <w:sz w:val="12"/>
        </w:rPr>
      </w:pPr>
      <w:r>
        <w:rPr>
          <w:sz w:val="12"/>
        </w:rPr>
        <w:t>1993</w:t>
        <w:tab/>
        <w:t>94</w:t>
        <w:tab/>
        <w:t>95</w:t>
        <w:tab/>
        <w:t>96</w:t>
        <w:tab/>
        <w:t>97</w:t>
        <w:tab/>
        <w:t>98</w:t>
        <w:tab/>
        <w:t>99   </w:t>
      </w:r>
      <w:r>
        <w:rPr>
          <w:spacing w:val="10"/>
          <w:sz w:val="12"/>
        </w:rPr>
        <w:t> </w:t>
      </w:r>
      <w:r>
        <w:rPr>
          <w:sz w:val="12"/>
        </w:rPr>
        <w:t>2000</w:t>
      </w:r>
    </w:p>
    <w:p>
      <w:pPr>
        <w:pStyle w:val="ListParagraph"/>
        <w:numPr>
          <w:ilvl w:val="1"/>
          <w:numId w:val="41"/>
        </w:numPr>
        <w:tabs>
          <w:tab w:pos="420" w:val="left" w:leader="none"/>
        </w:tabs>
        <w:spacing w:line="208" w:lineRule="auto" w:before="87" w:after="0"/>
        <w:ind w:left="419" w:right="412" w:hanging="240"/>
        <w:jc w:val="left"/>
        <w:rPr>
          <w:sz w:val="12"/>
        </w:rPr>
      </w:pPr>
      <w:r>
        <w:rPr>
          <w:sz w:val="12"/>
        </w:rPr>
        <w:t>Using</w:t>
      </w:r>
      <w:r>
        <w:rPr>
          <w:spacing w:val="-7"/>
          <w:sz w:val="12"/>
        </w:rPr>
        <w:t> </w:t>
      </w:r>
      <w:r>
        <w:rPr>
          <w:sz w:val="12"/>
        </w:rPr>
        <w:t>National</w:t>
      </w:r>
      <w:r>
        <w:rPr>
          <w:spacing w:val="-11"/>
          <w:sz w:val="12"/>
        </w:rPr>
        <w:t> </w:t>
      </w:r>
      <w:r>
        <w:rPr>
          <w:sz w:val="12"/>
        </w:rPr>
        <w:t>Accounts</w:t>
      </w:r>
      <w:r>
        <w:rPr>
          <w:spacing w:val="-7"/>
          <w:sz w:val="12"/>
        </w:rPr>
        <w:t> </w:t>
      </w:r>
      <w:r>
        <w:rPr>
          <w:sz w:val="12"/>
        </w:rPr>
        <w:t>measures</w:t>
      </w:r>
      <w:r>
        <w:rPr>
          <w:spacing w:val="-6"/>
          <w:sz w:val="12"/>
        </w:rPr>
        <w:t> </w:t>
      </w:r>
      <w:r>
        <w:rPr>
          <w:sz w:val="12"/>
        </w:rPr>
        <w:t>of</w:t>
      </w:r>
      <w:r>
        <w:rPr>
          <w:spacing w:val="-7"/>
          <w:sz w:val="12"/>
        </w:rPr>
        <w:t> </w:t>
      </w:r>
      <w:r>
        <w:rPr>
          <w:sz w:val="12"/>
        </w:rPr>
        <w:t>employee</w:t>
      </w:r>
      <w:r>
        <w:rPr>
          <w:spacing w:val="-6"/>
          <w:sz w:val="12"/>
        </w:rPr>
        <w:t> </w:t>
      </w:r>
      <w:r>
        <w:rPr>
          <w:sz w:val="12"/>
        </w:rPr>
        <w:t>compensation</w:t>
      </w:r>
      <w:r>
        <w:rPr>
          <w:spacing w:val="-7"/>
          <w:sz w:val="12"/>
        </w:rPr>
        <w:t> </w:t>
      </w:r>
      <w:r>
        <w:rPr>
          <w:sz w:val="12"/>
        </w:rPr>
        <w:t>and productivity</w:t>
      </w:r>
      <w:r>
        <w:rPr>
          <w:spacing w:val="-2"/>
          <w:sz w:val="12"/>
        </w:rPr>
        <w:t> </w:t>
      </w:r>
      <w:r>
        <w:rPr>
          <w:sz w:val="12"/>
        </w:rPr>
        <w:t>growth.</w:t>
      </w:r>
    </w:p>
    <w:p>
      <w:pPr>
        <w:pStyle w:val="ListParagraph"/>
        <w:numPr>
          <w:ilvl w:val="1"/>
          <w:numId w:val="41"/>
        </w:numPr>
        <w:tabs>
          <w:tab w:pos="420" w:val="left" w:leader="none"/>
        </w:tabs>
        <w:spacing w:line="123" w:lineRule="exact" w:before="0" w:after="0"/>
        <w:ind w:left="419" w:right="0" w:hanging="241"/>
        <w:jc w:val="left"/>
        <w:rPr>
          <w:sz w:val="12"/>
        </w:rPr>
      </w:pPr>
      <w:r>
        <w:rPr>
          <w:sz w:val="12"/>
        </w:rPr>
        <w:t>Constructed using long-run trend productivity growth of</w:t>
      </w:r>
      <w:r>
        <w:rPr>
          <w:spacing w:val="-18"/>
          <w:sz w:val="12"/>
        </w:rPr>
        <w:t> </w:t>
      </w:r>
      <w:r>
        <w:rPr>
          <w:sz w:val="12"/>
        </w:rPr>
        <w:t>2%.</w:t>
      </w:r>
    </w:p>
    <w:p>
      <w:pPr>
        <w:pStyle w:val="BodyText"/>
        <w:spacing w:line="242" w:lineRule="auto" w:before="212"/>
        <w:ind w:left="169" w:right="159"/>
      </w:pPr>
      <w:r>
        <w:rPr/>
        <w:br w:type="column"/>
      </w:r>
      <w:r>
        <w:rPr/>
        <w:t>September, trimmed mean inflation was 2% while RPIX inflation was 2.2%. As is evident from the chart, the trimmed measure of inflation has generally been below RPIX inflation. Also shown is the median inflation rate of the RPIX components. This is the inflation rate of the ‘middle’ weighted element, chosen such that there are an equal</w:t>
      </w:r>
      <w:r>
        <w:rPr>
          <w:spacing w:val="-8"/>
        </w:rPr>
        <w:t> </w:t>
      </w:r>
      <w:r>
        <w:rPr/>
        <w:t>number</w:t>
      </w:r>
      <w:r>
        <w:rPr>
          <w:spacing w:val="-7"/>
        </w:rPr>
        <w:t> </w:t>
      </w:r>
      <w:r>
        <w:rPr/>
        <w:t>of</w:t>
      </w:r>
      <w:r>
        <w:rPr>
          <w:spacing w:val="-8"/>
        </w:rPr>
        <w:t> </w:t>
      </w:r>
      <w:r>
        <w:rPr/>
        <w:t>higher</w:t>
      </w:r>
      <w:r>
        <w:rPr>
          <w:spacing w:val="-7"/>
        </w:rPr>
        <w:t> </w:t>
      </w:r>
      <w:r>
        <w:rPr/>
        <w:t>and</w:t>
      </w:r>
      <w:r>
        <w:rPr>
          <w:spacing w:val="-8"/>
        </w:rPr>
        <w:t> </w:t>
      </w:r>
      <w:r>
        <w:rPr/>
        <w:t>lower</w:t>
      </w:r>
      <w:r>
        <w:rPr>
          <w:spacing w:val="-7"/>
        </w:rPr>
        <w:t> </w:t>
      </w:r>
      <w:r>
        <w:rPr/>
        <w:t>individual</w:t>
      </w:r>
      <w:r>
        <w:rPr>
          <w:spacing w:val="-7"/>
        </w:rPr>
        <w:t> </w:t>
      </w:r>
      <w:r>
        <w:rPr/>
        <w:t>components in the basket. The median has generally been below RPIX and the trimmed mean in recent</w:t>
      </w:r>
      <w:r>
        <w:rPr>
          <w:spacing w:val="-14"/>
        </w:rPr>
        <w:t> </w:t>
      </w:r>
      <w:r>
        <w:rPr/>
        <w:t>years.</w:t>
      </w:r>
    </w:p>
    <w:p>
      <w:pPr>
        <w:pStyle w:val="BodyText"/>
        <w:spacing w:before="4"/>
        <w:rPr>
          <w:sz w:val="25"/>
        </w:rPr>
      </w:pPr>
    </w:p>
    <w:p>
      <w:pPr>
        <w:pStyle w:val="BodyText"/>
        <w:spacing w:line="242" w:lineRule="auto"/>
        <w:ind w:left="169" w:right="88"/>
      </w:pPr>
      <w:r>
        <w:rPr/>
        <w:t>Weights in the retail price index change once a year to reflect changes in the pattern of household expenditure. However, there are other factors that influence household spending power that can be used to adjust retail prices in order to derive a measure closer to a cost of living index. The tax and price index (TPI) (see Chart 4.11) does this by adjusting for changes in direct taxation. Thus, if the share of household incomes taken in direct taxation falls the TPI will show inflation below RPI, and if the direct tax take rises it will be above RPI. As the chart shows, TPI inflation has typically been below RPI since 1996, and sometimes substantially so, though it has been virtually identical to RPI for most of 2000.</w:t>
      </w:r>
    </w:p>
    <w:p>
      <w:pPr>
        <w:pStyle w:val="BodyText"/>
        <w:spacing w:before="9"/>
        <w:rPr>
          <w:sz w:val="25"/>
        </w:rPr>
      </w:pPr>
    </w:p>
    <w:p>
      <w:pPr>
        <w:pStyle w:val="BodyText"/>
        <w:spacing w:line="242" w:lineRule="auto"/>
        <w:ind w:left="169" w:right="164"/>
      </w:pPr>
      <w:r>
        <w:rPr/>
        <w:t>Another index of UK inflation is provided by the harmonised index of consumer prices (HICP). HICP inflation (see Chart 4.12) rose in September to a 1% annual rate, and recent movements </w:t>
      </w:r>
      <w:r>
        <w:rPr>
          <w:spacing w:val="-3"/>
        </w:rPr>
        <w:t>have </w:t>
      </w:r>
      <w:r>
        <w:rPr/>
        <w:t>broadly paralleled RPIX inflation but at a lower </w:t>
      </w:r>
      <w:r>
        <w:rPr>
          <w:spacing w:val="-3"/>
        </w:rPr>
        <w:t>level. </w:t>
      </w:r>
      <w:r>
        <w:rPr/>
        <w:t>The main differences between RPIX and HICP </w:t>
      </w:r>
      <w:r>
        <w:rPr>
          <w:spacing w:val="-3"/>
        </w:rPr>
        <w:t>have </w:t>
      </w:r>
      <w:r>
        <w:rPr/>
        <w:t>been discussed in earlier </w:t>
      </w:r>
      <w:r>
        <w:rPr>
          <w:i/>
        </w:rPr>
        <w:t>Reports</w:t>
      </w:r>
      <w:r>
        <w:rPr/>
        <w:t>; these relate to the different treatment</w:t>
      </w:r>
      <w:r>
        <w:rPr>
          <w:spacing w:val="-9"/>
        </w:rPr>
        <w:t> </w:t>
      </w:r>
      <w:r>
        <w:rPr/>
        <w:t>of</w:t>
      </w:r>
      <w:r>
        <w:rPr>
          <w:spacing w:val="-8"/>
        </w:rPr>
        <w:t> </w:t>
      </w:r>
      <w:r>
        <w:rPr/>
        <w:t>housing</w:t>
      </w:r>
      <w:r>
        <w:rPr>
          <w:spacing w:val="-8"/>
        </w:rPr>
        <w:t> </w:t>
      </w:r>
      <w:r>
        <w:rPr/>
        <w:t>costs,</w:t>
      </w:r>
      <w:r>
        <w:rPr>
          <w:spacing w:val="-7"/>
        </w:rPr>
        <w:t> </w:t>
      </w:r>
      <w:r>
        <w:rPr/>
        <w:t>other</w:t>
      </w:r>
      <w:r>
        <w:rPr>
          <w:spacing w:val="-8"/>
        </w:rPr>
        <w:t> </w:t>
      </w:r>
      <w:r>
        <w:rPr/>
        <w:t>differences</w:t>
      </w:r>
      <w:r>
        <w:rPr>
          <w:spacing w:val="-8"/>
        </w:rPr>
        <w:t> </w:t>
      </w:r>
      <w:r>
        <w:rPr/>
        <w:t>of</w:t>
      </w:r>
      <w:r>
        <w:rPr>
          <w:spacing w:val="-8"/>
        </w:rPr>
        <w:t> </w:t>
      </w:r>
      <w:r>
        <w:rPr/>
        <w:t>coverage, and the use of an arithmetic mean to calculate the average price of different types of goods and services from individual price quotes in the former and a geometric mean in the</w:t>
      </w:r>
      <w:r>
        <w:rPr>
          <w:spacing w:val="-5"/>
        </w:rPr>
        <w:t> </w:t>
      </w:r>
      <w:r>
        <w:rPr>
          <w:spacing w:val="-3"/>
        </w:rPr>
        <w:t>latter.</w:t>
      </w:r>
    </w:p>
    <w:p>
      <w:pPr>
        <w:pStyle w:val="BodyText"/>
        <w:spacing w:before="8"/>
        <w:rPr>
          <w:sz w:val="25"/>
        </w:rPr>
      </w:pPr>
    </w:p>
    <w:p>
      <w:pPr>
        <w:pStyle w:val="BodyText"/>
        <w:spacing w:line="242" w:lineRule="auto"/>
        <w:ind w:left="169" w:right="147"/>
      </w:pPr>
      <w:r>
        <w:rPr/>
        <w:t>Attempts are sometimes made to separate out the domestically generated component of inflation (DGI) from the influences of world prices and the exchange rate. There is no unique or reliable way of doing this, but the Bank calculates several measures that may provide some information. Chart 4.13 shows three alternative measures of DGI. All three measures have fallen in</w:t>
      </w:r>
    </w:p>
    <w:p>
      <w:pPr>
        <w:pStyle w:val="BodyText"/>
        <w:spacing w:line="242" w:lineRule="auto" w:before="9"/>
        <w:ind w:left="169" w:right="151"/>
      </w:pPr>
      <w:r>
        <w:rPr/>
        <w:t>2000 H1 and are </w:t>
      </w:r>
      <w:r>
        <w:rPr>
          <w:spacing w:val="-3"/>
        </w:rPr>
        <w:t>now </w:t>
      </w:r>
      <w:r>
        <w:rPr/>
        <w:t>all below 2.5%. RPIX inflation excluding import prices has fallen steadily since 1998, while the growth rate of whole-economy unit labour costs (and unit labour costs calculated using trend productivity</w:t>
      </w:r>
      <w:r>
        <w:rPr>
          <w:spacing w:val="-9"/>
        </w:rPr>
        <w:t> </w:t>
      </w:r>
      <w:r>
        <w:rPr/>
        <w:t>growth)</w:t>
      </w:r>
      <w:r>
        <w:rPr>
          <w:spacing w:val="-8"/>
        </w:rPr>
        <w:t> </w:t>
      </w:r>
      <w:r>
        <w:rPr/>
        <w:t>has</w:t>
      </w:r>
      <w:r>
        <w:rPr>
          <w:spacing w:val="-8"/>
        </w:rPr>
        <w:t> </w:t>
      </w:r>
      <w:r>
        <w:rPr/>
        <w:t>fallen</w:t>
      </w:r>
      <w:r>
        <w:rPr>
          <w:spacing w:val="-8"/>
        </w:rPr>
        <w:t> </w:t>
      </w:r>
      <w:r>
        <w:rPr/>
        <w:t>sharply</w:t>
      </w:r>
      <w:r>
        <w:rPr>
          <w:spacing w:val="-8"/>
        </w:rPr>
        <w:t> </w:t>
      </w:r>
      <w:r>
        <w:rPr/>
        <w:t>during</w:t>
      </w:r>
      <w:r>
        <w:rPr>
          <w:spacing w:val="-8"/>
        </w:rPr>
        <w:t> </w:t>
      </w:r>
      <w:r>
        <w:rPr/>
        <w:t>the</w:t>
      </w:r>
      <w:r>
        <w:rPr>
          <w:spacing w:val="-8"/>
        </w:rPr>
        <w:t> </w:t>
      </w:r>
      <w:r>
        <w:rPr/>
        <w:t>current </w:t>
      </w:r>
      <w:r>
        <w:rPr>
          <w:spacing w:val="-4"/>
        </w:rPr>
        <w:t>year.</w:t>
      </w:r>
    </w:p>
    <w:p>
      <w:pPr>
        <w:spacing w:after="0" w:line="242" w:lineRule="auto"/>
        <w:sectPr>
          <w:type w:val="continuous"/>
          <w:pgSz w:w="11900" w:h="16840"/>
          <w:pgMar w:top="1260" w:bottom="280" w:left="640" w:right="640"/>
          <w:cols w:num="2" w:equalWidth="0">
            <w:col w:w="4043" w:space="748"/>
            <w:col w:w="5829"/>
          </w:cols>
        </w:sectPr>
      </w:pPr>
    </w:p>
    <w:p>
      <w:pPr>
        <w:pStyle w:val="BodyText"/>
        <w:rPr>
          <w:sz w:val="20"/>
        </w:rPr>
      </w:pPr>
    </w:p>
    <w:p>
      <w:pPr>
        <w:spacing w:after="0"/>
        <w:rPr>
          <w:sz w:val="20"/>
        </w:rPr>
        <w:sectPr>
          <w:pgSz w:w="11900" w:h="16840"/>
          <w:pgMar w:header="601" w:footer="592" w:top="780" w:bottom="780" w:left="640" w:right="640"/>
        </w:sectPr>
      </w:pPr>
    </w:p>
    <w:p>
      <w:pPr>
        <w:pStyle w:val="BodyText"/>
        <w:spacing w:before="2"/>
        <w:rPr>
          <w:sz w:val="22"/>
        </w:rPr>
      </w:pPr>
    </w:p>
    <w:p>
      <w:pPr>
        <w:spacing w:before="1"/>
        <w:ind w:left="174" w:right="0" w:firstLine="0"/>
        <w:jc w:val="left"/>
        <w:rPr>
          <w:b/>
          <w:sz w:val="20"/>
        </w:rPr>
      </w:pPr>
      <w:bookmarkStart w:name="Summary" w:id="70"/>
      <w:bookmarkEnd w:id="70"/>
      <w:r>
        <w:rPr/>
      </w:r>
      <w:bookmarkStart w:name="_bookmark30" w:id="71"/>
      <w:bookmarkEnd w:id="71"/>
      <w:r>
        <w:rPr/>
      </w:r>
      <w:r>
        <w:rPr>
          <w:b/>
          <w:color w:val="0092C7"/>
          <w:sz w:val="20"/>
        </w:rPr>
        <w:t>Chart 4.14</w:t>
      </w:r>
    </w:p>
    <w:p>
      <w:pPr>
        <w:spacing w:before="10"/>
        <w:ind w:left="174" w:right="0" w:firstLine="0"/>
        <w:jc w:val="left"/>
        <w:rPr>
          <w:b/>
          <w:sz w:val="20"/>
        </w:rPr>
      </w:pPr>
      <w:r>
        <w:rPr>
          <w:b/>
          <w:color w:val="0092C7"/>
          <w:sz w:val="20"/>
        </w:rPr>
        <w:t>Expenditure price indices</w:t>
      </w:r>
    </w:p>
    <w:p>
      <w:pPr>
        <w:spacing w:line="244" w:lineRule="auto" w:before="104"/>
        <w:ind w:left="652" w:right="30" w:firstLine="1023"/>
        <w:jc w:val="left"/>
        <w:rPr>
          <w:sz w:val="12"/>
        </w:rPr>
      </w:pPr>
      <w:r>
        <w:rPr/>
        <w:pict>
          <v:line style="position:absolute;mso-position-horizontal-relative:page;mso-position-vertical-relative:paragraph;z-index:16164864" from="43.162998pt,13.056467pt" to="47.495998pt,13.056467pt" stroked="true" strokeweight=".5pt" strokecolor="#000000">
            <v:stroke dashstyle="solid"/>
            <w10:wrap type="none"/>
          </v:line>
        </w:pict>
      </w:r>
      <w:r>
        <w:rPr>
          <w:sz w:val="12"/>
        </w:rPr>
        <w:t>Percentage changes on a year earli</w:t>
      </w:r>
      <w:r>
        <w:rPr>
          <w:sz w:val="12"/>
          <w:u w:val="single"/>
        </w:rPr>
        <w:t>er</w:t>
      </w:r>
      <w:r>
        <w:rPr>
          <w:sz w:val="12"/>
        </w:rPr>
        <w:t> </w:t>
      </w:r>
      <w:r>
        <w:rPr>
          <w:position w:val="-7"/>
          <w:sz w:val="12"/>
        </w:rPr>
        <w:t>4.0 </w:t>
      </w:r>
      <w:r>
        <w:rPr>
          <w:sz w:val="12"/>
        </w:rPr>
        <w:t>Consumer expenditure</w:t>
      </w:r>
    </w:p>
    <w:p>
      <w:pPr>
        <w:spacing w:line="98" w:lineRule="exact" w:before="0"/>
        <w:ind w:left="712" w:right="0" w:firstLine="0"/>
        <w:jc w:val="left"/>
        <w:rPr>
          <w:sz w:val="12"/>
        </w:rPr>
      </w:pPr>
      <w:r>
        <w:rPr/>
        <w:pict>
          <v:group style="position:absolute;margin-left:43.162998pt;margin-top:1.031663pt;width:160.15pt;height:115.7pt;mso-position-horizontal-relative:page;mso-position-vertical-relative:paragraph;z-index:-22489088" coordorigin="863,21" coordsize="3203,2314">
            <v:shape style="position:absolute;left:1012;top:533;width:718;height:643" type="#_x0000_t75" stroked="false">
              <v:imagedata r:id="rId171" o:title=""/>
            </v:shape>
            <v:shape style="position:absolute;left:1720;top:265;width:698;height:763" coordorigin="1720,266" coordsize="698,763" path="m1720,1028l1820,488m1820,488l1920,378m1920,378l2020,323m2020,323l2120,266m2120,266l2218,488m2218,488l2318,516m2318,516l2418,793e" filled="false" stroked="true" strokeweight="1pt" strokecolor="#0099d9">
              <v:path arrowok="t"/>
              <v:stroke dashstyle="solid"/>
            </v:shape>
            <v:line style="position:absolute" from="2407,794" to="2517,794" stroked="true" strokeweight="1.125pt" strokecolor="#0099d9">
              <v:stroke dashstyle="solid"/>
            </v:line>
            <v:shape style="position:absolute;left:2507;top:793;width:698;height:705" coordorigin="2507,793" coordsize="698,705" path="m2507,793l2605,1138m2605,1138l2705,1471m2705,1471l2805,1096m2805,1096l2905,1291m2905,1291l3005,1416m3005,1416l3105,1111m3105,1111l3205,1498e" filled="false" stroked="true" strokeweight="1pt" strokecolor="#0099d9">
              <v:path arrowok="t"/>
              <v:stroke dashstyle="solid"/>
            </v:shape>
            <v:shape style="position:absolute;left:3195;top:1238;width:718;height:435" type="#_x0000_t75" stroked="false">
              <v:imagedata r:id="rId172" o:title=""/>
            </v:shape>
            <v:shape style="position:absolute;left:1022;top:30;width:2880;height:1745" coordorigin="1022,31" coordsize="2880,1745" path="m1022,543l1122,88m1122,88l1222,101m1222,101l1322,31m1322,31l1420,833m1420,833l1520,1166m1520,1166l1620,1096m1620,1096l1720,1181m1720,1181l1820,503m1820,503l1920,598m1920,598l2020,531m2020,531l2120,558m2120,558l2217,418m2217,418l2317,516m2317,516l2417,308m2417,308l2507,323m2507,323l2605,641m2605,641l2705,1068m2705,1068l2805,946m2805,946l2905,958m2905,958l3005,1111m3005,1111l3105,626m3105,626l3205,986m3205,986l3305,1001m3305,1001l3402,1208m3402,1208l3502,1221m3502,1221l3702,1361m3702,1361l3802,1498m3802,1498l3902,1776e" filled="false" stroked="true" strokeweight="1pt" strokecolor="#de0035">
              <v:path arrowok="t"/>
              <v:stroke dashstyle="solid"/>
            </v:shape>
            <v:shape style="position:absolute;left:1022;top:88;width:2880;height:2158" coordorigin="1022,88" coordsize="2880,2158" path="m1022,821l1122,1221m1122,1221l1222,446m1222,446l1322,378m1322,378l1420,1096m1420,1096l1520,1483m1520,1483l1620,2246m1620,2246l1720,1568m1720,1568l1820,1346m1820,1346l1920,833m1920,833l2020,461m2020,461l2120,778m2120,778l2217,351m2217,351l2317,363m2317,363l2417,88m2417,88l2507,473m2507,473l2605,503m2605,503l2705,793m2705,793l2805,946m2805,946l2905,183m2905,183l3005,696m3005,696l3105,363m3105,363l3205,238m3205,238l3305,738m3305,738l3402,946m3402,946l3502,833m3502,833l3602,778m3602,778l3702,986m3702,986l3802,793m3802,793l3902,1401e" filled="false" stroked="true" strokeweight="1pt" strokecolor="#008360">
              <v:path arrowok="t"/>
              <v:stroke dashstyle="solid"/>
            </v:shape>
            <v:shape style="position:absolute;left:863;top:154;width:3203;height:2175" coordorigin="863,154" coordsize="3203,2175" path="m863,158l950,158m863,519l950,519m863,881l950,881m863,1243l950,1243m863,1605l950,1605m863,1967l950,1967m863,2329l950,2329m3979,154l4066,154m3979,516l4066,516m3979,878l4066,878m3979,1240l4066,1240m3979,1602l4066,1602m3979,1964l4066,1964m3979,2325l4066,2325e" filled="false" stroked="true" strokeweight=".5pt" strokecolor="#000000">
              <v:path arrowok="t"/>
              <v:stroke dashstyle="solid"/>
            </v:shape>
            <w10:wrap type="none"/>
          </v:group>
        </w:pict>
      </w:r>
      <w:r>
        <w:rPr>
          <w:sz w:val="12"/>
        </w:rPr>
        <w:t>deflator</w:t>
      </w:r>
    </w:p>
    <w:p>
      <w:pPr>
        <w:spacing w:line="100" w:lineRule="exact" w:before="0"/>
        <w:ind w:left="3463" w:right="0" w:firstLine="0"/>
        <w:jc w:val="left"/>
        <w:rPr>
          <w:sz w:val="12"/>
        </w:rPr>
      </w:pPr>
      <w:r>
        <w:rPr>
          <w:sz w:val="12"/>
        </w:rPr>
        <w:t>3.5</w:t>
      </w:r>
    </w:p>
    <w:p>
      <w:pPr>
        <w:spacing w:line="120" w:lineRule="exact" w:before="0"/>
        <w:ind w:left="2623" w:right="0" w:firstLine="0"/>
        <w:jc w:val="left"/>
        <w:rPr>
          <w:sz w:val="12"/>
        </w:rPr>
      </w:pPr>
      <w:r>
        <w:rPr>
          <w:sz w:val="12"/>
        </w:rPr>
        <w:t>GDP deflator</w:t>
      </w:r>
    </w:p>
    <w:p>
      <w:pPr>
        <w:pStyle w:val="BodyText"/>
        <w:spacing w:before="6"/>
        <w:rPr>
          <w:sz w:val="10"/>
        </w:rPr>
      </w:pPr>
    </w:p>
    <w:p>
      <w:pPr>
        <w:spacing w:before="0"/>
        <w:ind w:left="0" w:right="38" w:firstLine="0"/>
        <w:jc w:val="right"/>
        <w:rPr>
          <w:sz w:val="12"/>
        </w:rPr>
      </w:pPr>
      <w:r>
        <w:rPr>
          <w:sz w:val="12"/>
        </w:rPr>
        <w:t>3.0</w:t>
      </w:r>
    </w:p>
    <w:p>
      <w:pPr>
        <w:pStyle w:val="BodyText"/>
        <w:rPr>
          <w:sz w:val="12"/>
        </w:rPr>
      </w:pPr>
    </w:p>
    <w:p>
      <w:pPr>
        <w:spacing w:before="86"/>
        <w:ind w:left="0" w:right="38" w:firstLine="0"/>
        <w:jc w:val="right"/>
        <w:rPr>
          <w:sz w:val="12"/>
        </w:rPr>
      </w:pPr>
      <w:r>
        <w:rPr>
          <w:sz w:val="12"/>
        </w:rPr>
        <w:t>2.5</w:t>
      </w:r>
    </w:p>
    <w:p>
      <w:pPr>
        <w:pStyle w:val="BodyText"/>
        <w:rPr>
          <w:sz w:val="12"/>
        </w:rPr>
      </w:pPr>
    </w:p>
    <w:p>
      <w:pPr>
        <w:spacing w:before="85"/>
        <w:ind w:left="0" w:right="38" w:firstLine="0"/>
        <w:jc w:val="right"/>
        <w:rPr>
          <w:sz w:val="12"/>
        </w:rPr>
      </w:pPr>
      <w:r>
        <w:rPr>
          <w:sz w:val="12"/>
        </w:rPr>
        <w:t>2.0</w:t>
      </w:r>
    </w:p>
    <w:p>
      <w:pPr>
        <w:pStyle w:val="BodyText"/>
        <w:spacing w:line="242" w:lineRule="auto" w:before="227"/>
        <w:ind w:left="174" w:right="189"/>
      </w:pPr>
      <w:r>
        <w:rPr/>
        <w:br w:type="column"/>
      </w:r>
      <w:r>
        <w:rPr/>
        <w:t>Further indicators of domestic price inflation are provided by the GDP and consumer expenditure deflators, implied by the comparison between nominal and real National Accounts estimates. These are shown in Chart 4.14. The GDP deflator is quite volatile, but both deflators indicate that the annual rate of price increase fell sharply in Q2. The annual increase in the GDP deflator was below 2% in Q2 for the first time since 1995, and the annual increase in the consumer</w:t>
      </w:r>
    </w:p>
    <w:p>
      <w:pPr>
        <w:spacing w:after="0" w:line="242" w:lineRule="auto"/>
        <w:sectPr>
          <w:type w:val="continuous"/>
          <w:pgSz w:w="11900" w:h="16840"/>
          <w:pgMar w:top="1260" w:bottom="280" w:left="640" w:right="640"/>
          <w:cols w:num="2" w:equalWidth="0">
            <w:col w:w="3654" w:space="1157"/>
            <w:col w:w="5809"/>
          </w:cols>
        </w:sectPr>
      </w:pPr>
    </w:p>
    <w:p>
      <w:pPr>
        <w:spacing w:line="88" w:lineRule="exact" w:before="0"/>
        <w:ind w:left="2034" w:right="0" w:firstLine="0"/>
        <w:jc w:val="left"/>
        <w:rPr>
          <w:sz w:val="12"/>
        </w:rPr>
      </w:pPr>
      <w:r>
        <w:rPr>
          <w:sz w:val="12"/>
        </w:rPr>
        <w:t>Final expenditure</w:t>
      </w:r>
    </w:p>
    <w:p>
      <w:pPr>
        <w:spacing w:line="129" w:lineRule="exact" w:before="0"/>
        <w:ind w:left="2094" w:right="0" w:firstLine="0"/>
        <w:jc w:val="left"/>
        <w:rPr>
          <w:sz w:val="12"/>
        </w:rPr>
      </w:pPr>
      <w:r>
        <w:rPr>
          <w:sz w:val="12"/>
        </w:rPr>
        <w:t>price index</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0"/>
        </w:rPr>
      </w:pPr>
    </w:p>
    <w:p>
      <w:pPr>
        <w:tabs>
          <w:tab w:pos="910" w:val="left" w:leader="none"/>
          <w:tab w:pos="1307" w:val="left" w:leader="none"/>
          <w:tab w:pos="1707" w:val="left" w:leader="none"/>
          <w:tab w:pos="2095" w:val="left" w:leader="none"/>
          <w:tab w:pos="2492" w:val="left" w:leader="none"/>
          <w:tab w:pos="2892" w:val="left" w:leader="none"/>
        </w:tabs>
        <w:spacing w:before="0"/>
        <w:ind w:left="450" w:right="0" w:firstLine="0"/>
        <w:jc w:val="left"/>
        <w:rPr>
          <w:sz w:val="12"/>
        </w:rPr>
      </w:pPr>
      <w:r>
        <w:rPr/>
        <w:pict>
          <v:shape style="position:absolute;margin-left:43.162998pt;margin-top:-4.635189pt;width:160.15pt;height:3.55pt;mso-position-horizontal-relative:page;mso-position-vertical-relative:paragraph;z-index:16164352" coordorigin="863,-93" coordsize="3203,71" path="m1021,-26l3917,-26m1019,-93l1019,-26m1417,-93l1417,-26m1815,-93l1815,-26m2213,-93l2213,-26m2611,-93l2611,-26m3009,-93l3009,-26m3407,-93l3407,-26m3805,-93l3805,-26m863,-22l950,-22m3979,-26l4066,-26e" filled="false" stroked="true" strokeweight=".5pt" strokecolor="#000000">
            <v:path arrowok="t"/>
            <v:stroke dashstyle="solid"/>
            <w10:wrap type="none"/>
          </v:shape>
        </w:pict>
      </w:r>
      <w:r>
        <w:rPr>
          <w:sz w:val="12"/>
        </w:rPr>
        <w:t>1993</w:t>
        <w:tab/>
        <w:t>94</w:t>
        <w:tab/>
        <w:t>95</w:t>
        <w:tab/>
        <w:t>96</w:t>
        <w:tab/>
        <w:t>97</w:t>
        <w:tab/>
        <w:t>98</w:t>
        <w:tab/>
        <w:t>99</w:t>
      </w:r>
      <w:r>
        <w:rPr>
          <w:spacing w:val="23"/>
          <w:sz w:val="12"/>
        </w:rPr>
        <w:t> </w:t>
      </w:r>
      <w:r>
        <w:rPr>
          <w:spacing w:val="-5"/>
          <w:sz w:val="12"/>
        </w:rPr>
        <w:t>2000</w:t>
      </w:r>
    </w:p>
    <w:p>
      <w:pPr>
        <w:pStyle w:val="BodyText"/>
        <w:spacing w:before="5"/>
        <w:rPr>
          <w:sz w:val="12"/>
        </w:rPr>
      </w:pPr>
    </w:p>
    <w:p>
      <w:pPr>
        <w:spacing w:before="0"/>
        <w:ind w:left="185" w:right="0" w:firstLine="0"/>
        <w:jc w:val="left"/>
        <w:rPr>
          <w:sz w:val="12"/>
        </w:rPr>
      </w:pPr>
      <w:r>
        <w:rPr>
          <w:sz w:val="12"/>
        </w:rPr>
        <w:t>Source: ONS.</w:t>
      </w:r>
    </w:p>
    <w:p>
      <w:pPr>
        <w:spacing w:line="117" w:lineRule="exact" w:before="0"/>
        <w:ind w:left="27" w:right="0" w:firstLine="0"/>
        <w:jc w:val="left"/>
        <w:rPr>
          <w:sz w:val="12"/>
        </w:rPr>
      </w:pPr>
      <w:r>
        <w:rPr/>
        <w:br w:type="column"/>
      </w:r>
      <w:r>
        <w:rPr>
          <w:sz w:val="12"/>
        </w:rPr>
        <w:t>1.5</w:t>
      </w:r>
    </w:p>
    <w:p>
      <w:pPr>
        <w:pStyle w:val="BodyText"/>
        <w:rPr>
          <w:sz w:val="12"/>
        </w:rPr>
      </w:pPr>
    </w:p>
    <w:p>
      <w:pPr>
        <w:spacing w:before="85"/>
        <w:ind w:left="27" w:right="0" w:firstLine="0"/>
        <w:jc w:val="left"/>
        <w:rPr>
          <w:sz w:val="12"/>
        </w:rPr>
      </w:pPr>
      <w:r>
        <w:rPr>
          <w:sz w:val="12"/>
        </w:rPr>
        <w:t>1.0</w:t>
      </w:r>
    </w:p>
    <w:p>
      <w:pPr>
        <w:pStyle w:val="BodyText"/>
        <w:rPr>
          <w:sz w:val="12"/>
        </w:rPr>
      </w:pPr>
    </w:p>
    <w:p>
      <w:pPr>
        <w:spacing w:before="85"/>
        <w:ind w:left="27" w:right="0" w:firstLine="0"/>
        <w:jc w:val="left"/>
        <w:rPr>
          <w:sz w:val="12"/>
        </w:rPr>
      </w:pPr>
      <w:r>
        <w:rPr>
          <w:sz w:val="12"/>
        </w:rPr>
        <w:t>0.5</w:t>
      </w:r>
    </w:p>
    <w:p>
      <w:pPr>
        <w:pStyle w:val="BodyText"/>
        <w:rPr>
          <w:sz w:val="12"/>
        </w:rPr>
      </w:pPr>
    </w:p>
    <w:p>
      <w:pPr>
        <w:spacing w:before="86"/>
        <w:ind w:left="27" w:right="0" w:firstLine="0"/>
        <w:jc w:val="left"/>
        <w:rPr>
          <w:sz w:val="12"/>
        </w:rPr>
      </w:pPr>
      <w:r>
        <w:rPr>
          <w:sz w:val="12"/>
        </w:rPr>
        <w:t>0.0</w:t>
      </w:r>
    </w:p>
    <w:p>
      <w:pPr>
        <w:pStyle w:val="BodyText"/>
        <w:spacing w:line="242" w:lineRule="auto" w:before="11"/>
        <w:ind w:left="191" w:right="129"/>
      </w:pPr>
      <w:r>
        <w:rPr/>
        <w:br w:type="column"/>
      </w:r>
      <w:r>
        <w:rPr/>
        <w:t>expenditure deflator in Q2 was below 1.5% for the first time since the early 1960s. Also shown in the chart is an experimental index of final expenditure prices,</w:t>
      </w:r>
      <w:r>
        <w:rPr>
          <w:position w:val="5"/>
          <w:sz w:val="16"/>
        </w:rPr>
        <w:t>(1) </w:t>
      </w:r>
      <w:r>
        <w:rPr/>
        <w:t>which shows a price index for the basket made up of the weighted sum of the components of total final domestic spending (consumption, fixed investment and government consumption). This also showed the annual inflation rate below 1.5% in Q2.</w:t>
      </w:r>
    </w:p>
    <w:p>
      <w:pPr>
        <w:pStyle w:val="BodyText"/>
        <w:rPr>
          <w:sz w:val="22"/>
        </w:rPr>
      </w:pPr>
    </w:p>
    <w:p>
      <w:pPr>
        <w:pStyle w:val="Heading4"/>
        <w:numPr>
          <w:ilvl w:val="1"/>
          <w:numId w:val="37"/>
        </w:numPr>
        <w:tabs>
          <w:tab w:pos="4288" w:val="left" w:leader="none"/>
          <w:tab w:pos="4290" w:val="left" w:leader="none"/>
        </w:tabs>
        <w:spacing w:line="240" w:lineRule="auto" w:before="0" w:after="0"/>
        <w:ind w:left="4289" w:right="0" w:hanging="4099"/>
        <w:jc w:val="left"/>
        <w:rPr>
          <w:color w:val="009391"/>
        </w:rPr>
      </w:pPr>
      <w:r>
        <w:rPr>
          <w:color w:val="009391"/>
          <w:u w:val="thick" w:color="0092C7"/>
        </w:rPr>
        <w:t>Summary</w:t>
      </w:r>
      <w:r>
        <w:rPr>
          <w:color w:val="009391"/>
          <w:spacing w:val="-11"/>
          <w:u w:val="thick" w:color="0092C7"/>
        </w:rPr>
        <w:t> </w:t>
      </w:r>
    </w:p>
    <w:p>
      <w:pPr>
        <w:pStyle w:val="BodyText"/>
        <w:spacing w:line="242" w:lineRule="auto" w:before="264"/>
        <w:ind w:left="191" w:right="169"/>
      </w:pPr>
      <w:r>
        <w:rPr/>
        <w:t>The world price of oil has increased since August. This has had a further impact on production costs for both manufacturing</w:t>
      </w:r>
      <w:r>
        <w:rPr>
          <w:spacing w:val="-6"/>
        </w:rPr>
        <w:t> </w:t>
      </w:r>
      <w:r>
        <w:rPr/>
        <w:t>and</w:t>
      </w:r>
      <w:r>
        <w:rPr>
          <w:spacing w:val="-6"/>
        </w:rPr>
        <w:t> </w:t>
      </w:r>
      <w:r>
        <w:rPr/>
        <w:t>services,</w:t>
      </w:r>
      <w:r>
        <w:rPr>
          <w:spacing w:val="-5"/>
        </w:rPr>
        <w:t> </w:t>
      </w:r>
      <w:r>
        <w:rPr/>
        <w:t>and</w:t>
      </w:r>
      <w:r>
        <w:rPr>
          <w:spacing w:val="-6"/>
        </w:rPr>
        <w:t> </w:t>
      </w:r>
      <w:r>
        <w:rPr/>
        <w:t>it</w:t>
      </w:r>
      <w:r>
        <w:rPr>
          <w:spacing w:val="-6"/>
        </w:rPr>
        <w:t> </w:t>
      </w:r>
      <w:r>
        <w:rPr/>
        <w:t>has</w:t>
      </w:r>
      <w:r>
        <w:rPr>
          <w:spacing w:val="-6"/>
        </w:rPr>
        <w:t> </w:t>
      </w:r>
      <w:r>
        <w:rPr/>
        <w:t>partly</w:t>
      </w:r>
      <w:r>
        <w:rPr>
          <w:spacing w:val="-6"/>
        </w:rPr>
        <w:t> </w:t>
      </w:r>
      <w:r>
        <w:rPr/>
        <w:t>fed</w:t>
      </w:r>
      <w:r>
        <w:rPr>
          <w:spacing w:val="-5"/>
        </w:rPr>
        <w:t> </w:t>
      </w:r>
      <w:r>
        <w:rPr/>
        <w:t>through into retail prices. This has not just been via the direct cost of petrol and heating oil, but also indirectly via higher distribution and </w:t>
      </w:r>
      <w:r>
        <w:rPr>
          <w:spacing w:val="-2"/>
        </w:rPr>
        <w:t>travel </w:t>
      </w:r>
      <w:r>
        <w:rPr/>
        <w:t>costs, and holiday price increases. Higher prices for materials and fuels </w:t>
      </w:r>
      <w:r>
        <w:rPr>
          <w:spacing w:val="-3"/>
        </w:rPr>
        <w:t>have </w:t>
      </w:r>
      <w:r>
        <w:rPr/>
        <w:t>been partly offset by more benign unit wage</w:t>
      </w:r>
      <w:r>
        <w:rPr>
          <w:spacing w:val="-25"/>
        </w:rPr>
        <w:t> </w:t>
      </w:r>
      <w:r>
        <w:rPr/>
        <w:t>costs.</w:t>
      </w:r>
    </w:p>
    <w:p>
      <w:pPr>
        <w:pStyle w:val="BodyText"/>
        <w:spacing w:line="242" w:lineRule="auto" w:before="10"/>
        <w:ind w:left="191" w:right="161"/>
      </w:pPr>
      <w:r>
        <w:rPr/>
        <w:t>Goods price inflation remains </w:t>
      </w:r>
      <w:r>
        <w:rPr>
          <w:spacing w:val="-3"/>
        </w:rPr>
        <w:t>low </w:t>
      </w:r>
      <w:r>
        <w:rPr/>
        <w:t>and services price inflation is below the highs seen earlier this </w:t>
      </w:r>
      <w:r>
        <w:rPr>
          <w:spacing w:val="-4"/>
        </w:rPr>
        <w:t>year. </w:t>
      </w:r>
      <w:r>
        <w:rPr/>
        <w:t>Price competition remains strong and the squeeze on retailers’ and manufacturers’ margins has probably continued, especially</w:t>
      </w:r>
      <w:r>
        <w:rPr>
          <w:spacing w:val="-7"/>
        </w:rPr>
        <w:t> </w:t>
      </w:r>
      <w:r>
        <w:rPr/>
        <w:t>for</w:t>
      </w:r>
      <w:r>
        <w:rPr>
          <w:spacing w:val="-6"/>
        </w:rPr>
        <w:t> </w:t>
      </w:r>
      <w:r>
        <w:rPr/>
        <w:t>the</w:t>
      </w:r>
      <w:r>
        <w:rPr>
          <w:spacing w:val="-7"/>
        </w:rPr>
        <w:t> </w:t>
      </w:r>
      <w:r>
        <w:rPr/>
        <w:t>latter</w:t>
      </w:r>
      <w:r>
        <w:rPr>
          <w:spacing w:val="-6"/>
        </w:rPr>
        <w:t> </w:t>
      </w:r>
      <w:r>
        <w:rPr/>
        <w:t>in</w:t>
      </w:r>
      <w:r>
        <w:rPr>
          <w:spacing w:val="-7"/>
        </w:rPr>
        <w:t> </w:t>
      </w:r>
      <w:r>
        <w:rPr/>
        <w:t>export</w:t>
      </w:r>
      <w:r>
        <w:rPr>
          <w:spacing w:val="-6"/>
        </w:rPr>
        <w:t> </w:t>
      </w:r>
      <w:r>
        <w:rPr/>
        <w:t>markets.</w:t>
      </w:r>
      <w:r>
        <w:rPr>
          <w:spacing w:val="-6"/>
        </w:rPr>
        <w:t> </w:t>
      </w:r>
      <w:r>
        <w:rPr/>
        <w:t>RPIX</w:t>
      </w:r>
      <w:r>
        <w:rPr>
          <w:spacing w:val="-7"/>
        </w:rPr>
        <w:t> </w:t>
      </w:r>
      <w:r>
        <w:rPr/>
        <w:t>inflation remains below target but is projected to rise to around the target </w:t>
      </w:r>
      <w:r>
        <w:rPr>
          <w:spacing w:val="-3"/>
        </w:rPr>
        <w:t>level over </w:t>
      </w:r>
      <w:r>
        <w:rPr/>
        <w:t>the next two</w:t>
      </w:r>
      <w:r>
        <w:rPr>
          <w:spacing w:val="-6"/>
        </w:rPr>
        <w:t> </w:t>
      </w:r>
      <w:r>
        <w:rPr/>
        <w:t>years.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1"/>
        </w:rPr>
      </w:pPr>
      <w:r>
        <w:rPr/>
        <w:pict>
          <v:shape style="position:absolute;margin-left:280.279999pt;margin-top:8.870402pt;width:276.75pt;height:.1pt;mso-position-horizontal-relative:page;mso-position-vertical-relative:paragraph;z-index:-15293952;mso-wrap-distance-left:0;mso-wrap-distance-right:0" coordorigin="5606,177" coordsize="5535,0" path="m5606,177l11140,177e" filled="false" stroked="true" strokeweight=".125pt" strokecolor="#000000">
            <v:path arrowok="t"/>
            <v:stroke dashstyle="solid"/>
            <w10:wrap type="topAndBottom"/>
          </v:shape>
        </w:pict>
      </w:r>
    </w:p>
    <w:p>
      <w:pPr>
        <w:spacing w:before="0"/>
        <w:ind w:left="185" w:right="0" w:firstLine="0"/>
        <w:jc w:val="left"/>
        <w:rPr>
          <w:sz w:val="16"/>
        </w:rPr>
      </w:pPr>
      <w:r>
        <w:rPr>
          <w:sz w:val="16"/>
        </w:rPr>
        <w:t>(1) See </w:t>
      </w:r>
      <w:r>
        <w:rPr>
          <w:i/>
          <w:sz w:val="16"/>
        </w:rPr>
        <w:t>Economic Trends</w:t>
      </w:r>
      <w:r>
        <w:rPr>
          <w:sz w:val="16"/>
        </w:rPr>
        <w:t>, ONS, September 2000, pages 21–26.</w:t>
      </w:r>
    </w:p>
    <w:p>
      <w:pPr>
        <w:spacing w:after="0"/>
        <w:jc w:val="left"/>
        <w:rPr>
          <w:sz w:val="16"/>
        </w:rPr>
        <w:sectPr>
          <w:type w:val="continuous"/>
          <w:pgSz w:w="11900" w:h="16840"/>
          <w:pgMar w:top="1260" w:bottom="280" w:left="640" w:right="640"/>
          <w:cols w:num="3" w:equalWidth="0">
            <w:col w:w="3396" w:space="40"/>
            <w:col w:w="218" w:space="1140"/>
            <w:col w:w="5826"/>
          </w:cols>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pStyle w:val="BodyText"/>
        <w:spacing w:before="9"/>
        <w:rPr>
          <w:sz w:val="18"/>
        </w:rPr>
      </w:pPr>
      <w:r>
        <w:rPr/>
        <w:pict>
          <v:shape style="position:absolute;margin-left:40pt;margin-top:12.000977pt;width:516pt;height:48pt;mso-position-horizontal-relative:page;mso-position-vertical-relative:paragraph;z-index:-15291392;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Monetary policy since the August Report" w:id="72"/>
                  <w:bookmarkEnd w:id="72"/>
                  <w:r>
                    <w:rPr/>
                  </w:r>
                  <w:r>
                    <w:rPr>
                      <w:b/>
                      <w:color w:val="009391"/>
                      <w:sz w:val="48"/>
                    </w:rPr>
                    <w:t>Monetary policy since the</w:t>
                  </w:r>
                  <w:r>
                    <w:rPr>
                      <w:b/>
                      <w:color w:val="009391"/>
                      <w:spacing w:val="-34"/>
                      <w:sz w:val="48"/>
                    </w:rPr>
                    <w:t> </w:t>
                  </w:r>
                  <w:r>
                    <w:rPr>
                      <w:b/>
                      <w:color w:val="009391"/>
                      <w:spacing w:val="-5"/>
                      <w:sz w:val="48"/>
                    </w:rPr>
                    <w:t>August</w:t>
                  </w:r>
                  <w:r>
                    <w:rPr>
                      <w:b/>
                      <w:color w:val="009391"/>
                      <w:spacing w:val="-2"/>
                      <w:sz w:val="48"/>
                    </w:rPr>
                    <w:t> </w:t>
                  </w:r>
                  <w:r>
                    <w:rPr>
                      <w:b/>
                      <w:i/>
                      <w:color w:val="009391"/>
                      <w:sz w:val="48"/>
                    </w:rPr>
                    <w:t>Report</w:t>
                    <w:tab/>
                  </w:r>
                  <w:r>
                    <w:rPr>
                      <w:b/>
                      <w:color w:val="009391"/>
                      <w:sz w:val="72"/>
                    </w:rPr>
                    <w:t>5</w:t>
                  </w:r>
                </w:p>
              </w:txbxContent>
            </v:textbox>
            <v:fill type="solid"/>
            <w10:wrap type="topAndBottom"/>
          </v:shape>
        </w:pict>
      </w:r>
    </w:p>
    <w:p>
      <w:pPr>
        <w:pStyle w:val="BodyText"/>
        <w:rPr>
          <w:sz w:val="20"/>
        </w:rPr>
      </w:pPr>
    </w:p>
    <w:p>
      <w:pPr>
        <w:pStyle w:val="BodyText"/>
        <w:spacing w:before="9"/>
        <w:rPr>
          <w:sz w:val="29"/>
        </w:rPr>
      </w:pPr>
    </w:p>
    <w:p>
      <w:pPr>
        <w:pStyle w:val="BodyText"/>
        <w:spacing w:line="242" w:lineRule="auto" w:before="90"/>
        <w:ind w:left="4979" w:right="195"/>
      </w:pPr>
      <w:r>
        <w:rPr/>
        <w:t>This section summarises the economic developments and monetary policy decisions taken by the MPC since the August </w:t>
      </w:r>
      <w:r>
        <w:rPr>
          <w:i/>
        </w:rPr>
        <w:t>Report</w:t>
      </w:r>
      <w:r>
        <w:rPr/>
        <w:t>. The minutes of the </w:t>
      </w:r>
      <w:hyperlink w:history="true" w:anchor="_bookmark40">
        <w:r>
          <w:rPr>
            <w:color w:val="FF0000"/>
          </w:rPr>
          <w:t>August</w:t>
        </w:r>
        <w:r>
          <w:rPr/>
          <w:t>,</w:t>
        </w:r>
      </w:hyperlink>
      <w:r>
        <w:rPr/>
        <w:t> </w:t>
      </w:r>
      <w:hyperlink w:history="true" w:anchor="_bookmark41">
        <w:r>
          <w:rPr>
            <w:color w:val="FF0000"/>
          </w:rPr>
          <w:t>September </w:t>
        </w:r>
      </w:hyperlink>
      <w:r>
        <w:rPr/>
        <w:t>and </w:t>
      </w:r>
      <w:hyperlink w:history="true" w:anchor="_bookmark43">
        <w:r>
          <w:rPr>
            <w:color w:val="FF0000"/>
          </w:rPr>
          <w:t>October </w:t>
        </w:r>
      </w:hyperlink>
      <w:r>
        <w:rPr/>
        <w:t>meetings are attached as an Annex to this </w:t>
      </w:r>
      <w:r>
        <w:rPr>
          <w:i/>
        </w:rPr>
        <w:t>Report</w:t>
      </w:r>
      <w:r>
        <w:rPr/>
        <w:t>. The Bank’s repo rate was maintained at 6% in September, October and November.</w:t>
      </w:r>
    </w:p>
    <w:p>
      <w:pPr>
        <w:pStyle w:val="BodyText"/>
        <w:rPr>
          <w:sz w:val="25"/>
        </w:rPr>
      </w:pPr>
    </w:p>
    <w:p>
      <w:pPr>
        <w:pStyle w:val="BodyText"/>
        <w:spacing w:line="242" w:lineRule="auto" w:before="1"/>
        <w:ind w:left="4979" w:right="215"/>
      </w:pPr>
      <w:r>
        <w:rPr/>
        <w:t>In the August </w:t>
      </w:r>
      <w:r>
        <w:rPr>
          <w:i/>
        </w:rPr>
        <w:t>Report</w:t>
      </w:r>
      <w:r>
        <w:rPr/>
        <w:t>, the MPC’s central projection was for RPIX inflation to rise from slightly below the 2</w:t>
      </w:r>
      <w:r>
        <w:rPr>
          <w:position w:val="8"/>
          <w:sz w:val="12"/>
        </w:rPr>
        <w:t>1</w:t>
      </w:r>
      <w:r>
        <w:rPr/>
        <w:t>/</w:t>
      </w:r>
      <w:r>
        <w:rPr>
          <w:sz w:val="12"/>
        </w:rPr>
        <w:t>2</w:t>
      </w:r>
      <w:r>
        <w:rPr/>
        <w:t>% target to just above the target over the two-year period. Annual real GDP growth was thought likely to ease slightly towards its trend level of around 2</w:t>
      </w:r>
      <w:r>
        <w:rPr>
          <w:position w:val="8"/>
          <w:sz w:val="12"/>
        </w:rPr>
        <w:t>1</w:t>
      </w:r>
      <w:r>
        <w:rPr/>
        <w:t>/</w:t>
      </w:r>
      <w:r>
        <w:rPr>
          <w:sz w:val="12"/>
        </w:rPr>
        <w:t>2</w:t>
      </w:r>
      <w:r>
        <w:rPr/>
        <w:t>% before rising slightly in the second year of the projection.</w:t>
      </w:r>
    </w:p>
    <w:p>
      <w:pPr>
        <w:pStyle w:val="BodyText"/>
        <w:spacing w:line="242" w:lineRule="auto" w:before="7"/>
        <w:ind w:left="4979" w:right="116"/>
      </w:pPr>
      <w:r>
        <w:rPr/>
        <w:t>Relative to the central projection, some members preferred alternative assumptions about factors such as competitive pressures and productivity growth, which in combination raised or lowered the inflation profile by up to </w:t>
      </w:r>
      <w:r>
        <w:rPr>
          <w:position w:val="8"/>
          <w:sz w:val="12"/>
        </w:rPr>
        <w:t>1</w:t>
      </w:r>
      <w:r>
        <w:rPr/>
        <w:t>/</w:t>
      </w:r>
      <w:r>
        <w:rPr>
          <w:sz w:val="12"/>
        </w:rPr>
        <w:t>2</w:t>
      </w:r>
      <w:r>
        <w:rPr/>
        <w:t>% at the two-year forecast horizon.</w:t>
      </w:r>
    </w:p>
    <w:p>
      <w:pPr>
        <w:pStyle w:val="BodyText"/>
        <w:spacing w:before="10"/>
      </w:pPr>
    </w:p>
    <w:p>
      <w:pPr>
        <w:pStyle w:val="BodyText"/>
        <w:spacing w:line="242" w:lineRule="auto"/>
        <w:ind w:left="4979" w:right="161"/>
      </w:pPr>
      <w:r>
        <w:rPr/>
        <w:t>At its meeting on </w:t>
      </w:r>
      <w:hyperlink w:history="true" w:anchor="_bookmark41">
        <w:r>
          <w:rPr>
            <w:color w:val="FF0000"/>
          </w:rPr>
          <w:t>6–7 September</w:t>
        </w:r>
        <w:r>
          <w:rPr/>
          <w:t>,</w:t>
        </w:r>
      </w:hyperlink>
      <w:r>
        <w:rPr/>
        <w:t> the Committee first discussed domestic demand and output. GDP had risen by 0.9% in Q2, up from 0.5% in Q1, but much of this increase reflected a pick-up in energy production, which had been unusually weak in Q1. Manufacturing and industrial production had both fallen slightly in July but were growing slowly over the latest three-month period. Service sector output had risen by 0.9% over Q2, but survey evidence suggested that consumer services had slowed while business and professional services were still strong.</w:t>
      </w:r>
    </w:p>
    <w:p>
      <w:pPr>
        <w:pStyle w:val="BodyText"/>
        <w:spacing w:before="7"/>
        <w:rPr>
          <w:sz w:val="25"/>
        </w:rPr>
      </w:pPr>
    </w:p>
    <w:p>
      <w:pPr>
        <w:pStyle w:val="BodyText"/>
        <w:spacing w:line="242" w:lineRule="auto"/>
        <w:ind w:left="4979" w:right="246"/>
      </w:pPr>
      <w:r>
        <w:rPr/>
        <w:t>Household consumption growth had risen in Q2 but it was lower than the average quarterly rate during 1999, and</w:t>
      </w:r>
      <w:r>
        <w:rPr>
          <w:spacing w:val="-6"/>
        </w:rPr>
        <w:t> </w:t>
      </w:r>
      <w:r>
        <w:rPr/>
        <w:t>an</w:t>
      </w:r>
      <w:r>
        <w:rPr>
          <w:spacing w:val="-5"/>
        </w:rPr>
        <w:t> </w:t>
      </w:r>
      <w:r>
        <w:rPr/>
        <w:t>important</w:t>
      </w:r>
      <w:r>
        <w:rPr>
          <w:spacing w:val="-5"/>
        </w:rPr>
        <w:t> </w:t>
      </w:r>
      <w:r>
        <w:rPr/>
        <w:t>issue</w:t>
      </w:r>
      <w:r>
        <w:rPr>
          <w:spacing w:val="-5"/>
        </w:rPr>
        <w:t> </w:t>
      </w:r>
      <w:r>
        <w:rPr/>
        <w:t>was</w:t>
      </w:r>
      <w:r>
        <w:rPr>
          <w:spacing w:val="-5"/>
        </w:rPr>
        <w:t> </w:t>
      </w:r>
      <w:r>
        <w:rPr/>
        <w:t>whether</w:t>
      </w:r>
      <w:r>
        <w:rPr>
          <w:spacing w:val="-6"/>
        </w:rPr>
        <w:t> </w:t>
      </w:r>
      <w:r>
        <w:rPr/>
        <w:t>it</w:t>
      </w:r>
      <w:r>
        <w:rPr>
          <w:spacing w:val="-5"/>
        </w:rPr>
        <w:t> </w:t>
      </w:r>
      <w:r>
        <w:rPr/>
        <w:t>would</w:t>
      </w:r>
      <w:r>
        <w:rPr>
          <w:spacing w:val="-5"/>
        </w:rPr>
        <w:t> </w:t>
      </w:r>
      <w:r>
        <w:rPr/>
        <w:t>continue</w:t>
      </w:r>
      <w:r>
        <w:rPr>
          <w:spacing w:val="-5"/>
        </w:rPr>
        <w:t> </w:t>
      </w:r>
      <w:r>
        <w:rPr/>
        <w:t>to moderate in line with the projection. The underlying determinants of consumption seemed a little less buoyant than at the start of the </w:t>
      </w:r>
      <w:r>
        <w:rPr>
          <w:spacing w:val="-4"/>
        </w:rPr>
        <w:t>year. </w:t>
      </w:r>
      <w:r>
        <w:rPr/>
        <w:t>And most indicators of housing activity pointed to a </w:t>
      </w:r>
      <w:r>
        <w:rPr>
          <w:spacing w:val="-3"/>
        </w:rPr>
        <w:t>slowdown </w:t>
      </w:r>
      <w:r>
        <w:rPr/>
        <w:t>in that market. </w:t>
      </w:r>
      <w:r>
        <w:rPr>
          <w:spacing w:val="-3"/>
        </w:rPr>
        <w:t>Private investment </w:t>
      </w:r>
      <w:r>
        <w:rPr/>
        <w:t>was weak but government </w:t>
      </w:r>
      <w:r>
        <w:rPr>
          <w:spacing w:val="-3"/>
        </w:rPr>
        <w:t>investment </w:t>
      </w:r>
      <w:r>
        <w:rPr/>
        <w:t>and consumption were both strong. The Committee agreed that there was </w:t>
      </w:r>
      <w:r>
        <w:rPr>
          <w:spacing w:val="-3"/>
        </w:rPr>
        <w:t>now </w:t>
      </w:r>
      <w:r>
        <w:rPr/>
        <w:t>less of an upside risk to domestic demand growth than</w:t>
      </w:r>
      <w:r>
        <w:rPr>
          <w:spacing w:val="-28"/>
        </w:rPr>
        <w:t> </w:t>
      </w:r>
      <w:r>
        <w:rPr/>
        <w:t>a</w:t>
      </w:r>
    </w:p>
    <w:p>
      <w:pPr>
        <w:pStyle w:val="BodyText"/>
        <w:spacing w:line="242" w:lineRule="auto" w:before="14"/>
        <w:ind w:left="4979"/>
      </w:pPr>
      <w:r>
        <w:rPr/>
        <w:t>few months earlier. Net trade was little changed in Q2, with export volumes aided by rapid growth in world demand.</w:t>
      </w:r>
    </w:p>
    <w:p>
      <w:pPr>
        <w:spacing w:after="0" w:line="242" w:lineRule="auto"/>
        <w:sectPr>
          <w:headerReference w:type="default" r:id="rId173"/>
          <w:footerReference w:type="default" r:id="rId174"/>
          <w:footerReference w:type="even" r:id="rId175"/>
          <w:pgSz w:w="11900" w:h="16840"/>
          <w:pgMar w:header="0" w:footer="612" w:top="800" w:bottom="800" w:left="640" w:right="640"/>
          <w:pgNumType w:start="45"/>
        </w:sectPr>
      </w:pPr>
    </w:p>
    <w:p>
      <w:pPr>
        <w:pStyle w:val="BodyText"/>
        <w:rPr>
          <w:sz w:val="20"/>
        </w:rPr>
      </w:pPr>
    </w:p>
    <w:p>
      <w:pPr>
        <w:pStyle w:val="BodyText"/>
        <w:spacing w:before="5"/>
        <w:rPr>
          <w:sz w:val="21"/>
        </w:rPr>
      </w:pPr>
    </w:p>
    <w:p>
      <w:pPr>
        <w:pStyle w:val="BodyText"/>
        <w:spacing w:line="242" w:lineRule="auto"/>
        <w:ind w:left="4979" w:right="225"/>
      </w:pPr>
      <w:r>
        <w:rPr>
          <w:spacing w:val="-5"/>
        </w:rPr>
        <w:t>World </w:t>
      </w:r>
      <w:r>
        <w:rPr/>
        <w:t>activity in Q2 appeared to </w:t>
      </w:r>
      <w:r>
        <w:rPr>
          <w:spacing w:val="-3"/>
        </w:rPr>
        <w:t>have </w:t>
      </w:r>
      <w:r>
        <w:rPr/>
        <w:t>been a little stronger than expected at the time of the August </w:t>
      </w:r>
      <w:r>
        <w:rPr>
          <w:i/>
        </w:rPr>
        <w:t>Report</w:t>
      </w:r>
      <w:r>
        <w:rPr/>
        <w:t>. Oil prices had risen </w:t>
      </w:r>
      <w:r>
        <w:rPr>
          <w:spacing w:val="-3"/>
        </w:rPr>
        <w:t>sharply, </w:t>
      </w:r>
      <w:r>
        <w:rPr/>
        <w:t>which would put upward pressure</w:t>
      </w:r>
      <w:r>
        <w:rPr>
          <w:spacing w:val="-5"/>
        </w:rPr>
        <w:t> </w:t>
      </w:r>
      <w:r>
        <w:rPr/>
        <w:t>on</w:t>
      </w:r>
      <w:r>
        <w:rPr>
          <w:spacing w:val="-5"/>
        </w:rPr>
        <w:t> </w:t>
      </w:r>
      <w:r>
        <w:rPr/>
        <w:t>retail</w:t>
      </w:r>
      <w:r>
        <w:rPr>
          <w:spacing w:val="-5"/>
        </w:rPr>
        <w:t> </w:t>
      </w:r>
      <w:r>
        <w:rPr/>
        <w:t>prices</w:t>
      </w:r>
      <w:r>
        <w:rPr>
          <w:spacing w:val="-5"/>
        </w:rPr>
        <w:t> </w:t>
      </w:r>
      <w:r>
        <w:rPr/>
        <w:t>in</w:t>
      </w:r>
      <w:r>
        <w:rPr>
          <w:spacing w:val="-5"/>
        </w:rPr>
        <w:t> </w:t>
      </w:r>
      <w:r>
        <w:rPr/>
        <w:t>the</w:t>
      </w:r>
      <w:r>
        <w:rPr>
          <w:spacing w:val="-5"/>
        </w:rPr>
        <w:t> </w:t>
      </w:r>
      <w:r>
        <w:rPr/>
        <w:t>short</w:t>
      </w:r>
      <w:r>
        <w:rPr>
          <w:spacing w:val="-5"/>
        </w:rPr>
        <w:t> </w:t>
      </w:r>
      <w:r>
        <w:rPr/>
        <w:t>term,</w:t>
      </w:r>
      <w:r>
        <w:rPr>
          <w:spacing w:val="-4"/>
        </w:rPr>
        <w:t> </w:t>
      </w:r>
      <w:r>
        <w:rPr/>
        <w:t>but</w:t>
      </w:r>
      <w:r>
        <w:rPr>
          <w:spacing w:val="-5"/>
        </w:rPr>
        <w:t> </w:t>
      </w:r>
      <w:r>
        <w:rPr/>
        <w:t>might</w:t>
      </w:r>
      <w:r>
        <w:rPr>
          <w:spacing w:val="-5"/>
        </w:rPr>
        <w:t> </w:t>
      </w:r>
      <w:r>
        <w:rPr/>
        <w:t>also depress demand. There was little sign so far of effects on wages from higher oil</w:t>
      </w:r>
      <w:r>
        <w:rPr>
          <w:spacing w:val="-8"/>
        </w:rPr>
        <w:t> </w:t>
      </w:r>
      <w:r>
        <w:rPr/>
        <w:t>prices.</w:t>
      </w:r>
    </w:p>
    <w:p>
      <w:pPr>
        <w:pStyle w:val="BodyText"/>
        <w:rPr>
          <w:sz w:val="25"/>
        </w:rPr>
      </w:pPr>
    </w:p>
    <w:p>
      <w:pPr>
        <w:pStyle w:val="BodyText"/>
        <w:spacing w:line="242" w:lineRule="auto" w:before="1"/>
        <w:ind w:left="4979" w:right="116"/>
      </w:pPr>
      <w:r>
        <w:rPr/>
        <w:t>M4 lending to households was still growing at 10% per annum, but secured lending growth had fallen sharply in July. Lending growth to PNFCs had increased dramatically. It was possible that distress borrowing had risen but this was not supported by deposit data. It was also possible that the extra lending was to finance investment, but business investment had not shown any significant increase, so the combination of higher borrowing and slow investment growth remained a puzzle. Sterling had depreciated against the dollar but appreciated slightly against the euro, and the effects on the overall trade balance would be broadly neutral.</w:t>
      </w:r>
    </w:p>
    <w:p>
      <w:pPr>
        <w:pStyle w:val="BodyText"/>
        <w:spacing w:before="7"/>
        <w:rPr>
          <w:sz w:val="25"/>
        </w:rPr>
      </w:pPr>
    </w:p>
    <w:p>
      <w:pPr>
        <w:pStyle w:val="BodyText"/>
        <w:spacing w:line="242" w:lineRule="auto"/>
        <w:ind w:left="4979" w:right="154"/>
      </w:pPr>
      <w:r>
        <w:rPr/>
        <w:t>The labour market had continued to tighten on most measures of employment and unemployment, but earnings growth had fallen </w:t>
      </w:r>
      <w:r>
        <w:rPr>
          <w:spacing w:val="-3"/>
        </w:rPr>
        <w:t>further. </w:t>
      </w:r>
      <w:r>
        <w:rPr/>
        <w:t>A </w:t>
      </w:r>
      <w:r>
        <w:rPr>
          <w:spacing w:val="-3"/>
        </w:rPr>
        <w:t>negative </w:t>
      </w:r>
      <w:r>
        <w:rPr/>
        <w:t>contribution from bonus growth accounted for much of the fall in the AEI in May and June, but it was hard to judge whether a continued moderation in earnings growth was </w:t>
      </w:r>
      <w:r>
        <w:rPr>
          <w:spacing w:val="-4"/>
        </w:rPr>
        <w:t>likely, </w:t>
      </w:r>
      <w:r>
        <w:rPr/>
        <w:t>or whether pressures for higher wages would pick up.</w:t>
      </w:r>
    </w:p>
    <w:p>
      <w:pPr>
        <w:pStyle w:val="BodyText"/>
        <w:spacing w:before="3"/>
        <w:rPr>
          <w:sz w:val="25"/>
        </w:rPr>
      </w:pPr>
    </w:p>
    <w:p>
      <w:pPr>
        <w:pStyle w:val="BodyText"/>
        <w:spacing w:line="242" w:lineRule="auto"/>
        <w:ind w:left="4979" w:right="181"/>
      </w:pPr>
      <w:r>
        <w:rPr/>
        <w:t>RPIX inflation had remained at 2.2% in July. The ONS advance estimate was for RPIX to fall in August. Retail petrol prices had fallen in August but this was likely to be reversed in later months as higher oil prices worked through. Survey evidence and Agents’ reports were consistent with subdued price pressure in the short term. Inflation expectations remained close to the 2</w:t>
      </w:r>
      <w:r>
        <w:rPr>
          <w:position w:val="8"/>
          <w:sz w:val="12"/>
        </w:rPr>
        <w:t>1</w:t>
      </w:r>
      <w:r>
        <w:rPr/>
        <w:t>/</w:t>
      </w:r>
      <w:r>
        <w:rPr>
          <w:sz w:val="12"/>
        </w:rPr>
        <w:t>2</w:t>
      </w:r>
      <w:r>
        <w:rPr/>
        <w:t>% target.</w:t>
      </w:r>
    </w:p>
    <w:p>
      <w:pPr>
        <w:pStyle w:val="BodyText"/>
        <w:spacing w:before="1"/>
        <w:rPr>
          <w:sz w:val="25"/>
        </w:rPr>
      </w:pPr>
    </w:p>
    <w:p>
      <w:pPr>
        <w:pStyle w:val="BodyText"/>
        <w:spacing w:line="242" w:lineRule="auto"/>
        <w:ind w:left="4979" w:right="247"/>
      </w:pPr>
      <w:r>
        <w:rPr/>
        <w:t>On the immediate policy decision, most members felt that there had been little news overall on the month. Hence the positions of MPC members were broadly the same as in the previous month. One group continued to take the view that the balance of risks pointed to the need for an immediate rise of 25 basis points in the repo rate, because projected demand growth was likely to take RPIX inflation above target in the second year of the projection. </w:t>
      </w:r>
      <w:r>
        <w:rPr>
          <w:spacing w:val="-4"/>
        </w:rPr>
        <w:t>However, </w:t>
      </w:r>
      <w:r>
        <w:rPr/>
        <w:t>another group noted that inflation in the short term was well below target and an immediate increase in the repo rate was not </w:t>
      </w:r>
      <w:r>
        <w:rPr>
          <w:spacing w:val="-3"/>
        </w:rPr>
        <w:t>necessary. </w:t>
      </w:r>
      <w:r>
        <w:rPr/>
        <w:t>In their view there were signs of moderating demand combined with an absence of any clear signs of rising inflationary pressures, and there was time to act later</w:t>
      </w:r>
      <w:r>
        <w:rPr>
          <w:spacing w:val="-41"/>
        </w:rPr>
        <w:t> </w:t>
      </w:r>
      <w:r>
        <w:rPr/>
        <w:t>if</w:t>
      </w:r>
    </w:p>
    <w:p>
      <w:pPr>
        <w:spacing w:after="0" w:line="242" w:lineRule="auto"/>
        <w:sectPr>
          <w:headerReference w:type="default" r:id="rId176"/>
          <w:pgSz w:w="11900" w:h="16840"/>
          <w:pgMar w:header="586" w:footer="612" w:top="780" w:bottom="780" w:left="640" w:right="640"/>
        </w:sectPr>
      </w:pPr>
    </w:p>
    <w:p>
      <w:pPr>
        <w:spacing w:before="82" w:after="12"/>
        <w:ind w:left="0" w:right="137" w:firstLine="0"/>
        <w:jc w:val="right"/>
        <w:rPr>
          <w:sz w:val="16"/>
        </w:rPr>
      </w:pPr>
      <w:r>
        <w:rPr>
          <w:i/>
          <w:sz w:val="16"/>
        </w:rPr>
        <w:t>Monetary policy since the August </w:t>
      </w:r>
      <w:r>
        <w:rPr>
          <w:sz w:val="16"/>
        </w:rPr>
        <w:t>Report</w:t>
      </w: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pStyle w:val="BodyText"/>
        <w:spacing w:line="242" w:lineRule="auto" w:before="215"/>
        <w:ind w:left="4985" w:right="215"/>
      </w:pPr>
      <w:r>
        <w:rPr/>
        <w:t>this turned out to be incorrect. The Committee voted by 5 to 4 to leave the Bank’s repo rate unchanged.</w:t>
      </w:r>
    </w:p>
    <w:p>
      <w:pPr>
        <w:pStyle w:val="BodyText"/>
        <w:spacing w:before="1"/>
        <w:rPr>
          <w:sz w:val="21"/>
        </w:rPr>
      </w:pPr>
    </w:p>
    <w:p>
      <w:pPr>
        <w:pStyle w:val="BodyText"/>
        <w:spacing w:line="242" w:lineRule="auto"/>
        <w:ind w:left="4985" w:right="341"/>
      </w:pPr>
      <w:r>
        <w:rPr/>
        <w:t>At its meeting on </w:t>
      </w:r>
      <w:hyperlink w:history="true" w:anchor="_bookmark43">
        <w:r>
          <w:rPr>
            <w:color w:val="FF0000"/>
          </w:rPr>
          <w:t>4–5 October</w:t>
        </w:r>
        <w:r>
          <w:rPr/>
          <w:t>,</w:t>
        </w:r>
      </w:hyperlink>
      <w:r>
        <w:rPr/>
        <w:t> the MPC discussed the latest inflation data. RPIX inflation had fallen to 1.9% in August and measures of domestically generated inflation were at or below 2</w:t>
      </w:r>
      <w:r>
        <w:rPr>
          <w:position w:val="8"/>
          <w:sz w:val="12"/>
        </w:rPr>
        <w:t>1</w:t>
      </w:r>
      <w:r>
        <w:rPr/>
        <w:t>/</w:t>
      </w:r>
      <w:r>
        <w:rPr>
          <w:sz w:val="12"/>
        </w:rPr>
        <w:t>2</w:t>
      </w:r>
      <w:r>
        <w:rPr/>
        <w:t>%. Short-term prospects for RPIX inflation were below those projected in August. There were some indications that inflation expectations might have picked up but this could have been a temporary reaction to the disruption to petrol supplies.</w:t>
      </w:r>
    </w:p>
    <w:p>
      <w:pPr>
        <w:pStyle w:val="BodyText"/>
        <w:spacing w:before="10"/>
        <w:rPr>
          <w:sz w:val="21"/>
        </w:rPr>
      </w:pPr>
    </w:p>
    <w:p>
      <w:pPr>
        <w:pStyle w:val="BodyText"/>
        <w:spacing w:line="242" w:lineRule="auto"/>
        <w:ind w:left="4985" w:right="276"/>
      </w:pPr>
      <w:r>
        <w:rPr/>
        <w:t>Oil prices had fallen since the previous MPC meeting but futures prices were indicating an oil price profile substantially higher than assumed in August. It was noted that the United Kingdom was better placed than some other countries for monetary policy to accommodate the first-round effects of the oil price shock, with the economy close to capacity and inflation below target. In addition, high oil prices would affect the UK current account and fiscal balance positively.</w:t>
      </w:r>
    </w:p>
    <w:p>
      <w:pPr>
        <w:pStyle w:val="BodyText"/>
        <w:spacing w:line="242" w:lineRule="auto" w:before="12"/>
        <w:ind w:left="4985" w:right="215"/>
      </w:pPr>
      <w:r>
        <w:rPr/>
        <w:t>There was, however, a greater risk of a sharper slowdown in world growth than seemed likely at the previous meeting. These risks would need to be examined carefully in the context of the November forecast round.</w:t>
      </w:r>
    </w:p>
    <w:p>
      <w:pPr>
        <w:pStyle w:val="BodyText"/>
        <w:spacing w:before="5"/>
        <w:rPr>
          <w:sz w:val="21"/>
        </w:rPr>
      </w:pPr>
    </w:p>
    <w:p>
      <w:pPr>
        <w:pStyle w:val="BodyText"/>
        <w:spacing w:line="242" w:lineRule="auto"/>
        <w:ind w:left="4985" w:right="215"/>
      </w:pPr>
      <w:r>
        <w:rPr/>
        <w:t>Money data showed stronger growth, though notes and coin had been affected by the petrol supply disruption, and broad money growth had been affected by the Scottish Widows windfall and telecoms licence auction. Credit growth was strong and mortgage equity withdrawal seemed likely to support household spending. Further analysis had shown that strong corporate borrowing was probably related to M&amp;A activity and funding of telecoms licence payments, so was not inconsistent with weak business investment.</w:t>
      </w:r>
    </w:p>
    <w:p>
      <w:pPr>
        <w:pStyle w:val="BodyText"/>
        <w:spacing w:line="242" w:lineRule="auto" w:before="12"/>
        <w:ind w:left="4985" w:right="215"/>
      </w:pPr>
      <w:r>
        <w:rPr/>
        <w:t>Overall monetary data seemed stronger than in September, but broadly consistent with expectations at the time of the August </w:t>
      </w:r>
      <w:r>
        <w:rPr>
          <w:i/>
        </w:rPr>
        <w:t>Report</w:t>
      </w:r>
      <w:r>
        <w:rPr/>
        <w:t>. Equity prices had fallen by about 5% on the month, while the sterling ERI was about 2% above the level assumed in August and 1% higher than at the time of the September meeting.</w:t>
      </w:r>
    </w:p>
    <w:p>
      <w:pPr>
        <w:pStyle w:val="BodyText"/>
        <w:spacing w:before="3"/>
        <w:rPr>
          <w:sz w:val="23"/>
        </w:rPr>
      </w:pPr>
    </w:p>
    <w:p>
      <w:pPr>
        <w:pStyle w:val="BodyText"/>
        <w:spacing w:line="242" w:lineRule="auto" w:before="1"/>
        <w:ind w:left="4985" w:right="172"/>
      </w:pPr>
      <w:r>
        <w:rPr/>
        <w:t>The domestic demand picture remained broadly in line with the August projection. National Accounts data confirmed real GDP growth of 0.9% in Q2. Government spending was stronger than previously estimated, </w:t>
      </w:r>
      <w:r>
        <w:rPr>
          <w:spacing w:val="-3"/>
        </w:rPr>
        <w:t>but </w:t>
      </w:r>
      <w:r>
        <w:rPr/>
        <w:t>fiscal outturns to date were in line with the </w:t>
      </w:r>
      <w:r>
        <w:rPr>
          <w:spacing w:val="-3"/>
        </w:rPr>
        <w:t>Government’s </w:t>
      </w:r>
      <w:r>
        <w:rPr/>
        <w:t>budget projections. Consumer confidence had fallen </w:t>
      </w:r>
      <w:r>
        <w:rPr>
          <w:spacing w:val="-3"/>
        </w:rPr>
        <w:t>sharply, </w:t>
      </w:r>
      <w:r>
        <w:rPr/>
        <w:t>equity prices were </w:t>
      </w:r>
      <w:r>
        <w:rPr>
          <w:spacing w:val="-4"/>
        </w:rPr>
        <w:t>lower, </w:t>
      </w:r>
      <w:r>
        <w:rPr/>
        <w:t>and</w:t>
      </w:r>
      <w:r>
        <w:rPr>
          <w:spacing w:val="-14"/>
        </w:rPr>
        <w:t> </w:t>
      </w:r>
      <w:r>
        <w:rPr/>
        <w:t>house</w:t>
      </w:r>
    </w:p>
    <w:p>
      <w:pPr>
        <w:spacing w:after="0" w:line="242" w:lineRule="auto"/>
        <w:sectPr>
          <w:headerReference w:type="even" r:id="rId177"/>
          <w:pgSz w:w="11900" w:h="16840"/>
          <w:pgMar w:header="0" w:footer="592" w:top="520" w:bottom="800" w:left="640" w:right="640"/>
        </w:sectPr>
      </w:pPr>
    </w:p>
    <w:p>
      <w:pPr>
        <w:pStyle w:val="BodyText"/>
        <w:rPr>
          <w:sz w:val="20"/>
        </w:rPr>
      </w:pPr>
    </w:p>
    <w:p>
      <w:pPr>
        <w:pStyle w:val="BodyText"/>
        <w:spacing w:before="7"/>
        <w:rPr>
          <w:sz w:val="20"/>
        </w:rPr>
      </w:pPr>
    </w:p>
    <w:p>
      <w:pPr>
        <w:pStyle w:val="BodyText"/>
        <w:spacing w:line="242" w:lineRule="auto"/>
        <w:ind w:left="4980" w:right="135"/>
      </w:pPr>
      <w:r>
        <w:rPr/>
        <w:t>prices had been broadly flat for six months, so consumption growth seemed unlikely to be much stronger than projected. Survey evidence on activity was generally weaker. The petrol supply disruption seemed unlikely to have a large direct effect on the economy, but it may have a more persistent effect on business and consumer confidence. Staff estimates of GDP growth in Q3 continued to be in line with the August projections.</w:t>
      </w:r>
    </w:p>
    <w:p>
      <w:pPr>
        <w:pStyle w:val="BodyText"/>
        <w:spacing w:before="2"/>
        <w:rPr>
          <w:sz w:val="25"/>
        </w:rPr>
      </w:pPr>
    </w:p>
    <w:p>
      <w:pPr>
        <w:pStyle w:val="BodyText"/>
        <w:spacing w:line="242" w:lineRule="auto" w:before="1"/>
        <w:ind w:left="4980" w:right="215"/>
      </w:pPr>
      <w:r>
        <w:rPr/>
        <w:t>Employment continued to grow and there had been a sharp further fall in unemployment. </w:t>
      </w:r>
      <w:r>
        <w:rPr>
          <w:spacing w:val="-4"/>
        </w:rPr>
        <w:t>However, </w:t>
      </w:r>
      <w:r>
        <w:rPr/>
        <w:t>earnings growth had fallen back </w:t>
      </w:r>
      <w:r>
        <w:rPr>
          <w:spacing w:val="-3"/>
        </w:rPr>
        <w:t>sharply, </w:t>
      </w:r>
      <w:r>
        <w:rPr/>
        <w:t>and it was unclear </w:t>
      </w:r>
      <w:r>
        <w:rPr>
          <w:spacing w:val="-3"/>
        </w:rPr>
        <w:t>how </w:t>
      </w:r>
      <w:r>
        <w:rPr/>
        <w:t>long the benign conjunction of strong quantities and modest earnings growth could continue. Claimant count unemployment had fallen to </w:t>
      </w:r>
      <w:r>
        <w:rPr>
          <w:spacing w:val="-3"/>
        </w:rPr>
        <w:t>levels </w:t>
      </w:r>
      <w:r>
        <w:rPr/>
        <w:t>not seen since the early 1970s, but the headline AEI figure for earnings growth had fallen from 4.1% to 3.9%. The </w:t>
      </w:r>
      <w:r>
        <w:rPr>
          <w:spacing w:val="-3"/>
        </w:rPr>
        <w:t>Bank’s </w:t>
      </w:r>
      <w:r>
        <w:rPr/>
        <w:t>regional Agents reported little evidence of increasing pay pressures, despite reports earlier in the year of imminent difficulties. It was noted that earnings growth </w:t>
      </w:r>
      <w:r>
        <w:rPr>
          <w:spacing w:val="-3"/>
        </w:rPr>
        <w:t>now </w:t>
      </w:r>
      <w:r>
        <w:rPr/>
        <w:t>seemed likely to be below the </w:t>
      </w:r>
      <w:r>
        <w:rPr>
          <w:spacing w:val="-3"/>
        </w:rPr>
        <w:t>level </w:t>
      </w:r>
      <w:r>
        <w:rPr/>
        <w:t>projected in August, but some MPC members cautioned that the latest earnings data might be erratic, and in any </w:t>
      </w:r>
      <w:r>
        <w:rPr>
          <w:spacing w:val="-3"/>
        </w:rPr>
        <w:t>event </w:t>
      </w:r>
      <w:r>
        <w:rPr/>
        <w:t>it was necessary to remain alert for any signs of rising wage</w:t>
      </w:r>
      <w:r>
        <w:rPr>
          <w:spacing w:val="-2"/>
        </w:rPr>
        <w:t> </w:t>
      </w:r>
      <w:r>
        <w:rPr/>
        <w:t>pressures.</w:t>
      </w:r>
    </w:p>
    <w:p>
      <w:pPr>
        <w:pStyle w:val="BodyText"/>
        <w:spacing w:before="1"/>
        <w:rPr>
          <w:sz w:val="26"/>
        </w:rPr>
      </w:pPr>
    </w:p>
    <w:p>
      <w:pPr>
        <w:pStyle w:val="BodyText"/>
        <w:spacing w:line="242" w:lineRule="auto"/>
        <w:ind w:left="4980" w:right="160"/>
      </w:pPr>
      <w:r>
        <w:rPr/>
        <w:t>On the immediate policy decision, the August </w:t>
      </w:r>
      <w:r>
        <w:rPr>
          <w:i/>
        </w:rPr>
        <w:t>Inflation </w:t>
      </w:r>
      <w:r>
        <w:rPr>
          <w:i/>
        </w:rPr>
        <w:t>Report </w:t>
      </w:r>
      <w:r>
        <w:rPr/>
        <w:t>projections seemed to be broadly intact, though the balance of news was a little </w:t>
      </w:r>
      <w:r>
        <w:rPr>
          <w:spacing w:val="-3"/>
        </w:rPr>
        <w:t>weaker. </w:t>
      </w:r>
      <w:r>
        <w:rPr/>
        <w:t>In particular, earnings growth remained subdued and the near-term prospects for RPIX inflation were </w:t>
      </w:r>
      <w:r>
        <w:rPr>
          <w:spacing w:val="-3"/>
        </w:rPr>
        <w:t>now </w:t>
      </w:r>
      <w:r>
        <w:rPr/>
        <w:t>lower than had been expected at the time of the previous meeting. The oil price had fallen and sterling had appreciated </w:t>
      </w:r>
      <w:r>
        <w:rPr>
          <w:spacing w:val="-3"/>
        </w:rPr>
        <w:t>over </w:t>
      </w:r>
      <w:r>
        <w:rPr/>
        <w:t>the month.  On one </w:t>
      </w:r>
      <w:r>
        <w:rPr>
          <w:spacing w:val="-5"/>
        </w:rPr>
        <w:t>view, </w:t>
      </w:r>
      <w:r>
        <w:rPr/>
        <w:t>the arguments made at the previous meeting for a rate rise were no longer decisive, though a rise may still be required in future. </w:t>
      </w:r>
      <w:r>
        <w:rPr>
          <w:spacing w:val="-5"/>
        </w:rPr>
        <w:t>Weaker </w:t>
      </w:r>
      <w:r>
        <w:rPr/>
        <w:t>earnings and inflation data, combined with a higher exchange rate and lower confidence, suggested that it was sensible to wait until </w:t>
      </w:r>
      <w:r>
        <w:rPr>
          <w:spacing w:val="-3"/>
        </w:rPr>
        <w:t>new </w:t>
      </w:r>
      <w:r>
        <w:rPr/>
        <w:t>data and the November projections</w:t>
      </w:r>
      <w:r>
        <w:rPr>
          <w:spacing w:val="-10"/>
        </w:rPr>
        <w:t> </w:t>
      </w:r>
      <w:r>
        <w:rPr/>
        <w:t>were</w:t>
      </w:r>
      <w:r>
        <w:rPr>
          <w:spacing w:val="-9"/>
        </w:rPr>
        <w:t> </w:t>
      </w:r>
      <w:r>
        <w:rPr/>
        <w:t>available</w:t>
      </w:r>
      <w:r>
        <w:rPr>
          <w:spacing w:val="-9"/>
        </w:rPr>
        <w:t> </w:t>
      </w:r>
      <w:r>
        <w:rPr/>
        <w:t>before</w:t>
      </w:r>
      <w:r>
        <w:rPr>
          <w:spacing w:val="-10"/>
        </w:rPr>
        <w:t> </w:t>
      </w:r>
      <w:r>
        <w:rPr/>
        <w:t>considering</w:t>
      </w:r>
      <w:r>
        <w:rPr>
          <w:spacing w:val="-9"/>
        </w:rPr>
        <w:t> </w:t>
      </w:r>
      <w:r>
        <w:rPr/>
        <w:t>any</w:t>
      </w:r>
      <w:r>
        <w:rPr>
          <w:spacing w:val="-9"/>
        </w:rPr>
        <w:t> </w:t>
      </w:r>
      <w:r>
        <w:rPr/>
        <w:t>further tightening of monetary </w:t>
      </w:r>
      <w:r>
        <w:rPr>
          <w:spacing w:val="-4"/>
        </w:rPr>
        <w:t>policy. </w:t>
      </w:r>
      <w:r>
        <w:rPr/>
        <w:t>On another </w:t>
      </w:r>
      <w:r>
        <w:rPr>
          <w:spacing w:val="-5"/>
        </w:rPr>
        <w:t>view, </w:t>
      </w:r>
      <w:r>
        <w:rPr/>
        <w:t>the balance of weaker data made an </w:t>
      </w:r>
      <w:r>
        <w:rPr>
          <w:spacing w:val="-3"/>
        </w:rPr>
        <w:t>even </w:t>
      </w:r>
      <w:r>
        <w:rPr/>
        <w:t>stronger case that a rate rise was not needed. Downside risks were greater than a month ago owing to the potentially greater impact on the world economy of an oil price shock, and possible repercussions in equity markets. The Committee voted unanimously to maintain the </w:t>
      </w:r>
      <w:r>
        <w:rPr>
          <w:spacing w:val="-3"/>
        </w:rPr>
        <w:t>Bank’s </w:t>
      </w:r>
      <w:r>
        <w:rPr/>
        <w:t>repo rate at</w:t>
      </w:r>
      <w:r>
        <w:rPr>
          <w:spacing w:val="-4"/>
        </w:rPr>
        <w:t> </w:t>
      </w:r>
      <w:r>
        <w:rPr/>
        <w:t>6%.</w:t>
      </w:r>
    </w:p>
    <w:p>
      <w:pPr>
        <w:pStyle w:val="BodyText"/>
        <w:spacing w:before="9"/>
        <w:rPr>
          <w:sz w:val="26"/>
        </w:rPr>
      </w:pPr>
    </w:p>
    <w:p>
      <w:pPr>
        <w:pStyle w:val="BodyText"/>
        <w:spacing w:line="242" w:lineRule="auto"/>
        <w:ind w:left="4980"/>
      </w:pPr>
      <w:r>
        <w:rPr/>
        <w:t>At its meeting on </w:t>
      </w:r>
      <w:hyperlink w:history="true" w:anchor="_bookmark44">
        <w:r>
          <w:rPr>
            <w:color w:val="FF0000"/>
          </w:rPr>
          <w:t>8–9 November</w:t>
        </w:r>
        <w:r>
          <w:rPr/>
          <w:t>,</w:t>
        </w:r>
      </w:hyperlink>
      <w:r>
        <w:rPr/>
        <w:t> the Committee again voted to maintain the Bank’s repo rate at 6%.</w:t>
      </w:r>
    </w:p>
    <w:p>
      <w:pPr>
        <w:spacing w:after="0" w:line="242" w:lineRule="auto"/>
        <w:sectPr>
          <w:headerReference w:type="even" r:id="rId178"/>
          <w:footerReference w:type="even" r:id="rId179"/>
          <w:footerReference w:type="default" r:id="rId180"/>
          <w:pgSz w:w="11900" w:h="16840"/>
          <w:pgMar w:header="586" w:footer="592" w:top="780" w:bottom="780" w:left="640" w:right="640"/>
          <w:pgNumType w:start="48"/>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pStyle w:val="BodyText"/>
        <w:spacing w:before="9"/>
        <w:rPr>
          <w:sz w:val="18"/>
        </w:rPr>
      </w:pPr>
      <w:r>
        <w:rPr/>
        <w:pict>
          <v:shape style="position:absolute;margin-left:40pt;margin-top:12.000977pt;width:516pt;height:48pt;mso-position-horizontal-relative:page;mso-position-vertical-relative:paragraph;z-index:-15289856;mso-wrap-distance-left:0;mso-wrap-distance-right:0" type="#_x0000_t202" filled="true" fillcolor="#cee2e0" stroked="false">
            <v:textbox inset="0,0,0,0">
              <w:txbxContent>
                <w:p>
                  <w:pPr>
                    <w:tabs>
                      <w:tab w:pos="10099" w:val="right" w:leader="none"/>
                    </w:tabs>
                    <w:spacing w:before="51"/>
                    <w:ind w:left="260" w:right="0" w:firstLine="0"/>
                    <w:jc w:val="left"/>
                    <w:rPr>
                      <w:b/>
                      <w:sz w:val="72"/>
                    </w:rPr>
                  </w:pPr>
                  <w:bookmarkStart w:name="Prospects for inflation" w:id="73"/>
                  <w:bookmarkEnd w:id="73"/>
                  <w:r>
                    <w:rPr/>
                  </w:r>
                  <w:bookmarkStart w:name="The inflation projection assumptions" w:id="74"/>
                  <w:bookmarkEnd w:id="74"/>
                  <w:r>
                    <w:rPr/>
                  </w:r>
                  <w:bookmarkStart w:name="_bookmark31" w:id="75"/>
                  <w:bookmarkEnd w:id="75"/>
                  <w:r>
                    <w:rPr/>
                  </w:r>
                  <w:r>
                    <w:rPr>
                      <w:b/>
                      <w:color w:val="009391"/>
                      <w:sz w:val="48"/>
                    </w:rPr>
                    <w:t>Prospects</w:t>
                  </w:r>
                  <w:r>
                    <w:rPr>
                      <w:b/>
                      <w:color w:val="009391"/>
                      <w:spacing w:val="-2"/>
                      <w:sz w:val="48"/>
                    </w:rPr>
                    <w:t> </w:t>
                  </w:r>
                  <w:r>
                    <w:rPr>
                      <w:b/>
                      <w:color w:val="009391"/>
                      <w:spacing w:val="-5"/>
                      <w:sz w:val="48"/>
                    </w:rPr>
                    <w:t>for</w:t>
                  </w:r>
                  <w:r>
                    <w:rPr>
                      <w:b/>
                      <w:color w:val="009391"/>
                      <w:spacing w:val="-2"/>
                      <w:sz w:val="48"/>
                    </w:rPr>
                    <w:t> </w:t>
                  </w:r>
                  <w:r>
                    <w:rPr>
                      <w:b/>
                      <w:color w:val="009391"/>
                      <w:sz w:val="48"/>
                    </w:rPr>
                    <w:t>inflation</w:t>
                    <w:tab/>
                  </w:r>
                  <w:r>
                    <w:rPr>
                      <w:b/>
                      <w:color w:val="009391"/>
                      <w:sz w:val="72"/>
                    </w:rPr>
                    <w:t>6</w:t>
                  </w:r>
                </w:p>
              </w:txbxContent>
            </v:textbox>
            <v:fill type="solid"/>
            <w10:wrap type="topAndBottom"/>
          </v:shape>
        </w:pict>
      </w:r>
    </w:p>
    <w:p>
      <w:pPr>
        <w:pStyle w:val="BodyText"/>
        <w:rPr>
          <w:sz w:val="20"/>
        </w:rPr>
      </w:pPr>
    </w:p>
    <w:p>
      <w:pPr>
        <w:pStyle w:val="BodyText"/>
        <w:spacing w:before="7"/>
        <w:rPr>
          <w:sz w:val="29"/>
        </w:rPr>
      </w:pPr>
    </w:p>
    <w:p>
      <w:pPr>
        <w:pStyle w:val="Heading4"/>
        <w:numPr>
          <w:ilvl w:val="1"/>
          <w:numId w:val="42"/>
        </w:numPr>
        <w:tabs>
          <w:tab w:pos="5871" w:val="left" w:leader="none"/>
          <w:tab w:pos="5872" w:val="left" w:leader="none"/>
        </w:tabs>
        <w:spacing w:line="240" w:lineRule="auto" w:before="88" w:after="0"/>
        <w:ind w:left="5871" w:right="0" w:hanging="892"/>
        <w:jc w:val="left"/>
      </w:pPr>
      <w:r>
        <w:rPr>
          <w:color w:val="009391"/>
          <w:u w:val="thick" w:color="0092C7"/>
        </w:rPr>
        <w:t>The inflation projection</w:t>
      </w:r>
      <w:r>
        <w:rPr>
          <w:color w:val="009391"/>
          <w:spacing w:val="-15"/>
          <w:u w:val="thick" w:color="0092C7"/>
        </w:rPr>
        <w:t> </w:t>
      </w:r>
      <w:r>
        <w:rPr>
          <w:color w:val="009391"/>
          <w:u w:val="thick" w:color="0092C7"/>
        </w:rPr>
        <w:t>assumptions</w:t>
      </w:r>
      <w:r>
        <w:rPr>
          <w:color w:val="009391"/>
          <w:spacing w:val="-11"/>
          <w:u w:val="thick" w:color="0092C7"/>
        </w:rPr>
        <w:t> </w:t>
      </w:r>
    </w:p>
    <w:p>
      <w:pPr>
        <w:pStyle w:val="BodyText"/>
        <w:spacing w:line="242" w:lineRule="auto" w:before="264"/>
        <w:ind w:left="4980" w:right="273"/>
      </w:pPr>
      <w:r>
        <w:rPr/>
        <w:t>The Monetary Policy Committee approved this </w:t>
      </w:r>
      <w:r>
        <w:rPr>
          <w:i/>
        </w:rPr>
        <w:t>Report </w:t>
      </w:r>
      <w:r>
        <w:rPr/>
        <w:t>on 10 </w:t>
      </w:r>
      <w:r>
        <w:rPr>
          <w:spacing w:val="-3"/>
        </w:rPr>
        <w:t>November. </w:t>
      </w:r>
      <w:r>
        <w:rPr/>
        <w:t>It provides the </w:t>
      </w:r>
      <w:r>
        <w:rPr>
          <w:spacing w:val="-3"/>
        </w:rPr>
        <w:t>Committee’s </w:t>
      </w:r>
      <w:r>
        <w:rPr/>
        <w:t>assessment of developments in the economy since August and prospects for the medium term. Projections of GDP growth and RPIX inflation </w:t>
      </w:r>
      <w:r>
        <w:rPr>
          <w:spacing w:val="-3"/>
        </w:rPr>
        <w:t>over </w:t>
      </w:r>
      <w:r>
        <w:rPr/>
        <w:t>the next two years are shown below in </w:t>
      </w:r>
      <w:hyperlink w:history="true" w:anchor="_bookmark34">
        <w:r>
          <w:rPr>
            <w:color w:val="FF0000"/>
          </w:rPr>
          <w:t>Charts 6.1 </w:t>
        </w:r>
      </w:hyperlink>
      <w:r>
        <w:rPr/>
        <w:t>and </w:t>
      </w:r>
      <w:hyperlink w:history="true" w:anchor="_bookmark35">
        <w:r>
          <w:rPr>
            <w:color w:val="FF0000"/>
          </w:rPr>
          <w:t>6.2</w:t>
        </w:r>
        <w:r>
          <w:rPr/>
          <w:t>,</w:t>
        </w:r>
      </w:hyperlink>
      <w:r>
        <w:rPr/>
        <w:t> together with the uncertainties surrounding them. These projections are based on the assumption that the </w:t>
      </w:r>
      <w:r>
        <w:rPr>
          <w:spacing w:val="-3"/>
        </w:rPr>
        <w:t>Bank’s </w:t>
      </w:r>
      <w:r>
        <w:rPr/>
        <w:t>repo rate remains unchanged at 6% during the next two years. The </w:t>
      </w:r>
      <w:r>
        <w:rPr>
          <w:spacing w:val="-3"/>
        </w:rPr>
        <w:t>key </w:t>
      </w:r>
      <w:r>
        <w:rPr/>
        <w:t>assumptions on which the projections are based are described</w:t>
      </w:r>
      <w:r>
        <w:rPr>
          <w:spacing w:val="-5"/>
        </w:rPr>
        <w:t> below.</w:t>
      </w:r>
    </w:p>
    <w:p>
      <w:pPr>
        <w:pStyle w:val="BodyText"/>
        <w:spacing w:before="3"/>
        <w:rPr>
          <w:sz w:val="34"/>
        </w:rPr>
      </w:pPr>
    </w:p>
    <w:p>
      <w:pPr>
        <w:pStyle w:val="BodyText"/>
        <w:spacing w:line="242" w:lineRule="auto"/>
        <w:ind w:left="4980" w:right="181"/>
      </w:pPr>
      <w:r>
        <w:rPr>
          <w:spacing w:val="-5"/>
        </w:rPr>
        <w:t>World </w:t>
      </w:r>
      <w:r>
        <w:rPr/>
        <w:t>GDP growth once again exceeded expectations in the first half of the </w:t>
      </w:r>
      <w:r>
        <w:rPr>
          <w:spacing w:val="-3"/>
        </w:rPr>
        <w:t>year, </w:t>
      </w:r>
      <w:r>
        <w:rPr/>
        <w:t>although there are clear signs more recently that growth is moderating. Output growth in</w:t>
      </w:r>
      <w:r>
        <w:rPr>
          <w:spacing w:val="-5"/>
        </w:rPr>
        <w:t> </w:t>
      </w:r>
      <w:r>
        <w:rPr/>
        <w:t>the</w:t>
      </w:r>
      <w:r>
        <w:rPr>
          <w:spacing w:val="-5"/>
        </w:rPr>
        <w:t> </w:t>
      </w:r>
      <w:r>
        <w:rPr/>
        <w:t>United</w:t>
      </w:r>
      <w:r>
        <w:rPr>
          <w:spacing w:val="-5"/>
        </w:rPr>
        <w:t> </w:t>
      </w:r>
      <w:r>
        <w:rPr/>
        <w:t>States</w:t>
      </w:r>
      <w:r>
        <w:rPr>
          <w:spacing w:val="-5"/>
        </w:rPr>
        <w:t> </w:t>
      </w:r>
      <w:r>
        <w:rPr/>
        <w:t>in</w:t>
      </w:r>
      <w:r>
        <w:rPr>
          <w:spacing w:val="-4"/>
        </w:rPr>
        <w:t> </w:t>
      </w:r>
      <w:r>
        <w:rPr/>
        <w:t>the</w:t>
      </w:r>
      <w:r>
        <w:rPr>
          <w:spacing w:val="-5"/>
        </w:rPr>
        <w:t> </w:t>
      </w:r>
      <w:r>
        <w:rPr/>
        <w:t>first</w:t>
      </w:r>
      <w:r>
        <w:rPr>
          <w:spacing w:val="-5"/>
        </w:rPr>
        <w:t> </w:t>
      </w:r>
      <w:r>
        <w:rPr/>
        <w:t>half-year</w:t>
      </w:r>
      <w:r>
        <w:rPr>
          <w:spacing w:val="-5"/>
        </w:rPr>
        <w:t> </w:t>
      </w:r>
      <w:r>
        <w:rPr/>
        <w:t>was</w:t>
      </w:r>
      <w:r>
        <w:rPr>
          <w:spacing w:val="-5"/>
        </w:rPr>
        <w:t> </w:t>
      </w:r>
      <w:r>
        <w:rPr>
          <w:spacing w:val="-3"/>
        </w:rPr>
        <w:t>even</w:t>
      </w:r>
      <w:r>
        <w:rPr>
          <w:spacing w:val="-4"/>
        </w:rPr>
        <w:t> </w:t>
      </w:r>
      <w:r>
        <w:rPr/>
        <w:t>higher than projected three months ago, with GDP increasing by more than 6% in the year to Q2. Data for the third quarter and beyond indicate a </w:t>
      </w:r>
      <w:r>
        <w:rPr>
          <w:spacing w:val="-3"/>
        </w:rPr>
        <w:t>slowdown </w:t>
      </w:r>
      <w:r>
        <w:rPr/>
        <w:t>from this exceptional pace. </w:t>
      </w:r>
      <w:r>
        <w:rPr>
          <w:spacing w:val="-3"/>
        </w:rPr>
        <w:t>Moreover, </w:t>
      </w:r>
      <w:r>
        <w:rPr/>
        <w:t>in tandem with the impact of the earlier monetary tightening, a combination of a stronger dollar exchange rate, a higher profile for oil prices, tightening credit conditions and weaker equity prices has tended to dampen prospective US</w:t>
      </w:r>
      <w:r>
        <w:rPr>
          <w:spacing w:val="-30"/>
        </w:rPr>
        <w:t> </w:t>
      </w:r>
      <w:r>
        <w:rPr/>
        <w:t>growth.</w:t>
      </w:r>
    </w:p>
    <w:p>
      <w:pPr>
        <w:pStyle w:val="BodyText"/>
        <w:spacing w:line="242" w:lineRule="auto" w:before="16"/>
        <w:ind w:left="4980" w:right="161"/>
      </w:pPr>
      <w:r>
        <w:rPr/>
        <w:t>The central projection remains that US output growth will slow over the next two years, perhaps to a little below the likely trend growth in supply capacity. Output in the euro area rose by nearly 4% in the year to Q2, as strong as seen at any point in the past decade.</w:t>
      </w:r>
    </w:p>
    <w:p>
      <w:pPr>
        <w:pStyle w:val="BodyText"/>
        <w:spacing w:line="242" w:lineRule="auto" w:before="6"/>
        <w:ind w:left="4980" w:right="239"/>
      </w:pPr>
      <w:r>
        <w:rPr/>
        <w:t>Forward-looking indicators </w:t>
      </w:r>
      <w:r>
        <w:rPr>
          <w:spacing w:val="-3"/>
        </w:rPr>
        <w:t>have </w:t>
      </w:r>
      <w:r>
        <w:rPr/>
        <w:t>softened, </w:t>
      </w:r>
      <w:r>
        <w:rPr>
          <w:spacing w:val="-4"/>
        </w:rPr>
        <w:t>however, </w:t>
      </w:r>
      <w:r>
        <w:rPr/>
        <w:t>and growth in the euro area </w:t>
      </w:r>
      <w:r>
        <w:rPr>
          <w:spacing w:val="-3"/>
        </w:rPr>
        <w:t>over </w:t>
      </w:r>
      <w:r>
        <w:rPr/>
        <w:t>the next two years is expected to ease a little from recent rates. An improvement in corporate profitability is underpinning the cyclical recovery in Japan, although growth is likely to remain moderate </w:t>
      </w:r>
      <w:r>
        <w:rPr>
          <w:spacing w:val="-3"/>
        </w:rPr>
        <w:t>given </w:t>
      </w:r>
      <w:r>
        <w:rPr/>
        <w:t>still quite </w:t>
      </w:r>
      <w:r>
        <w:rPr>
          <w:spacing w:val="-3"/>
        </w:rPr>
        <w:t>low levels </w:t>
      </w:r>
      <w:r>
        <w:rPr/>
        <w:t>of consumer confidence. Growth rates in many emerging market economies in Asia </w:t>
      </w:r>
      <w:r>
        <w:rPr>
          <w:spacing w:val="-3"/>
        </w:rPr>
        <w:t>have </w:t>
      </w:r>
      <w:r>
        <w:rPr/>
        <w:t>slowed a little in recent months, and equity prices </w:t>
      </w:r>
      <w:r>
        <w:rPr>
          <w:spacing w:val="-3"/>
        </w:rPr>
        <w:t>have </w:t>
      </w:r>
      <w:r>
        <w:rPr/>
        <w:t>fallen further, signalling a weaker outlook for </w:t>
      </w:r>
      <w:r>
        <w:rPr>
          <w:spacing w:val="-3"/>
        </w:rPr>
        <w:t>profitability. </w:t>
      </w:r>
      <w:r>
        <w:rPr/>
        <w:t>The deterioration in the terms of trade associated with higher oil prices may </w:t>
      </w:r>
      <w:r>
        <w:rPr>
          <w:spacing w:val="-3"/>
        </w:rPr>
        <w:t>have </w:t>
      </w:r>
      <w:r>
        <w:rPr/>
        <w:t>been a contributory </w:t>
      </w:r>
      <w:r>
        <w:rPr>
          <w:spacing w:val="-3"/>
        </w:rPr>
        <w:t>factor. </w:t>
      </w:r>
      <w:r>
        <w:rPr/>
        <w:t>Prospects for</w:t>
      </w:r>
      <w:r>
        <w:rPr>
          <w:spacing w:val="-15"/>
        </w:rPr>
        <w:t> </w:t>
      </w:r>
      <w:r>
        <w:rPr/>
        <w:t>major</w:t>
      </w:r>
    </w:p>
    <w:p>
      <w:pPr>
        <w:pStyle w:val="BodyText"/>
        <w:spacing w:line="242" w:lineRule="auto" w:before="15"/>
        <w:ind w:left="4980" w:right="341"/>
      </w:pPr>
      <w:r>
        <w:rPr/>
        <w:t>oil-exporting economies </w:t>
      </w:r>
      <w:r>
        <w:rPr>
          <w:spacing w:val="-3"/>
        </w:rPr>
        <w:t>have </w:t>
      </w:r>
      <w:r>
        <w:rPr/>
        <w:t>correspondingly improved. At the global </w:t>
      </w:r>
      <w:r>
        <w:rPr>
          <w:spacing w:val="-3"/>
        </w:rPr>
        <w:t>level, </w:t>
      </w:r>
      <w:r>
        <w:rPr/>
        <w:t>the additional</w:t>
      </w:r>
      <w:r>
        <w:rPr>
          <w:spacing w:val="10"/>
        </w:rPr>
        <w:t> </w:t>
      </w:r>
      <w:r>
        <w:rPr/>
        <w:t>income</w:t>
      </w:r>
    </w:p>
    <w:p>
      <w:pPr>
        <w:spacing w:after="0" w:line="242" w:lineRule="auto"/>
        <w:sectPr>
          <w:headerReference w:type="even" r:id="rId181"/>
          <w:pgSz w:w="11900" w:h="16840"/>
          <w:pgMar w:header="0" w:footer="592" w:top="800" w:bottom="800" w:left="640" w:right="640"/>
        </w:sectPr>
      </w:pPr>
    </w:p>
    <w:p>
      <w:pPr>
        <w:pStyle w:val="BodyText"/>
        <w:rPr>
          <w:sz w:val="20"/>
        </w:rPr>
      </w:pPr>
    </w:p>
    <w:p>
      <w:pPr>
        <w:pStyle w:val="BodyText"/>
        <w:spacing w:before="7"/>
        <w:rPr>
          <w:sz w:val="20"/>
        </w:rPr>
      </w:pPr>
    </w:p>
    <w:p>
      <w:pPr>
        <w:pStyle w:val="BodyText"/>
        <w:spacing w:line="242" w:lineRule="auto"/>
        <w:ind w:left="4974" w:right="341"/>
      </w:pPr>
      <w:r>
        <w:rPr/>
        <w:t>accruing to oil producers will gradually encourage higher spending and boost their demand for imports. But such spending is unlikely to compensate fully or immediately for lower expenditure by oil consumers.</w:t>
      </w:r>
    </w:p>
    <w:p>
      <w:pPr>
        <w:pStyle w:val="BodyText"/>
        <w:spacing w:before="3"/>
        <w:rPr>
          <w:sz w:val="28"/>
        </w:rPr>
      </w:pPr>
    </w:p>
    <w:p>
      <w:pPr>
        <w:pStyle w:val="BodyText"/>
        <w:spacing w:line="242" w:lineRule="auto"/>
        <w:ind w:left="4974" w:right="91"/>
      </w:pPr>
      <w:r>
        <w:rPr/>
        <w:t>Drawing the global picture together, world output growth this year may be more than 4</w:t>
      </w:r>
      <w:r>
        <w:rPr>
          <w:position w:val="8"/>
          <w:sz w:val="12"/>
        </w:rPr>
        <w:t>1</w:t>
      </w:r>
      <w:r>
        <w:rPr/>
        <w:t>/</w:t>
      </w:r>
      <w:r>
        <w:rPr>
          <w:sz w:val="12"/>
        </w:rPr>
        <w:t>2</w:t>
      </w:r>
      <w:r>
        <w:rPr/>
        <w:t>%, the highest rate since 1988. The central assumption is that world GDP growth slows gradually over the next two years, to around 4% in 2001 and to just below that rate in 2002. This outlook is little changed from the August </w:t>
      </w:r>
      <w:r>
        <w:rPr>
          <w:i/>
        </w:rPr>
        <w:t>Report</w:t>
      </w:r>
      <w:r>
        <w:rPr/>
        <w:t>. Prospects for world trade growth, however, are a little stronger.</w:t>
      </w:r>
    </w:p>
    <w:p>
      <w:pPr>
        <w:pStyle w:val="BodyText"/>
        <w:spacing w:line="242" w:lineRule="auto" w:before="9"/>
        <w:ind w:left="4974" w:right="391"/>
      </w:pPr>
      <w:r>
        <w:rPr/>
        <w:t>Recent data suggest that trade growth has been even higher than expected, with import volumes in the United States, the euro area and Japan all rising at double-digit rates. World trade volumes (weighted by UK export market shares) may rise at around 11% this year, around 1 percentage point higher than expected three months ago. Trade growth is projected to ease to around 8% next year, similar to the assumption in August.</w:t>
      </w:r>
    </w:p>
    <w:p>
      <w:pPr>
        <w:pStyle w:val="BodyText"/>
        <w:spacing w:before="9"/>
        <w:rPr>
          <w:sz w:val="28"/>
        </w:rPr>
      </w:pPr>
    </w:p>
    <w:p>
      <w:pPr>
        <w:pStyle w:val="BodyText"/>
        <w:spacing w:line="242" w:lineRule="auto"/>
        <w:ind w:left="4974" w:right="174"/>
      </w:pPr>
      <w:r>
        <w:rPr/>
        <w:t>The Committee, in common with outside forecasters, continues to assume that the most likely prospect is for a slowdown in world growth to a more sustainable pace, though the risks to this outlook are judged to lie firmly on the downside. A number of factors could trigger a less</w:t>
      </w:r>
      <w:r>
        <w:rPr>
          <w:spacing w:val="-6"/>
        </w:rPr>
        <w:t> </w:t>
      </w:r>
      <w:r>
        <w:rPr/>
        <w:t>sanguine</w:t>
      </w:r>
      <w:r>
        <w:rPr>
          <w:spacing w:val="-6"/>
        </w:rPr>
        <w:t> </w:t>
      </w:r>
      <w:r>
        <w:rPr/>
        <w:t>outlook,</w:t>
      </w:r>
      <w:r>
        <w:rPr>
          <w:spacing w:val="-5"/>
        </w:rPr>
        <w:t> </w:t>
      </w:r>
      <w:r>
        <w:rPr/>
        <w:t>for</w:t>
      </w:r>
      <w:r>
        <w:rPr>
          <w:spacing w:val="-6"/>
        </w:rPr>
        <w:t> </w:t>
      </w:r>
      <w:r>
        <w:rPr/>
        <w:t>example</w:t>
      </w:r>
      <w:r>
        <w:rPr>
          <w:spacing w:val="-6"/>
        </w:rPr>
        <w:t> </w:t>
      </w:r>
      <w:r>
        <w:rPr/>
        <w:t>a</w:t>
      </w:r>
      <w:r>
        <w:rPr>
          <w:spacing w:val="-6"/>
        </w:rPr>
        <w:t> </w:t>
      </w:r>
      <w:r>
        <w:rPr/>
        <w:t>change</w:t>
      </w:r>
      <w:r>
        <w:rPr>
          <w:spacing w:val="-6"/>
        </w:rPr>
        <w:t> </w:t>
      </w:r>
      <w:r>
        <w:rPr/>
        <w:t>in</w:t>
      </w:r>
      <w:r>
        <w:rPr>
          <w:spacing w:val="-6"/>
        </w:rPr>
        <w:t> </w:t>
      </w:r>
      <w:r>
        <w:rPr/>
        <w:t>sentiment on the strength of underlying productivity growth in the United States, instability in the oil market, and/or sharp movements in asset prices and exchange rates in response to rising domestic and international financial imbalances.</w:t>
      </w:r>
    </w:p>
    <w:p>
      <w:pPr>
        <w:pStyle w:val="BodyText"/>
        <w:spacing w:before="1"/>
        <w:rPr>
          <w:sz w:val="29"/>
        </w:rPr>
      </w:pPr>
    </w:p>
    <w:p>
      <w:pPr>
        <w:pStyle w:val="BodyText"/>
        <w:spacing w:line="242" w:lineRule="auto"/>
        <w:ind w:left="4974" w:right="274"/>
      </w:pPr>
      <w:r>
        <w:rPr/>
        <w:t>There has been a substantial increase in the expected profile of world oil prices since the August </w:t>
      </w:r>
      <w:r>
        <w:rPr>
          <w:i/>
        </w:rPr>
        <w:t>Report</w:t>
      </w:r>
      <w:r>
        <w:rPr/>
        <w:t>. The price of Brent crude rose sharply during the second half of August and early September to a peak of just under</w:t>
      </w:r>
    </w:p>
    <w:p>
      <w:pPr>
        <w:pStyle w:val="BodyText"/>
        <w:spacing w:line="242" w:lineRule="auto" w:before="5"/>
        <w:ind w:left="4974" w:right="176"/>
      </w:pPr>
      <w:r>
        <w:rPr/>
        <w:t>$38 per barrel, although the price subsequently eased to around</w:t>
      </w:r>
      <w:r>
        <w:rPr>
          <w:spacing w:val="-6"/>
        </w:rPr>
        <w:t> </w:t>
      </w:r>
      <w:r>
        <w:rPr/>
        <w:t>$30</w:t>
      </w:r>
      <w:r>
        <w:rPr>
          <w:spacing w:val="-6"/>
        </w:rPr>
        <w:t> </w:t>
      </w:r>
      <w:r>
        <w:rPr/>
        <w:t>per</w:t>
      </w:r>
      <w:r>
        <w:rPr>
          <w:spacing w:val="-6"/>
        </w:rPr>
        <w:t> </w:t>
      </w:r>
      <w:r>
        <w:rPr/>
        <w:t>barrel</w:t>
      </w:r>
      <w:r>
        <w:rPr>
          <w:spacing w:val="-6"/>
        </w:rPr>
        <w:t> </w:t>
      </w:r>
      <w:r>
        <w:rPr/>
        <w:t>following</w:t>
      </w:r>
      <w:r>
        <w:rPr>
          <w:spacing w:val="-6"/>
        </w:rPr>
        <w:t> </w:t>
      </w:r>
      <w:r>
        <w:rPr/>
        <w:t>the</w:t>
      </w:r>
      <w:r>
        <w:rPr>
          <w:spacing w:val="-6"/>
        </w:rPr>
        <w:t> </w:t>
      </w:r>
      <w:r>
        <w:rPr/>
        <w:t>announcement</w:t>
      </w:r>
      <w:r>
        <w:rPr>
          <w:spacing w:val="-6"/>
        </w:rPr>
        <w:t> </w:t>
      </w:r>
      <w:r>
        <w:rPr/>
        <w:t>of</w:t>
      </w:r>
      <w:r>
        <w:rPr>
          <w:spacing w:val="-6"/>
        </w:rPr>
        <w:t> </w:t>
      </w:r>
      <w:r>
        <w:rPr/>
        <w:t>the release of strategic oil reserves in the United States and increases (and indications of possible further increases) in OPEC production quotas. Since the August </w:t>
      </w:r>
      <w:r>
        <w:rPr>
          <w:i/>
        </w:rPr>
        <w:t>Report</w:t>
      </w:r>
      <w:r>
        <w:rPr/>
        <w:t>, market</w:t>
      </w:r>
      <w:r>
        <w:rPr>
          <w:spacing w:val="-7"/>
        </w:rPr>
        <w:t> </w:t>
      </w:r>
      <w:r>
        <w:rPr/>
        <w:t>participants’</w:t>
      </w:r>
      <w:r>
        <w:rPr>
          <w:spacing w:val="-22"/>
        </w:rPr>
        <w:t> </w:t>
      </w:r>
      <w:r>
        <w:rPr/>
        <w:t>expectations</w:t>
      </w:r>
      <w:r>
        <w:rPr>
          <w:spacing w:val="-7"/>
        </w:rPr>
        <w:t> </w:t>
      </w:r>
      <w:r>
        <w:rPr/>
        <w:t>of</w:t>
      </w:r>
      <w:r>
        <w:rPr>
          <w:spacing w:val="-6"/>
        </w:rPr>
        <w:t> </w:t>
      </w:r>
      <w:r>
        <w:rPr/>
        <w:t>future</w:t>
      </w:r>
      <w:r>
        <w:rPr>
          <w:spacing w:val="-7"/>
        </w:rPr>
        <w:t> </w:t>
      </w:r>
      <w:r>
        <w:rPr/>
        <w:t>oil</w:t>
      </w:r>
      <w:r>
        <w:rPr>
          <w:spacing w:val="-7"/>
        </w:rPr>
        <w:t> </w:t>
      </w:r>
      <w:r>
        <w:rPr/>
        <w:t>prices</w:t>
      </w:r>
      <w:r>
        <w:rPr>
          <w:spacing w:val="-6"/>
        </w:rPr>
        <w:t> </w:t>
      </w:r>
      <w:r>
        <w:rPr>
          <w:spacing w:val="-3"/>
        </w:rPr>
        <w:t>over </w:t>
      </w:r>
      <w:r>
        <w:rPr/>
        <w:t>the next two years </w:t>
      </w:r>
      <w:r>
        <w:rPr>
          <w:spacing w:val="-3"/>
        </w:rPr>
        <w:t>have </w:t>
      </w:r>
      <w:r>
        <w:rPr/>
        <w:t>risen by around $3–$4 per barrel. Market participants continue to expect falling prices, as additional production is gradually brought onstream and </w:t>
      </w:r>
      <w:r>
        <w:rPr>
          <w:spacing w:val="-3"/>
        </w:rPr>
        <w:t>investment </w:t>
      </w:r>
      <w:r>
        <w:rPr/>
        <w:t>to expand future supply capacity is stimulated. The Committee has maintained the assumption that the futures market provides the best guide to the outlook for the oil</w:t>
      </w:r>
      <w:r>
        <w:rPr>
          <w:spacing w:val="-12"/>
        </w:rPr>
        <w:t> </w:t>
      </w:r>
      <w:r>
        <w:rPr/>
        <w:t>price.</w:t>
      </w:r>
    </w:p>
    <w:p>
      <w:pPr>
        <w:spacing w:after="0" w:line="242" w:lineRule="auto"/>
        <w:sectPr>
          <w:headerReference w:type="even" r:id="rId182"/>
          <w:headerReference w:type="default" r:id="rId183"/>
          <w:footerReference w:type="even" r:id="rId184"/>
          <w:footerReference w:type="default" r:id="rId185"/>
          <w:pgSz w:w="11900" w:h="16840"/>
          <w:pgMar w:header="586" w:footer="592" w:top="780" w:bottom="780" w:left="640" w:right="640"/>
          <w:pgNumType w:start="50"/>
        </w:sectPr>
      </w:pPr>
    </w:p>
    <w:p>
      <w:pPr>
        <w:pStyle w:val="BodyText"/>
        <w:rPr>
          <w:sz w:val="20"/>
        </w:rPr>
      </w:pPr>
    </w:p>
    <w:p>
      <w:pPr>
        <w:pStyle w:val="BodyText"/>
        <w:spacing w:line="242" w:lineRule="auto" w:before="222"/>
        <w:ind w:left="4979" w:right="215"/>
      </w:pPr>
      <w:bookmarkStart w:name="_bookmark32" w:id="76"/>
      <w:bookmarkEnd w:id="76"/>
      <w:r>
        <w:rPr/>
      </w:r>
      <w:r>
        <w:rPr/>
        <w:t>Higher oil prices have put upward pressure on producer and consumer prices in the major overseas economies, with ‘headline’ rates of inflation running well ahead of ‘core’ rates, which exclude energy (as well as food) costs. There are few signs to date, however, of higher headline rates becoming embedded through increased wage claims. The rise in headline inflation in the euro area in September to close to 3% has led the ECB to raise interest rates further to mitigate this threat.</w:t>
      </w:r>
    </w:p>
    <w:p>
      <w:pPr>
        <w:pStyle w:val="BodyText"/>
        <w:spacing w:line="242" w:lineRule="auto" w:before="12"/>
        <w:ind w:left="4979" w:right="215"/>
      </w:pPr>
      <w:r>
        <w:rPr/>
        <w:t>Moreover, although industrial commodity prices have picked up quite sharply over the past month, the rise since August was slower than expected, and, placing additional weight on information from futures’ markets, commodity prices may increase less rapidly over the forecast period than assumed in the previous </w:t>
      </w:r>
      <w:r>
        <w:rPr>
          <w:i/>
        </w:rPr>
        <w:t>Report</w:t>
      </w:r>
      <w:r>
        <w:rPr/>
        <w:t>.</w:t>
      </w:r>
    </w:p>
    <w:p>
      <w:pPr>
        <w:pStyle w:val="BodyText"/>
        <w:spacing w:line="242" w:lineRule="auto" w:before="7"/>
        <w:ind w:left="4979" w:right="215"/>
      </w:pPr>
      <w:r>
        <w:rPr/>
        <w:t>The outlook for inflation in the major overseas economies remains relatively benign, with inflationary pressures projected to dissipate gradually over the next two years as oil prices decline and growth slows in response to earlier monetary tightening. Nevertheless, rates of inflation in the major overseas economies are likely to be a little higher than projected in August.</w:t>
      </w:r>
    </w:p>
    <w:p>
      <w:pPr>
        <w:pStyle w:val="BodyText"/>
        <w:spacing w:before="4"/>
        <w:rPr>
          <w:sz w:val="30"/>
        </w:rPr>
      </w:pPr>
    </w:p>
    <w:p>
      <w:pPr>
        <w:pStyle w:val="BodyText"/>
        <w:spacing w:line="242" w:lineRule="auto"/>
        <w:ind w:left="4979" w:right="171"/>
      </w:pPr>
      <w:r>
        <w:rPr/>
        <w:t>The outlook for sterling import prices depends on the local currency prices of traded goods set by exporters to the United Kingdom as well as on the sterling exchange rate.  As noted in previous </w:t>
      </w:r>
      <w:r>
        <w:rPr>
          <w:i/>
        </w:rPr>
        <w:t>Reports</w:t>
      </w:r>
      <w:r>
        <w:rPr/>
        <w:t>, sterling import prices </w:t>
      </w:r>
      <w:r>
        <w:rPr>
          <w:spacing w:val="-3"/>
        </w:rPr>
        <w:t>have </w:t>
      </w:r>
      <w:r>
        <w:rPr/>
        <w:t>recently been rather higher than a measure based on the average price of overseas exports translated into sterling using </w:t>
      </w:r>
      <w:r>
        <w:rPr>
          <w:spacing w:val="-3"/>
        </w:rPr>
        <w:t>relevant </w:t>
      </w:r>
      <w:r>
        <w:rPr/>
        <w:t>trade weights. Over time these two measures are likely to </w:t>
      </w:r>
      <w:r>
        <w:rPr>
          <w:spacing w:val="-3"/>
        </w:rPr>
        <w:t>move </w:t>
      </w:r>
      <w:r>
        <w:rPr/>
        <w:t>closely together, as competitive pressures erode any abnormal profit margin on sales to the United Kingdom. But </w:t>
      </w:r>
      <w:r>
        <w:rPr>
          <w:spacing w:val="-3"/>
        </w:rPr>
        <w:t>given </w:t>
      </w:r>
      <w:r>
        <w:rPr/>
        <w:t>costs of entering markets and of switching sales between locations, it is possible that overseas suppliers may </w:t>
      </w:r>
      <w:r>
        <w:rPr>
          <w:spacing w:val="-3"/>
        </w:rPr>
        <w:t>have </w:t>
      </w:r>
      <w:r>
        <w:rPr/>
        <w:t>temporarily widened their margins on sales to the United Kingdom,</w:t>
      </w:r>
      <w:r>
        <w:rPr>
          <w:spacing w:val="-6"/>
        </w:rPr>
        <w:t> </w:t>
      </w:r>
      <w:r>
        <w:rPr/>
        <w:t>particularly</w:t>
      </w:r>
      <w:r>
        <w:rPr>
          <w:spacing w:val="-6"/>
        </w:rPr>
        <w:t> </w:t>
      </w:r>
      <w:r>
        <w:rPr/>
        <w:t>if</w:t>
      </w:r>
      <w:r>
        <w:rPr>
          <w:spacing w:val="-6"/>
        </w:rPr>
        <w:t> </w:t>
      </w:r>
      <w:r>
        <w:rPr/>
        <w:t>they</w:t>
      </w:r>
      <w:r>
        <w:rPr>
          <w:spacing w:val="-6"/>
        </w:rPr>
        <w:t> </w:t>
      </w:r>
      <w:r>
        <w:rPr/>
        <w:t>thought</w:t>
      </w:r>
      <w:r>
        <w:rPr>
          <w:spacing w:val="-6"/>
        </w:rPr>
        <w:t> </w:t>
      </w:r>
      <w:r>
        <w:rPr/>
        <w:t>that</w:t>
      </w:r>
      <w:r>
        <w:rPr>
          <w:spacing w:val="-6"/>
        </w:rPr>
        <w:t> </w:t>
      </w:r>
      <w:r>
        <w:rPr/>
        <w:t>the</w:t>
      </w:r>
      <w:r>
        <w:rPr>
          <w:spacing w:val="-6"/>
        </w:rPr>
        <w:t> </w:t>
      </w:r>
      <w:r>
        <w:rPr/>
        <w:t>strength</w:t>
      </w:r>
      <w:r>
        <w:rPr>
          <w:spacing w:val="-6"/>
        </w:rPr>
        <w:t> </w:t>
      </w:r>
      <w:r>
        <w:rPr/>
        <w:t>of sterling was unlikely to persist. The Committee has maintained the assumption from the previous forecast that these margins are likely to be gradually</w:t>
      </w:r>
      <w:r>
        <w:rPr>
          <w:spacing w:val="-28"/>
        </w:rPr>
        <w:t> </w:t>
      </w:r>
      <w:r>
        <w:rPr/>
        <w:t>eroded.</w:t>
      </w:r>
    </w:p>
    <w:p>
      <w:pPr>
        <w:pStyle w:val="BodyText"/>
        <w:spacing w:before="5"/>
        <w:rPr>
          <w:sz w:val="31"/>
        </w:rPr>
      </w:pPr>
    </w:p>
    <w:p>
      <w:pPr>
        <w:pStyle w:val="BodyText"/>
        <w:spacing w:line="242" w:lineRule="auto"/>
        <w:ind w:left="4979" w:right="182"/>
      </w:pPr>
      <w:r>
        <w:rPr/>
        <w:t>The sterling </w:t>
      </w:r>
      <w:r>
        <w:rPr>
          <w:spacing w:val="-3"/>
        </w:rPr>
        <w:t>effective </w:t>
      </w:r>
      <w:r>
        <w:rPr/>
        <w:t>exchange rate index (ERI) has appreciated since the August </w:t>
      </w:r>
      <w:r>
        <w:rPr>
          <w:i/>
        </w:rPr>
        <w:t>Report</w:t>
      </w:r>
      <w:r>
        <w:rPr/>
        <w:t>. Although sterling has weakened further against the </w:t>
      </w:r>
      <w:r>
        <w:rPr>
          <w:spacing w:val="-3"/>
        </w:rPr>
        <w:t>dollar, </w:t>
      </w:r>
      <w:r>
        <w:rPr/>
        <w:t>this movement is outweighed in trade-adjusted terms by the rise against the euro. Sterling has, </w:t>
      </w:r>
      <w:r>
        <w:rPr>
          <w:spacing w:val="-4"/>
        </w:rPr>
        <w:t>however, </w:t>
      </w:r>
      <w:r>
        <w:rPr/>
        <w:t>been quite volatile </w:t>
      </w:r>
      <w:r>
        <w:rPr>
          <w:spacing w:val="-3"/>
        </w:rPr>
        <w:t>over </w:t>
      </w:r>
      <w:r>
        <w:rPr/>
        <w:t>the past month, with the ERI appreciating significantly through much of October and then falling back more recently to </w:t>
      </w:r>
      <w:r>
        <w:rPr>
          <w:spacing w:val="-3"/>
        </w:rPr>
        <w:t>levels </w:t>
      </w:r>
      <w:r>
        <w:rPr/>
        <w:t>close to those prevailing around the time of the October MPC meeting. In interpreting recent exchange rate developments in the November</w:t>
      </w:r>
      <w:r>
        <w:rPr>
          <w:spacing w:val="-26"/>
        </w:rPr>
        <w:t> </w:t>
      </w:r>
      <w:r>
        <w:rPr/>
        <w:t>MPC</w:t>
      </w:r>
    </w:p>
    <w:p>
      <w:pPr>
        <w:spacing w:after="0" w:line="242" w:lineRule="auto"/>
        <w:sectPr>
          <w:pgSz w:w="11900" w:h="16840"/>
          <w:pgMar w:header="601" w:footer="612" w:top="800" w:bottom="800" w:left="640" w:right="640"/>
        </w:sectPr>
      </w:pPr>
    </w:p>
    <w:p>
      <w:pPr>
        <w:pStyle w:val="BodyText"/>
        <w:rPr>
          <w:sz w:val="20"/>
        </w:rPr>
      </w:pPr>
    </w:p>
    <w:p>
      <w:pPr>
        <w:pStyle w:val="BodyText"/>
        <w:spacing w:before="7"/>
        <w:rPr>
          <w:sz w:val="20"/>
        </w:rPr>
      </w:pPr>
    </w:p>
    <w:p>
      <w:pPr>
        <w:pStyle w:val="BodyText"/>
        <w:spacing w:line="242" w:lineRule="auto"/>
        <w:ind w:left="4974" w:right="135"/>
      </w:pPr>
      <w:r>
        <w:rPr/>
        <w:t>meeting, the Committee judged that temporary factors may have accounted for this hump, and that greater weight should be attached to more recent levels of the exchange rate as a starting-point for the assessment of inflation and growth prospects. The Committee judged that, in this instance, greater transparency would be achieved if the starting-point for asset prices in the projections were based on the average over the previous five working days, rather than fifteen as in recent </w:t>
      </w:r>
      <w:r>
        <w:rPr>
          <w:i/>
        </w:rPr>
        <w:t>Reports</w:t>
      </w:r>
      <w:r>
        <w:rPr/>
        <w:t>. Alternative fan charts based on the usual fifteen working day convention are shown in </w:t>
      </w:r>
      <w:hyperlink w:history="true" w:anchor="_bookmark37">
        <w:r>
          <w:rPr>
            <w:color w:val="FF0000"/>
          </w:rPr>
          <w:t>Charts 6.6 </w:t>
        </w:r>
        <w:r>
          <w:rPr/>
          <w:t>and </w:t>
        </w:r>
        <w:r>
          <w:rPr>
            <w:color w:val="FF0000"/>
          </w:rPr>
          <w:t>6.7</w:t>
        </w:r>
      </w:hyperlink>
      <w:r>
        <w:rPr>
          <w:color w:val="FF0000"/>
        </w:rPr>
        <w:t> </w:t>
      </w:r>
      <w:r>
        <w:rPr/>
        <w:t>below.</w:t>
      </w:r>
    </w:p>
    <w:p>
      <w:pPr>
        <w:pStyle w:val="BodyText"/>
        <w:spacing w:before="5"/>
        <w:rPr>
          <w:sz w:val="27"/>
        </w:rPr>
      </w:pPr>
    </w:p>
    <w:p>
      <w:pPr>
        <w:pStyle w:val="BodyText"/>
        <w:spacing w:line="242" w:lineRule="auto"/>
        <w:ind w:left="4974" w:right="146"/>
      </w:pPr>
      <w:r>
        <w:rPr/>
        <w:t>The ERI averaged 107.5 in the five working days up to and including 8 November, consistent with bilateral sterling exchange rates of $1.44 and 60 pence against the euro. This forms the starting-point for the exchange rate profile assumed in the current projection. It is above the starting-point of 106.1 in the August </w:t>
      </w:r>
      <w:r>
        <w:rPr>
          <w:i/>
        </w:rPr>
        <w:t>Report </w:t>
      </w:r>
      <w:r>
        <w:rPr/>
        <w:t>and the implied level of 105.9 for November in the August central projection.</w:t>
      </w:r>
    </w:p>
    <w:p>
      <w:pPr>
        <w:pStyle w:val="BodyText"/>
        <w:spacing w:before="8"/>
        <w:rPr>
          <w:sz w:val="28"/>
        </w:rPr>
      </w:pPr>
    </w:p>
    <w:p>
      <w:pPr>
        <w:pStyle w:val="BodyText"/>
        <w:spacing w:line="242" w:lineRule="auto"/>
        <w:ind w:left="4974" w:right="171"/>
      </w:pPr>
      <w:r>
        <w:rPr/>
        <w:t>The Committee based the central projection on the average of a constant nominal exchange rate and a path implied by the pattern of market interest rate differentials, with the latter adjusted for the conditioning assumption of constant UK interest rates. Adopting this approach, the sterling ERI declines a little to 106.6 by 2002 Q4. The Committee continues to judge that the balance of risks to the sterling exchange rate profile is weighted to the downside, and indeed has increased the scale of the downside risk relative to the August </w:t>
      </w:r>
      <w:r>
        <w:rPr>
          <w:i/>
        </w:rPr>
        <w:t>Report</w:t>
      </w:r>
      <w:r>
        <w:rPr/>
        <w:t>.</w:t>
      </w:r>
    </w:p>
    <w:p>
      <w:pPr>
        <w:pStyle w:val="BodyText"/>
        <w:spacing w:before="10"/>
        <w:rPr>
          <w:sz w:val="28"/>
        </w:rPr>
      </w:pPr>
    </w:p>
    <w:p>
      <w:pPr>
        <w:pStyle w:val="BodyText"/>
        <w:spacing w:line="242" w:lineRule="auto" w:before="1"/>
        <w:ind w:left="4974" w:right="134"/>
      </w:pPr>
      <w:r>
        <w:rPr/>
        <w:t>Household wealth is one of the key influences on the outlook for consumer spending. Equity prices are little changed from their levels three months ago. Given that a small rise was expected, the FTSE All-Share index in the five working days to 8 November was some 2% below the central path assumed in the August </w:t>
      </w:r>
      <w:r>
        <w:rPr>
          <w:i/>
        </w:rPr>
        <w:t>Report</w:t>
      </w:r>
      <w:r>
        <w:rPr/>
        <w:t>. As the Committee has maintained the assumption in the central projection that equity wealth increases from the current level in line with nominal GDP, the lower starting-point leads to a slightly weaker outlook for financial wealth over the forecast period.</w:t>
      </w:r>
    </w:p>
    <w:p>
      <w:pPr>
        <w:pStyle w:val="BodyText"/>
        <w:spacing w:before="3"/>
        <w:rPr>
          <w:sz w:val="27"/>
        </w:rPr>
      </w:pPr>
    </w:p>
    <w:p>
      <w:pPr>
        <w:pStyle w:val="BodyText"/>
        <w:spacing w:line="242" w:lineRule="auto"/>
        <w:ind w:left="4974"/>
      </w:pPr>
      <w:r>
        <w:rPr/>
        <w:t>Activity in the housing market has moderated and house price inflation continues to decline broadly in line with expectations three months ago. The outlook for gross housing wealth is little changed from the August projection, with house prices likely to rise a little more quickly than earnings over the next two years.</w:t>
      </w:r>
    </w:p>
    <w:p>
      <w:pPr>
        <w:spacing w:after="0" w:line="242" w:lineRule="auto"/>
        <w:sectPr>
          <w:pgSz w:w="11900" w:h="16840"/>
          <w:pgMar w:header="586" w:footer="592" w:top="780" w:bottom="780" w:left="640" w:right="640"/>
        </w:sectPr>
      </w:pPr>
    </w:p>
    <w:p>
      <w:pPr>
        <w:pStyle w:val="BodyText"/>
        <w:rPr>
          <w:sz w:val="20"/>
        </w:rPr>
      </w:pPr>
    </w:p>
    <w:p>
      <w:pPr>
        <w:pStyle w:val="BodyText"/>
        <w:spacing w:line="242" w:lineRule="auto" w:before="222"/>
        <w:ind w:left="4979" w:right="212"/>
      </w:pPr>
      <w:bookmarkStart w:name="The output and inflation projections" w:id="77"/>
      <w:bookmarkEnd w:id="77"/>
      <w:r>
        <w:rPr/>
      </w:r>
      <w:bookmarkStart w:name="_bookmark33" w:id="78"/>
      <w:bookmarkEnd w:id="78"/>
      <w:r>
        <w:rPr/>
      </w:r>
      <w:r>
        <w:rPr/>
        <w:t>The assumptions on fiscal policy </w:t>
      </w:r>
      <w:r>
        <w:rPr>
          <w:spacing w:val="-3"/>
        </w:rPr>
        <w:t>have </w:t>
      </w:r>
      <w:r>
        <w:rPr/>
        <w:t>been updated in the light of the Chancellor’s Pre-Budget Report (PBR) on 8 </w:t>
      </w:r>
      <w:r>
        <w:rPr>
          <w:spacing w:val="-3"/>
        </w:rPr>
        <w:t>November. </w:t>
      </w:r>
      <w:r>
        <w:rPr/>
        <w:t>The central projection for the volume of public spending is based on the </w:t>
      </w:r>
      <w:r>
        <w:rPr>
          <w:spacing w:val="-3"/>
        </w:rPr>
        <w:t>Government’s </w:t>
      </w:r>
      <w:r>
        <w:rPr/>
        <w:t>published cash plans, modified by the </w:t>
      </w:r>
      <w:r>
        <w:rPr>
          <w:spacing w:val="-3"/>
        </w:rPr>
        <w:t>Committee’s </w:t>
      </w:r>
      <w:r>
        <w:rPr/>
        <w:t>assessment of inflation prospects. The assumption on public sector revenues draws on HM </w:t>
      </w:r>
      <w:r>
        <w:rPr>
          <w:spacing w:val="-3"/>
        </w:rPr>
        <w:t>Treasury’s </w:t>
      </w:r>
      <w:r>
        <w:rPr/>
        <w:t>latest estimates of average tax rates from the PBR, which are then applied to the </w:t>
      </w:r>
      <w:r>
        <w:rPr>
          <w:spacing w:val="-3"/>
        </w:rPr>
        <w:t>Committee’s </w:t>
      </w:r>
      <w:r>
        <w:rPr/>
        <w:t>economic forecast. The Committee judges that the PBR has little impact on the medium-term outlook for growth and inflation—the additional spending measures are counterbalanced by higher </w:t>
      </w:r>
      <w:r>
        <w:rPr>
          <w:spacing w:val="-3"/>
        </w:rPr>
        <w:t>revenue </w:t>
      </w:r>
      <w:r>
        <w:rPr/>
        <w:t>estimates. There will, </w:t>
      </w:r>
      <w:r>
        <w:rPr>
          <w:spacing w:val="-4"/>
        </w:rPr>
        <w:t>however, </w:t>
      </w:r>
      <w:r>
        <w:rPr/>
        <w:t>be a slight, </w:t>
      </w:r>
      <w:r>
        <w:rPr>
          <w:spacing w:val="-3"/>
        </w:rPr>
        <w:t>temporary, </w:t>
      </w:r>
      <w:r>
        <w:rPr/>
        <w:t>reduction in inflation as a result of the one-year freeze in fuel duties. No account is taken of any measures under</w:t>
      </w:r>
      <w:r>
        <w:rPr>
          <w:spacing w:val="-6"/>
        </w:rPr>
        <w:t> </w:t>
      </w:r>
      <w:r>
        <w:rPr/>
        <w:t>consultation.</w:t>
      </w:r>
    </w:p>
    <w:p>
      <w:pPr>
        <w:pStyle w:val="BodyText"/>
        <w:spacing w:before="5"/>
        <w:rPr>
          <w:sz w:val="20"/>
        </w:rPr>
      </w:pPr>
    </w:p>
    <w:p>
      <w:pPr>
        <w:pStyle w:val="Heading4"/>
        <w:numPr>
          <w:ilvl w:val="1"/>
          <w:numId w:val="42"/>
        </w:numPr>
        <w:tabs>
          <w:tab w:pos="5925" w:val="left" w:leader="none"/>
          <w:tab w:pos="5926" w:val="left" w:leader="none"/>
          <w:tab w:pos="10465" w:val="left" w:leader="none"/>
        </w:tabs>
        <w:spacing w:line="240" w:lineRule="auto" w:before="88" w:after="0"/>
        <w:ind w:left="5925" w:right="0" w:hanging="947"/>
        <w:jc w:val="left"/>
      </w:pPr>
      <w:r>
        <w:rPr>
          <w:color w:val="009391"/>
          <w:u w:val="thick" w:color="0092C7"/>
        </w:rPr>
        <w:t>The output and inflation</w:t>
      </w:r>
      <w:r>
        <w:rPr>
          <w:color w:val="009391"/>
          <w:spacing w:val="-35"/>
          <w:u w:val="thick" w:color="0092C7"/>
        </w:rPr>
        <w:t> </w:t>
      </w:r>
      <w:r>
        <w:rPr>
          <w:color w:val="009391"/>
          <w:u w:val="thick" w:color="0092C7"/>
        </w:rPr>
        <w:t>projections</w:t>
        <w:tab/>
      </w:r>
    </w:p>
    <w:p>
      <w:pPr>
        <w:pStyle w:val="BodyText"/>
        <w:spacing w:line="242" w:lineRule="auto" w:before="264"/>
        <w:ind w:left="4979" w:right="149"/>
      </w:pPr>
      <w:r>
        <w:rPr/>
        <w:t>According to the preliminary estimate, GDP rose by 0.7% in the third quarter, a touch stronger than projected three months ago, but in line with the average growth rate in the first half of the year. Output growth has slowed from the rapid pace in the second half of 1999, to a rate perhaps around or a little above trend. RPIX inflation stood at 2.2% in September, and so remains just below target. Recent inflation outturns have been a little softer than projected three months ago. The Committee reviewed the prospects for output and inflation against this background.</w:t>
      </w:r>
    </w:p>
    <w:p>
      <w:pPr>
        <w:pStyle w:val="BodyText"/>
        <w:rPr>
          <w:sz w:val="29"/>
        </w:rPr>
      </w:pPr>
    </w:p>
    <w:p>
      <w:pPr>
        <w:pStyle w:val="BodyText"/>
        <w:spacing w:line="242" w:lineRule="auto"/>
        <w:ind w:left="4979" w:right="183"/>
      </w:pPr>
      <w:r>
        <w:rPr/>
        <w:t>Recent data on demand and output have not altered the overall picture substantially from that expected at the time of the August </w:t>
      </w:r>
      <w:r>
        <w:rPr>
          <w:i/>
        </w:rPr>
        <w:t>Report</w:t>
      </w:r>
      <w:r>
        <w:rPr/>
        <w:t>. The National Accounts release estimated that GDP growth in the second quarter was 0.9%, in line with the preliminary release available three months ago. A marked bounce-back in energy output from the weather-affected low level in the first quarter was a major factor accounting for the rise in GDP growth—adjusting for this erratic influence, output growth was little changed between the two quarters.</w:t>
      </w:r>
    </w:p>
    <w:p>
      <w:pPr>
        <w:pStyle w:val="BodyText"/>
        <w:spacing w:before="11"/>
        <w:rPr>
          <w:sz w:val="28"/>
        </w:rPr>
      </w:pPr>
    </w:p>
    <w:p>
      <w:pPr>
        <w:pStyle w:val="BodyText"/>
        <w:spacing w:line="242" w:lineRule="auto"/>
        <w:ind w:left="4979" w:right="227"/>
      </w:pPr>
      <w:r>
        <w:rPr/>
        <w:t>As noted in previous </w:t>
      </w:r>
      <w:r>
        <w:rPr>
          <w:i/>
        </w:rPr>
        <w:t>Reports</w:t>
      </w:r>
      <w:r>
        <w:rPr/>
        <w:t>, a marked slowdown in private final demand growth is necessary to prevent overall demand pressures running ahead of supply capacity as public spending increases more rapidly. The second-quarter developments were broadly on the track expected three months ago. Private final domestic demand growth recovered from the unusually weak rate in the wake of the pre-millennium spending spurt, but the rate of growth of private spending has eased</w:t>
      </w:r>
    </w:p>
    <w:p>
      <w:pPr>
        <w:spacing w:after="0" w:line="242" w:lineRule="auto"/>
        <w:sectPr>
          <w:pgSz w:w="11900" w:h="16840"/>
          <w:pgMar w:header="601" w:footer="612" w:top="800" w:bottom="800" w:left="640" w:right="640"/>
        </w:sectPr>
      </w:pPr>
    </w:p>
    <w:p>
      <w:pPr>
        <w:pStyle w:val="BodyText"/>
        <w:rPr>
          <w:sz w:val="20"/>
        </w:rPr>
      </w:pPr>
    </w:p>
    <w:p>
      <w:pPr>
        <w:pStyle w:val="BodyText"/>
        <w:spacing w:before="7"/>
        <w:rPr>
          <w:sz w:val="20"/>
        </w:rPr>
      </w:pPr>
    </w:p>
    <w:p>
      <w:pPr>
        <w:pStyle w:val="BodyText"/>
        <w:spacing w:line="242" w:lineRule="auto"/>
        <w:ind w:left="4974" w:right="215"/>
      </w:pPr>
      <w:r>
        <w:rPr/>
        <w:t>somewhat this year from the rapid pace in 1999. Household expenditure was a little stronger than had been projected in the second quarter and, although business investment was substantially weaker, information from surveys suggests that this may partly have been erratic. Public spending volumes rose quite sharply, a first indication of the faster growth in government spending planned for the next few years.</w:t>
      </w:r>
    </w:p>
    <w:p>
      <w:pPr>
        <w:pStyle w:val="BodyText"/>
        <w:spacing w:before="8"/>
        <w:rPr>
          <w:sz w:val="28"/>
        </w:rPr>
      </w:pPr>
    </w:p>
    <w:p>
      <w:pPr>
        <w:pStyle w:val="BodyText"/>
        <w:spacing w:line="242" w:lineRule="auto"/>
        <w:ind w:left="4974" w:right="215"/>
      </w:pPr>
      <w:r>
        <w:rPr/>
        <w:t>No data are yet available for the components of demand in the third quarter to match the preliminary</w:t>
      </w:r>
    </w:p>
    <w:p>
      <w:pPr>
        <w:pStyle w:val="BodyText"/>
        <w:spacing w:line="242" w:lineRule="auto" w:before="3"/>
        <w:ind w:left="4974" w:right="187"/>
      </w:pPr>
      <w:r>
        <w:rPr/>
        <w:t>output-based estimate of </w:t>
      </w:r>
      <w:r>
        <w:rPr>
          <w:spacing w:val="-8"/>
        </w:rPr>
        <w:t>GDP. </w:t>
      </w:r>
      <w:r>
        <w:rPr>
          <w:spacing w:val="-4"/>
        </w:rPr>
        <w:t>However, </w:t>
      </w:r>
      <w:r>
        <w:rPr/>
        <w:t>it seems likely that</w:t>
      </w:r>
      <w:r>
        <w:rPr>
          <w:spacing w:val="-8"/>
        </w:rPr>
        <w:t> </w:t>
      </w:r>
      <w:r>
        <w:rPr/>
        <w:t>overall</w:t>
      </w:r>
      <w:r>
        <w:rPr>
          <w:spacing w:val="-8"/>
        </w:rPr>
        <w:t> </w:t>
      </w:r>
      <w:r>
        <w:rPr/>
        <w:t>domestic</w:t>
      </w:r>
      <w:r>
        <w:rPr>
          <w:spacing w:val="-8"/>
        </w:rPr>
        <w:t> </w:t>
      </w:r>
      <w:r>
        <w:rPr/>
        <w:t>demand</w:t>
      </w:r>
      <w:r>
        <w:rPr>
          <w:spacing w:val="-8"/>
        </w:rPr>
        <w:t> </w:t>
      </w:r>
      <w:r>
        <w:rPr/>
        <w:t>growth</w:t>
      </w:r>
      <w:r>
        <w:rPr>
          <w:spacing w:val="-8"/>
        </w:rPr>
        <w:t> </w:t>
      </w:r>
      <w:r>
        <w:rPr/>
        <w:t>was</w:t>
      </w:r>
      <w:r>
        <w:rPr>
          <w:spacing w:val="-8"/>
        </w:rPr>
        <w:t> </w:t>
      </w:r>
      <w:r>
        <w:rPr/>
        <w:t>rather</w:t>
      </w:r>
      <w:r>
        <w:rPr>
          <w:spacing w:val="-8"/>
        </w:rPr>
        <w:t> </w:t>
      </w:r>
      <w:r>
        <w:rPr/>
        <w:t>stronger than projected three months ago, as GDP growth was a little</w:t>
      </w:r>
      <w:r>
        <w:rPr>
          <w:spacing w:val="-7"/>
        </w:rPr>
        <w:t> </w:t>
      </w:r>
      <w:r>
        <w:rPr/>
        <w:t>above</w:t>
      </w:r>
      <w:r>
        <w:rPr>
          <w:spacing w:val="-6"/>
        </w:rPr>
        <w:t> </w:t>
      </w:r>
      <w:r>
        <w:rPr/>
        <w:t>the</w:t>
      </w:r>
      <w:r>
        <w:rPr>
          <w:spacing w:val="-19"/>
        </w:rPr>
        <w:t> </w:t>
      </w:r>
      <w:r>
        <w:rPr/>
        <w:t>August</w:t>
      </w:r>
      <w:r>
        <w:rPr>
          <w:spacing w:val="-6"/>
        </w:rPr>
        <w:t> </w:t>
      </w:r>
      <w:r>
        <w:rPr/>
        <w:t>projection</w:t>
      </w:r>
      <w:r>
        <w:rPr>
          <w:spacing w:val="-7"/>
        </w:rPr>
        <w:t> </w:t>
      </w:r>
      <w:r>
        <w:rPr/>
        <w:t>and</w:t>
      </w:r>
      <w:r>
        <w:rPr>
          <w:spacing w:val="-6"/>
        </w:rPr>
        <w:t> </w:t>
      </w:r>
      <w:r>
        <w:rPr/>
        <w:t>monthly</w:t>
      </w:r>
      <w:r>
        <w:rPr>
          <w:spacing w:val="-6"/>
        </w:rPr>
        <w:t> </w:t>
      </w:r>
      <w:r>
        <w:rPr/>
        <w:t>trade</w:t>
      </w:r>
      <w:r>
        <w:rPr>
          <w:spacing w:val="-7"/>
        </w:rPr>
        <w:t> </w:t>
      </w:r>
      <w:r>
        <w:rPr/>
        <w:t>data are consistent with a more </w:t>
      </w:r>
      <w:r>
        <w:rPr>
          <w:spacing w:val="-3"/>
        </w:rPr>
        <w:t>negative </w:t>
      </w:r>
      <w:r>
        <w:rPr/>
        <w:t>contribution to output growth than previously projected. The contributions of </w:t>
      </w:r>
      <w:r>
        <w:rPr>
          <w:spacing w:val="-3"/>
        </w:rPr>
        <w:t>private </w:t>
      </w:r>
      <w:r>
        <w:rPr/>
        <w:t>final demand, public sector demand and changes in inventories to the</w:t>
      </w:r>
      <w:r>
        <w:rPr>
          <w:spacing w:val="-23"/>
        </w:rPr>
        <w:t> </w:t>
      </w:r>
      <w:r>
        <w:rPr/>
        <w:t>firmer</w:t>
      </w:r>
    </w:p>
    <w:p>
      <w:pPr>
        <w:pStyle w:val="BodyText"/>
        <w:spacing w:before="10"/>
        <w:ind w:left="4974"/>
      </w:pPr>
      <w:r>
        <w:rPr/>
        <w:t>third-quarter picture remain uncertain.</w:t>
      </w:r>
    </w:p>
    <w:p>
      <w:pPr>
        <w:pStyle w:val="BodyText"/>
        <w:spacing w:before="5"/>
        <w:rPr>
          <w:sz w:val="26"/>
        </w:rPr>
      </w:pPr>
    </w:p>
    <w:p>
      <w:pPr>
        <w:pStyle w:val="BodyText"/>
        <w:spacing w:line="242" w:lineRule="auto"/>
        <w:ind w:left="4974" w:right="133"/>
      </w:pPr>
      <w:r>
        <w:rPr/>
        <w:t>One possibility is that consumer spending growth is slowing less rapidly than projected in August. The outturn for the second quarter was a little above expectations, and monthly data on retail sales, money holdings and household credit expansion are consistent with continuing firm growth in consumer spending in the third quarter.</w:t>
      </w:r>
    </w:p>
    <w:p>
      <w:pPr>
        <w:pStyle w:val="BodyText"/>
        <w:spacing w:before="10"/>
        <w:rPr>
          <w:sz w:val="26"/>
        </w:rPr>
      </w:pPr>
    </w:p>
    <w:p>
      <w:pPr>
        <w:pStyle w:val="BodyText"/>
        <w:spacing w:line="242" w:lineRule="auto"/>
        <w:ind w:left="4974" w:right="215"/>
      </w:pPr>
      <w:r>
        <w:rPr/>
        <w:t>Strong consumer spending growth in recent years has been supported by rapid gains in wealth and by rising employment and real incomes. Indeed, expenditure growth has generally outstripped that of household income, with the household saving ratio falling to 3% in the second quarter, the lowest level since 1988, but above typical effective rates of saving in the 1970s and late 1980s once an allowance for the impact of inflation on wealth is made. Moreover, household consumption has been stronger than expected over the past two years on the basis of the estimated statistical relationship with real income, wealth and interest rates. This may suggest a more powerful or more rapid impact of changes in wealth than on average in the past.</w:t>
      </w:r>
    </w:p>
    <w:p>
      <w:pPr>
        <w:pStyle w:val="BodyText"/>
        <w:spacing w:before="4"/>
        <w:rPr>
          <w:sz w:val="29"/>
        </w:rPr>
      </w:pPr>
    </w:p>
    <w:p>
      <w:pPr>
        <w:pStyle w:val="BodyText"/>
        <w:spacing w:line="242" w:lineRule="auto"/>
        <w:ind w:left="4974" w:right="215"/>
      </w:pPr>
      <w:r>
        <w:rPr/>
        <w:t>The Committee continues to project a further slowdown in consumer spending over the coming quarters.</w:t>
      </w:r>
    </w:p>
    <w:p>
      <w:pPr>
        <w:pStyle w:val="BodyText"/>
        <w:spacing w:line="242" w:lineRule="auto" w:before="3"/>
        <w:ind w:left="4974" w:right="215"/>
      </w:pPr>
      <w:r>
        <w:rPr/>
        <w:t>Although the high level of household wealth may support expenditure levels for some time, the growth in wealth has slowed, and the stimulus from the rapid increase in recent years is likely to fade gradually.</w:t>
      </w:r>
    </w:p>
    <w:p>
      <w:pPr>
        <w:pStyle w:val="BodyText"/>
        <w:spacing w:before="5"/>
        <w:ind w:left="4974"/>
      </w:pPr>
      <w:r>
        <w:rPr/>
        <w:t>Household real incomes may rise less quickly than in the</w:t>
      </w:r>
    </w:p>
    <w:p>
      <w:pPr>
        <w:spacing w:after="0"/>
        <w:sectPr>
          <w:pgSz w:w="11900" w:h="16840"/>
          <w:pgMar w:header="586" w:footer="592" w:top="780" w:bottom="780" w:left="640" w:right="640"/>
        </w:sectPr>
      </w:pPr>
    </w:p>
    <w:p>
      <w:pPr>
        <w:pStyle w:val="BodyText"/>
        <w:rPr>
          <w:sz w:val="20"/>
        </w:rPr>
      </w:pPr>
    </w:p>
    <w:p>
      <w:pPr>
        <w:pStyle w:val="BodyText"/>
        <w:spacing w:line="242" w:lineRule="auto" w:before="222"/>
        <w:ind w:left="4979" w:right="156"/>
      </w:pPr>
      <w:r>
        <w:rPr/>
        <w:t>recent past, and the impact of previous interest rate increases has yet to feed through </w:t>
      </w:r>
      <w:r>
        <w:rPr>
          <w:spacing w:val="-4"/>
        </w:rPr>
        <w:t>fully. </w:t>
      </w:r>
      <w:r>
        <w:rPr>
          <w:spacing w:val="-3"/>
        </w:rPr>
        <w:t>Moreover, </w:t>
      </w:r>
      <w:r>
        <w:rPr/>
        <w:t>the housing market—often quite a good barometer of consumer sentiment—continues to cool. </w:t>
      </w:r>
      <w:r>
        <w:rPr>
          <w:spacing w:val="-4"/>
        </w:rPr>
        <w:t>However, </w:t>
      </w:r>
      <w:r>
        <w:rPr/>
        <w:t>in the light of the recent evidence suggesting a more robust outturn</w:t>
      </w:r>
      <w:r>
        <w:rPr>
          <w:spacing w:val="-8"/>
        </w:rPr>
        <w:t> </w:t>
      </w:r>
      <w:r>
        <w:rPr/>
        <w:t>for</w:t>
      </w:r>
      <w:r>
        <w:rPr>
          <w:spacing w:val="-7"/>
        </w:rPr>
        <w:t> </w:t>
      </w:r>
      <w:r>
        <w:rPr/>
        <w:t>consumer</w:t>
      </w:r>
      <w:r>
        <w:rPr>
          <w:spacing w:val="-7"/>
        </w:rPr>
        <w:t> </w:t>
      </w:r>
      <w:r>
        <w:rPr/>
        <w:t>spending</w:t>
      </w:r>
      <w:r>
        <w:rPr>
          <w:spacing w:val="-8"/>
        </w:rPr>
        <w:t> </w:t>
      </w:r>
      <w:r>
        <w:rPr/>
        <w:t>than</w:t>
      </w:r>
      <w:r>
        <w:rPr>
          <w:spacing w:val="-7"/>
        </w:rPr>
        <w:t> </w:t>
      </w:r>
      <w:r>
        <w:rPr/>
        <w:t>envisaged</w:t>
      </w:r>
      <w:r>
        <w:rPr>
          <w:spacing w:val="-7"/>
        </w:rPr>
        <w:t> </w:t>
      </w:r>
      <w:r>
        <w:rPr/>
        <w:t>in</w:t>
      </w:r>
      <w:r>
        <w:rPr>
          <w:spacing w:val="-19"/>
        </w:rPr>
        <w:t> </w:t>
      </w:r>
      <w:r>
        <w:rPr/>
        <w:t>August, the Committee judges that the </w:t>
      </w:r>
      <w:r>
        <w:rPr>
          <w:spacing w:val="-3"/>
        </w:rPr>
        <w:t>slowdown </w:t>
      </w:r>
      <w:r>
        <w:rPr/>
        <w:t>may be less pronounced. Household consumption expenditure may be somewhat stronger than projected three months ago, with the saving ratio rebuilt only</w:t>
      </w:r>
      <w:r>
        <w:rPr>
          <w:spacing w:val="-12"/>
        </w:rPr>
        <w:t> </w:t>
      </w:r>
      <w:r>
        <w:rPr>
          <w:spacing w:val="-4"/>
        </w:rPr>
        <w:t>slowly.</w:t>
      </w:r>
    </w:p>
    <w:p>
      <w:pPr>
        <w:pStyle w:val="BodyText"/>
        <w:spacing w:before="8"/>
        <w:rPr>
          <w:sz w:val="30"/>
        </w:rPr>
      </w:pPr>
    </w:p>
    <w:p>
      <w:pPr>
        <w:pStyle w:val="BodyText"/>
        <w:spacing w:line="242" w:lineRule="auto"/>
        <w:ind w:left="4979" w:right="173"/>
      </w:pPr>
      <w:r>
        <w:rPr/>
        <w:t>Whole-economy fixed investment growth this year has been weaker than expected. Business investment—some three quarters of the total—rose by only 0.5% in the second quarter, following a slight dip in the first quarter. Service sector investment—in turn some three quarters of business investment—has decelerated sharply. The growth in service sector investment was running at annual rates of around 20% through 1998 and the first half of last year, but dropped to around 3% in the year to the second quarter.</w:t>
      </w:r>
    </w:p>
    <w:p>
      <w:pPr>
        <w:pStyle w:val="BodyText"/>
        <w:spacing w:before="7"/>
        <w:rPr>
          <w:sz w:val="30"/>
        </w:rPr>
      </w:pPr>
    </w:p>
    <w:p>
      <w:pPr>
        <w:pStyle w:val="BodyText"/>
        <w:spacing w:line="242" w:lineRule="auto" w:before="1"/>
        <w:ind w:left="4979" w:right="136"/>
      </w:pPr>
      <w:r>
        <w:rPr/>
        <w:t>Companies </w:t>
      </w:r>
      <w:r>
        <w:rPr>
          <w:spacing w:val="-3"/>
        </w:rPr>
        <w:t>invest </w:t>
      </w:r>
      <w:r>
        <w:rPr/>
        <w:t>to bring their capital stocks into line with desired levels. So rates of </w:t>
      </w:r>
      <w:r>
        <w:rPr>
          <w:spacing w:val="-3"/>
        </w:rPr>
        <w:t>investment </w:t>
      </w:r>
      <w:r>
        <w:rPr/>
        <w:t>are determined by a variety of factors such as output and profit expectations and the real cost of capital. As capital stocks are built up from investments that </w:t>
      </w:r>
      <w:r>
        <w:rPr>
          <w:spacing w:val="-3"/>
        </w:rPr>
        <w:t>have </w:t>
      </w:r>
      <w:r>
        <w:rPr/>
        <w:t>been made </w:t>
      </w:r>
      <w:r>
        <w:rPr>
          <w:spacing w:val="-3"/>
        </w:rPr>
        <w:t>over </w:t>
      </w:r>
      <w:r>
        <w:rPr/>
        <w:t>a number of years, and are large in relation to flows of </w:t>
      </w:r>
      <w:r>
        <w:rPr>
          <w:spacing w:val="-3"/>
        </w:rPr>
        <w:t>new </w:t>
      </w:r>
      <w:r>
        <w:rPr/>
        <w:t>investment, relatively small changes in desired capital stocks may translate into large changes in </w:t>
      </w:r>
      <w:r>
        <w:rPr>
          <w:spacing w:val="-3"/>
        </w:rPr>
        <w:t>investment </w:t>
      </w:r>
      <w:r>
        <w:rPr/>
        <w:t>plans. Business </w:t>
      </w:r>
      <w:r>
        <w:rPr>
          <w:spacing w:val="-3"/>
        </w:rPr>
        <w:t>investment </w:t>
      </w:r>
      <w:r>
        <w:rPr/>
        <w:t>consequently tends to be a volatile component of final demand. In recent years, rapid business </w:t>
      </w:r>
      <w:r>
        <w:rPr>
          <w:spacing w:val="-3"/>
        </w:rPr>
        <w:t>investment </w:t>
      </w:r>
      <w:r>
        <w:rPr/>
        <w:t>growth has raised the share of </w:t>
      </w:r>
      <w:r>
        <w:rPr>
          <w:spacing w:val="-3"/>
        </w:rPr>
        <w:t>investment </w:t>
      </w:r>
      <w:r>
        <w:rPr/>
        <w:t>in GDP; a lower user cost of capital and relatively high marginal returns for some investments may </w:t>
      </w:r>
      <w:r>
        <w:rPr>
          <w:spacing w:val="-3"/>
        </w:rPr>
        <w:t>have </w:t>
      </w:r>
      <w:r>
        <w:rPr/>
        <w:t>raised the desired capital stock and stimulated additional </w:t>
      </w:r>
      <w:r>
        <w:rPr>
          <w:spacing w:val="-3"/>
        </w:rPr>
        <w:t>investment </w:t>
      </w:r>
      <w:r>
        <w:rPr/>
        <w:t>to bridge the</w:t>
      </w:r>
      <w:r>
        <w:rPr>
          <w:spacing w:val="-18"/>
        </w:rPr>
        <w:t> </w:t>
      </w:r>
      <w:r>
        <w:rPr/>
        <w:t>gap.</w:t>
      </w:r>
    </w:p>
    <w:p>
      <w:pPr>
        <w:pStyle w:val="BodyText"/>
        <w:spacing w:line="242" w:lineRule="auto" w:before="19"/>
        <w:ind w:left="4979" w:right="138"/>
      </w:pPr>
      <w:r>
        <w:rPr/>
        <w:t>It is possible that this adjustment is coming to an end, which would tend to lower the growth of business </w:t>
      </w:r>
      <w:r>
        <w:rPr>
          <w:spacing w:val="-3"/>
        </w:rPr>
        <w:t>investment </w:t>
      </w:r>
      <w:r>
        <w:rPr/>
        <w:t>relative to the recent past. Nevertheless, the </w:t>
      </w:r>
      <w:r>
        <w:rPr>
          <w:spacing w:val="-3"/>
        </w:rPr>
        <w:t>slowdown </w:t>
      </w:r>
      <w:r>
        <w:rPr/>
        <w:t>in business </w:t>
      </w:r>
      <w:r>
        <w:rPr>
          <w:spacing w:val="-3"/>
        </w:rPr>
        <w:t>investment </w:t>
      </w:r>
      <w:r>
        <w:rPr/>
        <w:t>in the first half-year was sharper than projected, although, </w:t>
      </w:r>
      <w:r>
        <w:rPr>
          <w:spacing w:val="-3"/>
        </w:rPr>
        <w:t>given </w:t>
      </w:r>
      <w:r>
        <w:rPr/>
        <w:t>the distortions to the timing of </w:t>
      </w:r>
      <w:r>
        <w:rPr>
          <w:spacing w:val="-3"/>
        </w:rPr>
        <w:t>investment </w:t>
      </w:r>
      <w:r>
        <w:rPr/>
        <w:t>around the turn of the</w:t>
      </w:r>
      <w:r>
        <w:rPr>
          <w:spacing w:val="-7"/>
        </w:rPr>
        <w:t> </w:t>
      </w:r>
      <w:r>
        <w:rPr/>
        <w:t>millennium</w:t>
      </w:r>
      <w:r>
        <w:rPr>
          <w:spacing w:val="-6"/>
        </w:rPr>
        <w:t> </w:t>
      </w:r>
      <w:r>
        <w:rPr/>
        <w:t>and</w:t>
      </w:r>
      <w:r>
        <w:rPr>
          <w:spacing w:val="-6"/>
        </w:rPr>
        <w:t> </w:t>
      </w:r>
      <w:r>
        <w:rPr/>
        <w:t>reports</w:t>
      </w:r>
      <w:r>
        <w:rPr>
          <w:spacing w:val="-6"/>
        </w:rPr>
        <w:t> </w:t>
      </w:r>
      <w:r>
        <w:rPr/>
        <w:t>of</w:t>
      </w:r>
      <w:r>
        <w:rPr>
          <w:spacing w:val="-6"/>
        </w:rPr>
        <w:t> </w:t>
      </w:r>
      <w:r>
        <w:rPr/>
        <w:t>firm</w:t>
      </w:r>
      <w:r>
        <w:rPr>
          <w:spacing w:val="-6"/>
        </w:rPr>
        <w:t> </w:t>
      </w:r>
      <w:r>
        <w:rPr/>
        <w:t>spending</w:t>
      </w:r>
      <w:r>
        <w:rPr>
          <w:spacing w:val="-6"/>
        </w:rPr>
        <w:t> </w:t>
      </w:r>
      <w:r>
        <w:rPr/>
        <w:t>intentions</w:t>
      </w:r>
      <w:r>
        <w:rPr>
          <w:spacing w:val="-6"/>
        </w:rPr>
        <w:t> </w:t>
      </w:r>
      <w:r>
        <w:rPr/>
        <w:t>in the service </w:t>
      </w:r>
      <w:r>
        <w:rPr>
          <w:spacing w:val="-3"/>
        </w:rPr>
        <w:t>sector, </w:t>
      </w:r>
      <w:r>
        <w:rPr/>
        <w:t>the Committee judges that the pause  in growth does not reflect the underlying trend. The Committee expects a moderate recovery in business </w:t>
      </w:r>
      <w:r>
        <w:rPr>
          <w:spacing w:val="-3"/>
        </w:rPr>
        <w:t>investment </w:t>
      </w:r>
      <w:r>
        <w:rPr/>
        <w:t>in the second half-year with growth thereafter broadly in line with </w:t>
      </w:r>
      <w:r>
        <w:rPr>
          <w:spacing w:val="-8"/>
        </w:rPr>
        <w:t>GDP. </w:t>
      </w:r>
      <w:r>
        <w:rPr>
          <w:spacing w:val="-4"/>
        </w:rPr>
        <w:t>However, </w:t>
      </w:r>
      <w:r>
        <w:rPr/>
        <w:t>the </w:t>
      </w:r>
      <w:r>
        <w:rPr>
          <w:spacing w:val="-3"/>
        </w:rPr>
        <w:t>level </w:t>
      </w:r>
      <w:r>
        <w:rPr/>
        <w:t>of business </w:t>
      </w:r>
      <w:r>
        <w:rPr>
          <w:spacing w:val="-3"/>
        </w:rPr>
        <w:t>investment </w:t>
      </w:r>
      <w:r>
        <w:rPr/>
        <w:t>is projected to be a little weaker in</w:t>
      </w:r>
      <w:r>
        <w:rPr>
          <w:spacing w:val="-14"/>
        </w:rPr>
        <w:t> </w:t>
      </w:r>
      <w:r>
        <w:rPr/>
        <w:t>the</w:t>
      </w:r>
    </w:p>
    <w:p>
      <w:pPr>
        <w:pStyle w:val="BodyText"/>
        <w:spacing w:before="16"/>
        <w:ind w:left="4979"/>
      </w:pPr>
      <w:r>
        <w:rPr/>
        <w:t>near term than in the August projection. Investment in</w:t>
      </w:r>
    </w:p>
    <w:p>
      <w:pPr>
        <w:spacing w:after="0"/>
        <w:sectPr>
          <w:pgSz w:w="11900" w:h="16840"/>
          <w:pgMar w:header="601" w:footer="612" w:top="800" w:bottom="800" w:left="640" w:right="640"/>
        </w:sectPr>
      </w:pPr>
    </w:p>
    <w:p>
      <w:pPr>
        <w:pStyle w:val="BodyText"/>
        <w:rPr>
          <w:sz w:val="20"/>
        </w:rPr>
      </w:pPr>
    </w:p>
    <w:p>
      <w:pPr>
        <w:pStyle w:val="BodyText"/>
        <w:spacing w:before="7"/>
        <w:rPr>
          <w:sz w:val="20"/>
        </w:rPr>
      </w:pPr>
    </w:p>
    <w:p>
      <w:pPr>
        <w:pStyle w:val="BodyText"/>
        <w:spacing w:line="242" w:lineRule="auto"/>
        <w:ind w:left="4973" w:right="215"/>
      </w:pPr>
      <w:r>
        <w:rPr/>
        <w:t>the economy as a whole will rise a little more quickly than business investment as public investment increases rapidly.</w:t>
      </w:r>
    </w:p>
    <w:p>
      <w:pPr>
        <w:pStyle w:val="BodyText"/>
        <w:spacing w:before="2"/>
        <w:rPr>
          <w:sz w:val="21"/>
        </w:rPr>
      </w:pPr>
    </w:p>
    <w:p>
      <w:pPr>
        <w:pStyle w:val="BodyText"/>
        <w:spacing w:line="242" w:lineRule="auto"/>
        <w:ind w:left="4973" w:right="155"/>
      </w:pPr>
      <w:r>
        <w:rPr/>
        <w:t>Inventories allow firms to smooth production schedules by providing a </w:t>
      </w:r>
      <w:r>
        <w:rPr>
          <w:spacing w:val="-3"/>
        </w:rPr>
        <w:t>buffer </w:t>
      </w:r>
      <w:r>
        <w:rPr/>
        <w:t>to absorb sudden changes in demand for their output.  It is likely that stockholdings of some companies were significantly affected by the disruptions to fuel supply in </w:t>
      </w:r>
      <w:r>
        <w:rPr>
          <w:spacing w:val="-3"/>
        </w:rPr>
        <w:t>September. </w:t>
      </w:r>
      <w:r>
        <w:rPr/>
        <w:t>The impact at the </w:t>
      </w:r>
      <w:r>
        <w:rPr>
          <w:spacing w:val="-3"/>
        </w:rPr>
        <w:t>level </w:t>
      </w:r>
      <w:r>
        <w:rPr/>
        <w:t>of the whole economy is quite difficult to gauge, </w:t>
      </w:r>
      <w:r>
        <w:rPr>
          <w:spacing w:val="-4"/>
        </w:rPr>
        <w:t>however, </w:t>
      </w:r>
      <w:r>
        <w:rPr/>
        <w:t>and surveys point in different directions. On balance, it seems more likely that aggregate </w:t>
      </w:r>
      <w:r>
        <w:rPr>
          <w:spacing w:val="-3"/>
        </w:rPr>
        <w:t>inventory </w:t>
      </w:r>
      <w:r>
        <w:rPr/>
        <w:t>holdings may be a little higher than otherwise in the very short term, although firms are likely</w:t>
      </w:r>
      <w:r>
        <w:rPr>
          <w:spacing w:val="-7"/>
        </w:rPr>
        <w:t> </w:t>
      </w:r>
      <w:r>
        <w:rPr/>
        <w:t>to</w:t>
      </w:r>
      <w:r>
        <w:rPr>
          <w:spacing w:val="-7"/>
        </w:rPr>
        <w:t> </w:t>
      </w:r>
      <w:r>
        <w:rPr/>
        <w:t>reduce</w:t>
      </w:r>
      <w:r>
        <w:rPr>
          <w:spacing w:val="-6"/>
        </w:rPr>
        <w:t> </w:t>
      </w:r>
      <w:r>
        <w:rPr/>
        <w:t>any</w:t>
      </w:r>
      <w:r>
        <w:rPr>
          <w:spacing w:val="-7"/>
        </w:rPr>
        <w:t> </w:t>
      </w:r>
      <w:r>
        <w:rPr/>
        <w:t>excess</w:t>
      </w:r>
      <w:r>
        <w:rPr>
          <w:spacing w:val="-6"/>
        </w:rPr>
        <w:t> </w:t>
      </w:r>
      <w:r>
        <w:rPr/>
        <w:t>stock</w:t>
      </w:r>
      <w:r>
        <w:rPr>
          <w:spacing w:val="-7"/>
        </w:rPr>
        <w:t> </w:t>
      </w:r>
      <w:r>
        <w:rPr>
          <w:spacing w:val="-3"/>
        </w:rPr>
        <w:t>levels</w:t>
      </w:r>
      <w:r>
        <w:rPr>
          <w:spacing w:val="-6"/>
        </w:rPr>
        <w:t> </w:t>
      </w:r>
      <w:r>
        <w:rPr/>
        <w:t>relatively</w:t>
      </w:r>
      <w:r>
        <w:rPr>
          <w:spacing w:val="-7"/>
        </w:rPr>
        <w:t> </w:t>
      </w:r>
      <w:r>
        <w:rPr/>
        <w:t>quickly once fears of future disruption </w:t>
      </w:r>
      <w:r>
        <w:rPr>
          <w:spacing w:val="-3"/>
        </w:rPr>
        <w:t>have </w:t>
      </w:r>
      <w:r>
        <w:rPr/>
        <w:t>passed. In the medium term, the Committee has maintained the assumption that companies will continue to improve production and distribution systems to achieve further economies in the costs of holding stocks, so that the ratio of inventories to output is projected to decline</w:t>
      </w:r>
      <w:r>
        <w:rPr>
          <w:spacing w:val="-39"/>
        </w:rPr>
        <w:t> </w:t>
      </w:r>
      <w:r>
        <w:rPr>
          <w:spacing w:val="-3"/>
        </w:rPr>
        <w:t>gradually.</w:t>
      </w:r>
    </w:p>
    <w:p>
      <w:pPr>
        <w:pStyle w:val="BodyText"/>
        <w:spacing w:before="9"/>
        <w:rPr>
          <w:sz w:val="22"/>
        </w:rPr>
      </w:pPr>
    </w:p>
    <w:p>
      <w:pPr>
        <w:pStyle w:val="BodyText"/>
        <w:spacing w:line="242" w:lineRule="auto"/>
        <w:ind w:left="4973" w:right="116"/>
      </w:pPr>
      <w:r>
        <w:rPr/>
        <w:t>Rapid growth in world trade has been associated with sharp increases in both UK export and import volumes. Indeed, flows of both exports and imports have been stronger than expected. Exports of goods and services were almost 9% higher in the second quarter than a year earlier, with particularly swift growth in sales to non-EU countries. Export growth is likely to slow over the next two years, as world demand and trade decelerate.</w:t>
      </w:r>
    </w:p>
    <w:p>
      <w:pPr>
        <w:pStyle w:val="BodyText"/>
        <w:spacing w:before="8"/>
        <w:rPr>
          <w:sz w:val="21"/>
        </w:rPr>
      </w:pPr>
    </w:p>
    <w:p>
      <w:pPr>
        <w:pStyle w:val="BodyText"/>
        <w:spacing w:line="242" w:lineRule="auto" w:before="1"/>
        <w:ind w:left="4973" w:right="181"/>
      </w:pPr>
      <w:r>
        <w:rPr/>
        <w:t>Import growth continues to outpace that of exports, with volumes up by about 11% over the past year. A combination of strong growth in domestic demand— some 4% over the past year—and a high exchange rate, has stimulated rapid increases in imports. Import growth is also likely to slow somewhat over the forecast period as overall domestic demand growth eases. The strength of sterling and the projected compression of import margins are, however, likely to lead to a further increase in import penetration. Contacts of the Bank’s regional Agents continue to report intense competition from imports across a wide range of markets.</w:t>
      </w:r>
    </w:p>
    <w:p>
      <w:pPr>
        <w:pStyle w:val="BodyText"/>
        <w:spacing w:before="2"/>
        <w:rPr>
          <w:sz w:val="22"/>
        </w:rPr>
      </w:pPr>
    </w:p>
    <w:p>
      <w:pPr>
        <w:pStyle w:val="BodyText"/>
        <w:spacing w:line="242" w:lineRule="auto"/>
        <w:ind w:left="4973" w:right="215"/>
      </w:pPr>
      <w:r>
        <w:rPr/>
        <w:t>The net trade contribution to GDP growth is likely to remain negative over the next two years as imports rise more quickly than exports. The weakening in the net trade position is likely to be broadly similar to that assumed in the August </w:t>
      </w:r>
      <w:r>
        <w:rPr>
          <w:i/>
        </w:rPr>
        <w:t>Report</w:t>
      </w:r>
      <w:r>
        <w:rPr/>
        <w:t>, reflecting the offsetting forces of the higher expected profile for the exchange rate and the slightly stronger prospect for world trade growth.</w:t>
      </w:r>
    </w:p>
    <w:p>
      <w:pPr>
        <w:spacing w:after="0" w:line="242" w:lineRule="auto"/>
        <w:sectPr>
          <w:pgSz w:w="11900" w:h="16840"/>
          <w:pgMar w:header="586" w:footer="592" w:top="780" w:bottom="780" w:left="640" w:right="640"/>
        </w:sectPr>
      </w:pPr>
    </w:p>
    <w:p>
      <w:pPr>
        <w:pStyle w:val="BodyText"/>
        <w:rPr>
          <w:sz w:val="20"/>
        </w:rPr>
      </w:pPr>
    </w:p>
    <w:p>
      <w:pPr>
        <w:spacing w:after="0"/>
        <w:rPr>
          <w:sz w:val="20"/>
        </w:rPr>
        <w:sectPr>
          <w:pgSz w:w="11900" w:h="16840"/>
          <w:pgMar w:header="601" w:footer="612" w:top="800" w:bottom="800" w:left="640" w:right="640"/>
        </w:sectPr>
      </w:pPr>
    </w:p>
    <w:p>
      <w:pPr>
        <w:pStyle w:val="BodyText"/>
        <w:spacing w:before="1"/>
        <w:rPr>
          <w:sz w:val="20"/>
        </w:rPr>
      </w:pPr>
    </w:p>
    <w:p>
      <w:pPr>
        <w:spacing w:before="1"/>
        <w:ind w:left="185" w:right="0" w:firstLine="0"/>
        <w:jc w:val="left"/>
        <w:rPr>
          <w:b/>
          <w:sz w:val="20"/>
        </w:rPr>
      </w:pPr>
      <w:bookmarkStart w:name="_bookmark34" w:id="79"/>
      <w:bookmarkEnd w:id="79"/>
      <w:r>
        <w:rPr/>
      </w:r>
      <w:r>
        <w:rPr>
          <w:b/>
          <w:color w:val="0092C7"/>
          <w:sz w:val="20"/>
        </w:rPr>
        <w:t>Chart 6.1</w:t>
      </w:r>
    </w:p>
    <w:p>
      <w:pPr>
        <w:spacing w:line="249" w:lineRule="auto" w:before="10"/>
        <w:ind w:left="185" w:right="12" w:firstLine="0"/>
        <w:jc w:val="left"/>
        <w:rPr>
          <w:b/>
          <w:sz w:val="20"/>
        </w:rPr>
      </w:pPr>
      <w:r>
        <w:rPr>
          <w:b/>
          <w:color w:val="0092C7"/>
          <w:sz w:val="20"/>
        </w:rPr>
        <w:t>Current GDP projection based on constant nominal interest rates at 6%</w:t>
      </w:r>
    </w:p>
    <w:p>
      <w:pPr>
        <w:spacing w:line="116" w:lineRule="exact" w:before="179"/>
        <w:ind w:left="1082" w:right="0" w:firstLine="0"/>
        <w:jc w:val="left"/>
        <w:rPr>
          <w:sz w:val="12"/>
        </w:rPr>
      </w:pPr>
      <w:r>
        <w:rPr>
          <w:sz w:val="12"/>
        </w:rPr>
        <w:t>Percentage increase in output on a year earlier</w:t>
      </w:r>
    </w:p>
    <w:p>
      <w:pPr>
        <w:spacing w:line="116" w:lineRule="exact" w:before="0"/>
        <w:ind w:left="3374" w:right="0" w:firstLine="0"/>
        <w:jc w:val="left"/>
        <w:rPr>
          <w:sz w:val="12"/>
        </w:rPr>
      </w:pPr>
      <w:r>
        <w:rPr/>
        <w:pict>
          <v:line style="position:absolute;mso-position-horizontal-relative:page;mso-position-vertical-relative:paragraph;z-index:16171008" from="193.268005pt,2.614543pt" to="196.907005pt,2.614543pt" stroked="true" strokeweight=".5pt" strokecolor="#000000">
            <v:stroke dashstyle="solid"/>
            <w10:wrap type="none"/>
          </v:line>
        </w:pict>
      </w:r>
      <w:r>
        <w:rPr/>
        <w:pict>
          <v:line style="position:absolute;mso-position-horizontal-relative:page;mso-position-vertical-relative:paragraph;z-index:16172032" from="46.316998pt,2.788543pt" to="42.676998pt,2.788543pt" stroked="true" strokeweight=".5pt" strokecolor="#000000">
            <v:stroke dashstyle="solid"/>
            <w10:wrap type="none"/>
          </v:line>
        </w:pict>
      </w:r>
      <w:r>
        <w:rPr>
          <w:sz w:val="12"/>
        </w:rPr>
        <w:t>6</w:t>
      </w:r>
    </w:p>
    <w:p>
      <w:pPr>
        <w:pStyle w:val="BodyText"/>
        <w:rPr>
          <w:sz w:val="12"/>
        </w:rPr>
      </w:pPr>
    </w:p>
    <w:p>
      <w:pPr>
        <w:pStyle w:val="BodyText"/>
        <w:spacing w:before="2"/>
        <w:rPr>
          <w:sz w:val="12"/>
        </w:rPr>
      </w:pPr>
    </w:p>
    <w:p>
      <w:pPr>
        <w:spacing w:before="0"/>
        <w:ind w:left="0" w:right="453" w:firstLine="0"/>
        <w:jc w:val="right"/>
        <w:rPr>
          <w:sz w:val="12"/>
        </w:rPr>
      </w:pPr>
      <w:r>
        <w:rPr/>
        <w:pict>
          <v:line style="position:absolute;mso-position-horizontal-relative:page;mso-position-vertical-relative:paragraph;z-index:16170496" from="196.907005pt,3.738779pt" to="193.268005pt,3.738779pt" stroked="true" strokeweight=".5pt" strokecolor="#000000">
            <v:stroke dashstyle="solid"/>
            <w10:wrap type="none"/>
          </v:line>
        </w:pict>
      </w:r>
      <w:r>
        <w:rPr/>
        <w:pict>
          <v:line style="position:absolute;mso-position-horizontal-relative:page;mso-position-vertical-relative:paragraph;z-index:16171520" from="46.316998pt,3.912779pt" to="42.676998pt,3.912779pt" stroked="true" strokeweight=".5pt" strokecolor="#000000">
            <v:stroke dashstyle="solid"/>
            <w10:wrap type="none"/>
          </v:line>
        </w:pict>
      </w:r>
      <w:r>
        <w:rPr>
          <w:sz w:val="12"/>
        </w:rPr>
        <w:t>5</w:t>
      </w:r>
    </w:p>
    <w:p>
      <w:pPr>
        <w:pStyle w:val="BodyText"/>
        <w:rPr>
          <w:sz w:val="12"/>
        </w:rPr>
      </w:pPr>
    </w:p>
    <w:p>
      <w:pPr>
        <w:pStyle w:val="BodyText"/>
        <w:spacing w:before="3"/>
        <w:rPr>
          <w:sz w:val="12"/>
        </w:rPr>
      </w:pPr>
    </w:p>
    <w:p>
      <w:pPr>
        <w:spacing w:before="0"/>
        <w:ind w:left="0" w:right="453" w:firstLine="0"/>
        <w:jc w:val="right"/>
        <w:rPr>
          <w:sz w:val="12"/>
        </w:rPr>
      </w:pPr>
      <w:r>
        <w:rPr/>
        <w:pict>
          <v:group style="position:absolute;margin-left:42.676998pt;margin-top:-1.865436pt;width:158.75pt;height:82.7pt;mso-position-horizontal-relative:page;mso-position-vertical-relative:paragraph;z-index:16168960" coordorigin="854,-37" coordsize="3175,1654">
            <v:shape style="position:absolute;left:2861;top:-38;width:936;height:1585" coordorigin="2862,-37" coordsize="936,1585" path="m3797,-37l3694,-25,3590,-29,3486,9,3382,71,3278,309,3174,309,3070,255,2966,400,2862,542,2966,817,3070,951,3174,1213,3278,1280,3382,1455,3486,1476,3590,1493,3694,1501,3797,1547,3797,-37xe" filled="true" fillcolor="#eaf0ec" stroked="false">
              <v:path arrowok="t"/>
              <v:fill type="solid"/>
            </v:shape>
            <v:shape style="position:absolute;left:2861;top:125;width:936;height:1235" coordorigin="2862,126" coordsize="936,1235" path="m3797,126l3694,138,3590,130,3486,163,3382,217,3278,413,3174,409,3070,330,2966,447,2862,543,2966,772,3070,872,3174,1110,3278,1168,3382,1301,3486,1306,3590,1318,3694,1326,3797,1360,3797,126xe" filled="true" fillcolor="#d4e3dc" stroked="false">
              <v:path arrowok="t"/>
              <v:fill type="solid"/>
            </v:shape>
            <v:shape style="position:absolute;left:2861;top:234;width:936;height:1001" coordorigin="2862,235" coordsize="936,1001" path="m3797,235l3694,243,3590,235,3486,264,3382,314,3278,481,3174,468,3070,376,2966,472,2862,539,2966,735,3070,814,3174,1035,3278,1089,3382,1189,3486,1189,3590,1198,3694,1202,3797,1235,3797,235xe" filled="true" fillcolor="#bed7ca" stroked="false">
              <v:path arrowok="t"/>
              <v:fill type="solid"/>
            </v:shape>
            <v:shape style="position:absolute;left:2861;top:324;width:936;height:813" coordorigin="2862,324" coordsize="936,813" path="m3797,324l3694,328,3590,324,3486,349,3382,395,3278,537,3174,524,3070,420,2966,499,2862,541,2966,712,3070,775,3174,983,3278,1033,3382,1108,3486,1100,3694,1108,3797,1137,3797,324xe" filled="true" fillcolor="#a7c9b8" stroked="false">
              <v:path arrowok="t"/>
              <v:fill type="solid"/>
            </v:shape>
            <v:shape style="position:absolute;left:2861;top:395;width:936;height:655" coordorigin="2862,396" coordsize="936,655" path="m3590,396l3486,421,3382,466,3278,587,3174,566,3070,454,2966,521,2862,541,2966,692,3070,737,3174,938,3278,983,3382,1033,3486,1025,3590,1021,3694,1029,3797,1050,3797,404,3694,404,3590,396xe" filled="true" fillcolor="#8ebdaa" stroked="false">
              <v:path arrowok="t"/>
              <v:fill type="solid"/>
            </v:shape>
            <v:shape style="position:absolute;left:2861;top:462;width:936;height:513" coordorigin="2862,462" coordsize="936,513" path="m3590,462l3486,487,3382,529,3278,629,3174,608,3070,483,2966,537,2862,542,2966,671,3070,704,3174,896,3278,938,3382,971,3486,954,3590,950,3694,954,3797,975,3797,471,3694,471,3590,462xe" filled="true" fillcolor="#76b19a" stroked="false">
              <v:path arrowok="t"/>
              <v:fill type="solid"/>
            </v:shape>
            <v:shape style="position:absolute;left:2861;top:512;width:936;height:397" coordorigin="2862,513" coordsize="936,397" path="m3070,513l2966,554,2862,542,2966,655,3070,675,3174,855,3278,896,3382,909,3486,888,3590,884,3694,888,3797,905,3797,534,3590,525,3486,546,3382,584,3278,667,3174,646,3070,513xe" filled="true" fillcolor="#57a68a" stroked="false">
              <v:path arrowok="t"/>
              <v:fill type="solid"/>
            </v:shape>
            <v:shape style="position:absolute;left:2861;top:542;width:936;height:313" coordorigin="2862,542" coordsize="936,313" path="m3070,542l2966,572,2862,542,2966,638,3070,647,3174,818,3278,855,3382,851,3486,830,3590,818,3694,826,3797,838,3797,597,3694,588,3590,584,3486,605,3382,638,3278,705,3174,680,3070,542xe" filled="true" fillcolor="#309a7b" stroked="false">
              <v:path arrowok="t"/>
              <v:fill type="solid"/>
            </v:shape>
            <v:shape style="position:absolute;left:2861;top:541;width:936;height:276" coordorigin="2862,541" coordsize="936,276" path="m2862,541l2966,620,3070,620,3174,783,3278,816,3382,796,3486,766,3590,754,3694,762,3797,775,3797,654,3590,637,3486,658,3382,691,3278,741,3174,712,3070,566,2966,587,2862,541xe" filled="true" fillcolor="#008360" stroked="false">
              <v:path arrowok="t"/>
              <v:fill type="solid"/>
            </v:shape>
            <v:shape style="position:absolute;left:3865;top:74;width:73;height:1251" coordorigin="3865,75" coordsize="73,1251" path="m3865,1325l3938,1325m3865,909l3938,909m3938,492l3865,492m3938,75l3865,75e" filled="false" stroked="true" strokeweight=".5pt" strokecolor="#000000">
              <v:path arrowok="t"/>
              <v:stroke dashstyle="solid"/>
            </v:shap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768;height:934" coordorigin="988,116" coordsize="1768,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e" filled="false" stroked="true" strokeweight="1pt" strokecolor="#008360">
              <v:path arrowok="t"/>
              <v:stroke dashstyle="solid"/>
            </v:shape>
            <v:line style="position:absolute" from="2860,542" to="2756,417" stroked="true" strokeweight=".5pt" strokecolor="#000000">
              <v:stroke dashstyle="solid"/>
            </v:line>
            <v:shape style="position:absolute;left:988;top:116;width:1872;height:934" coordorigin="988,116" coordsize="1872,934" path="m1092,729l988,788m1092,729l1196,658m1196,658l1300,542m1404,437l1300,542m1404,437l1508,283m1508,283l1612,116m1716,279l1612,116m1820,417l1716,279m1924,500l1820,417m1924,500l2028,742m2132,900l2028,742m2132,900l2236,1050m2236,1050l2340,1004m2444,775l2340,1004m2548,546l2444,775m2548,546l2652,479m2652,479l2756,417m2860,542l2756,417e" filled="false" stroked="true" strokeweight="1pt" strokecolor="#008360">
              <v:path arrowok="t"/>
              <v:stroke dashstyle="solid"/>
            </v:shape>
            <v:shape style="position:absolute;left:853;top:78;width:73;height:1251" coordorigin="854,78" coordsize="73,1251" path="m926,1329l854,1329m926,912l854,912m926,495l854,495m926,78l854,78e" filled="false" stroked="true" strokeweight=".5pt" strokecolor="#000000">
              <v:path arrowok="t"/>
              <v:stroke dashstyle="solid"/>
            </v:shape>
            <v:shape style="position:absolute;left:3918;top:1439;width:111;height:178" type="#_x0000_t202" filled="false" stroked="false">
              <v:textbox inset="0,0,0,0">
                <w:txbxContent>
                  <w:p>
                    <w:pPr>
                      <w:spacing w:line="177" w:lineRule="exact" w:before="0"/>
                      <w:ind w:left="0" w:right="0" w:firstLine="0"/>
                      <w:jc w:val="left"/>
                      <w:rPr>
                        <w:sz w:val="16"/>
                      </w:rPr>
                    </w:pPr>
                    <w:r>
                      <w:rPr>
                        <w:sz w:val="16"/>
                      </w:rPr>
                      <w:t>+</w:t>
                    </w:r>
                  </w:p>
                </w:txbxContent>
              </v:textbox>
              <w10:wrap type="none"/>
            </v:shape>
            <w10:wrap type="none"/>
          </v:group>
        </w:pict>
      </w:r>
      <w:r>
        <w:rPr>
          <w:sz w:val="12"/>
        </w:rPr>
        <w:t>4</w:t>
      </w:r>
    </w:p>
    <w:p>
      <w:pPr>
        <w:pStyle w:val="BodyText"/>
        <w:rPr>
          <w:sz w:val="12"/>
        </w:rPr>
      </w:pPr>
    </w:p>
    <w:p>
      <w:pPr>
        <w:pStyle w:val="BodyText"/>
        <w:spacing w:before="3"/>
        <w:rPr>
          <w:sz w:val="12"/>
        </w:rPr>
      </w:pPr>
    </w:p>
    <w:p>
      <w:pPr>
        <w:spacing w:before="0"/>
        <w:ind w:left="0" w:right="453" w:firstLine="0"/>
        <w:jc w:val="right"/>
        <w:rPr>
          <w:sz w:val="12"/>
        </w:rPr>
      </w:pPr>
      <w:r>
        <w:rPr>
          <w:sz w:val="12"/>
        </w:rPr>
        <w:t>3</w:t>
      </w:r>
    </w:p>
    <w:p>
      <w:pPr>
        <w:pStyle w:val="BodyText"/>
        <w:rPr>
          <w:sz w:val="12"/>
        </w:rPr>
      </w:pPr>
    </w:p>
    <w:p>
      <w:pPr>
        <w:pStyle w:val="BodyText"/>
        <w:spacing w:before="3"/>
        <w:rPr>
          <w:sz w:val="12"/>
        </w:rPr>
      </w:pPr>
    </w:p>
    <w:p>
      <w:pPr>
        <w:spacing w:before="0"/>
        <w:ind w:left="0" w:right="453" w:firstLine="0"/>
        <w:jc w:val="right"/>
        <w:rPr>
          <w:sz w:val="12"/>
        </w:rPr>
      </w:pPr>
      <w:r>
        <w:rPr>
          <w:sz w:val="12"/>
        </w:rPr>
        <w:t>2</w:t>
      </w:r>
    </w:p>
    <w:p>
      <w:pPr>
        <w:pStyle w:val="BodyText"/>
        <w:rPr>
          <w:sz w:val="12"/>
        </w:rPr>
      </w:pPr>
    </w:p>
    <w:p>
      <w:pPr>
        <w:pStyle w:val="BodyText"/>
        <w:spacing w:before="3"/>
        <w:rPr>
          <w:sz w:val="12"/>
        </w:rPr>
      </w:pPr>
    </w:p>
    <w:p>
      <w:pPr>
        <w:spacing w:before="0"/>
        <w:ind w:left="0" w:right="453" w:firstLine="0"/>
        <w:jc w:val="right"/>
        <w:rPr>
          <w:sz w:val="12"/>
        </w:rPr>
      </w:pPr>
      <w:r>
        <w:rPr>
          <w:sz w:val="12"/>
        </w:rPr>
        <w:t>1</w:t>
      </w:r>
    </w:p>
    <w:p>
      <w:pPr>
        <w:pStyle w:val="BodyText"/>
        <w:rPr>
          <w:sz w:val="12"/>
        </w:rPr>
      </w:pPr>
    </w:p>
    <w:p>
      <w:pPr>
        <w:pStyle w:val="BodyText"/>
        <w:spacing w:before="3"/>
        <w:rPr>
          <w:sz w:val="12"/>
        </w:rPr>
      </w:pPr>
    </w:p>
    <w:p>
      <w:pPr>
        <w:spacing w:before="0"/>
        <w:ind w:left="0" w:right="453" w:firstLine="0"/>
        <w:jc w:val="right"/>
        <w:rPr>
          <w:sz w:val="12"/>
        </w:rPr>
      </w:pPr>
      <w:r>
        <w:rPr/>
        <w:pict>
          <v:shape style="position:absolute;margin-left:42.676998pt;margin-top:3.738766pt;width:154.25pt;height:.1pt;mso-position-horizontal-relative:page;mso-position-vertical-relative:paragraph;z-index:16169984" coordorigin="854,75" coordsize="3085,2" path="m3865,75l3938,75m926,76l854,76m989,76l3798,76e" filled="false" stroked="true" strokeweight=".5pt" strokecolor="#000000">
            <v:path arrowok="t"/>
            <v:stroke dashstyle="solid"/>
            <w10:wrap type="none"/>
          </v:shape>
        </w:pict>
      </w:r>
      <w:r>
        <w:rPr>
          <w:sz w:val="12"/>
        </w:rPr>
        <w:t>0</w:t>
      </w:r>
    </w:p>
    <w:p>
      <w:pPr>
        <w:spacing w:before="45"/>
        <w:ind w:left="3288" w:right="0" w:firstLine="0"/>
        <w:jc w:val="left"/>
        <w:rPr>
          <w:sz w:val="16"/>
        </w:rPr>
      </w:pPr>
      <w:r>
        <w:rPr/>
        <w:pict>
          <v:shape style="position:absolute;margin-left:42.676998pt;margin-top:12.60277pt;width:154.25pt;height:5.3pt;mso-position-horizontal-relative:page;mso-position-vertical-relative:paragraph;z-index:16169472" coordorigin="854,252" coordsize="3085,106" path="m3797,355l984,355m988,355l988,252m1092,355l1092,282m1196,282l1196,355m1300,282l1300,355m1404,252l1404,355m1508,282l1508,355m1612,282l1612,355m1716,355l1716,282m1820,252l1820,355m1924,282l1924,355m2028,282l2028,355m2132,282l2132,355m2236,252l2236,355m2340,282l2340,355m2444,355l2444,282m2548,355l2548,282m2652,355l2652,252m2756,355l2756,282m2860,282l2860,355m2964,282l2964,355m3068,355l3068,252m3172,355l3172,282m3276,355l3276,282m3380,355l3380,282m3484,355l3484,252m3588,355l3588,282m3692,355l3692,282m3796,357l3796,284m3865,354l3938,354m926,357l854,357e" filled="false" stroked="true" strokeweight=".5pt" strokecolor="#000000">
            <v:path arrowok="t"/>
            <v:stroke dashstyle="solid"/>
            <w10:wrap type="none"/>
          </v:shape>
        </w:pict>
      </w:r>
      <w:r>
        <w:rPr>
          <w:sz w:val="16"/>
        </w:rPr>
        <w:t>–</w:t>
      </w:r>
    </w:p>
    <w:p>
      <w:pPr>
        <w:spacing w:line="122" w:lineRule="exact" w:before="50"/>
        <w:ind w:left="3374" w:right="0" w:firstLine="0"/>
        <w:jc w:val="left"/>
        <w:rPr>
          <w:sz w:val="12"/>
        </w:rPr>
      </w:pPr>
      <w:r>
        <w:rPr>
          <w:sz w:val="12"/>
        </w:rPr>
        <w:t>1</w:t>
      </w:r>
    </w:p>
    <w:p>
      <w:pPr>
        <w:tabs>
          <w:tab w:pos="905" w:val="left" w:leader="none"/>
          <w:tab w:pos="1325" w:val="left" w:leader="none"/>
          <w:tab w:pos="1750" w:val="left" w:leader="none"/>
          <w:tab w:pos="2100" w:val="left" w:leader="none"/>
          <w:tab w:pos="2575" w:val="left" w:leader="none"/>
          <w:tab w:pos="2985" w:val="left" w:leader="none"/>
        </w:tabs>
        <w:spacing w:line="122" w:lineRule="exact" w:before="0"/>
        <w:ind w:left="430" w:right="0" w:firstLine="0"/>
        <w:jc w:val="left"/>
        <w:rPr>
          <w:sz w:val="12"/>
        </w:rPr>
      </w:pPr>
      <w:r>
        <w:rPr>
          <w:sz w:val="12"/>
        </w:rPr>
        <w:t>1996</w:t>
        <w:tab/>
        <w:t>97</w:t>
        <w:tab/>
        <w:t>98</w:t>
        <w:tab/>
        <w:t>99</w:t>
        <w:tab/>
        <w:t>2000</w:t>
        <w:tab/>
        <w:t>01</w:t>
        <w:tab/>
        <w:t>02</w:t>
      </w:r>
    </w:p>
    <w:p>
      <w:pPr>
        <w:pStyle w:val="BodyText"/>
        <w:spacing w:before="6"/>
        <w:rPr>
          <w:sz w:val="16"/>
        </w:rPr>
      </w:pPr>
    </w:p>
    <w:p>
      <w:pPr>
        <w:spacing w:line="208" w:lineRule="auto" w:before="0"/>
        <w:ind w:left="179" w:right="381" w:firstLine="0"/>
        <w:jc w:val="left"/>
        <w:rPr>
          <w:sz w:val="12"/>
        </w:rPr>
      </w:pPr>
      <w:r>
        <w:rPr>
          <w:sz w:val="12"/>
        </w:rPr>
        <w:t>The fan chart depicting the probability distribution for output growth is rather like a contour map. At any given point during the forecast period, the depth of shading represents the height of the probability density function over a range of outcomes for output.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w:t>
      </w:r>
    </w:p>
    <w:p>
      <w:pPr>
        <w:pStyle w:val="BodyText"/>
        <w:spacing w:line="242" w:lineRule="auto" w:before="222"/>
        <w:ind w:left="179" w:right="184"/>
      </w:pPr>
      <w:r>
        <w:rPr/>
        <w:br w:type="column"/>
      </w:r>
      <w:r>
        <w:rPr/>
        <w:t>The outlook for GDP growth </w:t>
      </w:r>
      <w:r>
        <w:rPr>
          <w:spacing w:val="-3"/>
        </w:rPr>
        <w:t>over </w:t>
      </w:r>
      <w:r>
        <w:rPr/>
        <w:t>the next two years is shown in Chart 6.1.</w:t>
      </w:r>
      <w:r>
        <w:rPr>
          <w:position w:val="5"/>
          <w:sz w:val="16"/>
        </w:rPr>
        <w:t>(1) </w:t>
      </w:r>
      <w:r>
        <w:rPr/>
        <w:t>This projection is conditioned on the assumption of unchanged UK interest rates at 6%.</w:t>
      </w:r>
      <w:r>
        <w:rPr>
          <w:position w:val="5"/>
          <w:sz w:val="16"/>
        </w:rPr>
        <w:t>(2) </w:t>
      </w:r>
      <w:r>
        <w:rPr/>
        <w:t>Four-quarter GDP growth peaked at 3.2% in the second quarter, easing to just below 3% in Q3 according to the preliminary estimate. The recent outturns are a little stronger than projected in the August </w:t>
      </w:r>
      <w:r>
        <w:rPr>
          <w:i/>
        </w:rPr>
        <w:t>Report</w:t>
      </w:r>
      <w:r>
        <w:rPr/>
        <w:t>. Output growth is likely to slow slightly from recent rates as consumer spending growth eases and the net trade position weakens. These factors outweigh the support from strong public spending growth </w:t>
      </w:r>
      <w:r>
        <w:rPr>
          <w:spacing w:val="-3"/>
        </w:rPr>
        <w:t>over </w:t>
      </w:r>
      <w:r>
        <w:rPr/>
        <w:t>the forecast period. In the central projection the annual growth rate slows to around 2</w:t>
      </w:r>
      <w:r>
        <w:rPr>
          <w:position w:val="8"/>
          <w:sz w:val="12"/>
        </w:rPr>
        <w:t>1</w:t>
      </w:r>
      <w:r>
        <w:rPr/>
        <w:t>/</w:t>
      </w:r>
      <w:r>
        <w:rPr>
          <w:sz w:val="12"/>
        </w:rPr>
        <w:t>2</w:t>
      </w:r>
      <w:r>
        <w:rPr/>
        <w:t>% early next </w:t>
      </w:r>
      <w:r>
        <w:rPr>
          <w:spacing w:val="-3"/>
        </w:rPr>
        <w:t>year, </w:t>
      </w:r>
      <w:r>
        <w:rPr/>
        <w:t>and continues to grow at around trend in the second year of the projection and beyond. By the end of the second year both world demand and total domestic demand are projected to grow</w:t>
      </w:r>
      <w:r>
        <w:rPr>
          <w:spacing w:val="-7"/>
        </w:rPr>
        <w:t> </w:t>
      </w:r>
      <w:r>
        <w:rPr/>
        <w:t>at</w:t>
      </w:r>
      <w:r>
        <w:rPr>
          <w:spacing w:val="-6"/>
        </w:rPr>
        <w:t> </w:t>
      </w:r>
      <w:r>
        <w:rPr/>
        <w:t>around</w:t>
      </w:r>
      <w:r>
        <w:rPr>
          <w:spacing w:val="-6"/>
        </w:rPr>
        <w:t> </w:t>
      </w:r>
      <w:r>
        <w:rPr/>
        <w:t>trend,</w:t>
      </w:r>
      <w:r>
        <w:rPr>
          <w:spacing w:val="-5"/>
        </w:rPr>
        <w:t> </w:t>
      </w:r>
      <w:r>
        <w:rPr/>
        <w:t>with</w:t>
      </w:r>
      <w:r>
        <w:rPr>
          <w:spacing w:val="-6"/>
        </w:rPr>
        <w:t> </w:t>
      </w:r>
      <w:r>
        <w:rPr/>
        <w:t>below-trend</w:t>
      </w:r>
      <w:r>
        <w:rPr>
          <w:spacing w:val="-6"/>
        </w:rPr>
        <w:t> </w:t>
      </w:r>
      <w:r>
        <w:rPr/>
        <w:t>growth</w:t>
      </w:r>
      <w:r>
        <w:rPr>
          <w:spacing w:val="-6"/>
        </w:rPr>
        <w:t> </w:t>
      </w:r>
      <w:r>
        <w:rPr/>
        <w:t>in</w:t>
      </w:r>
      <w:r>
        <w:rPr>
          <w:spacing w:val="-7"/>
        </w:rPr>
        <w:t> </w:t>
      </w:r>
      <w:r>
        <w:rPr>
          <w:spacing w:val="-3"/>
        </w:rPr>
        <w:t>private </w:t>
      </w:r>
      <w:r>
        <w:rPr/>
        <w:t>demand counterbalancing above-trend growth in public sector spending. Projected growth in the second year is marginally weaker than assumed three months ago but the broad picture </w:t>
      </w:r>
      <w:r>
        <w:rPr>
          <w:spacing w:val="-3"/>
        </w:rPr>
        <w:t>over </w:t>
      </w:r>
      <w:r>
        <w:rPr/>
        <w:t>the next two years is little changed.</w:t>
      </w:r>
    </w:p>
    <w:p>
      <w:pPr>
        <w:pStyle w:val="BodyText"/>
        <w:spacing w:before="9"/>
        <w:rPr>
          <w:sz w:val="26"/>
        </w:rPr>
      </w:pPr>
    </w:p>
    <w:p>
      <w:pPr>
        <w:pStyle w:val="BodyText"/>
        <w:spacing w:line="242" w:lineRule="auto"/>
        <w:ind w:left="180" w:right="135"/>
      </w:pPr>
      <w:r>
        <w:rPr/>
        <w:t>The near-term outlook is broadly in line with recent information on sectoral performance from business surveys and reports from the Bank’s regional Agents. These suggest that service sector growth has slowed a little in recent months—a pattern supported by the provisional ONS estimate of service sector growth in the third quarter. By contrast, manufacturing output has picked up a little, although surveys remain relatively weak and growth is particularly concentrated in the output of high-technology products. The outlook for construction activity remains quite buoyant, boosted by rising commercial orders and strengthening spending on public infrastructure projects, although housebuilding activity continues to weaken.</w:t>
      </w:r>
    </w:p>
    <w:p>
      <w:pPr>
        <w:pStyle w:val="BodyText"/>
        <w:spacing w:before="10"/>
        <w:rPr>
          <w:sz w:val="25"/>
        </w:rPr>
      </w:pPr>
    </w:p>
    <w:p>
      <w:pPr>
        <w:pStyle w:val="BodyText"/>
        <w:spacing w:line="242" w:lineRule="auto"/>
        <w:ind w:left="180" w:right="228"/>
      </w:pPr>
      <w:r>
        <w:rPr/>
        <w:t>As explained in previous </w:t>
      </w:r>
      <w:r>
        <w:rPr>
          <w:i/>
        </w:rPr>
        <w:t>Inflation Reports</w:t>
      </w:r>
      <w:r>
        <w:rPr/>
        <w:t>, there is no simple relationship between the outlook for output growth and the prospects for inflation. In the long run, output growth is determined solely by developments in the supply capacity of the economy—by the rate of growth of the labour force and by the improvement in productivity—while inflation is determined by the stance of monetary policy, which is set to control the level of nominal demand in relation to supply capacity.</w:t>
      </w:r>
    </w:p>
    <w:p>
      <w:pPr>
        <w:spacing w:after="0" w:line="242" w:lineRule="auto"/>
        <w:sectPr>
          <w:type w:val="continuous"/>
          <w:pgSz w:w="11900" w:h="16840"/>
          <w:pgMar w:top="1260" w:bottom="280" w:left="640" w:right="640"/>
          <w:cols w:num="2" w:equalWidth="0">
            <w:col w:w="3890" w:space="910"/>
            <w:col w:w="5820"/>
          </w:cols>
        </w:sectPr>
      </w:pPr>
    </w:p>
    <w:p>
      <w:pPr>
        <w:pStyle w:val="BodyText"/>
        <w:spacing w:before="7"/>
        <w:rPr>
          <w:sz w:val="19"/>
        </w:rPr>
      </w:pPr>
    </w:p>
    <w:p>
      <w:pPr>
        <w:pStyle w:val="BodyText"/>
        <w:spacing w:line="20" w:lineRule="exact"/>
        <w:ind w:left="4948"/>
        <w:rPr>
          <w:sz w:val="2"/>
        </w:rPr>
      </w:pPr>
      <w:r>
        <w:rPr>
          <w:sz w:val="2"/>
        </w:rPr>
        <w:pict>
          <v:group style="width:277pt;height:.15pt;mso-position-horizontal-relative:char;mso-position-vertical-relative:line" coordorigin="0,0" coordsize="5540,3">
            <v:line style="position:absolute" from="0,1" to="5540,1" stroked="true" strokeweight=".125pt" strokecolor="#000000">
              <v:stroke dashstyle="solid"/>
            </v:line>
          </v:group>
        </w:pict>
      </w:r>
      <w:r>
        <w:rPr>
          <w:sz w:val="2"/>
        </w:rPr>
      </w:r>
    </w:p>
    <w:p>
      <w:pPr>
        <w:pStyle w:val="ListParagraph"/>
        <w:numPr>
          <w:ilvl w:val="0"/>
          <w:numId w:val="43"/>
        </w:numPr>
        <w:tabs>
          <w:tab w:pos="5240" w:val="left" w:leader="none"/>
        </w:tabs>
        <w:spacing w:line="172" w:lineRule="exact" w:before="4" w:after="0"/>
        <w:ind w:left="5239" w:right="0" w:hanging="261"/>
        <w:jc w:val="left"/>
        <w:rPr>
          <w:sz w:val="16"/>
        </w:rPr>
      </w:pPr>
      <w:r>
        <w:rPr>
          <w:sz w:val="16"/>
        </w:rPr>
        <w:t>Also shown as Chart 1 in the</w:t>
      </w:r>
      <w:r>
        <w:rPr>
          <w:spacing w:val="-9"/>
          <w:sz w:val="16"/>
        </w:rPr>
        <w:t> </w:t>
      </w:r>
      <w:r>
        <w:rPr>
          <w:spacing w:val="-3"/>
          <w:sz w:val="16"/>
        </w:rPr>
        <w:t>Overview.</w:t>
      </w:r>
    </w:p>
    <w:p>
      <w:pPr>
        <w:pStyle w:val="ListParagraph"/>
        <w:numPr>
          <w:ilvl w:val="0"/>
          <w:numId w:val="43"/>
        </w:numPr>
        <w:tabs>
          <w:tab w:pos="5240" w:val="left" w:leader="none"/>
        </w:tabs>
        <w:spacing w:line="208" w:lineRule="auto" w:before="7" w:after="0"/>
        <w:ind w:left="5239" w:right="306" w:hanging="260"/>
        <w:jc w:val="left"/>
        <w:rPr>
          <w:sz w:val="16"/>
        </w:rPr>
      </w:pPr>
      <w:r>
        <w:rPr>
          <w:sz w:val="16"/>
        </w:rPr>
        <w:t>An</w:t>
      </w:r>
      <w:r>
        <w:rPr>
          <w:spacing w:val="-8"/>
          <w:sz w:val="16"/>
        </w:rPr>
        <w:t> </w:t>
      </w:r>
      <w:r>
        <w:rPr>
          <w:sz w:val="16"/>
        </w:rPr>
        <w:t>alternative</w:t>
      </w:r>
      <w:r>
        <w:rPr>
          <w:spacing w:val="-7"/>
          <w:sz w:val="16"/>
        </w:rPr>
        <w:t> </w:t>
      </w:r>
      <w:r>
        <w:rPr>
          <w:sz w:val="16"/>
        </w:rPr>
        <w:t>projection</w:t>
      </w:r>
      <w:r>
        <w:rPr>
          <w:spacing w:val="-8"/>
          <w:sz w:val="16"/>
        </w:rPr>
        <w:t> </w:t>
      </w:r>
      <w:r>
        <w:rPr>
          <w:sz w:val="16"/>
        </w:rPr>
        <w:t>assuming</w:t>
      </w:r>
      <w:r>
        <w:rPr>
          <w:spacing w:val="-7"/>
          <w:sz w:val="16"/>
        </w:rPr>
        <w:t> </w:t>
      </w:r>
      <w:r>
        <w:rPr>
          <w:sz w:val="16"/>
        </w:rPr>
        <w:t>that</w:t>
      </w:r>
      <w:r>
        <w:rPr>
          <w:spacing w:val="-7"/>
          <w:sz w:val="16"/>
        </w:rPr>
        <w:t> </w:t>
      </w:r>
      <w:r>
        <w:rPr>
          <w:sz w:val="16"/>
        </w:rPr>
        <w:t>UK</w:t>
      </w:r>
      <w:r>
        <w:rPr>
          <w:spacing w:val="-8"/>
          <w:sz w:val="16"/>
        </w:rPr>
        <w:t> </w:t>
      </w:r>
      <w:r>
        <w:rPr>
          <w:sz w:val="16"/>
        </w:rPr>
        <w:t>official</w:t>
      </w:r>
      <w:r>
        <w:rPr>
          <w:spacing w:val="-7"/>
          <w:sz w:val="16"/>
        </w:rPr>
        <w:t> </w:t>
      </w:r>
      <w:r>
        <w:rPr>
          <w:sz w:val="16"/>
        </w:rPr>
        <w:t>interest</w:t>
      </w:r>
      <w:r>
        <w:rPr>
          <w:spacing w:val="-8"/>
          <w:sz w:val="16"/>
        </w:rPr>
        <w:t> </w:t>
      </w:r>
      <w:r>
        <w:rPr>
          <w:sz w:val="16"/>
        </w:rPr>
        <w:t>rates</w:t>
      </w:r>
      <w:r>
        <w:rPr>
          <w:spacing w:val="-7"/>
          <w:sz w:val="16"/>
        </w:rPr>
        <w:t> </w:t>
      </w:r>
      <w:r>
        <w:rPr>
          <w:sz w:val="16"/>
        </w:rPr>
        <w:t>follow</w:t>
      </w:r>
      <w:r>
        <w:rPr>
          <w:spacing w:val="-7"/>
          <w:sz w:val="16"/>
        </w:rPr>
        <w:t> </w:t>
      </w:r>
      <w:r>
        <w:rPr>
          <w:sz w:val="16"/>
        </w:rPr>
        <w:t>market interest rate expectations is almost identical to the constant interest rate projection. It is available on the Bank of England’s web site at</w:t>
      </w:r>
      <w:r>
        <w:rPr>
          <w:color w:val="FF0000"/>
          <w:sz w:val="16"/>
        </w:rPr>
        <w:t> </w:t>
      </w:r>
      <w:hyperlink r:id="rId186">
        <w:r>
          <w:rPr>
            <w:color w:val="FF0000"/>
            <w:sz w:val="16"/>
          </w:rPr>
          <w:t>www.bankofengland.co.uk/inflationreport/mark0004.htm </w:t>
        </w:r>
      </w:hyperlink>
      <w:r>
        <w:rPr>
          <w:sz w:val="16"/>
        </w:rPr>
        <w:t>and on request from Publications Group, telephone 020-7601 4030.</w:t>
      </w:r>
    </w:p>
    <w:p>
      <w:pPr>
        <w:spacing w:after="0" w:line="208" w:lineRule="auto"/>
        <w:jc w:val="left"/>
        <w:rPr>
          <w:sz w:val="16"/>
        </w:rPr>
        <w:sectPr>
          <w:type w:val="continuous"/>
          <w:pgSz w:w="11900" w:h="16840"/>
          <w:pgMar w:top="1260" w:bottom="280" w:left="640" w:right="640"/>
        </w:sectPr>
      </w:pPr>
    </w:p>
    <w:p>
      <w:pPr>
        <w:pStyle w:val="BodyText"/>
        <w:rPr>
          <w:sz w:val="20"/>
        </w:rPr>
      </w:pPr>
    </w:p>
    <w:p>
      <w:pPr>
        <w:pStyle w:val="BodyText"/>
        <w:spacing w:before="7"/>
        <w:rPr>
          <w:sz w:val="20"/>
        </w:rPr>
      </w:pPr>
    </w:p>
    <w:p>
      <w:pPr>
        <w:pStyle w:val="BodyText"/>
        <w:spacing w:line="242" w:lineRule="auto"/>
        <w:ind w:left="4974" w:right="220"/>
      </w:pPr>
      <w:r>
        <w:rPr/>
        <w:t>In the long run, a loosening of the monetary policy stance—which facilitated more rapid growth of nominal spending—would simply be associated with higher inflation, with no impact on output volumes. In the short-to-medium term, </w:t>
      </w:r>
      <w:r>
        <w:rPr>
          <w:spacing w:val="-4"/>
        </w:rPr>
        <w:t>however, </w:t>
      </w:r>
      <w:r>
        <w:rPr/>
        <w:t>monetary policy affects output as well as inflation, because it is costly and takes time to adjust prices and quantities in response to changes in economic signals and stimuli. Expectations of future outcomes, which affect behaviour </w:t>
      </w:r>
      <w:r>
        <w:rPr>
          <w:spacing w:val="-4"/>
        </w:rPr>
        <w:t>today, </w:t>
      </w:r>
      <w:r>
        <w:rPr/>
        <w:t>may also be slow to adapt. The future trend of nominal demand and the sustainable pace of growth of supply capacity are both uncertain and require policy-makers to form judgments on the basis of evidence that may prove unreliable.</w:t>
      </w:r>
    </w:p>
    <w:p>
      <w:pPr>
        <w:pStyle w:val="BodyText"/>
        <w:spacing w:before="1"/>
        <w:rPr>
          <w:sz w:val="31"/>
        </w:rPr>
      </w:pPr>
    </w:p>
    <w:p>
      <w:pPr>
        <w:pStyle w:val="BodyText"/>
        <w:spacing w:line="242" w:lineRule="auto"/>
        <w:ind w:left="4974" w:right="171"/>
      </w:pPr>
      <w:r>
        <w:rPr/>
        <w:t>Nominal GDP at market prices rose by 1.0% in the second quarter and was 5.0% higher than a year ago, a </w:t>
      </w:r>
      <w:r>
        <w:rPr>
          <w:spacing w:val="-3"/>
        </w:rPr>
        <w:t>slowdown </w:t>
      </w:r>
      <w:r>
        <w:rPr/>
        <w:t>from the pace in the first </w:t>
      </w:r>
      <w:r>
        <w:rPr>
          <w:spacing w:val="-3"/>
        </w:rPr>
        <w:t>quarter. </w:t>
      </w:r>
      <w:r>
        <w:rPr/>
        <w:t>Looking ahead, monetary indicators suggest a rather firmer outlook for nominal demand. Narrow money growth has edged up in recent months after slowing in the spring and early </w:t>
      </w:r>
      <w:r>
        <w:rPr>
          <w:spacing w:val="-3"/>
        </w:rPr>
        <w:t>summer. </w:t>
      </w:r>
      <w:r>
        <w:rPr/>
        <w:t>Broad money growth has also risen </w:t>
      </w:r>
      <w:r>
        <w:rPr>
          <w:spacing w:val="-3"/>
        </w:rPr>
        <w:t>significantly, even </w:t>
      </w:r>
      <w:r>
        <w:rPr/>
        <w:t>after making an allowance for the sharp rise in deposit holdings by non-bank financial corporations, which may </w:t>
      </w:r>
      <w:r>
        <w:rPr>
          <w:spacing w:val="-3"/>
        </w:rPr>
        <w:t>have </w:t>
      </w:r>
      <w:r>
        <w:rPr/>
        <w:t>little direct effect on economic </w:t>
      </w:r>
      <w:r>
        <w:rPr>
          <w:spacing w:val="-4"/>
        </w:rPr>
        <w:t>activity. </w:t>
      </w:r>
      <w:r>
        <w:rPr/>
        <w:t>Aggregate credit growth has also gathered pace, with total M4 lending some 13% higher in the third quarter than a year earlier—the fastest increase for more than ten years. Household credit growth remains brisk, consistent with the firm near-term outlook for consumer spending, but if anything has slowed a little. Credit demand from non-financial corporates has increased substantially: PNFCs’ sterling borrowing has risen by more than 17% </w:t>
      </w:r>
      <w:r>
        <w:rPr>
          <w:spacing w:val="-3"/>
        </w:rPr>
        <w:t>over </w:t>
      </w:r>
      <w:r>
        <w:rPr/>
        <w:t>the past </w:t>
      </w:r>
      <w:r>
        <w:rPr>
          <w:spacing w:val="-4"/>
        </w:rPr>
        <w:t>year. </w:t>
      </w:r>
      <w:r>
        <w:rPr/>
        <w:t>The marked rise in both corporate deposits and borrowing</w:t>
      </w:r>
      <w:r>
        <w:rPr>
          <w:spacing w:val="-7"/>
        </w:rPr>
        <w:t> </w:t>
      </w:r>
      <w:r>
        <w:rPr/>
        <w:t>appears</w:t>
      </w:r>
      <w:r>
        <w:rPr>
          <w:spacing w:val="-6"/>
        </w:rPr>
        <w:t> </w:t>
      </w:r>
      <w:r>
        <w:rPr/>
        <w:t>to</w:t>
      </w:r>
      <w:r>
        <w:rPr>
          <w:spacing w:val="-6"/>
        </w:rPr>
        <w:t> </w:t>
      </w:r>
      <w:r>
        <w:rPr/>
        <w:t>be</w:t>
      </w:r>
      <w:r>
        <w:rPr>
          <w:spacing w:val="-6"/>
        </w:rPr>
        <w:t> </w:t>
      </w:r>
      <w:r>
        <w:rPr/>
        <w:t>associated</w:t>
      </w:r>
      <w:r>
        <w:rPr>
          <w:spacing w:val="-6"/>
        </w:rPr>
        <w:t> </w:t>
      </w:r>
      <w:r>
        <w:rPr/>
        <w:t>in</w:t>
      </w:r>
      <w:r>
        <w:rPr>
          <w:spacing w:val="-7"/>
        </w:rPr>
        <w:t> </w:t>
      </w:r>
      <w:r>
        <w:rPr/>
        <w:t>part</w:t>
      </w:r>
      <w:r>
        <w:rPr>
          <w:spacing w:val="-6"/>
        </w:rPr>
        <w:t> </w:t>
      </w:r>
      <w:r>
        <w:rPr/>
        <w:t>with</w:t>
      </w:r>
      <w:r>
        <w:rPr>
          <w:spacing w:val="-6"/>
        </w:rPr>
        <w:t> </w:t>
      </w:r>
      <w:r>
        <w:rPr/>
        <w:t>increased merger and acquisition </w:t>
      </w:r>
      <w:r>
        <w:rPr>
          <w:spacing w:val="-4"/>
        </w:rPr>
        <w:t>activity. </w:t>
      </w:r>
      <w:r>
        <w:rPr/>
        <w:t>Nevertheless, both faster deposit growth and higher borrowing could presage faster growth in business investment, and provide support for the central expectation of some recovery in </w:t>
      </w:r>
      <w:r>
        <w:rPr>
          <w:spacing w:val="-3"/>
        </w:rPr>
        <w:t>investment </w:t>
      </w:r>
      <w:r>
        <w:rPr/>
        <w:t>spending growth in the second half of this </w:t>
      </w:r>
      <w:r>
        <w:rPr>
          <w:spacing w:val="-4"/>
        </w:rPr>
        <w:t>year.  </w:t>
      </w:r>
      <w:r>
        <w:rPr/>
        <w:t>Overall, </w:t>
      </w:r>
      <w:r>
        <w:rPr>
          <w:spacing w:val="-3"/>
        </w:rPr>
        <w:t>given </w:t>
      </w:r>
      <w:r>
        <w:rPr/>
        <w:t>the volatility of monetary  indicators, the Committee judges that the recent pick-up in broad money and credit growth corroborates the view that nominal demand is likely to rise steadily in the coming quarters, rather than providing a strong signal of rather faster</w:t>
      </w:r>
      <w:r>
        <w:rPr>
          <w:spacing w:val="-3"/>
        </w:rPr>
        <w:t> </w:t>
      </w:r>
      <w:r>
        <w:rPr/>
        <w:t>growth.</w:t>
      </w:r>
    </w:p>
    <w:p>
      <w:pPr>
        <w:pStyle w:val="BodyText"/>
        <w:spacing w:before="1"/>
        <w:rPr>
          <w:sz w:val="33"/>
        </w:rPr>
      </w:pPr>
    </w:p>
    <w:p>
      <w:pPr>
        <w:pStyle w:val="BodyText"/>
        <w:spacing w:line="242" w:lineRule="auto"/>
        <w:ind w:left="4974" w:right="215"/>
      </w:pPr>
      <w:r>
        <w:rPr/>
        <w:t>Making judgments on the level and prospective growth of aggregate supply potential is extremely difficult. A wide range of microeconomic factors affects the overall</w:t>
      </w:r>
    </w:p>
    <w:p>
      <w:pPr>
        <w:spacing w:after="0" w:line="242" w:lineRule="auto"/>
        <w:sectPr>
          <w:pgSz w:w="11900" w:h="16840"/>
          <w:pgMar w:header="586" w:footer="592" w:top="780" w:bottom="780" w:left="640" w:right="640"/>
        </w:sectPr>
      </w:pPr>
    </w:p>
    <w:p>
      <w:pPr>
        <w:pStyle w:val="BodyText"/>
        <w:rPr>
          <w:sz w:val="20"/>
        </w:rPr>
      </w:pPr>
    </w:p>
    <w:p>
      <w:pPr>
        <w:pStyle w:val="BodyText"/>
        <w:spacing w:line="242" w:lineRule="auto" w:before="222"/>
        <w:ind w:left="4979"/>
      </w:pPr>
      <w:r>
        <w:rPr/>
        <w:t>efficiency and growth capacity of the economy, and their impact on macroeconomic performance is uncertain.</w:t>
      </w:r>
    </w:p>
    <w:p>
      <w:pPr>
        <w:pStyle w:val="BodyText"/>
        <w:spacing w:line="242" w:lineRule="auto" w:before="3"/>
        <w:ind w:left="4979" w:right="215"/>
      </w:pPr>
      <w:r>
        <w:rPr/>
        <w:t>Long-run historical trends often provide a useful benchmark for the future. But such trends will, of course, not capture changes in structural performance that occur at a faster or slower pace than the average in the past. The evidence from the United States of much faster productivity growth over the past five years indicates the potential hazards of relying too heavily on historical data as a guide.</w:t>
      </w:r>
    </w:p>
    <w:p>
      <w:pPr>
        <w:pStyle w:val="BodyText"/>
        <w:spacing w:before="5"/>
        <w:rPr>
          <w:sz w:val="30"/>
        </w:rPr>
      </w:pPr>
    </w:p>
    <w:p>
      <w:pPr>
        <w:pStyle w:val="BodyText"/>
        <w:spacing w:line="242" w:lineRule="auto"/>
        <w:ind w:left="4979" w:right="193"/>
      </w:pPr>
      <w:r>
        <w:rPr/>
        <w:t>The evidence in recent years is consistent with some improvement in the supply-side performance of the UK </w:t>
      </w:r>
      <w:r>
        <w:rPr>
          <w:spacing w:val="-3"/>
        </w:rPr>
        <w:t>economy.  </w:t>
      </w:r>
      <w:r>
        <w:rPr/>
        <w:t>In general, the outcomes for nominal variables such as wages and prices </w:t>
      </w:r>
      <w:r>
        <w:rPr>
          <w:spacing w:val="-3"/>
        </w:rPr>
        <w:t>have </w:t>
      </w:r>
      <w:r>
        <w:rPr/>
        <w:t>tended to be somewhat weaker than projected on the basis of historical relationships with indicators of nominal demand pressures and outcomes for output. Although the unexpected strength of the exchange rate has had a major influence in recent years, pushing down import prices</w:t>
      </w:r>
      <w:r>
        <w:rPr>
          <w:spacing w:val="-5"/>
        </w:rPr>
        <w:t> </w:t>
      </w:r>
      <w:r>
        <w:rPr/>
        <w:t>and</w:t>
      </w:r>
      <w:r>
        <w:rPr>
          <w:spacing w:val="-5"/>
        </w:rPr>
        <w:t> </w:t>
      </w:r>
      <w:r>
        <w:rPr/>
        <w:t>boosting</w:t>
      </w:r>
      <w:r>
        <w:rPr>
          <w:spacing w:val="-5"/>
        </w:rPr>
        <w:t> </w:t>
      </w:r>
      <w:r>
        <w:rPr/>
        <w:t>real</w:t>
      </w:r>
      <w:r>
        <w:rPr>
          <w:spacing w:val="-5"/>
        </w:rPr>
        <w:t> </w:t>
      </w:r>
      <w:r>
        <w:rPr/>
        <w:t>incomes</w:t>
      </w:r>
      <w:r>
        <w:rPr>
          <w:spacing w:val="-5"/>
        </w:rPr>
        <w:t> </w:t>
      </w:r>
      <w:r>
        <w:rPr/>
        <w:t>through</w:t>
      </w:r>
      <w:r>
        <w:rPr>
          <w:spacing w:val="-5"/>
        </w:rPr>
        <w:t> </w:t>
      </w:r>
      <w:r>
        <w:rPr/>
        <w:t>the</w:t>
      </w:r>
      <w:r>
        <w:rPr>
          <w:spacing w:val="-5"/>
        </w:rPr>
        <w:t> </w:t>
      </w:r>
      <w:r>
        <w:rPr/>
        <w:t>gains</w:t>
      </w:r>
      <w:r>
        <w:rPr>
          <w:spacing w:val="-5"/>
        </w:rPr>
        <w:t> </w:t>
      </w:r>
      <w:r>
        <w:rPr/>
        <w:t>in</w:t>
      </w:r>
      <w:r>
        <w:rPr>
          <w:spacing w:val="-5"/>
        </w:rPr>
        <w:t> </w:t>
      </w:r>
      <w:r>
        <w:rPr/>
        <w:t>the terms of trade, the more favourable short-term relationship between inflation and output outturns could also indicate that there may </w:t>
      </w:r>
      <w:r>
        <w:rPr>
          <w:spacing w:val="-3"/>
        </w:rPr>
        <w:t>have </w:t>
      </w:r>
      <w:r>
        <w:rPr/>
        <w:t>been additional gains in potential </w:t>
      </w:r>
      <w:r>
        <w:rPr>
          <w:spacing w:val="-3"/>
        </w:rPr>
        <w:t>supply. </w:t>
      </w:r>
      <w:r>
        <w:rPr/>
        <w:t>For example, the pressure on real earnings associated with a particular </w:t>
      </w:r>
      <w:r>
        <w:rPr>
          <w:spacing w:val="-3"/>
        </w:rPr>
        <w:t>level </w:t>
      </w:r>
      <w:r>
        <w:rPr/>
        <w:t>of unemployment has been less than in the past. That suggests that the sustainable rate of unemployment consistent with stable inflation has fallen, and that aggregate supply capacity has</w:t>
      </w:r>
      <w:r>
        <w:rPr>
          <w:spacing w:val="-10"/>
        </w:rPr>
        <w:t> </w:t>
      </w:r>
      <w:r>
        <w:rPr/>
        <w:t>improved.</w:t>
      </w:r>
    </w:p>
    <w:p>
      <w:pPr>
        <w:pStyle w:val="BodyText"/>
        <w:spacing w:before="7"/>
        <w:rPr>
          <w:sz w:val="31"/>
        </w:rPr>
      </w:pPr>
    </w:p>
    <w:p>
      <w:pPr>
        <w:pStyle w:val="BodyText"/>
        <w:spacing w:line="242" w:lineRule="auto" w:before="1"/>
        <w:ind w:left="4979" w:right="156"/>
      </w:pPr>
      <w:r>
        <w:rPr/>
        <w:t>In recent forecasts, the Committee has made adjustments to the projection for inflation that are consistent with an improvement in the supply capacity of the economy relative to previous trends. Three broad hypotheses have been considered. First, policy changes over a number of years may have improved the functioning of the labour market, enabling unemployment to fall to lower levels without putting upward pressure on real earnings.</w:t>
      </w:r>
    </w:p>
    <w:p>
      <w:pPr>
        <w:pStyle w:val="BodyText"/>
        <w:spacing w:line="242" w:lineRule="auto" w:before="10"/>
        <w:ind w:left="4979" w:right="215"/>
      </w:pPr>
      <w:r>
        <w:rPr/>
        <w:t>Assumptions on the rate of unemployment consistent with stable inflation were lowered in the August 1999 and the August 2000 projections. Second, product market competition may have increased, reflecting a range of factors such as changes in regulations and competitive practices, the growth in electronic commerce, and much greater price transparency and openness to international competition. Since the November 1999 </w:t>
      </w:r>
      <w:r>
        <w:rPr>
          <w:i/>
        </w:rPr>
        <w:t>Report</w:t>
      </w:r>
      <w:r>
        <w:rPr/>
        <w:t>, the Committee has included an assumption that intensifying competition will lead to a compression of price-cost margins, which will temporarily lower inflation as the adjustment to a lower</w:t>
      </w:r>
    </w:p>
    <w:p>
      <w:pPr>
        <w:spacing w:after="0" w:line="242" w:lineRule="auto"/>
        <w:sectPr>
          <w:pgSz w:w="11900" w:h="16840"/>
          <w:pgMar w:header="601" w:footer="612" w:top="800" w:bottom="800" w:left="640" w:right="640"/>
        </w:sectPr>
      </w:pPr>
    </w:p>
    <w:p>
      <w:pPr>
        <w:pStyle w:val="BodyText"/>
        <w:rPr>
          <w:sz w:val="20"/>
        </w:rPr>
      </w:pPr>
    </w:p>
    <w:p>
      <w:pPr>
        <w:pStyle w:val="BodyText"/>
        <w:spacing w:before="7"/>
        <w:rPr>
          <w:sz w:val="20"/>
        </w:rPr>
      </w:pPr>
    </w:p>
    <w:p>
      <w:pPr>
        <w:pStyle w:val="BodyText"/>
        <w:spacing w:line="242" w:lineRule="auto"/>
        <w:ind w:left="4974" w:right="180"/>
      </w:pPr>
      <w:r>
        <w:rPr/>
        <w:t>level of margins takes place. The third hypothesis is that underlying productivity may increase, as companies exploit opportunities provided by advances in information and communication technology in particular and raise investment to supply additional capital to each employee. Given the relatively weak productivity outturns in recent years, no specific adjustments have been made to previous central projections to reflect the possibility of faster productivity growth, although some Committee members have favoured making some adjustments on the grounds that UK companies would gradually emulate some of the gains observed in the United States.</w:t>
      </w:r>
    </w:p>
    <w:p>
      <w:pPr>
        <w:pStyle w:val="BodyText"/>
        <w:rPr>
          <w:sz w:val="31"/>
        </w:rPr>
      </w:pPr>
    </w:p>
    <w:p>
      <w:pPr>
        <w:pStyle w:val="BodyText"/>
        <w:ind w:left="4974"/>
      </w:pPr>
      <w:r>
        <w:rPr/>
        <w:t>The Committee monitors developments in the</w:t>
      </w:r>
    </w:p>
    <w:p>
      <w:pPr>
        <w:pStyle w:val="BodyText"/>
        <w:spacing w:line="242" w:lineRule="auto" w:before="4"/>
        <w:ind w:left="4974" w:right="215"/>
      </w:pPr>
      <w:r>
        <w:rPr/>
        <w:t>supply-side performance of the economy very carefully, but has to rely on a range of indicators that are very difficult to quantify. For example, it is difficult to measure improvements in the quality of information technology investment over time. Statisticians in the United States use a different approach to that currently adopted by the ONS and it is possible that this accounts for some of the difference in recent measured productivity trends. In addition, the range of indicators that is available may not correspond particularly closely to the simplifying concepts used in economic theory.</w:t>
      </w:r>
    </w:p>
    <w:p>
      <w:pPr>
        <w:pStyle w:val="BodyText"/>
        <w:spacing w:line="242" w:lineRule="auto" w:before="14"/>
        <w:ind w:left="4974" w:right="215"/>
      </w:pPr>
      <w:r>
        <w:rPr/>
        <w:t>The level of unemployment consistent with stable inflation cannot be measured in practice. Moreover, it is very difficult to discriminate between alternative economic hypotheses that may have quite similar</w:t>
      </w:r>
    </w:p>
    <w:p>
      <w:pPr>
        <w:pStyle w:val="BodyText"/>
        <w:spacing w:line="242" w:lineRule="auto" w:before="5"/>
        <w:ind w:left="4974" w:right="215"/>
      </w:pPr>
      <w:r>
        <w:rPr/>
        <w:t>near-term effects on inflation and on labour market outturns. For example, it is uncertain whether more favourable labour market outcomes are temporary or permanent, and whether they are linked directly to the performance of the labour market or indirectly to other structural developments such as improvements in product market competition or gains in underlying productivity.</w:t>
      </w:r>
    </w:p>
    <w:p>
      <w:pPr>
        <w:pStyle w:val="BodyText"/>
        <w:spacing w:before="5"/>
        <w:rPr>
          <w:sz w:val="30"/>
        </w:rPr>
      </w:pPr>
    </w:p>
    <w:p>
      <w:pPr>
        <w:pStyle w:val="BodyText"/>
        <w:spacing w:line="242" w:lineRule="auto"/>
        <w:ind w:left="4974" w:right="177"/>
      </w:pPr>
      <w:r>
        <w:rPr/>
        <w:t>Committee members assign different weights to the alternative hypotheses on supply-side performance and to their likely impact on the near-term inflation outlook. But all members judge that the outturns for output growth, wage costs and price inflation over the past year are consistent with some improvement in supply performance. It is difficult given available data to distinguish clearly between the alternative hypotheses outlined above. The Committee consequently decided to maintain an adjustment to the central projection for inflation equivalent in magnitude to the correction to price-cost margins in the August </w:t>
      </w:r>
      <w:r>
        <w:rPr>
          <w:i/>
        </w:rPr>
        <w:t>Report</w:t>
      </w:r>
      <w:r>
        <w:rPr/>
        <w:t>, namely a</w:t>
      </w:r>
    </w:p>
    <w:p>
      <w:pPr>
        <w:spacing w:after="0" w:line="242" w:lineRule="auto"/>
        <w:sectPr>
          <w:pgSz w:w="11900" w:h="16840"/>
          <w:pgMar w:header="586" w:footer="592" w:top="780" w:bottom="780" w:left="640" w:right="640"/>
        </w:sectPr>
      </w:pPr>
    </w:p>
    <w:p>
      <w:pPr>
        <w:pStyle w:val="BodyText"/>
        <w:rPr>
          <w:sz w:val="20"/>
        </w:rPr>
      </w:pPr>
    </w:p>
    <w:p>
      <w:pPr>
        <w:pStyle w:val="BodyText"/>
        <w:spacing w:line="242" w:lineRule="auto" w:before="222"/>
        <w:ind w:left="4979" w:right="215"/>
      </w:pPr>
      <w:r>
        <w:rPr/>
        <w:t>reduction in inflation of 0.25 percentage points in the first year and some 0.3 percentage points in the second year of the projection, but decided that this should be best identified as a reflection of a general improvement in the supply-side performance of the UK economy relative to the past. In interpreting this overall adjustment, to differing degrees, Committee members prefer to assign some weight to the possibility of improved labour market performance or to stronger growth in technical progress, rather than, as in August, putting all the weight on a squeeze in profitability.</w:t>
      </w:r>
    </w:p>
    <w:p>
      <w:pPr>
        <w:pStyle w:val="BodyText"/>
        <w:rPr>
          <w:sz w:val="29"/>
        </w:rPr>
      </w:pPr>
    </w:p>
    <w:p>
      <w:pPr>
        <w:pStyle w:val="BodyText"/>
        <w:spacing w:line="242" w:lineRule="auto" w:before="1"/>
        <w:ind w:left="4979" w:right="160"/>
      </w:pPr>
      <w:r>
        <w:rPr/>
        <w:t>There</w:t>
      </w:r>
      <w:r>
        <w:rPr>
          <w:spacing w:val="-9"/>
        </w:rPr>
        <w:t> </w:t>
      </w:r>
      <w:r>
        <w:rPr/>
        <w:t>is</w:t>
      </w:r>
      <w:r>
        <w:rPr>
          <w:spacing w:val="-8"/>
        </w:rPr>
        <w:t> </w:t>
      </w:r>
      <w:r>
        <w:rPr/>
        <w:t>considerable</w:t>
      </w:r>
      <w:r>
        <w:rPr>
          <w:spacing w:val="-9"/>
        </w:rPr>
        <w:t> </w:t>
      </w:r>
      <w:r>
        <w:rPr/>
        <w:t>uncertainty</w:t>
      </w:r>
      <w:r>
        <w:rPr>
          <w:spacing w:val="-8"/>
        </w:rPr>
        <w:t> </w:t>
      </w:r>
      <w:r>
        <w:rPr/>
        <w:t>surrounding</w:t>
      </w:r>
      <w:r>
        <w:rPr>
          <w:spacing w:val="-9"/>
        </w:rPr>
        <w:t> </w:t>
      </w:r>
      <w:r>
        <w:rPr/>
        <w:t>the</w:t>
      </w:r>
      <w:r>
        <w:rPr>
          <w:spacing w:val="-8"/>
        </w:rPr>
        <w:t> </w:t>
      </w:r>
      <w:r>
        <w:rPr/>
        <w:t>overall judgment on supply-side trends that is incorporated in the fan chart projection. Some Committee members consider that the impact could be larger and that recent and</w:t>
      </w:r>
      <w:r>
        <w:rPr>
          <w:spacing w:val="-11"/>
        </w:rPr>
        <w:t> </w:t>
      </w:r>
      <w:r>
        <w:rPr/>
        <w:t>prospective</w:t>
      </w:r>
      <w:r>
        <w:rPr>
          <w:spacing w:val="-11"/>
        </w:rPr>
        <w:t> </w:t>
      </w:r>
      <w:r>
        <w:rPr/>
        <w:t>supply-side</w:t>
      </w:r>
      <w:r>
        <w:rPr>
          <w:spacing w:val="-11"/>
        </w:rPr>
        <w:t> </w:t>
      </w:r>
      <w:r>
        <w:rPr/>
        <w:t>improvements</w:t>
      </w:r>
      <w:r>
        <w:rPr>
          <w:spacing w:val="-10"/>
        </w:rPr>
        <w:t> </w:t>
      </w:r>
      <w:r>
        <w:rPr/>
        <w:t>are</w:t>
      </w:r>
      <w:r>
        <w:rPr>
          <w:spacing w:val="-11"/>
        </w:rPr>
        <w:t> </w:t>
      </w:r>
      <w:r>
        <w:rPr/>
        <w:t>consistent with greater downward pressure on inflation </w:t>
      </w:r>
      <w:r>
        <w:rPr>
          <w:spacing w:val="-3"/>
        </w:rPr>
        <w:t>over </w:t>
      </w:r>
      <w:r>
        <w:rPr/>
        <w:t>the next two years. Other members think that the downward adjustments to the central projection are too large, and hold the view that more of the recent benign developments in labour market outcomes could reflect transitory factors and that the prospective impact of any unusual intensification of competitive pressures on inflation is</w:t>
      </w:r>
      <w:r>
        <w:rPr>
          <w:spacing w:val="-3"/>
        </w:rPr>
        <w:t> </w:t>
      </w:r>
      <w:r>
        <w:rPr/>
        <w:t>small.</w:t>
      </w:r>
    </w:p>
    <w:p>
      <w:pPr>
        <w:pStyle w:val="BodyText"/>
        <w:spacing w:before="11"/>
        <w:rPr>
          <w:sz w:val="30"/>
        </w:rPr>
      </w:pPr>
    </w:p>
    <w:p>
      <w:pPr>
        <w:pStyle w:val="BodyText"/>
        <w:spacing w:line="242" w:lineRule="auto"/>
        <w:ind w:left="4979"/>
      </w:pPr>
      <w:r>
        <w:rPr/>
        <w:t>The Committee will monitor and analyse developments closely in order to improve the assessment of</w:t>
      </w:r>
    </w:p>
    <w:p>
      <w:pPr>
        <w:pStyle w:val="BodyText"/>
        <w:spacing w:line="242" w:lineRule="auto" w:before="3"/>
        <w:ind w:left="4979"/>
      </w:pPr>
      <w:r>
        <w:rPr/>
        <w:t>supply-side performance and prospects. Against this background, the Committee developed the current projection for inflation by reviewing recent trends in cost and price pressures in the United Kingdom, given the outlook for nominal demand and output and the assumptions on world prices and the sterling effective exchange rate.</w:t>
      </w:r>
    </w:p>
    <w:p>
      <w:pPr>
        <w:pStyle w:val="BodyText"/>
        <w:spacing w:before="6"/>
        <w:rPr>
          <w:sz w:val="28"/>
        </w:rPr>
      </w:pPr>
    </w:p>
    <w:p>
      <w:pPr>
        <w:pStyle w:val="BodyText"/>
        <w:spacing w:line="242" w:lineRule="auto" w:before="1"/>
        <w:ind w:left="4979" w:right="215"/>
      </w:pPr>
      <w:r>
        <w:rPr/>
        <w:t>Nominal pay growth has been surprisingly weak in recent months. Headline earnings growth slowed to less than 4% in the three months to August from a rate of 4</w:t>
      </w:r>
      <w:r>
        <w:rPr>
          <w:position w:val="8"/>
          <w:sz w:val="12"/>
        </w:rPr>
        <w:t>1</w:t>
      </w:r>
      <w:r>
        <w:rPr/>
        <w:t>/</w:t>
      </w:r>
      <w:r>
        <w:rPr>
          <w:sz w:val="12"/>
        </w:rPr>
        <w:t>2</w:t>
      </w:r>
      <w:r>
        <w:rPr/>
        <w:t>% in May and a millennium-distorted 6% in February. In part, the benign outcome reflects a fall in bonus payments from levels a year ago. Lower bonus payments may reflect a tightening in the terms of incentive schemes and pressures on profits in some sectors, but it is difficult to gauge the underlying trend given the pronounced volatility in bonus payments over the past year. The fall in earnings growth also reflects a slowdown in regular pay growth to a range of 4</w:t>
      </w:r>
      <w:r>
        <w:rPr>
          <w:position w:val="8"/>
          <w:sz w:val="12"/>
        </w:rPr>
        <w:t>1</w:t>
      </w:r>
      <w:r>
        <w:rPr/>
        <w:t>/</w:t>
      </w:r>
      <w:r>
        <w:rPr>
          <w:sz w:val="12"/>
        </w:rPr>
        <w:t>4</w:t>
      </w:r>
      <w:r>
        <w:rPr/>
        <w:t>% to 4</w:t>
      </w:r>
      <w:r>
        <w:rPr>
          <w:position w:val="8"/>
          <w:sz w:val="12"/>
        </w:rPr>
        <w:t>1</w:t>
      </w:r>
      <w:r>
        <w:rPr/>
        <w:t>/</w:t>
      </w:r>
      <w:r>
        <w:rPr>
          <w:sz w:val="12"/>
        </w:rPr>
        <w:t>2</w:t>
      </w:r>
      <w:r>
        <w:rPr/>
        <w:t>% from rates between 4</w:t>
      </w:r>
      <w:r>
        <w:rPr>
          <w:position w:val="8"/>
          <w:sz w:val="12"/>
        </w:rPr>
        <w:t>1</w:t>
      </w:r>
      <w:r>
        <w:rPr/>
        <w:t>/</w:t>
      </w:r>
      <w:r>
        <w:rPr>
          <w:sz w:val="12"/>
        </w:rPr>
        <w:t>2</w:t>
      </w:r>
      <w:r>
        <w:rPr/>
        <w:t>% and 4</w:t>
      </w:r>
      <w:r>
        <w:rPr>
          <w:position w:val="8"/>
          <w:sz w:val="12"/>
        </w:rPr>
        <w:t>3</w:t>
      </w:r>
      <w:r>
        <w:rPr/>
        <w:t>/</w:t>
      </w:r>
      <w:r>
        <w:rPr>
          <w:sz w:val="12"/>
        </w:rPr>
        <w:t>4</w:t>
      </w:r>
      <w:r>
        <w:rPr/>
        <w:t>% at the time of the August </w:t>
      </w:r>
      <w:r>
        <w:rPr>
          <w:i/>
        </w:rPr>
        <w:t>Report</w:t>
      </w:r>
      <w:r>
        <w:rPr/>
        <w:t>. Other indicators of pay growth remain relatively subdued: settlements continue to rise</w:t>
      </w:r>
    </w:p>
    <w:p>
      <w:pPr>
        <w:spacing w:after="0" w:line="242" w:lineRule="auto"/>
        <w:sectPr>
          <w:pgSz w:w="11900" w:h="16840"/>
          <w:pgMar w:header="601" w:footer="612" w:top="800" w:bottom="800" w:left="640" w:right="640"/>
        </w:sectPr>
      </w:pPr>
    </w:p>
    <w:p>
      <w:pPr>
        <w:pStyle w:val="BodyText"/>
        <w:rPr>
          <w:sz w:val="20"/>
        </w:rPr>
      </w:pPr>
    </w:p>
    <w:p>
      <w:pPr>
        <w:pStyle w:val="BodyText"/>
        <w:spacing w:before="7"/>
        <w:rPr>
          <w:sz w:val="20"/>
        </w:rPr>
      </w:pPr>
    </w:p>
    <w:p>
      <w:pPr>
        <w:pStyle w:val="BodyText"/>
        <w:spacing w:line="242" w:lineRule="auto"/>
        <w:ind w:left="4974" w:right="215"/>
      </w:pPr>
      <w:r>
        <w:rPr/>
        <w:t>at around 3%, although there are some warnings of higher rates in the next annual pay round.</w:t>
      </w:r>
    </w:p>
    <w:p>
      <w:pPr>
        <w:pStyle w:val="BodyText"/>
        <w:rPr>
          <w:sz w:val="28"/>
        </w:rPr>
      </w:pPr>
    </w:p>
    <w:p>
      <w:pPr>
        <w:pStyle w:val="BodyText"/>
        <w:spacing w:line="242" w:lineRule="auto"/>
        <w:ind w:left="4974" w:right="194"/>
      </w:pPr>
      <w:r>
        <w:rPr/>
        <w:t>Since the recent slowdown in nominal earnings growth has coincided with flat or rising inflation expectations, it represents a fall in real earnings pressure. When undertaking wage negotiations, employees aim to enhance the purchasing power of their post-tax income in terms of consumer goods, while employers wish to control the costs of production in relation to the price of their output. So a change in wage bargainers’ expectations of inflation is likely to affect nominal outcomes. A sustained increase in inflation expectations would be of concern as it might then feed through into higher wage claims.</w:t>
      </w:r>
    </w:p>
    <w:p>
      <w:pPr>
        <w:pStyle w:val="BodyText"/>
        <w:spacing w:before="2"/>
        <w:rPr>
          <w:sz w:val="29"/>
        </w:rPr>
      </w:pPr>
    </w:p>
    <w:p>
      <w:pPr>
        <w:pStyle w:val="BodyText"/>
        <w:spacing w:line="242" w:lineRule="auto"/>
        <w:ind w:left="4974" w:right="167"/>
      </w:pPr>
      <w:r>
        <w:rPr/>
        <w:t>Demand for labour remains strong. According to the Labour Force Survey (LFS), employment has risen by 0.7% over the past six months while the unemployment rate has fallen by 0.5 percentage points to 5.3%, with the recent decline concentrated in those unemployed for less than twelve months. On the claimant count measure, which is available for a longer period than the LFS, unemployment has fallen to its lowest rate for 25 years. Surveys of employment intentions and trends in vacancies suggest continued robust demand. A range of surveys and contacts of the Bank’s regional Agents report an intensification of skill shortages in recent months.</w:t>
      </w:r>
    </w:p>
    <w:p>
      <w:pPr>
        <w:pStyle w:val="BodyText"/>
        <w:spacing w:before="3"/>
        <w:rPr>
          <w:sz w:val="29"/>
        </w:rPr>
      </w:pPr>
    </w:p>
    <w:p>
      <w:pPr>
        <w:pStyle w:val="BodyText"/>
        <w:spacing w:line="242" w:lineRule="auto"/>
        <w:ind w:left="4974" w:right="175"/>
      </w:pPr>
      <w:r>
        <w:rPr/>
        <w:t>A </w:t>
      </w:r>
      <w:r>
        <w:rPr>
          <w:spacing w:val="-3"/>
        </w:rPr>
        <w:t>key </w:t>
      </w:r>
      <w:r>
        <w:rPr/>
        <w:t>judgment for the Committee is whether the favourable conjunction of weaker-than-expected real earnings</w:t>
      </w:r>
      <w:r>
        <w:rPr>
          <w:spacing w:val="-14"/>
        </w:rPr>
        <w:t> </w:t>
      </w:r>
      <w:r>
        <w:rPr/>
        <w:t>growth</w:t>
      </w:r>
      <w:r>
        <w:rPr>
          <w:spacing w:val="-14"/>
        </w:rPr>
        <w:t> </w:t>
      </w:r>
      <w:r>
        <w:rPr/>
        <w:t>and</w:t>
      </w:r>
      <w:r>
        <w:rPr>
          <w:spacing w:val="-14"/>
        </w:rPr>
        <w:t> </w:t>
      </w:r>
      <w:r>
        <w:rPr/>
        <w:t>lower-than-expected</w:t>
      </w:r>
      <w:r>
        <w:rPr>
          <w:spacing w:val="-14"/>
        </w:rPr>
        <w:t> </w:t>
      </w:r>
      <w:r>
        <w:rPr/>
        <w:t>unemployment is a temporary phenomenon, or whether it represents a more permanent additional improvement in UK labour market performance relative to the assumptions incorporated in the August </w:t>
      </w:r>
      <w:r>
        <w:rPr>
          <w:i/>
        </w:rPr>
        <w:t>Report</w:t>
      </w:r>
      <w:r>
        <w:rPr/>
        <w:t>. In the central projection, it was agreed that a small further adjustment should be made to the relationship between real earnings growth and unemployment, implying that real wage pressures would be lower for any </w:t>
      </w:r>
      <w:r>
        <w:rPr>
          <w:spacing w:val="-3"/>
        </w:rPr>
        <w:t>given </w:t>
      </w:r>
      <w:r>
        <w:rPr/>
        <w:t>unemployment path. But much of the recent surprising fall in real earnings was assumed to be transitory and hence would be likely to reverse. </w:t>
      </w:r>
      <w:r>
        <w:rPr>
          <w:spacing w:val="-4"/>
        </w:rPr>
        <w:t>However, </w:t>
      </w:r>
      <w:r>
        <w:rPr/>
        <w:t>that reversal could be quite </w:t>
      </w:r>
      <w:r>
        <w:rPr>
          <w:spacing w:val="-5"/>
        </w:rPr>
        <w:t>slow, </w:t>
      </w:r>
      <w:r>
        <w:rPr/>
        <w:t>such that the lower-than-expected </w:t>
      </w:r>
      <w:r>
        <w:rPr>
          <w:spacing w:val="-3"/>
        </w:rPr>
        <w:t>level </w:t>
      </w:r>
      <w:r>
        <w:rPr/>
        <w:t>of nominal earnings growth in recent months will reduce costs and inflationary pressures </w:t>
      </w:r>
      <w:r>
        <w:rPr>
          <w:spacing w:val="-3"/>
        </w:rPr>
        <w:t>over </w:t>
      </w:r>
      <w:r>
        <w:rPr/>
        <w:t>the next two years relative to the August projection. Committee members hold differing views on the risks to the inflation outlook from labour market pressures.  Some members judge that inflationary pressures could be stronger than in</w:t>
      </w:r>
      <w:r>
        <w:rPr>
          <w:spacing w:val="-36"/>
        </w:rPr>
        <w:t> </w:t>
      </w:r>
      <w:r>
        <w:rPr/>
        <w:t>the</w:t>
      </w:r>
    </w:p>
    <w:p>
      <w:pPr>
        <w:spacing w:after="0" w:line="242" w:lineRule="auto"/>
        <w:sectPr>
          <w:pgSz w:w="11900" w:h="16840"/>
          <w:pgMar w:header="586" w:footer="592" w:top="780" w:bottom="780" w:left="640" w:right="640"/>
        </w:sectPr>
      </w:pPr>
    </w:p>
    <w:p>
      <w:pPr>
        <w:pStyle w:val="BodyText"/>
        <w:rPr>
          <w:sz w:val="20"/>
        </w:rPr>
      </w:pPr>
    </w:p>
    <w:p>
      <w:pPr>
        <w:pStyle w:val="BodyText"/>
        <w:spacing w:line="242" w:lineRule="auto" w:before="222"/>
        <w:ind w:left="4985" w:right="149"/>
      </w:pPr>
      <w:r>
        <w:rPr/>
        <w:t>central case, given the tightness of the labour market and their view that the overall adjustments to reflect the impact of supply-side improvements on inflation could be too large. Other members consider that supply-side gains could be larger than embodied in the central projection and hence that labour cost pressures may be more benign.</w:t>
      </w:r>
    </w:p>
    <w:p>
      <w:pPr>
        <w:pStyle w:val="BodyText"/>
        <w:spacing w:before="10"/>
        <w:rPr>
          <w:sz w:val="26"/>
        </w:rPr>
      </w:pPr>
    </w:p>
    <w:p>
      <w:pPr>
        <w:pStyle w:val="BodyText"/>
        <w:spacing w:line="242" w:lineRule="auto"/>
        <w:ind w:left="4985" w:right="179"/>
      </w:pPr>
      <w:r>
        <w:rPr/>
        <w:t>The supply capacity of the economy may be increased by a rise in the labour force or by an improvement in </w:t>
      </w:r>
      <w:r>
        <w:rPr>
          <w:spacing w:val="-3"/>
        </w:rPr>
        <w:t>productivity. </w:t>
      </w:r>
      <w:r>
        <w:rPr/>
        <w:t>The Committee has </w:t>
      </w:r>
      <w:r>
        <w:rPr>
          <w:spacing w:val="-3"/>
        </w:rPr>
        <w:t>reviewed </w:t>
      </w:r>
      <w:r>
        <w:rPr/>
        <w:t>the recent evidence on trends in labour force participation at a disaggregated </w:t>
      </w:r>
      <w:r>
        <w:rPr>
          <w:spacing w:val="-3"/>
        </w:rPr>
        <w:t>level, </w:t>
      </w:r>
      <w:r>
        <w:rPr/>
        <w:t>and </w:t>
      </w:r>
      <w:r>
        <w:rPr>
          <w:spacing w:val="-3"/>
        </w:rPr>
        <w:t>now </w:t>
      </w:r>
      <w:r>
        <w:rPr/>
        <w:t>judges that the aggregate participation rate is more likely to continue to rise slightly </w:t>
      </w:r>
      <w:r>
        <w:rPr>
          <w:spacing w:val="-3"/>
        </w:rPr>
        <w:t>over </w:t>
      </w:r>
      <w:r>
        <w:rPr/>
        <w:t>the next two years than to remain unchanged as previously assumed. Adjusting this assumption lowers the projection for real earnings growth</w:t>
      </w:r>
      <w:r>
        <w:rPr>
          <w:spacing w:val="-5"/>
        </w:rPr>
        <w:t> </w:t>
      </w:r>
      <w:r>
        <w:rPr/>
        <w:t>a</w:t>
      </w:r>
      <w:r>
        <w:rPr>
          <w:spacing w:val="-4"/>
        </w:rPr>
        <w:t> </w:t>
      </w:r>
      <w:r>
        <w:rPr/>
        <w:t>little</w:t>
      </w:r>
      <w:r>
        <w:rPr>
          <w:spacing w:val="-4"/>
        </w:rPr>
        <w:t> </w:t>
      </w:r>
      <w:r>
        <w:rPr/>
        <w:t>as</w:t>
      </w:r>
      <w:r>
        <w:rPr>
          <w:spacing w:val="-4"/>
        </w:rPr>
        <w:t> </w:t>
      </w:r>
      <w:r>
        <w:rPr/>
        <w:t>the</w:t>
      </w:r>
      <w:r>
        <w:rPr>
          <w:spacing w:val="-5"/>
        </w:rPr>
        <w:t> </w:t>
      </w:r>
      <w:r>
        <w:rPr>
          <w:spacing w:val="-3"/>
        </w:rPr>
        <w:t>new</w:t>
      </w:r>
      <w:r>
        <w:rPr>
          <w:spacing w:val="-4"/>
        </w:rPr>
        <w:t> </w:t>
      </w:r>
      <w:r>
        <w:rPr/>
        <w:t>entrants</w:t>
      </w:r>
      <w:r>
        <w:rPr>
          <w:spacing w:val="-4"/>
        </w:rPr>
        <w:t> </w:t>
      </w:r>
      <w:r>
        <w:rPr/>
        <w:t>to</w:t>
      </w:r>
      <w:r>
        <w:rPr>
          <w:spacing w:val="-4"/>
        </w:rPr>
        <w:t> </w:t>
      </w:r>
      <w:r>
        <w:rPr/>
        <w:t>the</w:t>
      </w:r>
      <w:r>
        <w:rPr>
          <w:spacing w:val="-4"/>
        </w:rPr>
        <w:t> </w:t>
      </w:r>
      <w:r>
        <w:rPr/>
        <w:t>labour</w:t>
      </w:r>
      <w:r>
        <w:rPr>
          <w:spacing w:val="-5"/>
        </w:rPr>
        <w:t> </w:t>
      </w:r>
      <w:r>
        <w:rPr/>
        <w:t>force</w:t>
      </w:r>
      <w:r>
        <w:rPr>
          <w:spacing w:val="-4"/>
        </w:rPr>
        <w:t> </w:t>
      </w:r>
      <w:r>
        <w:rPr/>
        <w:t>add to the available supply of</w:t>
      </w:r>
      <w:r>
        <w:rPr>
          <w:spacing w:val="-8"/>
        </w:rPr>
        <w:t> </w:t>
      </w:r>
      <w:r>
        <w:rPr>
          <w:spacing w:val="-3"/>
        </w:rPr>
        <w:t>labour.</w:t>
      </w:r>
    </w:p>
    <w:p>
      <w:pPr>
        <w:pStyle w:val="BodyText"/>
        <w:spacing w:before="3"/>
        <w:rPr>
          <w:sz w:val="27"/>
        </w:rPr>
      </w:pPr>
    </w:p>
    <w:p>
      <w:pPr>
        <w:pStyle w:val="BodyText"/>
        <w:spacing w:line="242" w:lineRule="auto" w:before="1"/>
        <w:ind w:left="4985" w:right="249"/>
      </w:pPr>
      <w:r>
        <w:rPr/>
        <w:t>Whole-economy productivity growth per employee has strengthened in recent quarters and, for the first time in five years, is above a benchmark set by the average rate of growth since 1960. In the short-to-medium term, faster productivity growth dampens pressures on unit labour costs from rising earnings. Given the rise in productivity growth, as well as the slower growth in nominal earnings, unit labour cost growth has correspondingly slowed over the past year. Over the long run, however, higher productivity growth will tend to sustain faster growth in real earnings and living standards.</w:t>
      </w:r>
    </w:p>
    <w:p>
      <w:pPr>
        <w:pStyle w:val="BodyText"/>
        <w:spacing w:before="1"/>
        <w:rPr>
          <w:sz w:val="29"/>
        </w:rPr>
      </w:pPr>
    </w:p>
    <w:p>
      <w:pPr>
        <w:pStyle w:val="BodyText"/>
        <w:ind w:left="4985"/>
      </w:pPr>
      <w:r>
        <w:rPr/>
        <w:t>It</w:t>
      </w:r>
      <w:r>
        <w:rPr>
          <w:spacing w:val="-7"/>
        </w:rPr>
        <w:t> </w:t>
      </w:r>
      <w:r>
        <w:rPr/>
        <w:t>is</w:t>
      </w:r>
      <w:r>
        <w:rPr>
          <w:spacing w:val="-6"/>
        </w:rPr>
        <w:t> </w:t>
      </w:r>
      <w:r>
        <w:rPr/>
        <w:t>as</w:t>
      </w:r>
      <w:r>
        <w:rPr>
          <w:spacing w:val="-6"/>
        </w:rPr>
        <w:t> </w:t>
      </w:r>
      <w:r>
        <w:rPr/>
        <w:t>yet</w:t>
      </w:r>
      <w:r>
        <w:rPr>
          <w:spacing w:val="-6"/>
        </w:rPr>
        <w:t> </w:t>
      </w:r>
      <w:r>
        <w:rPr/>
        <w:t>unclear</w:t>
      </w:r>
      <w:r>
        <w:rPr>
          <w:spacing w:val="-7"/>
        </w:rPr>
        <w:t> </w:t>
      </w:r>
      <w:r>
        <w:rPr/>
        <w:t>whether</w:t>
      </w:r>
      <w:r>
        <w:rPr>
          <w:spacing w:val="-6"/>
        </w:rPr>
        <w:t> </w:t>
      </w:r>
      <w:r>
        <w:rPr/>
        <w:t>the</w:t>
      </w:r>
      <w:r>
        <w:rPr>
          <w:spacing w:val="-6"/>
        </w:rPr>
        <w:t> </w:t>
      </w:r>
      <w:r>
        <w:rPr/>
        <w:t>prospective</w:t>
      </w:r>
      <w:r>
        <w:rPr>
          <w:spacing w:val="-6"/>
        </w:rPr>
        <w:t> </w:t>
      </w:r>
      <w:r>
        <w:rPr/>
        <w:t>trend</w:t>
      </w:r>
    </w:p>
    <w:p>
      <w:pPr>
        <w:pStyle w:val="BodyText"/>
        <w:spacing w:line="242" w:lineRule="auto" w:before="4"/>
        <w:ind w:left="4985" w:right="196"/>
      </w:pPr>
      <w:r>
        <w:rPr/>
        <w:t>growth</w:t>
      </w:r>
      <w:r>
        <w:rPr>
          <w:spacing w:val="-6"/>
        </w:rPr>
        <w:t> </w:t>
      </w:r>
      <w:r>
        <w:rPr/>
        <w:t>rate</w:t>
      </w:r>
      <w:r>
        <w:rPr>
          <w:spacing w:val="-6"/>
        </w:rPr>
        <w:t> </w:t>
      </w:r>
      <w:r>
        <w:rPr/>
        <w:t>of</w:t>
      </w:r>
      <w:r>
        <w:rPr>
          <w:spacing w:val="-6"/>
        </w:rPr>
        <w:t> </w:t>
      </w:r>
      <w:r>
        <w:rPr/>
        <w:t>productivity</w:t>
      </w:r>
      <w:r>
        <w:rPr>
          <w:spacing w:val="-6"/>
        </w:rPr>
        <w:t> </w:t>
      </w:r>
      <w:r>
        <w:rPr/>
        <w:t>is</w:t>
      </w:r>
      <w:r>
        <w:rPr>
          <w:spacing w:val="-6"/>
        </w:rPr>
        <w:t> </w:t>
      </w:r>
      <w:r>
        <w:rPr/>
        <w:t>likely</w:t>
      </w:r>
      <w:r>
        <w:rPr>
          <w:spacing w:val="-6"/>
        </w:rPr>
        <w:t> </w:t>
      </w:r>
      <w:r>
        <w:rPr/>
        <w:t>to</w:t>
      </w:r>
      <w:r>
        <w:rPr>
          <w:spacing w:val="-6"/>
        </w:rPr>
        <w:t> </w:t>
      </w:r>
      <w:r>
        <w:rPr/>
        <w:t>be</w:t>
      </w:r>
      <w:r>
        <w:rPr>
          <w:spacing w:val="-6"/>
        </w:rPr>
        <w:t> </w:t>
      </w:r>
      <w:r>
        <w:rPr/>
        <w:t>quicker</w:t>
      </w:r>
      <w:r>
        <w:rPr>
          <w:spacing w:val="-6"/>
        </w:rPr>
        <w:t> </w:t>
      </w:r>
      <w:r>
        <w:rPr/>
        <w:t>than</w:t>
      </w:r>
      <w:r>
        <w:rPr>
          <w:spacing w:val="-6"/>
        </w:rPr>
        <w:t> </w:t>
      </w:r>
      <w:r>
        <w:rPr/>
        <w:t>in the past. Estimated productivity growth has risen markedly in the United States, but it is uncertain to what extent such gains are likely to be emulated in</w:t>
      </w:r>
      <w:r>
        <w:rPr>
          <w:spacing w:val="-24"/>
        </w:rPr>
        <w:t> </w:t>
      </w:r>
      <w:r>
        <w:rPr/>
        <w:t>the</w:t>
      </w:r>
    </w:p>
    <w:p>
      <w:pPr>
        <w:pStyle w:val="BodyText"/>
        <w:spacing w:line="242" w:lineRule="auto" w:before="5"/>
        <w:ind w:left="4985" w:right="254"/>
      </w:pPr>
      <w:r>
        <w:rPr/>
        <w:t>United Kingdom and other countries and over what time-scale these improvements would take place. The Committee has made no specific change to the central projection for underlying productivity growth, although the general adjustments to reflect better supply-side performance encapsulate a temporary rise in productivity growth among the other possible explanations.</w:t>
      </w:r>
    </w:p>
    <w:p>
      <w:pPr>
        <w:pStyle w:val="BodyText"/>
        <w:spacing w:before="8"/>
        <w:rPr>
          <w:sz w:val="28"/>
        </w:rPr>
      </w:pPr>
    </w:p>
    <w:p>
      <w:pPr>
        <w:pStyle w:val="BodyText"/>
        <w:spacing w:line="242" w:lineRule="auto" w:before="1"/>
        <w:ind w:left="4985"/>
      </w:pPr>
      <w:r>
        <w:rPr/>
        <w:t>Taking account of all the influences discussed above, the Committee’s best collective projection for the</w:t>
      </w:r>
    </w:p>
    <w:p>
      <w:pPr>
        <w:pStyle w:val="BodyText"/>
        <w:spacing w:line="242" w:lineRule="auto" w:before="2"/>
        <w:ind w:left="4985" w:right="149"/>
      </w:pPr>
      <w:r>
        <w:rPr/>
        <w:t>twelve-month RPIX inflation rate, conditioned on the assumption that nominal interest rates remain unchanged</w:t>
      </w:r>
    </w:p>
    <w:p>
      <w:pPr>
        <w:spacing w:after="0" w:line="242" w:lineRule="auto"/>
        <w:sectPr>
          <w:pgSz w:w="11900" w:h="16840"/>
          <w:pgMar w:header="601" w:footer="612" w:top="800" w:bottom="800" w:left="640" w:right="640"/>
        </w:sectPr>
      </w:pPr>
    </w:p>
    <w:p>
      <w:pPr>
        <w:spacing w:line="249" w:lineRule="auto" w:before="10"/>
        <w:ind w:left="184" w:right="0" w:firstLine="0"/>
        <w:jc w:val="left"/>
        <w:rPr>
          <w:b/>
          <w:sz w:val="20"/>
        </w:rPr>
      </w:pPr>
      <w:bookmarkStart w:name="_bookmark35" w:id="80"/>
      <w:bookmarkEnd w:id="80"/>
      <w:r>
        <w:rPr/>
      </w:r>
      <w:r>
        <w:rPr>
          <w:b/>
          <w:color w:val="0092C7"/>
          <w:sz w:val="20"/>
        </w:rPr>
        <w:t>Current RPIX inflation projection based on constant nominal interest rates at 6%</w:t>
      </w:r>
    </w:p>
    <w:p>
      <w:pPr>
        <w:spacing w:before="77"/>
        <w:ind w:left="1936" w:right="0" w:firstLine="0"/>
        <w:jc w:val="left"/>
        <w:rPr>
          <w:sz w:val="12"/>
        </w:rPr>
      </w:pPr>
      <w:r>
        <w:rPr/>
        <w:drawing>
          <wp:anchor distT="0" distB="0" distL="0" distR="0" allowOverlap="1" layoutInCell="1" locked="0" behindDoc="0" simplePos="0" relativeHeight="16178688">
            <wp:simplePos x="0" y="0"/>
            <wp:positionH relativeFrom="page">
              <wp:posOffset>540346</wp:posOffset>
            </wp:positionH>
            <wp:positionV relativeFrom="paragraph">
              <wp:posOffset>143504</wp:posOffset>
            </wp:positionV>
            <wp:extent cx="59778" cy="6350"/>
            <wp:effectExtent l="0" t="0" r="0" b="0"/>
            <wp:wrapNone/>
            <wp:docPr id="319" name="image100.png"/>
            <wp:cNvGraphicFramePr>
              <a:graphicFrameLocks noChangeAspect="1"/>
            </wp:cNvGraphicFramePr>
            <a:graphic>
              <a:graphicData uri="http://schemas.openxmlformats.org/drawingml/2006/picture">
                <pic:pic>
                  <pic:nvPicPr>
                    <pic:cNvPr id="320" name="image100.png"/>
                    <pic:cNvPicPr/>
                  </pic:nvPicPr>
                  <pic:blipFill>
                    <a:blip r:embed="rId155" cstate="print"/>
                    <a:stretch>
                      <a:fillRect/>
                    </a:stretch>
                  </pic:blipFill>
                  <pic:spPr>
                    <a:xfrm>
                      <a:off x="0" y="0"/>
                      <a:ext cx="59778" cy="6350"/>
                    </a:xfrm>
                    <a:prstGeom prst="rect">
                      <a:avLst/>
                    </a:prstGeom>
                  </pic:spPr>
                </pic:pic>
              </a:graphicData>
            </a:graphic>
          </wp:anchor>
        </w:drawing>
      </w:r>
      <w:r>
        <w:rPr>
          <w:sz w:val="12"/>
        </w:rPr>
        <w:t>Percentage increase in prices on a year earli</w:t>
      </w:r>
      <w:r>
        <w:rPr>
          <w:sz w:val="12"/>
          <w:u w:val="single"/>
        </w:rPr>
        <w:t>er</w:t>
      </w:r>
      <w:r>
        <w:rPr>
          <w:sz w:val="12"/>
        </w:rPr>
        <w:t> </w:t>
      </w:r>
      <w:r>
        <w:rPr>
          <w:position w:val="-8"/>
          <w:sz w:val="12"/>
        </w:rPr>
        <w:t>5</w:t>
      </w:r>
    </w:p>
    <w:p>
      <w:pPr>
        <w:spacing w:line="249" w:lineRule="auto" w:before="10"/>
        <w:ind w:left="184" w:right="321" w:firstLine="0"/>
        <w:jc w:val="left"/>
        <w:rPr>
          <w:b/>
          <w:sz w:val="20"/>
        </w:rPr>
      </w:pPr>
      <w:r>
        <w:rPr/>
        <w:br w:type="column"/>
      </w:r>
      <w:r>
        <w:rPr>
          <w:b/>
          <w:color w:val="0092C7"/>
          <w:sz w:val="20"/>
        </w:rPr>
        <w:t>RPIX inflation projection in August based on constant nominal interest rates at 6%</w:t>
      </w:r>
    </w:p>
    <w:p>
      <w:pPr>
        <w:spacing w:before="77"/>
        <w:ind w:left="1946" w:right="0" w:firstLine="0"/>
        <w:jc w:val="left"/>
        <w:rPr>
          <w:sz w:val="12"/>
        </w:rPr>
      </w:pPr>
      <w:r>
        <w:rPr/>
        <w:drawing>
          <wp:anchor distT="0" distB="0" distL="0" distR="0" allowOverlap="1" layoutInCell="1" locked="0" behindDoc="0" simplePos="0" relativeHeight="16176128">
            <wp:simplePos x="0" y="0"/>
            <wp:positionH relativeFrom="page">
              <wp:posOffset>3594696</wp:posOffset>
            </wp:positionH>
            <wp:positionV relativeFrom="paragraph">
              <wp:posOffset>143504</wp:posOffset>
            </wp:positionV>
            <wp:extent cx="59778" cy="6350"/>
            <wp:effectExtent l="0" t="0" r="0" b="0"/>
            <wp:wrapNone/>
            <wp:docPr id="321" name="image24.png"/>
            <wp:cNvGraphicFramePr>
              <a:graphicFrameLocks noChangeAspect="1"/>
            </wp:cNvGraphicFramePr>
            <a:graphic>
              <a:graphicData uri="http://schemas.openxmlformats.org/drawingml/2006/picture">
                <pic:pic>
                  <pic:nvPicPr>
                    <pic:cNvPr id="322" name="image24.png"/>
                    <pic:cNvPicPr/>
                  </pic:nvPicPr>
                  <pic:blipFill>
                    <a:blip r:embed="rId53" cstate="print"/>
                    <a:stretch>
                      <a:fillRect/>
                    </a:stretch>
                  </pic:blipFill>
                  <pic:spPr>
                    <a:xfrm>
                      <a:off x="0" y="0"/>
                      <a:ext cx="59778" cy="6350"/>
                    </a:xfrm>
                    <a:prstGeom prst="rect">
                      <a:avLst/>
                    </a:prstGeom>
                  </pic:spPr>
                </pic:pic>
              </a:graphicData>
            </a:graphic>
          </wp:anchor>
        </w:drawing>
      </w:r>
      <w:r>
        <w:rPr>
          <w:sz w:val="12"/>
        </w:rPr>
        <w:t>Percentage increase in prices on a year earli</w:t>
      </w:r>
      <w:r>
        <w:rPr>
          <w:sz w:val="12"/>
          <w:u w:val="single"/>
        </w:rPr>
        <w:t>er</w:t>
      </w:r>
      <w:r>
        <w:rPr>
          <w:sz w:val="12"/>
        </w:rPr>
        <w:t> </w:t>
      </w:r>
      <w:r>
        <w:rPr>
          <w:position w:val="-7"/>
          <w:sz w:val="12"/>
        </w:rPr>
        <w:t>5</w:t>
      </w:r>
    </w:p>
    <w:p>
      <w:pPr>
        <w:spacing w:after="0"/>
        <w:jc w:val="left"/>
        <w:rPr>
          <w:sz w:val="12"/>
        </w:rPr>
        <w:sectPr>
          <w:headerReference w:type="even" r:id="rId187"/>
          <w:headerReference w:type="default" r:id="rId188"/>
          <w:footerReference w:type="even" r:id="rId189"/>
          <w:footerReference w:type="default" r:id="rId190"/>
          <w:pgSz w:w="11900" w:h="16840"/>
          <w:pgMar w:header="609" w:footer="592" w:top="1480" w:bottom="780" w:left="640" w:right="640"/>
          <w:pgNumType w:start="64"/>
          <w:cols w:num="2" w:equalWidth="0">
            <w:col w:w="4297" w:space="503"/>
            <w:col w:w="5820"/>
          </w:cols>
        </w:sectPr>
      </w:pPr>
    </w:p>
    <w:p>
      <w:pPr>
        <w:pStyle w:val="BodyText"/>
        <w:rPr>
          <w:sz w:val="20"/>
        </w:rPr>
      </w:pPr>
    </w:p>
    <w:p>
      <w:pPr>
        <w:pStyle w:val="BodyText"/>
        <w:spacing w:before="2"/>
        <w:rPr>
          <w:sz w:val="20"/>
        </w:rPr>
      </w:pPr>
    </w:p>
    <w:p>
      <w:pPr>
        <w:tabs>
          <w:tab w:pos="9011" w:val="left" w:leader="none"/>
        </w:tabs>
        <w:spacing w:before="0"/>
        <w:ind w:left="4191" w:right="0" w:firstLine="0"/>
        <w:jc w:val="left"/>
        <w:rPr>
          <w:sz w:val="12"/>
        </w:rPr>
      </w:pPr>
      <w:r>
        <w:rPr/>
        <w:drawing>
          <wp:anchor distT="0" distB="0" distL="0" distR="0" allowOverlap="1" layoutInCell="1" locked="0" behindDoc="1" simplePos="0" relativeHeight="480837632">
            <wp:simplePos x="0" y="0"/>
            <wp:positionH relativeFrom="page">
              <wp:posOffset>6031610</wp:posOffset>
            </wp:positionH>
            <wp:positionV relativeFrom="paragraph">
              <wp:posOffset>41800</wp:posOffset>
            </wp:positionV>
            <wp:extent cx="59778" cy="6350"/>
            <wp:effectExtent l="0" t="0" r="0" b="0"/>
            <wp:wrapNone/>
            <wp:docPr id="323" name="image100.png"/>
            <wp:cNvGraphicFramePr>
              <a:graphicFrameLocks noChangeAspect="1"/>
            </wp:cNvGraphicFramePr>
            <a:graphic>
              <a:graphicData uri="http://schemas.openxmlformats.org/drawingml/2006/picture">
                <pic:pic>
                  <pic:nvPicPr>
                    <pic:cNvPr id="324" name="image100.png"/>
                    <pic:cNvPicPr/>
                  </pic:nvPicPr>
                  <pic:blipFill>
                    <a:blip r:embed="rId155"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1" simplePos="0" relativeHeight="480839168">
            <wp:simplePos x="0" y="0"/>
            <wp:positionH relativeFrom="page">
              <wp:posOffset>3594696</wp:posOffset>
            </wp:positionH>
            <wp:positionV relativeFrom="paragraph">
              <wp:posOffset>41800</wp:posOffset>
            </wp:positionV>
            <wp:extent cx="59778" cy="6350"/>
            <wp:effectExtent l="0" t="0" r="0" b="0"/>
            <wp:wrapNone/>
            <wp:docPr id="325" name="image24.png"/>
            <wp:cNvGraphicFramePr>
              <a:graphicFrameLocks noChangeAspect="1"/>
            </wp:cNvGraphicFramePr>
            <a:graphic>
              <a:graphicData uri="http://schemas.openxmlformats.org/drawingml/2006/picture">
                <pic:pic>
                  <pic:nvPicPr>
                    <pic:cNvPr id="326" name="image24.png"/>
                    <pic:cNvPicPr/>
                  </pic:nvPicPr>
                  <pic:blipFill>
                    <a:blip r:embed="rId53"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177664">
            <wp:simplePos x="0" y="0"/>
            <wp:positionH relativeFrom="page">
              <wp:posOffset>540346</wp:posOffset>
            </wp:positionH>
            <wp:positionV relativeFrom="paragraph">
              <wp:posOffset>41800</wp:posOffset>
            </wp:positionV>
            <wp:extent cx="2497683" cy="1077899"/>
            <wp:effectExtent l="0" t="0" r="0" b="0"/>
            <wp:wrapNone/>
            <wp:docPr id="327" name="image114.png"/>
            <wp:cNvGraphicFramePr>
              <a:graphicFrameLocks noChangeAspect="1"/>
            </wp:cNvGraphicFramePr>
            <a:graphic>
              <a:graphicData uri="http://schemas.openxmlformats.org/drawingml/2006/picture">
                <pic:pic>
                  <pic:nvPicPr>
                    <pic:cNvPr id="328" name="image114.png"/>
                    <pic:cNvPicPr/>
                  </pic:nvPicPr>
                  <pic:blipFill>
                    <a:blip r:embed="rId191" cstate="print"/>
                    <a:stretch>
                      <a:fillRect/>
                    </a:stretch>
                  </pic:blipFill>
                  <pic:spPr>
                    <a:xfrm>
                      <a:off x="0" y="0"/>
                      <a:ext cx="2497683" cy="1077899"/>
                    </a:xfrm>
                    <a:prstGeom prst="rect">
                      <a:avLst/>
                    </a:prstGeom>
                  </pic:spPr>
                </pic:pic>
              </a:graphicData>
            </a:graphic>
          </wp:anchor>
        </w:drawing>
      </w:r>
      <w:r>
        <w:rPr>
          <w:sz w:val="12"/>
        </w:rPr>
        <w:t>4</w:t>
        <w:tab/>
      </w:r>
      <w:r>
        <w:rPr>
          <w:position w:val="1"/>
          <w:sz w:val="12"/>
        </w:rPr>
        <w:t>4</w:t>
      </w:r>
    </w:p>
    <w:p>
      <w:pPr>
        <w:pStyle w:val="BodyText"/>
        <w:rPr>
          <w:sz w:val="20"/>
        </w:rPr>
      </w:pPr>
    </w:p>
    <w:p>
      <w:pPr>
        <w:pStyle w:val="BodyText"/>
        <w:spacing w:before="2"/>
        <w:rPr>
          <w:sz w:val="20"/>
        </w:rPr>
      </w:pPr>
    </w:p>
    <w:p>
      <w:pPr>
        <w:tabs>
          <w:tab w:pos="9011" w:val="left" w:leader="none"/>
        </w:tabs>
        <w:spacing w:before="0"/>
        <w:ind w:left="4194" w:right="0" w:firstLine="0"/>
        <w:jc w:val="left"/>
        <w:rPr>
          <w:sz w:val="12"/>
        </w:rPr>
      </w:pPr>
      <w:r>
        <w:rPr/>
        <w:drawing>
          <wp:anchor distT="0" distB="0" distL="0" distR="0" allowOverlap="1" layoutInCell="1" locked="0" behindDoc="1" simplePos="0" relativeHeight="480838144">
            <wp:simplePos x="0" y="0"/>
            <wp:positionH relativeFrom="page">
              <wp:posOffset>3594696</wp:posOffset>
            </wp:positionH>
            <wp:positionV relativeFrom="paragraph">
              <wp:posOffset>-276789</wp:posOffset>
            </wp:positionV>
            <wp:extent cx="2497683" cy="936345"/>
            <wp:effectExtent l="0" t="0" r="0" b="0"/>
            <wp:wrapNone/>
            <wp:docPr id="329" name="image115.png"/>
            <wp:cNvGraphicFramePr>
              <a:graphicFrameLocks noChangeAspect="1"/>
            </wp:cNvGraphicFramePr>
            <a:graphic>
              <a:graphicData uri="http://schemas.openxmlformats.org/drawingml/2006/picture">
                <pic:pic>
                  <pic:nvPicPr>
                    <pic:cNvPr id="330" name="image115.png"/>
                    <pic:cNvPicPr/>
                  </pic:nvPicPr>
                  <pic:blipFill>
                    <a:blip r:embed="rId192" cstate="print"/>
                    <a:stretch>
                      <a:fillRect/>
                    </a:stretch>
                  </pic:blipFill>
                  <pic:spPr>
                    <a:xfrm>
                      <a:off x="0" y="0"/>
                      <a:ext cx="2497683" cy="936345"/>
                    </a:xfrm>
                    <a:prstGeom prst="rect">
                      <a:avLst/>
                    </a:prstGeom>
                  </pic:spPr>
                </pic:pic>
              </a:graphicData>
            </a:graphic>
          </wp:anchor>
        </w:drawing>
      </w:r>
      <w:r>
        <w:rPr>
          <w:sz w:val="12"/>
        </w:rPr>
        <w:t>3</w:t>
        <w:tab/>
        <w:t>3</w:t>
      </w:r>
    </w:p>
    <w:p>
      <w:pPr>
        <w:pStyle w:val="BodyText"/>
        <w:rPr>
          <w:sz w:val="14"/>
        </w:rPr>
      </w:pPr>
    </w:p>
    <w:p>
      <w:pPr>
        <w:tabs>
          <w:tab w:pos="9004" w:val="left" w:leader="none"/>
        </w:tabs>
        <w:spacing w:before="1"/>
        <w:ind w:left="4194" w:right="0" w:firstLine="0"/>
        <w:jc w:val="left"/>
        <w:rPr>
          <w:sz w:val="12"/>
        </w:rPr>
      </w:pPr>
      <w:r>
        <w:rPr>
          <w:sz w:val="12"/>
        </w:rPr>
        <w:t>2.5</w:t>
        <w:tab/>
        <w:t>2.5</w:t>
      </w:r>
    </w:p>
    <w:p>
      <w:pPr>
        <w:pStyle w:val="BodyText"/>
        <w:spacing w:before="7"/>
        <w:rPr>
          <w:sz w:val="13"/>
        </w:rPr>
      </w:pPr>
    </w:p>
    <w:p>
      <w:pPr>
        <w:tabs>
          <w:tab w:pos="9011" w:val="left" w:leader="none"/>
        </w:tabs>
        <w:spacing w:before="1"/>
        <w:ind w:left="4196" w:right="0" w:firstLine="0"/>
        <w:jc w:val="left"/>
        <w:rPr>
          <w:sz w:val="12"/>
        </w:rPr>
      </w:pPr>
      <w:r>
        <w:rPr>
          <w:position w:val="1"/>
          <w:sz w:val="12"/>
        </w:rPr>
        <w:t>2</w:t>
        <w:tab/>
      </w:r>
      <w:r>
        <w:rPr>
          <w:sz w:val="12"/>
        </w:rPr>
        <w:t>2</w:t>
      </w:r>
    </w:p>
    <w:p>
      <w:pPr>
        <w:pStyle w:val="BodyText"/>
        <w:rPr>
          <w:sz w:val="14"/>
        </w:rPr>
      </w:pPr>
    </w:p>
    <w:p>
      <w:pPr>
        <w:pStyle w:val="BodyText"/>
        <w:rPr>
          <w:sz w:val="14"/>
        </w:rPr>
      </w:pPr>
    </w:p>
    <w:p>
      <w:pPr>
        <w:pStyle w:val="BodyText"/>
        <w:spacing w:before="10"/>
        <w:rPr>
          <w:sz w:val="11"/>
        </w:rPr>
      </w:pPr>
    </w:p>
    <w:p>
      <w:pPr>
        <w:tabs>
          <w:tab w:pos="9011" w:val="left" w:leader="none"/>
        </w:tabs>
        <w:spacing w:before="0"/>
        <w:ind w:left="4191" w:right="0" w:firstLine="0"/>
        <w:jc w:val="left"/>
        <w:rPr>
          <w:sz w:val="12"/>
        </w:rPr>
      </w:pPr>
      <w:r>
        <w:rPr/>
        <w:drawing>
          <wp:anchor distT="0" distB="0" distL="0" distR="0" allowOverlap="1" layoutInCell="1" locked="0" behindDoc="1" simplePos="0" relativeHeight="480836608">
            <wp:simplePos x="0" y="0"/>
            <wp:positionH relativeFrom="page">
              <wp:posOffset>3594696</wp:posOffset>
            </wp:positionH>
            <wp:positionV relativeFrom="paragraph">
              <wp:posOffset>364316</wp:posOffset>
            </wp:positionV>
            <wp:extent cx="2496692" cy="74904"/>
            <wp:effectExtent l="0" t="0" r="0" b="0"/>
            <wp:wrapNone/>
            <wp:docPr id="331" name="image116.png"/>
            <wp:cNvGraphicFramePr>
              <a:graphicFrameLocks noChangeAspect="1"/>
            </wp:cNvGraphicFramePr>
            <a:graphic>
              <a:graphicData uri="http://schemas.openxmlformats.org/drawingml/2006/picture">
                <pic:pic>
                  <pic:nvPicPr>
                    <pic:cNvPr id="332" name="image116.png"/>
                    <pic:cNvPicPr/>
                  </pic:nvPicPr>
                  <pic:blipFill>
                    <a:blip r:embed="rId193" cstate="print"/>
                    <a:stretch>
                      <a:fillRect/>
                    </a:stretch>
                  </pic:blipFill>
                  <pic:spPr>
                    <a:xfrm>
                      <a:off x="0" y="0"/>
                      <a:ext cx="2496692" cy="74904"/>
                    </a:xfrm>
                    <a:prstGeom prst="rect">
                      <a:avLst/>
                    </a:prstGeom>
                  </pic:spPr>
                </pic:pic>
              </a:graphicData>
            </a:graphic>
          </wp:anchor>
        </w:drawing>
      </w:r>
      <w:r>
        <w:rPr/>
        <w:drawing>
          <wp:anchor distT="0" distB="0" distL="0" distR="0" allowOverlap="1" layoutInCell="1" locked="0" behindDoc="1" simplePos="0" relativeHeight="480837120">
            <wp:simplePos x="0" y="0"/>
            <wp:positionH relativeFrom="page">
              <wp:posOffset>6031610</wp:posOffset>
            </wp:positionH>
            <wp:positionV relativeFrom="paragraph">
              <wp:posOffset>47553</wp:posOffset>
            </wp:positionV>
            <wp:extent cx="59778" cy="6350"/>
            <wp:effectExtent l="0" t="0" r="0" b="0"/>
            <wp:wrapNone/>
            <wp:docPr id="333" name="image117.png"/>
            <wp:cNvGraphicFramePr>
              <a:graphicFrameLocks noChangeAspect="1"/>
            </wp:cNvGraphicFramePr>
            <a:graphic>
              <a:graphicData uri="http://schemas.openxmlformats.org/drawingml/2006/picture">
                <pic:pic>
                  <pic:nvPicPr>
                    <pic:cNvPr id="334" name="image117.png"/>
                    <pic:cNvPicPr/>
                  </pic:nvPicPr>
                  <pic:blipFill>
                    <a:blip r:embed="rId194"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1" simplePos="0" relativeHeight="480838656">
            <wp:simplePos x="0" y="0"/>
            <wp:positionH relativeFrom="page">
              <wp:posOffset>3594696</wp:posOffset>
            </wp:positionH>
            <wp:positionV relativeFrom="paragraph">
              <wp:posOffset>47553</wp:posOffset>
            </wp:positionV>
            <wp:extent cx="59778" cy="6350"/>
            <wp:effectExtent l="0" t="0" r="0" b="0"/>
            <wp:wrapNone/>
            <wp:docPr id="335" name="image118.png"/>
            <wp:cNvGraphicFramePr>
              <a:graphicFrameLocks noChangeAspect="1"/>
            </wp:cNvGraphicFramePr>
            <a:graphic>
              <a:graphicData uri="http://schemas.openxmlformats.org/drawingml/2006/picture">
                <pic:pic>
                  <pic:nvPicPr>
                    <pic:cNvPr id="336" name="image118.png"/>
                    <pic:cNvPicPr/>
                  </pic:nvPicPr>
                  <pic:blipFill>
                    <a:blip r:embed="rId195"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177152">
            <wp:simplePos x="0" y="0"/>
            <wp:positionH relativeFrom="page">
              <wp:posOffset>2977260</wp:posOffset>
            </wp:positionH>
            <wp:positionV relativeFrom="paragraph">
              <wp:posOffset>47553</wp:posOffset>
            </wp:positionV>
            <wp:extent cx="59778" cy="6350"/>
            <wp:effectExtent l="0" t="0" r="0" b="0"/>
            <wp:wrapNone/>
            <wp:docPr id="337" name="image117.png"/>
            <wp:cNvGraphicFramePr>
              <a:graphicFrameLocks noChangeAspect="1"/>
            </wp:cNvGraphicFramePr>
            <a:graphic>
              <a:graphicData uri="http://schemas.openxmlformats.org/drawingml/2006/picture">
                <pic:pic>
                  <pic:nvPicPr>
                    <pic:cNvPr id="338" name="image117.png"/>
                    <pic:cNvPicPr/>
                  </pic:nvPicPr>
                  <pic:blipFill>
                    <a:blip r:embed="rId194" cstate="print"/>
                    <a:stretch>
                      <a:fillRect/>
                    </a:stretch>
                  </pic:blipFill>
                  <pic:spPr>
                    <a:xfrm>
                      <a:off x="0" y="0"/>
                      <a:ext cx="59778" cy="6350"/>
                    </a:xfrm>
                    <a:prstGeom prst="rect">
                      <a:avLst/>
                    </a:prstGeom>
                  </pic:spPr>
                </pic:pic>
              </a:graphicData>
            </a:graphic>
          </wp:anchor>
        </w:drawing>
      </w:r>
      <w:r>
        <w:rPr/>
        <w:drawing>
          <wp:anchor distT="0" distB="0" distL="0" distR="0" allowOverlap="1" layoutInCell="1" locked="0" behindDoc="0" simplePos="0" relativeHeight="16178176">
            <wp:simplePos x="0" y="0"/>
            <wp:positionH relativeFrom="page">
              <wp:posOffset>540346</wp:posOffset>
            </wp:positionH>
            <wp:positionV relativeFrom="paragraph">
              <wp:posOffset>47553</wp:posOffset>
            </wp:positionV>
            <wp:extent cx="59778" cy="6350"/>
            <wp:effectExtent l="0" t="0" r="0" b="0"/>
            <wp:wrapNone/>
            <wp:docPr id="339" name="image117.png"/>
            <wp:cNvGraphicFramePr>
              <a:graphicFrameLocks noChangeAspect="1"/>
            </wp:cNvGraphicFramePr>
            <a:graphic>
              <a:graphicData uri="http://schemas.openxmlformats.org/drawingml/2006/picture">
                <pic:pic>
                  <pic:nvPicPr>
                    <pic:cNvPr id="340" name="image117.png"/>
                    <pic:cNvPicPr/>
                  </pic:nvPicPr>
                  <pic:blipFill>
                    <a:blip r:embed="rId194" cstate="print"/>
                    <a:stretch>
                      <a:fillRect/>
                    </a:stretch>
                  </pic:blipFill>
                  <pic:spPr>
                    <a:xfrm>
                      <a:off x="0" y="0"/>
                      <a:ext cx="59778" cy="6350"/>
                    </a:xfrm>
                    <a:prstGeom prst="rect">
                      <a:avLst/>
                    </a:prstGeom>
                  </pic:spPr>
                </pic:pic>
              </a:graphicData>
            </a:graphic>
          </wp:anchor>
        </w:drawing>
      </w:r>
      <w:r>
        <w:rPr>
          <w:position w:val="1"/>
          <w:sz w:val="12"/>
        </w:rPr>
        <w:t>1</w:t>
        <w:tab/>
      </w:r>
      <w:r>
        <w:rPr>
          <w:sz w:val="12"/>
        </w:rPr>
        <w:t>1</w:t>
      </w:r>
    </w:p>
    <w:p>
      <w:pPr>
        <w:pStyle w:val="BodyText"/>
        <w:rPr>
          <w:sz w:val="20"/>
        </w:rPr>
      </w:pPr>
    </w:p>
    <w:p>
      <w:pPr>
        <w:spacing w:after="0"/>
        <w:rPr>
          <w:sz w:val="20"/>
        </w:rPr>
        <w:sectPr>
          <w:type w:val="continuous"/>
          <w:pgSz w:w="11900" w:h="16840"/>
          <w:pgMar w:top="1260" w:bottom="280" w:left="640" w:right="640"/>
        </w:sectPr>
      </w:pPr>
    </w:p>
    <w:p>
      <w:pPr>
        <w:pStyle w:val="BodyText"/>
        <w:rPr>
          <w:sz w:val="12"/>
        </w:rPr>
      </w:pPr>
    </w:p>
    <w:p>
      <w:pPr>
        <w:spacing w:line="117" w:lineRule="exact" w:before="90"/>
        <w:ind w:left="4191" w:right="0" w:firstLine="0"/>
        <w:jc w:val="left"/>
        <w:rPr>
          <w:sz w:val="12"/>
        </w:rPr>
      </w:pPr>
      <w:r>
        <w:rPr/>
        <w:drawing>
          <wp:anchor distT="0" distB="0" distL="0" distR="0" allowOverlap="1" layoutInCell="1" locked="0" behindDoc="0" simplePos="0" relativeHeight="16176640">
            <wp:simplePos x="0" y="0"/>
            <wp:positionH relativeFrom="page">
              <wp:posOffset>540346</wp:posOffset>
            </wp:positionH>
            <wp:positionV relativeFrom="paragraph">
              <wp:posOffset>36735</wp:posOffset>
            </wp:positionV>
            <wp:extent cx="2496693" cy="74904"/>
            <wp:effectExtent l="0" t="0" r="0" b="0"/>
            <wp:wrapNone/>
            <wp:docPr id="341" name="image119.png"/>
            <wp:cNvGraphicFramePr>
              <a:graphicFrameLocks noChangeAspect="1"/>
            </wp:cNvGraphicFramePr>
            <a:graphic>
              <a:graphicData uri="http://schemas.openxmlformats.org/drawingml/2006/picture">
                <pic:pic>
                  <pic:nvPicPr>
                    <pic:cNvPr id="342" name="image119.png"/>
                    <pic:cNvPicPr/>
                  </pic:nvPicPr>
                  <pic:blipFill>
                    <a:blip r:embed="rId196" cstate="print"/>
                    <a:stretch>
                      <a:fillRect/>
                    </a:stretch>
                  </pic:blipFill>
                  <pic:spPr>
                    <a:xfrm>
                      <a:off x="0" y="0"/>
                      <a:ext cx="2496693" cy="74904"/>
                    </a:xfrm>
                    <a:prstGeom prst="rect">
                      <a:avLst/>
                    </a:prstGeom>
                  </pic:spPr>
                </pic:pic>
              </a:graphicData>
            </a:graphic>
          </wp:anchor>
        </w:drawing>
      </w:r>
      <w:r>
        <w:rPr>
          <w:sz w:val="12"/>
        </w:rPr>
        <w:t>0</w:t>
      </w:r>
    </w:p>
    <w:p>
      <w:pPr>
        <w:tabs>
          <w:tab w:pos="1094" w:val="left" w:leader="none"/>
          <w:tab w:pos="1646" w:val="left" w:leader="none"/>
          <w:tab w:pos="2179" w:val="left" w:leader="none"/>
          <w:tab w:pos="2649" w:val="left" w:leader="none"/>
          <w:tab w:pos="3262" w:val="left" w:leader="none"/>
          <w:tab w:pos="3790" w:val="left" w:leader="none"/>
        </w:tabs>
        <w:spacing w:line="117" w:lineRule="exact" w:before="0"/>
        <w:ind w:left="495" w:right="0" w:firstLine="0"/>
        <w:jc w:val="left"/>
        <w:rPr>
          <w:sz w:val="12"/>
        </w:rPr>
      </w:pPr>
      <w:r>
        <w:rPr>
          <w:sz w:val="12"/>
        </w:rPr>
        <w:t>1996</w:t>
        <w:tab/>
        <w:t>97</w:t>
        <w:tab/>
        <w:t>98</w:t>
        <w:tab/>
        <w:t>99</w:t>
        <w:tab/>
        <w:t>2000</w:t>
        <w:tab/>
        <w:t>01</w:t>
        <w:tab/>
        <w:t>02</w:t>
      </w:r>
    </w:p>
    <w:p>
      <w:pPr>
        <w:pStyle w:val="BodyText"/>
        <w:spacing w:before="2"/>
        <w:rPr>
          <w:sz w:val="21"/>
        </w:rPr>
      </w:pPr>
      <w:r>
        <w:rPr/>
        <w:br w:type="column"/>
      </w:r>
      <w:r>
        <w:rPr>
          <w:sz w:val="21"/>
        </w:rPr>
      </w:r>
    </w:p>
    <w:p>
      <w:pPr>
        <w:tabs>
          <w:tab w:pos="1114" w:val="left" w:leader="none"/>
          <w:tab w:pos="1686" w:val="left" w:leader="none"/>
          <w:tab w:pos="2259" w:val="left" w:leader="none"/>
          <w:tab w:pos="2789" w:val="left" w:leader="none"/>
          <w:tab w:pos="3362" w:val="left" w:leader="none"/>
          <w:tab w:pos="3850" w:val="left" w:leader="none"/>
          <w:tab w:pos="4201" w:val="left" w:leader="none"/>
        </w:tabs>
        <w:spacing w:before="0"/>
        <w:ind w:left="515" w:right="0" w:firstLine="0"/>
        <w:jc w:val="left"/>
        <w:rPr>
          <w:sz w:val="12"/>
        </w:rPr>
      </w:pPr>
      <w:r>
        <w:rPr>
          <w:sz w:val="12"/>
        </w:rPr>
        <w:t>1996</w:t>
        <w:tab/>
        <w:t>97</w:t>
        <w:tab/>
        <w:t>98</w:t>
        <w:tab/>
        <w:t>99</w:t>
        <w:tab/>
        <w:t>2000</w:t>
        <w:tab/>
        <w:t>01</w:t>
        <w:tab/>
        <w:t>02</w:t>
        <w:tab/>
      </w:r>
      <w:r>
        <w:rPr>
          <w:position w:val="8"/>
          <w:sz w:val="12"/>
        </w:rPr>
        <w:t>0</w:t>
      </w:r>
    </w:p>
    <w:p>
      <w:pPr>
        <w:spacing w:after="0"/>
        <w:jc w:val="left"/>
        <w:rPr>
          <w:sz w:val="12"/>
        </w:rPr>
        <w:sectPr>
          <w:type w:val="continuous"/>
          <w:pgSz w:w="11900" w:h="16840"/>
          <w:pgMar w:top="1260" w:bottom="280" w:left="640" w:right="640"/>
          <w:cols w:num="2" w:equalWidth="0">
            <w:col w:w="4292" w:space="518"/>
            <w:col w:w="5810"/>
          </w:cols>
        </w:sectPr>
      </w:pPr>
    </w:p>
    <w:p>
      <w:pPr>
        <w:pStyle w:val="BodyText"/>
        <w:spacing w:before="9"/>
        <w:rPr>
          <w:sz w:val="20"/>
        </w:rPr>
      </w:pPr>
    </w:p>
    <w:p>
      <w:pPr>
        <w:spacing w:line="208" w:lineRule="auto" w:before="113"/>
        <w:ind w:left="174" w:right="233" w:firstLine="0"/>
        <w:jc w:val="left"/>
        <w:rPr>
          <w:sz w:val="16"/>
        </w:rPr>
      </w:pPr>
      <w:r>
        <w:rPr>
          <w:sz w:val="16"/>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covers 10% of the probability. Each successive pair of bands is drawn to cover a further 10% of the probability, until 90% of the probability distribution is covered. The bands widen as the time horizon is extended, indicating increasing uncertainty about outcomes. See the box ‘How fan charts are drawn’ on page 52 of the February 1999 </w:t>
      </w:r>
      <w:r>
        <w:rPr>
          <w:i/>
          <w:sz w:val="16"/>
        </w:rPr>
        <w:t>Inflation Report</w:t>
      </w:r>
      <w:r>
        <w:rPr>
          <w:sz w:val="16"/>
        </w:rPr>
        <w:t>.</w:t>
      </w:r>
    </w:p>
    <w:p>
      <w:pPr>
        <w:pStyle w:val="BodyText"/>
        <w:rPr>
          <w:sz w:val="20"/>
        </w:rPr>
      </w:pPr>
    </w:p>
    <w:p>
      <w:pPr>
        <w:pStyle w:val="BodyText"/>
        <w:spacing w:before="9"/>
        <w:rPr>
          <w:sz w:val="25"/>
        </w:rPr>
      </w:pPr>
    </w:p>
    <w:p>
      <w:pPr>
        <w:pStyle w:val="BodyText"/>
        <w:spacing w:line="242" w:lineRule="auto" w:before="90"/>
        <w:ind w:left="4974" w:right="215" w:hanging="1"/>
      </w:pPr>
      <w:r>
        <w:rPr/>
        <w:t>at 6%, is illustrated in Chart 6.2.</w:t>
      </w:r>
      <w:r>
        <w:rPr>
          <w:position w:val="5"/>
          <w:sz w:val="16"/>
        </w:rPr>
        <w:t>(1) </w:t>
      </w:r>
      <w:r>
        <w:rPr/>
        <w:t>It is presented alongside the projection from the August </w:t>
      </w:r>
      <w:r>
        <w:rPr>
          <w:i/>
        </w:rPr>
        <w:t>Report</w:t>
      </w:r>
      <w:r>
        <w:rPr/>
        <w:t>, which was also based on the assumption of constant interest rates at 6% (see Chart 6.3).</w:t>
      </w:r>
    </w:p>
    <w:p>
      <w:pPr>
        <w:pStyle w:val="BodyText"/>
        <w:spacing w:before="3"/>
        <w:rPr>
          <w:sz w:val="28"/>
        </w:rPr>
      </w:pPr>
    </w:p>
    <w:p>
      <w:pPr>
        <w:pStyle w:val="BodyText"/>
        <w:spacing w:line="242" w:lineRule="auto"/>
        <w:ind w:left="4974" w:right="169"/>
      </w:pPr>
      <w:r>
        <w:rPr/>
        <w:t>After a temporary spike in the coming months as the impact of higher oil prices feeds through, the broad picture remains of a gradual rise in inflation </w:t>
      </w:r>
      <w:r>
        <w:rPr>
          <w:spacing w:val="-3"/>
        </w:rPr>
        <w:t>over </w:t>
      </w:r>
      <w:r>
        <w:rPr/>
        <w:t>the next two years. The most likely outcome is that inflation will increase from just below the target at present, to around the target after two years. Inflation edges up because of the recent intensification of pressures in labour markets and on domestic supply </w:t>
      </w:r>
      <w:r>
        <w:rPr>
          <w:spacing w:val="-3"/>
        </w:rPr>
        <w:t>capacity. </w:t>
      </w:r>
      <w:r>
        <w:rPr/>
        <w:t>Over the next twelve to eighteen months this pressure is offset by: adjustments to reflect a stronger supply-side performance; weaker import price inflation, reflecting the appreciation of the exchange rate and the compression</w:t>
      </w:r>
      <w:r>
        <w:rPr>
          <w:spacing w:val="-7"/>
        </w:rPr>
        <w:t> </w:t>
      </w:r>
      <w:r>
        <w:rPr/>
        <w:t>of</w:t>
      </w:r>
      <w:r>
        <w:rPr>
          <w:spacing w:val="-6"/>
        </w:rPr>
        <w:t> </w:t>
      </w:r>
      <w:r>
        <w:rPr/>
        <w:t>importers’</w:t>
      </w:r>
      <w:r>
        <w:rPr>
          <w:spacing w:val="-21"/>
        </w:rPr>
        <w:t> </w:t>
      </w:r>
      <w:r>
        <w:rPr/>
        <w:t>margins</w:t>
      </w:r>
      <w:r>
        <w:rPr>
          <w:spacing w:val="-6"/>
        </w:rPr>
        <w:t> </w:t>
      </w:r>
      <w:r>
        <w:rPr/>
        <w:t>on</w:t>
      </w:r>
      <w:r>
        <w:rPr>
          <w:spacing w:val="-6"/>
        </w:rPr>
        <w:t> </w:t>
      </w:r>
      <w:r>
        <w:rPr/>
        <w:t>sales</w:t>
      </w:r>
      <w:r>
        <w:rPr>
          <w:spacing w:val="-6"/>
        </w:rPr>
        <w:t> </w:t>
      </w:r>
      <w:r>
        <w:rPr/>
        <w:t>to</w:t>
      </w:r>
      <w:r>
        <w:rPr>
          <w:spacing w:val="-6"/>
        </w:rPr>
        <w:t> </w:t>
      </w:r>
      <w:r>
        <w:rPr/>
        <w:t>the</w:t>
      </w:r>
      <w:r>
        <w:rPr>
          <w:spacing w:val="-6"/>
        </w:rPr>
        <w:t> </w:t>
      </w:r>
      <w:r>
        <w:rPr/>
        <w:t>United Kingdom; falling oil prices once the near-term impulse has passed through;  and the temporary effect on inflation from the freeze in fuel</w:t>
      </w:r>
      <w:r>
        <w:rPr>
          <w:spacing w:val="-10"/>
        </w:rPr>
        <w:t> </w:t>
      </w:r>
      <w:r>
        <w:rPr>
          <w:spacing w:val="-4"/>
        </w:rPr>
        <w:t>duty.</w:t>
      </w:r>
    </w:p>
    <w:p>
      <w:pPr>
        <w:pStyle w:val="BodyText"/>
        <w:spacing w:before="9"/>
        <w:rPr>
          <w:sz w:val="27"/>
        </w:rPr>
      </w:pPr>
    </w:p>
    <w:p>
      <w:pPr>
        <w:pStyle w:val="BodyText"/>
        <w:spacing w:line="242" w:lineRule="auto" w:before="1"/>
        <w:ind w:left="4974" w:right="134"/>
      </w:pPr>
      <w:r>
        <w:rPr/>
        <w:t>The profile for inflation is softer than in the August projection, although the latest assessment is that pressures may be continuing to build at the two-year horizon, in contrast to expectations three months ago. The main downside influences on inflation relative to the</w:t>
      </w:r>
    </w:p>
    <w:p>
      <w:pPr>
        <w:pStyle w:val="BodyText"/>
        <w:spacing w:before="5"/>
        <w:rPr>
          <w:sz w:val="11"/>
        </w:rPr>
      </w:pPr>
      <w:r>
        <w:rPr/>
        <w:pict>
          <v:shape style="position:absolute;margin-left:279pt;margin-top:8.632618pt;width:277.5pt;height:.1pt;mso-position-horizontal-relative:page;mso-position-vertical-relative:paragraph;z-index:-15284736;mso-wrap-distance-left:0;mso-wrap-distance-right:0" coordorigin="5580,173" coordsize="5550,0" path="m5580,173l11130,173e" filled="false" stroked="true" strokeweight=".125pt" strokecolor="#000000">
            <v:path arrowok="t"/>
            <v:stroke dashstyle="solid"/>
            <w10:wrap type="topAndBottom"/>
          </v:shape>
        </w:pict>
      </w:r>
    </w:p>
    <w:p>
      <w:pPr>
        <w:spacing w:line="208" w:lineRule="auto" w:before="8"/>
        <w:ind w:left="5179" w:right="91" w:hanging="200"/>
        <w:jc w:val="left"/>
        <w:rPr>
          <w:sz w:val="16"/>
        </w:rPr>
      </w:pPr>
      <w:r>
        <w:rPr>
          <w:sz w:val="16"/>
        </w:rPr>
        <w:t>(1)Also shown as Chart 2 in the Overview. An alternative projection based on the assumption that official rates follow market interest rate expectations is available on the Bank’s web site at </w:t>
      </w:r>
      <w:hyperlink r:id="rId186">
        <w:r>
          <w:rPr>
            <w:color w:val="FF0000"/>
            <w:sz w:val="16"/>
          </w:rPr>
          <w:t>www.bankofengland.co.uk/inflationreport/mark0004.htm</w:t>
        </w:r>
      </w:hyperlink>
      <w:r>
        <w:rPr>
          <w:sz w:val="16"/>
        </w:rPr>
        <w:t> and on request from Publications Group.</w:t>
      </w:r>
    </w:p>
    <w:p>
      <w:pPr>
        <w:spacing w:after="0" w:line="208" w:lineRule="auto"/>
        <w:jc w:val="left"/>
        <w:rPr>
          <w:sz w:val="16"/>
        </w:rPr>
        <w:sectPr>
          <w:type w:val="continuous"/>
          <w:pgSz w:w="11900" w:h="16840"/>
          <w:pgMar w:top="1260" w:bottom="280" w:left="640" w:right="640"/>
        </w:sectPr>
      </w:pPr>
    </w:p>
    <w:p>
      <w:pPr>
        <w:pStyle w:val="BodyText"/>
        <w:rPr>
          <w:sz w:val="20"/>
        </w:rPr>
      </w:pPr>
    </w:p>
    <w:p>
      <w:pPr>
        <w:pStyle w:val="BodyText"/>
        <w:spacing w:line="242" w:lineRule="auto" w:before="222"/>
        <w:ind w:left="4979" w:right="123"/>
      </w:pPr>
      <w:r>
        <w:rPr/>
        <w:t>August </w:t>
      </w:r>
      <w:r>
        <w:rPr>
          <w:i/>
        </w:rPr>
        <w:t>Report </w:t>
      </w:r>
      <w:r>
        <w:rPr/>
        <w:t>are the weaker outlook for earnings, reflecting both lower-than-expected nominal outcomes and the assumptions of a lower sustainable unemployment rate and higher labour force participation, as well as the higher exchange rate profile. These effects outweigh the principal upside influences of a stronger outlook for consumer spending and a higher path for oil prices.</w:t>
      </w:r>
    </w:p>
    <w:p>
      <w:pPr>
        <w:pStyle w:val="BodyText"/>
        <w:spacing w:before="5"/>
        <w:rPr>
          <w:sz w:val="30"/>
        </w:rPr>
      </w:pPr>
    </w:p>
    <w:p>
      <w:pPr>
        <w:pStyle w:val="BodyText"/>
        <w:spacing w:line="242" w:lineRule="auto"/>
        <w:ind w:left="4979" w:right="242"/>
      </w:pPr>
      <w:r>
        <w:rPr/>
        <w:t>The fan charts provide an illustration of the uncertainty surrounding the outlook for inflation and output growth and of whether the balance of risks around the most likely outcome is weighted to the upside or the downside. The latest assessment is that risks around the central projection for output growth are weighted slightly to the downside, while the risks to inflation are broadly balanced. The main downside risk to activity is that the global economic environment is less benign, with</w:t>
      </w:r>
      <w:r>
        <w:rPr>
          <w:spacing w:val="-8"/>
        </w:rPr>
        <w:t> </w:t>
      </w:r>
      <w:r>
        <w:rPr/>
        <w:t>a</w:t>
      </w:r>
      <w:r>
        <w:rPr>
          <w:spacing w:val="-7"/>
        </w:rPr>
        <w:t> </w:t>
      </w:r>
      <w:r>
        <w:rPr/>
        <w:t>sharper</w:t>
      </w:r>
      <w:r>
        <w:rPr>
          <w:spacing w:val="-7"/>
        </w:rPr>
        <w:t> </w:t>
      </w:r>
      <w:r>
        <w:rPr/>
        <w:t>slowdown</w:t>
      </w:r>
      <w:r>
        <w:rPr>
          <w:spacing w:val="-7"/>
        </w:rPr>
        <w:t> </w:t>
      </w:r>
      <w:r>
        <w:rPr/>
        <w:t>in</w:t>
      </w:r>
      <w:r>
        <w:rPr>
          <w:spacing w:val="-7"/>
        </w:rPr>
        <w:t> </w:t>
      </w:r>
      <w:r>
        <w:rPr/>
        <w:t>world</w:t>
      </w:r>
      <w:r>
        <w:rPr>
          <w:spacing w:val="-8"/>
        </w:rPr>
        <w:t> </w:t>
      </w:r>
      <w:r>
        <w:rPr/>
        <w:t>activity</w:t>
      </w:r>
      <w:r>
        <w:rPr>
          <w:spacing w:val="-7"/>
        </w:rPr>
        <w:t> </w:t>
      </w:r>
      <w:r>
        <w:rPr/>
        <w:t>than</w:t>
      </w:r>
      <w:r>
        <w:rPr>
          <w:spacing w:val="-7"/>
        </w:rPr>
        <w:t> </w:t>
      </w:r>
      <w:r>
        <w:rPr/>
        <w:t>assumed in the central projection. </w:t>
      </w:r>
      <w:r>
        <w:rPr>
          <w:spacing w:val="-5"/>
        </w:rPr>
        <w:t>Weaker </w:t>
      </w:r>
      <w:r>
        <w:rPr/>
        <w:t>world demand would reduce the demand for UK exports and would lower global inflationary pressures: under such a scenario asset prices would also tend to fall, which could </w:t>
      </w:r>
      <w:r>
        <w:rPr>
          <w:spacing w:val="-3"/>
        </w:rPr>
        <w:t>have </w:t>
      </w:r>
      <w:r>
        <w:rPr/>
        <w:t>additional effects on domestic demand. The downside impact on inflation from this risk is counterbalanced by the upside risk from the possibility of a more rapid depreciation of sterling than in the central case. Such a depreciation would stimulate export demand and reduce imports, but the effect on UK output is outweighed by the downside risk of weaker global</w:t>
      </w:r>
      <w:r>
        <w:rPr>
          <w:spacing w:val="-16"/>
        </w:rPr>
        <w:t> </w:t>
      </w:r>
      <w:r>
        <w:rPr/>
        <w:t>growth.</w:t>
      </w:r>
    </w:p>
    <w:p>
      <w:pPr>
        <w:pStyle w:val="BodyText"/>
        <w:spacing w:before="10"/>
        <w:rPr>
          <w:sz w:val="31"/>
        </w:rPr>
      </w:pPr>
    </w:p>
    <w:p>
      <w:pPr>
        <w:pStyle w:val="BodyText"/>
        <w:spacing w:line="242" w:lineRule="auto"/>
        <w:ind w:left="4979" w:right="142"/>
      </w:pPr>
      <w:r>
        <w:rPr/>
        <w:t>Although overall risks are broadly balanced, the Committee considers that the range of overall uncertainty surrounding output growth and inflation prospects has increased. The estimate of the </w:t>
      </w:r>
      <w:r>
        <w:rPr>
          <w:spacing w:val="-3"/>
        </w:rPr>
        <w:t>level </w:t>
      </w:r>
      <w:r>
        <w:rPr/>
        <w:t>of uncertainty</w:t>
      </w:r>
      <w:r>
        <w:rPr>
          <w:spacing w:val="-6"/>
        </w:rPr>
        <w:t> </w:t>
      </w:r>
      <w:r>
        <w:rPr/>
        <w:t>shown</w:t>
      </w:r>
      <w:r>
        <w:rPr>
          <w:spacing w:val="-5"/>
        </w:rPr>
        <w:t> </w:t>
      </w:r>
      <w:r>
        <w:rPr/>
        <w:t>in</w:t>
      </w:r>
      <w:r>
        <w:rPr>
          <w:spacing w:val="-5"/>
        </w:rPr>
        <w:t> </w:t>
      </w:r>
      <w:r>
        <w:rPr/>
        <w:t>the</w:t>
      </w:r>
      <w:r>
        <w:rPr>
          <w:spacing w:val="-5"/>
        </w:rPr>
        <w:t> </w:t>
      </w:r>
      <w:r>
        <w:rPr/>
        <w:t>fan</w:t>
      </w:r>
      <w:r>
        <w:rPr>
          <w:spacing w:val="-5"/>
        </w:rPr>
        <w:t> </w:t>
      </w:r>
      <w:r>
        <w:rPr/>
        <w:t>charts</w:t>
      </w:r>
      <w:r>
        <w:rPr>
          <w:spacing w:val="-5"/>
        </w:rPr>
        <w:t> </w:t>
      </w:r>
      <w:r>
        <w:rPr/>
        <w:t>is</w:t>
      </w:r>
      <w:r>
        <w:rPr>
          <w:spacing w:val="-6"/>
        </w:rPr>
        <w:t> </w:t>
      </w:r>
      <w:r>
        <w:rPr/>
        <w:t>based</w:t>
      </w:r>
      <w:r>
        <w:rPr>
          <w:spacing w:val="-5"/>
        </w:rPr>
        <w:t> </w:t>
      </w:r>
      <w:r>
        <w:rPr/>
        <w:t>on</w:t>
      </w:r>
      <w:r>
        <w:rPr>
          <w:spacing w:val="-5"/>
        </w:rPr>
        <w:t> </w:t>
      </w:r>
      <w:r>
        <w:rPr/>
        <w:t>a</w:t>
      </w:r>
      <w:r>
        <w:rPr>
          <w:spacing w:val="-5"/>
        </w:rPr>
        <w:t> </w:t>
      </w:r>
      <w:r>
        <w:rPr/>
        <w:t>ten-year rolling window of average forecast errors.  As forecasting errors in recent years </w:t>
      </w:r>
      <w:r>
        <w:rPr>
          <w:spacing w:val="-3"/>
        </w:rPr>
        <w:t>have </w:t>
      </w:r>
      <w:r>
        <w:rPr/>
        <w:t>tended to be lower than </w:t>
      </w:r>
      <w:r>
        <w:rPr>
          <w:spacing w:val="-3"/>
        </w:rPr>
        <w:t>previously, </w:t>
      </w:r>
      <w:r>
        <w:rPr/>
        <w:t>the variance of the fan chart has tended to narrow in successive projections. The Committee decided that this approach is tending to underestimate the current degree of </w:t>
      </w:r>
      <w:r>
        <w:rPr>
          <w:spacing w:val="-3"/>
        </w:rPr>
        <w:t>uncertainty, </w:t>
      </w:r>
      <w:r>
        <w:rPr/>
        <w:t>and consequently agreed to increase the estimated variance to the </w:t>
      </w:r>
      <w:r>
        <w:rPr>
          <w:spacing w:val="-3"/>
        </w:rPr>
        <w:t>level </w:t>
      </w:r>
      <w:r>
        <w:rPr/>
        <w:t>prevailing a year ago in the August 1999</w:t>
      </w:r>
      <w:r>
        <w:rPr>
          <w:spacing w:val="-41"/>
        </w:rPr>
        <w:t> </w:t>
      </w:r>
      <w:r>
        <w:rPr/>
        <w:t>projection.</w:t>
      </w:r>
    </w:p>
    <w:p>
      <w:pPr>
        <w:pStyle w:val="BodyText"/>
        <w:spacing w:line="242" w:lineRule="auto" w:before="17"/>
        <w:ind w:left="4979" w:right="290"/>
      </w:pPr>
      <w:r>
        <w:rPr/>
        <w:t>Using the updated estimate of uncertainty, Chart 6.4 shows the overall balance of risks to inflation at the two-year horizon. Chart 6.5 shows the corresponding balance from the August </w:t>
      </w:r>
      <w:r>
        <w:rPr>
          <w:i/>
        </w:rPr>
        <w:t>Report</w:t>
      </w:r>
      <w:r>
        <w:rPr/>
        <w:t>. The Committee’s best collective judgment of the probabilities of various outcomes for inflation and GDP growth are shown in Table 6.A.</w:t>
      </w:r>
    </w:p>
    <w:p>
      <w:pPr>
        <w:spacing w:after="0" w:line="242" w:lineRule="auto"/>
        <w:sectPr>
          <w:pgSz w:w="11900" w:h="16840"/>
          <w:pgMar w:header="601" w:footer="612" w:top="800" w:bottom="800" w:left="640" w:right="640"/>
        </w:sectPr>
      </w:pPr>
    </w:p>
    <w:p>
      <w:pPr>
        <w:spacing w:line="249" w:lineRule="auto" w:before="10"/>
        <w:ind w:left="184" w:right="0" w:firstLine="0"/>
        <w:jc w:val="left"/>
        <w:rPr>
          <w:b/>
          <w:sz w:val="20"/>
        </w:rPr>
      </w:pPr>
      <w:r>
        <w:rPr>
          <w:b/>
          <w:color w:val="0092C7"/>
          <w:sz w:val="20"/>
        </w:rPr>
        <w:t>Current projection for the percentage increase in RPIX in the year to 2002 Q4</w:t>
      </w:r>
    </w:p>
    <w:p>
      <w:pPr>
        <w:spacing w:before="137"/>
        <w:ind w:left="0" w:right="38" w:firstLine="0"/>
        <w:jc w:val="right"/>
        <w:rPr>
          <w:sz w:val="12"/>
        </w:rPr>
      </w:pPr>
      <w:r>
        <w:rPr/>
        <w:pict>
          <v:line style="position:absolute;mso-position-horizontal-relative:page;mso-position-vertical-relative:paragraph;z-index:16188928" from="47.053001pt,14.627556pt" to="42.721001pt,14.627556pt" stroked="true" strokeweight=".5pt" strokecolor="#000000">
            <v:stroke dashstyle="solid"/>
            <w10:wrap type="none"/>
          </v:line>
        </w:pict>
      </w:r>
      <w:r>
        <w:rPr>
          <w:sz w:val="12"/>
        </w:rPr>
        <w:t>Probability, per cent (</w:t>
      </w:r>
      <w:r>
        <w:rPr>
          <w:sz w:val="12"/>
          <w:u w:val="single"/>
        </w:rPr>
        <w:t>a)</w:t>
      </w:r>
      <w:r>
        <w:rPr>
          <w:sz w:val="12"/>
        </w:rPr>
        <w:t> </w:t>
      </w:r>
      <w:r>
        <w:rPr>
          <w:position w:val="-8"/>
          <w:sz w:val="12"/>
        </w:rPr>
        <w:t>6</w:t>
      </w:r>
    </w:p>
    <w:p>
      <w:pPr>
        <w:spacing w:line="249" w:lineRule="auto" w:before="10"/>
        <w:ind w:left="184" w:right="1594" w:firstLine="0"/>
        <w:jc w:val="left"/>
        <w:rPr>
          <w:b/>
          <w:sz w:val="20"/>
        </w:rPr>
      </w:pPr>
      <w:r>
        <w:rPr/>
        <w:br w:type="column"/>
      </w:r>
      <w:r>
        <w:rPr>
          <w:b/>
          <w:color w:val="0092C7"/>
          <w:sz w:val="20"/>
        </w:rPr>
        <w:t>August projection for the percentage increase in RPIX in the year to 2002 Q3</w:t>
      </w:r>
    </w:p>
    <w:p>
      <w:pPr>
        <w:spacing w:before="157"/>
        <w:ind w:left="3013" w:right="0" w:firstLine="0"/>
        <w:jc w:val="left"/>
        <w:rPr>
          <w:sz w:val="12"/>
        </w:rPr>
      </w:pPr>
      <w:r>
        <w:rPr/>
        <w:pict>
          <v:line style="position:absolute;mso-position-horizontal-relative:page;mso-position-vertical-relative:paragraph;z-index:16183808" from="287.223008pt,15.998574pt" to="282.889008pt,15.998574pt" stroked="true" strokeweight=".5pt" strokecolor="#000000">
            <v:stroke dashstyle="solid"/>
            <w10:wrap type="none"/>
          </v:line>
        </w:pict>
      </w:r>
      <w:r>
        <w:rPr/>
        <w:pict>
          <v:line style="position:absolute;mso-position-horizontal-relative:page;mso-position-vertical-relative:paragraph;z-index:-22468608" from="479.28801pt,16.155575pt" to="474.95401pt,16.155575pt" stroked="true" strokeweight=".5pt" strokecolor="#000000">
            <v:stroke dashstyle="solid"/>
            <w10:wrap type="none"/>
          </v:line>
        </w:pict>
      </w:r>
      <w:r>
        <w:rPr>
          <w:sz w:val="12"/>
        </w:rPr>
        <w:t>Probability, per cent (a) </w:t>
      </w:r>
      <w:r>
        <w:rPr>
          <w:position w:val="-8"/>
          <w:sz w:val="12"/>
        </w:rPr>
        <w:t>6</w:t>
      </w:r>
    </w:p>
    <w:p>
      <w:pPr>
        <w:spacing w:after="0"/>
        <w:jc w:val="left"/>
        <w:rPr>
          <w:sz w:val="12"/>
        </w:rPr>
        <w:sectPr>
          <w:headerReference w:type="even" r:id="rId197"/>
          <w:headerReference w:type="default" r:id="rId198"/>
          <w:footerReference w:type="even" r:id="rId199"/>
          <w:footerReference w:type="default" r:id="rId200"/>
          <w:pgSz w:w="11900" w:h="16840"/>
          <w:pgMar w:header="609" w:footer="592" w:top="1480" w:bottom="780" w:left="640" w:right="640"/>
          <w:pgNumType w:start="66"/>
          <w:cols w:num="2" w:equalWidth="0">
            <w:col w:w="4302" w:space="499"/>
            <w:col w:w="5819"/>
          </w:cols>
        </w:sectPr>
      </w:pPr>
    </w:p>
    <w:p>
      <w:pPr>
        <w:pStyle w:val="BodyText"/>
        <w:spacing w:before="6"/>
        <w:rPr>
          <w:sz w:val="19"/>
        </w:rPr>
      </w:pPr>
    </w:p>
    <w:p>
      <w:pPr>
        <w:tabs>
          <w:tab w:pos="8998" w:val="left" w:leader="none"/>
        </w:tabs>
        <w:spacing w:before="98"/>
        <w:ind w:left="4201" w:right="0" w:firstLine="0"/>
        <w:jc w:val="left"/>
        <w:rPr>
          <w:sz w:val="12"/>
        </w:rPr>
      </w:pPr>
      <w:r>
        <w:rPr/>
        <w:pict>
          <v:group style="position:absolute;margin-left:291.02301pt;margin-top:-.953233pt;width:188.3pt;height:132.7pt;mso-position-horizontal-relative:page;mso-position-vertical-relative:paragraph;z-index:-22472704" coordorigin="5820,-19" coordsize="3766,2654">
            <v:shape style="position:absolute;left:7065;top:-5;width:1242;height:2576" coordorigin="7066,-5" coordsize="1242,2576" path="m7738,-5l7635,88,7584,192,7531,323,7479,485,7428,661,7375,851,7325,1043,7275,1240,7171,1601,7119,1763,7066,1908,7072,1907,7072,2571,8307,2571,8307,1871,8307,1853,8254,1673,8203,1471,8151,1250,8098,1019,8050,789,7997,568,7944,371,7894,204,7841,83,7788,12,7738,-5xe" filled="true" fillcolor="#ededed" stroked="false">
              <v:path arrowok="t"/>
              <v:fill type="solid"/>
            </v:shape>
            <v:line style="position:absolute" from="5830,2567" to="9442,2569" stroked="true" strokeweight=".5pt" strokecolor="#000000">
              <v:stroke dashstyle="solid"/>
            </v:line>
            <v:line style="position:absolute" from="5820,2568" to="5888,2568" stroked="true" strokeweight="1.119pt" strokecolor="#de0035">
              <v:stroke dashstyle="solid"/>
            </v:line>
            <v:shape style="position:absolute;left:6190;top:-10;width:2996;height:2578" coordorigin="6190,-9" coordsize="2996,2578" path="m6190,2567l6243,2564,6291,2562,6344,2559,6397,2555,6447,2550,6500,2540,6553,2526,6603,2512,6654,2490,6706,2460,6757,2422,6810,2372,6862,2312,6913,2234,6966,2141,7016,2032,7066,1904,7119,1759,7172,1597,7222,1421,7275,1236,7326,1039,7376,846,7429,656,7479,480,7532,319,7585,188,7635,84,7688,17,7738,-9,7789,8,7842,79,7894,200,7945,366,7998,564,8050,785,8098,1015,8151,1245,8204,1466,8254,1668,8307,1849,8360,2008,8410,2141,8463,2248,8514,2334,8564,2400,8617,2450,8670,2488,8720,2514,8773,2531,8826,2545,8874,2552,8926,2559,8979,2562,9030,2564,9082,2567m9082,2564l9133,2567,9186,2569e" filled="false" stroked="true" strokeweight="1pt" strokecolor="#de0035">
              <v:path arrowok="t"/>
              <v:stroke dashstyle="solid"/>
            </v:shape>
            <v:shape style="position:absolute;left:9175;top:2567;width:277;height:2" coordorigin="9176,2568" coordsize="277,0" path="m9176,2568l9246,2568m9226,2568l9296,2568m9276,2568l9349,2568m9329,2568l9402,2568m9382,2568l9452,2568e" filled="false" stroked="true" strokeweight="1.119pt" strokecolor="#de0035">
              <v:path arrowok="t"/>
              <v:stroke dashstyle="solid"/>
            </v:shape>
            <v:shape style="position:absolute;left:5834;top:185;width:3752;height:2449" coordorigin="5834,186" coordsize="3752,2449" path="m5834,2581l5834,2634m6341,2568l6341,2620m6868,2574l6868,2627m9586,186l9499,186m9586,665l9499,665m9586,1137l9499,1137m9586,1617l9499,1617m9586,2094l9499,2094m9586,2573l9499,2573m7379,2577l7379,2630m7886,2564l7886,2616m8413,2570l8413,2623m8930,2577l8930,2630m9436,2577l9436,2630e" filled="false" stroked="true" strokeweight=".5pt" strokecolor="#000000">
              <v:path arrowok="t"/>
              <v:stroke dashstyle="solid"/>
            </v:shape>
            <v:line style="position:absolute" from="8486,675" to="7863,1171" stroked="true" strokeweight=".5pt" strokecolor="#000000">
              <v:stroke dashstyle="solid"/>
            </v:line>
            <v:shape style="position:absolute;left:7796;top:1132;width:103;height:93" coordorigin="7796,1132" coordsize="103,93" path="m7861,1132l7822,1193,7796,1224,7806,1219,7862,1195,7899,1184,7861,1132xe" filled="true" fillcolor="#000000" stroked="false">
              <v:path arrowok="t"/>
              <v:fill type="solid"/>
            </v:shape>
            <w10:wrap type="none"/>
          </v:group>
        </w:pict>
      </w:r>
      <w:r>
        <w:rPr/>
        <w:pict>
          <v:line style="position:absolute;mso-position-horizontal-relative:page;mso-position-vertical-relative:paragraph;z-index:-22472192" from="287.223008pt,9.137767pt" to="282.889008pt,9.137767pt" stroked="true" strokeweight=".5pt" strokecolor="#000000">
            <v:stroke dashstyle="solid"/>
            <w10:wrap type="none"/>
          </v:line>
        </w:pict>
      </w:r>
      <w:r>
        <w:rPr/>
        <w:pict>
          <v:group style="position:absolute;margin-left:50.720001pt;margin-top:7.867766pt;width:188.35pt;height:122.6pt;mso-position-horizontal-relative:page;mso-position-vertical-relative:paragraph;z-index:16185344" coordorigin="1014,157" coordsize="3767,2452">
            <v:shape style="position:absolute;left:2163;top:224;width:1379;height:2335" coordorigin="2163,224" coordsize="1379,2335" path="m2843,224l2767,270,2714,337,2663,437,2639,497,2615,562,2587,631,2563,705,2536,782,2483,950,2459,1036,2435,1119,2383,1292,2356,1376,2332,1459,2303,1538,2279,1617,2255,1694,2229,1766,2205,1835,2176,1900,2163,1933,2167,1936,2164,2554,3539,2559,3542,1942,3537,1943,3511,1881,3484,1814,3460,1742,3434,1670,3381,1517,3357,1433,3331,1349,3307,1263,3280,1179,3254,1091,3230,1007,3201,923,3177,839,3151,760,3103,607,3074,540,3050,476,3023,418,2997,368,2971,327,2947,289,2923,260,2894,239,2870,229,2843,224xe" filled="true" fillcolor="#ededed" stroked="false">
              <v:path arrowok="t"/>
              <v:fill type="solid"/>
            </v:shape>
            <v:shape style="position:absolute;left:1022;top:2554;width:3594;height:55" coordorigin="1022,2554" coordsize="3594,55" path="m1022,2554l4616,2554m1027,2556l1027,2609m1539,2556l1539,2609m2052,2556l2052,2609m2565,2556l2565,2609m3078,2556l3078,2609m3591,2556l3591,2609m4103,2556l4103,2609m4616,2556l4616,2609e" filled="false" stroked="true" strokeweight=".5pt" strokecolor="#000000">
              <v:path arrowok="t"/>
              <v:stroke dashstyle="solid"/>
            </v:shape>
            <v:line style="position:absolute" from="1024,2555" to="1048,2558" stroked="true" strokeweight="1pt" strokecolor="#de0035">
              <v:stroke dashstyle="solid"/>
            </v:line>
            <v:line style="position:absolute" from="1038,2556" to="1085,2556" stroked="true" strokeweight="1.120pt" strokecolor="#de0035">
              <v:stroke dashstyle="solid"/>
            </v:line>
            <v:line style="position:absolute" from="1075,2555" to="1099,2558" stroked="true" strokeweight="1pt" strokecolor="#de0035">
              <v:stroke dashstyle="solid"/>
            </v:line>
            <v:line style="position:absolute" from="1089,2556" to="1138,2556" stroked="true" strokeweight="1.120pt" strokecolor="#de0035">
              <v:stroke dashstyle="solid"/>
            </v:line>
            <v:shape style="position:absolute;left:1127;top:2552;width:75;height:5" coordorigin="1128,2553" coordsize="75,5" path="m1128,2555l1152,2558m1152,2555l1178,2553,1202,2555e" filled="false" stroked="true" strokeweight="1pt" strokecolor="#de0035">
              <v:path arrowok="t"/>
              <v:stroke dashstyle="solid"/>
            </v:shape>
            <v:shape style="position:absolute;left:1192;top:2554;width:73;height:2" coordorigin="1192,2554" coordsize="73,0" path="m1192,2554l1238,2554m1218,2554l1265,2554e" filled="false" stroked="true" strokeweight="1.119pt" strokecolor="#de0035">
              <v:path arrowok="t"/>
              <v:stroke dashstyle="solid"/>
            </v:shape>
            <v:shape style="position:absolute;left:1254;top:226;width:3205;height:2330" coordorigin="1255,226" coordsize="3205,2330" path="m1255,2553l1279,2555m1279,2553l1308,2550,1332,2553,1358,2550,1382,2553m1382,2550l1406,2548,1435,2546m1435,2548l1459,2546,1485,2543,1512,2541,1538,2538,1562,2534,1586,2527,1612,2522,1639,2517,1665,2510,1689,2503,1718,2493,1742,2481,1766,2467,1792,2452,1816,2438,1845,2421,1869,2400,1896,2376,1922,2349,1946,2321,1972,2287,1996,2254,2025,2213,2049,2170,2076,2127,2100,2074,2126,2021,2152,1964,2176,1902,2205,1837,2229,1768,2256,1696,2280,1619,2304,1540,2332,1461,2356,1377,2383,1294,2436,1121,2460,1038,2484,951,2536,784,2563,707,2587,633,2616,564,2640,499,2664,439,2690,386,2714,339,2743,300,2767,272,2791,248,2820,233,2844,226,2870,231,2894,240,2923,262,2947,291,2971,329,2997,370,3024,420,3050,477,3074,542,3103,609,3151,762,3177,841,3201,925,3230,1009,3254,1093,3280,1181,3307,1265,3331,1351,3357,1435,3381,1519,3434,1672,3460,1744,3484,1816,3511,1883,3537,1945,3561,2005,3588,2060,3612,2110,3640,2155,3664,2201,3688,2242,3717,2278,3741,2311,3768,2340,3792,2369,3820,2390,3844,2414,3868,2433,3895,2448,3921,2464,3948,2479,3972,2488,4000,2498,4024,2507,4048,2515,4075,2519,4099,2527m4099,2527l4128,2534,4152,2536,4178,2538,4204,2543,4228,2546m4228,2543l4255,2546,4279,2548,4305,2550m4305,2548l4332,2550,4358,2553m4358,2550l4382,2553m4382,2550l4408,2553,4435,2555m4435,2553l4459,2555e" filled="false" stroked="true" strokeweight="1pt" strokecolor="#de0035">
              <v:path arrowok="t"/>
              <v:stroke dashstyle="solid"/>
            </v:shape>
            <v:line style="position:absolute" from="4449,2554" to="4495,2554" stroked="true" strokeweight="1.121pt" strokecolor="#de0035">
              <v:stroke dashstyle="solid"/>
            </v:line>
            <v:shape style="position:absolute;left:4485;top:2552;width:101;height:5" coordorigin="4485,2553" coordsize="101,5" path="m4485,2553l4509,2555m4509,2553l4538,2555,4562,2558m4562,2555l4586,2558e" filled="false" stroked="true" strokeweight="1pt" strokecolor="#de0035">
              <v:path arrowok="t"/>
              <v:stroke dashstyle="solid"/>
            </v:shape>
            <v:line style="position:absolute" from="4576,2556" to="4625,2556" stroked="true" strokeweight="1.120pt" strokecolor="#de0035">
              <v:stroke dashstyle="solid"/>
            </v:line>
            <v:line style="position:absolute" from="3344,618" to="2895,958" stroked="true" strokeweight=".5pt" strokecolor="#000000">
              <v:stroke dashstyle="solid"/>
            </v:line>
            <v:shape style="position:absolute;left:2841;top:928;width:83;height:72" coordorigin="2841,928" coordsize="83,72" path="m2894,928l2855,985,2841,999,2849,995,2924,968,2894,928xe" filled="true" fillcolor="#000000" stroked="false">
              <v:path arrowok="t"/>
              <v:fill type="solid"/>
            </v:shape>
            <v:shape style="position:absolute;left:4694;top:162;width:87;height:2394" coordorigin="4694,162" coordsize="87,2394" path="m4781,162l4694,162m4781,641l4694,641m4781,1120l4694,1120m4781,1598l4694,1598m4781,2077l4694,2077m4781,2556l4694,2556e" filled="false" stroked="true" strokeweight=".5pt" strokecolor="#000000">
              <v:path arrowok="t"/>
              <v:stroke dashstyle="solid"/>
            </v:shape>
            <v:shape style="position:absolute;left:3369;top:502;width:967;height:133" type="#_x0000_t202" filled="false" stroked="false">
              <v:textbox inset="0,0,0,0">
                <w:txbxContent>
                  <w:p>
                    <w:pPr>
                      <w:spacing w:line="133" w:lineRule="exact" w:before="0"/>
                      <w:ind w:left="0" w:right="0" w:firstLine="0"/>
                      <w:jc w:val="left"/>
                      <w:rPr>
                        <w:sz w:val="12"/>
                      </w:rPr>
                    </w:pPr>
                    <w:r>
                      <w:rPr>
                        <w:sz w:val="12"/>
                      </w:rPr>
                      <w:t>90% probability (b)</w:t>
                    </w:r>
                  </w:p>
                </w:txbxContent>
              </v:textbox>
              <w10:wrap type="none"/>
            </v:shape>
            <w10:wrap type="none"/>
          </v:group>
        </w:pict>
      </w:r>
      <w:r>
        <w:rPr/>
        <w:pict>
          <v:line style="position:absolute;mso-position-horizontal-relative:page;mso-position-vertical-relative:paragraph;z-index:16185856" from="47.053001pt,8.102767pt" to="42.721001pt,8.102767pt" stroked="true" strokeweight=".5pt" strokecolor="#000000">
            <v:stroke dashstyle="solid"/>
            <w10:wrap type="none"/>
          </v:line>
        </w:pict>
      </w:r>
      <w:r>
        <w:rPr>
          <w:position w:val="1"/>
          <w:sz w:val="12"/>
        </w:rPr>
        <w:t>5</w:t>
        <w:tab/>
      </w:r>
      <w:r>
        <w:rPr>
          <w:sz w:val="12"/>
        </w:rPr>
        <w:t>5</w:t>
      </w:r>
    </w:p>
    <w:p>
      <w:pPr>
        <w:pStyle w:val="BodyText"/>
        <w:spacing w:before="10"/>
        <w:rPr>
          <w:sz w:val="14"/>
        </w:rPr>
      </w:pPr>
    </w:p>
    <w:p>
      <w:pPr>
        <w:tabs>
          <w:tab w:pos="7745" w:val="left" w:leader="none"/>
          <w:tab w:pos="9058" w:val="right" w:leader="none"/>
        </w:tabs>
        <w:spacing w:before="95"/>
        <w:ind w:left="4201" w:right="0" w:firstLine="0"/>
        <w:jc w:val="left"/>
        <w:rPr>
          <w:sz w:val="12"/>
        </w:rPr>
      </w:pPr>
      <w:r>
        <w:rPr/>
        <w:pict>
          <v:line style="position:absolute;mso-position-horizontal-relative:page;mso-position-vertical-relative:paragraph;z-index:-22471680" from="287.223008pt,12.272552pt" to="282.889008pt,12.272552pt" stroked="true" strokeweight=".5pt" strokecolor="#000000">
            <v:stroke dashstyle="solid"/>
            <w10:wrap type="none"/>
          </v:line>
        </w:pict>
      </w:r>
      <w:r>
        <w:rPr/>
        <w:pict>
          <v:line style="position:absolute;mso-position-horizontal-relative:page;mso-position-vertical-relative:paragraph;z-index:16186368" from="47.053001pt,11.193553pt" to="42.721001pt,11.193553pt" stroked="true" strokeweight=".5pt" strokecolor="#000000">
            <v:stroke dashstyle="solid"/>
            <w10:wrap type="none"/>
          </v:line>
        </w:pict>
      </w:r>
      <w:r>
        <w:rPr>
          <w:position w:val="-5"/>
          <w:sz w:val="12"/>
        </w:rPr>
        <w:t>4</w:t>
        <w:tab/>
      </w:r>
      <w:r>
        <w:rPr>
          <w:sz w:val="12"/>
        </w:rPr>
        <w:t>90% probability (b)</w:t>
        <w:tab/>
      </w:r>
      <w:r>
        <w:rPr>
          <w:position w:val="-6"/>
          <w:sz w:val="12"/>
        </w:rPr>
        <w:t>4</w:t>
      </w:r>
    </w:p>
    <w:p>
      <w:pPr>
        <w:tabs>
          <w:tab w:pos="8998" w:val="left" w:leader="none"/>
        </w:tabs>
        <w:spacing w:before="333"/>
        <w:ind w:left="4201" w:right="0" w:firstLine="0"/>
        <w:jc w:val="left"/>
        <w:rPr>
          <w:sz w:val="12"/>
        </w:rPr>
      </w:pPr>
      <w:r>
        <w:rPr/>
        <w:pict>
          <v:line style="position:absolute;mso-position-horizontal-relative:page;mso-position-vertical-relative:paragraph;z-index:-22471168" from="287.223008pt,20.684137pt" to="282.889008pt,20.684137pt" stroked="true" strokeweight=".5pt" strokecolor="#000000">
            <v:stroke dashstyle="solid"/>
            <w10:wrap type="none"/>
          </v:line>
        </w:pict>
      </w:r>
      <w:r>
        <w:rPr/>
        <w:pict>
          <v:line style="position:absolute;mso-position-horizontal-relative:page;mso-position-vertical-relative:paragraph;z-index:16186880" from="47.053001pt,19.966137pt" to="42.721001pt,19.966137pt" stroked="true" strokeweight=".5pt" strokecolor="#000000">
            <v:stroke dashstyle="solid"/>
            <w10:wrap type="none"/>
          </v:line>
        </w:pict>
      </w:r>
      <w:r>
        <w:rPr>
          <w:position w:val="1"/>
          <w:sz w:val="12"/>
        </w:rPr>
        <w:t>3</w:t>
        <w:tab/>
      </w:r>
      <w:r>
        <w:rPr>
          <w:sz w:val="12"/>
        </w:rPr>
        <w:t>3</w:t>
      </w:r>
    </w:p>
    <w:p>
      <w:pPr>
        <w:tabs>
          <w:tab w:pos="8998" w:val="left" w:leader="none"/>
        </w:tabs>
        <w:spacing w:before="328"/>
        <w:ind w:left="4201" w:right="0" w:firstLine="0"/>
        <w:jc w:val="left"/>
        <w:rPr>
          <w:sz w:val="12"/>
        </w:rPr>
      </w:pPr>
      <w:r>
        <w:rPr/>
        <w:pict>
          <v:line style="position:absolute;mso-position-horizontal-relative:page;mso-position-vertical-relative:paragraph;z-index:-22470656" from="287.223008pt,20.653189pt" to="282.889008pt,20.653189pt" stroked="true" strokeweight=".5pt" strokecolor="#000000">
            <v:stroke dashstyle="solid"/>
            <w10:wrap type="none"/>
          </v:line>
        </w:pict>
      </w:r>
      <w:r>
        <w:rPr/>
        <w:pict>
          <v:line style="position:absolute;mso-position-horizontal-relative:page;mso-position-vertical-relative:paragraph;z-index:16187392" from="47.053001pt,19.891188pt" to="42.721001pt,19.891188pt" stroked="true" strokeweight=".5pt" strokecolor="#000000">
            <v:stroke dashstyle="solid"/>
            <w10:wrap type="none"/>
          </v:line>
        </w:pict>
      </w:r>
      <w:r>
        <w:rPr>
          <w:position w:val="1"/>
          <w:sz w:val="12"/>
        </w:rPr>
        <w:t>2</w:t>
        <w:tab/>
      </w:r>
      <w:r>
        <w:rPr>
          <w:sz w:val="12"/>
        </w:rPr>
        <w:t>2</w:t>
      </w:r>
    </w:p>
    <w:p>
      <w:pPr>
        <w:tabs>
          <w:tab w:pos="8998" w:val="left" w:leader="none"/>
        </w:tabs>
        <w:spacing w:before="329"/>
        <w:ind w:left="4201" w:right="0" w:firstLine="0"/>
        <w:jc w:val="left"/>
        <w:rPr>
          <w:sz w:val="12"/>
        </w:rPr>
      </w:pPr>
      <w:r>
        <w:rPr/>
        <w:pict>
          <v:line style="position:absolute;mso-position-horizontal-relative:page;mso-position-vertical-relative:paragraph;z-index:-22470144" from="287.223008pt,20.680344pt" to="282.889008pt,20.680344pt" stroked="true" strokeweight=".5pt" strokecolor="#000000">
            <v:stroke dashstyle="solid"/>
            <w10:wrap type="none"/>
          </v:line>
        </w:pict>
      </w:r>
      <w:r>
        <w:rPr/>
        <w:pict>
          <v:line style="position:absolute;mso-position-horizontal-relative:page;mso-position-vertical-relative:paragraph;z-index:16187904" from="47.053001pt,19.998343pt" to="42.721001pt,19.998343pt" stroked="true" strokeweight=".5pt" strokecolor="#000000">
            <v:stroke dashstyle="solid"/>
            <w10:wrap type="none"/>
          </v:line>
        </w:pict>
      </w:r>
      <w:r>
        <w:rPr>
          <w:position w:val="1"/>
          <w:sz w:val="12"/>
        </w:rPr>
        <w:t>1</w:t>
        <w:tab/>
      </w:r>
      <w:r>
        <w:rPr>
          <w:sz w:val="12"/>
        </w:rPr>
        <w:t>1</w:t>
      </w:r>
    </w:p>
    <w:p>
      <w:pPr>
        <w:spacing w:after="0"/>
        <w:jc w:val="left"/>
        <w:rPr>
          <w:sz w:val="12"/>
        </w:rPr>
        <w:sectPr>
          <w:type w:val="continuous"/>
          <w:pgSz w:w="11900" w:h="16840"/>
          <w:pgMar w:top="1260" w:bottom="280" w:left="640" w:right="640"/>
        </w:sectPr>
      </w:pPr>
    </w:p>
    <w:p>
      <w:pPr>
        <w:tabs>
          <w:tab w:pos="873" w:val="left" w:leader="none"/>
          <w:tab w:pos="1387" w:val="left" w:leader="none"/>
          <w:tab w:pos="1901" w:val="left" w:leader="none"/>
          <w:tab w:pos="2412" w:val="left" w:leader="none"/>
          <w:tab w:pos="2925" w:val="left" w:leader="none"/>
          <w:tab w:pos="3439" w:val="left" w:leader="none"/>
          <w:tab w:pos="3953" w:val="left" w:leader="none"/>
        </w:tabs>
        <w:spacing w:before="467"/>
        <w:ind w:left="316" w:right="0" w:firstLine="0"/>
        <w:jc w:val="center"/>
        <w:rPr>
          <w:sz w:val="12"/>
        </w:rPr>
      </w:pPr>
      <w:r>
        <w:rPr/>
        <w:pict>
          <v:line style="position:absolute;mso-position-horizontal-relative:page;mso-position-vertical-relative:paragraph;z-index:16188416" from="47.053001pt,20.066536pt" to="42.721001pt,20.066536pt" stroked="true" strokeweight=".5pt" strokecolor="#000000">
            <v:stroke dashstyle="solid"/>
            <w10:wrap type="none"/>
          </v:line>
        </w:pict>
      </w:r>
      <w:r>
        <w:rPr>
          <w:sz w:val="12"/>
        </w:rPr>
        <w:t>-1</w:t>
        <w:tab/>
        <w:t>0</w:t>
        <w:tab/>
        <w:t>1</w:t>
        <w:tab/>
        <w:t>2</w:t>
        <w:tab/>
        <w:t>3</w:t>
        <w:tab/>
        <w:t>4</w:t>
        <w:tab/>
        <w:t>5</w:t>
        <w:tab/>
      </w:r>
      <w:r>
        <w:rPr>
          <w:spacing w:val="-20"/>
          <w:sz w:val="12"/>
        </w:rPr>
        <w:t>6</w:t>
      </w:r>
    </w:p>
    <w:p>
      <w:pPr>
        <w:spacing w:before="8"/>
        <w:ind w:left="482" w:right="0" w:firstLine="0"/>
        <w:jc w:val="center"/>
        <w:rPr>
          <w:sz w:val="12"/>
        </w:rPr>
      </w:pPr>
      <w:r>
        <w:rPr>
          <w:sz w:val="12"/>
        </w:rPr>
        <w:t>Inflation</w:t>
      </w:r>
    </w:p>
    <w:p>
      <w:pPr>
        <w:pStyle w:val="BodyText"/>
        <w:rPr>
          <w:sz w:val="14"/>
        </w:rPr>
      </w:pPr>
      <w:r>
        <w:rPr/>
        <w:br w:type="column"/>
      </w:r>
      <w:r>
        <w:rPr>
          <w:sz w:val="14"/>
        </w:rPr>
      </w:r>
    </w:p>
    <w:p>
      <w:pPr>
        <w:pStyle w:val="BodyText"/>
        <w:spacing w:before="8"/>
        <w:rPr>
          <w:sz w:val="14"/>
        </w:rPr>
      </w:pPr>
    </w:p>
    <w:p>
      <w:pPr>
        <w:tabs>
          <w:tab w:pos="1027" w:val="left" w:leader="none"/>
          <w:tab w:pos="1359" w:val="left" w:leader="none"/>
          <w:tab w:pos="4796" w:val="left" w:leader="none"/>
        </w:tabs>
        <w:spacing w:before="0"/>
        <w:ind w:left="0" w:right="1411" w:firstLine="0"/>
        <w:jc w:val="center"/>
        <w:rPr>
          <w:sz w:val="12"/>
        </w:rPr>
      </w:pPr>
      <w:r>
        <w:rPr>
          <w:position w:val="1"/>
          <w:sz w:val="12"/>
        </w:rPr>
        <w:t>0</w:t>
        <w:tab/>
      </w:r>
      <w:r>
        <w:rPr>
          <w:position w:val="1"/>
          <w:sz w:val="12"/>
          <w:u w:val="thick" w:color="DE0035"/>
        </w:rPr>
        <w:t> </w:t>
        <w:tab/>
      </w:r>
      <w:r>
        <w:rPr>
          <w:position w:val="1"/>
          <w:sz w:val="12"/>
        </w:rPr>
        <w:tab/>
      </w:r>
      <w:r>
        <w:rPr>
          <w:sz w:val="12"/>
        </w:rPr>
        <w:t>0</w:t>
      </w:r>
    </w:p>
    <w:p>
      <w:pPr>
        <w:tabs>
          <w:tab w:pos="535" w:val="left" w:leader="none"/>
          <w:tab w:pos="1071" w:val="left" w:leader="none"/>
          <w:tab w:pos="1587" w:val="left" w:leader="none"/>
          <w:tab w:pos="2083" w:val="left" w:leader="none"/>
          <w:tab w:pos="2599" w:val="left" w:leader="none"/>
          <w:tab w:pos="3135" w:val="left" w:leader="none"/>
          <w:tab w:pos="3626" w:val="left" w:leader="none"/>
        </w:tabs>
        <w:spacing w:line="136" w:lineRule="exact" w:before="53"/>
        <w:ind w:left="0" w:right="716" w:firstLine="0"/>
        <w:jc w:val="center"/>
        <w:rPr>
          <w:sz w:val="12"/>
        </w:rPr>
      </w:pPr>
      <w:r>
        <w:rPr/>
        <w:pict>
          <v:line style="position:absolute;mso-position-horizontal-relative:page;mso-position-vertical-relative:paragraph;z-index:-22469632" from="287.223008pt,-3.092829pt" to="282.889008pt,-3.092829pt" stroked="true" strokeweight=".5pt" strokecolor="#000000">
            <v:stroke dashstyle="solid"/>
            <w10:wrap type="none"/>
          </v:line>
        </w:pict>
      </w:r>
      <w:r>
        <w:rPr>
          <w:sz w:val="12"/>
        </w:rPr>
        <w:t>-1</w:t>
        <w:tab/>
        <w:t>0</w:t>
        <w:tab/>
        <w:t>1</w:t>
        <w:tab/>
        <w:t>2</w:t>
        <w:tab/>
        <w:t>3</w:t>
        <w:tab/>
        <w:t>4</w:t>
        <w:tab/>
        <w:t>5</w:t>
        <w:tab/>
        <w:t>6</w:t>
      </w:r>
    </w:p>
    <w:p>
      <w:pPr>
        <w:spacing w:line="136" w:lineRule="exact" w:before="0"/>
        <w:ind w:left="0" w:right="591" w:firstLine="0"/>
        <w:jc w:val="center"/>
        <w:rPr>
          <w:sz w:val="12"/>
        </w:rPr>
      </w:pPr>
      <w:r>
        <w:rPr>
          <w:sz w:val="12"/>
        </w:rPr>
        <w:t>Inflation</w:t>
      </w:r>
    </w:p>
    <w:p>
      <w:pPr>
        <w:spacing w:after="0" w:line="136" w:lineRule="exact"/>
        <w:jc w:val="center"/>
        <w:rPr>
          <w:sz w:val="12"/>
        </w:rPr>
        <w:sectPr>
          <w:type w:val="continuous"/>
          <w:pgSz w:w="11900" w:h="16840"/>
          <w:pgMar w:top="1260" w:bottom="280" w:left="640" w:right="640"/>
          <w:cols w:num="2" w:equalWidth="0">
            <w:col w:w="4014" w:space="40"/>
            <w:col w:w="6566"/>
          </w:cols>
        </w:sectPr>
      </w:pPr>
    </w:p>
    <w:p>
      <w:pPr>
        <w:pStyle w:val="BodyText"/>
        <w:spacing w:before="2"/>
        <w:rPr>
          <w:sz w:val="13"/>
        </w:rPr>
      </w:pPr>
    </w:p>
    <w:p>
      <w:pPr>
        <w:spacing w:before="93"/>
        <w:ind w:left="174" w:right="0" w:firstLine="0"/>
        <w:jc w:val="left"/>
        <w:rPr>
          <w:sz w:val="16"/>
        </w:rPr>
      </w:pPr>
      <w:r>
        <w:rPr>
          <w:sz w:val="16"/>
        </w:rPr>
        <w:t>Source: Bank of England.</w:t>
      </w:r>
    </w:p>
    <w:p>
      <w:pPr>
        <w:pStyle w:val="ListParagraph"/>
        <w:numPr>
          <w:ilvl w:val="0"/>
          <w:numId w:val="44"/>
        </w:numPr>
        <w:tabs>
          <w:tab w:pos="415" w:val="left" w:leader="none"/>
        </w:tabs>
        <w:spacing w:line="208" w:lineRule="auto" w:before="156" w:after="0"/>
        <w:ind w:left="414" w:right="502" w:hanging="240"/>
        <w:jc w:val="both"/>
        <w:rPr>
          <w:sz w:val="16"/>
        </w:rPr>
      </w:pPr>
      <w:r>
        <w:rPr>
          <w:sz w:val="16"/>
        </w:rPr>
        <w:t>Probability of inflation being within ±0.05 percentage points of any given inflation rate, specified to one decimal place. For example, the probability of inflation being 2.5% (between 2.45% and 2.55%) in the current projection is around</w:t>
      </w:r>
      <w:r>
        <w:rPr>
          <w:spacing w:val="-20"/>
          <w:sz w:val="16"/>
        </w:rPr>
        <w:t> </w:t>
      </w:r>
      <w:r>
        <w:rPr>
          <w:sz w:val="16"/>
        </w:rPr>
        <w:t>5%.</w:t>
      </w:r>
    </w:p>
    <w:p>
      <w:pPr>
        <w:pStyle w:val="ListParagraph"/>
        <w:numPr>
          <w:ilvl w:val="0"/>
          <w:numId w:val="44"/>
        </w:numPr>
        <w:tabs>
          <w:tab w:pos="415" w:val="left" w:leader="none"/>
        </w:tabs>
        <w:spacing w:line="208" w:lineRule="auto" w:before="0" w:after="0"/>
        <w:ind w:left="414" w:right="448" w:hanging="240"/>
        <w:jc w:val="both"/>
        <w:rPr>
          <w:sz w:val="16"/>
        </w:rPr>
      </w:pPr>
      <w:r>
        <w:rPr>
          <w:sz w:val="16"/>
        </w:rPr>
        <w:t>The areas shaded light grey contain 90% of the probability, and are consistent with the widest bands shown in Charts 6.2 and 6.3. For further details see ‘The </w:t>
      </w:r>
      <w:r>
        <w:rPr>
          <w:i/>
          <w:sz w:val="16"/>
        </w:rPr>
        <w:t>Inflation Report </w:t>
      </w:r>
      <w:r>
        <w:rPr>
          <w:sz w:val="16"/>
        </w:rPr>
        <w:t>projections: understanding the fan chart’, February 1998 </w:t>
      </w:r>
      <w:r>
        <w:rPr>
          <w:i/>
          <w:sz w:val="16"/>
        </w:rPr>
        <w:t>Quarterly Bulletin</w:t>
      </w:r>
      <w:r>
        <w:rPr>
          <w:sz w:val="16"/>
        </w:rPr>
        <w:t>, pages 30–37, and the box on page 52 of the February 1999 </w:t>
      </w:r>
      <w:r>
        <w:rPr>
          <w:i/>
          <w:sz w:val="16"/>
        </w:rPr>
        <w:t>Inflation</w:t>
      </w:r>
      <w:r>
        <w:rPr>
          <w:i/>
          <w:spacing w:val="-2"/>
          <w:sz w:val="16"/>
        </w:rPr>
        <w:t> </w:t>
      </w:r>
      <w:r>
        <w:rPr>
          <w:i/>
          <w:sz w:val="16"/>
        </w:rPr>
        <w:t>Report</w:t>
      </w:r>
      <w:r>
        <w:rPr>
          <w:sz w:val="16"/>
        </w:rPr>
        <w:t>.</w:t>
      </w:r>
    </w:p>
    <w:p>
      <w:pPr>
        <w:pStyle w:val="BodyText"/>
        <w:rPr>
          <w:sz w:val="20"/>
        </w:rPr>
      </w:pPr>
    </w:p>
    <w:p>
      <w:pPr>
        <w:pStyle w:val="BodyText"/>
        <w:spacing w:before="4"/>
        <w:rPr>
          <w:sz w:val="18"/>
        </w:rPr>
      </w:pPr>
    </w:p>
    <w:p>
      <w:pPr>
        <w:spacing w:after="0"/>
        <w:rPr>
          <w:sz w:val="18"/>
        </w:rPr>
        <w:sectPr>
          <w:type w:val="continuous"/>
          <w:pgSz w:w="11900" w:h="16840"/>
          <w:pgMar w:top="1260" w:bottom="280" w:left="640" w:right="640"/>
        </w:sectPr>
      </w:pPr>
    </w:p>
    <w:p>
      <w:pPr>
        <w:spacing w:before="99"/>
        <w:ind w:left="168" w:right="0" w:firstLine="0"/>
        <w:jc w:val="both"/>
        <w:rPr>
          <w:b/>
          <w:sz w:val="20"/>
        </w:rPr>
      </w:pPr>
      <w:r>
        <w:rPr>
          <w:b/>
          <w:color w:val="0092C7"/>
          <w:sz w:val="20"/>
        </w:rPr>
        <w:t>Table 6.A</w:t>
      </w:r>
    </w:p>
    <w:p>
      <w:pPr>
        <w:spacing w:line="249" w:lineRule="auto" w:before="10"/>
        <w:ind w:left="168" w:right="237" w:firstLine="0"/>
        <w:jc w:val="both"/>
        <w:rPr>
          <w:sz w:val="12"/>
        </w:rPr>
      </w:pPr>
      <w:r>
        <w:rPr>
          <w:b/>
          <w:color w:val="0092C7"/>
          <w:sz w:val="20"/>
        </w:rPr>
        <w:t>The </w:t>
      </w:r>
      <w:r>
        <w:rPr>
          <w:b/>
          <w:color w:val="0092C7"/>
          <w:spacing w:val="-3"/>
          <w:sz w:val="20"/>
        </w:rPr>
        <w:t>MPC’s </w:t>
      </w:r>
      <w:r>
        <w:rPr>
          <w:b/>
          <w:color w:val="0092C7"/>
          <w:sz w:val="20"/>
        </w:rPr>
        <w:t>expectations for RPIX inflation and GDP</w:t>
      </w:r>
      <w:r>
        <w:rPr>
          <w:b/>
          <w:color w:val="0092C7"/>
          <w:spacing w:val="-6"/>
          <w:sz w:val="20"/>
        </w:rPr>
        <w:t> </w:t>
      </w:r>
      <w:r>
        <w:rPr>
          <w:b/>
          <w:color w:val="0092C7"/>
          <w:sz w:val="20"/>
        </w:rPr>
        <w:t>growth</w:t>
      </w:r>
      <w:r>
        <w:rPr>
          <w:b/>
          <w:color w:val="0092C7"/>
          <w:spacing w:val="-7"/>
          <w:sz w:val="20"/>
        </w:rPr>
        <w:t> </w:t>
      </w:r>
      <w:r>
        <w:rPr>
          <w:b/>
          <w:color w:val="0092C7"/>
          <w:sz w:val="20"/>
        </w:rPr>
        <w:t>based</w:t>
      </w:r>
      <w:r>
        <w:rPr>
          <w:b/>
          <w:color w:val="0092C7"/>
          <w:spacing w:val="-7"/>
          <w:sz w:val="20"/>
        </w:rPr>
        <w:t> </w:t>
      </w:r>
      <w:r>
        <w:rPr>
          <w:b/>
          <w:color w:val="0092C7"/>
          <w:sz w:val="20"/>
        </w:rPr>
        <w:t>on</w:t>
      </w:r>
      <w:r>
        <w:rPr>
          <w:b/>
          <w:color w:val="0092C7"/>
          <w:spacing w:val="-7"/>
          <w:sz w:val="20"/>
        </w:rPr>
        <w:t> </w:t>
      </w:r>
      <w:r>
        <w:rPr>
          <w:b/>
          <w:color w:val="0092C7"/>
          <w:sz w:val="20"/>
        </w:rPr>
        <w:t>constant</w:t>
      </w:r>
      <w:r>
        <w:rPr>
          <w:b/>
          <w:color w:val="0092C7"/>
          <w:spacing w:val="-7"/>
          <w:sz w:val="20"/>
        </w:rPr>
        <w:t> </w:t>
      </w:r>
      <w:r>
        <w:rPr>
          <w:b/>
          <w:color w:val="0092C7"/>
          <w:sz w:val="20"/>
        </w:rPr>
        <w:t>nominal</w:t>
      </w:r>
      <w:r>
        <w:rPr>
          <w:b/>
          <w:color w:val="0092C7"/>
          <w:spacing w:val="-7"/>
          <w:sz w:val="20"/>
        </w:rPr>
        <w:t> </w:t>
      </w:r>
      <w:r>
        <w:rPr>
          <w:b/>
          <w:color w:val="0092C7"/>
          <w:sz w:val="20"/>
        </w:rPr>
        <w:t>interest rates</w:t>
      </w:r>
      <w:r>
        <w:rPr>
          <w:position w:val="4"/>
          <w:sz w:val="12"/>
        </w:rPr>
        <w:t>(a)</w:t>
      </w:r>
    </w:p>
    <w:p>
      <w:pPr>
        <w:spacing w:before="99"/>
        <w:ind w:left="168" w:right="0" w:firstLine="0"/>
        <w:jc w:val="left"/>
        <w:rPr>
          <w:b/>
          <w:sz w:val="14"/>
        </w:rPr>
      </w:pPr>
      <w:r>
        <w:rPr>
          <w:b/>
          <w:sz w:val="14"/>
        </w:rPr>
        <w:t>RPIX inflation</w:t>
      </w:r>
    </w:p>
    <w:p>
      <w:pPr>
        <w:tabs>
          <w:tab w:pos="1368" w:val="left" w:leader="none"/>
          <w:tab w:pos="4275" w:val="left" w:leader="none"/>
        </w:tabs>
        <w:spacing w:before="119"/>
        <w:ind w:left="0" w:right="52" w:firstLine="0"/>
        <w:jc w:val="right"/>
        <w:rPr>
          <w:sz w:val="14"/>
        </w:rPr>
      </w:pPr>
      <w:r>
        <w:rPr>
          <w:sz w:val="14"/>
        </w:rPr>
        <w:t>Probability,</w:t>
      </w:r>
      <w:r>
        <w:rPr>
          <w:spacing w:val="-6"/>
          <w:sz w:val="14"/>
        </w:rPr>
        <w:t> </w:t>
      </w:r>
      <w:r>
        <w:rPr>
          <w:sz w:val="14"/>
        </w:rPr>
        <w:t>per</w:t>
      </w:r>
      <w:r>
        <w:rPr>
          <w:spacing w:val="-7"/>
          <w:sz w:val="14"/>
        </w:rPr>
        <w:t> </w:t>
      </w:r>
      <w:r>
        <w:rPr>
          <w:sz w:val="14"/>
        </w:rPr>
        <w:t>cent</w:t>
        <w:tab/>
      </w:r>
      <w:r>
        <w:rPr>
          <w:sz w:val="14"/>
          <w:u w:val="single"/>
        </w:rPr>
        <w:t>Range:</w:t>
        <w:tab/>
      </w:r>
    </w:p>
    <w:p>
      <w:pPr>
        <w:pStyle w:val="BodyText"/>
        <w:spacing w:before="2"/>
        <w:rPr>
          <w:sz w:val="2"/>
        </w:rPr>
      </w:pPr>
    </w:p>
    <w:tbl>
      <w:tblPr>
        <w:tblW w:w="0" w:type="auto"/>
        <w:jc w:val="left"/>
        <w:tblInd w:w="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3"/>
        <w:gridCol w:w="464"/>
        <w:gridCol w:w="541"/>
        <w:gridCol w:w="554"/>
        <w:gridCol w:w="485"/>
        <w:gridCol w:w="485"/>
        <w:gridCol w:w="473"/>
      </w:tblGrid>
      <w:tr>
        <w:trPr>
          <w:trHeight w:val="435" w:hRule="atLeast"/>
        </w:trPr>
        <w:tc>
          <w:tcPr>
            <w:tcW w:w="1867" w:type="dxa"/>
            <w:gridSpan w:val="2"/>
          </w:tcPr>
          <w:p>
            <w:pPr>
              <w:pStyle w:val="TableParagraph"/>
              <w:spacing w:line="208" w:lineRule="auto" w:before="11"/>
              <w:ind w:left="1241" w:right="194"/>
              <w:jc w:val="right"/>
              <w:rPr>
                <w:sz w:val="14"/>
              </w:rPr>
            </w:pPr>
            <w:r>
              <w:rPr>
                <w:sz w:val="14"/>
              </w:rPr>
              <w:t>less than</w:t>
            </w:r>
          </w:p>
          <w:p>
            <w:pPr>
              <w:pStyle w:val="TableParagraph"/>
              <w:spacing w:line="124" w:lineRule="exact"/>
              <w:ind w:left="1241" w:right="99"/>
              <w:jc w:val="right"/>
              <w:rPr>
                <w:sz w:val="14"/>
              </w:rPr>
            </w:pPr>
            <w:r>
              <w:rPr>
                <w:sz w:val="14"/>
                <w:u w:val="single"/>
              </w:rPr>
              <w:t>1.5% </w:t>
            </w:r>
          </w:p>
        </w:tc>
        <w:tc>
          <w:tcPr>
            <w:tcW w:w="541" w:type="dxa"/>
          </w:tcPr>
          <w:p>
            <w:pPr>
              <w:pStyle w:val="TableParagraph"/>
              <w:spacing w:line="145" w:lineRule="exact"/>
              <w:ind w:left="87"/>
              <w:rPr>
                <w:sz w:val="14"/>
              </w:rPr>
            </w:pPr>
            <w:r>
              <w:rPr>
                <w:sz w:val="14"/>
              </w:rPr>
              <w:t>1.5%</w:t>
            </w:r>
          </w:p>
          <w:p>
            <w:pPr>
              <w:pStyle w:val="TableParagraph"/>
              <w:spacing w:line="140" w:lineRule="exact"/>
              <w:ind w:left="87"/>
              <w:rPr>
                <w:sz w:val="14"/>
              </w:rPr>
            </w:pPr>
            <w:r>
              <w:rPr>
                <w:sz w:val="14"/>
              </w:rPr>
              <w:t>to</w:t>
            </w:r>
          </w:p>
          <w:p>
            <w:pPr>
              <w:pStyle w:val="TableParagraph"/>
              <w:spacing w:line="130" w:lineRule="exact"/>
              <w:ind w:left="68"/>
              <w:rPr>
                <w:sz w:val="14"/>
              </w:rPr>
            </w:pPr>
            <w:r>
              <w:rPr>
                <w:sz w:val="14"/>
                <w:u w:val="single"/>
              </w:rPr>
              <w:t>2.0% </w:t>
            </w:r>
          </w:p>
        </w:tc>
        <w:tc>
          <w:tcPr>
            <w:tcW w:w="554" w:type="dxa"/>
          </w:tcPr>
          <w:p>
            <w:pPr>
              <w:pStyle w:val="TableParagraph"/>
              <w:spacing w:line="145" w:lineRule="exact"/>
              <w:ind w:left="112"/>
              <w:rPr>
                <w:sz w:val="14"/>
              </w:rPr>
            </w:pPr>
            <w:r>
              <w:rPr>
                <w:sz w:val="14"/>
              </w:rPr>
              <w:t>2.0%</w:t>
            </w:r>
          </w:p>
          <w:p>
            <w:pPr>
              <w:pStyle w:val="TableParagraph"/>
              <w:spacing w:line="140" w:lineRule="exact" w:before="8"/>
              <w:ind w:left="112" w:right="62" w:hanging="1"/>
              <w:rPr>
                <w:sz w:val="14"/>
              </w:rPr>
            </w:pPr>
            <w:r>
              <w:rPr>
                <w:sz w:val="14"/>
              </w:rPr>
              <w:t>to </w:t>
            </w:r>
            <w:r>
              <w:rPr>
                <w:sz w:val="14"/>
                <w:u w:val="single"/>
              </w:rPr>
              <w:t>2.5%</w:t>
            </w:r>
            <w:r>
              <w:rPr>
                <w:spacing w:val="-7"/>
                <w:sz w:val="14"/>
                <w:u w:val="single"/>
              </w:rPr>
              <w:t> </w:t>
            </w:r>
          </w:p>
        </w:tc>
        <w:tc>
          <w:tcPr>
            <w:tcW w:w="485" w:type="dxa"/>
          </w:tcPr>
          <w:p>
            <w:pPr>
              <w:pStyle w:val="TableParagraph"/>
              <w:spacing w:line="145" w:lineRule="exact"/>
              <w:ind w:left="87"/>
              <w:rPr>
                <w:sz w:val="14"/>
              </w:rPr>
            </w:pPr>
            <w:r>
              <w:rPr>
                <w:sz w:val="14"/>
              </w:rPr>
              <w:t>2.5%</w:t>
            </w:r>
          </w:p>
          <w:p>
            <w:pPr>
              <w:pStyle w:val="TableParagraph"/>
              <w:spacing w:line="140" w:lineRule="exact" w:before="8"/>
              <w:ind w:left="87" w:right="33" w:hanging="1"/>
              <w:rPr>
                <w:sz w:val="14"/>
              </w:rPr>
            </w:pPr>
            <w:r>
              <w:rPr>
                <w:sz w:val="14"/>
              </w:rPr>
              <w:t>to </w:t>
            </w:r>
            <w:r>
              <w:rPr>
                <w:sz w:val="14"/>
                <w:u w:val="single"/>
              </w:rPr>
              <w:t>3.0%</w:t>
            </w:r>
            <w:r>
              <w:rPr>
                <w:spacing w:val="-2"/>
                <w:sz w:val="14"/>
                <w:u w:val="single"/>
              </w:rPr>
              <w:t> </w:t>
            </w:r>
          </w:p>
        </w:tc>
        <w:tc>
          <w:tcPr>
            <w:tcW w:w="485" w:type="dxa"/>
          </w:tcPr>
          <w:p>
            <w:pPr>
              <w:pStyle w:val="TableParagraph"/>
              <w:spacing w:line="145" w:lineRule="exact"/>
              <w:ind w:left="72"/>
              <w:rPr>
                <w:sz w:val="14"/>
              </w:rPr>
            </w:pPr>
            <w:r>
              <w:rPr>
                <w:sz w:val="14"/>
              </w:rPr>
              <w:t>3.0%</w:t>
            </w:r>
          </w:p>
          <w:p>
            <w:pPr>
              <w:pStyle w:val="TableParagraph"/>
              <w:spacing w:line="140" w:lineRule="exact" w:before="8"/>
              <w:ind w:left="72" w:right="33" w:hanging="1"/>
              <w:rPr>
                <w:sz w:val="14"/>
              </w:rPr>
            </w:pPr>
            <w:r>
              <w:rPr>
                <w:sz w:val="14"/>
              </w:rPr>
              <w:t>to </w:t>
            </w:r>
            <w:r>
              <w:rPr>
                <w:sz w:val="14"/>
                <w:u w:val="single"/>
              </w:rPr>
              <w:t>3.5%</w:t>
            </w:r>
            <w:r>
              <w:rPr>
                <w:spacing w:val="-17"/>
                <w:sz w:val="14"/>
                <w:u w:val="single"/>
              </w:rPr>
              <w:t> </w:t>
            </w:r>
          </w:p>
        </w:tc>
        <w:tc>
          <w:tcPr>
            <w:tcW w:w="473" w:type="dxa"/>
          </w:tcPr>
          <w:p>
            <w:pPr>
              <w:pStyle w:val="TableParagraph"/>
              <w:spacing w:line="140" w:lineRule="exact" w:before="12"/>
              <w:ind w:left="83"/>
              <w:rPr>
                <w:sz w:val="14"/>
              </w:rPr>
            </w:pPr>
            <w:r>
              <w:rPr>
                <w:sz w:val="14"/>
              </w:rPr>
              <w:t>more than </w:t>
            </w:r>
            <w:r>
              <w:rPr>
                <w:sz w:val="14"/>
                <w:u w:val="single"/>
              </w:rPr>
              <w:t>3.5% </w:t>
            </w:r>
          </w:p>
        </w:tc>
      </w:tr>
      <w:tr>
        <w:trPr>
          <w:trHeight w:val="272" w:hRule="atLeast"/>
        </w:trPr>
        <w:tc>
          <w:tcPr>
            <w:tcW w:w="1403" w:type="dxa"/>
          </w:tcPr>
          <w:p>
            <w:pPr>
              <w:pStyle w:val="TableParagraph"/>
              <w:spacing w:line="133" w:lineRule="exact" w:before="119"/>
              <w:ind w:left="50"/>
              <w:rPr>
                <w:sz w:val="14"/>
              </w:rPr>
            </w:pPr>
            <w:r>
              <w:rPr>
                <w:sz w:val="14"/>
              </w:rPr>
              <w:t>2000 Q4</w:t>
            </w:r>
          </w:p>
        </w:tc>
        <w:tc>
          <w:tcPr>
            <w:tcW w:w="464" w:type="dxa"/>
          </w:tcPr>
          <w:p>
            <w:pPr>
              <w:pStyle w:val="TableParagraph"/>
              <w:spacing w:line="133" w:lineRule="exact" w:before="119"/>
              <w:ind w:left="79"/>
              <w:rPr>
                <w:sz w:val="14"/>
              </w:rPr>
            </w:pPr>
            <w:r>
              <w:rPr>
                <w:sz w:val="14"/>
              </w:rPr>
              <w:t>&lt;1</w:t>
            </w:r>
          </w:p>
        </w:tc>
        <w:tc>
          <w:tcPr>
            <w:tcW w:w="541" w:type="dxa"/>
          </w:tcPr>
          <w:p>
            <w:pPr>
              <w:pStyle w:val="TableParagraph"/>
              <w:spacing w:line="133" w:lineRule="exact" w:before="119"/>
              <w:ind w:right="9"/>
              <w:jc w:val="center"/>
              <w:rPr>
                <w:sz w:val="14"/>
              </w:rPr>
            </w:pPr>
            <w:r>
              <w:rPr>
                <w:sz w:val="14"/>
              </w:rPr>
              <w:t>1</w:t>
            </w:r>
          </w:p>
        </w:tc>
        <w:tc>
          <w:tcPr>
            <w:tcW w:w="554" w:type="dxa"/>
          </w:tcPr>
          <w:p>
            <w:pPr>
              <w:pStyle w:val="TableParagraph"/>
              <w:spacing w:line="133" w:lineRule="exact" w:before="119"/>
              <w:ind w:right="234"/>
              <w:jc w:val="right"/>
              <w:rPr>
                <w:sz w:val="14"/>
              </w:rPr>
            </w:pPr>
            <w:r>
              <w:rPr>
                <w:sz w:val="14"/>
              </w:rPr>
              <w:t>77</w:t>
            </w:r>
          </w:p>
        </w:tc>
        <w:tc>
          <w:tcPr>
            <w:tcW w:w="485" w:type="dxa"/>
          </w:tcPr>
          <w:p>
            <w:pPr>
              <w:pStyle w:val="TableParagraph"/>
              <w:spacing w:line="133" w:lineRule="exact" w:before="119"/>
              <w:ind w:left="128"/>
              <w:rPr>
                <w:sz w:val="14"/>
              </w:rPr>
            </w:pPr>
            <w:r>
              <w:rPr>
                <w:sz w:val="14"/>
              </w:rPr>
              <w:t>22</w:t>
            </w:r>
          </w:p>
        </w:tc>
        <w:tc>
          <w:tcPr>
            <w:tcW w:w="485" w:type="dxa"/>
          </w:tcPr>
          <w:p>
            <w:pPr>
              <w:pStyle w:val="TableParagraph"/>
              <w:spacing w:line="133" w:lineRule="exact" w:before="119"/>
              <w:ind w:left="114"/>
              <w:rPr>
                <w:sz w:val="14"/>
              </w:rPr>
            </w:pPr>
            <w:r>
              <w:rPr>
                <w:sz w:val="14"/>
              </w:rPr>
              <w:t>&lt;1</w:t>
            </w:r>
          </w:p>
        </w:tc>
        <w:tc>
          <w:tcPr>
            <w:tcW w:w="473" w:type="dxa"/>
          </w:tcPr>
          <w:p>
            <w:pPr>
              <w:pStyle w:val="TableParagraph"/>
              <w:spacing w:line="133" w:lineRule="exact" w:before="119"/>
              <w:ind w:left="131"/>
              <w:rPr>
                <w:sz w:val="14"/>
              </w:rPr>
            </w:pPr>
            <w:r>
              <w:rPr>
                <w:sz w:val="14"/>
              </w:rPr>
              <w:t>&lt;1</w:t>
            </w:r>
          </w:p>
        </w:tc>
      </w:tr>
      <w:tr>
        <w:trPr>
          <w:trHeight w:val="140" w:hRule="atLeast"/>
        </w:trPr>
        <w:tc>
          <w:tcPr>
            <w:tcW w:w="1403" w:type="dxa"/>
          </w:tcPr>
          <w:p>
            <w:pPr>
              <w:pStyle w:val="TableParagraph"/>
              <w:ind w:left="50"/>
              <w:rPr>
                <w:sz w:val="14"/>
              </w:rPr>
            </w:pPr>
            <w:r>
              <w:rPr>
                <w:sz w:val="14"/>
              </w:rPr>
              <w:t>2001 Q4</w:t>
            </w:r>
          </w:p>
        </w:tc>
        <w:tc>
          <w:tcPr>
            <w:tcW w:w="464" w:type="dxa"/>
          </w:tcPr>
          <w:p>
            <w:pPr>
              <w:pStyle w:val="TableParagraph"/>
              <w:ind w:right="74"/>
              <w:jc w:val="center"/>
              <w:rPr>
                <w:sz w:val="14"/>
              </w:rPr>
            </w:pPr>
            <w:r>
              <w:rPr>
                <w:sz w:val="14"/>
              </w:rPr>
              <w:t>9</w:t>
            </w:r>
          </w:p>
        </w:tc>
        <w:tc>
          <w:tcPr>
            <w:tcW w:w="541" w:type="dxa"/>
          </w:tcPr>
          <w:p>
            <w:pPr>
              <w:pStyle w:val="TableParagraph"/>
              <w:ind w:left="159"/>
              <w:rPr>
                <w:sz w:val="14"/>
              </w:rPr>
            </w:pPr>
            <w:r>
              <w:rPr>
                <w:sz w:val="14"/>
              </w:rPr>
              <w:t>25</w:t>
            </w:r>
          </w:p>
        </w:tc>
        <w:tc>
          <w:tcPr>
            <w:tcW w:w="554" w:type="dxa"/>
          </w:tcPr>
          <w:p>
            <w:pPr>
              <w:pStyle w:val="TableParagraph"/>
              <w:ind w:right="234"/>
              <w:jc w:val="right"/>
              <w:rPr>
                <w:sz w:val="14"/>
              </w:rPr>
            </w:pPr>
            <w:r>
              <w:rPr>
                <w:sz w:val="14"/>
              </w:rPr>
              <w:t>34</w:t>
            </w:r>
          </w:p>
        </w:tc>
        <w:tc>
          <w:tcPr>
            <w:tcW w:w="485" w:type="dxa"/>
          </w:tcPr>
          <w:p>
            <w:pPr>
              <w:pStyle w:val="TableParagraph"/>
              <w:ind w:left="128"/>
              <w:rPr>
                <w:sz w:val="14"/>
              </w:rPr>
            </w:pPr>
            <w:r>
              <w:rPr>
                <w:sz w:val="14"/>
              </w:rPr>
              <w:t>23</w:t>
            </w:r>
          </w:p>
        </w:tc>
        <w:tc>
          <w:tcPr>
            <w:tcW w:w="485" w:type="dxa"/>
          </w:tcPr>
          <w:p>
            <w:pPr>
              <w:pStyle w:val="TableParagraph"/>
              <w:ind w:left="193"/>
              <w:rPr>
                <w:sz w:val="14"/>
              </w:rPr>
            </w:pPr>
            <w:r>
              <w:rPr>
                <w:sz w:val="14"/>
              </w:rPr>
              <w:t>8</w:t>
            </w:r>
          </w:p>
        </w:tc>
        <w:tc>
          <w:tcPr>
            <w:tcW w:w="473" w:type="dxa"/>
          </w:tcPr>
          <w:p>
            <w:pPr>
              <w:pStyle w:val="TableParagraph"/>
              <w:ind w:left="17"/>
              <w:jc w:val="center"/>
              <w:rPr>
                <w:sz w:val="14"/>
              </w:rPr>
            </w:pPr>
            <w:r>
              <w:rPr>
                <w:sz w:val="14"/>
              </w:rPr>
              <w:t>1</w:t>
            </w:r>
          </w:p>
        </w:tc>
      </w:tr>
      <w:tr>
        <w:trPr>
          <w:trHeight w:val="229" w:hRule="atLeast"/>
        </w:trPr>
        <w:tc>
          <w:tcPr>
            <w:tcW w:w="1403" w:type="dxa"/>
          </w:tcPr>
          <w:p>
            <w:pPr>
              <w:pStyle w:val="TableParagraph"/>
              <w:spacing w:line="148" w:lineRule="exact"/>
              <w:ind w:left="50"/>
              <w:rPr>
                <w:sz w:val="14"/>
              </w:rPr>
            </w:pPr>
            <w:r>
              <w:rPr>
                <w:sz w:val="14"/>
              </w:rPr>
              <w:t>2002 Q4</w:t>
            </w:r>
          </w:p>
        </w:tc>
        <w:tc>
          <w:tcPr>
            <w:tcW w:w="464" w:type="dxa"/>
          </w:tcPr>
          <w:p>
            <w:pPr>
              <w:pStyle w:val="TableParagraph"/>
              <w:spacing w:line="148" w:lineRule="exact"/>
              <w:ind w:left="88"/>
              <w:rPr>
                <w:sz w:val="14"/>
              </w:rPr>
            </w:pPr>
            <w:r>
              <w:rPr>
                <w:sz w:val="14"/>
              </w:rPr>
              <w:t>10</w:t>
            </w:r>
          </w:p>
        </w:tc>
        <w:tc>
          <w:tcPr>
            <w:tcW w:w="541" w:type="dxa"/>
          </w:tcPr>
          <w:p>
            <w:pPr>
              <w:pStyle w:val="TableParagraph"/>
              <w:spacing w:line="148" w:lineRule="exact"/>
              <w:ind w:left="159"/>
              <w:rPr>
                <w:sz w:val="14"/>
              </w:rPr>
            </w:pPr>
            <w:r>
              <w:rPr>
                <w:sz w:val="14"/>
              </w:rPr>
              <w:t>15</w:t>
            </w:r>
          </w:p>
        </w:tc>
        <w:tc>
          <w:tcPr>
            <w:tcW w:w="554" w:type="dxa"/>
          </w:tcPr>
          <w:p>
            <w:pPr>
              <w:pStyle w:val="TableParagraph"/>
              <w:spacing w:line="148" w:lineRule="exact"/>
              <w:ind w:right="234"/>
              <w:jc w:val="right"/>
              <w:rPr>
                <w:sz w:val="14"/>
              </w:rPr>
            </w:pPr>
            <w:r>
              <w:rPr>
                <w:sz w:val="14"/>
              </w:rPr>
              <w:t>22</w:t>
            </w:r>
          </w:p>
        </w:tc>
        <w:tc>
          <w:tcPr>
            <w:tcW w:w="485" w:type="dxa"/>
          </w:tcPr>
          <w:p>
            <w:pPr>
              <w:pStyle w:val="TableParagraph"/>
              <w:spacing w:line="148" w:lineRule="exact"/>
              <w:ind w:left="128"/>
              <w:rPr>
                <w:sz w:val="14"/>
              </w:rPr>
            </w:pPr>
            <w:r>
              <w:rPr>
                <w:sz w:val="14"/>
              </w:rPr>
              <w:t>23</w:t>
            </w:r>
          </w:p>
        </w:tc>
        <w:tc>
          <w:tcPr>
            <w:tcW w:w="485" w:type="dxa"/>
          </w:tcPr>
          <w:p>
            <w:pPr>
              <w:pStyle w:val="TableParagraph"/>
              <w:spacing w:line="148" w:lineRule="exact"/>
              <w:ind w:left="123"/>
              <w:rPr>
                <w:sz w:val="14"/>
              </w:rPr>
            </w:pPr>
            <w:r>
              <w:rPr>
                <w:sz w:val="14"/>
              </w:rPr>
              <w:t>17</w:t>
            </w:r>
          </w:p>
        </w:tc>
        <w:tc>
          <w:tcPr>
            <w:tcW w:w="473" w:type="dxa"/>
          </w:tcPr>
          <w:p>
            <w:pPr>
              <w:pStyle w:val="TableParagraph"/>
              <w:spacing w:line="148" w:lineRule="exact"/>
              <w:ind w:left="140"/>
              <w:rPr>
                <w:sz w:val="14"/>
              </w:rPr>
            </w:pPr>
            <w:r>
              <w:rPr>
                <w:sz w:val="14"/>
              </w:rPr>
              <w:t>13</w:t>
            </w:r>
          </w:p>
        </w:tc>
      </w:tr>
      <w:tr>
        <w:trPr>
          <w:trHeight w:val="299" w:hRule="atLeast"/>
        </w:trPr>
        <w:tc>
          <w:tcPr>
            <w:tcW w:w="1403" w:type="dxa"/>
          </w:tcPr>
          <w:p>
            <w:pPr>
              <w:pStyle w:val="TableParagraph"/>
              <w:spacing w:line="240" w:lineRule="auto" w:before="76"/>
              <w:ind w:left="50"/>
              <w:rPr>
                <w:b/>
                <w:sz w:val="14"/>
              </w:rPr>
            </w:pPr>
            <w:r>
              <w:rPr>
                <w:b/>
                <w:sz w:val="14"/>
              </w:rPr>
              <w:t>GDP growth</w:t>
            </w:r>
          </w:p>
        </w:tc>
        <w:tc>
          <w:tcPr>
            <w:tcW w:w="464" w:type="dxa"/>
          </w:tcPr>
          <w:p>
            <w:pPr>
              <w:pStyle w:val="TableParagraph"/>
              <w:spacing w:line="240" w:lineRule="auto"/>
              <w:rPr>
                <w:sz w:val="18"/>
              </w:rPr>
            </w:pPr>
          </w:p>
        </w:tc>
        <w:tc>
          <w:tcPr>
            <w:tcW w:w="541" w:type="dxa"/>
          </w:tcPr>
          <w:p>
            <w:pPr>
              <w:pStyle w:val="TableParagraph"/>
              <w:spacing w:line="240" w:lineRule="auto"/>
              <w:rPr>
                <w:sz w:val="18"/>
              </w:rPr>
            </w:pPr>
          </w:p>
        </w:tc>
        <w:tc>
          <w:tcPr>
            <w:tcW w:w="554" w:type="dxa"/>
          </w:tcPr>
          <w:p>
            <w:pPr>
              <w:pStyle w:val="TableParagraph"/>
              <w:spacing w:line="240" w:lineRule="auto"/>
              <w:rPr>
                <w:sz w:val="18"/>
              </w:rPr>
            </w:pPr>
          </w:p>
        </w:tc>
        <w:tc>
          <w:tcPr>
            <w:tcW w:w="485" w:type="dxa"/>
          </w:tcPr>
          <w:p>
            <w:pPr>
              <w:pStyle w:val="TableParagraph"/>
              <w:spacing w:line="240" w:lineRule="auto"/>
              <w:rPr>
                <w:sz w:val="18"/>
              </w:rPr>
            </w:pPr>
          </w:p>
        </w:tc>
        <w:tc>
          <w:tcPr>
            <w:tcW w:w="485" w:type="dxa"/>
          </w:tcPr>
          <w:p>
            <w:pPr>
              <w:pStyle w:val="TableParagraph"/>
              <w:spacing w:line="240" w:lineRule="auto"/>
              <w:rPr>
                <w:sz w:val="18"/>
              </w:rPr>
            </w:pPr>
          </w:p>
        </w:tc>
        <w:tc>
          <w:tcPr>
            <w:tcW w:w="473" w:type="dxa"/>
          </w:tcPr>
          <w:p>
            <w:pPr>
              <w:pStyle w:val="TableParagraph"/>
              <w:spacing w:line="240" w:lineRule="auto"/>
              <w:rPr>
                <w:sz w:val="18"/>
              </w:rPr>
            </w:pPr>
          </w:p>
        </w:tc>
      </w:tr>
      <w:tr>
        <w:trPr>
          <w:trHeight w:val="231" w:hRule="atLeast"/>
        </w:trPr>
        <w:tc>
          <w:tcPr>
            <w:tcW w:w="1403" w:type="dxa"/>
          </w:tcPr>
          <w:p>
            <w:pPr>
              <w:pStyle w:val="TableParagraph"/>
              <w:spacing w:line="155" w:lineRule="exact" w:before="56"/>
              <w:ind w:left="50"/>
              <w:rPr>
                <w:sz w:val="14"/>
              </w:rPr>
            </w:pPr>
            <w:r>
              <w:rPr>
                <w:sz w:val="14"/>
              </w:rPr>
              <w:t>Probability, per cent</w:t>
            </w:r>
          </w:p>
        </w:tc>
        <w:tc>
          <w:tcPr>
            <w:tcW w:w="464" w:type="dxa"/>
            <w:tcBorders>
              <w:bottom w:val="single" w:sz="2" w:space="0" w:color="000000"/>
            </w:tcBorders>
          </w:tcPr>
          <w:p>
            <w:pPr>
              <w:pStyle w:val="TableParagraph"/>
              <w:spacing w:line="155" w:lineRule="exact" w:before="56"/>
              <w:rPr>
                <w:sz w:val="14"/>
              </w:rPr>
            </w:pPr>
            <w:r>
              <w:rPr>
                <w:sz w:val="14"/>
              </w:rPr>
              <w:t>Range:</w:t>
            </w:r>
          </w:p>
        </w:tc>
        <w:tc>
          <w:tcPr>
            <w:tcW w:w="541" w:type="dxa"/>
            <w:tcBorders>
              <w:bottom w:val="single" w:sz="2" w:space="0" w:color="000000"/>
            </w:tcBorders>
          </w:tcPr>
          <w:p>
            <w:pPr>
              <w:pStyle w:val="TableParagraph"/>
              <w:spacing w:line="240" w:lineRule="auto"/>
              <w:rPr>
                <w:sz w:val="16"/>
              </w:rPr>
            </w:pPr>
          </w:p>
        </w:tc>
        <w:tc>
          <w:tcPr>
            <w:tcW w:w="554" w:type="dxa"/>
            <w:tcBorders>
              <w:bottom w:val="single" w:sz="2" w:space="0" w:color="000000"/>
            </w:tcBorders>
          </w:tcPr>
          <w:p>
            <w:pPr>
              <w:pStyle w:val="TableParagraph"/>
              <w:spacing w:line="240" w:lineRule="auto"/>
              <w:rPr>
                <w:sz w:val="16"/>
              </w:rPr>
            </w:pPr>
          </w:p>
        </w:tc>
        <w:tc>
          <w:tcPr>
            <w:tcW w:w="485" w:type="dxa"/>
            <w:tcBorders>
              <w:bottom w:val="single" w:sz="2" w:space="0" w:color="000000"/>
            </w:tcBorders>
          </w:tcPr>
          <w:p>
            <w:pPr>
              <w:pStyle w:val="TableParagraph"/>
              <w:spacing w:line="240" w:lineRule="auto"/>
              <w:rPr>
                <w:sz w:val="16"/>
              </w:rPr>
            </w:pPr>
          </w:p>
        </w:tc>
        <w:tc>
          <w:tcPr>
            <w:tcW w:w="485" w:type="dxa"/>
            <w:tcBorders>
              <w:bottom w:val="single" w:sz="2" w:space="0" w:color="000000"/>
            </w:tcBorders>
          </w:tcPr>
          <w:p>
            <w:pPr>
              <w:pStyle w:val="TableParagraph"/>
              <w:spacing w:line="240" w:lineRule="auto"/>
              <w:rPr>
                <w:sz w:val="16"/>
              </w:rPr>
            </w:pPr>
          </w:p>
        </w:tc>
        <w:tc>
          <w:tcPr>
            <w:tcW w:w="473" w:type="dxa"/>
            <w:tcBorders>
              <w:bottom w:val="single" w:sz="2" w:space="0" w:color="000000"/>
            </w:tcBorders>
          </w:tcPr>
          <w:p>
            <w:pPr>
              <w:pStyle w:val="TableParagraph"/>
              <w:spacing w:line="240" w:lineRule="auto"/>
              <w:rPr>
                <w:sz w:val="16"/>
              </w:rPr>
            </w:pPr>
          </w:p>
        </w:tc>
      </w:tr>
      <w:tr>
        <w:trPr>
          <w:trHeight w:val="153" w:hRule="atLeast"/>
        </w:trPr>
        <w:tc>
          <w:tcPr>
            <w:tcW w:w="1403" w:type="dxa"/>
          </w:tcPr>
          <w:p>
            <w:pPr>
              <w:pStyle w:val="TableParagraph"/>
              <w:spacing w:line="240" w:lineRule="auto"/>
              <w:rPr>
                <w:sz w:val="8"/>
              </w:rPr>
            </w:pPr>
          </w:p>
        </w:tc>
        <w:tc>
          <w:tcPr>
            <w:tcW w:w="464" w:type="dxa"/>
            <w:tcBorders>
              <w:top w:val="single" w:sz="2" w:space="0" w:color="000000"/>
            </w:tcBorders>
          </w:tcPr>
          <w:p>
            <w:pPr>
              <w:pStyle w:val="TableParagraph"/>
              <w:spacing w:line="133" w:lineRule="exact"/>
              <w:ind w:left="16"/>
              <w:rPr>
                <w:sz w:val="14"/>
              </w:rPr>
            </w:pPr>
            <w:r>
              <w:rPr>
                <w:sz w:val="14"/>
              </w:rPr>
              <w:t>less</w:t>
            </w:r>
          </w:p>
        </w:tc>
        <w:tc>
          <w:tcPr>
            <w:tcW w:w="541" w:type="dxa"/>
            <w:tcBorders>
              <w:top w:val="single" w:sz="2" w:space="0" w:color="000000"/>
            </w:tcBorders>
          </w:tcPr>
          <w:p>
            <w:pPr>
              <w:pStyle w:val="TableParagraph"/>
              <w:spacing w:line="133" w:lineRule="exact"/>
              <w:ind w:left="95"/>
              <w:rPr>
                <w:sz w:val="14"/>
              </w:rPr>
            </w:pPr>
            <w:r>
              <w:rPr>
                <w:sz w:val="14"/>
              </w:rPr>
              <w:t>0%</w:t>
            </w:r>
          </w:p>
        </w:tc>
        <w:tc>
          <w:tcPr>
            <w:tcW w:w="554" w:type="dxa"/>
            <w:tcBorders>
              <w:top w:val="single" w:sz="2" w:space="0" w:color="000000"/>
            </w:tcBorders>
          </w:tcPr>
          <w:p>
            <w:pPr>
              <w:pStyle w:val="TableParagraph"/>
              <w:spacing w:line="133" w:lineRule="exact"/>
              <w:ind w:left="89"/>
              <w:rPr>
                <w:sz w:val="14"/>
              </w:rPr>
            </w:pPr>
            <w:r>
              <w:rPr>
                <w:sz w:val="14"/>
              </w:rPr>
              <w:t>1%</w:t>
            </w:r>
          </w:p>
        </w:tc>
        <w:tc>
          <w:tcPr>
            <w:tcW w:w="485" w:type="dxa"/>
            <w:tcBorders>
              <w:top w:val="single" w:sz="2" w:space="0" w:color="000000"/>
            </w:tcBorders>
          </w:tcPr>
          <w:p>
            <w:pPr>
              <w:pStyle w:val="TableParagraph"/>
              <w:spacing w:line="133" w:lineRule="exact"/>
              <w:ind w:left="109"/>
              <w:rPr>
                <w:sz w:val="14"/>
              </w:rPr>
            </w:pPr>
            <w:r>
              <w:rPr>
                <w:sz w:val="14"/>
              </w:rPr>
              <w:t>2%</w:t>
            </w:r>
          </w:p>
        </w:tc>
        <w:tc>
          <w:tcPr>
            <w:tcW w:w="485" w:type="dxa"/>
            <w:tcBorders>
              <w:top w:val="single" w:sz="2" w:space="0" w:color="000000"/>
            </w:tcBorders>
          </w:tcPr>
          <w:p>
            <w:pPr>
              <w:pStyle w:val="TableParagraph"/>
              <w:spacing w:line="133" w:lineRule="exact"/>
              <w:ind w:left="96"/>
              <w:rPr>
                <w:sz w:val="14"/>
              </w:rPr>
            </w:pPr>
            <w:r>
              <w:rPr>
                <w:sz w:val="14"/>
              </w:rPr>
              <w:t>3%</w:t>
            </w:r>
          </w:p>
        </w:tc>
        <w:tc>
          <w:tcPr>
            <w:tcW w:w="473" w:type="dxa"/>
            <w:tcBorders>
              <w:top w:val="single" w:sz="2" w:space="0" w:color="000000"/>
            </w:tcBorders>
          </w:tcPr>
          <w:p>
            <w:pPr>
              <w:pStyle w:val="TableParagraph"/>
              <w:spacing w:line="133" w:lineRule="exact"/>
              <w:ind w:left="67"/>
              <w:rPr>
                <w:sz w:val="14"/>
              </w:rPr>
            </w:pPr>
            <w:r>
              <w:rPr>
                <w:sz w:val="14"/>
              </w:rPr>
              <w:t>more</w:t>
            </w:r>
          </w:p>
        </w:tc>
      </w:tr>
      <w:tr>
        <w:trPr>
          <w:trHeight w:val="147" w:hRule="atLeast"/>
        </w:trPr>
        <w:tc>
          <w:tcPr>
            <w:tcW w:w="1403" w:type="dxa"/>
          </w:tcPr>
          <w:p>
            <w:pPr>
              <w:pStyle w:val="TableParagraph"/>
              <w:spacing w:line="240" w:lineRule="auto"/>
              <w:rPr>
                <w:sz w:val="8"/>
              </w:rPr>
            </w:pPr>
          </w:p>
        </w:tc>
        <w:tc>
          <w:tcPr>
            <w:tcW w:w="464" w:type="dxa"/>
          </w:tcPr>
          <w:p>
            <w:pPr>
              <w:pStyle w:val="TableParagraph"/>
              <w:spacing w:line="128" w:lineRule="exact"/>
              <w:ind w:left="16"/>
              <w:rPr>
                <w:sz w:val="14"/>
              </w:rPr>
            </w:pPr>
            <w:r>
              <w:rPr>
                <w:sz w:val="14"/>
              </w:rPr>
              <w:t>than</w:t>
            </w:r>
          </w:p>
        </w:tc>
        <w:tc>
          <w:tcPr>
            <w:tcW w:w="541" w:type="dxa"/>
          </w:tcPr>
          <w:p>
            <w:pPr>
              <w:pStyle w:val="TableParagraph"/>
              <w:spacing w:line="128" w:lineRule="exact"/>
              <w:ind w:left="94"/>
              <w:rPr>
                <w:sz w:val="14"/>
              </w:rPr>
            </w:pPr>
            <w:r>
              <w:rPr>
                <w:sz w:val="14"/>
              </w:rPr>
              <w:t>to</w:t>
            </w:r>
          </w:p>
        </w:tc>
        <w:tc>
          <w:tcPr>
            <w:tcW w:w="554" w:type="dxa"/>
          </w:tcPr>
          <w:p>
            <w:pPr>
              <w:pStyle w:val="TableParagraph"/>
              <w:spacing w:line="128" w:lineRule="exact"/>
              <w:ind w:left="88"/>
              <w:rPr>
                <w:sz w:val="14"/>
              </w:rPr>
            </w:pPr>
            <w:r>
              <w:rPr>
                <w:sz w:val="14"/>
              </w:rPr>
              <w:t>to</w:t>
            </w:r>
          </w:p>
        </w:tc>
        <w:tc>
          <w:tcPr>
            <w:tcW w:w="485" w:type="dxa"/>
          </w:tcPr>
          <w:p>
            <w:pPr>
              <w:pStyle w:val="TableParagraph"/>
              <w:spacing w:line="128" w:lineRule="exact"/>
              <w:ind w:left="109"/>
              <w:rPr>
                <w:sz w:val="14"/>
              </w:rPr>
            </w:pPr>
            <w:r>
              <w:rPr>
                <w:sz w:val="14"/>
              </w:rPr>
              <w:t>to</w:t>
            </w:r>
          </w:p>
        </w:tc>
        <w:tc>
          <w:tcPr>
            <w:tcW w:w="485" w:type="dxa"/>
          </w:tcPr>
          <w:p>
            <w:pPr>
              <w:pStyle w:val="TableParagraph"/>
              <w:spacing w:line="128" w:lineRule="exact"/>
              <w:ind w:left="96"/>
              <w:rPr>
                <w:sz w:val="14"/>
              </w:rPr>
            </w:pPr>
            <w:r>
              <w:rPr>
                <w:sz w:val="14"/>
              </w:rPr>
              <w:t>to</w:t>
            </w:r>
          </w:p>
        </w:tc>
        <w:tc>
          <w:tcPr>
            <w:tcW w:w="473" w:type="dxa"/>
          </w:tcPr>
          <w:p>
            <w:pPr>
              <w:pStyle w:val="TableParagraph"/>
              <w:spacing w:line="128" w:lineRule="exact"/>
              <w:ind w:left="67"/>
              <w:rPr>
                <w:sz w:val="14"/>
              </w:rPr>
            </w:pPr>
            <w:r>
              <w:rPr>
                <w:sz w:val="14"/>
              </w:rPr>
              <w:t>than</w:t>
            </w:r>
          </w:p>
        </w:tc>
      </w:tr>
    </w:tbl>
    <w:p>
      <w:pPr>
        <w:tabs>
          <w:tab w:pos="1077" w:val="left" w:leader="none"/>
          <w:tab w:pos="1652" w:val="left" w:leader="none"/>
        </w:tabs>
        <w:spacing w:before="0"/>
        <w:ind w:left="0" w:right="38" w:firstLine="0"/>
        <w:jc w:val="right"/>
        <w:rPr>
          <w:sz w:val="14"/>
        </w:rPr>
      </w:pPr>
      <w:r>
        <w:rPr>
          <w:sz w:val="14"/>
          <w:u w:val="single"/>
        </w:rPr>
        <w:t>0%     </w:t>
      </w:r>
      <w:r>
        <w:rPr>
          <w:sz w:val="14"/>
        </w:rPr>
        <w:t>    </w:t>
      </w:r>
      <w:r>
        <w:rPr>
          <w:spacing w:val="4"/>
          <w:sz w:val="14"/>
        </w:rPr>
        <w:t> </w:t>
      </w:r>
      <w:r>
        <w:rPr>
          <w:sz w:val="14"/>
          <w:u w:val="single"/>
        </w:rPr>
        <w:t>1%</w:t>
      </w:r>
      <w:r>
        <w:rPr>
          <w:sz w:val="14"/>
        </w:rPr>
        <w:tab/>
      </w:r>
      <w:r>
        <w:rPr>
          <w:sz w:val="14"/>
          <w:u w:val="single"/>
        </w:rPr>
        <w:t>2%</w:t>
      </w:r>
      <w:r>
        <w:rPr>
          <w:sz w:val="14"/>
        </w:rPr>
        <w:tab/>
      </w:r>
      <w:r>
        <w:rPr>
          <w:sz w:val="14"/>
          <w:u w:val="single"/>
        </w:rPr>
        <w:t>3%</w:t>
      </w:r>
      <w:r>
        <w:rPr>
          <w:sz w:val="14"/>
        </w:rPr>
        <w:t> </w:t>
      </w:r>
      <w:r>
        <w:rPr>
          <w:sz w:val="14"/>
          <w:u w:val="single"/>
        </w:rPr>
        <w:t>4%</w:t>
      </w:r>
      <w:r>
        <w:rPr>
          <w:spacing w:val="24"/>
          <w:sz w:val="14"/>
        </w:rPr>
        <w:t> </w:t>
      </w:r>
      <w:r>
        <w:rPr>
          <w:sz w:val="14"/>
          <w:u w:val="single"/>
        </w:rPr>
        <w:t>4%</w:t>
      </w:r>
      <w:r>
        <w:rPr>
          <w:spacing w:val="13"/>
          <w:sz w:val="14"/>
          <w:u w:val="single"/>
        </w:rPr>
        <w:t> </w:t>
      </w:r>
    </w:p>
    <w:p>
      <w:pPr>
        <w:tabs>
          <w:tab w:pos="1601" w:val="left" w:leader="none"/>
          <w:tab w:pos="2105" w:val="left" w:leader="none"/>
          <w:tab w:pos="2703" w:val="left" w:leader="none"/>
          <w:tab w:pos="3223" w:val="left" w:leader="none"/>
          <w:tab w:pos="3719" w:val="left" w:leader="none"/>
          <w:tab w:pos="4190" w:val="left" w:leader="none"/>
        </w:tabs>
        <w:spacing w:line="150" w:lineRule="exact" w:before="119"/>
        <w:ind w:left="168" w:right="0" w:firstLine="0"/>
        <w:jc w:val="left"/>
        <w:rPr>
          <w:sz w:val="14"/>
        </w:rPr>
      </w:pPr>
      <w:r>
        <w:rPr>
          <w:sz w:val="14"/>
        </w:rPr>
        <w:t>2000 Q4</w:t>
        <w:tab/>
        <w:t>&lt;1</w:t>
        <w:tab/>
        <w:t>&lt;1</w:t>
        <w:tab/>
        <w:t>1</w:t>
        <w:tab/>
        <w:t>81</w:t>
        <w:tab/>
        <w:t>18</w:t>
        <w:tab/>
        <w:t>&lt;1</w:t>
      </w:r>
    </w:p>
    <w:p>
      <w:pPr>
        <w:tabs>
          <w:tab w:pos="1680" w:val="left" w:leader="none"/>
          <w:tab w:pos="2184" w:val="left" w:leader="none"/>
          <w:tab w:pos="2633" w:val="left" w:leader="none"/>
          <w:tab w:pos="3223" w:val="left" w:leader="none"/>
          <w:tab w:pos="3719" w:val="left" w:leader="none"/>
          <w:tab w:pos="4339" w:val="right" w:leader="none"/>
        </w:tabs>
        <w:spacing w:line="140" w:lineRule="exact" w:before="0"/>
        <w:ind w:left="168" w:right="0" w:firstLine="0"/>
        <w:jc w:val="left"/>
        <w:rPr>
          <w:sz w:val="14"/>
        </w:rPr>
      </w:pPr>
      <w:r>
        <w:rPr>
          <w:sz w:val="14"/>
        </w:rPr>
        <w:t>2001 Q4</w:t>
        <w:tab/>
        <w:t>1</w:t>
        <w:tab/>
        <w:t>8</w:t>
        <w:tab/>
        <w:t>27</w:t>
        <w:tab/>
        <w:t>38</w:t>
        <w:tab/>
        <w:t>21</w:t>
        <w:tab/>
        <w:t>5</w:t>
      </w:r>
    </w:p>
    <w:p>
      <w:pPr>
        <w:tabs>
          <w:tab w:pos="1680" w:val="left" w:leader="none"/>
          <w:tab w:pos="2114" w:val="left" w:leader="none"/>
          <w:tab w:pos="2633" w:val="left" w:leader="none"/>
          <w:tab w:pos="3223" w:val="left" w:leader="none"/>
          <w:tab w:pos="3719" w:val="left" w:leader="none"/>
          <w:tab w:pos="4339" w:val="right" w:leader="none"/>
        </w:tabs>
        <w:spacing w:line="150" w:lineRule="exact" w:before="0"/>
        <w:ind w:left="168" w:right="0" w:firstLine="0"/>
        <w:jc w:val="left"/>
        <w:rPr>
          <w:sz w:val="14"/>
        </w:rPr>
      </w:pPr>
      <w:r>
        <w:rPr>
          <w:sz w:val="14"/>
        </w:rPr>
        <w:t>2002 Q4</w:t>
        <w:tab/>
        <w:t>2</w:t>
        <w:tab/>
        <w:t>10</w:t>
        <w:tab/>
        <w:t>25</w:t>
        <w:tab/>
        <w:t>33</w:t>
        <w:tab/>
        <w:t>22</w:t>
        <w:tab/>
        <w:t>8</w:t>
      </w:r>
    </w:p>
    <w:p>
      <w:pPr>
        <w:pStyle w:val="ListParagraph"/>
        <w:numPr>
          <w:ilvl w:val="0"/>
          <w:numId w:val="45"/>
        </w:numPr>
        <w:tabs>
          <w:tab w:pos="410" w:val="left" w:leader="none"/>
        </w:tabs>
        <w:spacing w:line="208" w:lineRule="auto" w:before="112" w:after="0"/>
        <w:ind w:left="408" w:right="309" w:hanging="240"/>
        <w:jc w:val="left"/>
        <w:rPr>
          <w:sz w:val="12"/>
        </w:rPr>
      </w:pPr>
      <w:r>
        <w:rPr>
          <w:sz w:val="12"/>
        </w:rPr>
        <w:t>These</w:t>
      </w:r>
      <w:r>
        <w:rPr>
          <w:spacing w:val="-5"/>
          <w:sz w:val="12"/>
        </w:rPr>
        <w:t> </w:t>
      </w:r>
      <w:r>
        <w:rPr>
          <w:sz w:val="12"/>
        </w:rPr>
        <w:t>figures</w:t>
      </w:r>
      <w:r>
        <w:rPr>
          <w:spacing w:val="-5"/>
          <w:sz w:val="12"/>
        </w:rPr>
        <w:t> </w:t>
      </w:r>
      <w:r>
        <w:rPr>
          <w:sz w:val="12"/>
        </w:rPr>
        <w:t>are</w:t>
      </w:r>
      <w:r>
        <w:rPr>
          <w:spacing w:val="-5"/>
          <w:sz w:val="12"/>
        </w:rPr>
        <w:t> </w:t>
      </w:r>
      <w:r>
        <w:rPr>
          <w:sz w:val="12"/>
        </w:rPr>
        <w:t>from</w:t>
      </w:r>
      <w:r>
        <w:rPr>
          <w:spacing w:val="-4"/>
          <w:sz w:val="12"/>
        </w:rPr>
        <w:t> </w:t>
      </w:r>
      <w:r>
        <w:rPr>
          <w:sz w:val="12"/>
        </w:rPr>
        <w:t>the</w:t>
      </w:r>
      <w:r>
        <w:rPr>
          <w:spacing w:val="-5"/>
          <w:sz w:val="12"/>
        </w:rPr>
        <w:t> </w:t>
      </w:r>
      <w:r>
        <w:rPr>
          <w:sz w:val="12"/>
        </w:rPr>
        <w:t>same</w:t>
      </w:r>
      <w:r>
        <w:rPr>
          <w:spacing w:val="-5"/>
          <w:sz w:val="12"/>
        </w:rPr>
        <w:t> </w:t>
      </w:r>
      <w:r>
        <w:rPr>
          <w:sz w:val="12"/>
        </w:rPr>
        <w:t>distributions</w:t>
      </w:r>
      <w:r>
        <w:rPr>
          <w:spacing w:val="-4"/>
          <w:sz w:val="12"/>
        </w:rPr>
        <w:t> </w:t>
      </w:r>
      <w:r>
        <w:rPr>
          <w:sz w:val="12"/>
        </w:rPr>
        <w:t>as</w:t>
      </w:r>
      <w:r>
        <w:rPr>
          <w:spacing w:val="-5"/>
          <w:sz w:val="12"/>
        </w:rPr>
        <w:t> </w:t>
      </w:r>
      <w:r>
        <w:rPr>
          <w:sz w:val="12"/>
        </w:rPr>
        <w:t>the</w:t>
      </w:r>
      <w:r>
        <w:rPr>
          <w:spacing w:val="-5"/>
          <w:sz w:val="12"/>
        </w:rPr>
        <w:t> </w:t>
      </w:r>
      <w:r>
        <w:rPr>
          <w:sz w:val="12"/>
        </w:rPr>
        <w:t>GDP</w:t>
      </w:r>
      <w:r>
        <w:rPr>
          <w:spacing w:val="-4"/>
          <w:sz w:val="12"/>
        </w:rPr>
        <w:t> </w:t>
      </w:r>
      <w:r>
        <w:rPr>
          <w:sz w:val="12"/>
        </w:rPr>
        <w:t>and</w:t>
      </w:r>
      <w:r>
        <w:rPr>
          <w:spacing w:val="-5"/>
          <w:sz w:val="12"/>
        </w:rPr>
        <w:t> </w:t>
      </w:r>
      <w:r>
        <w:rPr>
          <w:sz w:val="12"/>
        </w:rPr>
        <w:t>RPIX</w:t>
      </w:r>
      <w:r>
        <w:rPr>
          <w:spacing w:val="-5"/>
          <w:sz w:val="12"/>
        </w:rPr>
        <w:t> </w:t>
      </w:r>
      <w:r>
        <w:rPr>
          <w:sz w:val="12"/>
        </w:rPr>
        <w:t>fan</w:t>
      </w:r>
      <w:r>
        <w:rPr>
          <w:spacing w:val="-4"/>
          <w:sz w:val="12"/>
        </w:rPr>
        <w:t> </w:t>
      </w:r>
      <w:r>
        <w:rPr>
          <w:sz w:val="12"/>
        </w:rPr>
        <w:t>charts, Charts 6.1 and 6.2.</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5"/>
        </w:rPr>
      </w:pPr>
    </w:p>
    <w:p>
      <w:pPr>
        <w:spacing w:before="0"/>
        <w:ind w:left="174" w:right="0" w:firstLine="0"/>
        <w:jc w:val="both"/>
        <w:rPr>
          <w:b/>
          <w:sz w:val="20"/>
        </w:rPr>
      </w:pPr>
      <w:r>
        <w:rPr>
          <w:b/>
          <w:color w:val="0092C7"/>
          <w:sz w:val="20"/>
        </w:rPr>
        <w:t>Table 6.B</w:t>
      </w:r>
    </w:p>
    <w:p>
      <w:pPr>
        <w:spacing w:line="249" w:lineRule="auto" w:before="10"/>
        <w:ind w:left="174" w:right="33" w:firstLine="0"/>
        <w:jc w:val="left"/>
        <w:rPr>
          <w:b/>
          <w:sz w:val="20"/>
        </w:rPr>
      </w:pPr>
      <w:r>
        <w:rPr>
          <w:b/>
          <w:color w:val="0092C7"/>
          <w:sz w:val="20"/>
        </w:rPr>
        <w:t>Possible effects on RPIX inflation and GDP growth of the alternative assumptions</w:t>
      </w:r>
    </w:p>
    <w:p>
      <w:pPr>
        <w:spacing w:before="98"/>
        <w:ind w:left="174" w:right="0" w:firstLine="0"/>
        <w:jc w:val="left"/>
        <w:rPr>
          <w:sz w:val="14"/>
        </w:rPr>
      </w:pPr>
      <w:r>
        <w:rPr>
          <w:sz w:val="14"/>
        </w:rPr>
        <w:t>Difference from central projection in percentage points</w:t>
      </w:r>
    </w:p>
    <w:p>
      <w:pPr>
        <w:pStyle w:val="BodyText"/>
        <w:rPr>
          <w:sz w:val="16"/>
        </w:rPr>
      </w:pPr>
    </w:p>
    <w:p>
      <w:pPr>
        <w:spacing w:line="208" w:lineRule="auto" w:before="92"/>
        <w:ind w:left="1294" w:right="1207" w:firstLine="0"/>
        <w:jc w:val="left"/>
        <w:rPr>
          <w:sz w:val="14"/>
        </w:rPr>
      </w:pPr>
      <w:r>
        <w:rPr>
          <w:sz w:val="14"/>
        </w:rPr>
        <w:t>Improvement in UK supply-side and labour market performance</w:t>
      </w:r>
    </w:p>
    <w:p>
      <w:pPr>
        <w:pStyle w:val="BodyText"/>
        <w:spacing w:before="2"/>
        <w:rPr>
          <w:sz w:val="3"/>
        </w:rPr>
      </w:pPr>
    </w:p>
    <w:p>
      <w:pPr>
        <w:pStyle w:val="BodyText"/>
        <w:spacing w:line="20" w:lineRule="exact"/>
        <w:ind w:left="1282"/>
        <w:rPr>
          <w:sz w:val="2"/>
        </w:rPr>
      </w:pPr>
      <w:r>
        <w:rPr>
          <w:sz w:val="2"/>
        </w:rPr>
        <w:pict>
          <v:group style="width:90.3pt;height:.15pt;mso-position-horizontal-relative:char;mso-position-vertical-relative:line" coordorigin="0,0" coordsize="1806,3">
            <v:line style="position:absolute" from="0,1" to="1806,1" stroked="true" strokeweight=".125pt" strokecolor="#000000">
              <v:stroke dashstyle="solid"/>
            </v:line>
          </v:group>
        </w:pict>
      </w:r>
      <w:r>
        <w:rPr>
          <w:sz w:val="2"/>
        </w:rPr>
      </w:r>
    </w:p>
    <w:p>
      <w:pPr>
        <w:spacing w:before="66"/>
        <w:ind w:left="174" w:right="0" w:firstLine="0"/>
        <w:jc w:val="left"/>
        <w:rPr>
          <w:b/>
          <w:sz w:val="14"/>
        </w:rPr>
      </w:pPr>
      <w:r>
        <w:rPr>
          <w:b/>
          <w:sz w:val="14"/>
        </w:rPr>
        <w:t>RPIX inflation</w:t>
      </w:r>
    </w:p>
    <w:p>
      <w:pPr>
        <w:tabs>
          <w:tab w:pos="1777" w:val="left" w:leader="none"/>
        </w:tabs>
        <w:spacing w:line="150" w:lineRule="exact" w:before="119"/>
        <w:ind w:left="174" w:right="0" w:firstLine="0"/>
        <w:jc w:val="left"/>
        <w:rPr>
          <w:sz w:val="14"/>
        </w:rPr>
      </w:pPr>
      <w:r>
        <w:rPr>
          <w:sz w:val="14"/>
        </w:rPr>
        <w:t>2001 Q4</w:t>
        <w:tab/>
        <w:t>-0.1 to +0.1</w:t>
      </w:r>
    </w:p>
    <w:p>
      <w:pPr>
        <w:tabs>
          <w:tab w:pos="1742" w:val="left" w:leader="none"/>
        </w:tabs>
        <w:spacing w:line="150" w:lineRule="exact" w:before="0"/>
        <w:ind w:left="174" w:right="0" w:firstLine="0"/>
        <w:jc w:val="left"/>
        <w:rPr>
          <w:sz w:val="14"/>
        </w:rPr>
      </w:pPr>
      <w:r>
        <w:rPr>
          <w:sz w:val="14"/>
        </w:rPr>
        <w:t>2002 Q4</w:t>
        <w:tab/>
        <w:t>-0.25 to +0.2</w:t>
      </w:r>
    </w:p>
    <w:p>
      <w:pPr>
        <w:spacing w:before="119"/>
        <w:ind w:left="174" w:right="0" w:firstLine="0"/>
        <w:jc w:val="left"/>
        <w:rPr>
          <w:b/>
          <w:sz w:val="14"/>
        </w:rPr>
      </w:pPr>
      <w:r>
        <w:rPr>
          <w:b/>
          <w:sz w:val="14"/>
        </w:rPr>
        <w:t>GDP growth</w:t>
      </w:r>
    </w:p>
    <w:p>
      <w:pPr>
        <w:tabs>
          <w:tab w:pos="2016" w:val="left" w:leader="none"/>
        </w:tabs>
        <w:spacing w:line="150" w:lineRule="exact" w:before="119"/>
        <w:ind w:left="174" w:right="0" w:firstLine="0"/>
        <w:jc w:val="left"/>
        <w:rPr>
          <w:sz w:val="14"/>
        </w:rPr>
      </w:pPr>
      <w:r>
        <w:rPr>
          <w:sz w:val="14"/>
        </w:rPr>
        <w:t>2001 Q4</w:t>
        <w:tab/>
        <w:t>0.0</w:t>
      </w:r>
    </w:p>
    <w:p>
      <w:pPr>
        <w:tabs>
          <w:tab w:pos="1777" w:val="left" w:leader="none"/>
        </w:tabs>
        <w:spacing w:line="150" w:lineRule="exact" w:before="0"/>
        <w:ind w:left="174" w:right="0" w:firstLine="0"/>
        <w:jc w:val="left"/>
        <w:rPr>
          <w:sz w:val="14"/>
        </w:rPr>
      </w:pPr>
      <w:r>
        <w:rPr>
          <w:sz w:val="14"/>
        </w:rPr>
        <w:t>2002 Q4</w:t>
        <w:tab/>
        <w:t>+0.1 to -0.1</w:t>
      </w:r>
    </w:p>
    <w:p>
      <w:pPr>
        <w:pStyle w:val="BodyText"/>
        <w:spacing w:line="242" w:lineRule="auto" w:before="90"/>
        <w:ind w:left="169" w:right="247"/>
      </w:pPr>
      <w:r>
        <w:rPr/>
        <w:br w:type="column"/>
      </w:r>
      <w:r>
        <w:rPr/>
        <w:t>As emphasised above, there remain a number of major uncertainties in the outlook. The probability distributions incorporated in the fan charts show the general uncertainty around the central projections.</w:t>
      </w:r>
    </w:p>
    <w:p>
      <w:pPr>
        <w:pStyle w:val="BodyText"/>
        <w:spacing w:line="242" w:lineRule="auto" w:before="5"/>
        <w:ind w:left="169" w:right="190"/>
      </w:pPr>
      <w:r>
        <w:rPr/>
        <w:t>However, certain Committee members prefer to make different assumptions on the possible impact of general supply-side improvements on inflation prospects and on risks to the earnings outlook. Based on their preferred alternative assumptions, which are shown in Table 6.B, individual Committee members judge that the profile for inflation at the two-year horizon could be up to </w:t>
      </w:r>
      <w:r>
        <w:rPr>
          <w:position w:val="8"/>
          <w:sz w:val="12"/>
        </w:rPr>
        <w:t>1</w:t>
      </w:r>
      <w:r>
        <w:rPr/>
        <w:t>/</w:t>
      </w:r>
      <w:r>
        <w:rPr>
          <w:sz w:val="12"/>
        </w:rPr>
        <w:t>4</w:t>
      </w:r>
      <w:r>
        <w:rPr/>
        <w:t>% higher or lower than in the central projection portrayed in Chart 6.2. The range of views is narrower than three months ago.</w:t>
      </w:r>
    </w:p>
    <w:p>
      <w:pPr>
        <w:pStyle w:val="BodyText"/>
        <w:rPr>
          <w:sz w:val="22"/>
        </w:rPr>
      </w:pPr>
    </w:p>
    <w:p>
      <w:pPr>
        <w:pStyle w:val="BodyText"/>
        <w:spacing w:line="242" w:lineRule="auto"/>
        <w:ind w:left="169" w:right="247"/>
      </w:pPr>
      <w:r>
        <w:rPr/>
        <w:t>In making their individual assessments of the appropriate setting for interest rates, Committee members draw on their judgment of the prospective profile for inflation and output, paying particular attention to the uncertainties and risks. As outlined in the box opposite, there is no mechanical mapping between the outlook for inflation at any particular fixed horizon and the appropriate setting of interest rates.</w:t>
      </w:r>
    </w:p>
    <w:p>
      <w:pPr>
        <w:pStyle w:val="BodyText"/>
        <w:spacing w:before="8"/>
        <w:rPr>
          <w:sz w:val="21"/>
        </w:rPr>
      </w:pPr>
    </w:p>
    <w:p>
      <w:pPr>
        <w:pStyle w:val="BodyText"/>
        <w:spacing w:line="242" w:lineRule="auto" w:before="1"/>
        <w:ind w:left="169" w:right="163"/>
      </w:pPr>
      <w:r>
        <w:rPr/>
        <w:t>Financial market participants form judgments on the likely path of future official interest rates. There is no unique quantification of these expectations.</w:t>
      </w:r>
      <w:r>
        <w:rPr>
          <w:position w:val="5"/>
          <w:sz w:val="16"/>
        </w:rPr>
        <w:t>(1) </w:t>
      </w:r>
      <w:r>
        <w:rPr/>
        <w:t>The</w:t>
      </w:r>
    </w:p>
    <w:p>
      <w:pPr>
        <w:pStyle w:val="BodyText"/>
        <w:spacing w:before="3"/>
        <w:rPr>
          <w:sz w:val="10"/>
        </w:rPr>
      </w:pPr>
      <w:r>
        <w:rPr/>
        <w:pict>
          <v:shape style="position:absolute;margin-left:279pt;margin-top:7.997377pt;width:277pt;height:.1pt;mso-position-horizontal-relative:page;mso-position-vertical-relative:paragraph;z-index:-15277568;mso-wrap-distance-left:0;mso-wrap-distance-right:0" coordorigin="5580,160" coordsize="5540,0" path="m5580,160l11120,160e" filled="false" stroked="true" strokeweight=".125pt" strokecolor="#000000">
            <v:path arrowok="t"/>
            <v:stroke dashstyle="solid"/>
            <w10:wrap type="topAndBottom"/>
          </v:shape>
        </w:pict>
      </w:r>
    </w:p>
    <w:p>
      <w:pPr>
        <w:pStyle w:val="ListParagraph"/>
        <w:numPr>
          <w:ilvl w:val="1"/>
          <w:numId w:val="45"/>
        </w:numPr>
        <w:tabs>
          <w:tab w:pos="430" w:val="left" w:leader="none"/>
        </w:tabs>
        <w:spacing w:line="208" w:lineRule="auto" w:before="20" w:after="0"/>
        <w:ind w:left="428" w:right="581" w:hanging="261"/>
        <w:jc w:val="both"/>
        <w:rPr>
          <w:sz w:val="16"/>
        </w:rPr>
      </w:pPr>
      <w:r>
        <w:rPr>
          <w:sz w:val="16"/>
        </w:rPr>
        <w:t>See</w:t>
      </w:r>
      <w:r>
        <w:rPr>
          <w:spacing w:val="-6"/>
          <w:sz w:val="16"/>
        </w:rPr>
        <w:t> </w:t>
      </w:r>
      <w:r>
        <w:rPr>
          <w:sz w:val="16"/>
        </w:rPr>
        <w:t>the</w:t>
      </w:r>
      <w:r>
        <w:rPr>
          <w:spacing w:val="-5"/>
          <w:sz w:val="16"/>
        </w:rPr>
        <w:t> </w:t>
      </w:r>
      <w:r>
        <w:rPr>
          <w:sz w:val="16"/>
        </w:rPr>
        <w:t>article</w:t>
      </w:r>
      <w:r>
        <w:rPr>
          <w:spacing w:val="-5"/>
          <w:sz w:val="16"/>
        </w:rPr>
        <w:t> </w:t>
      </w:r>
      <w:r>
        <w:rPr>
          <w:sz w:val="16"/>
        </w:rPr>
        <w:t>by</w:t>
      </w:r>
      <w:r>
        <w:rPr>
          <w:spacing w:val="-5"/>
          <w:sz w:val="16"/>
        </w:rPr>
        <w:t> </w:t>
      </w:r>
      <w:r>
        <w:rPr>
          <w:sz w:val="16"/>
        </w:rPr>
        <w:t>Brooke,</w:t>
      </w:r>
      <w:r>
        <w:rPr>
          <w:spacing w:val="-4"/>
          <w:sz w:val="16"/>
        </w:rPr>
        <w:t> </w:t>
      </w:r>
      <w:r>
        <w:rPr>
          <w:sz w:val="16"/>
        </w:rPr>
        <w:t>M,</w:t>
      </w:r>
      <w:r>
        <w:rPr>
          <w:spacing w:val="-5"/>
          <w:sz w:val="16"/>
        </w:rPr>
        <w:t> </w:t>
      </w:r>
      <w:r>
        <w:rPr>
          <w:sz w:val="16"/>
        </w:rPr>
        <w:t>Cooper,</w:t>
      </w:r>
      <w:r>
        <w:rPr>
          <w:spacing w:val="-4"/>
          <w:sz w:val="16"/>
        </w:rPr>
        <w:t> </w:t>
      </w:r>
      <w:r>
        <w:rPr>
          <w:sz w:val="16"/>
        </w:rPr>
        <w:t>N</w:t>
      </w:r>
      <w:r>
        <w:rPr>
          <w:spacing w:val="-5"/>
          <w:sz w:val="16"/>
        </w:rPr>
        <w:t> </w:t>
      </w:r>
      <w:r>
        <w:rPr>
          <w:sz w:val="16"/>
        </w:rPr>
        <w:t>and</w:t>
      </w:r>
      <w:r>
        <w:rPr>
          <w:spacing w:val="-5"/>
          <w:sz w:val="16"/>
        </w:rPr>
        <w:t> </w:t>
      </w:r>
      <w:r>
        <w:rPr>
          <w:sz w:val="16"/>
        </w:rPr>
        <w:t>Scholtes,</w:t>
      </w:r>
      <w:r>
        <w:rPr>
          <w:spacing w:val="-4"/>
          <w:sz w:val="16"/>
        </w:rPr>
        <w:t> </w:t>
      </w:r>
      <w:r>
        <w:rPr>
          <w:sz w:val="16"/>
        </w:rPr>
        <w:t>C,</w:t>
      </w:r>
      <w:r>
        <w:rPr>
          <w:spacing w:val="-5"/>
          <w:sz w:val="16"/>
        </w:rPr>
        <w:t> </w:t>
      </w:r>
      <w:r>
        <w:rPr>
          <w:sz w:val="16"/>
        </w:rPr>
        <w:t>‘</w:t>
      </w:r>
      <w:r>
        <w:rPr>
          <w:color w:val="FF0000"/>
          <w:sz w:val="16"/>
        </w:rPr>
        <w:t>Inferring</w:t>
      </w:r>
      <w:r>
        <w:rPr>
          <w:color w:val="FF0000"/>
          <w:spacing w:val="-5"/>
          <w:sz w:val="16"/>
        </w:rPr>
        <w:t> </w:t>
      </w:r>
      <w:r>
        <w:rPr>
          <w:color w:val="FF0000"/>
          <w:sz w:val="16"/>
        </w:rPr>
        <w:t>market interest</w:t>
      </w:r>
      <w:r>
        <w:rPr>
          <w:color w:val="FF0000"/>
          <w:spacing w:val="-6"/>
          <w:sz w:val="16"/>
        </w:rPr>
        <w:t> </w:t>
      </w:r>
      <w:r>
        <w:rPr>
          <w:color w:val="FF0000"/>
          <w:sz w:val="16"/>
        </w:rPr>
        <w:t>rate</w:t>
      </w:r>
      <w:r>
        <w:rPr>
          <w:color w:val="FF0000"/>
          <w:spacing w:val="-4"/>
          <w:sz w:val="16"/>
        </w:rPr>
        <w:t> </w:t>
      </w:r>
      <w:r>
        <w:rPr>
          <w:color w:val="FF0000"/>
          <w:sz w:val="16"/>
        </w:rPr>
        <w:t>expectations</w:t>
      </w:r>
      <w:r>
        <w:rPr>
          <w:color w:val="FF0000"/>
          <w:spacing w:val="-6"/>
          <w:sz w:val="16"/>
        </w:rPr>
        <w:t> </w:t>
      </w:r>
      <w:r>
        <w:rPr>
          <w:color w:val="FF0000"/>
          <w:sz w:val="16"/>
        </w:rPr>
        <w:t>from</w:t>
      </w:r>
      <w:r>
        <w:rPr>
          <w:color w:val="FF0000"/>
          <w:spacing w:val="-5"/>
          <w:sz w:val="16"/>
        </w:rPr>
        <w:t> </w:t>
      </w:r>
      <w:r>
        <w:rPr>
          <w:color w:val="FF0000"/>
          <w:sz w:val="16"/>
        </w:rPr>
        <w:t>money</w:t>
      </w:r>
      <w:r>
        <w:rPr>
          <w:color w:val="FF0000"/>
          <w:spacing w:val="-6"/>
          <w:sz w:val="16"/>
        </w:rPr>
        <w:t> </w:t>
      </w:r>
      <w:r>
        <w:rPr>
          <w:color w:val="FF0000"/>
          <w:sz w:val="16"/>
        </w:rPr>
        <w:t>market</w:t>
      </w:r>
      <w:r>
        <w:rPr>
          <w:color w:val="FF0000"/>
          <w:spacing w:val="-5"/>
          <w:sz w:val="16"/>
        </w:rPr>
        <w:t> </w:t>
      </w:r>
      <w:r>
        <w:rPr>
          <w:color w:val="FF0000"/>
          <w:sz w:val="16"/>
        </w:rPr>
        <w:t>rates’</w:t>
      </w:r>
      <w:r>
        <w:rPr>
          <w:color w:val="FF0000"/>
          <w:spacing w:val="-15"/>
          <w:sz w:val="16"/>
        </w:rPr>
        <w:t> </w:t>
      </w:r>
      <w:r>
        <w:rPr>
          <w:color w:val="FF0000"/>
          <w:sz w:val="16"/>
        </w:rPr>
        <w:t>in</w:t>
      </w:r>
      <w:r>
        <w:rPr>
          <w:color w:val="FF0000"/>
          <w:spacing w:val="-5"/>
          <w:sz w:val="16"/>
        </w:rPr>
        <w:t> </w:t>
      </w:r>
      <w:r>
        <w:rPr>
          <w:color w:val="FF0000"/>
          <w:sz w:val="16"/>
        </w:rPr>
        <w:t>the</w:t>
      </w:r>
      <w:r>
        <w:rPr>
          <w:color w:val="FF0000"/>
          <w:spacing w:val="-5"/>
          <w:sz w:val="16"/>
        </w:rPr>
        <w:t> </w:t>
      </w:r>
      <w:r>
        <w:rPr>
          <w:i/>
          <w:color w:val="FF0000"/>
          <w:sz w:val="16"/>
        </w:rPr>
        <w:t>Bank</w:t>
      </w:r>
      <w:r>
        <w:rPr>
          <w:i/>
          <w:color w:val="FF0000"/>
          <w:spacing w:val="-5"/>
          <w:sz w:val="16"/>
        </w:rPr>
        <w:t> </w:t>
      </w:r>
      <w:r>
        <w:rPr>
          <w:i/>
          <w:color w:val="FF0000"/>
          <w:sz w:val="16"/>
        </w:rPr>
        <w:t>of</w:t>
      </w:r>
      <w:r>
        <w:rPr>
          <w:i/>
          <w:color w:val="FF0000"/>
          <w:spacing w:val="-6"/>
          <w:sz w:val="16"/>
        </w:rPr>
        <w:t> </w:t>
      </w:r>
      <w:r>
        <w:rPr>
          <w:i/>
          <w:color w:val="FF0000"/>
          <w:sz w:val="16"/>
        </w:rPr>
        <w:t>England </w:t>
      </w:r>
      <w:r>
        <w:rPr>
          <w:i/>
          <w:color w:val="FF0000"/>
          <w:sz w:val="16"/>
        </w:rPr>
        <w:t>Quarterly Bulletin</w:t>
      </w:r>
      <w:r>
        <w:rPr>
          <w:color w:val="FF0000"/>
          <w:sz w:val="16"/>
        </w:rPr>
        <w:t>, November 2000, pages</w:t>
      </w:r>
      <w:r>
        <w:rPr>
          <w:color w:val="FF0000"/>
          <w:spacing w:val="-8"/>
          <w:sz w:val="16"/>
        </w:rPr>
        <w:t> </w:t>
      </w:r>
      <w:r>
        <w:rPr>
          <w:color w:val="FF0000"/>
          <w:sz w:val="16"/>
        </w:rPr>
        <w:t>392–402</w:t>
      </w:r>
      <w:r>
        <w:rPr>
          <w:sz w:val="16"/>
        </w:rPr>
        <w:t>.</w:t>
      </w:r>
    </w:p>
    <w:p>
      <w:pPr>
        <w:spacing w:after="0" w:line="208" w:lineRule="auto"/>
        <w:jc w:val="both"/>
        <w:rPr>
          <w:sz w:val="16"/>
        </w:rPr>
        <w:sectPr>
          <w:type w:val="continuous"/>
          <w:pgSz w:w="11900" w:h="16840"/>
          <w:pgMar w:top="1260" w:bottom="280" w:left="640" w:right="640"/>
          <w:cols w:num="2" w:equalWidth="0">
            <w:col w:w="4499" w:space="306"/>
            <w:col w:w="5815"/>
          </w:cols>
        </w:sectPr>
      </w:pPr>
    </w:p>
    <w:p>
      <w:pPr>
        <w:pStyle w:val="BodyText"/>
        <w:rPr>
          <w:sz w:val="20"/>
        </w:rPr>
      </w:pPr>
    </w:p>
    <w:p>
      <w:pPr>
        <w:pStyle w:val="Heading4"/>
        <w:spacing w:before="258"/>
        <w:ind w:right="1308"/>
        <w:jc w:val="center"/>
      </w:pPr>
      <w:bookmarkStart w:name="The forecast and monetary policy" w:id="81"/>
      <w:bookmarkEnd w:id="81"/>
      <w:r>
        <w:rPr>
          <w:b w:val="0"/>
        </w:rPr>
      </w:r>
      <w:bookmarkStart w:name="_bookmark36" w:id="82"/>
      <w:bookmarkEnd w:id="82"/>
      <w:r>
        <w:rPr>
          <w:b w:val="0"/>
        </w:rPr>
      </w:r>
      <w:r>
        <w:rPr>
          <w:color w:val="009391"/>
        </w:rPr>
        <w:t>The forecast and monetary policy</w:t>
      </w:r>
    </w:p>
    <w:p>
      <w:pPr>
        <w:pStyle w:val="BodyText"/>
        <w:rPr>
          <w:b/>
          <w:sz w:val="20"/>
        </w:rPr>
      </w:pPr>
    </w:p>
    <w:p>
      <w:pPr>
        <w:pStyle w:val="BodyText"/>
        <w:spacing w:before="2"/>
        <w:rPr>
          <w:b/>
          <w:sz w:val="19"/>
        </w:rPr>
      </w:pPr>
    </w:p>
    <w:p>
      <w:pPr>
        <w:spacing w:after="0"/>
        <w:rPr>
          <w:sz w:val="19"/>
        </w:rPr>
        <w:sectPr>
          <w:pgSz w:w="11900" w:h="16840"/>
          <w:pgMar w:header="586" w:footer="612" w:top="780" w:bottom="800" w:left="640" w:right="640"/>
        </w:sectPr>
      </w:pPr>
    </w:p>
    <w:p>
      <w:pPr>
        <w:spacing w:line="247" w:lineRule="auto" w:before="91"/>
        <w:ind w:left="399" w:right="116" w:firstLine="0"/>
        <w:jc w:val="left"/>
        <w:rPr>
          <w:sz w:val="22"/>
        </w:rPr>
      </w:pPr>
      <w:r>
        <w:rPr>
          <w:sz w:val="22"/>
        </w:rPr>
        <w:t>The fan charts are a visual summary of the projections that are produced for each quarterly </w:t>
      </w:r>
      <w:r>
        <w:rPr>
          <w:i/>
          <w:sz w:val="22"/>
        </w:rPr>
        <w:t>Inflation Report</w:t>
      </w:r>
      <w:r>
        <w:rPr>
          <w:sz w:val="22"/>
        </w:rPr>
        <w:t>. They show the Committee’s best collective judgment of the most likely outturns for inflation and </w:t>
      </w:r>
      <w:r>
        <w:rPr>
          <w:spacing w:val="-7"/>
          <w:sz w:val="22"/>
        </w:rPr>
        <w:t>GDP, </w:t>
      </w:r>
      <w:r>
        <w:rPr>
          <w:sz w:val="22"/>
        </w:rPr>
        <w:t>conditional on the assumption that interest rates remain unchanged </w:t>
      </w:r>
      <w:r>
        <w:rPr>
          <w:spacing w:val="-3"/>
          <w:sz w:val="22"/>
        </w:rPr>
        <w:t>over </w:t>
      </w:r>
      <w:r>
        <w:rPr>
          <w:sz w:val="22"/>
        </w:rPr>
        <w:t>the forecast period. In addition, fan charts are produced conditional on the assumption that official interest rates follow market expectations. The fan charts show the degree of uncertainty and the balance of risks around the central projection.</w:t>
      </w:r>
      <w:r>
        <w:rPr>
          <w:position w:val="5"/>
          <w:sz w:val="16"/>
        </w:rPr>
        <w:t>(1) </w:t>
      </w:r>
      <w:r>
        <w:rPr>
          <w:sz w:val="22"/>
        </w:rPr>
        <w:t>They summarise the </w:t>
      </w:r>
      <w:r>
        <w:rPr>
          <w:spacing w:val="-3"/>
          <w:sz w:val="22"/>
        </w:rPr>
        <w:t>MPC’s </w:t>
      </w:r>
      <w:r>
        <w:rPr>
          <w:sz w:val="22"/>
        </w:rPr>
        <w:t>views about the outlook for inflation and growth. But there is no mechanical link between the central projection at the two-year horizon and monetary </w:t>
      </w:r>
      <w:r>
        <w:rPr>
          <w:spacing w:val="-4"/>
          <w:sz w:val="22"/>
        </w:rPr>
        <w:t>policy. </w:t>
      </w:r>
      <w:r>
        <w:rPr>
          <w:sz w:val="22"/>
        </w:rPr>
        <w:t>This box explains why that is</w:t>
      </w:r>
      <w:r>
        <w:rPr>
          <w:spacing w:val="-4"/>
          <w:sz w:val="22"/>
        </w:rPr>
        <w:t> </w:t>
      </w:r>
      <w:r>
        <w:rPr>
          <w:sz w:val="22"/>
        </w:rPr>
        <w:t>so.</w:t>
      </w:r>
    </w:p>
    <w:p>
      <w:pPr>
        <w:pStyle w:val="BodyText"/>
        <w:spacing w:before="9"/>
        <w:rPr>
          <w:sz w:val="21"/>
        </w:rPr>
      </w:pPr>
    </w:p>
    <w:p>
      <w:pPr>
        <w:spacing w:line="247" w:lineRule="auto" w:before="0"/>
        <w:ind w:left="399" w:right="13" w:firstLine="0"/>
        <w:jc w:val="left"/>
        <w:rPr>
          <w:sz w:val="22"/>
        </w:rPr>
      </w:pPr>
      <w:r>
        <w:rPr>
          <w:sz w:val="22"/>
        </w:rPr>
        <w:t>Changes in interest rates typically affect demand with a lag, while changes in the level of demand also typically affect inflation with a further delay. It can take up to two years for the bulk of the effect of a change in interest rates to feed through to inflation. As a consequence, monetary policy decisions can do little to affect inflation in the near term, but can seek to affect inflation only one year or more ahead. The choice of the two-year forecast horizon for the </w:t>
      </w:r>
      <w:r>
        <w:rPr>
          <w:i/>
          <w:sz w:val="22"/>
        </w:rPr>
        <w:t>Inflation Report </w:t>
      </w:r>
      <w:r>
        <w:rPr>
          <w:sz w:val="22"/>
        </w:rPr>
        <w:t>projections is intended to illustrate the lags in the transmission of monetary policy to inflation. It is not the case that if the central projection for RPIX inflation—which lies in the deepest red band in the fan chart—exceeds the target of 2</w:t>
      </w:r>
      <w:r>
        <w:rPr>
          <w:position w:val="7"/>
          <w:sz w:val="11"/>
        </w:rPr>
        <w:t>1</w:t>
      </w:r>
      <w:r>
        <w:rPr>
          <w:sz w:val="22"/>
        </w:rPr>
        <w:t>/</w:t>
      </w:r>
      <w:r>
        <w:rPr>
          <w:sz w:val="11"/>
        </w:rPr>
        <w:t>2</w:t>
      </w:r>
      <w:r>
        <w:rPr>
          <w:sz w:val="22"/>
        </w:rPr>
        <w:t>% in two years’ time then interest rates should necessarily be raised, and </w:t>
      </w:r>
      <w:r>
        <w:rPr>
          <w:i/>
          <w:sz w:val="22"/>
        </w:rPr>
        <w:t>vice versa</w:t>
      </w:r>
      <w:r>
        <w:rPr>
          <w:sz w:val="22"/>
        </w:rPr>
        <w:t>. There are a number of reasons why the policy decision is more complex than this.</w:t>
      </w:r>
    </w:p>
    <w:p>
      <w:pPr>
        <w:pStyle w:val="BodyText"/>
        <w:spacing w:before="8"/>
        <w:rPr>
          <w:sz w:val="21"/>
        </w:rPr>
      </w:pPr>
    </w:p>
    <w:p>
      <w:pPr>
        <w:spacing w:line="247" w:lineRule="auto" w:before="1"/>
        <w:ind w:left="399" w:right="76" w:firstLine="0"/>
        <w:jc w:val="left"/>
        <w:rPr>
          <w:sz w:val="22"/>
        </w:rPr>
      </w:pPr>
      <w:r>
        <w:rPr>
          <w:sz w:val="22"/>
        </w:rPr>
        <w:t>First, the central projection represents the Committee’s best collective judgment on the single most likely—or modal—outcome. It does not reflect the balance of risks—or skew—about that central projection. When the balance of risks lies in one direction, the average expected inflation rate will differ from the central projection. In such circumstances, Committee members will assess </w:t>
      </w:r>
      <w:r>
        <w:rPr>
          <w:spacing w:val="-3"/>
          <w:sz w:val="22"/>
        </w:rPr>
        <w:t>how </w:t>
      </w:r>
      <w:r>
        <w:rPr>
          <w:sz w:val="22"/>
        </w:rPr>
        <w:t>much weight to assign to these risks, and indeed to the whole distribution of outcomes, in forming their policy</w:t>
      </w:r>
      <w:r>
        <w:rPr>
          <w:spacing w:val="-2"/>
          <w:sz w:val="22"/>
        </w:rPr>
        <w:t> </w:t>
      </w:r>
      <w:r>
        <w:rPr>
          <w:sz w:val="22"/>
        </w:rPr>
        <w:t>judgment.</w:t>
      </w:r>
    </w:p>
    <w:p>
      <w:pPr>
        <w:spacing w:line="247" w:lineRule="auto" w:before="91"/>
        <w:ind w:left="399" w:right="549" w:firstLine="0"/>
        <w:jc w:val="left"/>
        <w:rPr>
          <w:sz w:val="22"/>
        </w:rPr>
      </w:pPr>
      <w:r>
        <w:rPr/>
        <w:br w:type="column"/>
      </w:r>
      <w:r>
        <w:rPr>
          <w:sz w:val="22"/>
        </w:rPr>
        <w:t>Second, the Committee’s remit is to aim for inflation of 2</w:t>
      </w:r>
      <w:r>
        <w:rPr>
          <w:position w:val="7"/>
          <w:sz w:val="11"/>
        </w:rPr>
        <w:t>1</w:t>
      </w:r>
      <w:r>
        <w:rPr>
          <w:sz w:val="22"/>
        </w:rPr>
        <w:t>/</w:t>
      </w:r>
      <w:r>
        <w:rPr>
          <w:sz w:val="11"/>
        </w:rPr>
        <w:t>2</w:t>
      </w:r>
      <w:r>
        <w:rPr>
          <w:sz w:val="22"/>
        </w:rPr>
        <w:t>% at all times. So the Committee does not focus exclusively on inflation prospects just at the two-year horizon, but will also bear in mind prospects before and after that date. For instance if the central projection for inflation was near target for most of the forecast period, but was rising above target beyond the two-year horizon, the Committee might decide to tighten policy</w:t>
      </w:r>
    </w:p>
    <w:p>
      <w:pPr>
        <w:spacing w:line="247" w:lineRule="auto" w:before="0"/>
        <w:ind w:left="400" w:right="844" w:firstLine="0"/>
        <w:jc w:val="left"/>
        <w:rPr>
          <w:sz w:val="22"/>
        </w:rPr>
      </w:pPr>
      <w:r>
        <w:rPr>
          <w:sz w:val="22"/>
        </w:rPr>
        <w:t>pre-emptively. By the same token inflation prospects before the horizon may also influence decisions.</w:t>
      </w:r>
    </w:p>
    <w:p>
      <w:pPr>
        <w:pStyle w:val="BodyText"/>
        <w:rPr>
          <w:sz w:val="22"/>
        </w:rPr>
      </w:pPr>
    </w:p>
    <w:p>
      <w:pPr>
        <w:spacing w:line="247" w:lineRule="auto" w:before="0"/>
        <w:ind w:left="400" w:right="485" w:firstLine="0"/>
        <w:jc w:val="left"/>
        <w:rPr>
          <w:sz w:val="22"/>
        </w:rPr>
      </w:pPr>
      <w:r>
        <w:rPr>
          <w:sz w:val="22"/>
        </w:rPr>
        <w:t>Third, the assumption that interest rates remain unchanged </w:t>
      </w:r>
      <w:r>
        <w:rPr>
          <w:spacing w:val="-3"/>
          <w:sz w:val="22"/>
        </w:rPr>
        <w:t>over </w:t>
      </w:r>
      <w:r>
        <w:rPr>
          <w:sz w:val="22"/>
        </w:rPr>
        <w:t>the forecast period is merely a convenient</w:t>
      </w:r>
      <w:r>
        <w:rPr>
          <w:spacing w:val="-9"/>
          <w:sz w:val="22"/>
        </w:rPr>
        <w:t> </w:t>
      </w:r>
      <w:r>
        <w:rPr>
          <w:sz w:val="22"/>
        </w:rPr>
        <w:t>benchmark</w:t>
      </w:r>
      <w:r>
        <w:rPr>
          <w:spacing w:val="-8"/>
          <w:sz w:val="22"/>
        </w:rPr>
        <w:t> </w:t>
      </w:r>
      <w:r>
        <w:rPr>
          <w:sz w:val="22"/>
        </w:rPr>
        <w:t>against</w:t>
      </w:r>
      <w:r>
        <w:rPr>
          <w:spacing w:val="-8"/>
          <w:sz w:val="22"/>
        </w:rPr>
        <w:t> </w:t>
      </w:r>
      <w:r>
        <w:rPr>
          <w:sz w:val="22"/>
        </w:rPr>
        <w:t>which</w:t>
      </w:r>
      <w:r>
        <w:rPr>
          <w:spacing w:val="-8"/>
          <w:sz w:val="22"/>
        </w:rPr>
        <w:t> </w:t>
      </w:r>
      <w:r>
        <w:rPr>
          <w:sz w:val="22"/>
        </w:rPr>
        <w:t>to</w:t>
      </w:r>
      <w:r>
        <w:rPr>
          <w:spacing w:val="-8"/>
          <w:sz w:val="22"/>
        </w:rPr>
        <w:t> </w:t>
      </w:r>
      <w:r>
        <w:rPr>
          <w:sz w:val="22"/>
        </w:rPr>
        <w:t>describe</w:t>
      </w:r>
      <w:r>
        <w:rPr>
          <w:spacing w:val="-9"/>
          <w:sz w:val="22"/>
        </w:rPr>
        <w:t> </w:t>
      </w:r>
      <w:r>
        <w:rPr>
          <w:sz w:val="22"/>
        </w:rPr>
        <w:t>the prospects for growth and inflation. But in general there are many other paths for interest rates that would yield the same central projection for inflation at some </w:t>
      </w:r>
      <w:r>
        <w:rPr>
          <w:spacing w:val="-3"/>
          <w:sz w:val="22"/>
        </w:rPr>
        <w:t>given </w:t>
      </w:r>
      <w:r>
        <w:rPr>
          <w:sz w:val="22"/>
        </w:rPr>
        <w:t>future date. In choosing between alternative interest rate profiles, Committee members will take into account a number of factors. One of these will be the impact on the profile of </w:t>
      </w:r>
      <w:r>
        <w:rPr>
          <w:spacing w:val="-3"/>
          <w:sz w:val="22"/>
        </w:rPr>
        <w:t>activity. </w:t>
      </w:r>
      <w:r>
        <w:rPr>
          <w:sz w:val="22"/>
        </w:rPr>
        <w:t>So if inflation is currently above target, the Committee will recognise that seeking to bring it back quickly may require excessively sharp increases in interest rates that could destabilise the </w:t>
      </w:r>
      <w:r>
        <w:rPr>
          <w:spacing w:val="-3"/>
          <w:sz w:val="22"/>
        </w:rPr>
        <w:t>economy. </w:t>
      </w:r>
      <w:r>
        <w:rPr>
          <w:sz w:val="22"/>
        </w:rPr>
        <w:t>Another consideration is uncertainty about the current conjuncture or about the impact of any policy change, both of which tend to encourage more cautious</w:t>
      </w:r>
      <w:r>
        <w:rPr>
          <w:spacing w:val="-3"/>
          <w:sz w:val="22"/>
        </w:rPr>
        <w:t> </w:t>
      </w:r>
      <w:r>
        <w:rPr>
          <w:sz w:val="22"/>
        </w:rPr>
        <w:t>decisions.</w:t>
      </w:r>
    </w:p>
    <w:p>
      <w:pPr>
        <w:pStyle w:val="BodyText"/>
        <w:spacing w:before="8"/>
        <w:rPr>
          <w:sz w:val="21"/>
        </w:rPr>
      </w:pPr>
    </w:p>
    <w:p>
      <w:pPr>
        <w:spacing w:line="247" w:lineRule="auto" w:before="0"/>
        <w:ind w:left="400" w:right="606" w:firstLine="0"/>
        <w:jc w:val="left"/>
        <w:rPr>
          <w:sz w:val="22"/>
        </w:rPr>
      </w:pPr>
      <w:r>
        <w:rPr>
          <w:sz w:val="22"/>
        </w:rPr>
        <w:t>In sum, the fan charts show the best judgment of the Committee as a whole about inflation and growth prospects, conditioned either on the assumption of constant interest rates or on the basis that interest rates follow market interest rate expectations. </w:t>
      </w:r>
      <w:r>
        <w:rPr>
          <w:spacing w:val="-3"/>
          <w:sz w:val="22"/>
        </w:rPr>
        <w:t>Given </w:t>
      </w:r>
      <w:r>
        <w:rPr>
          <w:sz w:val="22"/>
        </w:rPr>
        <w:t>the significant lag between a change in the official interest rate and its full impact</w:t>
      </w:r>
      <w:r>
        <w:rPr>
          <w:spacing w:val="-6"/>
          <w:sz w:val="22"/>
        </w:rPr>
        <w:t> </w:t>
      </w:r>
      <w:r>
        <w:rPr>
          <w:sz w:val="22"/>
        </w:rPr>
        <w:t>on</w:t>
      </w:r>
      <w:r>
        <w:rPr>
          <w:spacing w:val="-6"/>
          <w:sz w:val="22"/>
        </w:rPr>
        <w:t> </w:t>
      </w:r>
      <w:r>
        <w:rPr>
          <w:sz w:val="22"/>
        </w:rPr>
        <w:t>inflation,</w:t>
      </w:r>
      <w:r>
        <w:rPr>
          <w:spacing w:val="-5"/>
          <w:sz w:val="22"/>
        </w:rPr>
        <w:t> </w:t>
      </w:r>
      <w:r>
        <w:rPr>
          <w:sz w:val="22"/>
        </w:rPr>
        <w:t>it</w:t>
      </w:r>
      <w:r>
        <w:rPr>
          <w:spacing w:val="-5"/>
          <w:sz w:val="22"/>
        </w:rPr>
        <w:t> </w:t>
      </w:r>
      <w:r>
        <w:rPr>
          <w:sz w:val="22"/>
        </w:rPr>
        <w:t>is</w:t>
      </w:r>
      <w:r>
        <w:rPr>
          <w:spacing w:val="-6"/>
          <w:sz w:val="22"/>
        </w:rPr>
        <w:t> </w:t>
      </w:r>
      <w:r>
        <w:rPr>
          <w:sz w:val="22"/>
        </w:rPr>
        <w:t>convenient</w:t>
      </w:r>
      <w:r>
        <w:rPr>
          <w:spacing w:val="-6"/>
          <w:sz w:val="22"/>
        </w:rPr>
        <w:t> </w:t>
      </w:r>
      <w:r>
        <w:rPr>
          <w:sz w:val="22"/>
        </w:rPr>
        <w:t>to</w:t>
      </w:r>
      <w:r>
        <w:rPr>
          <w:spacing w:val="-5"/>
          <w:sz w:val="22"/>
        </w:rPr>
        <w:t> </w:t>
      </w:r>
      <w:r>
        <w:rPr>
          <w:sz w:val="22"/>
        </w:rPr>
        <w:t>focus</w:t>
      </w:r>
      <w:r>
        <w:rPr>
          <w:spacing w:val="-6"/>
          <w:sz w:val="22"/>
        </w:rPr>
        <w:t> </w:t>
      </w:r>
      <w:r>
        <w:rPr>
          <w:sz w:val="22"/>
        </w:rPr>
        <w:t>on</w:t>
      </w:r>
      <w:r>
        <w:rPr>
          <w:spacing w:val="-6"/>
          <w:sz w:val="22"/>
        </w:rPr>
        <w:t> </w:t>
      </w:r>
      <w:r>
        <w:rPr>
          <w:sz w:val="22"/>
        </w:rPr>
        <w:t>the two-year horizon as a useful guide for</w:t>
      </w:r>
      <w:r>
        <w:rPr>
          <w:spacing w:val="-28"/>
          <w:sz w:val="22"/>
        </w:rPr>
        <w:t> </w:t>
      </w:r>
      <w:r>
        <w:rPr>
          <w:sz w:val="22"/>
        </w:rPr>
        <w:t>assessing</w:t>
      </w:r>
    </w:p>
    <w:p>
      <w:pPr>
        <w:spacing w:line="247" w:lineRule="auto" w:before="0"/>
        <w:ind w:left="400" w:right="438" w:firstLine="0"/>
        <w:jc w:val="left"/>
        <w:rPr>
          <w:sz w:val="22"/>
        </w:rPr>
      </w:pPr>
      <w:r>
        <w:rPr>
          <w:sz w:val="22"/>
        </w:rPr>
        <w:t>inflation prospects. The inflation projection is a key input to policy decisions. However, there is no mechanical link between the projected level of inflation in two years’ time based on constant interest rates and the appropriate current setting of monetary policy.</w:t>
      </w:r>
    </w:p>
    <w:p>
      <w:pPr>
        <w:spacing w:after="0" w:line="247" w:lineRule="auto"/>
        <w:jc w:val="left"/>
        <w:rPr>
          <w:sz w:val="22"/>
        </w:rPr>
        <w:sectPr>
          <w:type w:val="continuous"/>
          <w:pgSz w:w="11900" w:h="16840"/>
          <w:pgMar w:top="1260" w:bottom="280" w:left="640" w:right="640"/>
          <w:cols w:num="2" w:equalWidth="0">
            <w:col w:w="5092" w:space="48"/>
            <w:col w:w="5480"/>
          </w:cols>
        </w:sectPr>
      </w:pPr>
    </w:p>
    <w:p>
      <w:pPr>
        <w:pStyle w:val="BodyText"/>
        <w:rPr>
          <w:sz w:val="20"/>
        </w:rPr>
      </w:pPr>
      <w:r>
        <w:rPr/>
        <w:pict>
          <v:group style="position:absolute;margin-left:39pt;margin-top:42pt;width:518pt;height:741pt;mso-position-horizontal-relative:page;mso-position-vertical-relative:page;z-index:-22463488" coordorigin="780,840" coordsize="10360,14820">
            <v:shape style="position:absolute;left:790;top:850;width:10340;height:14800" coordorigin="790,850" coordsize="10340,14800" path="m11130,850l5967,850,5953,850,790,850,790,8236,790,8264,790,15650,5953,15650,5967,15650,11130,15650,11130,850xe" filled="true" fillcolor="#d7e8e7" stroked="false">
              <v:path arrowok="t"/>
              <v:fill type="solid"/>
            </v:shape>
            <v:shape style="position:absolute;left:879;top:982;width:10161;height:14535" coordorigin="880,983" coordsize="10161,14535" path="m5960,983l880,8250,5960,15517,11040,8250,5960,983xe" filled="true" fillcolor="#d9e8e7" stroked="false">
              <v:path arrowok="t"/>
              <v:fill type="solid"/>
            </v:shape>
            <v:shape style="position:absolute;left:979;top:1125;width:9962;height:14250" coordorigin="979,1125" coordsize="9962,14250" path="m5960,1125l979,8250,5960,15375,10941,8250,5960,1125xe" filled="true" fillcolor="#dae9e8" stroked="false">
              <v:path arrowok="t"/>
              <v:fill type="solid"/>
            </v:shape>
            <v:shape style="position:absolute;left:1078;top:1267;width:9763;height:13965" coordorigin="1079,1268" coordsize="9763,13965" path="m5960,1268l1079,8250,5960,15232,10841,8250,5960,1268xe" filled="true" fillcolor="#daeae8" stroked="false">
              <v:path arrowok="t"/>
              <v:fill type="solid"/>
            </v:shape>
            <v:shape style="position:absolute;left:1178;top:1410;width:9563;height:13680" coordorigin="1178,1410" coordsize="9563,13680" path="m5960,1410l1178,8250,5960,15090,10741,8250,5960,1410xe" filled="true" fillcolor="#dbeae8" stroked="false">
              <v:path arrowok="t"/>
              <v:fill type="solid"/>
            </v:shape>
            <v:shape style="position:absolute;left:1278;top:1552;width:9364;height:13395" coordorigin="1278,1553" coordsize="9364,13395" path="m5960,1553l1278,8250,5960,14947,10642,8250,5960,1553xe" filled="true" fillcolor="#dcebe9" stroked="false">
              <v:path arrowok="t"/>
              <v:fill type="solid"/>
            </v:shape>
            <v:shape style="position:absolute;left:1377;top:1695;width:9165;height:13110" coordorigin="1378,1695" coordsize="9165,13110" path="m5960,1695l1378,8250,5960,14805,10542,8250,5960,1695xe" filled="true" fillcolor="#ddebe9" stroked="false">
              <v:path arrowok="t"/>
              <v:fill type="solid"/>
            </v:shape>
            <v:shape style="position:absolute;left:1477;top:1837;width:8966;height:12825" coordorigin="1477,1838" coordsize="8966,12825" path="m5960,1838l1477,8250,5960,14663,10443,8250,5960,1838xe" filled="true" fillcolor="#ddebea" stroked="false">
              <v:path arrowok="t"/>
              <v:fill type="solid"/>
            </v:shape>
            <v:shape style="position:absolute;left:1576;top:1980;width:8766;height:12540" coordorigin="1577,1980" coordsize="8766,12540" path="m5960,1980l1577,8250,5960,14520,10343,8250,5960,1980xe" filled="true" fillcolor="#dfebea" stroked="false">
              <v:path arrowok="t"/>
              <v:fill type="solid"/>
            </v:shape>
            <v:shape style="position:absolute;left:1676;top:2122;width:8567;height:12255" coordorigin="1677,2123" coordsize="8567,12255" path="m10243,8250l5960,2123,1677,8250,5960,14378,10243,8250xe" filled="true" fillcolor="#dfeceb" stroked="false">
              <v:path arrowok="t"/>
              <v:fill type="solid"/>
            </v:shape>
            <v:shape style="position:absolute;left:1875;top:2407;width:8169;height:11685" coordorigin="1876,2408" coordsize="8169,11685" path="m5960,2408l1876,8250,5960,14093,10044,8250,5960,2408xe" filled="true" fillcolor="#e0eceb" stroked="false">
              <v:path arrowok="t"/>
              <v:fill type="solid"/>
            </v:shape>
            <v:shape style="position:absolute;left:1975;top:2550;width:7970;height:11400" coordorigin="1975,2550" coordsize="7970,11400" path="m5960,2550l1975,8250,5960,13950,9944,8250,5960,2550xe" filled="true" fillcolor="#e0edeb" stroked="false">
              <v:path arrowok="t"/>
              <v:fill type="solid"/>
            </v:shape>
            <v:shape style="position:absolute;left:2074;top:2692;width:7770;height:11115" coordorigin="2075,2693" coordsize="7770,11115" path="m5960,2693l2075,8250,5960,13808,9845,8250,5960,2693xe" filled="true" fillcolor="#e1edeb" stroked="false">
              <v:path arrowok="t"/>
              <v:fill type="solid"/>
            </v:shape>
            <v:shape style="position:absolute;left:2174;top:2835;width:7571;height:10830" coordorigin="2175,2835" coordsize="7571,10830" path="m5960,2835l2175,8250,5960,13665,9745,8250,5960,2835xe" filled="true" fillcolor="#e2edec" stroked="false">
              <v:path arrowok="t"/>
              <v:fill type="solid"/>
            </v:shape>
            <v:shape style="position:absolute;left:2274;top:2977;width:7372;height:10545" coordorigin="2274,2978" coordsize="7372,10545" path="m5960,2978l2274,8250,5960,13523,9646,8250,5960,2978xe" filled="true" fillcolor="#e3eeec" stroked="false">
              <v:path arrowok="t"/>
              <v:fill type="solid"/>
            </v:shape>
            <v:shape style="position:absolute;left:2373;top:3120;width:7173;height:10260" coordorigin="2374,3120" coordsize="7173,10260" path="m5960,3120l2374,8250,5960,13380,9546,8250,5960,3120xe" filled="true" fillcolor="#e4efed" stroked="false">
              <v:path arrowok="t"/>
              <v:fill type="solid"/>
            </v:shape>
            <v:shape style="position:absolute;left:2473;top:3262;width:6973;height:9975" coordorigin="2473,3263" coordsize="6973,9975" path="m5960,3263l2473,8250,5960,13238,9446,8250,5960,3263xe" filled="true" fillcolor="#e6efed" stroked="false">
              <v:path arrowok="t"/>
              <v:fill type="solid"/>
            </v:shape>
            <v:shape style="position:absolute;left:2573;top:3405;width:6774;height:9690" coordorigin="2573,3405" coordsize="6774,9690" path="m5960,3405l2573,8250,5960,13095,9347,8250,5960,3405xe" filled="true" fillcolor="#e6efee" stroked="false">
              <v:path arrowok="t"/>
              <v:fill type="solid"/>
            </v:shape>
            <v:shape style="position:absolute;left:2672;top:3547;width:6575;height:9405" coordorigin="2673,3548" coordsize="6575,9405" path="m5960,3548l2673,8250,5960,12953,9247,8250,5960,3548xe" filled="true" fillcolor="#e7f0ee" stroked="false">
              <v:path arrowok="t"/>
              <v:fill type="solid"/>
            </v:shape>
            <v:shape style="position:absolute;left:2772;top:3690;width:6376;height:9120" coordorigin="2772,3690" coordsize="6376,9120" path="m9148,8250l5960,3690,2772,8250,5960,12810,9148,8250xe" filled="true" fillcolor="#e8f0ee" stroked="false">
              <v:path arrowok="t"/>
              <v:fill type="solid"/>
            </v:shape>
            <v:shape style="position:absolute;left:2971;top:3975;width:5977;height:8550" coordorigin="2971,3975" coordsize="5977,8550" path="m5960,3975l2971,8250,5960,12525,8948,8250,5960,3975xe" filled="true" fillcolor="#eaf1f0" stroked="false">
              <v:path arrowok="t"/>
              <v:fill type="solid"/>
            </v:shape>
            <v:shape style="position:absolute;left:3071;top:4117;width:5778;height:8265" coordorigin="3071,4118" coordsize="5778,8265" path="m8849,8250l5960,4118,3071,8250,5960,12383,8849,8250xe" filled="true" fillcolor="#ebf3f0" stroked="false">
              <v:path arrowok="t"/>
              <v:fill type="solid"/>
            </v:shape>
            <v:shape style="position:absolute;left:3270;top:4402;width:5380;height:7695" coordorigin="3270,4403" coordsize="5380,7695" path="m5960,4403l3270,8250,5960,12098,8649,8250,5960,4403xe" filled="true" fillcolor="#ebf4f1" stroked="false">
              <v:path arrowok="t"/>
              <v:fill type="solid"/>
            </v:shape>
            <v:shape style="position:absolute;left:3369;top:4545;width:5180;height:7410" coordorigin="3370,4545" coordsize="5180,7410" path="m5960,4545l3370,8250,5960,11955,8550,8250,5960,4545xe" filled="true" fillcolor="#ecf4f1" stroked="false">
              <v:path arrowok="t"/>
              <v:fill type="solid"/>
            </v:shape>
            <v:shape style="position:absolute;left:3469;top:4687;width:4981;height:7125" coordorigin="3470,4688" coordsize="4981,7125" path="m5960,4688l3470,8250,5960,11813,8450,8250,5960,4688xe" filled="true" fillcolor="#ecf4f3" stroked="false">
              <v:path arrowok="t"/>
              <v:fill type="solid"/>
            </v:shape>
            <v:shape style="position:absolute;left:3569;top:4830;width:4782;height:6840" coordorigin="3569,4830" coordsize="4782,6840" path="m5960,4830l3569,8250,5960,11670,8351,8250,5960,4830xe" filled="true" fillcolor="#edf5f3" stroked="false">
              <v:path arrowok="t"/>
              <v:fill type="solid"/>
            </v:shape>
            <v:shape style="position:absolute;left:3668;top:4972;width:4583;height:6555" coordorigin="3669,4973" coordsize="4583,6555" path="m5960,4973l3669,8250,5960,11528,8251,8250,5960,4973xe" filled="true" fillcolor="#eef5f4" stroked="false">
              <v:path arrowok="t"/>
              <v:fill type="solid"/>
            </v:shape>
            <v:shape style="position:absolute;left:3768;top:5115;width:4383;height:6270" coordorigin="3768,5115" coordsize="4383,6270" path="m5960,5115l3768,8250,5960,11385,8151,8250,5960,5115xe" filled="true" fillcolor="#eff6f4" stroked="false">
              <v:path arrowok="t"/>
              <v:fill type="solid"/>
            </v:shape>
            <v:shape style="position:absolute;left:3868;top:5257;width:4184;height:5985" coordorigin="3868,5258" coordsize="4184,5985" path="m5960,5258l3868,8250,5960,11243,8052,8250,5960,5258xe" filled="true" fillcolor="#eff6f5" stroked="false">
              <v:path arrowok="t"/>
              <v:fill type="solid"/>
            </v:shape>
            <v:shape style="position:absolute;left:3967;top:5400;width:3985;height:5700" coordorigin="3968,5400" coordsize="3985,5700" path="m5960,5400l3968,8250,5960,11100,7952,8250,5960,5400xe" filled="true" fillcolor="#f0f7f6" stroked="false">
              <v:path arrowok="t"/>
              <v:fill type="solid"/>
            </v:shape>
            <v:shape style="position:absolute;left:4067;top:5542;width:3786;height:5415" coordorigin="4067,5543" coordsize="3786,5415" path="m7853,8250l5960,5543,4067,8250,5960,10958,7853,8250xe" filled="true" fillcolor="#f1f7f6" stroked="false">
              <v:path arrowok="t"/>
              <v:fill type="solid"/>
            </v:shape>
            <v:shape style="position:absolute;left:4266;top:5827;width:3387;height:4845" coordorigin="4266,5828" coordsize="3387,4845" path="m5960,5828l4266,8250,5960,10673,7653,8250,5960,5828xe" filled="true" fillcolor="#f4f8f7" stroked="false">
              <v:path arrowok="t"/>
              <v:fill type="solid"/>
            </v:shape>
            <v:shape style="position:absolute;left:4366;top:5970;width:3188;height:4560" coordorigin="4366,5970" coordsize="3188,4560" path="m5960,5970l4366,8250,5960,10530,7554,8250,5960,5970xe" filled="true" fillcolor="#f4f8f8" stroked="false">
              <v:path arrowok="t"/>
              <v:fill type="solid"/>
            </v:shape>
            <v:shape style="position:absolute;left:4465;top:6112;width:2989;height:4275" coordorigin="4466,6113" coordsize="2989,4275" path="m5960,6113l4466,8250,5960,10388,7454,8250,5960,6113xe" filled="true" fillcolor="#f5f8f8" stroked="false">
              <v:path arrowok="t"/>
              <v:fill type="solid"/>
            </v:shape>
            <v:shape style="position:absolute;left:4565;top:6255;width:2790;height:3990" coordorigin="4565,6255" coordsize="2790,3990" path="m7355,8250l5960,6255,4565,8250,5960,10245,7355,8250xe" filled="true" fillcolor="#f6f8f8" stroked="false">
              <v:path arrowok="t"/>
              <v:fill type="solid"/>
            </v:shape>
            <v:shape style="position:absolute;left:4764;top:6540;width:2391;height:3420" coordorigin="4765,6540" coordsize="2391,3420" path="m5960,6540l4765,8250,5960,9960,7155,8250,5960,6540xe" filled="true" fillcolor="#f7f9f8" stroked="false">
              <v:path arrowok="t"/>
              <v:fill type="solid"/>
            </v:shape>
            <v:shape style="position:absolute;left:4864;top:6682;width:2192;height:3135" coordorigin="4864,6683" coordsize="2192,3135" path="m5960,6683l4864,8250,5960,9818,7056,8250,5960,6683xe" filled="true" fillcolor="#f8f9f8" stroked="false">
              <v:path arrowok="t"/>
              <v:fill type="solid"/>
            </v:shape>
            <v:shape style="position:absolute;left:4963;top:6825;width:1993;height:2850" coordorigin="4964,6825" coordsize="1993,2850" path="m5960,6825l4964,8250,5960,9675,6956,8250,5960,6825xe" filled="true" fillcolor="#f8fafa" stroked="false">
              <v:path arrowok="t"/>
              <v:fill type="solid"/>
            </v:shape>
            <v:shape style="position:absolute;left:5063;top:6967;width:1794;height:2565" coordorigin="5063,6968" coordsize="1794,2565" path="m5960,6968l5063,8250,5960,9533,6856,8250,5960,6968xe" filled="true" fillcolor="#f8fbfa" stroked="false">
              <v:path arrowok="t"/>
              <v:fill type="solid"/>
            </v:shape>
            <v:shape style="position:absolute;left:5163;top:7110;width:1594;height:2280" coordorigin="5163,7110" coordsize="1594,2280" path="m5960,7110l5163,8250,5960,9390,6757,8250,5960,7110xe" filled="true" fillcolor="#f9fbfa" stroked="false">
              <v:path arrowok="t"/>
              <v:fill type="solid"/>
            </v:shape>
            <v:shape style="position:absolute;left:5262;top:7252;width:1395;height:1995" coordorigin="5263,7253" coordsize="1395,1995" path="m5960,7253l5263,8250,5960,9248,6657,8250,5960,7253xe" filled="true" fillcolor="#fafbfb" stroked="false">
              <v:path arrowok="t"/>
              <v:fill type="solid"/>
            </v:shape>
            <v:shape style="position:absolute;left:5362;top:7395;width:1196;height:1710" coordorigin="5362,7395" coordsize="1196,1710" path="m5960,7395l5362,8250,5960,9105,6558,8250,5960,7395xe" filled="true" fillcolor="#fafcfb" stroked="false">
              <v:path arrowok="t"/>
              <v:fill type="solid"/>
            </v:shape>
            <v:shape style="position:absolute;left:5461;top:7537;width:997;height:1425" coordorigin="5462,7538" coordsize="997,1425" path="m5960,7538l5462,8250,5960,8963,6458,8250,5960,7538xe" filled="true" fillcolor="#fbfcfc" stroked="false">
              <v:path arrowok="t"/>
              <v:fill type="solid"/>
            </v:shape>
            <v:shape style="position:absolute;left:5561;top:7680;width:797;height:1140" coordorigin="5561,7680" coordsize="797,1140" path="m5960,7680l5561,8250,5960,8820,6358,8250,5960,7680xe" filled="true" fillcolor="#fcfdfd" stroked="false">
              <v:path arrowok="t"/>
              <v:fill type="solid"/>
            </v:shape>
            <v:shape style="position:absolute;left:5661;top:7822;width:598;height:855" coordorigin="5661,7823" coordsize="598,855" path="m5960,7823l5661,8250,5960,8678,6259,8250,5960,7823xe" filled="true" fillcolor="#fdfdfd" stroked="false">
              <v:path arrowok="t"/>
              <v:fill type="solid"/>
            </v:shape>
            <v:shape style="position:absolute;left:5760;top:7965;width:399;height:570" coordorigin="5761,7965" coordsize="399,570" path="m5960,7965l5761,8250,5960,8535,6159,8250,5960,7965xe" filled="true" fillcolor="#fdfffd" stroked="false">
              <v:path arrowok="t"/>
              <v:fill type="solid"/>
            </v:shape>
            <v:shape style="position:absolute;left:5860;top:8107;width:200;height:285" coordorigin="5860,8108" coordsize="200,285" path="m5960,8108l5860,8250,5960,8393,6060,8250,5960,8108xe" filled="true" fillcolor="#ffffff" stroked="false">
              <v:path arrowok="t"/>
              <v:fill type="solid"/>
            </v:shape>
            <v:rect style="position:absolute;left:790;top:850;width:10340;height:14800" filled="false" stroked="true" strokeweight="1pt" strokecolor="#009391">
              <v:stroke dashstyle="solid"/>
            </v:rect>
            <v:line style="position:absolute" from="1020,15180" to="10840,15180" stroked="true" strokeweight=".125pt" strokecolor="#000000">
              <v:stroke dashstyle="solid"/>
            </v:line>
            <w10:wrap type="none"/>
          </v:group>
        </w:pict>
      </w:r>
    </w:p>
    <w:p>
      <w:pPr>
        <w:pStyle w:val="BodyText"/>
        <w:rPr>
          <w:sz w:val="20"/>
        </w:rPr>
      </w:pPr>
    </w:p>
    <w:p>
      <w:pPr>
        <w:pStyle w:val="BodyText"/>
        <w:spacing w:before="5"/>
        <w:rPr>
          <w:sz w:val="25"/>
        </w:rPr>
      </w:pPr>
    </w:p>
    <w:p>
      <w:pPr>
        <w:pStyle w:val="ListParagraph"/>
        <w:numPr>
          <w:ilvl w:val="2"/>
          <w:numId w:val="45"/>
        </w:numPr>
        <w:tabs>
          <w:tab w:pos="673" w:val="left" w:leader="none"/>
        </w:tabs>
        <w:spacing w:line="240" w:lineRule="auto" w:before="94" w:after="0"/>
        <w:ind w:left="672" w:right="0" w:hanging="268"/>
        <w:jc w:val="left"/>
        <w:rPr>
          <w:sz w:val="16"/>
        </w:rPr>
      </w:pPr>
      <w:r>
        <w:rPr>
          <w:sz w:val="16"/>
        </w:rPr>
        <w:t>See</w:t>
      </w:r>
      <w:r>
        <w:rPr>
          <w:spacing w:val="-2"/>
          <w:sz w:val="16"/>
        </w:rPr>
        <w:t> </w:t>
      </w:r>
      <w:r>
        <w:rPr>
          <w:sz w:val="16"/>
        </w:rPr>
        <w:t>the</w:t>
      </w:r>
      <w:r>
        <w:rPr>
          <w:spacing w:val="-2"/>
          <w:sz w:val="16"/>
        </w:rPr>
        <w:t> </w:t>
      </w:r>
      <w:r>
        <w:rPr>
          <w:sz w:val="16"/>
        </w:rPr>
        <w:t>box</w:t>
      </w:r>
      <w:r>
        <w:rPr>
          <w:spacing w:val="-2"/>
          <w:sz w:val="16"/>
        </w:rPr>
        <w:t> </w:t>
      </w:r>
      <w:r>
        <w:rPr>
          <w:sz w:val="16"/>
        </w:rPr>
        <w:t>on</w:t>
      </w:r>
      <w:r>
        <w:rPr>
          <w:spacing w:val="-2"/>
          <w:sz w:val="16"/>
        </w:rPr>
        <w:t> </w:t>
      </w:r>
      <w:r>
        <w:rPr>
          <w:sz w:val="16"/>
        </w:rPr>
        <w:t>page</w:t>
      </w:r>
      <w:r>
        <w:rPr>
          <w:spacing w:val="-2"/>
          <w:sz w:val="16"/>
        </w:rPr>
        <w:t> </w:t>
      </w:r>
      <w:r>
        <w:rPr>
          <w:sz w:val="16"/>
        </w:rPr>
        <w:t>49</w:t>
      </w:r>
      <w:r>
        <w:rPr>
          <w:spacing w:val="-2"/>
          <w:sz w:val="16"/>
        </w:rPr>
        <w:t> </w:t>
      </w:r>
      <w:r>
        <w:rPr>
          <w:sz w:val="16"/>
        </w:rPr>
        <w:t>of</w:t>
      </w:r>
      <w:r>
        <w:rPr>
          <w:spacing w:val="-2"/>
          <w:sz w:val="16"/>
        </w:rPr>
        <w:t> </w:t>
      </w:r>
      <w:r>
        <w:rPr>
          <w:sz w:val="16"/>
        </w:rPr>
        <w:t>the</w:t>
      </w:r>
      <w:r>
        <w:rPr>
          <w:spacing w:val="-10"/>
          <w:sz w:val="16"/>
        </w:rPr>
        <w:t> </w:t>
      </w:r>
      <w:r>
        <w:rPr>
          <w:sz w:val="16"/>
        </w:rPr>
        <w:t>August</w:t>
      </w:r>
      <w:r>
        <w:rPr>
          <w:spacing w:val="-2"/>
          <w:sz w:val="16"/>
        </w:rPr>
        <w:t> </w:t>
      </w:r>
      <w:r>
        <w:rPr>
          <w:sz w:val="16"/>
        </w:rPr>
        <w:t>2000</w:t>
      </w:r>
      <w:r>
        <w:rPr>
          <w:spacing w:val="-1"/>
          <w:sz w:val="16"/>
        </w:rPr>
        <w:t> </w:t>
      </w:r>
      <w:r>
        <w:rPr>
          <w:i/>
          <w:sz w:val="16"/>
        </w:rPr>
        <w:t>Inflation</w:t>
      </w:r>
      <w:r>
        <w:rPr>
          <w:i/>
          <w:spacing w:val="-2"/>
          <w:sz w:val="16"/>
        </w:rPr>
        <w:t> </w:t>
      </w:r>
      <w:r>
        <w:rPr>
          <w:i/>
          <w:sz w:val="16"/>
        </w:rPr>
        <w:t>Report</w:t>
      </w:r>
      <w:r>
        <w:rPr>
          <w:i/>
          <w:spacing w:val="-1"/>
          <w:sz w:val="16"/>
        </w:rPr>
        <w:t> </w:t>
      </w:r>
      <w:r>
        <w:rPr>
          <w:sz w:val="16"/>
        </w:rPr>
        <w:t>for</w:t>
      </w:r>
      <w:r>
        <w:rPr>
          <w:spacing w:val="-2"/>
          <w:sz w:val="16"/>
        </w:rPr>
        <w:t> </w:t>
      </w:r>
      <w:r>
        <w:rPr>
          <w:sz w:val="16"/>
        </w:rPr>
        <w:t>an</w:t>
      </w:r>
      <w:r>
        <w:rPr>
          <w:spacing w:val="-2"/>
          <w:sz w:val="16"/>
        </w:rPr>
        <w:t> </w:t>
      </w:r>
      <w:r>
        <w:rPr>
          <w:sz w:val="16"/>
        </w:rPr>
        <w:t>explanation</w:t>
      </w:r>
      <w:r>
        <w:rPr>
          <w:spacing w:val="-2"/>
          <w:sz w:val="16"/>
        </w:rPr>
        <w:t> </w:t>
      </w:r>
      <w:r>
        <w:rPr>
          <w:sz w:val="16"/>
        </w:rPr>
        <w:t>of</w:t>
      </w:r>
      <w:r>
        <w:rPr>
          <w:spacing w:val="-2"/>
          <w:sz w:val="16"/>
        </w:rPr>
        <w:t> </w:t>
      </w:r>
      <w:r>
        <w:rPr>
          <w:sz w:val="16"/>
        </w:rPr>
        <w:t>the</w:t>
      </w:r>
      <w:r>
        <w:rPr>
          <w:spacing w:val="-2"/>
          <w:sz w:val="16"/>
        </w:rPr>
        <w:t> </w:t>
      </w:r>
      <w:r>
        <w:rPr>
          <w:sz w:val="16"/>
        </w:rPr>
        <w:t>forecast</w:t>
      </w:r>
      <w:r>
        <w:rPr>
          <w:spacing w:val="-2"/>
          <w:sz w:val="16"/>
        </w:rPr>
        <w:t> </w:t>
      </w:r>
      <w:r>
        <w:rPr>
          <w:sz w:val="16"/>
        </w:rPr>
        <w:t>process</w:t>
      </w:r>
      <w:r>
        <w:rPr>
          <w:spacing w:val="-2"/>
          <w:sz w:val="16"/>
        </w:rPr>
        <w:t> </w:t>
      </w:r>
      <w:r>
        <w:rPr>
          <w:sz w:val="16"/>
        </w:rPr>
        <w:t>and</w:t>
      </w:r>
      <w:r>
        <w:rPr>
          <w:spacing w:val="-2"/>
          <w:sz w:val="16"/>
        </w:rPr>
        <w:t> </w:t>
      </w:r>
      <w:r>
        <w:rPr>
          <w:sz w:val="16"/>
        </w:rPr>
        <w:t>the</w:t>
      </w:r>
      <w:r>
        <w:rPr>
          <w:spacing w:val="-2"/>
          <w:sz w:val="16"/>
        </w:rPr>
        <w:t> </w:t>
      </w:r>
      <w:r>
        <w:rPr>
          <w:sz w:val="16"/>
        </w:rPr>
        <w:t>fan</w:t>
      </w:r>
      <w:r>
        <w:rPr>
          <w:spacing w:val="-2"/>
          <w:sz w:val="16"/>
        </w:rPr>
        <w:t> </w:t>
      </w:r>
      <w:r>
        <w:rPr>
          <w:sz w:val="16"/>
        </w:rPr>
        <w:t>charts.</w:t>
      </w:r>
    </w:p>
    <w:p>
      <w:pPr>
        <w:spacing w:after="0" w:line="240" w:lineRule="auto"/>
        <w:jc w:val="left"/>
        <w:rPr>
          <w:sz w:val="16"/>
        </w:rPr>
        <w:sectPr>
          <w:type w:val="continuous"/>
          <w:pgSz w:w="11900" w:h="16840"/>
          <w:pgMar w:top="1260" w:bottom="280" w:left="640" w:right="640"/>
        </w:sectPr>
      </w:pPr>
    </w:p>
    <w:p>
      <w:pPr>
        <w:spacing w:line="249" w:lineRule="auto" w:before="10"/>
        <w:ind w:left="174" w:right="456" w:firstLine="0"/>
        <w:jc w:val="left"/>
        <w:rPr>
          <w:sz w:val="12"/>
        </w:rPr>
      </w:pPr>
      <w:bookmarkStart w:name="Other forecasts" w:id="83"/>
      <w:bookmarkEnd w:id="83"/>
      <w:r>
        <w:rPr/>
      </w:r>
      <w:bookmarkStart w:name="_bookmark37" w:id="84"/>
      <w:bookmarkEnd w:id="84"/>
      <w:r>
        <w:rPr/>
      </w:r>
      <w:r>
        <w:rPr>
          <w:b/>
          <w:color w:val="0092C7"/>
          <w:sz w:val="20"/>
        </w:rPr>
        <w:t>Current RPIX inflation projection based on alternative asset price assumption</w:t>
      </w:r>
      <w:r>
        <w:rPr>
          <w:position w:val="4"/>
          <w:sz w:val="12"/>
        </w:rPr>
        <w:t>(a)</w:t>
      </w:r>
    </w:p>
    <w:p>
      <w:pPr>
        <w:spacing w:line="116" w:lineRule="exact" w:before="157"/>
        <w:ind w:left="1936" w:right="0" w:firstLine="0"/>
        <w:jc w:val="left"/>
        <w:rPr>
          <w:sz w:val="12"/>
        </w:rPr>
      </w:pPr>
      <w:r>
        <w:rPr>
          <w:sz w:val="12"/>
        </w:rPr>
        <w:t>Percentage increase in prices on a year earli</w:t>
      </w:r>
      <w:r>
        <w:rPr>
          <w:sz w:val="12"/>
          <w:u w:val="single"/>
        </w:rPr>
        <w:t>er</w:t>
      </w:r>
    </w:p>
    <w:p>
      <w:pPr>
        <w:pStyle w:val="BodyText"/>
        <w:spacing w:before="10"/>
        <w:rPr>
          <w:sz w:val="2"/>
        </w:rPr>
      </w:pPr>
    </w:p>
    <w:p>
      <w:pPr>
        <w:pStyle w:val="BodyText"/>
        <w:spacing w:line="20" w:lineRule="exact"/>
        <w:ind w:left="211"/>
        <w:rPr>
          <w:sz w:val="2"/>
        </w:rPr>
      </w:pPr>
      <w:r>
        <w:rPr>
          <w:sz w:val="2"/>
        </w:rPr>
        <w:drawing>
          <wp:inline distT="0" distB="0" distL="0" distR="0">
            <wp:extent cx="59181" cy="6286"/>
            <wp:effectExtent l="0" t="0" r="0" b="0"/>
            <wp:docPr id="343" name="image100.png"/>
            <wp:cNvGraphicFramePr>
              <a:graphicFrameLocks noChangeAspect="1"/>
            </wp:cNvGraphicFramePr>
            <a:graphic>
              <a:graphicData uri="http://schemas.openxmlformats.org/drawingml/2006/picture">
                <pic:pic>
                  <pic:nvPicPr>
                    <pic:cNvPr id="344" name="image100.png"/>
                    <pic:cNvPicPr/>
                  </pic:nvPicPr>
                  <pic:blipFill>
                    <a:blip r:embed="rId155" cstate="print"/>
                    <a:stretch>
                      <a:fillRect/>
                    </a:stretch>
                  </pic:blipFill>
                  <pic:spPr>
                    <a:xfrm>
                      <a:off x="0" y="0"/>
                      <a:ext cx="59181" cy="6286"/>
                    </a:xfrm>
                    <a:prstGeom prst="rect">
                      <a:avLst/>
                    </a:prstGeom>
                  </pic:spPr>
                </pic:pic>
              </a:graphicData>
            </a:graphic>
          </wp:inline>
        </w:drawing>
      </w:r>
      <w:r>
        <w:rPr>
          <w:sz w:val="2"/>
        </w:rPr>
      </w:r>
    </w:p>
    <w:p>
      <w:pPr>
        <w:spacing w:line="63" w:lineRule="exact" w:before="0"/>
        <w:ind w:left="4198" w:right="0" w:firstLine="0"/>
        <w:jc w:val="left"/>
        <w:rPr>
          <w:sz w:val="12"/>
        </w:rPr>
      </w:pPr>
      <w:r>
        <w:rPr>
          <w:sz w:val="12"/>
        </w:rPr>
        <w:t>5</w:t>
      </w:r>
    </w:p>
    <w:p>
      <w:pPr>
        <w:spacing w:line="249" w:lineRule="auto" w:before="10"/>
        <w:ind w:left="174" w:right="1843" w:firstLine="0"/>
        <w:jc w:val="left"/>
        <w:rPr>
          <w:sz w:val="12"/>
        </w:rPr>
      </w:pPr>
      <w:r>
        <w:rPr/>
        <w:br w:type="column"/>
      </w:r>
      <w:r>
        <w:rPr>
          <w:b/>
          <w:color w:val="0092C7"/>
          <w:sz w:val="20"/>
        </w:rPr>
        <w:t>Current GDP projection based on alternative asset price assumption</w:t>
      </w:r>
      <w:r>
        <w:rPr>
          <w:position w:val="4"/>
          <w:sz w:val="12"/>
        </w:rPr>
        <w:t>(a)</w:t>
      </w:r>
    </w:p>
    <w:p>
      <w:pPr>
        <w:spacing w:before="173"/>
        <w:ind w:left="1880" w:right="0" w:firstLine="0"/>
        <w:jc w:val="left"/>
        <w:rPr>
          <w:sz w:val="12"/>
        </w:rPr>
      </w:pPr>
      <w:r>
        <w:rPr/>
        <w:drawing>
          <wp:anchor distT="0" distB="0" distL="0" distR="0" allowOverlap="1" layoutInCell="1" locked="0" behindDoc="1" simplePos="0" relativeHeight="480859648">
            <wp:simplePos x="0" y="0"/>
            <wp:positionH relativeFrom="page">
              <wp:posOffset>6011862</wp:posOffset>
            </wp:positionH>
            <wp:positionV relativeFrom="paragraph">
              <wp:posOffset>209684</wp:posOffset>
            </wp:positionV>
            <wp:extent cx="58661" cy="6350"/>
            <wp:effectExtent l="0" t="0" r="0" b="0"/>
            <wp:wrapNone/>
            <wp:docPr id="345" name="image100.png"/>
            <wp:cNvGraphicFramePr>
              <a:graphicFrameLocks noChangeAspect="1"/>
            </wp:cNvGraphicFramePr>
            <a:graphic>
              <a:graphicData uri="http://schemas.openxmlformats.org/drawingml/2006/picture">
                <pic:pic>
                  <pic:nvPicPr>
                    <pic:cNvPr id="346" name="image100.png"/>
                    <pic:cNvPicPr/>
                  </pic:nvPicPr>
                  <pic:blipFill>
                    <a:blip r:embed="rId155" cstate="print"/>
                    <a:stretch>
                      <a:fillRect/>
                    </a:stretch>
                  </pic:blipFill>
                  <pic:spPr>
                    <a:xfrm>
                      <a:off x="0" y="0"/>
                      <a:ext cx="58661" cy="6350"/>
                    </a:xfrm>
                    <a:prstGeom prst="rect">
                      <a:avLst/>
                    </a:prstGeom>
                  </pic:spPr>
                </pic:pic>
              </a:graphicData>
            </a:graphic>
          </wp:anchor>
        </w:drawing>
      </w:r>
      <w:r>
        <w:rPr/>
        <w:drawing>
          <wp:anchor distT="0" distB="0" distL="0" distR="0" allowOverlap="1" layoutInCell="1" locked="0" behindDoc="0" simplePos="0" relativeHeight="16198656">
            <wp:simplePos x="0" y="0"/>
            <wp:positionH relativeFrom="page">
              <wp:posOffset>3583749</wp:posOffset>
            </wp:positionH>
            <wp:positionV relativeFrom="paragraph">
              <wp:posOffset>211957</wp:posOffset>
            </wp:positionV>
            <wp:extent cx="58686" cy="6350"/>
            <wp:effectExtent l="0" t="0" r="0" b="0"/>
            <wp:wrapNone/>
            <wp:docPr id="347" name="image120.png"/>
            <wp:cNvGraphicFramePr>
              <a:graphicFrameLocks noChangeAspect="1"/>
            </wp:cNvGraphicFramePr>
            <a:graphic>
              <a:graphicData uri="http://schemas.openxmlformats.org/drawingml/2006/picture">
                <pic:pic>
                  <pic:nvPicPr>
                    <pic:cNvPr id="348" name="image120.png"/>
                    <pic:cNvPicPr/>
                  </pic:nvPicPr>
                  <pic:blipFill>
                    <a:blip r:embed="rId205" cstate="print"/>
                    <a:stretch>
                      <a:fillRect/>
                    </a:stretch>
                  </pic:blipFill>
                  <pic:spPr>
                    <a:xfrm>
                      <a:off x="0" y="0"/>
                      <a:ext cx="58686" cy="6350"/>
                    </a:xfrm>
                    <a:prstGeom prst="rect">
                      <a:avLst/>
                    </a:prstGeom>
                  </pic:spPr>
                </pic:pic>
              </a:graphicData>
            </a:graphic>
          </wp:anchor>
        </w:drawing>
      </w:r>
      <w:r>
        <w:rPr>
          <w:sz w:val="12"/>
        </w:rPr>
        <w:t>Percentage increase in output on a year earlier </w:t>
      </w:r>
      <w:r>
        <w:rPr>
          <w:position w:val="-8"/>
          <w:sz w:val="12"/>
        </w:rPr>
        <w:t>6</w:t>
      </w:r>
    </w:p>
    <w:p>
      <w:pPr>
        <w:spacing w:after="0"/>
        <w:jc w:val="left"/>
        <w:rPr>
          <w:sz w:val="12"/>
        </w:rPr>
        <w:sectPr>
          <w:headerReference w:type="even" r:id="rId201"/>
          <w:headerReference w:type="default" r:id="rId202"/>
          <w:footerReference w:type="even" r:id="rId203"/>
          <w:footerReference w:type="default" r:id="rId204"/>
          <w:pgSz w:w="11900" w:h="16840"/>
          <w:pgMar w:header="609" w:footer="592" w:top="1480" w:bottom="780" w:left="640" w:right="640"/>
          <w:pgNumType w:start="68"/>
          <w:cols w:num="2" w:equalWidth="0">
            <w:col w:w="4299" w:space="502"/>
            <w:col w:w="5819"/>
          </w:cols>
        </w:sectPr>
      </w:pPr>
    </w:p>
    <w:p>
      <w:pPr>
        <w:pStyle w:val="BodyText"/>
        <w:spacing w:before="10"/>
        <w:rPr>
          <w:sz w:val="16"/>
        </w:rPr>
      </w:pPr>
    </w:p>
    <w:p>
      <w:pPr>
        <w:spacing w:after="0"/>
        <w:rPr>
          <w:sz w:val="16"/>
        </w:rPr>
        <w:sectPr>
          <w:type w:val="continuous"/>
          <w:pgSz w:w="11900" w:h="16840"/>
          <w:pgMar w:top="1260" w:bottom="280" w:left="640" w:right="640"/>
        </w:sectPr>
      </w:pPr>
    </w:p>
    <w:p>
      <w:pPr>
        <w:pStyle w:val="BodyText"/>
        <w:spacing w:before="7" w:after="1"/>
        <w:rPr>
          <w:sz w:val="27"/>
        </w:rPr>
      </w:pPr>
    </w:p>
    <w:p>
      <w:pPr>
        <w:pStyle w:val="BodyText"/>
        <w:spacing w:line="20" w:lineRule="exact"/>
        <w:ind w:left="211"/>
        <w:rPr>
          <w:sz w:val="2"/>
        </w:rPr>
      </w:pPr>
      <w:r>
        <w:rPr>
          <w:sz w:val="2"/>
        </w:rPr>
        <w:drawing>
          <wp:inline distT="0" distB="0" distL="0" distR="0">
            <wp:extent cx="60077" cy="6381"/>
            <wp:effectExtent l="0" t="0" r="0" b="0"/>
            <wp:docPr id="349" name="image100.png"/>
            <wp:cNvGraphicFramePr>
              <a:graphicFrameLocks noChangeAspect="1"/>
            </wp:cNvGraphicFramePr>
            <a:graphic>
              <a:graphicData uri="http://schemas.openxmlformats.org/drawingml/2006/picture">
                <pic:pic>
                  <pic:nvPicPr>
                    <pic:cNvPr id="350" name="image100.png"/>
                    <pic:cNvPicPr/>
                  </pic:nvPicPr>
                  <pic:blipFill>
                    <a:blip r:embed="rId155" cstate="print"/>
                    <a:stretch>
                      <a:fillRect/>
                    </a:stretch>
                  </pic:blipFill>
                  <pic:spPr>
                    <a:xfrm>
                      <a:off x="0" y="0"/>
                      <a:ext cx="60077" cy="6381"/>
                    </a:xfrm>
                    <a:prstGeom prst="rect">
                      <a:avLst/>
                    </a:prstGeom>
                  </pic:spPr>
                </pic:pic>
              </a:graphicData>
            </a:graphic>
          </wp:inline>
        </w:drawing>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1114" w:val="left" w:leader="none"/>
          <w:tab w:pos="1647" w:val="left" w:leader="none"/>
          <w:tab w:pos="2179" w:val="left" w:leader="none"/>
          <w:tab w:pos="2670" w:val="left" w:leader="none"/>
          <w:tab w:pos="3262" w:val="left" w:leader="none"/>
          <w:tab w:pos="3790" w:val="left" w:leader="none"/>
        </w:tabs>
        <w:spacing w:before="81"/>
        <w:ind w:left="495" w:right="0" w:firstLine="0"/>
        <w:jc w:val="left"/>
        <w:rPr>
          <w:sz w:val="12"/>
        </w:rPr>
      </w:pPr>
      <w:r>
        <w:rPr>
          <w:sz w:val="12"/>
        </w:rPr>
        <w:t>1996</w:t>
        <w:tab/>
        <w:t>97</w:t>
        <w:tab/>
        <w:t>98</w:t>
        <w:tab/>
        <w:t>99</w:t>
        <w:tab/>
        <w:t>2000</w:t>
        <w:tab/>
        <w:t>01</w:t>
        <w:tab/>
      </w:r>
      <w:r>
        <w:rPr>
          <w:spacing w:val="-10"/>
          <w:sz w:val="12"/>
        </w:rPr>
        <w:t>02</w:t>
      </w:r>
    </w:p>
    <w:p>
      <w:pPr>
        <w:pStyle w:val="BodyText"/>
        <w:rPr>
          <w:sz w:val="12"/>
        </w:rPr>
      </w:pPr>
      <w:r>
        <w:rPr/>
        <w:br w:type="column"/>
      </w:r>
      <w:r>
        <w:rPr>
          <w:sz w:val="12"/>
        </w:rPr>
      </w:r>
    </w:p>
    <w:p>
      <w:pPr>
        <w:pStyle w:val="BodyText"/>
        <w:spacing w:before="10"/>
        <w:rPr>
          <w:sz w:val="10"/>
        </w:rPr>
      </w:pPr>
    </w:p>
    <w:p>
      <w:pPr>
        <w:spacing w:before="0"/>
        <w:ind w:left="252" w:right="0" w:firstLine="0"/>
        <w:jc w:val="left"/>
        <w:rPr>
          <w:sz w:val="12"/>
        </w:rPr>
      </w:pPr>
      <w:r>
        <w:rPr>
          <w:sz w:val="12"/>
        </w:rPr>
        <w:t>4</w:t>
      </w:r>
    </w:p>
    <w:p>
      <w:pPr>
        <w:pStyle w:val="BodyText"/>
        <w:rPr>
          <w:sz w:val="12"/>
        </w:rPr>
      </w:pPr>
    </w:p>
    <w:p>
      <w:pPr>
        <w:pStyle w:val="BodyText"/>
        <w:rPr>
          <w:sz w:val="12"/>
        </w:rPr>
      </w:pPr>
    </w:p>
    <w:p>
      <w:pPr>
        <w:pStyle w:val="BodyText"/>
        <w:spacing w:before="3"/>
        <w:rPr>
          <w:sz w:val="16"/>
        </w:rPr>
      </w:pPr>
    </w:p>
    <w:p>
      <w:pPr>
        <w:spacing w:before="0"/>
        <w:ind w:left="250" w:right="0" w:firstLine="0"/>
        <w:jc w:val="left"/>
        <w:rPr>
          <w:sz w:val="12"/>
        </w:rPr>
      </w:pPr>
      <w:r>
        <w:rPr/>
        <w:drawing>
          <wp:anchor distT="0" distB="0" distL="0" distR="0" allowOverlap="1" layoutInCell="1" locked="0" behindDoc="0" simplePos="0" relativeHeight="16190976">
            <wp:simplePos x="0" y="0"/>
            <wp:positionH relativeFrom="page">
              <wp:posOffset>2977388</wp:posOffset>
            </wp:positionH>
            <wp:positionV relativeFrom="paragraph">
              <wp:posOffset>-346715</wp:posOffset>
            </wp:positionV>
            <wp:extent cx="59778" cy="6350"/>
            <wp:effectExtent l="0" t="0" r="0" b="0"/>
            <wp:wrapNone/>
            <wp:docPr id="351" name="image100.png"/>
            <wp:cNvGraphicFramePr>
              <a:graphicFrameLocks noChangeAspect="1"/>
            </wp:cNvGraphicFramePr>
            <a:graphic>
              <a:graphicData uri="http://schemas.openxmlformats.org/drawingml/2006/picture">
                <pic:pic>
                  <pic:nvPicPr>
                    <pic:cNvPr id="352" name="image100.png"/>
                    <pic:cNvPicPr/>
                  </pic:nvPicPr>
                  <pic:blipFill>
                    <a:blip r:embed="rId155" cstate="print"/>
                    <a:stretch>
                      <a:fillRect/>
                    </a:stretch>
                  </pic:blipFill>
                  <pic:spPr>
                    <a:xfrm>
                      <a:off x="0" y="0"/>
                      <a:ext cx="59778" cy="6350"/>
                    </a:xfrm>
                    <a:prstGeom prst="rect">
                      <a:avLst/>
                    </a:prstGeom>
                  </pic:spPr>
                </pic:pic>
              </a:graphicData>
            </a:graphic>
          </wp:anchor>
        </w:drawing>
      </w:r>
      <w:r>
        <w:rPr/>
        <w:pict>
          <v:group style="position:absolute;margin-left:42.556999pt;margin-top:-18.761457pt;width:196.6pt;height:83pt;mso-position-horizontal-relative:page;mso-position-vertical-relative:paragraph;z-index:16192000" coordorigin="851,-375" coordsize="3932,1660">
            <v:shape style="position:absolute;left:851;top:-376;width:3932;height:1660" type="#_x0000_t75" stroked="false">
              <v:imagedata r:id="rId206" o:title=""/>
            </v:shape>
            <v:shape style="position:absolute;left:851;top:-376;width:3932;height:1660"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tabs>
                        <w:tab w:pos="3773" w:val="left" w:leader="none"/>
                      </w:tabs>
                      <w:spacing w:before="100"/>
                      <w:ind w:left="146" w:right="-15" w:firstLine="0"/>
                      <w:jc w:val="left"/>
                      <w:rPr>
                        <w:sz w:val="12"/>
                      </w:rPr>
                    </w:pPr>
                    <w:r>
                      <w:rPr>
                        <w:sz w:val="12"/>
                        <w:u w:val="single"/>
                      </w:rPr>
                      <w:t> </w:t>
                      <w:tab/>
                    </w:r>
                    <w:r>
                      <w:rPr>
                        <w:sz w:val="12"/>
                      </w:rPr>
                      <w:t> </w:t>
                    </w:r>
                    <w:r>
                      <w:rPr>
                        <w:spacing w:val="5"/>
                        <w:sz w:val="12"/>
                      </w:rPr>
                      <w:t> </w:t>
                    </w:r>
                    <w:r>
                      <w:rPr>
                        <w:sz w:val="12"/>
                        <w:u w:val="single"/>
                      </w:rPr>
                      <w:t> </w:t>
                    </w:r>
                    <w:r>
                      <w:rPr>
                        <w:spacing w:val="4"/>
                        <w:sz w:val="12"/>
                        <w:u w:val="single"/>
                      </w:rPr>
                      <w:t> </w:t>
                    </w:r>
                  </w:p>
                </w:txbxContent>
              </v:textbox>
              <w10:wrap type="none"/>
            </v:shape>
            <w10:wrap type="none"/>
          </v:group>
        </w:pict>
      </w:r>
      <w:r>
        <w:rPr>
          <w:sz w:val="12"/>
        </w:rPr>
        <w:t>3</w:t>
      </w:r>
    </w:p>
    <w:p>
      <w:pPr>
        <w:pStyle w:val="BodyText"/>
        <w:spacing w:before="1"/>
        <w:rPr>
          <w:sz w:val="12"/>
        </w:rPr>
      </w:pPr>
    </w:p>
    <w:p>
      <w:pPr>
        <w:spacing w:before="1"/>
        <w:ind w:left="244" w:right="0" w:firstLine="0"/>
        <w:jc w:val="left"/>
        <w:rPr>
          <w:sz w:val="12"/>
        </w:rPr>
      </w:pPr>
      <w:r>
        <w:rPr>
          <w:sz w:val="12"/>
        </w:rPr>
        <w:t>2.5</w:t>
      </w:r>
    </w:p>
    <w:p>
      <w:pPr>
        <w:pStyle w:val="BodyText"/>
        <w:spacing w:before="7"/>
        <w:rPr>
          <w:sz w:val="16"/>
        </w:rPr>
      </w:pPr>
    </w:p>
    <w:p>
      <w:pPr>
        <w:spacing w:before="0"/>
        <w:ind w:left="250" w:right="0" w:firstLine="0"/>
        <w:jc w:val="left"/>
        <w:rPr>
          <w:sz w:val="12"/>
        </w:rPr>
      </w:pPr>
      <w:r>
        <w:rPr>
          <w:sz w:val="12"/>
        </w:rPr>
        <w:t>2</w:t>
      </w:r>
    </w:p>
    <w:p>
      <w:pPr>
        <w:pStyle w:val="BodyText"/>
        <w:rPr>
          <w:sz w:val="12"/>
        </w:rPr>
      </w:pPr>
    </w:p>
    <w:p>
      <w:pPr>
        <w:pStyle w:val="BodyText"/>
        <w:rPr>
          <w:sz w:val="12"/>
        </w:rPr>
      </w:pPr>
    </w:p>
    <w:p>
      <w:pPr>
        <w:pStyle w:val="BodyText"/>
        <w:spacing w:before="3"/>
        <w:rPr>
          <w:sz w:val="16"/>
        </w:rPr>
      </w:pPr>
    </w:p>
    <w:p>
      <w:pPr>
        <w:spacing w:before="0"/>
        <w:ind w:left="250" w:right="0" w:firstLine="0"/>
        <w:jc w:val="left"/>
        <w:rPr>
          <w:sz w:val="12"/>
        </w:rPr>
      </w:pPr>
      <w:r>
        <w:rPr>
          <w:sz w:val="12"/>
        </w:rPr>
        <w:t>1</w:t>
      </w:r>
    </w:p>
    <w:p>
      <w:pPr>
        <w:pStyle w:val="BodyText"/>
        <w:rPr>
          <w:sz w:val="12"/>
        </w:rPr>
      </w:pPr>
    </w:p>
    <w:p>
      <w:pPr>
        <w:pStyle w:val="BodyText"/>
        <w:rPr>
          <w:sz w:val="12"/>
        </w:rPr>
      </w:pPr>
    </w:p>
    <w:p>
      <w:pPr>
        <w:pStyle w:val="BodyText"/>
        <w:spacing w:before="3"/>
        <w:rPr>
          <w:sz w:val="17"/>
        </w:rPr>
      </w:pPr>
    </w:p>
    <w:p>
      <w:pPr>
        <w:spacing w:before="0"/>
        <w:ind w:left="250" w:right="0" w:firstLine="0"/>
        <w:jc w:val="left"/>
        <w:rPr>
          <w:sz w:val="12"/>
        </w:rPr>
      </w:pPr>
      <w:r>
        <w:rPr/>
        <w:drawing>
          <wp:anchor distT="0" distB="0" distL="0" distR="0" allowOverlap="1" layoutInCell="1" locked="0" behindDoc="0" simplePos="0" relativeHeight="16190464">
            <wp:simplePos x="0" y="0"/>
            <wp:positionH relativeFrom="page">
              <wp:posOffset>540473</wp:posOffset>
            </wp:positionH>
            <wp:positionV relativeFrom="paragraph">
              <wp:posOffset>-29939</wp:posOffset>
            </wp:positionV>
            <wp:extent cx="2496692" cy="74904"/>
            <wp:effectExtent l="0" t="0" r="0" b="0"/>
            <wp:wrapNone/>
            <wp:docPr id="353" name="image122.png"/>
            <wp:cNvGraphicFramePr>
              <a:graphicFrameLocks noChangeAspect="1"/>
            </wp:cNvGraphicFramePr>
            <a:graphic>
              <a:graphicData uri="http://schemas.openxmlformats.org/drawingml/2006/picture">
                <pic:pic>
                  <pic:nvPicPr>
                    <pic:cNvPr id="354" name="image122.png"/>
                    <pic:cNvPicPr/>
                  </pic:nvPicPr>
                  <pic:blipFill>
                    <a:blip r:embed="rId207" cstate="print"/>
                    <a:stretch>
                      <a:fillRect/>
                    </a:stretch>
                  </pic:blipFill>
                  <pic:spPr>
                    <a:xfrm>
                      <a:off x="0" y="0"/>
                      <a:ext cx="2496692" cy="74904"/>
                    </a:xfrm>
                    <a:prstGeom prst="rect">
                      <a:avLst/>
                    </a:prstGeom>
                  </pic:spPr>
                </pic:pic>
              </a:graphicData>
            </a:graphic>
          </wp:anchor>
        </w:drawing>
      </w:r>
      <w:r>
        <w:rPr>
          <w:sz w:val="12"/>
        </w:rPr>
        <w:t>0</w:t>
      </w:r>
    </w:p>
    <w:p>
      <w:pPr>
        <w:spacing w:before="96"/>
        <w:ind w:left="0" w:right="1566" w:firstLine="0"/>
        <w:jc w:val="right"/>
        <w:rPr>
          <w:sz w:val="12"/>
        </w:rPr>
      </w:pPr>
      <w:r>
        <w:rPr/>
        <w:br w:type="column"/>
      </w:r>
      <w:r>
        <w:rPr>
          <w:spacing w:val="-1"/>
          <w:sz w:val="12"/>
        </w:rPr>
        <w:t>5</w:t>
      </w:r>
    </w:p>
    <w:p>
      <w:pPr>
        <w:pStyle w:val="BodyText"/>
        <w:rPr>
          <w:sz w:val="12"/>
        </w:rPr>
      </w:pPr>
    </w:p>
    <w:p>
      <w:pPr>
        <w:pStyle w:val="BodyText"/>
        <w:spacing w:before="4"/>
        <w:rPr>
          <w:sz w:val="13"/>
        </w:rPr>
      </w:pPr>
    </w:p>
    <w:p>
      <w:pPr>
        <w:spacing w:before="0"/>
        <w:ind w:left="0" w:right="1566" w:firstLine="0"/>
        <w:jc w:val="right"/>
        <w:rPr>
          <w:sz w:val="12"/>
        </w:rPr>
      </w:pPr>
      <w:r>
        <w:rPr/>
        <w:drawing>
          <wp:anchor distT="0" distB="0" distL="0" distR="0" allowOverlap="1" layoutInCell="1" locked="0" behindDoc="0" simplePos="0" relativeHeight="16195072">
            <wp:simplePos x="0" y="0"/>
            <wp:positionH relativeFrom="page">
              <wp:posOffset>6011862</wp:posOffset>
            </wp:positionH>
            <wp:positionV relativeFrom="paragraph">
              <wp:posOffset>43585</wp:posOffset>
            </wp:positionV>
            <wp:extent cx="58661" cy="6350"/>
            <wp:effectExtent l="0" t="0" r="0" b="0"/>
            <wp:wrapNone/>
            <wp:docPr id="355" name="image120.png"/>
            <wp:cNvGraphicFramePr>
              <a:graphicFrameLocks noChangeAspect="1"/>
            </wp:cNvGraphicFramePr>
            <a:graphic>
              <a:graphicData uri="http://schemas.openxmlformats.org/drawingml/2006/picture">
                <pic:pic>
                  <pic:nvPicPr>
                    <pic:cNvPr id="356" name="image120.png"/>
                    <pic:cNvPicPr/>
                  </pic:nvPicPr>
                  <pic:blipFill>
                    <a:blip r:embed="rId205" cstate="print"/>
                    <a:stretch>
                      <a:fillRect/>
                    </a:stretch>
                  </pic:blipFill>
                  <pic:spPr>
                    <a:xfrm>
                      <a:off x="0" y="0"/>
                      <a:ext cx="58661" cy="6350"/>
                    </a:xfrm>
                    <a:prstGeom prst="rect">
                      <a:avLst/>
                    </a:prstGeom>
                  </pic:spPr>
                </pic:pic>
              </a:graphicData>
            </a:graphic>
          </wp:anchor>
        </w:drawing>
      </w:r>
      <w:r>
        <w:rPr/>
        <w:drawing>
          <wp:anchor distT="0" distB="0" distL="0" distR="0" allowOverlap="1" layoutInCell="1" locked="0" behindDoc="0" simplePos="0" relativeHeight="16195584">
            <wp:simplePos x="0" y="0"/>
            <wp:positionH relativeFrom="page">
              <wp:posOffset>6011862</wp:posOffset>
            </wp:positionH>
            <wp:positionV relativeFrom="paragraph">
              <wp:posOffset>-229147</wp:posOffset>
            </wp:positionV>
            <wp:extent cx="58661" cy="6350"/>
            <wp:effectExtent l="0" t="0" r="0" b="0"/>
            <wp:wrapNone/>
            <wp:docPr id="357" name="image100.png"/>
            <wp:cNvGraphicFramePr>
              <a:graphicFrameLocks noChangeAspect="1"/>
            </wp:cNvGraphicFramePr>
            <a:graphic>
              <a:graphicData uri="http://schemas.openxmlformats.org/drawingml/2006/picture">
                <pic:pic>
                  <pic:nvPicPr>
                    <pic:cNvPr id="358" name="image100.png"/>
                    <pic:cNvPicPr/>
                  </pic:nvPicPr>
                  <pic:blipFill>
                    <a:blip r:embed="rId155" cstate="print"/>
                    <a:stretch>
                      <a:fillRect/>
                    </a:stretch>
                  </pic:blipFill>
                  <pic:spPr>
                    <a:xfrm>
                      <a:off x="0" y="0"/>
                      <a:ext cx="58661" cy="6350"/>
                    </a:xfrm>
                    <a:prstGeom prst="rect">
                      <a:avLst/>
                    </a:prstGeom>
                  </pic:spPr>
                </pic:pic>
              </a:graphicData>
            </a:graphic>
          </wp:anchor>
        </w:drawing>
      </w:r>
      <w:r>
        <w:rPr/>
        <w:drawing>
          <wp:anchor distT="0" distB="0" distL="0" distR="0" allowOverlap="1" layoutInCell="1" locked="0" behindDoc="0" simplePos="0" relativeHeight="16196608">
            <wp:simplePos x="0" y="0"/>
            <wp:positionH relativeFrom="page">
              <wp:posOffset>3583749</wp:posOffset>
            </wp:positionH>
            <wp:positionV relativeFrom="paragraph">
              <wp:posOffset>-9069</wp:posOffset>
            </wp:positionV>
            <wp:extent cx="2373820" cy="1036383"/>
            <wp:effectExtent l="0" t="0" r="0" b="0"/>
            <wp:wrapNone/>
            <wp:docPr id="359" name="image123.png"/>
            <wp:cNvGraphicFramePr>
              <a:graphicFrameLocks noChangeAspect="1"/>
            </wp:cNvGraphicFramePr>
            <a:graphic>
              <a:graphicData uri="http://schemas.openxmlformats.org/drawingml/2006/picture">
                <pic:pic>
                  <pic:nvPicPr>
                    <pic:cNvPr id="360" name="image123.png"/>
                    <pic:cNvPicPr/>
                  </pic:nvPicPr>
                  <pic:blipFill>
                    <a:blip r:embed="rId208" cstate="print"/>
                    <a:stretch>
                      <a:fillRect/>
                    </a:stretch>
                  </pic:blipFill>
                  <pic:spPr>
                    <a:xfrm>
                      <a:off x="0" y="0"/>
                      <a:ext cx="2373820" cy="1036383"/>
                    </a:xfrm>
                    <a:prstGeom prst="rect">
                      <a:avLst/>
                    </a:prstGeom>
                  </pic:spPr>
                </pic:pic>
              </a:graphicData>
            </a:graphic>
          </wp:anchor>
        </w:drawing>
      </w:r>
      <w:r>
        <w:rPr/>
        <w:drawing>
          <wp:anchor distT="0" distB="0" distL="0" distR="0" allowOverlap="1" layoutInCell="1" locked="0" behindDoc="0" simplePos="0" relativeHeight="16198144">
            <wp:simplePos x="0" y="0"/>
            <wp:positionH relativeFrom="page">
              <wp:posOffset>3583749</wp:posOffset>
            </wp:positionH>
            <wp:positionV relativeFrom="paragraph">
              <wp:posOffset>-226861</wp:posOffset>
            </wp:positionV>
            <wp:extent cx="58686" cy="6350"/>
            <wp:effectExtent l="0" t="0" r="0" b="0"/>
            <wp:wrapNone/>
            <wp:docPr id="361" name="image100.png"/>
            <wp:cNvGraphicFramePr>
              <a:graphicFrameLocks noChangeAspect="1"/>
            </wp:cNvGraphicFramePr>
            <a:graphic>
              <a:graphicData uri="http://schemas.openxmlformats.org/drawingml/2006/picture">
                <pic:pic>
                  <pic:nvPicPr>
                    <pic:cNvPr id="362" name="image100.png"/>
                    <pic:cNvPicPr/>
                  </pic:nvPicPr>
                  <pic:blipFill>
                    <a:blip r:embed="rId155" cstate="print"/>
                    <a:stretch>
                      <a:fillRect/>
                    </a:stretch>
                  </pic:blipFill>
                  <pic:spPr>
                    <a:xfrm>
                      <a:off x="0" y="0"/>
                      <a:ext cx="58686" cy="6350"/>
                    </a:xfrm>
                    <a:prstGeom prst="rect">
                      <a:avLst/>
                    </a:prstGeom>
                  </pic:spPr>
                </pic:pic>
              </a:graphicData>
            </a:graphic>
          </wp:anchor>
        </w:drawing>
      </w:r>
      <w:r>
        <w:rPr>
          <w:w w:val="101"/>
          <w:sz w:val="12"/>
        </w:rPr>
        <w:t>4</w:t>
      </w:r>
    </w:p>
    <w:p>
      <w:pPr>
        <w:pStyle w:val="BodyText"/>
        <w:rPr>
          <w:sz w:val="12"/>
        </w:rPr>
      </w:pPr>
    </w:p>
    <w:p>
      <w:pPr>
        <w:pStyle w:val="BodyText"/>
        <w:spacing w:before="4"/>
        <w:rPr>
          <w:sz w:val="13"/>
        </w:rPr>
      </w:pPr>
    </w:p>
    <w:p>
      <w:pPr>
        <w:spacing w:before="0"/>
        <w:ind w:left="0" w:right="1566" w:firstLine="0"/>
        <w:jc w:val="right"/>
        <w:rPr>
          <w:sz w:val="12"/>
        </w:rPr>
      </w:pPr>
      <w:r>
        <w:rPr/>
        <w:drawing>
          <wp:anchor distT="0" distB="0" distL="0" distR="0" allowOverlap="1" layoutInCell="1" locked="0" behindDoc="0" simplePos="0" relativeHeight="16194560">
            <wp:simplePos x="0" y="0"/>
            <wp:positionH relativeFrom="page">
              <wp:posOffset>6011862</wp:posOffset>
            </wp:positionH>
            <wp:positionV relativeFrom="paragraph">
              <wp:posOffset>43586</wp:posOffset>
            </wp:positionV>
            <wp:extent cx="58661" cy="6350"/>
            <wp:effectExtent l="0" t="0" r="0" b="0"/>
            <wp:wrapNone/>
            <wp:docPr id="363" name="image100.png"/>
            <wp:cNvGraphicFramePr>
              <a:graphicFrameLocks noChangeAspect="1"/>
            </wp:cNvGraphicFramePr>
            <a:graphic>
              <a:graphicData uri="http://schemas.openxmlformats.org/drawingml/2006/picture">
                <pic:pic>
                  <pic:nvPicPr>
                    <pic:cNvPr id="364" name="image100.png"/>
                    <pic:cNvPicPr/>
                  </pic:nvPicPr>
                  <pic:blipFill>
                    <a:blip r:embed="rId155" cstate="print"/>
                    <a:stretch>
                      <a:fillRect/>
                    </a:stretch>
                  </pic:blipFill>
                  <pic:spPr>
                    <a:xfrm>
                      <a:off x="0" y="0"/>
                      <a:ext cx="58661" cy="6350"/>
                    </a:xfrm>
                    <a:prstGeom prst="rect">
                      <a:avLst/>
                    </a:prstGeom>
                  </pic:spPr>
                </pic:pic>
              </a:graphicData>
            </a:graphic>
          </wp:anchor>
        </w:drawing>
      </w:r>
      <w:r>
        <w:rPr>
          <w:w w:val="101"/>
          <w:sz w:val="12"/>
        </w:rPr>
        <w:t>3</w:t>
      </w:r>
    </w:p>
    <w:p>
      <w:pPr>
        <w:pStyle w:val="BodyText"/>
        <w:rPr>
          <w:sz w:val="12"/>
        </w:rPr>
      </w:pPr>
    </w:p>
    <w:p>
      <w:pPr>
        <w:pStyle w:val="BodyText"/>
        <w:spacing w:before="4"/>
        <w:rPr>
          <w:sz w:val="13"/>
        </w:rPr>
      </w:pPr>
    </w:p>
    <w:p>
      <w:pPr>
        <w:spacing w:before="0"/>
        <w:ind w:left="0" w:right="1566" w:firstLine="0"/>
        <w:jc w:val="right"/>
        <w:rPr>
          <w:sz w:val="12"/>
        </w:rPr>
      </w:pPr>
      <w:r>
        <w:rPr/>
        <w:drawing>
          <wp:anchor distT="0" distB="0" distL="0" distR="0" allowOverlap="1" layoutInCell="1" locked="0" behindDoc="0" simplePos="0" relativeHeight="16194048">
            <wp:simplePos x="0" y="0"/>
            <wp:positionH relativeFrom="page">
              <wp:posOffset>6011862</wp:posOffset>
            </wp:positionH>
            <wp:positionV relativeFrom="paragraph">
              <wp:posOffset>43589</wp:posOffset>
            </wp:positionV>
            <wp:extent cx="58661" cy="6350"/>
            <wp:effectExtent l="0" t="0" r="0" b="0"/>
            <wp:wrapNone/>
            <wp:docPr id="365" name="image100.png"/>
            <wp:cNvGraphicFramePr>
              <a:graphicFrameLocks noChangeAspect="1"/>
            </wp:cNvGraphicFramePr>
            <a:graphic>
              <a:graphicData uri="http://schemas.openxmlformats.org/drawingml/2006/picture">
                <pic:pic>
                  <pic:nvPicPr>
                    <pic:cNvPr id="366" name="image100.png"/>
                    <pic:cNvPicPr/>
                  </pic:nvPicPr>
                  <pic:blipFill>
                    <a:blip r:embed="rId155" cstate="print"/>
                    <a:stretch>
                      <a:fillRect/>
                    </a:stretch>
                  </pic:blipFill>
                  <pic:spPr>
                    <a:xfrm>
                      <a:off x="0" y="0"/>
                      <a:ext cx="58661" cy="6350"/>
                    </a:xfrm>
                    <a:prstGeom prst="rect">
                      <a:avLst/>
                    </a:prstGeom>
                  </pic:spPr>
                </pic:pic>
              </a:graphicData>
            </a:graphic>
          </wp:anchor>
        </w:drawing>
      </w:r>
      <w:r>
        <w:rPr>
          <w:w w:val="101"/>
          <w:sz w:val="12"/>
        </w:rPr>
        <w:t>2</w:t>
      </w:r>
    </w:p>
    <w:p>
      <w:pPr>
        <w:pStyle w:val="BodyText"/>
        <w:rPr>
          <w:sz w:val="12"/>
        </w:rPr>
      </w:pPr>
    </w:p>
    <w:p>
      <w:pPr>
        <w:pStyle w:val="BodyText"/>
        <w:spacing w:before="4"/>
        <w:rPr>
          <w:sz w:val="13"/>
        </w:rPr>
      </w:pPr>
    </w:p>
    <w:p>
      <w:pPr>
        <w:spacing w:before="0"/>
        <w:ind w:left="0" w:right="1566" w:firstLine="0"/>
        <w:jc w:val="right"/>
        <w:rPr>
          <w:sz w:val="12"/>
        </w:rPr>
      </w:pPr>
      <w:r>
        <w:rPr/>
        <w:drawing>
          <wp:anchor distT="0" distB="0" distL="0" distR="0" allowOverlap="1" layoutInCell="1" locked="0" behindDoc="0" simplePos="0" relativeHeight="16193536">
            <wp:simplePos x="0" y="0"/>
            <wp:positionH relativeFrom="page">
              <wp:posOffset>6011862</wp:posOffset>
            </wp:positionH>
            <wp:positionV relativeFrom="paragraph">
              <wp:posOffset>43599</wp:posOffset>
            </wp:positionV>
            <wp:extent cx="58661" cy="6350"/>
            <wp:effectExtent l="0" t="0" r="0" b="0"/>
            <wp:wrapNone/>
            <wp:docPr id="367" name="image120.png"/>
            <wp:cNvGraphicFramePr>
              <a:graphicFrameLocks noChangeAspect="1"/>
            </wp:cNvGraphicFramePr>
            <a:graphic>
              <a:graphicData uri="http://schemas.openxmlformats.org/drawingml/2006/picture">
                <pic:pic>
                  <pic:nvPicPr>
                    <pic:cNvPr id="368" name="image120.png"/>
                    <pic:cNvPicPr/>
                  </pic:nvPicPr>
                  <pic:blipFill>
                    <a:blip r:embed="rId205" cstate="print"/>
                    <a:stretch>
                      <a:fillRect/>
                    </a:stretch>
                  </pic:blipFill>
                  <pic:spPr>
                    <a:xfrm>
                      <a:off x="0" y="0"/>
                      <a:ext cx="58661" cy="6350"/>
                    </a:xfrm>
                    <a:prstGeom prst="rect">
                      <a:avLst/>
                    </a:prstGeom>
                  </pic:spPr>
                </pic:pic>
              </a:graphicData>
            </a:graphic>
          </wp:anchor>
        </w:drawing>
      </w:r>
      <w:r>
        <w:rPr>
          <w:w w:val="101"/>
          <w:sz w:val="12"/>
        </w:rPr>
        <w:t>1</w:t>
      </w:r>
    </w:p>
    <w:p>
      <w:pPr>
        <w:spacing w:before="50"/>
        <w:ind w:left="4101" w:right="0" w:firstLine="0"/>
        <w:jc w:val="left"/>
        <w:rPr>
          <w:sz w:val="16"/>
        </w:rPr>
      </w:pPr>
      <w:r>
        <w:rPr>
          <w:w w:val="101"/>
          <w:sz w:val="16"/>
        </w:rPr>
        <w:t>+</w:t>
      </w:r>
    </w:p>
    <w:p>
      <w:pPr>
        <w:spacing w:before="57"/>
        <w:ind w:left="0" w:right="1566" w:firstLine="0"/>
        <w:jc w:val="right"/>
        <w:rPr>
          <w:sz w:val="12"/>
        </w:rPr>
      </w:pPr>
      <w:r>
        <w:rPr/>
        <w:drawing>
          <wp:anchor distT="0" distB="0" distL="0" distR="0" allowOverlap="1" layoutInCell="1" locked="0" behindDoc="0" simplePos="0" relativeHeight="16193024">
            <wp:simplePos x="0" y="0"/>
            <wp:positionH relativeFrom="page">
              <wp:posOffset>6011862</wp:posOffset>
            </wp:positionH>
            <wp:positionV relativeFrom="paragraph">
              <wp:posOffset>79789</wp:posOffset>
            </wp:positionV>
            <wp:extent cx="58661" cy="6350"/>
            <wp:effectExtent l="0" t="0" r="0" b="0"/>
            <wp:wrapNone/>
            <wp:docPr id="369" name="image120.png"/>
            <wp:cNvGraphicFramePr>
              <a:graphicFrameLocks noChangeAspect="1"/>
            </wp:cNvGraphicFramePr>
            <a:graphic>
              <a:graphicData uri="http://schemas.openxmlformats.org/drawingml/2006/picture">
                <pic:pic>
                  <pic:nvPicPr>
                    <pic:cNvPr id="370" name="image120.png"/>
                    <pic:cNvPicPr/>
                  </pic:nvPicPr>
                  <pic:blipFill>
                    <a:blip r:embed="rId205" cstate="print"/>
                    <a:stretch>
                      <a:fillRect/>
                    </a:stretch>
                  </pic:blipFill>
                  <pic:spPr>
                    <a:xfrm>
                      <a:off x="0" y="0"/>
                      <a:ext cx="58661" cy="6350"/>
                    </a:xfrm>
                    <a:prstGeom prst="rect">
                      <a:avLst/>
                    </a:prstGeom>
                  </pic:spPr>
                </pic:pic>
              </a:graphicData>
            </a:graphic>
          </wp:anchor>
        </w:drawing>
      </w:r>
      <w:r>
        <w:rPr/>
        <w:drawing>
          <wp:anchor distT="0" distB="0" distL="0" distR="0" allowOverlap="1" layoutInCell="1" locked="0" behindDoc="0" simplePos="0" relativeHeight="16197632">
            <wp:simplePos x="0" y="0"/>
            <wp:positionH relativeFrom="page">
              <wp:posOffset>3583749</wp:posOffset>
            </wp:positionH>
            <wp:positionV relativeFrom="paragraph">
              <wp:posOffset>77566</wp:posOffset>
            </wp:positionV>
            <wp:extent cx="58686" cy="6350"/>
            <wp:effectExtent l="0" t="0" r="0" b="0"/>
            <wp:wrapNone/>
            <wp:docPr id="371" name="image100.png"/>
            <wp:cNvGraphicFramePr>
              <a:graphicFrameLocks noChangeAspect="1"/>
            </wp:cNvGraphicFramePr>
            <a:graphic>
              <a:graphicData uri="http://schemas.openxmlformats.org/drawingml/2006/picture">
                <pic:pic>
                  <pic:nvPicPr>
                    <pic:cNvPr id="372" name="image100.png"/>
                    <pic:cNvPicPr/>
                  </pic:nvPicPr>
                  <pic:blipFill>
                    <a:blip r:embed="rId155" cstate="print"/>
                    <a:stretch>
                      <a:fillRect/>
                    </a:stretch>
                  </pic:blipFill>
                  <pic:spPr>
                    <a:xfrm>
                      <a:off x="0" y="0"/>
                      <a:ext cx="58686" cy="6350"/>
                    </a:xfrm>
                    <a:prstGeom prst="rect">
                      <a:avLst/>
                    </a:prstGeom>
                  </pic:spPr>
                </pic:pic>
              </a:graphicData>
            </a:graphic>
          </wp:anchor>
        </w:drawing>
      </w:r>
      <w:r>
        <w:rPr/>
        <w:pict>
          <v:line style="position:absolute;mso-position-horizontal-relative:page;mso-position-vertical-relative:paragraph;z-index:16199168" from="290.786011pt,6.615601pt" to="469.080011pt,6.615601pt" stroked="true" strokeweight=".5pt" strokecolor="#000000">
            <v:stroke dashstyle="solid"/>
            <w10:wrap type="none"/>
          </v:line>
        </w:pict>
      </w:r>
      <w:r>
        <w:rPr>
          <w:w w:val="101"/>
          <w:sz w:val="12"/>
        </w:rPr>
        <w:t>0</w:t>
      </w:r>
    </w:p>
    <w:p>
      <w:pPr>
        <w:spacing w:before="52"/>
        <w:ind w:left="4114" w:right="0" w:firstLine="0"/>
        <w:jc w:val="left"/>
        <w:rPr>
          <w:sz w:val="16"/>
        </w:rPr>
      </w:pPr>
      <w:r>
        <w:rPr>
          <w:w w:val="101"/>
          <w:sz w:val="16"/>
        </w:rPr>
        <w:t>–</w:t>
      </w:r>
    </w:p>
    <w:p>
      <w:pPr>
        <w:spacing w:line="145" w:lineRule="exact" w:before="25"/>
        <w:ind w:left="377" w:right="0" w:firstLine="0"/>
        <w:jc w:val="left"/>
        <w:rPr>
          <w:sz w:val="12"/>
        </w:rPr>
      </w:pPr>
      <w:r>
        <w:rPr/>
        <w:drawing>
          <wp:anchor distT="0" distB="0" distL="0" distR="0" allowOverlap="1" layoutInCell="1" locked="0" behindDoc="1" simplePos="0" relativeHeight="480856064">
            <wp:simplePos x="0" y="0"/>
            <wp:positionH relativeFrom="page">
              <wp:posOffset>6011862</wp:posOffset>
            </wp:positionH>
            <wp:positionV relativeFrom="paragraph">
              <wp:posOffset>79235</wp:posOffset>
            </wp:positionV>
            <wp:extent cx="58661" cy="6350"/>
            <wp:effectExtent l="0" t="0" r="0" b="0"/>
            <wp:wrapNone/>
            <wp:docPr id="373" name="image100.png"/>
            <wp:cNvGraphicFramePr>
              <a:graphicFrameLocks noChangeAspect="1"/>
            </wp:cNvGraphicFramePr>
            <a:graphic>
              <a:graphicData uri="http://schemas.openxmlformats.org/drawingml/2006/picture">
                <pic:pic>
                  <pic:nvPicPr>
                    <pic:cNvPr id="374" name="image100.png"/>
                    <pic:cNvPicPr/>
                  </pic:nvPicPr>
                  <pic:blipFill>
                    <a:blip r:embed="rId155" cstate="print"/>
                    <a:stretch>
                      <a:fillRect/>
                    </a:stretch>
                  </pic:blipFill>
                  <pic:spPr>
                    <a:xfrm>
                      <a:off x="0" y="0"/>
                      <a:ext cx="58661" cy="6350"/>
                    </a:xfrm>
                    <a:prstGeom prst="rect">
                      <a:avLst/>
                    </a:prstGeom>
                  </pic:spPr>
                </pic:pic>
              </a:graphicData>
            </a:graphic>
          </wp:anchor>
        </w:drawing>
      </w:r>
      <w:r>
        <w:rPr/>
        <w:drawing>
          <wp:anchor distT="0" distB="0" distL="0" distR="0" allowOverlap="1" layoutInCell="1" locked="0" behindDoc="0" simplePos="0" relativeHeight="16197120">
            <wp:simplePos x="0" y="0"/>
            <wp:positionH relativeFrom="page">
              <wp:posOffset>3583749</wp:posOffset>
            </wp:positionH>
            <wp:positionV relativeFrom="paragraph">
              <wp:posOffset>81521</wp:posOffset>
            </wp:positionV>
            <wp:extent cx="58686" cy="6350"/>
            <wp:effectExtent l="0" t="0" r="0" b="0"/>
            <wp:wrapNone/>
            <wp:docPr id="375" name="image120.png"/>
            <wp:cNvGraphicFramePr>
              <a:graphicFrameLocks noChangeAspect="1"/>
            </wp:cNvGraphicFramePr>
            <a:graphic>
              <a:graphicData uri="http://schemas.openxmlformats.org/drawingml/2006/picture">
                <pic:pic>
                  <pic:nvPicPr>
                    <pic:cNvPr id="376" name="image120.png"/>
                    <pic:cNvPicPr/>
                  </pic:nvPicPr>
                  <pic:blipFill>
                    <a:blip r:embed="rId205" cstate="print"/>
                    <a:stretch>
                      <a:fillRect/>
                    </a:stretch>
                  </pic:blipFill>
                  <pic:spPr>
                    <a:xfrm>
                      <a:off x="0" y="0"/>
                      <a:ext cx="58686" cy="6350"/>
                    </a:xfrm>
                    <a:prstGeom prst="rect">
                      <a:avLst/>
                    </a:prstGeom>
                  </pic:spPr>
                </pic:pic>
              </a:graphicData>
            </a:graphic>
          </wp:anchor>
        </w:drawing>
      </w:r>
      <w:r>
        <w:rPr>
          <w:position w:val="1"/>
        </w:rPr>
        <w:drawing>
          <wp:inline distT="0" distB="0" distL="0" distR="0">
            <wp:extent cx="2269705" cy="70523"/>
            <wp:effectExtent l="0" t="0" r="0" b="0"/>
            <wp:docPr id="377" name="image124.png"/>
            <wp:cNvGraphicFramePr>
              <a:graphicFrameLocks noChangeAspect="1"/>
            </wp:cNvGraphicFramePr>
            <a:graphic>
              <a:graphicData uri="http://schemas.openxmlformats.org/drawingml/2006/picture">
                <pic:pic>
                  <pic:nvPicPr>
                    <pic:cNvPr id="378" name="image124.png"/>
                    <pic:cNvPicPr/>
                  </pic:nvPicPr>
                  <pic:blipFill>
                    <a:blip r:embed="rId209" cstate="print"/>
                    <a:stretch>
                      <a:fillRect/>
                    </a:stretch>
                  </pic:blipFill>
                  <pic:spPr>
                    <a:xfrm>
                      <a:off x="0" y="0"/>
                      <a:ext cx="2269705" cy="70523"/>
                    </a:xfrm>
                    <a:prstGeom prst="rect">
                      <a:avLst/>
                    </a:prstGeom>
                  </pic:spPr>
                </pic:pic>
              </a:graphicData>
            </a:graphic>
          </wp:inline>
        </w:drawing>
      </w:r>
      <w:r>
        <w:rPr>
          <w:position w:val="1"/>
        </w:rPr>
      </w:r>
      <w:r>
        <w:rPr>
          <w:sz w:val="20"/>
        </w:rPr>
        <w:t>    </w:t>
      </w:r>
      <w:r>
        <w:rPr>
          <w:spacing w:val="-3"/>
          <w:sz w:val="20"/>
        </w:rPr>
        <w:t> </w:t>
      </w:r>
      <w:r>
        <w:rPr>
          <w:sz w:val="12"/>
        </w:rPr>
        <w:t>1</w:t>
      </w:r>
    </w:p>
    <w:p>
      <w:pPr>
        <w:tabs>
          <w:tab w:pos="1109" w:val="left" w:leader="none"/>
          <w:tab w:pos="1642" w:val="left" w:leader="none"/>
          <w:tab w:pos="2177" w:val="left" w:leader="none"/>
          <w:tab w:pos="2646" w:val="left" w:leader="none"/>
          <w:tab w:pos="3229" w:val="left" w:leader="none"/>
          <w:tab w:pos="3750" w:val="left" w:leader="none"/>
        </w:tabs>
        <w:spacing w:line="134" w:lineRule="exact" w:before="0"/>
        <w:ind w:left="506" w:right="0" w:firstLine="0"/>
        <w:jc w:val="left"/>
        <w:rPr>
          <w:sz w:val="12"/>
        </w:rPr>
      </w:pPr>
      <w:r>
        <w:rPr>
          <w:sz w:val="12"/>
        </w:rPr>
        <w:t>1996</w:t>
        <w:tab/>
        <w:t>97</w:t>
        <w:tab/>
        <w:t>98</w:t>
        <w:tab/>
        <w:t>99</w:t>
        <w:tab/>
        <w:t>2000</w:t>
        <w:tab/>
        <w:t>01</w:t>
        <w:tab/>
        <w:t>02</w:t>
      </w:r>
    </w:p>
    <w:p>
      <w:pPr>
        <w:spacing w:after="0" w:line="134" w:lineRule="exact"/>
        <w:jc w:val="left"/>
        <w:rPr>
          <w:sz w:val="12"/>
        </w:rPr>
        <w:sectPr>
          <w:type w:val="continuous"/>
          <w:pgSz w:w="11900" w:h="16840"/>
          <w:pgMar w:top="1260" w:bottom="280" w:left="640" w:right="640"/>
          <w:cols w:num="3" w:equalWidth="0">
            <w:col w:w="3911" w:space="40"/>
            <w:col w:w="435" w:space="407"/>
            <w:col w:w="5827"/>
          </w:cols>
        </w:sectPr>
      </w:pPr>
    </w:p>
    <w:p>
      <w:pPr>
        <w:pStyle w:val="BodyText"/>
        <w:rPr>
          <w:sz w:val="13"/>
        </w:rPr>
      </w:pPr>
    </w:p>
    <w:p>
      <w:pPr>
        <w:spacing w:line="208" w:lineRule="auto" w:before="0"/>
        <w:ind w:left="414" w:right="0" w:hanging="240"/>
        <w:jc w:val="left"/>
        <w:rPr>
          <w:sz w:val="12"/>
        </w:rPr>
      </w:pPr>
      <w:r>
        <w:rPr>
          <w:sz w:val="12"/>
        </w:rPr>
        <w:t>(a) Starting-point for asset prices based on 15-day averages to 8 November 2000. Assumes official interest rates constant at 6%.</w:t>
      </w:r>
    </w:p>
    <w:p>
      <w:pPr>
        <w:pStyle w:val="BodyText"/>
        <w:rPr>
          <w:sz w:val="13"/>
        </w:rPr>
      </w:pPr>
      <w:r>
        <w:rPr/>
        <w:br w:type="column"/>
      </w:r>
      <w:r>
        <w:rPr>
          <w:sz w:val="13"/>
        </w:rPr>
      </w:r>
    </w:p>
    <w:p>
      <w:pPr>
        <w:spacing w:line="208" w:lineRule="auto" w:before="0"/>
        <w:ind w:left="414" w:right="1337" w:hanging="240"/>
        <w:jc w:val="left"/>
        <w:rPr>
          <w:sz w:val="12"/>
        </w:rPr>
      </w:pPr>
      <w:r>
        <w:rPr>
          <w:sz w:val="12"/>
        </w:rPr>
        <w:t>(a) Starting-point for asset prices based on 15-day averages to 8 November 2000. Assumes official interest rates constant at 6%.</w:t>
      </w:r>
    </w:p>
    <w:p>
      <w:pPr>
        <w:spacing w:after="0" w:line="208" w:lineRule="auto"/>
        <w:jc w:val="left"/>
        <w:rPr>
          <w:sz w:val="12"/>
        </w:rPr>
        <w:sectPr>
          <w:type w:val="continuous"/>
          <w:pgSz w:w="11900" w:h="16840"/>
          <w:pgMar w:top="1260" w:bottom="280" w:left="640" w:right="640"/>
          <w:cols w:num="2" w:equalWidth="0">
            <w:col w:w="4179" w:space="621"/>
            <w:col w:w="5820"/>
          </w:cols>
        </w:sectPr>
      </w:pPr>
    </w:p>
    <w:p>
      <w:pPr>
        <w:pStyle w:val="BodyText"/>
        <w:spacing w:before="10"/>
        <w:rPr>
          <w:sz w:val="18"/>
        </w:rPr>
      </w:pPr>
    </w:p>
    <w:p>
      <w:pPr>
        <w:spacing w:after="0"/>
        <w:rPr>
          <w:sz w:val="18"/>
        </w:rPr>
        <w:sectPr>
          <w:type w:val="continuous"/>
          <w:pgSz w:w="11900" w:h="16840"/>
          <w:pgMar w:top="1260" w:bottom="280" w:left="640" w:right="640"/>
        </w:sectPr>
      </w:pPr>
    </w:p>
    <w:p>
      <w:pPr>
        <w:pStyle w:val="BodyText"/>
        <w:rPr>
          <w:sz w:val="22"/>
        </w:rPr>
      </w:pPr>
    </w:p>
    <w:p>
      <w:pPr>
        <w:pStyle w:val="BodyText"/>
        <w:rPr>
          <w:sz w:val="22"/>
        </w:rPr>
      </w:pPr>
    </w:p>
    <w:p>
      <w:pPr>
        <w:pStyle w:val="BodyText"/>
        <w:spacing w:before="8"/>
        <w:rPr>
          <w:sz w:val="30"/>
        </w:rPr>
      </w:pPr>
    </w:p>
    <w:p>
      <w:pPr>
        <w:spacing w:before="0"/>
        <w:ind w:left="184" w:right="0" w:firstLine="0"/>
        <w:jc w:val="left"/>
        <w:rPr>
          <w:b/>
          <w:sz w:val="20"/>
        </w:rPr>
      </w:pPr>
      <w:r>
        <w:rPr>
          <w:b/>
          <w:color w:val="0092C7"/>
          <w:sz w:val="20"/>
        </w:rPr>
        <w:t>Table 6.C</w:t>
      </w:r>
    </w:p>
    <w:p>
      <w:pPr>
        <w:spacing w:line="249" w:lineRule="auto" w:before="10"/>
        <w:ind w:left="184" w:right="0" w:firstLine="0"/>
        <w:jc w:val="left"/>
        <w:rPr>
          <w:sz w:val="12"/>
        </w:rPr>
      </w:pPr>
      <w:r>
        <w:rPr>
          <w:b/>
          <w:color w:val="0092C7"/>
          <w:sz w:val="20"/>
        </w:rPr>
        <w:t>Market</w:t>
      </w:r>
      <w:r>
        <w:rPr>
          <w:b/>
          <w:color w:val="0092C7"/>
          <w:spacing w:val="-8"/>
          <w:sz w:val="20"/>
        </w:rPr>
        <w:t> </w:t>
      </w:r>
      <w:r>
        <w:rPr>
          <w:b/>
          <w:color w:val="0092C7"/>
          <w:sz w:val="20"/>
        </w:rPr>
        <w:t>expectations</w:t>
      </w:r>
      <w:r>
        <w:rPr>
          <w:b/>
          <w:color w:val="0092C7"/>
          <w:spacing w:val="-7"/>
          <w:sz w:val="20"/>
        </w:rPr>
        <w:t> </w:t>
      </w:r>
      <w:r>
        <w:rPr>
          <w:b/>
          <w:color w:val="0092C7"/>
          <w:sz w:val="20"/>
        </w:rPr>
        <w:t>of</w:t>
      </w:r>
      <w:r>
        <w:rPr>
          <w:b/>
          <w:color w:val="0092C7"/>
          <w:spacing w:val="-7"/>
          <w:sz w:val="20"/>
        </w:rPr>
        <w:t> </w:t>
      </w:r>
      <w:r>
        <w:rPr>
          <w:b/>
          <w:color w:val="0092C7"/>
          <w:sz w:val="20"/>
        </w:rPr>
        <w:t>the</w:t>
      </w:r>
      <w:r>
        <w:rPr>
          <w:b/>
          <w:color w:val="0092C7"/>
          <w:spacing w:val="-7"/>
          <w:sz w:val="20"/>
        </w:rPr>
        <w:t> </w:t>
      </w:r>
      <w:r>
        <w:rPr>
          <w:b/>
          <w:color w:val="0092C7"/>
          <w:spacing w:val="-2"/>
          <w:sz w:val="20"/>
        </w:rPr>
        <w:t>Bank’s</w:t>
      </w:r>
      <w:r>
        <w:rPr>
          <w:b/>
          <w:color w:val="0092C7"/>
          <w:spacing w:val="-8"/>
          <w:sz w:val="20"/>
        </w:rPr>
        <w:t> </w:t>
      </w:r>
      <w:r>
        <w:rPr>
          <w:b/>
          <w:color w:val="0092C7"/>
          <w:sz w:val="20"/>
        </w:rPr>
        <w:t>official</w:t>
      </w:r>
      <w:r>
        <w:rPr>
          <w:b/>
          <w:color w:val="0092C7"/>
          <w:spacing w:val="-7"/>
          <w:sz w:val="20"/>
        </w:rPr>
        <w:t> </w:t>
      </w:r>
      <w:r>
        <w:rPr>
          <w:b/>
          <w:color w:val="0092C7"/>
          <w:sz w:val="20"/>
        </w:rPr>
        <w:t>interest rate</w:t>
      </w:r>
      <w:r>
        <w:rPr>
          <w:position w:val="4"/>
          <w:sz w:val="12"/>
        </w:rPr>
        <w:t>(a)</w:t>
      </w:r>
    </w:p>
    <w:p>
      <w:pPr>
        <w:spacing w:before="98"/>
        <w:ind w:left="184" w:right="0" w:firstLine="0"/>
        <w:jc w:val="left"/>
        <w:rPr>
          <w:sz w:val="14"/>
        </w:rPr>
      </w:pPr>
      <w:r>
        <w:rPr>
          <w:sz w:val="14"/>
        </w:rPr>
        <w:t>Per</w:t>
      </w:r>
      <w:r>
        <w:rPr>
          <w:spacing w:val="-7"/>
          <w:sz w:val="14"/>
        </w:rPr>
        <w:t> </w:t>
      </w:r>
      <w:r>
        <w:rPr>
          <w:sz w:val="14"/>
        </w:rPr>
        <w:t>cent</w:t>
      </w:r>
    </w:p>
    <w:p>
      <w:pPr>
        <w:tabs>
          <w:tab w:pos="2274" w:val="left" w:leader="none"/>
          <w:tab w:pos="2564" w:val="left" w:leader="none"/>
          <w:tab w:pos="4234" w:val="left" w:leader="none"/>
        </w:tabs>
        <w:spacing w:before="119"/>
        <w:ind w:left="164" w:right="0" w:firstLine="0"/>
        <w:jc w:val="left"/>
        <w:rPr>
          <w:sz w:val="14"/>
        </w:rPr>
      </w:pPr>
      <w:r>
        <w:rPr>
          <w:spacing w:val="-15"/>
          <w:sz w:val="14"/>
          <w:u w:val="single"/>
        </w:rPr>
        <w:t> </w:t>
      </w:r>
      <w:r>
        <w:rPr>
          <w:sz w:val="14"/>
          <w:u w:val="single"/>
        </w:rPr>
        <w:t>2000</w:t>
      </w:r>
      <w:r>
        <w:rPr>
          <w:sz w:val="14"/>
        </w:rPr>
        <w:t>    </w:t>
      </w:r>
      <w:r>
        <w:rPr>
          <w:spacing w:val="25"/>
          <w:sz w:val="14"/>
        </w:rPr>
        <w:t> </w:t>
      </w:r>
      <w:r>
        <w:rPr>
          <w:sz w:val="14"/>
          <w:u w:val="single"/>
        </w:rPr>
        <w:t>2001</w:t>
        <w:tab/>
      </w:r>
      <w:r>
        <w:rPr>
          <w:sz w:val="14"/>
        </w:rPr>
        <w:tab/>
      </w:r>
      <w:r>
        <w:rPr>
          <w:sz w:val="14"/>
          <w:u w:val="single"/>
        </w:rPr>
        <w:t> 2002</w:t>
        <w:tab/>
      </w:r>
    </w:p>
    <w:p>
      <w:pPr>
        <w:pStyle w:val="BodyText"/>
        <w:spacing w:line="242" w:lineRule="auto" w:before="90"/>
        <w:ind w:left="164" w:right="155"/>
      </w:pPr>
      <w:r>
        <w:rPr/>
        <w:br w:type="column"/>
      </w:r>
      <w:r>
        <w:rPr/>
        <w:t>Committee currently pays the most attention to estimates derived from interest rates on gilt-edged securities used as collateral in short-term sale and repurchase agreements and from the gilt-edged yield curve. Market expectations of the future level of official interest rates implied by these securities have fallen further over the past three months: the latest evidence suggests that the</w:t>
      </w:r>
    </w:p>
    <w:p>
      <w:pPr>
        <w:spacing w:after="0" w:line="242" w:lineRule="auto"/>
        <w:sectPr>
          <w:type w:val="continuous"/>
          <w:pgSz w:w="11900" w:h="16840"/>
          <w:pgMar w:top="1260" w:bottom="280" w:left="640" w:right="640"/>
          <w:cols w:num="2" w:equalWidth="0">
            <w:col w:w="4472" w:space="338"/>
            <w:col w:w="5810"/>
          </w:cols>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8"/>
        <w:gridCol w:w="480"/>
        <w:gridCol w:w="480"/>
        <w:gridCol w:w="497"/>
        <w:gridCol w:w="462"/>
        <w:gridCol w:w="479"/>
        <w:gridCol w:w="479"/>
        <w:gridCol w:w="479"/>
        <w:gridCol w:w="714"/>
        <w:gridCol w:w="5894"/>
      </w:tblGrid>
      <w:tr>
        <w:trPr>
          <w:trHeight w:val="186" w:hRule="atLeast"/>
        </w:trPr>
        <w:tc>
          <w:tcPr>
            <w:tcW w:w="398" w:type="dxa"/>
          </w:tcPr>
          <w:p>
            <w:pPr>
              <w:pStyle w:val="TableParagraph"/>
              <w:spacing w:line="155" w:lineRule="exact"/>
              <w:ind w:left="50"/>
              <w:rPr>
                <w:sz w:val="14"/>
              </w:rPr>
            </w:pPr>
            <w:r>
              <w:rPr>
                <w:sz w:val="14"/>
                <w:u w:val="single"/>
              </w:rPr>
              <w:t> Q4</w:t>
            </w:r>
          </w:p>
        </w:tc>
        <w:tc>
          <w:tcPr>
            <w:tcW w:w="480" w:type="dxa"/>
          </w:tcPr>
          <w:p>
            <w:pPr>
              <w:pStyle w:val="TableParagraph"/>
              <w:spacing w:line="155" w:lineRule="exact"/>
              <w:ind w:left="130" w:right="132"/>
              <w:jc w:val="center"/>
              <w:rPr>
                <w:sz w:val="14"/>
              </w:rPr>
            </w:pPr>
            <w:r>
              <w:rPr>
                <w:sz w:val="14"/>
                <w:u w:val="single"/>
              </w:rPr>
              <w:t>Q1</w:t>
            </w:r>
          </w:p>
        </w:tc>
        <w:tc>
          <w:tcPr>
            <w:tcW w:w="480" w:type="dxa"/>
          </w:tcPr>
          <w:p>
            <w:pPr>
              <w:pStyle w:val="TableParagraph"/>
              <w:spacing w:line="155" w:lineRule="exact"/>
              <w:ind w:left="130" w:right="132"/>
              <w:jc w:val="center"/>
              <w:rPr>
                <w:sz w:val="14"/>
              </w:rPr>
            </w:pPr>
            <w:r>
              <w:rPr>
                <w:sz w:val="14"/>
                <w:u w:val="single"/>
              </w:rPr>
              <w:t>Q2</w:t>
            </w:r>
          </w:p>
        </w:tc>
        <w:tc>
          <w:tcPr>
            <w:tcW w:w="497" w:type="dxa"/>
          </w:tcPr>
          <w:p>
            <w:pPr>
              <w:pStyle w:val="TableParagraph"/>
              <w:spacing w:line="155" w:lineRule="exact"/>
              <w:ind w:left="152"/>
              <w:rPr>
                <w:sz w:val="14"/>
              </w:rPr>
            </w:pPr>
            <w:r>
              <w:rPr>
                <w:sz w:val="14"/>
                <w:u w:val="single"/>
              </w:rPr>
              <w:t>Q3 </w:t>
            </w:r>
          </w:p>
        </w:tc>
        <w:tc>
          <w:tcPr>
            <w:tcW w:w="462" w:type="dxa"/>
          </w:tcPr>
          <w:p>
            <w:pPr>
              <w:pStyle w:val="TableParagraph"/>
              <w:spacing w:line="155" w:lineRule="exact"/>
              <w:ind w:left="135"/>
              <w:rPr>
                <w:sz w:val="14"/>
              </w:rPr>
            </w:pPr>
            <w:r>
              <w:rPr>
                <w:sz w:val="14"/>
                <w:u w:val="single"/>
              </w:rPr>
              <w:t>Q4</w:t>
            </w:r>
          </w:p>
        </w:tc>
        <w:tc>
          <w:tcPr>
            <w:tcW w:w="479" w:type="dxa"/>
          </w:tcPr>
          <w:p>
            <w:pPr>
              <w:pStyle w:val="TableParagraph"/>
              <w:spacing w:line="155" w:lineRule="exact"/>
              <w:ind w:left="128" w:right="129"/>
              <w:jc w:val="center"/>
              <w:rPr>
                <w:sz w:val="14"/>
              </w:rPr>
            </w:pPr>
            <w:r>
              <w:rPr>
                <w:sz w:val="14"/>
                <w:u w:val="single"/>
              </w:rPr>
              <w:t>Q1</w:t>
            </w:r>
          </w:p>
        </w:tc>
        <w:tc>
          <w:tcPr>
            <w:tcW w:w="479" w:type="dxa"/>
          </w:tcPr>
          <w:p>
            <w:pPr>
              <w:pStyle w:val="TableParagraph"/>
              <w:spacing w:line="155" w:lineRule="exact"/>
              <w:ind w:left="129" w:right="129"/>
              <w:jc w:val="center"/>
              <w:rPr>
                <w:sz w:val="14"/>
              </w:rPr>
            </w:pPr>
            <w:r>
              <w:rPr>
                <w:sz w:val="14"/>
                <w:u w:val="single"/>
              </w:rPr>
              <w:t>Q2</w:t>
            </w:r>
          </w:p>
        </w:tc>
        <w:tc>
          <w:tcPr>
            <w:tcW w:w="479" w:type="dxa"/>
          </w:tcPr>
          <w:p>
            <w:pPr>
              <w:pStyle w:val="TableParagraph"/>
              <w:spacing w:line="155" w:lineRule="exact"/>
              <w:ind w:left="131" w:right="129"/>
              <w:jc w:val="center"/>
              <w:rPr>
                <w:sz w:val="14"/>
              </w:rPr>
            </w:pPr>
            <w:r>
              <w:rPr>
                <w:sz w:val="14"/>
                <w:u w:val="single"/>
              </w:rPr>
              <w:t>Q3</w:t>
            </w:r>
          </w:p>
        </w:tc>
        <w:tc>
          <w:tcPr>
            <w:tcW w:w="714" w:type="dxa"/>
          </w:tcPr>
          <w:p>
            <w:pPr>
              <w:pStyle w:val="TableParagraph"/>
              <w:spacing w:line="155" w:lineRule="exact"/>
              <w:ind w:left="156"/>
              <w:rPr>
                <w:sz w:val="14"/>
              </w:rPr>
            </w:pPr>
            <w:r>
              <w:rPr>
                <w:sz w:val="14"/>
                <w:u w:val="single"/>
              </w:rPr>
              <w:t>Q4</w:t>
            </w:r>
          </w:p>
        </w:tc>
        <w:tc>
          <w:tcPr>
            <w:tcW w:w="5894" w:type="dxa"/>
          </w:tcPr>
          <w:p>
            <w:pPr>
              <w:pStyle w:val="TableParagraph"/>
              <w:spacing w:line="167" w:lineRule="exact"/>
              <w:ind w:left="391"/>
              <w:rPr>
                <w:sz w:val="24"/>
              </w:rPr>
            </w:pPr>
            <w:r>
              <w:rPr>
                <w:sz w:val="24"/>
              </w:rPr>
              <w:t>market expects official rates to remain at current levels</w:t>
            </w:r>
          </w:p>
        </w:tc>
      </w:tr>
      <w:tr>
        <w:trPr>
          <w:trHeight w:val="297" w:hRule="atLeast"/>
        </w:trPr>
        <w:tc>
          <w:tcPr>
            <w:tcW w:w="398" w:type="dxa"/>
          </w:tcPr>
          <w:p>
            <w:pPr>
              <w:pStyle w:val="TableParagraph"/>
              <w:spacing w:line="240" w:lineRule="auto" w:before="87"/>
              <w:ind w:left="70"/>
              <w:rPr>
                <w:sz w:val="14"/>
              </w:rPr>
            </w:pPr>
            <w:r>
              <w:rPr>
                <w:sz w:val="14"/>
              </w:rPr>
              <w:t>6.0</w:t>
            </w:r>
          </w:p>
        </w:tc>
        <w:tc>
          <w:tcPr>
            <w:tcW w:w="480" w:type="dxa"/>
          </w:tcPr>
          <w:p>
            <w:pPr>
              <w:pStyle w:val="TableParagraph"/>
              <w:spacing w:line="240" w:lineRule="auto" w:before="87"/>
              <w:ind w:left="132" w:right="132"/>
              <w:jc w:val="center"/>
              <w:rPr>
                <w:sz w:val="14"/>
              </w:rPr>
            </w:pPr>
            <w:r>
              <w:rPr>
                <w:sz w:val="14"/>
              </w:rPr>
              <w:t>5.9</w:t>
            </w:r>
          </w:p>
        </w:tc>
        <w:tc>
          <w:tcPr>
            <w:tcW w:w="480" w:type="dxa"/>
          </w:tcPr>
          <w:p>
            <w:pPr>
              <w:pStyle w:val="TableParagraph"/>
              <w:spacing w:line="240" w:lineRule="auto" w:before="87"/>
              <w:ind w:left="132" w:right="132"/>
              <w:jc w:val="center"/>
              <w:rPr>
                <w:sz w:val="14"/>
              </w:rPr>
            </w:pPr>
            <w:r>
              <w:rPr>
                <w:sz w:val="14"/>
              </w:rPr>
              <w:t>5.8</w:t>
            </w:r>
          </w:p>
        </w:tc>
        <w:tc>
          <w:tcPr>
            <w:tcW w:w="497" w:type="dxa"/>
          </w:tcPr>
          <w:p>
            <w:pPr>
              <w:pStyle w:val="TableParagraph"/>
              <w:spacing w:line="240" w:lineRule="auto" w:before="87"/>
              <w:ind w:left="152"/>
              <w:rPr>
                <w:sz w:val="14"/>
              </w:rPr>
            </w:pPr>
            <w:r>
              <w:rPr>
                <w:sz w:val="14"/>
              </w:rPr>
              <w:t>5.8</w:t>
            </w:r>
          </w:p>
        </w:tc>
        <w:tc>
          <w:tcPr>
            <w:tcW w:w="462" w:type="dxa"/>
          </w:tcPr>
          <w:p>
            <w:pPr>
              <w:pStyle w:val="TableParagraph"/>
              <w:spacing w:line="240" w:lineRule="auto" w:before="87"/>
              <w:ind w:left="135"/>
              <w:rPr>
                <w:sz w:val="14"/>
              </w:rPr>
            </w:pPr>
            <w:r>
              <w:rPr>
                <w:sz w:val="14"/>
              </w:rPr>
              <w:t>5.8</w:t>
            </w:r>
          </w:p>
        </w:tc>
        <w:tc>
          <w:tcPr>
            <w:tcW w:w="479" w:type="dxa"/>
          </w:tcPr>
          <w:p>
            <w:pPr>
              <w:pStyle w:val="TableParagraph"/>
              <w:spacing w:line="240" w:lineRule="auto" w:before="87"/>
              <w:ind w:left="131" w:right="129"/>
              <w:jc w:val="center"/>
              <w:rPr>
                <w:sz w:val="14"/>
              </w:rPr>
            </w:pPr>
            <w:r>
              <w:rPr>
                <w:sz w:val="14"/>
              </w:rPr>
              <w:t>5.8</w:t>
            </w:r>
          </w:p>
        </w:tc>
        <w:tc>
          <w:tcPr>
            <w:tcW w:w="479" w:type="dxa"/>
          </w:tcPr>
          <w:p>
            <w:pPr>
              <w:pStyle w:val="TableParagraph"/>
              <w:spacing w:line="240" w:lineRule="auto" w:before="87"/>
              <w:ind w:left="133" w:right="129"/>
              <w:jc w:val="center"/>
              <w:rPr>
                <w:sz w:val="14"/>
              </w:rPr>
            </w:pPr>
            <w:r>
              <w:rPr>
                <w:sz w:val="14"/>
              </w:rPr>
              <w:t>5.8</w:t>
            </w:r>
          </w:p>
        </w:tc>
        <w:tc>
          <w:tcPr>
            <w:tcW w:w="479" w:type="dxa"/>
          </w:tcPr>
          <w:p>
            <w:pPr>
              <w:pStyle w:val="TableParagraph"/>
              <w:spacing w:line="240" w:lineRule="auto" w:before="87"/>
              <w:ind w:left="133" w:right="127"/>
              <w:jc w:val="center"/>
              <w:rPr>
                <w:sz w:val="14"/>
              </w:rPr>
            </w:pPr>
            <w:r>
              <w:rPr>
                <w:sz w:val="14"/>
              </w:rPr>
              <w:t>5.7</w:t>
            </w:r>
          </w:p>
        </w:tc>
        <w:tc>
          <w:tcPr>
            <w:tcW w:w="714" w:type="dxa"/>
          </w:tcPr>
          <w:p>
            <w:pPr>
              <w:pStyle w:val="TableParagraph"/>
              <w:spacing w:line="240" w:lineRule="auto" w:before="87"/>
              <w:ind w:left="156"/>
              <w:rPr>
                <w:sz w:val="14"/>
              </w:rPr>
            </w:pPr>
            <w:r>
              <w:rPr>
                <w:sz w:val="14"/>
              </w:rPr>
              <w:t>5.7</w:t>
            </w:r>
          </w:p>
        </w:tc>
        <w:tc>
          <w:tcPr>
            <w:tcW w:w="5894" w:type="dxa"/>
          </w:tcPr>
          <w:p>
            <w:pPr>
              <w:pStyle w:val="TableParagraph"/>
              <w:spacing w:line="256" w:lineRule="exact" w:before="21"/>
              <w:ind w:left="391"/>
              <w:rPr>
                <w:sz w:val="24"/>
              </w:rPr>
            </w:pPr>
            <w:r>
              <w:rPr>
                <w:sz w:val="24"/>
              </w:rPr>
              <w:t>over the next year or so and then fall to around 5.75% by</w:t>
            </w:r>
          </w:p>
        </w:tc>
      </w:tr>
    </w:tbl>
    <w:p>
      <w:pPr>
        <w:spacing w:after="0" w:line="256" w:lineRule="exact"/>
        <w:rPr>
          <w:sz w:val="24"/>
        </w:rPr>
        <w:sectPr>
          <w:type w:val="continuous"/>
          <w:pgSz w:w="11900" w:h="16840"/>
          <w:pgMar w:top="1260" w:bottom="280" w:left="640" w:right="640"/>
        </w:sectPr>
      </w:pPr>
    </w:p>
    <w:p>
      <w:pPr>
        <w:spacing w:line="208" w:lineRule="auto" w:before="88"/>
        <w:ind w:left="424" w:right="0" w:hanging="240"/>
        <w:jc w:val="left"/>
        <w:rPr>
          <w:sz w:val="12"/>
        </w:rPr>
      </w:pPr>
      <w:r>
        <w:rPr>
          <w:sz w:val="12"/>
        </w:rPr>
        <w:t>(a) Based on the interest rate available on gilt-edged securities, including those used as collateral in short-term repo contracts, plus a small upward adjustment to allow for the average difference between this rate and the Bank’s official interest rate. The data are five-day averages to 8 November 2000.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7"/>
        </w:rPr>
      </w:pPr>
    </w:p>
    <w:p>
      <w:pPr>
        <w:spacing w:before="0"/>
        <w:ind w:left="174" w:right="0" w:firstLine="0"/>
        <w:jc w:val="left"/>
        <w:rPr>
          <w:b/>
          <w:sz w:val="20"/>
        </w:rPr>
      </w:pPr>
      <w:r>
        <w:rPr>
          <w:b/>
          <w:color w:val="0092C7"/>
          <w:sz w:val="20"/>
        </w:rPr>
        <w:t>Chart 6.8</w:t>
      </w:r>
    </w:p>
    <w:p>
      <w:pPr>
        <w:spacing w:line="249" w:lineRule="auto" w:before="10"/>
        <w:ind w:left="174" w:right="674" w:firstLine="0"/>
        <w:jc w:val="left"/>
        <w:rPr>
          <w:b/>
          <w:sz w:val="20"/>
        </w:rPr>
      </w:pPr>
      <w:r>
        <w:rPr>
          <w:b/>
          <w:color w:val="0092C7"/>
          <w:sz w:val="20"/>
        </w:rPr>
        <w:t>Distribution of RPIX inflation forecasts for 2002 Q4</w:t>
      </w:r>
    </w:p>
    <w:p>
      <w:pPr>
        <w:spacing w:line="120" w:lineRule="exact" w:before="124"/>
        <w:ind w:left="2394" w:right="0" w:firstLine="0"/>
        <w:jc w:val="left"/>
        <w:rPr>
          <w:sz w:val="12"/>
        </w:rPr>
      </w:pPr>
      <w:r>
        <w:rPr>
          <w:sz w:val="12"/>
        </w:rPr>
        <w:t>Number of forecasts</w:t>
      </w:r>
    </w:p>
    <w:p>
      <w:pPr>
        <w:spacing w:line="120" w:lineRule="exact" w:before="0"/>
        <w:ind w:left="3394" w:right="0" w:firstLine="0"/>
        <w:jc w:val="left"/>
        <w:rPr>
          <w:sz w:val="12"/>
        </w:rPr>
      </w:pPr>
      <w:r>
        <w:rPr/>
        <w:drawing>
          <wp:anchor distT="0" distB="0" distL="0" distR="0" allowOverlap="1" layoutInCell="1" locked="0" behindDoc="0" simplePos="0" relativeHeight="16200192">
            <wp:simplePos x="0" y="0"/>
            <wp:positionH relativeFrom="page">
              <wp:posOffset>525906</wp:posOffset>
            </wp:positionH>
            <wp:positionV relativeFrom="paragraph">
              <wp:posOffset>32884</wp:posOffset>
            </wp:positionV>
            <wp:extent cx="55029" cy="6350"/>
            <wp:effectExtent l="0" t="0" r="0" b="0"/>
            <wp:wrapNone/>
            <wp:docPr id="379" name="image13.png"/>
            <wp:cNvGraphicFramePr>
              <a:graphicFrameLocks noChangeAspect="1"/>
            </wp:cNvGraphicFramePr>
            <a:graphic>
              <a:graphicData uri="http://schemas.openxmlformats.org/drawingml/2006/picture">
                <pic:pic>
                  <pic:nvPicPr>
                    <pic:cNvPr id="380" name="image13.png"/>
                    <pic:cNvPicPr/>
                  </pic:nvPicPr>
                  <pic:blipFill>
                    <a:blip r:embed="rId38" cstate="print"/>
                    <a:stretch>
                      <a:fillRect/>
                    </a:stretch>
                  </pic:blipFill>
                  <pic:spPr>
                    <a:xfrm>
                      <a:off x="0" y="0"/>
                      <a:ext cx="55029" cy="6350"/>
                    </a:xfrm>
                    <a:prstGeom prst="rect">
                      <a:avLst/>
                    </a:prstGeom>
                  </pic:spPr>
                </pic:pic>
              </a:graphicData>
            </a:graphic>
          </wp:anchor>
        </w:drawing>
      </w:r>
      <w:r>
        <w:rPr/>
        <w:drawing>
          <wp:anchor distT="0" distB="0" distL="0" distR="0" allowOverlap="1" layoutInCell="1" locked="0" behindDoc="0" simplePos="0" relativeHeight="16200704">
            <wp:simplePos x="0" y="0"/>
            <wp:positionH relativeFrom="page">
              <wp:posOffset>2498318</wp:posOffset>
            </wp:positionH>
            <wp:positionV relativeFrom="paragraph">
              <wp:posOffset>32884</wp:posOffset>
            </wp:positionV>
            <wp:extent cx="55016" cy="6350"/>
            <wp:effectExtent l="0" t="0" r="0" b="0"/>
            <wp:wrapNone/>
            <wp:docPr id="381" name="image17.png"/>
            <wp:cNvGraphicFramePr>
              <a:graphicFrameLocks noChangeAspect="1"/>
            </wp:cNvGraphicFramePr>
            <a:graphic>
              <a:graphicData uri="http://schemas.openxmlformats.org/drawingml/2006/picture">
                <pic:pic>
                  <pic:nvPicPr>
                    <pic:cNvPr id="382" name="image17.png"/>
                    <pic:cNvPicPr/>
                  </pic:nvPicPr>
                  <pic:blipFill>
                    <a:blip r:embed="rId42" cstate="print"/>
                    <a:stretch>
                      <a:fillRect/>
                    </a:stretch>
                  </pic:blipFill>
                  <pic:spPr>
                    <a:xfrm>
                      <a:off x="0" y="0"/>
                      <a:ext cx="55016" cy="6350"/>
                    </a:xfrm>
                    <a:prstGeom prst="rect">
                      <a:avLst/>
                    </a:prstGeom>
                  </pic:spPr>
                </pic:pic>
              </a:graphicData>
            </a:graphic>
          </wp:anchor>
        </w:drawing>
      </w:r>
      <w:r>
        <w:rPr>
          <w:sz w:val="12"/>
        </w:rPr>
        <w:t>16</w:t>
      </w:r>
    </w:p>
    <w:p>
      <w:pPr>
        <w:pStyle w:val="BodyText"/>
        <w:rPr>
          <w:sz w:val="12"/>
        </w:rPr>
      </w:pPr>
    </w:p>
    <w:p>
      <w:pPr>
        <w:spacing w:before="77"/>
        <w:ind w:left="0" w:right="943" w:firstLine="0"/>
        <w:jc w:val="right"/>
        <w:rPr>
          <w:sz w:val="12"/>
        </w:rPr>
      </w:pPr>
      <w:r>
        <w:rPr/>
        <w:pict>
          <v:group style="position:absolute;margin-left:41.41pt;margin-top:-1.174567pt;width:159.65pt;height:137.75pt;mso-position-horizontal-relative:page;mso-position-vertical-relative:paragraph;z-index:16199680" coordorigin="828,-23" coordsize="3193,2755">
            <v:shape style="position:absolute;left:828;top:-24;width:3193;height:2755" type="#_x0000_t75" stroked="false">
              <v:imagedata r:id="rId210" o:title=""/>
            </v:shape>
            <v:shape style="position:absolute;left:828;top:146;width:87;height:10" type="#_x0000_t75" stroked="false">
              <v:imagedata r:id="rId38" o:title=""/>
            </v:shape>
            <v:shape style="position:absolute;left:828;top:514;width:87;height:10" type="#_x0000_t75" stroked="false">
              <v:imagedata r:id="rId38" o:title=""/>
            </v:shape>
            <v:shape style="position:absolute;left:828;top:1234;width:87;height:10" type="#_x0000_t75" stroked="false">
              <v:imagedata r:id="rId38" o:title=""/>
            </v:shape>
            <v:shape style="position:absolute;left:828;top:1586;width:87;height:10" type="#_x0000_t75" stroked="false">
              <v:imagedata r:id="rId38" o:title=""/>
            </v:shape>
            <v:shape style="position:absolute;left:828;top:2311;width:87;height:10" type="#_x0000_t75" stroked="false">
              <v:imagedata r:id="rId53" o:title=""/>
            </v:shape>
            <v:shape style="position:absolute;left:828;top:1941;width:87;height:10" type="#_x0000_t75" stroked="false">
              <v:imagedata r:id="rId53" o:title=""/>
            </v:shape>
            <v:shape style="position:absolute;left:828;top:866;width:87;height:10" type="#_x0000_t75" stroked="false">
              <v:imagedata r:id="rId38" o:title=""/>
            </v:shape>
            <v:shape style="position:absolute;left:3934;top:144;width:87;height:10" type="#_x0000_t75" stroked="false">
              <v:imagedata r:id="rId39" o:title=""/>
            </v:shape>
            <v:shape style="position:absolute;left:3934;top:864;width:87;height:10" type="#_x0000_t75" stroked="false">
              <v:imagedata r:id="rId39" o:title=""/>
            </v:shape>
            <v:shape style="position:absolute;left:3934;top:1234;width:87;height:10" type="#_x0000_t75" stroked="false">
              <v:imagedata r:id="rId42" o:title=""/>
            </v:shape>
            <v:shape style="position:absolute;left:3934;top:1586;width:87;height:10" type="#_x0000_t75" stroked="false">
              <v:imagedata r:id="rId42" o:title=""/>
            </v:shape>
            <v:shape style="position:absolute;left:3934;top:2311;width:87;height:10" type="#_x0000_t75" stroked="false">
              <v:imagedata r:id="rId39" o:title=""/>
            </v:shape>
            <v:shape style="position:absolute;left:3934;top:1941;width:87;height:10" type="#_x0000_t75" stroked="false">
              <v:imagedata r:id="rId39" o:title=""/>
            </v:shape>
            <v:shape style="position:absolute;left:3934;top:511;width:87;height:10" type="#_x0000_t75" stroked="false">
              <v:imagedata r:id="rId39" o:title=""/>
            </v:shape>
            <w10:wrap type="none"/>
          </v:group>
        </w:pict>
      </w:r>
      <w:r>
        <w:rPr>
          <w:sz w:val="12"/>
        </w:rPr>
        <w:t>14</w:t>
      </w:r>
    </w:p>
    <w:p>
      <w:pPr>
        <w:pStyle w:val="BodyText"/>
        <w:rPr>
          <w:sz w:val="12"/>
        </w:rPr>
      </w:pPr>
    </w:p>
    <w:p>
      <w:pPr>
        <w:spacing w:before="91"/>
        <w:ind w:left="0" w:right="943" w:firstLine="0"/>
        <w:jc w:val="right"/>
        <w:rPr>
          <w:sz w:val="12"/>
        </w:rPr>
      </w:pPr>
      <w:r>
        <w:rPr>
          <w:sz w:val="12"/>
        </w:rPr>
        <w:t>12</w:t>
      </w:r>
    </w:p>
    <w:p>
      <w:pPr>
        <w:pStyle w:val="BodyText"/>
        <w:rPr>
          <w:sz w:val="12"/>
        </w:rPr>
      </w:pPr>
    </w:p>
    <w:p>
      <w:pPr>
        <w:spacing w:before="77"/>
        <w:ind w:left="0" w:right="943" w:firstLine="0"/>
        <w:jc w:val="right"/>
        <w:rPr>
          <w:sz w:val="12"/>
        </w:rPr>
      </w:pPr>
      <w:r>
        <w:rPr>
          <w:sz w:val="12"/>
        </w:rPr>
        <w:t>10</w:t>
      </w:r>
    </w:p>
    <w:p>
      <w:pPr>
        <w:pStyle w:val="BodyText"/>
        <w:rPr>
          <w:sz w:val="12"/>
        </w:rPr>
      </w:pPr>
    </w:p>
    <w:p>
      <w:pPr>
        <w:spacing w:before="94"/>
        <w:ind w:left="0" w:right="943" w:firstLine="0"/>
        <w:jc w:val="right"/>
        <w:rPr>
          <w:sz w:val="12"/>
        </w:rPr>
      </w:pPr>
      <w:r>
        <w:rPr>
          <w:sz w:val="12"/>
        </w:rPr>
        <w:t>8</w:t>
      </w:r>
    </w:p>
    <w:p>
      <w:pPr>
        <w:pStyle w:val="BodyText"/>
        <w:rPr>
          <w:sz w:val="12"/>
        </w:rPr>
      </w:pPr>
    </w:p>
    <w:p>
      <w:pPr>
        <w:spacing w:before="76"/>
        <w:ind w:left="0" w:right="943" w:firstLine="0"/>
        <w:jc w:val="right"/>
        <w:rPr>
          <w:sz w:val="12"/>
        </w:rPr>
      </w:pPr>
      <w:r>
        <w:rPr>
          <w:sz w:val="12"/>
        </w:rPr>
        <w:t>6</w:t>
      </w:r>
    </w:p>
    <w:p>
      <w:pPr>
        <w:pStyle w:val="BodyText"/>
        <w:rPr>
          <w:sz w:val="12"/>
        </w:rPr>
      </w:pPr>
    </w:p>
    <w:p>
      <w:pPr>
        <w:spacing w:before="77"/>
        <w:ind w:left="0" w:right="943" w:firstLine="0"/>
        <w:jc w:val="right"/>
        <w:rPr>
          <w:sz w:val="12"/>
        </w:rPr>
      </w:pPr>
      <w:r>
        <w:rPr>
          <w:sz w:val="12"/>
        </w:rPr>
        <w:t>4</w:t>
      </w:r>
    </w:p>
    <w:p>
      <w:pPr>
        <w:pStyle w:val="BodyText"/>
        <w:rPr>
          <w:sz w:val="12"/>
        </w:rPr>
      </w:pPr>
    </w:p>
    <w:p>
      <w:pPr>
        <w:spacing w:before="94"/>
        <w:ind w:left="0" w:right="943" w:firstLine="0"/>
        <w:jc w:val="right"/>
        <w:rPr>
          <w:sz w:val="12"/>
        </w:rPr>
      </w:pPr>
      <w:r>
        <w:rPr>
          <w:sz w:val="12"/>
        </w:rPr>
        <w:t>2</w:t>
      </w:r>
    </w:p>
    <w:p>
      <w:pPr>
        <w:pStyle w:val="BodyText"/>
        <w:spacing w:line="242" w:lineRule="auto" w:before="9"/>
        <w:ind w:left="174" w:right="135"/>
        <w:rPr>
          <w:sz w:val="16"/>
        </w:rPr>
      </w:pPr>
      <w:r>
        <w:rPr/>
        <w:br w:type="column"/>
      </w:r>
      <w:r>
        <w:rPr/>
        <w:t>the end of 2002. Given this evidence, the MPC’s projections under the assumption that official rates move in line with market expectations are almost identical to those conditioned on the assumption of constant interest rates. As a result, the Committee decided not to publish those fan charts in this </w:t>
      </w:r>
      <w:r>
        <w:rPr>
          <w:i/>
        </w:rPr>
        <w:t>Report</w:t>
      </w:r>
      <w:r>
        <w:rPr/>
        <w:t>, but to make them available on the Bank of England’s web site.</w:t>
      </w:r>
      <w:r>
        <w:rPr>
          <w:position w:val="5"/>
          <w:sz w:val="16"/>
        </w:rPr>
        <w:t>(1)</w:t>
      </w:r>
    </w:p>
    <w:p>
      <w:pPr>
        <w:pStyle w:val="BodyText"/>
        <w:spacing w:line="242" w:lineRule="auto" w:before="229"/>
        <w:ind w:left="174" w:right="227"/>
      </w:pPr>
      <w:r>
        <w:rPr/>
        <w:t>As discussed above, the central projection for this </w:t>
      </w:r>
      <w:r>
        <w:rPr>
          <w:i/>
        </w:rPr>
        <w:t>Report </w:t>
      </w:r>
      <w:r>
        <w:rPr/>
        <w:t>is based on a profile for asset prices based on a starting-point averaging the five working days up to and including 8 November, rather than the fifteen</w:t>
      </w:r>
    </w:p>
    <w:p>
      <w:pPr>
        <w:pStyle w:val="BodyText"/>
        <w:spacing w:line="242" w:lineRule="auto" w:before="5"/>
        <w:ind w:left="174" w:right="321"/>
      </w:pPr>
      <w:r>
        <w:rPr/>
        <w:t>working day average used in recent </w:t>
      </w:r>
      <w:r>
        <w:rPr>
          <w:i/>
        </w:rPr>
        <w:t>Reports</w:t>
      </w:r>
      <w:r>
        <w:rPr/>
        <w:t>. For transparency, alternative fan charts constructed on the previous basis are shown in Charts 6.6 and 6.7. Given the much higher profile for the exchange rate using the alternative assumption, the outlook for inflation and GDP growth would be somewhat weaker than in the main case.</w:t>
      </w:r>
    </w:p>
    <w:p>
      <w:pPr>
        <w:spacing w:after="0" w:line="242" w:lineRule="auto"/>
        <w:sectPr>
          <w:type w:val="continuous"/>
          <w:pgSz w:w="11900" w:h="16840"/>
          <w:pgMar w:top="1260" w:bottom="280" w:left="640" w:right="640"/>
          <w:cols w:num="2" w:equalWidth="0">
            <w:col w:w="4461" w:space="339"/>
            <w:col w:w="5820"/>
          </w:cols>
        </w:sectPr>
      </w:pPr>
    </w:p>
    <w:p>
      <w:pPr>
        <w:pStyle w:val="BodyText"/>
        <w:rPr>
          <w:sz w:val="12"/>
        </w:rPr>
      </w:pPr>
    </w:p>
    <w:p>
      <w:pPr>
        <w:pStyle w:val="BodyText"/>
        <w:rPr>
          <w:sz w:val="12"/>
        </w:rPr>
      </w:pPr>
    </w:p>
    <w:p>
      <w:pPr>
        <w:spacing w:before="106"/>
        <w:ind w:left="267" w:right="0" w:firstLine="0"/>
        <w:jc w:val="left"/>
        <w:rPr>
          <w:sz w:val="12"/>
        </w:rPr>
      </w:pPr>
      <w:r>
        <w:rPr>
          <w:sz w:val="12"/>
        </w:rPr>
        <w:t>1.2 1.5 1.8 2.1 2.4 2.7 3.0 3.3 3.6 3.9</w:t>
      </w:r>
    </w:p>
    <w:p>
      <w:pPr>
        <w:spacing w:line="127" w:lineRule="exact" w:before="62"/>
        <w:ind w:left="1261" w:right="0" w:firstLine="0"/>
        <w:jc w:val="left"/>
        <w:rPr>
          <w:sz w:val="12"/>
        </w:rPr>
      </w:pPr>
      <w:r>
        <w:rPr>
          <w:sz w:val="12"/>
        </w:rPr>
        <w:t>Range of forecasts</w:t>
      </w:r>
    </w:p>
    <w:p>
      <w:pPr>
        <w:pStyle w:val="BodyText"/>
        <w:rPr>
          <w:sz w:val="12"/>
        </w:rPr>
      </w:pPr>
      <w:r>
        <w:rPr/>
        <w:br w:type="column"/>
      </w:r>
      <w:r>
        <w:rPr>
          <w:sz w:val="12"/>
        </w:rPr>
      </w:r>
    </w:p>
    <w:p>
      <w:pPr>
        <w:spacing w:before="76"/>
        <w:ind w:left="392" w:right="0" w:firstLine="0"/>
        <w:jc w:val="left"/>
        <w:rPr>
          <w:sz w:val="12"/>
        </w:rPr>
      </w:pPr>
      <w:r>
        <w:rPr>
          <w:sz w:val="12"/>
        </w:rPr>
        <w:t>0</w:t>
      </w:r>
    </w:p>
    <w:p>
      <w:pPr>
        <w:spacing w:before="30"/>
        <w:ind w:left="77" w:right="0" w:firstLine="0"/>
        <w:jc w:val="left"/>
        <w:rPr>
          <w:sz w:val="12"/>
        </w:rPr>
      </w:pPr>
      <w:r>
        <w:rPr>
          <w:sz w:val="12"/>
        </w:rPr>
        <w:t>4.2</w:t>
      </w:r>
    </w:p>
    <w:p>
      <w:pPr>
        <w:pStyle w:val="Heading4"/>
        <w:numPr>
          <w:ilvl w:val="1"/>
          <w:numId w:val="42"/>
        </w:numPr>
        <w:tabs>
          <w:tab w:pos="3716" w:val="left" w:leader="none"/>
          <w:tab w:pos="3717" w:val="left" w:leader="none"/>
          <w:tab w:pos="5747" w:val="left" w:leader="none"/>
        </w:tabs>
        <w:spacing w:line="240" w:lineRule="auto" w:before="112" w:after="0"/>
        <w:ind w:left="3716" w:right="0" w:hanging="3450"/>
        <w:jc w:val="left"/>
      </w:pPr>
      <w:r>
        <w:rPr>
          <w:color w:val="009391"/>
          <w:spacing w:val="-1"/>
          <w:u w:val="thick" w:color="0092C7"/>
        </w:rPr>
        <w:br w:type="column"/>
      </w:r>
      <w:r>
        <w:rPr>
          <w:color w:val="009391"/>
          <w:u w:val="thick" w:color="0092C7"/>
        </w:rPr>
        <w:t>Other</w:t>
      </w:r>
      <w:r>
        <w:rPr>
          <w:color w:val="009391"/>
          <w:spacing w:val="-23"/>
          <w:u w:val="thick" w:color="0092C7"/>
        </w:rPr>
        <w:t> </w:t>
      </w:r>
      <w:r>
        <w:rPr>
          <w:color w:val="009391"/>
          <w:u w:val="thick" w:color="0092C7"/>
        </w:rPr>
        <w:t>forecasts</w:t>
        <w:tab/>
      </w:r>
    </w:p>
    <w:p>
      <w:pPr>
        <w:spacing w:after="0" w:line="240" w:lineRule="auto"/>
        <w:jc w:val="left"/>
        <w:sectPr>
          <w:type w:val="continuous"/>
          <w:pgSz w:w="11900" w:h="16840"/>
          <w:pgMar w:top="1260" w:bottom="280" w:left="640" w:right="640"/>
          <w:cols w:num="3" w:equalWidth="0">
            <w:col w:w="3023" w:space="40"/>
            <w:col w:w="493" w:space="1151"/>
            <w:col w:w="5913"/>
          </w:cols>
        </w:sectPr>
      </w:pPr>
    </w:p>
    <w:p>
      <w:pPr>
        <w:pStyle w:val="BodyText"/>
        <w:spacing w:before="5"/>
        <w:rPr>
          <w:b/>
          <w:sz w:val="10"/>
        </w:rPr>
      </w:pPr>
    </w:p>
    <w:p>
      <w:pPr>
        <w:spacing w:before="0"/>
        <w:ind w:left="174" w:right="0" w:firstLine="0"/>
        <w:jc w:val="left"/>
        <w:rPr>
          <w:sz w:val="12"/>
        </w:rPr>
      </w:pPr>
      <w:r>
        <w:rPr>
          <w:sz w:val="12"/>
        </w:rPr>
        <w:t>Source: Survey of 28 outside forecasters as of 6 November 2000.</w:t>
      </w:r>
    </w:p>
    <w:p>
      <w:pPr>
        <w:pStyle w:val="BodyText"/>
        <w:spacing w:line="242" w:lineRule="auto"/>
        <w:ind w:left="179" w:right="514"/>
      </w:pPr>
      <w:r>
        <w:rPr/>
        <w:br w:type="column"/>
      </w:r>
      <w:r>
        <w:rPr/>
        <w:t>In late October, the Bank asked a sample of external forecasters for their latest projections of inflation and</w:t>
      </w:r>
    </w:p>
    <w:p>
      <w:pPr>
        <w:pStyle w:val="BodyText"/>
        <w:spacing w:before="2"/>
        <w:rPr>
          <w:sz w:val="11"/>
        </w:rPr>
      </w:pPr>
    </w:p>
    <w:p>
      <w:pPr>
        <w:pStyle w:val="BodyText"/>
        <w:spacing w:line="20" w:lineRule="exact"/>
        <w:ind w:left="142"/>
        <w:rPr>
          <w:sz w:val="2"/>
        </w:rPr>
      </w:pPr>
      <w:r>
        <w:rPr>
          <w:sz w:val="2"/>
        </w:rPr>
        <w:pict>
          <v:group style="width:277.5pt;height:.15pt;mso-position-horizontal-relative:char;mso-position-vertical-relative:line" coordorigin="0,0" coordsize="5550,3">
            <v:line style="position:absolute" from="0,1" to="5550,1" stroked="true" strokeweight=".125pt" strokecolor="#000000">
              <v:stroke dashstyle="solid"/>
            </v:line>
          </v:group>
        </w:pict>
      </w:r>
      <w:r>
        <w:rPr>
          <w:sz w:val="2"/>
        </w:rPr>
      </w:r>
    </w:p>
    <w:p>
      <w:pPr>
        <w:spacing w:before="0"/>
        <w:ind w:left="174" w:right="0" w:firstLine="0"/>
        <w:jc w:val="left"/>
        <w:rPr>
          <w:sz w:val="16"/>
        </w:rPr>
      </w:pPr>
      <w:r>
        <w:rPr>
          <w:sz w:val="16"/>
        </w:rPr>
        <w:t>(1) </w:t>
      </w:r>
      <w:r>
        <w:rPr>
          <w:color w:val="FF0000"/>
          <w:sz w:val="16"/>
        </w:rPr>
        <w:t>At</w:t>
      </w:r>
      <w:hyperlink r:id="rId186">
        <w:r>
          <w:rPr>
            <w:color w:val="FF0000"/>
            <w:sz w:val="16"/>
          </w:rPr>
          <w:t> www.bankofengland.co.uk/inflationreport/mark0004.htm</w:t>
        </w:r>
      </w:hyperlink>
    </w:p>
    <w:p>
      <w:pPr>
        <w:spacing w:after="0"/>
        <w:jc w:val="left"/>
        <w:rPr>
          <w:sz w:val="16"/>
        </w:rPr>
        <w:sectPr>
          <w:type w:val="continuous"/>
          <w:pgSz w:w="11900" w:h="16840"/>
          <w:pgMar w:top="1260" w:bottom="280" w:left="640" w:right="640"/>
          <w:cols w:num="2" w:equalWidth="0">
            <w:col w:w="3366" w:space="1429"/>
            <w:col w:w="5825"/>
          </w:cols>
        </w:sectPr>
      </w:pP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rPr>
          <w:sz w:val="20"/>
        </w:rPr>
      </w:pPr>
    </w:p>
    <w:p>
      <w:pPr>
        <w:spacing w:after="0"/>
        <w:rPr>
          <w:sz w:val="20"/>
        </w:rPr>
        <w:sectPr>
          <w:pgSz w:w="11900" w:h="16840"/>
          <w:pgMar w:header="586" w:footer="612" w:top="780" w:bottom="800" w:left="640" w:right="640"/>
        </w:sectPr>
      </w:pPr>
    </w:p>
    <w:p>
      <w:pPr>
        <w:pStyle w:val="BodyText"/>
        <w:spacing w:before="4"/>
        <w:rPr>
          <w:sz w:val="19"/>
        </w:rPr>
      </w:pPr>
    </w:p>
    <w:p>
      <w:pPr>
        <w:spacing w:before="0"/>
        <w:ind w:left="180" w:right="0" w:firstLine="0"/>
        <w:jc w:val="left"/>
        <w:rPr>
          <w:b/>
          <w:sz w:val="20"/>
        </w:rPr>
      </w:pPr>
      <w:r>
        <w:rPr>
          <w:b/>
          <w:color w:val="0092C7"/>
          <w:sz w:val="20"/>
        </w:rPr>
        <w:t>Table 6.D</w:t>
      </w:r>
    </w:p>
    <w:p>
      <w:pPr>
        <w:spacing w:line="249" w:lineRule="auto" w:before="10"/>
        <w:ind w:left="180" w:right="0" w:firstLine="0"/>
        <w:jc w:val="left"/>
        <w:rPr>
          <w:sz w:val="12"/>
        </w:rPr>
      </w:pPr>
      <w:r>
        <w:rPr>
          <w:b/>
          <w:color w:val="0092C7"/>
          <w:sz w:val="20"/>
        </w:rPr>
        <w:t>Other forecasters’ expectations of RPIX inflation and GDP growth</w:t>
      </w:r>
      <w:r>
        <w:rPr>
          <w:position w:val="4"/>
          <w:sz w:val="12"/>
        </w:rPr>
        <w:t>(a)</w:t>
      </w:r>
    </w:p>
    <w:p>
      <w:pPr>
        <w:spacing w:before="97"/>
        <w:ind w:left="180" w:right="0" w:firstLine="0"/>
        <w:jc w:val="left"/>
        <w:rPr>
          <w:b/>
          <w:sz w:val="14"/>
        </w:rPr>
      </w:pPr>
      <w:r>
        <w:rPr>
          <w:b/>
          <w:sz w:val="14"/>
        </w:rPr>
        <w:t>RPIX inflation</w:t>
      </w:r>
    </w:p>
    <w:p>
      <w:pPr>
        <w:pStyle w:val="BodyText"/>
        <w:spacing w:before="10"/>
        <w:rPr>
          <w:b/>
          <w:sz w:val="10"/>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4"/>
        <w:gridCol w:w="546"/>
        <w:gridCol w:w="383"/>
        <w:gridCol w:w="175"/>
        <w:gridCol w:w="388"/>
        <w:gridCol w:w="144"/>
        <w:gridCol w:w="354"/>
        <w:gridCol w:w="110"/>
        <w:gridCol w:w="379"/>
        <w:gridCol w:w="120"/>
        <w:gridCol w:w="354"/>
      </w:tblGrid>
      <w:tr>
        <w:trPr>
          <w:trHeight w:val="177" w:hRule="atLeast"/>
        </w:trPr>
        <w:tc>
          <w:tcPr>
            <w:tcW w:w="1384" w:type="dxa"/>
          </w:tcPr>
          <w:p>
            <w:pPr>
              <w:pStyle w:val="TableParagraph"/>
              <w:spacing w:line="155" w:lineRule="exact"/>
              <w:ind w:left="50"/>
              <w:rPr>
                <w:sz w:val="14"/>
              </w:rPr>
            </w:pPr>
            <w:r>
              <w:rPr>
                <w:sz w:val="14"/>
              </w:rPr>
              <w:t>Probability, per cent</w:t>
            </w:r>
          </w:p>
        </w:tc>
        <w:tc>
          <w:tcPr>
            <w:tcW w:w="546" w:type="dxa"/>
            <w:tcBorders>
              <w:bottom w:val="single" w:sz="2" w:space="0" w:color="000000"/>
            </w:tcBorders>
          </w:tcPr>
          <w:p>
            <w:pPr>
              <w:pStyle w:val="TableParagraph"/>
              <w:spacing w:line="155" w:lineRule="exact"/>
              <w:ind w:left="34"/>
              <w:rPr>
                <w:sz w:val="14"/>
              </w:rPr>
            </w:pPr>
            <w:r>
              <w:rPr>
                <w:sz w:val="14"/>
              </w:rPr>
              <w:t>Range:</w:t>
            </w:r>
          </w:p>
        </w:tc>
        <w:tc>
          <w:tcPr>
            <w:tcW w:w="2407" w:type="dxa"/>
            <w:gridSpan w:val="9"/>
            <w:tcBorders>
              <w:bottom w:val="single" w:sz="2" w:space="0" w:color="000000"/>
            </w:tcBorders>
          </w:tcPr>
          <w:p>
            <w:pPr>
              <w:pStyle w:val="TableParagraph"/>
              <w:spacing w:line="240" w:lineRule="auto"/>
              <w:rPr>
                <w:sz w:val="10"/>
              </w:rPr>
            </w:pPr>
          </w:p>
        </w:tc>
      </w:tr>
      <w:tr>
        <w:trPr>
          <w:trHeight w:val="145" w:hRule="atLeast"/>
        </w:trPr>
        <w:tc>
          <w:tcPr>
            <w:tcW w:w="1384" w:type="dxa"/>
          </w:tcPr>
          <w:p>
            <w:pPr>
              <w:pStyle w:val="TableParagraph"/>
              <w:spacing w:line="240" w:lineRule="auto"/>
              <w:rPr>
                <w:sz w:val="8"/>
              </w:rPr>
            </w:pPr>
          </w:p>
        </w:tc>
        <w:tc>
          <w:tcPr>
            <w:tcW w:w="546" w:type="dxa"/>
            <w:tcBorders>
              <w:top w:val="single" w:sz="2" w:space="0" w:color="000000"/>
            </w:tcBorders>
          </w:tcPr>
          <w:p>
            <w:pPr>
              <w:pStyle w:val="TableParagraph"/>
              <w:spacing w:line="125" w:lineRule="exact"/>
              <w:ind w:left="45"/>
              <w:rPr>
                <w:sz w:val="14"/>
              </w:rPr>
            </w:pPr>
            <w:r>
              <w:rPr>
                <w:sz w:val="14"/>
              </w:rPr>
              <w:t>less</w:t>
            </w:r>
          </w:p>
        </w:tc>
        <w:tc>
          <w:tcPr>
            <w:tcW w:w="383" w:type="dxa"/>
            <w:tcBorders>
              <w:top w:val="single" w:sz="2" w:space="0" w:color="000000"/>
            </w:tcBorders>
          </w:tcPr>
          <w:p>
            <w:pPr>
              <w:pStyle w:val="TableParagraph"/>
              <w:spacing w:line="125" w:lineRule="exact"/>
              <w:ind w:left="24"/>
              <w:rPr>
                <w:sz w:val="14"/>
              </w:rPr>
            </w:pPr>
            <w:r>
              <w:rPr>
                <w:sz w:val="14"/>
              </w:rPr>
              <w:t>1.5%</w:t>
            </w:r>
          </w:p>
        </w:tc>
        <w:tc>
          <w:tcPr>
            <w:tcW w:w="175" w:type="dxa"/>
            <w:tcBorders>
              <w:top w:val="single" w:sz="2" w:space="0" w:color="000000"/>
            </w:tcBorders>
          </w:tcPr>
          <w:p>
            <w:pPr>
              <w:pStyle w:val="TableParagraph"/>
              <w:spacing w:line="240" w:lineRule="auto"/>
              <w:rPr>
                <w:sz w:val="8"/>
              </w:rPr>
            </w:pPr>
          </w:p>
        </w:tc>
        <w:tc>
          <w:tcPr>
            <w:tcW w:w="388" w:type="dxa"/>
            <w:tcBorders>
              <w:top w:val="single" w:sz="2" w:space="0" w:color="000000"/>
            </w:tcBorders>
          </w:tcPr>
          <w:p>
            <w:pPr>
              <w:pStyle w:val="TableParagraph"/>
              <w:spacing w:line="125" w:lineRule="exact"/>
              <w:ind w:left="32"/>
              <w:rPr>
                <w:sz w:val="14"/>
              </w:rPr>
            </w:pPr>
            <w:r>
              <w:rPr>
                <w:sz w:val="14"/>
              </w:rPr>
              <w:t>2.0%</w:t>
            </w:r>
          </w:p>
        </w:tc>
        <w:tc>
          <w:tcPr>
            <w:tcW w:w="144" w:type="dxa"/>
            <w:tcBorders>
              <w:top w:val="single" w:sz="2" w:space="0" w:color="000000"/>
            </w:tcBorders>
          </w:tcPr>
          <w:p>
            <w:pPr>
              <w:pStyle w:val="TableParagraph"/>
              <w:spacing w:line="240" w:lineRule="auto"/>
              <w:rPr>
                <w:sz w:val="8"/>
              </w:rPr>
            </w:pPr>
          </w:p>
        </w:tc>
        <w:tc>
          <w:tcPr>
            <w:tcW w:w="354" w:type="dxa"/>
            <w:tcBorders>
              <w:top w:val="single" w:sz="2" w:space="0" w:color="000000"/>
            </w:tcBorders>
          </w:tcPr>
          <w:p>
            <w:pPr>
              <w:pStyle w:val="TableParagraph"/>
              <w:spacing w:line="125" w:lineRule="exact"/>
              <w:ind w:left="29"/>
              <w:rPr>
                <w:sz w:val="14"/>
              </w:rPr>
            </w:pPr>
            <w:r>
              <w:rPr>
                <w:sz w:val="14"/>
              </w:rPr>
              <w:t>2.5%</w:t>
            </w:r>
          </w:p>
        </w:tc>
        <w:tc>
          <w:tcPr>
            <w:tcW w:w="110" w:type="dxa"/>
            <w:tcBorders>
              <w:top w:val="single" w:sz="2" w:space="0" w:color="000000"/>
            </w:tcBorders>
          </w:tcPr>
          <w:p>
            <w:pPr>
              <w:pStyle w:val="TableParagraph"/>
              <w:spacing w:line="240" w:lineRule="auto"/>
              <w:rPr>
                <w:sz w:val="8"/>
              </w:rPr>
            </w:pPr>
          </w:p>
        </w:tc>
        <w:tc>
          <w:tcPr>
            <w:tcW w:w="379" w:type="dxa"/>
            <w:tcBorders>
              <w:top w:val="single" w:sz="2" w:space="0" w:color="000000"/>
            </w:tcBorders>
          </w:tcPr>
          <w:p>
            <w:pPr>
              <w:pStyle w:val="TableParagraph"/>
              <w:spacing w:line="125" w:lineRule="exact"/>
              <w:ind w:left="35"/>
              <w:rPr>
                <w:sz w:val="14"/>
              </w:rPr>
            </w:pPr>
            <w:r>
              <w:rPr>
                <w:sz w:val="14"/>
              </w:rPr>
              <w:t>3.0%</w:t>
            </w:r>
          </w:p>
        </w:tc>
        <w:tc>
          <w:tcPr>
            <w:tcW w:w="120" w:type="dxa"/>
            <w:tcBorders>
              <w:top w:val="single" w:sz="2" w:space="0" w:color="000000"/>
            </w:tcBorders>
          </w:tcPr>
          <w:p>
            <w:pPr>
              <w:pStyle w:val="TableParagraph"/>
              <w:spacing w:line="240" w:lineRule="auto"/>
              <w:rPr>
                <w:sz w:val="8"/>
              </w:rPr>
            </w:pPr>
          </w:p>
        </w:tc>
        <w:tc>
          <w:tcPr>
            <w:tcW w:w="354" w:type="dxa"/>
            <w:tcBorders>
              <w:top w:val="single" w:sz="2" w:space="0" w:color="000000"/>
            </w:tcBorders>
          </w:tcPr>
          <w:p>
            <w:pPr>
              <w:pStyle w:val="TableParagraph"/>
              <w:spacing w:line="125" w:lineRule="exact"/>
              <w:ind w:right="1"/>
              <w:jc w:val="center"/>
              <w:rPr>
                <w:sz w:val="14"/>
              </w:rPr>
            </w:pPr>
            <w:r>
              <w:rPr>
                <w:sz w:val="14"/>
              </w:rPr>
              <w:t>more</w:t>
            </w:r>
          </w:p>
        </w:tc>
      </w:tr>
      <w:tr>
        <w:trPr>
          <w:trHeight w:val="140" w:hRule="atLeast"/>
        </w:trPr>
        <w:tc>
          <w:tcPr>
            <w:tcW w:w="1384" w:type="dxa"/>
          </w:tcPr>
          <w:p>
            <w:pPr>
              <w:pStyle w:val="TableParagraph"/>
              <w:spacing w:line="240" w:lineRule="auto"/>
              <w:rPr>
                <w:sz w:val="8"/>
              </w:rPr>
            </w:pPr>
          </w:p>
        </w:tc>
        <w:tc>
          <w:tcPr>
            <w:tcW w:w="546" w:type="dxa"/>
          </w:tcPr>
          <w:p>
            <w:pPr>
              <w:pStyle w:val="TableParagraph"/>
              <w:ind w:left="45"/>
              <w:rPr>
                <w:sz w:val="14"/>
              </w:rPr>
            </w:pPr>
            <w:r>
              <w:rPr>
                <w:sz w:val="14"/>
              </w:rPr>
              <w:t>than</w:t>
            </w:r>
          </w:p>
        </w:tc>
        <w:tc>
          <w:tcPr>
            <w:tcW w:w="383" w:type="dxa"/>
          </w:tcPr>
          <w:p>
            <w:pPr>
              <w:pStyle w:val="TableParagraph"/>
              <w:ind w:left="24"/>
              <w:rPr>
                <w:sz w:val="14"/>
              </w:rPr>
            </w:pPr>
            <w:r>
              <w:rPr>
                <w:sz w:val="14"/>
              </w:rPr>
              <w:t>to</w:t>
            </w:r>
          </w:p>
        </w:tc>
        <w:tc>
          <w:tcPr>
            <w:tcW w:w="175" w:type="dxa"/>
          </w:tcPr>
          <w:p>
            <w:pPr>
              <w:pStyle w:val="TableParagraph"/>
              <w:spacing w:line="240" w:lineRule="auto"/>
              <w:rPr>
                <w:sz w:val="8"/>
              </w:rPr>
            </w:pPr>
          </w:p>
        </w:tc>
        <w:tc>
          <w:tcPr>
            <w:tcW w:w="388" w:type="dxa"/>
          </w:tcPr>
          <w:p>
            <w:pPr>
              <w:pStyle w:val="TableParagraph"/>
              <w:ind w:left="32"/>
              <w:rPr>
                <w:sz w:val="14"/>
              </w:rPr>
            </w:pPr>
            <w:r>
              <w:rPr>
                <w:sz w:val="14"/>
              </w:rPr>
              <w:t>to</w:t>
            </w:r>
          </w:p>
        </w:tc>
        <w:tc>
          <w:tcPr>
            <w:tcW w:w="144" w:type="dxa"/>
          </w:tcPr>
          <w:p>
            <w:pPr>
              <w:pStyle w:val="TableParagraph"/>
              <w:spacing w:line="240" w:lineRule="auto"/>
              <w:rPr>
                <w:sz w:val="8"/>
              </w:rPr>
            </w:pPr>
          </w:p>
        </w:tc>
        <w:tc>
          <w:tcPr>
            <w:tcW w:w="354" w:type="dxa"/>
          </w:tcPr>
          <w:p>
            <w:pPr>
              <w:pStyle w:val="TableParagraph"/>
              <w:ind w:left="29"/>
              <w:rPr>
                <w:sz w:val="14"/>
              </w:rPr>
            </w:pPr>
            <w:r>
              <w:rPr>
                <w:sz w:val="14"/>
              </w:rPr>
              <w:t>to</w:t>
            </w:r>
          </w:p>
        </w:tc>
        <w:tc>
          <w:tcPr>
            <w:tcW w:w="110" w:type="dxa"/>
          </w:tcPr>
          <w:p>
            <w:pPr>
              <w:pStyle w:val="TableParagraph"/>
              <w:spacing w:line="240" w:lineRule="auto"/>
              <w:rPr>
                <w:sz w:val="8"/>
              </w:rPr>
            </w:pPr>
          </w:p>
        </w:tc>
        <w:tc>
          <w:tcPr>
            <w:tcW w:w="379" w:type="dxa"/>
          </w:tcPr>
          <w:p>
            <w:pPr>
              <w:pStyle w:val="TableParagraph"/>
              <w:ind w:left="35"/>
              <w:rPr>
                <w:sz w:val="14"/>
              </w:rPr>
            </w:pPr>
            <w:r>
              <w:rPr>
                <w:sz w:val="14"/>
              </w:rPr>
              <w:t>to</w:t>
            </w:r>
          </w:p>
        </w:tc>
        <w:tc>
          <w:tcPr>
            <w:tcW w:w="120" w:type="dxa"/>
          </w:tcPr>
          <w:p>
            <w:pPr>
              <w:pStyle w:val="TableParagraph"/>
              <w:spacing w:line="240" w:lineRule="auto"/>
              <w:rPr>
                <w:sz w:val="8"/>
              </w:rPr>
            </w:pPr>
          </w:p>
        </w:tc>
        <w:tc>
          <w:tcPr>
            <w:tcW w:w="354" w:type="dxa"/>
          </w:tcPr>
          <w:p>
            <w:pPr>
              <w:pStyle w:val="TableParagraph"/>
              <w:ind w:right="46"/>
              <w:jc w:val="center"/>
              <w:rPr>
                <w:sz w:val="14"/>
              </w:rPr>
            </w:pPr>
            <w:r>
              <w:rPr>
                <w:sz w:val="14"/>
              </w:rPr>
              <w:t>than</w:t>
            </w:r>
          </w:p>
        </w:tc>
      </w:tr>
      <w:tr>
        <w:trPr>
          <w:trHeight w:val="210" w:hRule="atLeast"/>
        </w:trPr>
        <w:tc>
          <w:tcPr>
            <w:tcW w:w="1384" w:type="dxa"/>
          </w:tcPr>
          <w:p>
            <w:pPr>
              <w:pStyle w:val="TableParagraph"/>
              <w:spacing w:line="240" w:lineRule="auto"/>
              <w:rPr>
                <w:sz w:val="14"/>
              </w:rPr>
            </w:pPr>
          </w:p>
        </w:tc>
        <w:tc>
          <w:tcPr>
            <w:tcW w:w="546" w:type="dxa"/>
          </w:tcPr>
          <w:p>
            <w:pPr>
              <w:pStyle w:val="TableParagraph"/>
              <w:spacing w:line="148" w:lineRule="exact"/>
              <w:ind w:left="26"/>
              <w:rPr>
                <w:sz w:val="14"/>
              </w:rPr>
            </w:pPr>
            <w:r>
              <w:rPr>
                <w:sz w:val="14"/>
                <w:u w:val="single"/>
              </w:rPr>
              <w:t>1.5% </w:t>
            </w:r>
          </w:p>
        </w:tc>
        <w:tc>
          <w:tcPr>
            <w:tcW w:w="383" w:type="dxa"/>
          </w:tcPr>
          <w:p>
            <w:pPr>
              <w:pStyle w:val="TableParagraph"/>
              <w:spacing w:line="148" w:lineRule="exact"/>
              <w:ind w:left="24" w:right="-15"/>
              <w:rPr>
                <w:sz w:val="14"/>
              </w:rPr>
            </w:pPr>
            <w:r>
              <w:rPr>
                <w:sz w:val="14"/>
                <w:u w:val="single"/>
              </w:rPr>
              <w:t>2.0%</w:t>
            </w:r>
            <w:r>
              <w:rPr>
                <w:spacing w:val="-2"/>
                <w:sz w:val="14"/>
                <w:u w:val="single"/>
              </w:rPr>
              <w:t> </w:t>
            </w:r>
          </w:p>
        </w:tc>
        <w:tc>
          <w:tcPr>
            <w:tcW w:w="175" w:type="dxa"/>
          </w:tcPr>
          <w:p>
            <w:pPr>
              <w:pStyle w:val="TableParagraph"/>
              <w:spacing w:line="240" w:lineRule="auto"/>
              <w:rPr>
                <w:sz w:val="14"/>
              </w:rPr>
            </w:pPr>
          </w:p>
        </w:tc>
        <w:tc>
          <w:tcPr>
            <w:tcW w:w="388" w:type="dxa"/>
          </w:tcPr>
          <w:p>
            <w:pPr>
              <w:pStyle w:val="TableParagraph"/>
              <w:spacing w:line="148" w:lineRule="exact"/>
              <w:ind w:left="32" w:right="-15"/>
              <w:rPr>
                <w:sz w:val="14"/>
              </w:rPr>
            </w:pPr>
            <w:r>
              <w:rPr>
                <w:sz w:val="14"/>
                <w:u w:val="single"/>
              </w:rPr>
              <w:t>2.5%</w:t>
            </w:r>
            <w:r>
              <w:rPr>
                <w:spacing w:val="-3"/>
                <w:sz w:val="14"/>
                <w:u w:val="single"/>
              </w:rPr>
              <w:t> </w:t>
            </w:r>
          </w:p>
        </w:tc>
        <w:tc>
          <w:tcPr>
            <w:tcW w:w="144" w:type="dxa"/>
          </w:tcPr>
          <w:p>
            <w:pPr>
              <w:pStyle w:val="TableParagraph"/>
              <w:spacing w:line="240" w:lineRule="auto"/>
              <w:rPr>
                <w:sz w:val="14"/>
              </w:rPr>
            </w:pPr>
          </w:p>
        </w:tc>
        <w:tc>
          <w:tcPr>
            <w:tcW w:w="354" w:type="dxa"/>
          </w:tcPr>
          <w:p>
            <w:pPr>
              <w:pStyle w:val="TableParagraph"/>
              <w:spacing w:line="148" w:lineRule="exact"/>
              <w:ind w:left="29" w:right="-15"/>
              <w:rPr>
                <w:sz w:val="14"/>
              </w:rPr>
            </w:pPr>
            <w:r>
              <w:rPr>
                <w:sz w:val="14"/>
                <w:u w:val="single"/>
              </w:rPr>
              <w:t>3.0%</w:t>
            </w:r>
            <w:r>
              <w:rPr>
                <w:spacing w:val="3"/>
                <w:sz w:val="14"/>
                <w:u w:val="single"/>
              </w:rPr>
              <w:t> </w:t>
            </w:r>
          </w:p>
        </w:tc>
        <w:tc>
          <w:tcPr>
            <w:tcW w:w="110" w:type="dxa"/>
          </w:tcPr>
          <w:p>
            <w:pPr>
              <w:pStyle w:val="TableParagraph"/>
              <w:spacing w:line="240" w:lineRule="auto"/>
              <w:rPr>
                <w:sz w:val="14"/>
              </w:rPr>
            </w:pPr>
          </w:p>
        </w:tc>
        <w:tc>
          <w:tcPr>
            <w:tcW w:w="379" w:type="dxa"/>
          </w:tcPr>
          <w:p>
            <w:pPr>
              <w:pStyle w:val="TableParagraph"/>
              <w:spacing w:line="148" w:lineRule="exact"/>
              <w:ind w:left="35" w:right="-15"/>
              <w:rPr>
                <w:sz w:val="14"/>
              </w:rPr>
            </w:pPr>
            <w:r>
              <w:rPr>
                <w:sz w:val="14"/>
                <w:u w:val="single"/>
              </w:rPr>
              <w:t>3.5%</w:t>
            </w:r>
            <w:r>
              <w:rPr>
                <w:spacing w:val="-12"/>
                <w:sz w:val="14"/>
                <w:u w:val="single"/>
              </w:rPr>
              <w:t> </w:t>
            </w:r>
          </w:p>
        </w:tc>
        <w:tc>
          <w:tcPr>
            <w:tcW w:w="120" w:type="dxa"/>
          </w:tcPr>
          <w:p>
            <w:pPr>
              <w:pStyle w:val="TableParagraph"/>
              <w:spacing w:line="240" w:lineRule="auto"/>
              <w:rPr>
                <w:sz w:val="14"/>
              </w:rPr>
            </w:pPr>
          </w:p>
        </w:tc>
        <w:tc>
          <w:tcPr>
            <w:tcW w:w="354" w:type="dxa"/>
          </w:tcPr>
          <w:p>
            <w:pPr>
              <w:pStyle w:val="TableParagraph"/>
              <w:spacing w:line="148" w:lineRule="exact"/>
              <w:ind w:left="32" w:right="-29"/>
              <w:jc w:val="center"/>
              <w:rPr>
                <w:sz w:val="14"/>
              </w:rPr>
            </w:pPr>
            <w:r>
              <w:rPr>
                <w:sz w:val="14"/>
                <w:u w:val="single"/>
              </w:rPr>
              <w:t>3.5%</w:t>
            </w:r>
            <w:r>
              <w:rPr>
                <w:spacing w:val="-18"/>
                <w:sz w:val="14"/>
                <w:u w:val="single"/>
              </w:rPr>
              <w:t> </w:t>
            </w:r>
          </w:p>
        </w:tc>
      </w:tr>
      <w:tr>
        <w:trPr>
          <w:trHeight w:val="210" w:hRule="atLeast"/>
        </w:trPr>
        <w:tc>
          <w:tcPr>
            <w:tcW w:w="1384" w:type="dxa"/>
          </w:tcPr>
          <w:p>
            <w:pPr>
              <w:pStyle w:val="TableParagraph"/>
              <w:spacing w:line="133" w:lineRule="exact" w:before="56"/>
              <w:ind w:left="50"/>
              <w:rPr>
                <w:sz w:val="14"/>
              </w:rPr>
            </w:pPr>
            <w:r>
              <w:rPr>
                <w:sz w:val="14"/>
              </w:rPr>
              <w:t>2000 Q4</w:t>
            </w:r>
          </w:p>
        </w:tc>
        <w:tc>
          <w:tcPr>
            <w:tcW w:w="546" w:type="dxa"/>
          </w:tcPr>
          <w:p>
            <w:pPr>
              <w:pStyle w:val="TableParagraph"/>
              <w:spacing w:line="133" w:lineRule="exact" w:before="56"/>
              <w:ind w:left="177"/>
              <w:rPr>
                <w:sz w:val="14"/>
              </w:rPr>
            </w:pPr>
            <w:r>
              <w:rPr>
                <w:sz w:val="14"/>
              </w:rPr>
              <w:t>3</w:t>
            </w:r>
          </w:p>
        </w:tc>
        <w:tc>
          <w:tcPr>
            <w:tcW w:w="383" w:type="dxa"/>
          </w:tcPr>
          <w:p>
            <w:pPr>
              <w:pStyle w:val="TableParagraph"/>
              <w:spacing w:line="133" w:lineRule="exact" w:before="56"/>
              <w:ind w:left="96"/>
              <w:rPr>
                <w:sz w:val="14"/>
              </w:rPr>
            </w:pPr>
            <w:r>
              <w:rPr>
                <w:sz w:val="14"/>
              </w:rPr>
              <w:t>21</w:t>
            </w:r>
          </w:p>
        </w:tc>
        <w:tc>
          <w:tcPr>
            <w:tcW w:w="175" w:type="dxa"/>
          </w:tcPr>
          <w:p>
            <w:pPr>
              <w:pStyle w:val="TableParagraph"/>
              <w:spacing w:line="240" w:lineRule="auto"/>
              <w:rPr>
                <w:sz w:val="14"/>
              </w:rPr>
            </w:pPr>
          </w:p>
        </w:tc>
        <w:tc>
          <w:tcPr>
            <w:tcW w:w="388" w:type="dxa"/>
          </w:tcPr>
          <w:p>
            <w:pPr>
              <w:pStyle w:val="TableParagraph"/>
              <w:spacing w:line="133" w:lineRule="exact" w:before="56"/>
              <w:ind w:left="97"/>
              <w:rPr>
                <w:sz w:val="14"/>
              </w:rPr>
            </w:pPr>
            <w:r>
              <w:rPr>
                <w:sz w:val="14"/>
              </w:rPr>
              <w:t>58</w:t>
            </w:r>
          </w:p>
        </w:tc>
        <w:tc>
          <w:tcPr>
            <w:tcW w:w="144" w:type="dxa"/>
          </w:tcPr>
          <w:p>
            <w:pPr>
              <w:pStyle w:val="TableParagraph"/>
              <w:spacing w:line="240" w:lineRule="auto"/>
              <w:rPr>
                <w:sz w:val="14"/>
              </w:rPr>
            </w:pPr>
          </w:p>
        </w:tc>
        <w:tc>
          <w:tcPr>
            <w:tcW w:w="354" w:type="dxa"/>
          </w:tcPr>
          <w:p>
            <w:pPr>
              <w:pStyle w:val="TableParagraph"/>
              <w:spacing w:line="133" w:lineRule="exact" w:before="56"/>
              <w:ind w:left="70"/>
              <w:rPr>
                <w:sz w:val="14"/>
              </w:rPr>
            </w:pPr>
            <w:r>
              <w:rPr>
                <w:sz w:val="14"/>
              </w:rPr>
              <w:t>16</w:t>
            </w:r>
          </w:p>
        </w:tc>
        <w:tc>
          <w:tcPr>
            <w:tcW w:w="110" w:type="dxa"/>
          </w:tcPr>
          <w:p>
            <w:pPr>
              <w:pStyle w:val="TableParagraph"/>
              <w:spacing w:line="240" w:lineRule="auto"/>
              <w:rPr>
                <w:sz w:val="14"/>
              </w:rPr>
            </w:pPr>
          </w:p>
        </w:tc>
        <w:tc>
          <w:tcPr>
            <w:tcW w:w="379" w:type="dxa"/>
          </w:tcPr>
          <w:p>
            <w:pPr>
              <w:pStyle w:val="TableParagraph"/>
              <w:spacing w:line="133" w:lineRule="exact" w:before="56"/>
              <w:ind w:left="3"/>
              <w:jc w:val="center"/>
              <w:rPr>
                <w:sz w:val="14"/>
              </w:rPr>
            </w:pPr>
            <w:r>
              <w:rPr>
                <w:sz w:val="14"/>
              </w:rPr>
              <w:t>2</w:t>
            </w:r>
          </w:p>
        </w:tc>
        <w:tc>
          <w:tcPr>
            <w:tcW w:w="120" w:type="dxa"/>
          </w:tcPr>
          <w:p>
            <w:pPr>
              <w:pStyle w:val="TableParagraph"/>
              <w:spacing w:line="240" w:lineRule="auto"/>
              <w:rPr>
                <w:sz w:val="14"/>
              </w:rPr>
            </w:pPr>
          </w:p>
        </w:tc>
        <w:tc>
          <w:tcPr>
            <w:tcW w:w="354" w:type="dxa"/>
          </w:tcPr>
          <w:p>
            <w:pPr>
              <w:pStyle w:val="TableParagraph"/>
              <w:spacing w:line="133" w:lineRule="exact" w:before="56"/>
              <w:ind w:left="34"/>
              <w:jc w:val="center"/>
              <w:rPr>
                <w:sz w:val="14"/>
              </w:rPr>
            </w:pPr>
            <w:r>
              <w:rPr>
                <w:sz w:val="14"/>
              </w:rPr>
              <w:t>1</w:t>
            </w:r>
          </w:p>
        </w:tc>
      </w:tr>
      <w:tr>
        <w:trPr>
          <w:trHeight w:val="140" w:hRule="atLeast"/>
        </w:trPr>
        <w:tc>
          <w:tcPr>
            <w:tcW w:w="1384" w:type="dxa"/>
          </w:tcPr>
          <w:p>
            <w:pPr>
              <w:pStyle w:val="TableParagraph"/>
              <w:ind w:left="50"/>
              <w:rPr>
                <w:sz w:val="14"/>
              </w:rPr>
            </w:pPr>
            <w:r>
              <w:rPr>
                <w:sz w:val="14"/>
              </w:rPr>
              <w:t>2001 Q4</w:t>
            </w:r>
          </w:p>
        </w:tc>
        <w:tc>
          <w:tcPr>
            <w:tcW w:w="546" w:type="dxa"/>
          </w:tcPr>
          <w:p>
            <w:pPr>
              <w:pStyle w:val="TableParagraph"/>
              <w:ind w:left="177"/>
              <w:rPr>
                <w:sz w:val="14"/>
              </w:rPr>
            </w:pPr>
            <w:r>
              <w:rPr>
                <w:sz w:val="14"/>
              </w:rPr>
              <w:t>7</w:t>
            </w:r>
          </w:p>
        </w:tc>
        <w:tc>
          <w:tcPr>
            <w:tcW w:w="383" w:type="dxa"/>
          </w:tcPr>
          <w:p>
            <w:pPr>
              <w:pStyle w:val="TableParagraph"/>
              <w:ind w:left="96"/>
              <w:rPr>
                <w:sz w:val="14"/>
              </w:rPr>
            </w:pPr>
            <w:r>
              <w:rPr>
                <w:sz w:val="14"/>
              </w:rPr>
              <w:t>15</w:t>
            </w:r>
          </w:p>
        </w:tc>
        <w:tc>
          <w:tcPr>
            <w:tcW w:w="175" w:type="dxa"/>
          </w:tcPr>
          <w:p>
            <w:pPr>
              <w:pStyle w:val="TableParagraph"/>
              <w:spacing w:line="240" w:lineRule="auto"/>
              <w:rPr>
                <w:sz w:val="8"/>
              </w:rPr>
            </w:pPr>
          </w:p>
        </w:tc>
        <w:tc>
          <w:tcPr>
            <w:tcW w:w="388" w:type="dxa"/>
          </w:tcPr>
          <w:p>
            <w:pPr>
              <w:pStyle w:val="TableParagraph"/>
              <w:ind w:left="97"/>
              <w:rPr>
                <w:sz w:val="14"/>
              </w:rPr>
            </w:pPr>
            <w:r>
              <w:rPr>
                <w:sz w:val="14"/>
              </w:rPr>
              <w:t>38</w:t>
            </w:r>
          </w:p>
        </w:tc>
        <w:tc>
          <w:tcPr>
            <w:tcW w:w="144" w:type="dxa"/>
          </w:tcPr>
          <w:p>
            <w:pPr>
              <w:pStyle w:val="TableParagraph"/>
              <w:spacing w:line="240" w:lineRule="auto"/>
              <w:rPr>
                <w:sz w:val="8"/>
              </w:rPr>
            </w:pPr>
          </w:p>
        </w:tc>
        <w:tc>
          <w:tcPr>
            <w:tcW w:w="354" w:type="dxa"/>
          </w:tcPr>
          <w:p>
            <w:pPr>
              <w:pStyle w:val="TableParagraph"/>
              <w:ind w:left="70"/>
              <w:rPr>
                <w:sz w:val="14"/>
              </w:rPr>
            </w:pPr>
            <w:r>
              <w:rPr>
                <w:sz w:val="14"/>
              </w:rPr>
              <w:t>29</w:t>
            </w:r>
          </w:p>
        </w:tc>
        <w:tc>
          <w:tcPr>
            <w:tcW w:w="110" w:type="dxa"/>
          </w:tcPr>
          <w:p>
            <w:pPr>
              <w:pStyle w:val="TableParagraph"/>
              <w:spacing w:line="240" w:lineRule="auto"/>
              <w:rPr>
                <w:sz w:val="8"/>
              </w:rPr>
            </w:pPr>
          </w:p>
        </w:tc>
        <w:tc>
          <w:tcPr>
            <w:tcW w:w="379" w:type="dxa"/>
          </w:tcPr>
          <w:p>
            <w:pPr>
              <w:pStyle w:val="TableParagraph"/>
              <w:ind w:left="3"/>
              <w:jc w:val="center"/>
              <w:rPr>
                <w:sz w:val="14"/>
              </w:rPr>
            </w:pPr>
            <w:r>
              <w:rPr>
                <w:sz w:val="14"/>
              </w:rPr>
              <w:t>8</w:t>
            </w:r>
          </w:p>
        </w:tc>
        <w:tc>
          <w:tcPr>
            <w:tcW w:w="120" w:type="dxa"/>
          </w:tcPr>
          <w:p>
            <w:pPr>
              <w:pStyle w:val="TableParagraph"/>
              <w:spacing w:line="240" w:lineRule="auto"/>
              <w:rPr>
                <w:sz w:val="8"/>
              </w:rPr>
            </w:pPr>
          </w:p>
        </w:tc>
        <w:tc>
          <w:tcPr>
            <w:tcW w:w="354" w:type="dxa"/>
          </w:tcPr>
          <w:p>
            <w:pPr>
              <w:pStyle w:val="TableParagraph"/>
              <w:ind w:left="34"/>
              <w:jc w:val="center"/>
              <w:rPr>
                <w:sz w:val="14"/>
              </w:rPr>
            </w:pPr>
            <w:r>
              <w:rPr>
                <w:sz w:val="14"/>
              </w:rPr>
              <w:t>3</w:t>
            </w:r>
          </w:p>
        </w:tc>
      </w:tr>
      <w:tr>
        <w:trPr>
          <w:trHeight w:val="230" w:hRule="atLeast"/>
        </w:trPr>
        <w:tc>
          <w:tcPr>
            <w:tcW w:w="1384" w:type="dxa"/>
          </w:tcPr>
          <w:p>
            <w:pPr>
              <w:pStyle w:val="TableParagraph"/>
              <w:spacing w:line="148" w:lineRule="exact"/>
              <w:ind w:left="50"/>
              <w:rPr>
                <w:sz w:val="12"/>
              </w:rPr>
            </w:pPr>
            <w:r>
              <w:rPr>
                <w:sz w:val="14"/>
              </w:rPr>
              <w:t>2002 Q4 </w:t>
            </w:r>
            <w:r>
              <w:rPr>
                <w:sz w:val="12"/>
              </w:rPr>
              <w:t>(b)</w:t>
            </w:r>
          </w:p>
        </w:tc>
        <w:tc>
          <w:tcPr>
            <w:tcW w:w="546" w:type="dxa"/>
          </w:tcPr>
          <w:p>
            <w:pPr>
              <w:pStyle w:val="TableParagraph"/>
              <w:spacing w:line="148" w:lineRule="exact"/>
              <w:ind w:left="177"/>
              <w:rPr>
                <w:sz w:val="14"/>
              </w:rPr>
            </w:pPr>
            <w:r>
              <w:rPr>
                <w:sz w:val="14"/>
              </w:rPr>
              <w:t>7</w:t>
            </w:r>
          </w:p>
        </w:tc>
        <w:tc>
          <w:tcPr>
            <w:tcW w:w="383" w:type="dxa"/>
          </w:tcPr>
          <w:p>
            <w:pPr>
              <w:pStyle w:val="TableParagraph"/>
              <w:spacing w:line="148" w:lineRule="exact"/>
              <w:ind w:left="96"/>
              <w:rPr>
                <w:sz w:val="14"/>
              </w:rPr>
            </w:pPr>
            <w:r>
              <w:rPr>
                <w:sz w:val="14"/>
              </w:rPr>
              <w:t>14</w:t>
            </w:r>
          </w:p>
        </w:tc>
        <w:tc>
          <w:tcPr>
            <w:tcW w:w="175" w:type="dxa"/>
          </w:tcPr>
          <w:p>
            <w:pPr>
              <w:pStyle w:val="TableParagraph"/>
              <w:spacing w:line="240" w:lineRule="auto"/>
              <w:rPr>
                <w:sz w:val="16"/>
              </w:rPr>
            </w:pPr>
          </w:p>
        </w:tc>
        <w:tc>
          <w:tcPr>
            <w:tcW w:w="388" w:type="dxa"/>
          </w:tcPr>
          <w:p>
            <w:pPr>
              <w:pStyle w:val="TableParagraph"/>
              <w:spacing w:line="148" w:lineRule="exact"/>
              <w:ind w:left="97"/>
              <w:rPr>
                <w:sz w:val="14"/>
              </w:rPr>
            </w:pPr>
            <w:r>
              <w:rPr>
                <w:sz w:val="14"/>
              </w:rPr>
              <w:t>33</w:t>
            </w:r>
          </w:p>
        </w:tc>
        <w:tc>
          <w:tcPr>
            <w:tcW w:w="144" w:type="dxa"/>
          </w:tcPr>
          <w:p>
            <w:pPr>
              <w:pStyle w:val="TableParagraph"/>
              <w:spacing w:line="240" w:lineRule="auto"/>
              <w:rPr>
                <w:sz w:val="16"/>
              </w:rPr>
            </w:pPr>
          </w:p>
        </w:tc>
        <w:tc>
          <w:tcPr>
            <w:tcW w:w="354" w:type="dxa"/>
          </w:tcPr>
          <w:p>
            <w:pPr>
              <w:pStyle w:val="TableParagraph"/>
              <w:spacing w:line="148" w:lineRule="exact"/>
              <w:ind w:left="69"/>
              <w:rPr>
                <w:sz w:val="14"/>
              </w:rPr>
            </w:pPr>
            <w:r>
              <w:rPr>
                <w:sz w:val="14"/>
              </w:rPr>
              <w:t>30</w:t>
            </w:r>
          </w:p>
        </w:tc>
        <w:tc>
          <w:tcPr>
            <w:tcW w:w="110" w:type="dxa"/>
          </w:tcPr>
          <w:p>
            <w:pPr>
              <w:pStyle w:val="TableParagraph"/>
              <w:spacing w:line="240" w:lineRule="auto"/>
              <w:rPr>
                <w:sz w:val="16"/>
              </w:rPr>
            </w:pPr>
          </w:p>
        </w:tc>
        <w:tc>
          <w:tcPr>
            <w:tcW w:w="379" w:type="dxa"/>
          </w:tcPr>
          <w:p>
            <w:pPr>
              <w:pStyle w:val="TableParagraph"/>
              <w:spacing w:line="148" w:lineRule="exact"/>
              <w:ind w:left="85"/>
              <w:rPr>
                <w:sz w:val="14"/>
              </w:rPr>
            </w:pPr>
            <w:r>
              <w:rPr>
                <w:sz w:val="14"/>
              </w:rPr>
              <w:t>11</w:t>
            </w:r>
          </w:p>
        </w:tc>
        <w:tc>
          <w:tcPr>
            <w:tcW w:w="120" w:type="dxa"/>
          </w:tcPr>
          <w:p>
            <w:pPr>
              <w:pStyle w:val="TableParagraph"/>
              <w:spacing w:line="240" w:lineRule="auto"/>
              <w:rPr>
                <w:sz w:val="16"/>
              </w:rPr>
            </w:pPr>
          </w:p>
        </w:tc>
        <w:tc>
          <w:tcPr>
            <w:tcW w:w="354" w:type="dxa"/>
          </w:tcPr>
          <w:p>
            <w:pPr>
              <w:pStyle w:val="TableParagraph"/>
              <w:spacing w:line="148" w:lineRule="exact"/>
              <w:ind w:left="34"/>
              <w:jc w:val="center"/>
              <w:rPr>
                <w:sz w:val="14"/>
              </w:rPr>
            </w:pPr>
            <w:r>
              <w:rPr>
                <w:sz w:val="14"/>
              </w:rPr>
              <w:t>5</w:t>
            </w:r>
          </w:p>
        </w:tc>
      </w:tr>
      <w:tr>
        <w:trPr>
          <w:trHeight w:val="299" w:hRule="atLeast"/>
        </w:trPr>
        <w:tc>
          <w:tcPr>
            <w:tcW w:w="1384" w:type="dxa"/>
          </w:tcPr>
          <w:p>
            <w:pPr>
              <w:pStyle w:val="TableParagraph"/>
              <w:spacing w:line="240" w:lineRule="auto" w:before="76"/>
              <w:ind w:left="50"/>
              <w:rPr>
                <w:b/>
                <w:sz w:val="14"/>
              </w:rPr>
            </w:pPr>
            <w:r>
              <w:rPr>
                <w:b/>
                <w:sz w:val="14"/>
              </w:rPr>
              <w:t>GDP growth</w:t>
            </w:r>
          </w:p>
        </w:tc>
        <w:tc>
          <w:tcPr>
            <w:tcW w:w="546" w:type="dxa"/>
          </w:tcPr>
          <w:p>
            <w:pPr>
              <w:pStyle w:val="TableParagraph"/>
              <w:spacing w:line="240" w:lineRule="auto"/>
              <w:rPr>
                <w:sz w:val="18"/>
              </w:rPr>
            </w:pPr>
          </w:p>
        </w:tc>
        <w:tc>
          <w:tcPr>
            <w:tcW w:w="383" w:type="dxa"/>
          </w:tcPr>
          <w:p>
            <w:pPr>
              <w:pStyle w:val="TableParagraph"/>
              <w:spacing w:line="240" w:lineRule="auto"/>
              <w:rPr>
                <w:sz w:val="18"/>
              </w:rPr>
            </w:pPr>
          </w:p>
        </w:tc>
        <w:tc>
          <w:tcPr>
            <w:tcW w:w="175" w:type="dxa"/>
          </w:tcPr>
          <w:p>
            <w:pPr>
              <w:pStyle w:val="TableParagraph"/>
              <w:spacing w:line="240" w:lineRule="auto"/>
              <w:rPr>
                <w:sz w:val="18"/>
              </w:rPr>
            </w:pPr>
          </w:p>
        </w:tc>
        <w:tc>
          <w:tcPr>
            <w:tcW w:w="388" w:type="dxa"/>
          </w:tcPr>
          <w:p>
            <w:pPr>
              <w:pStyle w:val="TableParagraph"/>
              <w:spacing w:line="240" w:lineRule="auto"/>
              <w:rPr>
                <w:sz w:val="18"/>
              </w:rPr>
            </w:pPr>
          </w:p>
        </w:tc>
        <w:tc>
          <w:tcPr>
            <w:tcW w:w="144" w:type="dxa"/>
          </w:tcPr>
          <w:p>
            <w:pPr>
              <w:pStyle w:val="TableParagraph"/>
              <w:spacing w:line="240" w:lineRule="auto"/>
              <w:rPr>
                <w:sz w:val="18"/>
              </w:rPr>
            </w:pPr>
          </w:p>
        </w:tc>
        <w:tc>
          <w:tcPr>
            <w:tcW w:w="354" w:type="dxa"/>
          </w:tcPr>
          <w:p>
            <w:pPr>
              <w:pStyle w:val="TableParagraph"/>
              <w:spacing w:line="240" w:lineRule="auto"/>
              <w:rPr>
                <w:sz w:val="18"/>
              </w:rPr>
            </w:pPr>
          </w:p>
        </w:tc>
        <w:tc>
          <w:tcPr>
            <w:tcW w:w="110" w:type="dxa"/>
          </w:tcPr>
          <w:p>
            <w:pPr>
              <w:pStyle w:val="TableParagraph"/>
              <w:spacing w:line="240" w:lineRule="auto"/>
              <w:rPr>
                <w:sz w:val="18"/>
              </w:rPr>
            </w:pPr>
          </w:p>
        </w:tc>
        <w:tc>
          <w:tcPr>
            <w:tcW w:w="379" w:type="dxa"/>
          </w:tcPr>
          <w:p>
            <w:pPr>
              <w:pStyle w:val="TableParagraph"/>
              <w:spacing w:line="240" w:lineRule="auto"/>
              <w:rPr>
                <w:sz w:val="18"/>
              </w:rPr>
            </w:pPr>
          </w:p>
        </w:tc>
        <w:tc>
          <w:tcPr>
            <w:tcW w:w="120" w:type="dxa"/>
          </w:tcPr>
          <w:p>
            <w:pPr>
              <w:pStyle w:val="TableParagraph"/>
              <w:spacing w:line="240" w:lineRule="auto"/>
              <w:rPr>
                <w:sz w:val="18"/>
              </w:rPr>
            </w:pPr>
          </w:p>
        </w:tc>
        <w:tc>
          <w:tcPr>
            <w:tcW w:w="354" w:type="dxa"/>
          </w:tcPr>
          <w:p>
            <w:pPr>
              <w:pStyle w:val="TableParagraph"/>
              <w:spacing w:line="240" w:lineRule="auto"/>
              <w:rPr>
                <w:sz w:val="18"/>
              </w:rPr>
            </w:pPr>
          </w:p>
        </w:tc>
      </w:tr>
      <w:tr>
        <w:trPr>
          <w:trHeight w:val="239" w:hRule="atLeast"/>
        </w:trPr>
        <w:tc>
          <w:tcPr>
            <w:tcW w:w="1384" w:type="dxa"/>
          </w:tcPr>
          <w:p>
            <w:pPr>
              <w:pStyle w:val="TableParagraph"/>
              <w:spacing w:line="240" w:lineRule="auto" w:before="56"/>
              <w:ind w:left="50"/>
              <w:rPr>
                <w:sz w:val="14"/>
              </w:rPr>
            </w:pPr>
            <w:r>
              <w:rPr>
                <w:sz w:val="14"/>
              </w:rPr>
              <w:t>Probability, per cent</w:t>
            </w:r>
          </w:p>
        </w:tc>
        <w:tc>
          <w:tcPr>
            <w:tcW w:w="546" w:type="dxa"/>
            <w:tcBorders>
              <w:bottom w:val="single" w:sz="2" w:space="0" w:color="000000"/>
            </w:tcBorders>
          </w:tcPr>
          <w:p>
            <w:pPr>
              <w:pStyle w:val="TableParagraph"/>
              <w:spacing w:line="240" w:lineRule="auto" w:before="56"/>
              <w:ind w:left="19"/>
              <w:rPr>
                <w:sz w:val="14"/>
              </w:rPr>
            </w:pPr>
            <w:r>
              <w:rPr>
                <w:sz w:val="14"/>
              </w:rPr>
              <w:t>Range:</w:t>
            </w:r>
          </w:p>
        </w:tc>
        <w:tc>
          <w:tcPr>
            <w:tcW w:w="383" w:type="dxa"/>
            <w:tcBorders>
              <w:bottom w:val="single" w:sz="2" w:space="0" w:color="000000"/>
            </w:tcBorders>
          </w:tcPr>
          <w:p>
            <w:pPr>
              <w:pStyle w:val="TableParagraph"/>
              <w:spacing w:line="240" w:lineRule="auto"/>
              <w:rPr>
                <w:sz w:val="16"/>
              </w:rPr>
            </w:pPr>
          </w:p>
        </w:tc>
        <w:tc>
          <w:tcPr>
            <w:tcW w:w="175" w:type="dxa"/>
            <w:tcBorders>
              <w:bottom w:val="single" w:sz="2" w:space="0" w:color="000000"/>
            </w:tcBorders>
          </w:tcPr>
          <w:p>
            <w:pPr>
              <w:pStyle w:val="TableParagraph"/>
              <w:spacing w:line="240" w:lineRule="auto"/>
              <w:rPr>
                <w:sz w:val="16"/>
              </w:rPr>
            </w:pPr>
          </w:p>
        </w:tc>
        <w:tc>
          <w:tcPr>
            <w:tcW w:w="388" w:type="dxa"/>
            <w:tcBorders>
              <w:bottom w:val="single" w:sz="2" w:space="0" w:color="000000"/>
            </w:tcBorders>
          </w:tcPr>
          <w:p>
            <w:pPr>
              <w:pStyle w:val="TableParagraph"/>
              <w:spacing w:line="240" w:lineRule="auto"/>
              <w:rPr>
                <w:sz w:val="16"/>
              </w:rPr>
            </w:pPr>
          </w:p>
        </w:tc>
        <w:tc>
          <w:tcPr>
            <w:tcW w:w="144" w:type="dxa"/>
            <w:tcBorders>
              <w:bottom w:val="single" w:sz="2" w:space="0" w:color="000000"/>
            </w:tcBorders>
          </w:tcPr>
          <w:p>
            <w:pPr>
              <w:pStyle w:val="TableParagraph"/>
              <w:spacing w:line="240" w:lineRule="auto"/>
              <w:rPr>
                <w:sz w:val="16"/>
              </w:rPr>
            </w:pPr>
          </w:p>
        </w:tc>
        <w:tc>
          <w:tcPr>
            <w:tcW w:w="354" w:type="dxa"/>
            <w:tcBorders>
              <w:bottom w:val="single" w:sz="2" w:space="0" w:color="000000"/>
            </w:tcBorders>
          </w:tcPr>
          <w:p>
            <w:pPr>
              <w:pStyle w:val="TableParagraph"/>
              <w:spacing w:line="240" w:lineRule="auto"/>
              <w:rPr>
                <w:sz w:val="16"/>
              </w:rPr>
            </w:pPr>
          </w:p>
        </w:tc>
        <w:tc>
          <w:tcPr>
            <w:tcW w:w="110" w:type="dxa"/>
            <w:tcBorders>
              <w:bottom w:val="single" w:sz="2" w:space="0" w:color="000000"/>
            </w:tcBorders>
          </w:tcPr>
          <w:p>
            <w:pPr>
              <w:pStyle w:val="TableParagraph"/>
              <w:spacing w:line="240" w:lineRule="auto"/>
              <w:rPr>
                <w:sz w:val="16"/>
              </w:rPr>
            </w:pPr>
          </w:p>
        </w:tc>
        <w:tc>
          <w:tcPr>
            <w:tcW w:w="379" w:type="dxa"/>
            <w:tcBorders>
              <w:bottom w:val="single" w:sz="2" w:space="0" w:color="000000"/>
            </w:tcBorders>
          </w:tcPr>
          <w:p>
            <w:pPr>
              <w:pStyle w:val="TableParagraph"/>
              <w:spacing w:line="240" w:lineRule="auto"/>
              <w:rPr>
                <w:sz w:val="16"/>
              </w:rPr>
            </w:pPr>
          </w:p>
        </w:tc>
        <w:tc>
          <w:tcPr>
            <w:tcW w:w="120" w:type="dxa"/>
            <w:tcBorders>
              <w:bottom w:val="single" w:sz="2" w:space="0" w:color="000000"/>
            </w:tcBorders>
          </w:tcPr>
          <w:p>
            <w:pPr>
              <w:pStyle w:val="TableParagraph"/>
              <w:spacing w:line="240" w:lineRule="auto"/>
              <w:rPr>
                <w:sz w:val="16"/>
              </w:rPr>
            </w:pPr>
          </w:p>
        </w:tc>
        <w:tc>
          <w:tcPr>
            <w:tcW w:w="354" w:type="dxa"/>
            <w:tcBorders>
              <w:bottom w:val="single" w:sz="2" w:space="0" w:color="000000"/>
            </w:tcBorders>
          </w:tcPr>
          <w:p>
            <w:pPr>
              <w:pStyle w:val="TableParagraph"/>
              <w:spacing w:line="240" w:lineRule="auto"/>
              <w:rPr>
                <w:sz w:val="16"/>
              </w:rPr>
            </w:pPr>
          </w:p>
        </w:tc>
      </w:tr>
      <w:tr>
        <w:trPr>
          <w:trHeight w:val="145" w:hRule="atLeast"/>
        </w:trPr>
        <w:tc>
          <w:tcPr>
            <w:tcW w:w="1384" w:type="dxa"/>
          </w:tcPr>
          <w:p>
            <w:pPr>
              <w:pStyle w:val="TableParagraph"/>
              <w:spacing w:line="240" w:lineRule="auto"/>
              <w:rPr>
                <w:sz w:val="8"/>
              </w:rPr>
            </w:pPr>
          </w:p>
        </w:tc>
        <w:tc>
          <w:tcPr>
            <w:tcW w:w="546" w:type="dxa"/>
            <w:tcBorders>
              <w:top w:val="single" w:sz="2" w:space="0" w:color="000000"/>
            </w:tcBorders>
          </w:tcPr>
          <w:p>
            <w:pPr>
              <w:pStyle w:val="TableParagraph"/>
              <w:spacing w:line="126" w:lineRule="exact"/>
              <w:ind w:left="35"/>
              <w:rPr>
                <w:sz w:val="14"/>
              </w:rPr>
            </w:pPr>
            <w:r>
              <w:rPr>
                <w:sz w:val="14"/>
              </w:rPr>
              <w:t>less</w:t>
            </w:r>
          </w:p>
        </w:tc>
        <w:tc>
          <w:tcPr>
            <w:tcW w:w="383" w:type="dxa"/>
            <w:tcBorders>
              <w:top w:val="single" w:sz="2" w:space="0" w:color="000000"/>
            </w:tcBorders>
          </w:tcPr>
          <w:p>
            <w:pPr>
              <w:pStyle w:val="TableParagraph"/>
              <w:spacing w:line="126" w:lineRule="exact"/>
              <w:ind w:left="32"/>
              <w:rPr>
                <w:sz w:val="14"/>
              </w:rPr>
            </w:pPr>
            <w:r>
              <w:rPr>
                <w:sz w:val="14"/>
              </w:rPr>
              <w:t>0%</w:t>
            </w:r>
          </w:p>
        </w:tc>
        <w:tc>
          <w:tcPr>
            <w:tcW w:w="175" w:type="dxa"/>
            <w:tcBorders>
              <w:top w:val="single" w:sz="2" w:space="0" w:color="000000"/>
            </w:tcBorders>
          </w:tcPr>
          <w:p>
            <w:pPr>
              <w:pStyle w:val="TableParagraph"/>
              <w:spacing w:line="240" w:lineRule="auto"/>
              <w:rPr>
                <w:sz w:val="8"/>
              </w:rPr>
            </w:pPr>
          </w:p>
        </w:tc>
        <w:tc>
          <w:tcPr>
            <w:tcW w:w="388" w:type="dxa"/>
            <w:tcBorders>
              <w:top w:val="single" w:sz="2" w:space="0" w:color="000000"/>
            </w:tcBorders>
          </w:tcPr>
          <w:p>
            <w:pPr>
              <w:pStyle w:val="TableParagraph"/>
              <w:spacing w:line="126" w:lineRule="exact"/>
              <w:ind w:left="9"/>
              <w:rPr>
                <w:sz w:val="14"/>
              </w:rPr>
            </w:pPr>
            <w:r>
              <w:rPr>
                <w:sz w:val="14"/>
              </w:rPr>
              <w:t>1%</w:t>
            </w:r>
          </w:p>
        </w:tc>
        <w:tc>
          <w:tcPr>
            <w:tcW w:w="144" w:type="dxa"/>
            <w:tcBorders>
              <w:top w:val="single" w:sz="2" w:space="0" w:color="000000"/>
            </w:tcBorders>
          </w:tcPr>
          <w:p>
            <w:pPr>
              <w:pStyle w:val="TableParagraph"/>
              <w:spacing w:line="240" w:lineRule="auto"/>
              <w:rPr>
                <w:sz w:val="8"/>
              </w:rPr>
            </w:pPr>
          </w:p>
        </w:tc>
        <w:tc>
          <w:tcPr>
            <w:tcW w:w="354" w:type="dxa"/>
            <w:tcBorders>
              <w:top w:val="single" w:sz="2" w:space="0" w:color="000000"/>
            </w:tcBorders>
          </w:tcPr>
          <w:p>
            <w:pPr>
              <w:pStyle w:val="TableParagraph"/>
              <w:spacing w:line="126" w:lineRule="exact"/>
              <w:ind w:left="51"/>
              <w:rPr>
                <w:sz w:val="14"/>
              </w:rPr>
            </w:pPr>
            <w:r>
              <w:rPr>
                <w:sz w:val="14"/>
              </w:rPr>
              <w:t>2%</w:t>
            </w:r>
          </w:p>
        </w:tc>
        <w:tc>
          <w:tcPr>
            <w:tcW w:w="110" w:type="dxa"/>
            <w:tcBorders>
              <w:top w:val="single" w:sz="2" w:space="0" w:color="000000"/>
            </w:tcBorders>
          </w:tcPr>
          <w:p>
            <w:pPr>
              <w:pStyle w:val="TableParagraph"/>
              <w:spacing w:line="240" w:lineRule="auto"/>
              <w:rPr>
                <w:sz w:val="8"/>
              </w:rPr>
            </w:pPr>
          </w:p>
        </w:tc>
        <w:tc>
          <w:tcPr>
            <w:tcW w:w="379" w:type="dxa"/>
            <w:tcBorders>
              <w:top w:val="single" w:sz="2" w:space="0" w:color="000000"/>
            </w:tcBorders>
          </w:tcPr>
          <w:p>
            <w:pPr>
              <w:pStyle w:val="TableParagraph"/>
              <w:spacing w:line="126" w:lineRule="exact"/>
              <w:ind w:left="59"/>
              <w:rPr>
                <w:sz w:val="14"/>
              </w:rPr>
            </w:pPr>
            <w:r>
              <w:rPr>
                <w:sz w:val="14"/>
              </w:rPr>
              <w:t>3%</w:t>
            </w:r>
          </w:p>
        </w:tc>
        <w:tc>
          <w:tcPr>
            <w:tcW w:w="120" w:type="dxa"/>
            <w:tcBorders>
              <w:top w:val="single" w:sz="2" w:space="0" w:color="000000"/>
            </w:tcBorders>
          </w:tcPr>
          <w:p>
            <w:pPr>
              <w:pStyle w:val="TableParagraph"/>
              <w:spacing w:line="240" w:lineRule="auto"/>
              <w:rPr>
                <w:sz w:val="8"/>
              </w:rPr>
            </w:pPr>
          </w:p>
        </w:tc>
        <w:tc>
          <w:tcPr>
            <w:tcW w:w="354" w:type="dxa"/>
            <w:tcBorders>
              <w:top w:val="single" w:sz="2" w:space="0" w:color="000000"/>
            </w:tcBorders>
          </w:tcPr>
          <w:p>
            <w:pPr>
              <w:pStyle w:val="TableParagraph"/>
              <w:spacing w:line="126" w:lineRule="exact"/>
              <w:ind w:right="30"/>
              <w:jc w:val="center"/>
              <w:rPr>
                <w:sz w:val="14"/>
              </w:rPr>
            </w:pPr>
            <w:r>
              <w:rPr>
                <w:sz w:val="14"/>
              </w:rPr>
              <w:t>more</w:t>
            </w:r>
          </w:p>
        </w:tc>
      </w:tr>
      <w:tr>
        <w:trPr>
          <w:trHeight w:val="140" w:hRule="atLeast"/>
        </w:trPr>
        <w:tc>
          <w:tcPr>
            <w:tcW w:w="1384" w:type="dxa"/>
          </w:tcPr>
          <w:p>
            <w:pPr>
              <w:pStyle w:val="TableParagraph"/>
              <w:spacing w:line="240" w:lineRule="auto"/>
              <w:rPr>
                <w:sz w:val="8"/>
              </w:rPr>
            </w:pPr>
          </w:p>
        </w:tc>
        <w:tc>
          <w:tcPr>
            <w:tcW w:w="546" w:type="dxa"/>
          </w:tcPr>
          <w:p>
            <w:pPr>
              <w:pStyle w:val="TableParagraph"/>
              <w:ind w:left="35"/>
              <w:rPr>
                <w:sz w:val="14"/>
              </w:rPr>
            </w:pPr>
            <w:r>
              <w:rPr>
                <w:sz w:val="14"/>
              </w:rPr>
              <w:t>than</w:t>
            </w:r>
          </w:p>
        </w:tc>
        <w:tc>
          <w:tcPr>
            <w:tcW w:w="383" w:type="dxa"/>
          </w:tcPr>
          <w:p>
            <w:pPr>
              <w:pStyle w:val="TableParagraph"/>
              <w:ind w:left="31"/>
              <w:rPr>
                <w:sz w:val="14"/>
              </w:rPr>
            </w:pPr>
            <w:r>
              <w:rPr>
                <w:sz w:val="14"/>
              </w:rPr>
              <w:t>to</w:t>
            </w:r>
          </w:p>
        </w:tc>
        <w:tc>
          <w:tcPr>
            <w:tcW w:w="175" w:type="dxa"/>
          </w:tcPr>
          <w:p>
            <w:pPr>
              <w:pStyle w:val="TableParagraph"/>
              <w:spacing w:line="240" w:lineRule="auto"/>
              <w:rPr>
                <w:sz w:val="8"/>
              </w:rPr>
            </w:pPr>
          </w:p>
        </w:tc>
        <w:tc>
          <w:tcPr>
            <w:tcW w:w="388" w:type="dxa"/>
          </w:tcPr>
          <w:p>
            <w:pPr>
              <w:pStyle w:val="TableParagraph"/>
              <w:ind w:left="8"/>
              <w:rPr>
                <w:sz w:val="14"/>
              </w:rPr>
            </w:pPr>
            <w:r>
              <w:rPr>
                <w:sz w:val="14"/>
              </w:rPr>
              <w:t>to</w:t>
            </w:r>
          </w:p>
        </w:tc>
        <w:tc>
          <w:tcPr>
            <w:tcW w:w="144" w:type="dxa"/>
          </w:tcPr>
          <w:p>
            <w:pPr>
              <w:pStyle w:val="TableParagraph"/>
              <w:spacing w:line="240" w:lineRule="auto"/>
              <w:rPr>
                <w:sz w:val="8"/>
              </w:rPr>
            </w:pPr>
          </w:p>
        </w:tc>
        <w:tc>
          <w:tcPr>
            <w:tcW w:w="354" w:type="dxa"/>
          </w:tcPr>
          <w:p>
            <w:pPr>
              <w:pStyle w:val="TableParagraph"/>
              <w:ind w:left="51"/>
              <w:rPr>
                <w:sz w:val="14"/>
              </w:rPr>
            </w:pPr>
            <w:r>
              <w:rPr>
                <w:sz w:val="14"/>
              </w:rPr>
              <w:t>to</w:t>
            </w:r>
          </w:p>
        </w:tc>
        <w:tc>
          <w:tcPr>
            <w:tcW w:w="110" w:type="dxa"/>
          </w:tcPr>
          <w:p>
            <w:pPr>
              <w:pStyle w:val="TableParagraph"/>
              <w:spacing w:line="240" w:lineRule="auto"/>
              <w:rPr>
                <w:sz w:val="8"/>
              </w:rPr>
            </w:pPr>
          </w:p>
        </w:tc>
        <w:tc>
          <w:tcPr>
            <w:tcW w:w="379" w:type="dxa"/>
          </w:tcPr>
          <w:p>
            <w:pPr>
              <w:pStyle w:val="TableParagraph"/>
              <w:ind w:left="59"/>
              <w:rPr>
                <w:sz w:val="14"/>
              </w:rPr>
            </w:pPr>
            <w:r>
              <w:rPr>
                <w:sz w:val="14"/>
              </w:rPr>
              <w:t>to</w:t>
            </w:r>
          </w:p>
        </w:tc>
        <w:tc>
          <w:tcPr>
            <w:tcW w:w="120" w:type="dxa"/>
          </w:tcPr>
          <w:p>
            <w:pPr>
              <w:pStyle w:val="TableParagraph"/>
              <w:spacing w:line="240" w:lineRule="auto"/>
              <w:rPr>
                <w:sz w:val="8"/>
              </w:rPr>
            </w:pPr>
          </w:p>
        </w:tc>
        <w:tc>
          <w:tcPr>
            <w:tcW w:w="354" w:type="dxa"/>
          </w:tcPr>
          <w:p>
            <w:pPr>
              <w:pStyle w:val="TableParagraph"/>
              <w:ind w:right="77"/>
              <w:jc w:val="center"/>
              <w:rPr>
                <w:sz w:val="14"/>
              </w:rPr>
            </w:pPr>
            <w:r>
              <w:rPr>
                <w:sz w:val="14"/>
              </w:rPr>
              <w:t>than</w:t>
            </w:r>
          </w:p>
        </w:tc>
      </w:tr>
      <w:tr>
        <w:trPr>
          <w:trHeight w:val="169" w:hRule="atLeast"/>
        </w:trPr>
        <w:tc>
          <w:tcPr>
            <w:tcW w:w="1384" w:type="dxa"/>
          </w:tcPr>
          <w:p>
            <w:pPr>
              <w:pStyle w:val="TableParagraph"/>
              <w:spacing w:line="240" w:lineRule="auto"/>
              <w:rPr>
                <w:sz w:val="10"/>
              </w:rPr>
            </w:pPr>
          </w:p>
        </w:tc>
        <w:tc>
          <w:tcPr>
            <w:tcW w:w="546" w:type="dxa"/>
            <w:tcBorders>
              <w:bottom w:val="single" w:sz="2" w:space="0" w:color="000000"/>
            </w:tcBorders>
          </w:tcPr>
          <w:p>
            <w:pPr>
              <w:pStyle w:val="TableParagraph"/>
              <w:spacing w:line="148" w:lineRule="exact"/>
              <w:ind w:left="35"/>
              <w:rPr>
                <w:sz w:val="14"/>
              </w:rPr>
            </w:pPr>
            <w:r>
              <w:rPr>
                <w:sz w:val="14"/>
              </w:rPr>
              <w:t>0%</w:t>
            </w:r>
          </w:p>
        </w:tc>
        <w:tc>
          <w:tcPr>
            <w:tcW w:w="383" w:type="dxa"/>
            <w:tcBorders>
              <w:bottom w:val="single" w:sz="2" w:space="0" w:color="000000"/>
            </w:tcBorders>
          </w:tcPr>
          <w:p>
            <w:pPr>
              <w:pStyle w:val="TableParagraph"/>
              <w:spacing w:line="148" w:lineRule="exact"/>
              <w:ind w:left="32"/>
              <w:rPr>
                <w:sz w:val="14"/>
              </w:rPr>
            </w:pPr>
            <w:r>
              <w:rPr>
                <w:sz w:val="14"/>
              </w:rPr>
              <w:t>1%</w:t>
            </w:r>
          </w:p>
        </w:tc>
        <w:tc>
          <w:tcPr>
            <w:tcW w:w="175" w:type="dxa"/>
          </w:tcPr>
          <w:p>
            <w:pPr>
              <w:pStyle w:val="TableParagraph"/>
              <w:spacing w:line="240" w:lineRule="auto"/>
              <w:rPr>
                <w:sz w:val="10"/>
              </w:rPr>
            </w:pPr>
          </w:p>
        </w:tc>
        <w:tc>
          <w:tcPr>
            <w:tcW w:w="388" w:type="dxa"/>
            <w:tcBorders>
              <w:bottom w:val="single" w:sz="2" w:space="0" w:color="000000"/>
            </w:tcBorders>
          </w:tcPr>
          <w:p>
            <w:pPr>
              <w:pStyle w:val="TableParagraph"/>
              <w:spacing w:line="148" w:lineRule="exact"/>
              <w:ind w:left="9"/>
              <w:rPr>
                <w:sz w:val="14"/>
              </w:rPr>
            </w:pPr>
            <w:r>
              <w:rPr>
                <w:sz w:val="14"/>
              </w:rPr>
              <w:t>2%</w:t>
            </w:r>
          </w:p>
        </w:tc>
        <w:tc>
          <w:tcPr>
            <w:tcW w:w="144" w:type="dxa"/>
          </w:tcPr>
          <w:p>
            <w:pPr>
              <w:pStyle w:val="TableParagraph"/>
              <w:spacing w:line="240" w:lineRule="auto"/>
              <w:rPr>
                <w:sz w:val="10"/>
              </w:rPr>
            </w:pPr>
          </w:p>
        </w:tc>
        <w:tc>
          <w:tcPr>
            <w:tcW w:w="354" w:type="dxa"/>
            <w:tcBorders>
              <w:bottom w:val="single" w:sz="2" w:space="0" w:color="000000"/>
            </w:tcBorders>
          </w:tcPr>
          <w:p>
            <w:pPr>
              <w:pStyle w:val="TableParagraph"/>
              <w:spacing w:line="148" w:lineRule="exact"/>
              <w:ind w:left="51"/>
              <w:rPr>
                <w:sz w:val="14"/>
              </w:rPr>
            </w:pPr>
            <w:r>
              <w:rPr>
                <w:sz w:val="14"/>
              </w:rPr>
              <w:t>3%</w:t>
            </w:r>
          </w:p>
        </w:tc>
        <w:tc>
          <w:tcPr>
            <w:tcW w:w="110" w:type="dxa"/>
          </w:tcPr>
          <w:p>
            <w:pPr>
              <w:pStyle w:val="TableParagraph"/>
              <w:spacing w:line="240" w:lineRule="auto"/>
              <w:rPr>
                <w:sz w:val="10"/>
              </w:rPr>
            </w:pPr>
          </w:p>
        </w:tc>
        <w:tc>
          <w:tcPr>
            <w:tcW w:w="379" w:type="dxa"/>
            <w:tcBorders>
              <w:bottom w:val="single" w:sz="2" w:space="0" w:color="000000"/>
            </w:tcBorders>
          </w:tcPr>
          <w:p>
            <w:pPr>
              <w:pStyle w:val="TableParagraph"/>
              <w:spacing w:line="148" w:lineRule="exact"/>
              <w:ind w:left="59"/>
              <w:rPr>
                <w:sz w:val="14"/>
              </w:rPr>
            </w:pPr>
            <w:r>
              <w:rPr>
                <w:sz w:val="14"/>
              </w:rPr>
              <w:t>4%</w:t>
            </w:r>
          </w:p>
        </w:tc>
        <w:tc>
          <w:tcPr>
            <w:tcW w:w="120" w:type="dxa"/>
          </w:tcPr>
          <w:p>
            <w:pPr>
              <w:pStyle w:val="TableParagraph"/>
              <w:spacing w:line="240" w:lineRule="auto"/>
              <w:rPr>
                <w:sz w:val="10"/>
              </w:rPr>
            </w:pPr>
          </w:p>
        </w:tc>
        <w:tc>
          <w:tcPr>
            <w:tcW w:w="354" w:type="dxa"/>
            <w:tcBorders>
              <w:bottom w:val="single" w:sz="2" w:space="0" w:color="000000"/>
            </w:tcBorders>
          </w:tcPr>
          <w:p>
            <w:pPr>
              <w:pStyle w:val="TableParagraph"/>
              <w:spacing w:line="148" w:lineRule="exact"/>
              <w:ind w:right="131"/>
              <w:jc w:val="center"/>
              <w:rPr>
                <w:sz w:val="14"/>
              </w:rPr>
            </w:pPr>
            <w:r>
              <w:rPr>
                <w:sz w:val="14"/>
              </w:rPr>
              <w:t>4%</w:t>
            </w:r>
          </w:p>
        </w:tc>
      </w:tr>
      <w:tr>
        <w:trPr>
          <w:trHeight w:val="245" w:hRule="atLeast"/>
        </w:trPr>
        <w:tc>
          <w:tcPr>
            <w:tcW w:w="1384" w:type="dxa"/>
          </w:tcPr>
          <w:p>
            <w:pPr>
              <w:pStyle w:val="TableParagraph"/>
              <w:spacing w:line="133" w:lineRule="exact" w:before="92"/>
              <w:ind w:left="50"/>
              <w:rPr>
                <w:sz w:val="14"/>
              </w:rPr>
            </w:pPr>
            <w:r>
              <w:rPr>
                <w:sz w:val="14"/>
              </w:rPr>
              <w:t>2000 Q4</w:t>
            </w:r>
          </w:p>
        </w:tc>
        <w:tc>
          <w:tcPr>
            <w:tcW w:w="546" w:type="dxa"/>
            <w:tcBorders>
              <w:top w:val="single" w:sz="2" w:space="0" w:color="000000"/>
            </w:tcBorders>
          </w:tcPr>
          <w:p>
            <w:pPr>
              <w:pStyle w:val="TableParagraph"/>
              <w:spacing w:line="133" w:lineRule="exact" w:before="92"/>
              <w:ind w:left="98"/>
              <w:rPr>
                <w:sz w:val="14"/>
              </w:rPr>
            </w:pPr>
            <w:r>
              <w:rPr>
                <w:sz w:val="14"/>
              </w:rPr>
              <w:t>&lt;1</w:t>
            </w:r>
          </w:p>
        </w:tc>
        <w:tc>
          <w:tcPr>
            <w:tcW w:w="383" w:type="dxa"/>
            <w:tcBorders>
              <w:top w:val="single" w:sz="2" w:space="0" w:color="000000"/>
            </w:tcBorders>
          </w:tcPr>
          <w:p>
            <w:pPr>
              <w:pStyle w:val="TableParagraph"/>
              <w:spacing w:line="133" w:lineRule="exact" w:before="92"/>
              <w:ind w:right="40"/>
              <w:jc w:val="center"/>
              <w:rPr>
                <w:sz w:val="14"/>
              </w:rPr>
            </w:pPr>
            <w:r>
              <w:rPr>
                <w:sz w:val="14"/>
              </w:rPr>
              <w:t>1</w:t>
            </w:r>
          </w:p>
        </w:tc>
        <w:tc>
          <w:tcPr>
            <w:tcW w:w="175" w:type="dxa"/>
          </w:tcPr>
          <w:p>
            <w:pPr>
              <w:pStyle w:val="TableParagraph"/>
              <w:spacing w:line="240" w:lineRule="auto"/>
              <w:rPr>
                <w:sz w:val="16"/>
              </w:rPr>
            </w:pPr>
          </w:p>
        </w:tc>
        <w:tc>
          <w:tcPr>
            <w:tcW w:w="388" w:type="dxa"/>
            <w:tcBorders>
              <w:top w:val="single" w:sz="2" w:space="0" w:color="000000"/>
            </w:tcBorders>
          </w:tcPr>
          <w:p>
            <w:pPr>
              <w:pStyle w:val="TableParagraph"/>
              <w:spacing w:line="133" w:lineRule="exact" w:before="92"/>
              <w:ind w:left="96"/>
              <w:rPr>
                <w:sz w:val="14"/>
              </w:rPr>
            </w:pPr>
            <w:r>
              <w:rPr>
                <w:sz w:val="14"/>
              </w:rPr>
              <w:t>6</w:t>
            </w:r>
          </w:p>
        </w:tc>
        <w:tc>
          <w:tcPr>
            <w:tcW w:w="144" w:type="dxa"/>
          </w:tcPr>
          <w:p>
            <w:pPr>
              <w:pStyle w:val="TableParagraph"/>
              <w:spacing w:line="240" w:lineRule="auto"/>
              <w:rPr>
                <w:sz w:val="16"/>
              </w:rPr>
            </w:pPr>
          </w:p>
        </w:tc>
        <w:tc>
          <w:tcPr>
            <w:tcW w:w="354" w:type="dxa"/>
            <w:tcBorders>
              <w:top w:val="single" w:sz="2" w:space="0" w:color="000000"/>
            </w:tcBorders>
          </w:tcPr>
          <w:p>
            <w:pPr>
              <w:pStyle w:val="TableParagraph"/>
              <w:spacing w:line="133" w:lineRule="exact" w:before="92"/>
              <w:ind w:left="84"/>
              <w:rPr>
                <w:sz w:val="14"/>
              </w:rPr>
            </w:pPr>
            <w:r>
              <w:rPr>
                <w:sz w:val="14"/>
              </w:rPr>
              <w:t>50</w:t>
            </w:r>
          </w:p>
        </w:tc>
        <w:tc>
          <w:tcPr>
            <w:tcW w:w="110" w:type="dxa"/>
          </w:tcPr>
          <w:p>
            <w:pPr>
              <w:pStyle w:val="TableParagraph"/>
              <w:spacing w:line="240" w:lineRule="auto"/>
              <w:rPr>
                <w:sz w:val="16"/>
              </w:rPr>
            </w:pPr>
          </w:p>
        </w:tc>
        <w:tc>
          <w:tcPr>
            <w:tcW w:w="379" w:type="dxa"/>
            <w:tcBorders>
              <w:top w:val="single" w:sz="2" w:space="0" w:color="000000"/>
            </w:tcBorders>
          </w:tcPr>
          <w:p>
            <w:pPr>
              <w:pStyle w:val="TableParagraph"/>
              <w:spacing w:line="133" w:lineRule="exact" w:before="92"/>
              <w:ind w:left="116"/>
              <w:rPr>
                <w:sz w:val="14"/>
              </w:rPr>
            </w:pPr>
            <w:r>
              <w:rPr>
                <w:sz w:val="14"/>
              </w:rPr>
              <w:t>41</w:t>
            </w:r>
          </w:p>
        </w:tc>
        <w:tc>
          <w:tcPr>
            <w:tcW w:w="120" w:type="dxa"/>
          </w:tcPr>
          <w:p>
            <w:pPr>
              <w:pStyle w:val="TableParagraph"/>
              <w:spacing w:line="240" w:lineRule="auto"/>
              <w:rPr>
                <w:sz w:val="16"/>
              </w:rPr>
            </w:pPr>
          </w:p>
        </w:tc>
        <w:tc>
          <w:tcPr>
            <w:tcW w:w="354" w:type="dxa"/>
            <w:tcBorders>
              <w:top w:val="single" w:sz="2" w:space="0" w:color="000000"/>
            </w:tcBorders>
          </w:tcPr>
          <w:p>
            <w:pPr>
              <w:pStyle w:val="TableParagraph"/>
              <w:spacing w:line="133" w:lineRule="exact" w:before="92"/>
              <w:ind w:left="50"/>
              <w:jc w:val="center"/>
              <w:rPr>
                <w:sz w:val="14"/>
              </w:rPr>
            </w:pPr>
            <w:r>
              <w:rPr>
                <w:sz w:val="14"/>
              </w:rPr>
              <w:t>2</w:t>
            </w:r>
          </w:p>
        </w:tc>
      </w:tr>
      <w:tr>
        <w:trPr>
          <w:trHeight w:val="140" w:hRule="atLeast"/>
        </w:trPr>
        <w:tc>
          <w:tcPr>
            <w:tcW w:w="1384" w:type="dxa"/>
          </w:tcPr>
          <w:p>
            <w:pPr>
              <w:pStyle w:val="TableParagraph"/>
              <w:ind w:left="50"/>
              <w:rPr>
                <w:sz w:val="14"/>
              </w:rPr>
            </w:pPr>
            <w:r>
              <w:rPr>
                <w:sz w:val="14"/>
              </w:rPr>
              <w:t>2001 Q4</w:t>
            </w:r>
          </w:p>
        </w:tc>
        <w:tc>
          <w:tcPr>
            <w:tcW w:w="546" w:type="dxa"/>
          </w:tcPr>
          <w:p>
            <w:pPr>
              <w:pStyle w:val="TableParagraph"/>
              <w:ind w:left="177"/>
              <w:rPr>
                <w:sz w:val="14"/>
              </w:rPr>
            </w:pPr>
            <w:r>
              <w:rPr>
                <w:sz w:val="14"/>
              </w:rPr>
              <w:t>2</w:t>
            </w:r>
          </w:p>
        </w:tc>
        <w:tc>
          <w:tcPr>
            <w:tcW w:w="383" w:type="dxa"/>
          </w:tcPr>
          <w:p>
            <w:pPr>
              <w:pStyle w:val="TableParagraph"/>
              <w:ind w:right="40"/>
              <w:jc w:val="center"/>
              <w:rPr>
                <w:sz w:val="14"/>
              </w:rPr>
            </w:pPr>
            <w:r>
              <w:rPr>
                <w:sz w:val="14"/>
              </w:rPr>
              <w:t>6</w:t>
            </w:r>
          </w:p>
        </w:tc>
        <w:tc>
          <w:tcPr>
            <w:tcW w:w="175" w:type="dxa"/>
          </w:tcPr>
          <w:p>
            <w:pPr>
              <w:pStyle w:val="TableParagraph"/>
              <w:spacing w:line="240" w:lineRule="auto"/>
              <w:rPr>
                <w:sz w:val="8"/>
              </w:rPr>
            </w:pPr>
          </w:p>
        </w:tc>
        <w:tc>
          <w:tcPr>
            <w:tcW w:w="388" w:type="dxa"/>
          </w:tcPr>
          <w:p>
            <w:pPr>
              <w:pStyle w:val="TableParagraph"/>
              <w:ind w:left="26"/>
              <w:rPr>
                <w:sz w:val="14"/>
              </w:rPr>
            </w:pPr>
            <w:r>
              <w:rPr>
                <w:sz w:val="14"/>
              </w:rPr>
              <w:t>22</w:t>
            </w:r>
          </w:p>
        </w:tc>
        <w:tc>
          <w:tcPr>
            <w:tcW w:w="144" w:type="dxa"/>
          </w:tcPr>
          <w:p>
            <w:pPr>
              <w:pStyle w:val="TableParagraph"/>
              <w:spacing w:line="240" w:lineRule="auto"/>
              <w:rPr>
                <w:sz w:val="8"/>
              </w:rPr>
            </w:pPr>
          </w:p>
        </w:tc>
        <w:tc>
          <w:tcPr>
            <w:tcW w:w="354" w:type="dxa"/>
          </w:tcPr>
          <w:p>
            <w:pPr>
              <w:pStyle w:val="TableParagraph"/>
              <w:ind w:left="84"/>
              <w:rPr>
                <w:sz w:val="14"/>
              </w:rPr>
            </w:pPr>
            <w:r>
              <w:rPr>
                <w:sz w:val="14"/>
              </w:rPr>
              <w:t>48</w:t>
            </w:r>
          </w:p>
        </w:tc>
        <w:tc>
          <w:tcPr>
            <w:tcW w:w="110" w:type="dxa"/>
          </w:tcPr>
          <w:p>
            <w:pPr>
              <w:pStyle w:val="TableParagraph"/>
              <w:spacing w:line="240" w:lineRule="auto"/>
              <w:rPr>
                <w:sz w:val="8"/>
              </w:rPr>
            </w:pPr>
          </w:p>
        </w:tc>
        <w:tc>
          <w:tcPr>
            <w:tcW w:w="379" w:type="dxa"/>
          </w:tcPr>
          <w:p>
            <w:pPr>
              <w:pStyle w:val="TableParagraph"/>
              <w:ind w:left="116"/>
              <w:rPr>
                <w:sz w:val="14"/>
              </w:rPr>
            </w:pPr>
            <w:r>
              <w:rPr>
                <w:sz w:val="14"/>
              </w:rPr>
              <w:t>19</w:t>
            </w:r>
          </w:p>
        </w:tc>
        <w:tc>
          <w:tcPr>
            <w:tcW w:w="120" w:type="dxa"/>
          </w:tcPr>
          <w:p>
            <w:pPr>
              <w:pStyle w:val="TableParagraph"/>
              <w:spacing w:line="240" w:lineRule="auto"/>
              <w:rPr>
                <w:sz w:val="8"/>
              </w:rPr>
            </w:pPr>
          </w:p>
        </w:tc>
        <w:tc>
          <w:tcPr>
            <w:tcW w:w="354" w:type="dxa"/>
          </w:tcPr>
          <w:p>
            <w:pPr>
              <w:pStyle w:val="TableParagraph"/>
              <w:ind w:left="50"/>
              <w:jc w:val="center"/>
              <w:rPr>
                <w:sz w:val="14"/>
              </w:rPr>
            </w:pPr>
            <w:r>
              <w:rPr>
                <w:sz w:val="14"/>
              </w:rPr>
              <w:t>3</w:t>
            </w:r>
          </w:p>
        </w:tc>
      </w:tr>
      <w:tr>
        <w:trPr>
          <w:trHeight w:val="147" w:hRule="atLeast"/>
        </w:trPr>
        <w:tc>
          <w:tcPr>
            <w:tcW w:w="1384" w:type="dxa"/>
          </w:tcPr>
          <w:p>
            <w:pPr>
              <w:pStyle w:val="TableParagraph"/>
              <w:spacing w:line="128" w:lineRule="exact"/>
              <w:ind w:left="50"/>
              <w:rPr>
                <w:sz w:val="12"/>
              </w:rPr>
            </w:pPr>
            <w:r>
              <w:rPr>
                <w:sz w:val="14"/>
              </w:rPr>
              <w:t>2002 Q4 </w:t>
            </w:r>
            <w:r>
              <w:rPr>
                <w:sz w:val="12"/>
              </w:rPr>
              <w:t>(b)</w:t>
            </w:r>
          </w:p>
        </w:tc>
        <w:tc>
          <w:tcPr>
            <w:tcW w:w="546" w:type="dxa"/>
          </w:tcPr>
          <w:p>
            <w:pPr>
              <w:pStyle w:val="TableParagraph"/>
              <w:spacing w:line="128" w:lineRule="exact"/>
              <w:ind w:left="177"/>
              <w:rPr>
                <w:sz w:val="14"/>
              </w:rPr>
            </w:pPr>
            <w:r>
              <w:rPr>
                <w:sz w:val="14"/>
              </w:rPr>
              <w:t>3</w:t>
            </w:r>
          </w:p>
        </w:tc>
        <w:tc>
          <w:tcPr>
            <w:tcW w:w="383" w:type="dxa"/>
          </w:tcPr>
          <w:p>
            <w:pPr>
              <w:pStyle w:val="TableParagraph"/>
              <w:spacing w:line="128" w:lineRule="exact"/>
              <w:ind w:right="40"/>
              <w:jc w:val="center"/>
              <w:rPr>
                <w:sz w:val="14"/>
              </w:rPr>
            </w:pPr>
            <w:r>
              <w:rPr>
                <w:sz w:val="14"/>
              </w:rPr>
              <w:t>6</w:t>
            </w:r>
          </w:p>
        </w:tc>
        <w:tc>
          <w:tcPr>
            <w:tcW w:w="175" w:type="dxa"/>
          </w:tcPr>
          <w:p>
            <w:pPr>
              <w:pStyle w:val="TableParagraph"/>
              <w:spacing w:line="240" w:lineRule="auto"/>
              <w:rPr>
                <w:sz w:val="8"/>
              </w:rPr>
            </w:pPr>
          </w:p>
        </w:tc>
        <w:tc>
          <w:tcPr>
            <w:tcW w:w="388" w:type="dxa"/>
          </w:tcPr>
          <w:p>
            <w:pPr>
              <w:pStyle w:val="TableParagraph"/>
              <w:spacing w:line="128" w:lineRule="exact"/>
              <w:ind w:left="26"/>
              <w:rPr>
                <w:sz w:val="14"/>
              </w:rPr>
            </w:pPr>
            <w:r>
              <w:rPr>
                <w:sz w:val="14"/>
              </w:rPr>
              <w:t>23</w:t>
            </w:r>
          </w:p>
        </w:tc>
        <w:tc>
          <w:tcPr>
            <w:tcW w:w="144" w:type="dxa"/>
          </w:tcPr>
          <w:p>
            <w:pPr>
              <w:pStyle w:val="TableParagraph"/>
              <w:spacing w:line="240" w:lineRule="auto"/>
              <w:rPr>
                <w:sz w:val="8"/>
              </w:rPr>
            </w:pPr>
          </w:p>
        </w:tc>
        <w:tc>
          <w:tcPr>
            <w:tcW w:w="354" w:type="dxa"/>
          </w:tcPr>
          <w:p>
            <w:pPr>
              <w:pStyle w:val="TableParagraph"/>
              <w:spacing w:line="128" w:lineRule="exact"/>
              <w:ind w:left="84"/>
              <w:rPr>
                <w:sz w:val="14"/>
              </w:rPr>
            </w:pPr>
            <w:r>
              <w:rPr>
                <w:sz w:val="14"/>
              </w:rPr>
              <w:t>45</w:t>
            </w:r>
          </w:p>
        </w:tc>
        <w:tc>
          <w:tcPr>
            <w:tcW w:w="110" w:type="dxa"/>
          </w:tcPr>
          <w:p>
            <w:pPr>
              <w:pStyle w:val="TableParagraph"/>
              <w:spacing w:line="240" w:lineRule="auto"/>
              <w:rPr>
                <w:sz w:val="8"/>
              </w:rPr>
            </w:pPr>
          </w:p>
        </w:tc>
        <w:tc>
          <w:tcPr>
            <w:tcW w:w="379" w:type="dxa"/>
          </w:tcPr>
          <w:p>
            <w:pPr>
              <w:pStyle w:val="TableParagraph"/>
              <w:spacing w:line="128" w:lineRule="exact"/>
              <w:ind w:left="116"/>
              <w:rPr>
                <w:sz w:val="14"/>
              </w:rPr>
            </w:pPr>
            <w:r>
              <w:rPr>
                <w:sz w:val="14"/>
              </w:rPr>
              <w:t>18</w:t>
            </w:r>
          </w:p>
        </w:tc>
        <w:tc>
          <w:tcPr>
            <w:tcW w:w="120" w:type="dxa"/>
          </w:tcPr>
          <w:p>
            <w:pPr>
              <w:pStyle w:val="TableParagraph"/>
              <w:spacing w:line="240" w:lineRule="auto"/>
              <w:rPr>
                <w:sz w:val="8"/>
              </w:rPr>
            </w:pPr>
          </w:p>
        </w:tc>
        <w:tc>
          <w:tcPr>
            <w:tcW w:w="354" w:type="dxa"/>
          </w:tcPr>
          <w:p>
            <w:pPr>
              <w:pStyle w:val="TableParagraph"/>
              <w:spacing w:line="128" w:lineRule="exact"/>
              <w:ind w:left="50"/>
              <w:jc w:val="center"/>
              <w:rPr>
                <w:sz w:val="14"/>
              </w:rPr>
            </w:pPr>
            <w:r>
              <w:rPr>
                <w:sz w:val="14"/>
              </w:rPr>
              <w:t>4</w:t>
            </w:r>
          </w:p>
        </w:tc>
      </w:tr>
    </w:tbl>
    <w:p>
      <w:pPr>
        <w:pStyle w:val="ListParagraph"/>
        <w:numPr>
          <w:ilvl w:val="0"/>
          <w:numId w:val="46"/>
        </w:numPr>
        <w:tabs>
          <w:tab w:pos="421" w:val="left" w:leader="none"/>
        </w:tabs>
        <w:spacing w:line="208" w:lineRule="auto" w:before="132" w:after="0"/>
        <w:ind w:left="420" w:right="39" w:hanging="240"/>
        <w:jc w:val="left"/>
        <w:rPr>
          <w:sz w:val="12"/>
        </w:rPr>
      </w:pPr>
      <w:r>
        <w:rPr>
          <w:sz w:val="12"/>
        </w:rPr>
        <w:t>28 other forecasters provided the Bank with their assessment of the likelihood, at three time horizons, of expected twelve-month RPIX inflation and four-quarter output growth falling in the ranges shown above. This table shows the means of the responses for each range. For example, on average, forecasters assign a probability of 7% to inflation turning out to be less than 1.5% in 2002</w:t>
      </w:r>
      <w:r>
        <w:rPr>
          <w:spacing w:val="-13"/>
          <w:sz w:val="12"/>
        </w:rPr>
        <w:t> </w:t>
      </w:r>
      <w:r>
        <w:rPr>
          <w:sz w:val="12"/>
        </w:rPr>
        <w:t>Q4.</w:t>
      </w:r>
    </w:p>
    <w:p>
      <w:pPr>
        <w:pStyle w:val="ListParagraph"/>
        <w:numPr>
          <w:ilvl w:val="0"/>
          <w:numId w:val="46"/>
        </w:numPr>
        <w:tabs>
          <w:tab w:pos="421" w:val="left" w:leader="none"/>
        </w:tabs>
        <w:spacing w:line="123" w:lineRule="exact" w:before="0" w:after="0"/>
        <w:ind w:left="420" w:right="0" w:hanging="241"/>
        <w:jc w:val="left"/>
        <w:rPr>
          <w:sz w:val="12"/>
        </w:rPr>
      </w:pPr>
      <w:r>
        <w:rPr>
          <w:sz w:val="12"/>
        </w:rPr>
        <w:t>27</w:t>
      </w:r>
      <w:r>
        <w:rPr>
          <w:spacing w:val="-2"/>
          <w:sz w:val="12"/>
        </w:rPr>
        <w:t> </w:t>
      </w:r>
      <w:r>
        <w:rPr>
          <w:sz w:val="12"/>
        </w:rPr>
        <w:t>forecasters.</w:t>
      </w:r>
    </w:p>
    <w:p>
      <w:pPr>
        <w:pStyle w:val="BodyText"/>
        <w:rPr>
          <w:sz w:val="12"/>
        </w:rPr>
      </w:pPr>
    </w:p>
    <w:p>
      <w:pPr>
        <w:pStyle w:val="BodyText"/>
        <w:spacing w:before="9"/>
        <w:rPr>
          <w:sz w:val="16"/>
        </w:rPr>
      </w:pPr>
    </w:p>
    <w:p>
      <w:pPr>
        <w:spacing w:before="1"/>
        <w:ind w:left="174" w:right="0" w:firstLine="0"/>
        <w:jc w:val="left"/>
        <w:rPr>
          <w:b/>
          <w:sz w:val="20"/>
        </w:rPr>
      </w:pPr>
      <w:r>
        <w:rPr>
          <w:b/>
          <w:color w:val="0092C7"/>
          <w:sz w:val="20"/>
        </w:rPr>
        <w:t>Chart 6.9</w:t>
      </w:r>
    </w:p>
    <w:p>
      <w:pPr>
        <w:spacing w:line="249" w:lineRule="auto" w:before="10"/>
        <w:ind w:left="174" w:right="1174" w:firstLine="0"/>
        <w:jc w:val="left"/>
        <w:rPr>
          <w:b/>
          <w:sz w:val="20"/>
        </w:rPr>
      </w:pPr>
      <w:r>
        <w:rPr>
          <w:b/>
          <w:color w:val="0092C7"/>
          <w:sz w:val="20"/>
        </w:rPr>
        <w:t>Distribution of repo rate forecasts for 2002 Q4</w:t>
      </w:r>
    </w:p>
    <w:p>
      <w:pPr>
        <w:spacing w:line="124" w:lineRule="exact" w:before="67"/>
        <w:ind w:left="2413" w:right="0" w:firstLine="0"/>
        <w:jc w:val="left"/>
        <w:rPr>
          <w:sz w:val="12"/>
        </w:rPr>
      </w:pPr>
      <w:r>
        <w:rPr>
          <w:sz w:val="12"/>
        </w:rPr>
        <w:t>Number of forecasts</w:t>
      </w:r>
    </w:p>
    <w:p>
      <w:pPr>
        <w:spacing w:line="124" w:lineRule="exact" w:before="0"/>
        <w:ind w:left="3441" w:right="0" w:firstLine="0"/>
        <w:jc w:val="left"/>
        <w:rPr>
          <w:sz w:val="12"/>
        </w:rPr>
      </w:pPr>
      <w:r>
        <w:rPr/>
        <w:pict>
          <v:group style="position:absolute;margin-left:50.469002pt;margin-top:2.130697pt;width:151.75pt;height:147.5pt;mso-position-horizontal-relative:page;mso-position-vertical-relative:paragraph;z-index:16201728" coordorigin="1009,43" coordsize="3035,2950">
            <v:rect style="position:absolute;left:1504;top:2610;width:225;height:320" filled="true" fillcolor="#0099d9" stroked="false">
              <v:fill type="solid"/>
            </v:rect>
            <v:rect style="position:absolute;left:1504;top:2610;width:225;height:320" filled="false" stroked="true" strokeweight=".5pt" strokecolor="#000000">
              <v:stroke dashstyle="solid"/>
            </v:rect>
            <v:rect style="position:absolute;left:1746;top:1972;width:223;height:958" filled="true" fillcolor="#0099d9" stroked="false">
              <v:fill type="solid"/>
            </v:rect>
            <v:rect style="position:absolute;left:1746;top:1972;width:223;height:958" filled="false" stroked="true" strokeweight=".5pt" strokecolor="#000000">
              <v:stroke dashstyle="solid"/>
            </v:rect>
            <v:rect style="position:absolute;left:1989;top:682;width:223;height:2248" filled="true" fillcolor="#0099d9" stroked="false">
              <v:fill type="solid"/>
            </v:rect>
            <v:rect style="position:absolute;left:1989;top:682;width:223;height:2248" filled="false" stroked="true" strokeweight=".5pt" strokecolor="#000000">
              <v:stroke dashstyle="solid"/>
            </v:rect>
            <v:rect style="position:absolute;left:2229;top:47;width:223;height:2883" filled="true" fillcolor="#0099d9" stroked="false">
              <v:fill type="solid"/>
            </v:rect>
            <v:rect style="position:absolute;left:2229;top:47;width:223;height:2883" filled="false" stroked="true" strokeweight=".5pt" strokecolor="#000000">
              <v:stroke dashstyle="solid"/>
            </v:rect>
            <v:rect style="position:absolute;left:2471;top:1972;width:213;height:958" filled="true" fillcolor="#0099d9" stroked="false">
              <v:fill type="solid"/>
            </v:rect>
            <v:rect style="position:absolute;left:2471;top:1972;width:213;height:958" filled="false" stroked="true" strokeweight=".5pt" strokecolor="#000000">
              <v:stroke dashstyle="solid"/>
            </v:rect>
            <v:rect style="position:absolute;left:2701;top:1972;width:223;height:958" filled="true" fillcolor="#0099d9" stroked="false">
              <v:fill type="solid"/>
            </v:rect>
            <v:rect style="position:absolute;left:2701;top:1972;width:223;height:958" filled="false" stroked="true" strokeweight=".5pt" strokecolor="#000000">
              <v:stroke dashstyle="solid"/>
            </v:rect>
            <v:rect style="position:absolute;left:2944;top:2292;width:223;height:638" filled="true" fillcolor="#0099d9" stroked="false">
              <v:fill type="solid"/>
            </v:rect>
            <v:shape style="position:absolute;left:1013;top:2292;width:3031;height:700" coordorigin="1014,2293" coordsize="3031,700" path="m2944,2293l3167,2293,3167,2930,2944,2930,2944,2293xm1497,2925l1497,2992m1739,2925l1739,2992m2222,2925l2222,2992m2464,2925l2464,2992m2694,2925l2694,2992m3177,2925l3177,2992m1979,2925l1979,2992m2934,2925l2934,2992m3958,2930l4044,2930m3902,2925l3902,2992m1014,2925l1014,2992m1257,2925l1257,2992m3659,2925l3659,2992m3419,2925l3419,2992m1014,2930l3894,2930e" filled="false" stroked="true" strokeweight=".5pt" strokecolor="#000000">
              <v:path arrowok="t"/>
              <v:stroke dashstyle="solid"/>
            </v:shape>
            <w10:wrap type="none"/>
          </v:group>
        </w:pict>
      </w:r>
      <w:r>
        <w:rPr/>
        <w:pict>
          <v:line style="position:absolute;mso-position-horizontal-relative:page;mso-position-vertical-relative:paragraph;z-index:16206336" from="42.577pt,2.505697pt" to="46.91pt,2.505697pt" stroked="true" strokeweight=".5pt" strokecolor="#000000">
            <v:stroke dashstyle="solid"/>
            <w10:wrap type="none"/>
          </v:line>
        </w:pict>
      </w:r>
      <w:r>
        <w:rPr/>
        <w:pict>
          <v:line style="position:absolute;mso-position-horizontal-relative:page;mso-position-vertical-relative:paragraph;z-index:16210944" from="197.884995pt,2.505697pt" to="202.216995pt,2.505697pt" stroked="true" strokeweight=".5pt" strokecolor="#000000">
            <v:stroke dashstyle="solid"/>
            <w10:wrap type="none"/>
          </v:line>
        </w:pict>
      </w:r>
      <w:r>
        <w:rPr>
          <w:sz w:val="12"/>
        </w:rPr>
        <w:t>9</w:t>
      </w:r>
    </w:p>
    <w:p>
      <w:pPr>
        <w:pStyle w:val="BodyText"/>
        <w:spacing w:before="7"/>
        <w:rPr>
          <w:sz w:val="15"/>
        </w:rPr>
      </w:pPr>
    </w:p>
    <w:p>
      <w:pPr>
        <w:spacing w:before="0"/>
        <w:ind w:left="0" w:right="978" w:firstLine="0"/>
        <w:jc w:val="right"/>
        <w:rPr>
          <w:sz w:val="12"/>
        </w:rPr>
      </w:pPr>
      <w:r>
        <w:rPr/>
        <w:pict>
          <v:line style="position:absolute;mso-position-horizontal-relative:page;mso-position-vertical-relative:paragraph;z-index:16202240" from="42.577pt,3.226431pt" to="46.91pt,3.226431pt" stroked="true" strokeweight=".5pt" strokecolor="#000000">
            <v:stroke dashstyle="solid"/>
            <w10:wrap type="none"/>
          </v:line>
        </w:pict>
      </w:r>
      <w:r>
        <w:rPr/>
        <w:pict>
          <v:line style="position:absolute;mso-position-horizontal-relative:page;mso-position-vertical-relative:paragraph;z-index:16207360" from="197.884995pt,3.226431pt" to="202.216995pt,3.226431pt" stroked="true" strokeweight=".5pt" strokecolor="#000000">
            <v:stroke dashstyle="solid"/>
            <w10:wrap type="none"/>
          </v:line>
        </w:pict>
      </w:r>
      <w:r>
        <w:rPr>
          <w:sz w:val="12"/>
        </w:rPr>
        <w:t>8</w:t>
      </w:r>
    </w:p>
    <w:p>
      <w:pPr>
        <w:pStyle w:val="BodyText"/>
        <w:spacing w:before="7"/>
        <w:rPr>
          <w:sz w:val="15"/>
        </w:rPr>
      </w:pPr>
    </w:p>
    <w:p>
      <w:pPr>
        <w:spacing w:before="0"/>
        <w:ind w:left="0" w:right="978" w:firstLine="0"/>
        <w:jc w:val="right"/>
        <w:rPr>
          <w:sz w:val="12"/>
        </w:rPr>
      </w:pPr>
      <w:r>
        <w:rPr/>
        <w:pict>
          <v:line style="position:absolute;mso-position-horizontal-relative:page;mso-position-vertical-relative:paragraph;z-index:16202752" from="42.577pt,3.226644pt" to="46.91pt,3.226644pt" stroked="true" strokeweight=".5pt" strokecolor="#000000">
            <v:stroke dashstyle="solid"/>
            <w10:wrap type="none"/>
          </v:line>
        </w:pict>
      </w:r>
      <w:r>
        <w:rPr/>
        <w:pict>
          <v:line style="position:absolute;mso-position-horizontal-relative:page;mso-position-vertical-relative:paragraph;z-index:16207872" from="197.884995pt,3.226644pt" to="202.216995pt,3.226644pt" stroked="true" strokeweight=".5pt" strokecolor="#000000">
            <v:stroke dashstyle="solid"/>
            <w10:wrap type="none"/>
          </v:line>
        </w:pict>
      </w:r>
      <w:r>
        <w:rPr>
          <w:sz w:val="12"/>
        </w:rPr>
        <w:t>7</w:t>
      </w:r>
    </w:p>
    <w:p>
      <w:pPr>
        <w:pStyle w:val="BodyText"/>
        <w:spacing w:before="9"/>
        <w:rPr>
          <w:sz w:val="15"/>
        </w:rPr>
      </w:pPr>
    </w:p>
    <w:p>
      <w:pPr>
        <w:spacing w:before="1"/>
        <w:ind w:left="0" w:right="978" w:firstLine="0"/>
        <w:jc w:val="right"/>
        <w:rPr>
          <w:sz w:val="12"/>
        </w:rPr>
      </w:pPr>
      <w:r>
        <w:rPr/>
        <w:pict>
          <v:line style="position:absolute;mso-position-horizontal-relative:page;mso-position-vertical-relative:paragraph;z-index:16206848" from="42.577999pt,3.276431pt" to="46.909999pt,3.276431pt" stroked="true" strokeweight=".5pt" strokecolor="#000000">
            <v:stroke dashstyle="solid"/>
            <w10:wrap type="none"/>
          </v:line>
        </w:pict>
      </w:r>
      <w:r>
        <w:rPr/>
        <w:pict>
          <v:line style="position:absolute;mso-position-horizontal-relative:page;mso-position-vertical-relative:paragraph;z-index:16211456" from="197.884995pt,3.276431pt" to="202.216995pt,3.276431pt" stroked="true" strokeweight=".5pt" strokecolor="#000000">
            <v:stroke dashstyle="solid"/>
            <w10:wrap type="none"/>
          </v:line>
        </w:pict>
      </w:r>
      <w:r>
        <w:rPr>
          <w:sz w:val="12"/>
        </w:rPr>
        <w:t>6</w:t>
      </w:r>
    </w:p>
    <w:p>
      <w:pPr>
        <w:pStyle w:val="BodyText"/>
        <w:spacing w:before="6"/>
        <w:rPr>
          <w:sz w:val="15"/>
        </w:rPr>
      </w:pPr>
    </w:p>
    <w:p>
      <w:pPr>
        <w:spacing w:before="1"/>
        <w:ind w:left="0" w:right="978" w:firstLine="0"/>
        <w:jc w:val="right"/>
        <w:rPr>
          <w:sz w:val="12"/>
        </w:rPr>
      </w:pPr>
      <w:r>
        <w:rPr/>
        <w:pict>
          <v:line style="position:absolute;mso-position-horizontal-relative:page;mso-position-vertical-relative:paragraph;z-index:16203264" from="42.577pt,3.169644pt" to="46.91pt,3.169644pt" stroked="true" strokeweight=".5pt" strokecolor="#000000">
            <v:stroke dashstyle="solid"/>
            <w10:wrap type="none"/>
          </v:line>
        </w:pict>
      </w:r>
      <w:r>
        <w:rPr/>
        <w:pict>
          <v:line style="position:absolute;mso-position-horizontal-relative:page;mso-position-vertical-relative:paragraph;z-index:16208384" from="197.884995pt,3.276644pt" to="202.216995pt,3.276644pt" stroked="true" strokeweight=".5pt" strokecolor="#000000">
            <v:stroke dashstyle="solid"/>
            <w10:wrap type="none"/>
          </v:line>
        </w:pict>
      </w:r>
      <w:r>
        <w:rPr>
          <w:sz w:val="12"/>
        </w:rPr>
        <w:t>5</w:t>
      </w:r>
    </w:p>
    <w:p>
      <w:pPr>
        <w:pStyle w:val="BodyText"/>
        <w:spacing w:before="1"/>
        <w:rPr>
          <w:sz w:val="17"/>
        </w:rPr>
      </w:pPr>
    </w:p>
    <w:p>
      <w:pPr>
        <w:spacing w:before="0"/>
        <w:ind w:left="0" w:right="978" w:firstLine="0"/>
        <w:jc w:val="right"/>
        <w:rPr>
          <w:sz w:val="12"/>
        </w:rPr>
      </w:pPr>
      <w:r>
        <w:rPr/>
        <w:pict>
          <v:line style="position:absolute;mso-position-horizontal-relative:page;mso-position-vertical-relative:paragraph;z-index:16203776" from="42.577pt,3.226431pt" to="46.91pt,3.226431pt" stroked="true" strokeweight=".5pt" strokecolor="#000000">
            <v:stroke dashstyle="solid"/>
            <w10:wrap type="none"/>
          </v:line>
        </w:pict>
      </w:r>
      <w:r>
        <w:rPr/>
        <w:pict>
          <v:line style="position:absolute;mso-position-horizontal-relative:page;mso-position-vertical-relative:paragraph;z-index:16208896" from="197.884995pt,3.226431pt" to="202.216995pt,3.226431pt" stroked="true" strokeweight=".5pt" strokecolor="#000000">
            <v:stroke dashstyle="solid"/>
            <w10:wrap type="none"/>
          </v:line>
        </w:pict>
      </w:r>
      <w:r>
        <w:rPr>
          <w:sz w:val="12"/>
        </w:rPr>
        <w:t>4</w:t>
      </w:r>
    </w:p>
    <w:p>
      <w:pPr>
        <w:pStyle w:val="BodyText"/>
        <w:spacing w:before="7"/>
        <w:rPr>
          <w:sz w:val="15"/>
        </w:rPr>
      </w:pPr>
    </w:p>
    <w:p>
      <w:pPr>
        <w:spacing w:before="0"/>
        <w:ind w:left="0" w:right="978" w:firstLine="0"/>
        <w:jc w:val="right"/>
        <w:rPr>
          <w:sz w:val="12"/>
        </w:rPr>
      </w:pPr>
      <w:r>
        <w:rPr/>
        <w:pict>
          <v:line style="position:absolute;mso-position-horizontal-relative:page;mso-position-vertical-relative:paragraph;z-index:16204288" from="42.577pt,3.226644pt" to="46.91pt,3.226644pt" stroked="true" strokeweight=".5pt" strokecolor="#000000">
            <v:stroke dashstyle="solid"/>
            <w10:wrap type="none"/>
          </v:line>
        </w:pict>
      </w:r>
      <w:r>
        <w:rPr/>
        <w:pict>
          <v:line style="position:absolute;mso-position-horizontal-relative:page;mso-position-vertical-relative:paragraph;z-index:16209408" from="197.884995pt,3.226644pt" to="202.216995pt,3.226644pt" stroked="true" strokeweight=".5pt" strokecolor="#000000">
            <v:stroke dashstyle="solid"/>
            <w10:wrap type="none"/>
          </v:line>
        </w:pict>
      </w:r>
      <w:r>
        <w:rPr>
          <w:sz w:val="12"/>
        </w:rPr>
        <w:t>3</w:t>
      </w:r>
    </w:p>
    <w:p>
      <w:pPr>
        <w:pStyle w:val="BodyText"/>
        <w:spacing w:before="10"/>
        <w:rPr>
          <w:sz w:val="15"/>
        </w:rPr>
      </w:pPr>
    </w:p>
    <w:p>
      <w:pPr>
        <w:spacing w:before="0"/>
        <w:ind w:left="0" w:right="978" w:firstLine="0"/>
        <w:jc w:val="right"/>
        <w:rPr>
          <w:sz w:val="12"/>
        </w:rPr>
      </w:pPr>
      <w:r>
        <w:rPr/>
        <w:pict>
          <v:line style="position:absolute;mso-position-horizontal-relative:page;mso-position-vertical-relative:paragraph;z-index:16205312" from="42.577pt,3.226431pt" to="46.91pt,3.226431pt" stroked="true" strokeweight=".5pt" strokecolor="#000000">
            <v:stroke dashstyle="solid"/>
            <w10:wrap type="none"/>
          </v:line>
        </w:pict>
      </w:r>
      <w:r>
        <w:rPr/>
        <w:pict>
          <v:line style="position:absolute;mso-position-horizontal-relative:page;mso-position-vertical-relative:paragraph;z-index:16210432" from="197.884995pt,3.226431pt" to="202.216995pt,3.226431pt" stroked="true" strokeweight=".5pt" strokecolor="#000000">
            <v:stroke dashstyle="solid"/>
            <w10:wrap type="none"/>
          </v:line>
        </w:pict>
      </w:r>
      <w:r>
        <w:rPr>
          <w:sz w:val="12"/>
        </w:rPr>
        <w:t>2</w:t>
      </w:r>
    </w:p>
    <w:p>
      <w:pPr>
        <w:pStyle w:val="BodyText"/>
        <w:spacing w:before="7"/>
        <w:rPr>
          <w:sz w:val="15"/>
        </w:rPr>
      </w:pPr>
    </w:p>
    <w:p>
      <w:pPr>
        <w:spacing w:before="0"/>
        <w:ind w:left="0" w:right="978" w:firstLine="0"/>
        <w:jc w:val="right"/>
        <w:rPr>
          <w:sz w:val="12"/>
        </w:rPr>
      </w:pPr>
      <w:r>
        <w:rPr/>
        <w:pict>
          <v:line style="position:absolute;mso-position-horizontal-relative:page;mso-position-vertical-relative:paragraph;z-index:16204800" from="42.577pt,3.226644pt" to="46.91pt,3.226644pt" stroked="true" strokeweight=".5pt" strokecolor="#000000">
            <v:stroke dashstyle="solid"/>
            <w10:wrap type="none"/>
          </v:line>
        </w:pict>
      </w:r>
      <w:r>
        <w:rPr/>
        <w:pict>
          <v:line style="position:absolute;mso-position-horizontal-relative:page;mso-position-vertical-relative:paragraph;z-index:16209920" from="197.884995pt,3.226644pt" to="202.216995pt,3.226644pt" stroked="true" strokeweight=".5pt" strokecolor="#000000">
            <v:stroke dashstyle="solid"/>
            <w10:wrap type="none"/>
          </v:line>
        </w:pict>
      </w:r>
      <w:r>
        <w:rPr>
          <w:sz w:val="12"/>
        </w:rPr>
        <w:t>1</w:t>
      </w:r>
    </w:p>
    <w:p>
      <w:pPr>
        <w:pStyle w:val="BodyText"/>
        <w:spacing w:line="242" w:lineRule="auto" w:before="217"/>
        <w:ind w:left="174" w:right="188"/>
      </w:pPr>
      <w:r>
        <w:rPr/>
        <w:br w:type="column"/>
      </w:r>
      <w:r>
        <w:rPr/>
        <w:t>output. Based on this survey, the mean forecast for the twelve-month rate of RPIX inflation in 2000 Q4 is 2.2% (with a range of 1.8% to 2.4%), rising to 2.4% in</w:t>
      </w:r>
    </w:p>
    <w:p>
      <w:pPr>
        <w:pStyle w:val="BodyText"/>
        <w:spacing w:line="242" w:lineRule="auto" w:before="4"/>
        <w:ind w:left="174" w:right="172"/>
      </w:pPr>
      <w:r>
        <w:rPr/>
        <w:t>2001 Q4 (with a range of 1.5% to 2.8%) and 2.5% in 2002 Q4 (with a range of 1.9% to 3.1%). The distribution</w:t>
      </w:r>
      <w:r>
        <w:rPr>
          <w:spacing w:val="-7"/>
        </w:rPr>
        <w:t> </w:t>
      </w:r>
      <w:r>
        <w:rPr/>
        <w:t>of</w:t>
      </w:r>
      <w:r>
        <w:rPr>
          <w:spacing w:val="-6"/>
        </w:rPr>
        <w:t> </w:t>
      </w:r>
      <w:r>
        <w:rPr/>
        <w:t>central</w:t>
      </w:r>
      <w:r>
        <w:rPr>
          <w:spacing w:val="-6"/>
        </w:rPr>
        <w:t> </w:t>
      </w:r>
      <w:r>
        <w:rPr/>
        <w:t>projections</w:t>
      </w:r>
      <w:r>
        <w:rPr>
          <w:spacing w:val="-7"/>
        </w:rPr>
        <w:t> </w:t>
      </w:r>
      <w:r>
        <w:rPr/>
        <w:t>of</w:t>
      </w:r>
      <w:r>
        <w:rPr>
          <w:spacing w:val="-6"/>
        </w:rPr>
        <w:t> </w:t>
      </w:r>
      <w:r>
        <w:rPr/>
        <w:t>inflation</w:t>
      </w:r>
      <w:r>
        <w:rPr>
          <w:spacing w:val="-6"/>
        </w:rPr>
        <w:t> </w:t>
      </w:r>
      <w:r>
        <w:rPr/>
        <w:t>in</w:t>
      </w:r>
      <w:r>
        <w:rPr>
          <w:spacing w:val="-7"/>
        </w:rPr>
        <w:t> </w:t>
      </w:r>
      <w:r>
        <w:rPr/>
        <w:t>2002</w:t>
      </w:r>
      <w:r>
        <w:rPr>
          <w:spacing w:val="-6"/>
        </w:rPr>
        <w:t> </w:t>
      </w:r>
      <w:r>
        <w:rPr/>
        <w:t>Q4 is little changed from August. On average, external forecasters see a 46% probability of inflation being above 2.5% in 2002 Q4, and a 54% probability of it being below (see </w:t>
      </w:r>
      <w:r>
        <w:rPr>
          <w:spacing w:val="-5"/>
        </w:rPr>
        <w:t>Table</w:t>
      </w:r>
      <w:r>
        <w:rPr>
          <w:spacing w:val="-10"/>
        </w:rPr>
        <w:t> </w:t>
      </w:r>
      <w:r>
        <w:rPr/>
        <w:t>6.D).</w:t>
      </w:r>
    </w:p>
    <w:p>
      <w:pPr>
        <w:pStyle w:val="BodyText"/>
        <w:spacing w:before="1"/>
        <w:rPr>
          <w:sz w:val="25"/>
        </w:rPr>
      </w:pPr>
    </w:p>
    <w:p>
      <w:pPr>
        <w:pStyle w:val="BodyText"/>
        <w:spacing w:line="242" w:lineRule="auto"/>
        <w:ind w:left="174" w:right="129"/>
      </w:pPr>
      <w:r>
        <w:rPr/>
        <w:t>The forecasters’ average projection for four-quarter GDP growth in 2000 Q4 is 3% (with a range of 2</w:t>
      </w:r>
      <w:r>
        <w:rPr>
          <w:position w:val="8"/>
          <w:sz w:val="12"/>
        </w:rPr>
        <w:t>1</w:t>
      </w:r>
      <w:r>
        <w:rPr/>
        <w:t>/</w:t>
      </w:r>
      <w:r>
        <w:rPr>
          <w:sz w:val="12"/>
        </w:rPr>
        <w:t>4</w:t>
      </w:r>
      <w:r>
        <w:rPr/>
        <w:t>% to 4%) up from the 2</w:t>
      </w:r>
      <w:r>
        <w:rPr>
          <w:position w:val="8"/>
          <w:sz w:val="12"/>
        </w:rPr>
        <w:t>3</w:t>
      </w:r>
      <w:r>
        <w:rPr/>
        <w:t>/</w:t>
      </w:r>
      <w:r>
        <w:rPr>
          <w:sz w:val="12"/>
        </w:rPr>
        <w:t>4</w:t>
      </w:r>
      <w:r>
        <w:rPr/>
        <w:t>% average forecast reported in August.</w:t>
      </w:r>
    </w:p>
    <w:p>
      <w:pPr>
        <w:pStyle w:val="BodyText"/>
        <w:spacing w:line="242" w:lineRule="auto" w:before="4"/>
        <w:ind w:left="174" w:right="341"/>
      </w:pPr>
      <w:r>
        <w:rPr/>
        <w:t>Growth is expected to slow to 2</w:t>
      </w:r>
      <w:r>
        <w:rPr>
          <w:position w:val="8"/>
          <w:sz w:val="12"/>
        </w:rPr>
        <w:t>1</w:t>
      </w:r>
      <w:r>
        <w:rPr/>
        <w:t>/</w:t>
      </w:r>
      <w:r>
        <w:rPr>
          <w:sz w:val="12"/>
        </w:rPr>
        <w:t>2</w:t>
      </w:r>
      <w:r>
        <w:rPr/>
        <w:t>% (with a range of 1</w:t>
      </w:r>
      <w:r>
        <w:rPr>
          <w:position w:val="8"/>
          <w:sz w:val="12"/>
        </w:rPr>
        <w:t>1</w:t>
      </w:r>
      <w:r>
        <w:rPr/>
        <w:t>/</w:t>
      </w:r>
      <w:r>
        <w:rPr>
          <w:sz w:val="12"/>
        </w:rPr>
        <w:t>2</w:t>
      </w:r>
      <w:r>
        <w:rPr/>
        <w:t>% to 3</w:t>
      </w:r>
      <w:r>
        <w:rPr>
          <w:position w:val="8"/>
          <w:sz w:val="12"/>
        </w:rPr>
        <w:t>1</w:t>
      </w:r>
      <w:r>
        <w:rPr/>
        <w:t>/</w:t>
      </w:r>
      <w:r>
        <w:rPr>
          <w:sz w:val="12"/>
        </w:rPr>
        <w:t>4</w:t>
      </w:r>
      <w:r>
        <w:rPr/>
        <w:t>%) in 2001 Q4, and then remain at that rate in 2002 Q4 (with a range of 1</w:t>
      </w:r>
      <w:r>
        <w:rPr>
          <w:position w:val="8"/>
          <w:sz w:val="12"/>
        </w:rPr>
        <w:t>1</w:t>
      </w:r>
      <w:r>
        <w:rPr/>
        <w:t>/</w:t>
      </w:r>
      <w:r>
        <w:rPr>
          <w:sz w:val="12"/>
        </w:rPr>
        <w:t>2</w:t>
      </w:r>
      <w:r>
        <w:rPr/>
        <w:t>% to 3</w:t>
      </w:r>
      <w:r>
        <w:rPr>
          <w:position w:val="8"/>
          <w:sz w:val="12"/>
        </w:rPr>
        <w:t>1</w:t>
      </w:r>
      <w:r>
        <w:rPr/>
        <w:t>/</w:t>
      </w:r>
      <w:r>
        <w:rPr>
          <w:sz w:val="12"/>
        </w:rPr>
        <w:t>4</w:t>
      </w:r>
      <w:r>
        <w:rPr/>
        <w:t>%).</w:t>
      </w:r>
    </w:p>
    <w:p>
      <w:pPr>
        <w:pStyle w:val="BodyText"/>
        <w:spacing w:before="8"/>
      </w:pPr>
    </w:p>
    <w:p>
      <w:pPr>
        <w:pStyle w:val="BodyText"/>
        <w:spacing w:line="242" w:lineRule="auto"/>
        <w:ind w:left="174" w:right="204"/>
      </w:pPr>
      <w:r>
        <w:rPr/>
        <w:t>The mean forecast for the official interest rate is flat at 6% from 2000 Q4 to 2002 Q4, slightly lower than the survey results reported in August. The dispersion of forecasts increases from 6% to 6</w:t>
      </w:r>
      <w:r>
        <w:rPr>
          <w:position w:val="8"/>
          <w:sz w:val="12"/>
        </w:rPr>
        <w:t>1</w:t>
      </w:r>
      <w:r>
        <w:rPr/>
        <w:t>/</w:t>
      </w:r>
      <w:r>
        <w:rPr>
          <w:sz w:val="12"/>
        </w:rPr>
        <w:t>2</w:t>
      </w:r>
      <w:r>
        <w:rPr/>
        <w:t>% in 2000 Q4, to a range of 5% to 6</w:t>
      </w:r>
      <w:r>
        <w:rPr>
          <w:position w:val="8"/>
          <w:sz w:val="12"/>
        </w:rPr>
        <w:t>3</w:t>
      </w:r>
      <w:r>
        <w:rPr/>
        <w:t>/</w:t>
      </w:r>
      <w:r>
        <w:rPr>
          <w:sz w:val="12"/>
        </w:rPr>
        <w:t>4</w:t>
      </w:r>
      <w:r>
        <w:rPr/>
        <w:t>% by 2002 Q4 (see Chart 6.9). On average, forecasters assume that the sterling ERI will be 107 in 2000 Q4 (with a range of 104 to 110) and will then fall to 101 (with a range of 95 to 108) by 2002 Q4 (see Chart 6.10).</w:t>
      </w:r>
    </w:p>
    <w:p>
      <w:pPr>
        <w:pStyle w:val="BodyText"/>
        <w:spacing w:before="3"/>
        <w:rPr>
          <w:sz w:val="25"/>
        </w:rPr>
      </w:pPr>
    </w:p>
    <w:p>
      <w:pPr>
        <w:pStyle w:val="Heading6"/>
        <w:spacing w:line="242" w:lineRule="auto" w:before="1"/>
        <w:ind w:left="174" w:right="204"/>
      </w:pPr>
      <w:hyperlink w:history="true" w:anchor="_bookmark0">
        <w:r>
          <w:rPr/>
          <w:t>The implications of the latest projections for the stance of monetary policy are discussed in the </w:t>
        </w:r>
        <w:r>
          <w:rPr>
            <w:color w:val="FF0000"/>
          </w:rPr>
          <w:t>Overview </w:t>
        </w:r>
        <w:r>
          <w:rPr/>
          <w:t>at the beginning of this </w:t>
        </w:r>
        <w:r>
          <w:rPr>
            <w:i/>
          </w:rPr>
          <w:t>Report</w:t>
        </w:r>
        <w:r>
          <w:rPr/>
          <w:t>.</w:t>
        </w:r>
      </w:hyperlink>
    </w:p>
    <w:p>
      <w:pPr>
        <w:spacing w:after="0" w:line="242" w:lineRule="auto"/>
        <w:sectPr>
          <w:type w:val="continuous"/>
          <w:pgSz w:w="11900" w:h="16840"/>
          <w:pgMar w:top="1260" w:bottom="280" w:left="640" w:right="640"/>
          <w:cols w:num="2" w:equalWidth="0">
            <w:col w:w="4483" w:space="323"/>
            <w:col w:w="5814"/>
          </w:cols>
        </w:sectPr>
      </w:pPr>
    </w:p>
    <w:p>
      <w:pPr>
        <w:pStyle w:val="BodyText"/>
        <w:spacing w:before="7"/>
        <w:rPr>
          <w:b/>
          <w:sz w:val="15"/>
        </w:rPr>
      </w:pPr>
    </w:p>
    <w:p>
      <w:pPr>
        <w:spacing w:before="0"/>
        <w:ind w:left="0" w:right="3674" w:firstLine="0"/>
        <w:jc w:val="center"/>
        <w:rPr>
          <w:sz w:val="12"/>
        </w:rPr>
      </w:pPr>
      <w:r>
        <w:rPr/>
        <w:pict>
          <v:line style="position:absolute;mso-position-horizontal-relative:page;mso-position-vertical-relative:paragraph;z-index:16205824" from="42.577pt,3.226827pt" to="46.91pt,3.226827pt" stroked="true" strokeweight=".5pt" strokecolor="#000000">
            <v:stroke dashstyle="solid"/>
            <w10:wrap type="none"/>
          </v:line>
        </w:pict>
      </w:r>
      <w:r>
        <w:rPr>
          <w:sz w:val="12"/>
        </w:rPr>
        <w:t>0</w:t>
      </w:r>
    </w:p>
    <w:p>
      <w:pPr>
        <w:spacing w:before="19"/>
        <w:ind w:left="641" w:right="7629" w:firstLine="0"/>
        <w:jc w:val="center"/>
        <w:rPr>
          <w:sz w:val="12"/>
        </w:rPr>
      </w:pPr>
      <w:r>
        <w:rPr>
          <w:sz w:val="12"/>
        </w:rPr>
        <w:t>4.3 4.6 4.9 5.2 5.5 5.8 6.1 6.4 6.7 7.0 7.3 7.6 7.9</w:t>
      </w:r>
    </w:p>
    <w:p>
      <w:pPr>
        <w:spacing w:before="30"/>
        <w:ind w:left="558" w:right="7629" w:firstLine="0"/>
        <w:jc w:val="center"/>
        <w:rPr>
          <w:sz w:val="12"/>
        </w:rPr>
      </w:pPr>
      <w:r>
        <w:rPr>
          <w:sz w:val="12"/>
        </w:rPr>
        <w:t>Range of forecasts</w:t>
      </w:r>
    </w:p>
    <w:p>
      <w:pPr>
        <w:pStyle w:val="BodyText"/>
        <w:spacing w:before="7"/>
        <w:rPr>
          <w:sz w:val="9"/>
        </w:rPr>
      </w:pPr>
    </w:p>
    <w:p>
      <w:pPr>
        <w:spacing w:before="0"/>
        <w:ind w:left="174" w:right="0" w:firstLine="0"/>
        <w:jc w:val="left"/>
        <w:rPr>
          <w:sz w:val="12"/>
        </w:rPr>
      </w:pPr>
      <w:r>
        <w:rPr>
          <w:sz w:val="12"/>
        </w:rPr>
        <w:t>Source: Survey of 28 outside forecasters as of 6 November 2000.</w:t>
      </w:r>
    </w:p>
    <w:p>
      <w:pPr>
        <w:pStyle w:val="BodyText"/>
        <w:rPr>
          <w:sz w:val="12"/>
        </w:rPr>
      </w:pPr>
    </w:p>
    <w:p>
      <w:pPr>
        <w:pStyle w:val="BodyText"/>
        <w:spacing w:before="3"/>
        <w:rPr>
          <w:sz w:val="15"/>
        </w:rPr>
      </w:pPr>
    </w:p>
    <w:p>
      <w:pPr>
        <w:spacing w:before="0"/>
        <w:ind w:left="194" w:right="0" w:firstLine="0"/>
        <w:jc w:val="left"/>
        <w:rPr>
          <w:b/>
          <w:sz w:val="20"/>
        </w:rPr>
      </w:pPr>
      <w:r>
        <w:rPr>
          <w:b/>
          <w:color w:val="0092C7"/>
          <w:sz w:val="20"/>
        </w:rPr>
        <w:t>Chart 6.10</w:t>
      </w:r>
    </w:p>
    <w:p>
      <w:pPr>
        <w:spacing w:line="249" w:lineRule="auto" w:before="10"/>
        <w:ind w:left="194" w:right="7063" w:firstLine="0"/>
        <w:jc w:val="left"/>
        <w:rPr>
          <w:b/>
          <w:sz w:val="20"/>
        </w:rPr>
      </w:pPr>
      <w:r>
        <w:rPr>
          <w:b/>
          <w:color w:val="0092C7"/>
          <w:sz w:val="20"/>
        </w:rPr>
        <w:t>Distribution</w:t>
      </w:r>
      <w:r>
        <w:rPr>
          <w:b/>
          <w:color w:val="0092C7"/>
          <w:spacing w:val="-10"/>
          <w:sz w:val="20"/>
        </w:rPr>
        <w:t> </w:t>
      </w:r>
      <w:r>
        <w:rPr>
          <w:b/>
          <w:color w:val="0092C7"/>
          <w:sz w:val="20"/>
        </w:rPr>
        <w:t>of</w:t>
      </w:r>
      <w:r>
        <w:rPr>
          <w:b/>
          <w:color w:val="0092C7"/>
          <w:spacing w:val="-10"/>
          <w:sz w:val="20"/>
        </w:rPr>
        <w:t> </w:t>
      </w:r>
      <w:r>
        <w:rPr>
          <w:b/>
          <w:color w:val="0092C7"/>
          <w:sz w:val="20"/>
        </w:rPr>
        <w:t>sterling</w:t>
      </w:r>
      <w:r>
        <w:rPr>
          <w:b/>
          <w:color w:val="0092C7"/>
          <w:spacing w:val="-9"/>
          <w:sz w:val="20"/>
        </w:rPr>
        <w:t> </w:t>
      </w:r>
      <w:r>
        <w:rPr>
          <w:b/>
          <w:color w:val="0092C7"/>
          <w:sz w:val="20"/>
        </w:rPr>
        <w:t>ERI</w:t>
      </w:r>
      <w:r>
        <w:rPr>
          <w:b/>
          <w:color w:val="0092C7"/>
          <w:spacing w:val="-10"/>
          <w:sz w:val="20"/>
        </w:rPr>
        <w:t> </w:t>
      </w:r>
      <w:r>
        <w:rPr>
          <w:b/>
          <w:color w:val="0092C7"/>
          <w:sz w:val="20"/>
        </w:rPr>
        <w:t>forecasts for 2002</w:t>
      </w:r>
      <w:r>
        <w:rPr>
          <w:b/>
          <w:color w:val="0092C7"/>
          <w:spacing w:val="-1"/>
          <w:sz w:val="20"/>
        </w:rPr>
        <w:t> </w:t>
      </w:r>
      <w:r>
        <w:rPr>
          <w:b/>
          <w:color w:val="0092C7"/>
          <w:sz w:val="20"/>
        </w:rPr>
        <w:t>Q4</w:t>
      </w:r>
    </w:p>
    <w:p>
      <w:pPr>
        <w:spacing w:before="61"/>
        <w:ind w:left="2390" w:right="0" w:firstLine="0"/>
        <w:jc w:val="left"/>
        <w:rPr>
          <w:sz w:val="12"/>
        </w:rPr>
      </w:pPr>
      <w:r>
        <w:rPr/>
        <w:pict>
          <v:group style="position:absolute;margin-left:42.678001pt;margin-top:10.693561pt;width:158.35pt;height:148pt;mso-position-horizontal-relative:page;mso-position-vertical-relative:paragraph;z-index:-22440960" coordorigin="854,214" coordsize="3167,2960">
            <v:rect style="position:absolute;left:1654;top:2623;width:213;height:488" filled="true" fillcolor="#9ed01a" stroked="false">
              <v:fill type="solid"/>
            </v:rect>
            <v:rect style="position:absolute;left:1654;top:2623;width:213;height:488" filled="false" stroked="true" strokeweight=".5pt" strokecolor="#000000">
              <v:stroke dashstyle="solid"/>
            </v:rect>
            <v:rect style="position:absolute;left:1884;top:218;width:203;height:2893" filled="true" fillcolor="#9ed01a" stroked="false">
              <v:fill type="solid"/>
            </v:rect>
            <v:rect style="position:absolute;left:1884;top:218;width:203;height:2893" filled="false" stroked="true" strokeweight=".5pt" strokecolor="#000000">
              <v:stroke dashstyle="solid"/>
            </v:rect>
            <v:rect style="position:absolute;left:2106;top:2623;width:203;height:488" filled="true" fillcolor="#9ed01a" stroked="false">
              <v:fill type="solid"/>
            </v:rect>
            <v:rect style="position:absolute;left:2106;top:2623;width:203;height:488" filled="false" stroked="true" strokeweight=".5pt" strokecolor="#000000">
              <v:stroke dashstyle="solid"/>
            </v:rect>
            <v:rect style="position:absolute;left:2326;top:703;width:203;height:2408" filled="true" fillcolor="#9ed01a" stroked="false">
              <v:fill type="solid"/>
            </v:rect>
            <v:rect style="position:absolute;left:2326;top:703;width:203;height:2408" filled="false" stroked="true" strokeweight=".5pt" strokecolor="#000000">
              <v:stroke dashstyle="solid"/>
            </v:rect>
            <v:rect style="position:absolute;left:2546;top:1186;width:203;height:1925" filled="true" fillcolor="#9ed01a" stroked="false">
              <v:fill type="solid"/>
            </v:rect>
            <v:rect style="position:absolute;left:2546;top:1186;width:203;height:1925" filled="false" stroked="true" strokeweight=".5pt" strokecolor="#000000">
              <v:stroke dashstyle="solid"/>
            </v:rect>
            <v:rect style="position:absolute;left:2766;top:1671;width:203;height:1440" filled="true" fillcolor="#9ed01a" stroked="false">
              <v:fill type="solid"/>
            </v:rect>
            <v:rect style="position:absolute;left:2766;top:1671;width:203;height:1440" filled="false" stroked="true" strokeweight=".5pt" strokecolor="#000000">
              <v:stroke dashstyle="solid"/>
            </v:rect>
            <v:rect style="position:absolute;left:2989;top:2138;width:213;height:973" filled="true" fillcolor="#9ed01a" stroked="false">
              <v:fill type="solid"/>
            </v:rect>
            <v:rect style="position:absolute;left:2989;top:2138;width:213;height:973" filled="false" stroked="true" strokeweight=".5pt" strokecolor="#000000">
              <v:stroke dashstyle="solid"/>
            </v:rect>
            <v:rect style="position:absolute;left:3219;top:2623;width:203;height:488" filled="true" fillcolor="#9ed01a" stroked="false">
              <v:fill type="solid"/>
            </v:rect>
            <v:shape style="position:absolute;left:853;top:2623;width:3167;height:550" coordorigin="854,2624" coordsize="3167,550" path="m3219,2624l3422,2624,3422,3111,3219,3111,3219,2624xm854,3111l940,3111m3934,3111l4020,3111m994,3111l3874,3111m992,3106l992,3173m1202,3106l1202,3173m1424,3106l1424,3173m1644,3106l1644,3173m2097,3106l2097,3173m2537,3106l2537,3173m2757,3106l2757,3173m3649,3106l3649,3173m3209,3106l3209,3173m3872,3106l3872,3173m1874,3106l1874,3173m2979,3106l2979,3173m3429,3106l3429,3173m2317,3106l2317,3173e" filled="false" stroked="true" strokeweight=".5pt" strokecolor="#000000">
              <v:path arrowok="t"/>
              <v:stroke dashstyle="solid"/>
            </v:shape>
            <w10:wrap type="none"/>
          </v:group>
        </w:pict>
      </w:r>
      <w:r>
        <w:rPr/>
        <w:pict>
          <v:line style="position:absolute;mso-position-horizontal-relative:page;mso-position-vertical-relative:paragraph;z-index:16215040" from="42.678001pt,11.068561pt" to="47.010001pt,11.068561pt" stroked="true" strokeweight=".5pt" strokecolor="#000000">
            <v:stroke dashstyle="solid"/>
            <w10:wrap type="none"/>
          </v:line>
        </w:pict>
      </w:r>
      <w:r>
        <w:rPr/>
        <w:pict>
          <v:line style="position:absolute;mso-position-horizontal-relative:page;mso-position-vertical-relative:paragraph;z-index:-22434816" from="196.679001pt,11.068561pt" to="201.011001pt,11.068561pt" stroked="true" strokeweight=".5pt" strokecolor="#000000">
            <v:stroke dashstyle="solid"/>
            <w10:wrap type="none"/>
          </v:line>
        </w:pict>
      </w:r>
      <w:r>
        <w:rPr>
          <w:sz w:val="12"/>
        </w:rPr>
        <w:t>Number of forecasts </w:t>
      </w:r>
      <w:r>
        <w:rPr>
          <w:position w:val="-8"/>
          <w:sz w:val="12"/>
        </w:rPr>
        <w:t>6</w:t>
      </w:r>
    </w:p>
    <w:p>
      <w:pPr>
        <w:pStyle w:val="BodyText"/>
        <w:spacing w:before="6"/>
        <w:rPr>
          <w:sz w:val="21"/>
        </w:rPr>
      </w:pPr>
    </w:p>
    <w:p>
      <w:pPr>
        <w:spacing w:before="95"/>
        <w:ind w:left="3424" w:right="0" w:firstLine="0"/>
        <w:jc w:val="left"/>
        <w:rPr>
          <w:sz w:val="12"/>
        </w:rPr>
      </w:pPr>
      <w:r>
        <w:rPr/>
        <w:pict>
          <v:line style="position:absolute;mso-position-horizontal-relative:page;mso-position-vertical-relative:paragraph;z-index:16212480" from="42.678001pt,8.476767pt" to="47.010001pt,8.476767pt" stroked="true" strokeweight=".5pt" strokecolor="#000000">
            <v:stroke dashstyle="solid"/>
            <w10:wrap type="none"/>
          </v:line>
        </w:pict>
      </w:r>
      <w:r>
        <w:rPr/>
        <w:pict>
          <v:line style="position:absolute;mso-position-horizontal-relative:page;mso-position-vertical-relative:paragraph;z-index:16215552" from="196.679001pt,8.476767pt" to="201.011001pt,8.476767pt" stroked="true" strokeweight=".5pt" strokecolor="#000000">
            <v:stroke dashstyle="solid"/>
            <w10:wrap type="none"/>
          </v:line>
        </w:pict>
      </w:r>
      <w:r>
        <w:rPr>
          <w:sz w:val="12"/>
        </w:rPr>
        <w:t>5</w:t>
      </w:r>
    </w:p>
    <w:p>
      <w:pPr>
        <w:pStyle w:val="BodyText"/>
        <w:spacing w:before="10"/>
        <w:rPr>
          <w:sz w:val="21"/>
        </w:rPr>
      </w:pPr>
    </w:p>
    <w:p>
      <w:pPr>
        <w:spacing w:before="96"/>
        <w:ind w:left="3424" w:right="0" w:firstLine="0"/>
        <w:jc w:val="left"/>
        <w:rPr>
          <w:sz w:val="12"/>
        </w:rPr>
      </w:pPr>
      <w:r>
        <w:rPr/>
        <w:pict>
          <v:line style="position:absolute;mso-position-horizontal-relative:page;mso-position-vertical-relative:paragraph;z-index:16212992" from="42.678001pt,8.401568pt" to="47.010001pt,8.401568pt" stroked="true" strokeweight=".5pt" strokecolor="#000000">
            <v:stroke dashstyle="solid"/>
            <w10:wrap type="none"/>
          </v:line>
        </w:pict>
      </w:r>
      <w:r>
        <w:rPr/>
        <w:pict>
          <v:line style="position:absolute;mso-position-horizontal-relative:page;mso-position-vertical-relative:paragraph;z-index:16216064" from="196.679001pt,8.401568pt" to="201.011001pt,8.401568pt" stroked="true" strokeweight=".5pt" strokecolor="#000000">
            <v:stroke dashstyle="solid"/>
            <w10:wrap type="none"/>
          </v:line>
        </w:pict>
      </w:r>
      <w:r>
        <w:rPr>
          <w:sz w:val="12"/>
        </w:rPr>
        <w:t>4</w:t>
      </w:r>
    </w:p>
    <w:p>
      <w:pPr>
        <w:pStyle w:val="BodyText"/>
        <w:spacing w:before="8"/>
        <w:rPr>
          <w:sz w:val="21"/>
        </w:rPr>
      </w:pPr>
    </w:p>
    <w:p>
      <w:pPr>
        <w:spacing w:before="95"/>
        <w:ind w:left="3424" w:right="0" w:firstLine="0"/>
        <w:jc w:val="left"/>
        <w:rPr>
          <w:sz w:val="12"/>
        </w:rPr>
      </w:pPr>
      <w:r>
        <w:rPr/>
        <w:pict>
          <v:line style="position:absolute;mso-position-horizontal-relative:page;mso-position-vertical-relative:paragraph;z-index:16213504" from="42.678001pt,8.476767pt" to="47.010001pt,8.476767pt" stroked="true" strokeweight=".5pt" strokecolor="#000000">
            <v:stroke dashstyle="solid"/>
            <w10:wrap type="none"/>
          </v:line>
        </w:pict>
      </w:r>
      <w:r>
        <w:rPr/>
        <w:pict>
          <v:line style="position:absolute;mso-position-horizontal-relative:page;mso-position-vertical-relative:paragraph;z-index:16216576" from="196.679001pt,8.476767pt" to="201.011001pt,8.476767pt" stroked="true" strokeweight=".5pt" strokecolor="#000000">
            <v:stroke dashstyle="solid"/>
            <w10:wrap type="none"/>
          </v:line>
        </w:pict>
      </w:r>
      <w:r>
        <w:rPr>
          <w:sz w:val="12"/>
        </w:rPr>
        <w:t>3</w:t>
      </w:r>
    </w:p>
    <w:p>
      <w:pPr>
        <w:pStyle w:val="BodyText"/>
        <w:spacing w:before="7"/>
        <w:rPr>
          <w:sz w:val="20"/>
        </w:rPr>
      </w:pPr>
    </w:p>
    <w:p>
      <w:pPr>
        <w:spacing w:before="95"/>
        <w:ind w:left="3424" w:right="0" w:firstLine="0"/>
        <w:jc w:val="left"/>
        <w:rPr>
          <w:sz w:val="12"/>
        </w:rPr>
      </w:pPr>
      <w:r>
        <w:rPr/>
        <w:pict>
          <v:line style="position:absolute;mso-position-horizontal-relative:page;mso-position-vertical-relative:paragraph;z-index:16214528" from="42.678001pt,8.351568pt" to="47.010001pt,8.351568pt" stroked="true" strokeweight=".5pt" strokecolor="#000000">
            <v:stroke dashstyle="solid"/>
            <w10:wrap type="none"/>
          </v:line>
        </w:pict>
      </w:r>
      <w:r>
        <w:rPr/>
        <w:pict>
          <v:line style="position:absolute;mso-position-horizontal-relative:page;mso-position-vertical-relative:paragraph;z-index:16217600" from="196.679001pt,8.351568pt" to="201.011001pt,8.351568pt" stroked="true" strokeweight=".5pt" strokecolor="#000000">
            <v:stroke dashstyle="solid"/>
            <w10:wrap type="none"/>
          </v:line>
        </w:pict>
      </w:r>
      <w:r>
        <w:rPr>
          <w:sz w:val="12"/>
        </w:rPr>
        <w:t>2</w:t>
      </w:r>
    </w:p>
    <w:p>
      <w:pPr>
        <w:pStyle w:val="BodyText"/>
        <w:spacing w:before="10"/>
        <w:rPr>
          <w:sz w:val="21"/>
        </w:rPr>
      </w:pPr>
    </w:p>
    <w:p>
      <w:pPr>
        <w:spacing w:before="95"/>
        <w:ind w:left="3424" w:right="0" w:firstLine="0"/>
        <w:jc w:val="left"/>
        <w:rPr>
          <w:sz w:val="12"/>
        </w:rPr>
      </w:pPr>
      <w:r>
        <w:rPr/>
        <w:pict>
          <v:line style="position:absolute;mso-position-horizontal-relative:page;mso-position-vertical-relative:paragraph;z-index:16214016" from="42.678001pt,8.351362pt" to="47.010001pt,8.351362pt" stroked="true" strokeweight=".5pt" strokecolor="#000000">
            <v:stroke dashstyle="solid"/>
            <w10:wrap type="none"/>
          </v:line>
        </w:pict>
      </w:r>
      <w:r>
        <w:rPr/>
        <w:pict>
          <v:line style="position:absolute;mso-position-horizontal-relative:page;mso-position-vertical-relative:paragraph;z-index:16217088" from="196.679001pt,8.351362pt" to="201.011001pt,8.351362pt" stroked="true" strokeweight=".5pt" strokecolor="#000000">
            <v:stroke dashstyle="solid"/>
            <w10:wrap type="none"/>
          </v:line>
        </w:pict>
      </w:r>
      <w:r>
        <w:rPr>
          <w:sz w:val="12"/>
        </w:rPr>
        <w:t>1</w:t>
      </w:r>
    </w:p>
    <w:p>
      <w:pPr>
        <w:pStyle w:val="BodyText"/>
        <w:spacing w:before="8"/>
        <w:rPr>
          <w:sz w:val="21"/>
        </w:rPr>
      </w:pPr>
    </w:p>
    <w:p>
      <w:pPr>
        <w:spacing w:after="0"/>
        <w:rPr>
          <w:sz w:val="21"/>
        </w:rPr>
        <w:sectPr>
          <w:type w:val="continuous"/>
          <w:pgSz w:w="11900" w:h="16840"/>
          <w:pgMar w:top="1260" w:bottom="280" w:left="640" w:right="640"/>
        </w:sectPr>
      </w:pPr>
    </w:p>
    <w:p>
      <w:pPr>
        <w:pStyle w:val="BodyText"/>
        <w:rPr>
          <w:sz w:val="12"/>
        </w:rPr>
      </w:pPr>
    </w:p>
    <w:p>
      <w:pPr>
        <w:pStyle w:val="BodyText"/>
        <w:spacing w:before="4"/>
        <w:rPr>
          <w:sz w:val="10"/>
        </w:rPr>
      </w:pPr>
    </w:p>
    <w:p>
      <w:pPr>
        <w:spacing w:before="0"/>
        <w:ind w:left="283" w:right="0" w:firstLine="0"/>
        <w:jc w:val="left"/>
        <w:rPr>
          <w:sz w:val="12"/>
        </w:rPr>
      </w:pPr>
      <w:r>
        <w:rPr>
          <w:sz w:val="12"/>
        </w:rPr>
        <w:t>88 90</w:t>
      </w:r>
    </w:p>
    <w:p>
      <w:pPr>
        <w:pStyle w:val="BodyText"/>
        <w:rPr>
          <w:sz w:val="12"/>
        </w:rPr>
      </w:pPr>
      <w:r>
        <w:rPr/>
        <w:br w:type="column"/>
      </w:r>
      <w:r>
        <w:rPr>
          <w:sz w:val="12"/>
        </w:rPr>
      </w:r>
    </w:p>
    <w:p>
      <w:pPr>
        <w:pStyle w:val="BodyText"/>
        <w:spacing w:before="4"/>
        <w:rPr>
          <w:sz w:val="10"/>
        </w:rPr>
      </w:pPr>
    </w:p>
    <w:p>
      <w:pPr>
        <w:spacing w:before="0"/>
        <w:ind w:left="73" w:right="0" w:firstLine="0"/>
        <w:jc w:val="left"/>
        <w:rPr>
          <w:sz w:val="12"/>
        </w:rPr>
      </w:pPr>
      <w:r>
        <w:rPr>
          <w:sz w:val="12"/>
        </w:rPr>
        <w:t>92 94</w:t>
      </w:r>
    </w:p>
    <w:p>
      <w:pPr>
        <w:spacing w:before="95"/>
        <w:ind w:left="2300" w:right="0" w:firstLine="0"/>
        <w:jc w:val="left"/>
        <w:rPr>
          <w:sz w:val="12"/>
        </w:rPr>
      </w:pPr>
      <w:r>
        <w:rPr/>
        <w:br w:type="column"/>
      </w:r>
      <w:r>
        <w:rPr>
          <w:sz w:val="12"/>
        </w:rPr>
        <w:t>0</w:t>
      </w:r>
    </w:p>
    <w:p>
      <w:pPr>
        <w:spacing w:before="24"/>
        <w:ind w:left="79" w:right="0" w:firstLine="0"/>
        <w:jc w:val="left"/>
        <w:rPr>
          <w:sz w:val="12"/>
        </w:rPr>
      </w:pPr>
      <w:r>
        <w:rPr>
          <w:sz w:val="12"/>
        </w:rPr>
        <w:t>96 98 100 102 104 106 108 110 112 114</w:t>
      </w:r>
    </w:p>
    <w:p>
      <w:pPr>
        <w:spacing w:before="35"/>
        <w:ind w:left="286" w:right="0" w:firstLine="0"/>
        <w:jc w:val="left"/>
        <w:rPr>
          <w:sz w:val="12"/>
        </w:rPr>
      </w:pPr>
      <w:r>
        <w:rPr>
          <w:sz w:val="12"/>
        </w:rPr>
        <w:t>Range of forecasts</w:t>
      </w:r>
    </w:p>
    <w:p>
      <w:pPr>
        <w:spacing w:after="0"/>
        <w:jc w:val="left"/>
        <w:rPr>
          <w:sz w:val="12"/>
        </w:rPr>
        <w:sectPr>
          <w:type w:val="continuous"/>
          <w:pgSz w:w="11900" w:h="16840"/>
          <w:pgMar w:top="1260" w:bottom="280" w:left="640" w:right="640"/>
          <w:cols w:num="3" w:equalWidth="0">
            <w:col w:w="624" w:space="40"/>
            <w:col w:w="421" w:space="39"/>
            <w:col w:w="9496"/>
          </w:cols>
        </w:sectPr>
      </w:pPr>
    </w:p>
    <w:p>
      <w:pPr>
        <w:spacing w:before="101"/>
        <w:ind w:left="194" w:right="0" w:firstLine="0"/>
        <w:jc w:val="left"/>
        <w:rPr>
          <w:sz w:val="12"/>
        </w:rPr>
      </w:pPr>
      <w:r>
        <w:rPr>
          <w:sz w:val="12"/>
        </w:rPr>
        <w:t>Source: Survey of 23 outside forecasters as of 6 November 2000.</w:t>
      </w:r>
    </w:p>
    <w:p>
      <w:pPr>
        <w:spacing w:after="0"/>
        <w:jc w:val="left"/>
        <w:rPr>
          <w:sz w:val="12"/>
        </w:rPr>
        <w:sectPr>
          <w:type w:val="continuous"/>
          <w:pgSz w:w="11900" w:h="16840"/>
          <w:pgMar w:top="1260" w:bottom="28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spacing w:before="6"/>
        <w:rPr>
          <w:sz w:val="29"/>
        </w:rPr>
      </w:pPr>
    </w:p>
    <w:p>
      <w:pPr>
        <w:spacing w:after="0"/>
        <w:rPr>
          <w:sz w:val="29"/>
        </w:rPr>
        <w:sectPr>
          <w:headerReference w:type="default" r:id="rId211"/>
          <w:footerReference w:type="default" r:id="rId212"/>
          <w:footerReference w:type="even" r:id="rId213"/>
          <w:pgSz w:w="11900" w:h="16840"/>
          <w:pgMar w:header="0" w:footer="612" w:top="800" w:bottom="800" w:left="640" w:right="640"/>
          <w:pgNumType w:start="71"/>
        </w:sectPr>
      </w:pPr>
    </w:p>
    <w:p>
      <w:pPr>
        <w:spacing w:line="409" w:lineRule="exact" w:before="85"/>
        <w:ind w:left="183" w:right="0" w:firstLine="0"/>
        <w:jc w:val="left"/>
        <w:rPr>
          <w:b/>
          <w:sz w:val="36"/>
        </w:rPr>
      </w:pPr>
      <w:bookmarkStart w:name="Agent's summary of business conditions" w:id="85"/>
      <w:bookmarkEnd w:id="85"/>
      <w:r>
        <w:rPr/>
      </w:r>
      <w:bookmarkStart w:name="_bookmark38" w:id="86"/>
      <w:bookmarkEnd w:id="86"/>
      <w:r>
        <w:rPr/>
      </w:r>
      <w:r>
        <w:rPr>
          <w:b/>
          <w:color w:val="006CB4"/>
          <w:sz w:val="36"/>
        </w:rPr>
        <w:t>BANK OF ENGLAND</w:t>
      </w:r>
    </w:p>
    <w:p>
      <w:pPr>
        <w:pStyle w:val="Heading2"/>
        <w:spacing w:line="249" w:lineRule="auto" w:before="0"/>
        <w:ind w:left="183" w:right="15"/>
      </w:pPr>
      <w:r>
        <w:rPr>
          <w:color w:val="006CB4"/>
          <w:spacing w:val="-5"/>
        </w:rPr>
        <w:t>AGENTS’ </w:t>
      </w:r>
      <w:r>
        <w:rPr>
          <w:color w:val="006CB4"/>
          <w:spacing w:val="-4"/>
        </w:rPr>
        <w:t>SUMMARY </w:t>
      </w:r>
      <w:r>
        <w:rPr>
          <w:color w:val="006CB4"/>
        </w:rPr>
        <w:t>OF BUSINESS CONDITIONS</w:t>
      </w:r>
    </w:p>
    <w:p>
      <w:pPr>
        <w:pStyle w:val="BodyText"/>
        <w:rPr>
          <w:b/>
          <w:sz w:val="26"/>
        </w:rPr>
      </w:pPr>
      <w:r>
        <w:rPr/>
        <w:br w:type="column"/>
      </w:r>
      <w:r>
        <w:rPr>
          <w:b/>
          <w:sz w:val="26"/>
        </w:rPr>
      </w:r>
    </w:p>
    <w:p>
      <w:pPr>
        <w:pStyle w:val="BodyText"/>
        <w:rPr>
          <w:b/>
          <w:sz w:val="26"/>
        </w:rPr>
      </w:pPr>
    </w:p>
    <w:p>
      <w:pPr>
        <w:pStyle w:val="BodyText"/>
        <w:rPr>
          <w:b/>
          <w:sz w:val="26"/>
        </w:rPr>
      </w:pPr>
    </w:p>
    <w:p>
      <w:pPr>
        <w:pStyle w:val="BodyText"/>
        <w:spacing w:before="11"/>
        <w:rPr>
          <w:b/>
          <w:sz w:val="32"/>
        </w:rPr>
      </w:pPr>
    </w:p>
    <w:p>
      <w:pPr>
        <w:pStyle w:val="Heading6"/>
        <w:ind w:left="183"/>
      </w:pPr>
      <w:r>
        <w:rPr>
          <w:color w:val="006CB4"/>
        </w:rPr>
        <w:t>November 2000</w:t>
      </w:r>
    </w:p>
    <w:p>
      <w:pPr>
        <w:spacing w:after="0"/>
        <w:sectPr>
          <w:type w:val="continuous"/>
          <w:pgSz w:w="11900" w:h="16840"/>
          <w:pgMar w:top="1260" w:bottom="280" w:left="640" w:right="640"/>
          <w:cols w:num="2" w:equalWidth="0">
            <w:col w:w="5754" w:space="2937"/>
            <w:col w:w="1929"/>
          </w:cols>
        </w:sectPr>
      </w:pPr>
    </w:p>
    <w:p>
      <w:pPr>
        <w:pStyle w:val="BodyText"/>
        <w:rPr>
          <w:b/>
          <w:sz w:val="20"/>
        </w:rPr>
      </w:pPr>
    </w:p>
    <w:p>
      <w:pPr>
        <w:pStyle w:val="BodyText"/>
        <w:rPr>
          <w:b/>
          <w:sz w:val="20"/>
        </w:rPr>
      </w:pPr>
    </w:p>
    <w:p>
      <w:pPr>
        <w:pStyle w:val="BodyText"/>
        <w:spacing w:before="10" w:after="1"/>
        <w:rPr>
          <w:b/>
          <w:sz w:val="26"/>
        </w:rPr>
      </w:pPr>
    </w:p>
    <w:p>
      <w:pPr>
        <w:pStyle w:val="BodyText"/>
        <w:ind w:left="176"/>
        <w:rPr>
          <w:sz w:val="20"/>
        </w:rPr>
      </w:pPr>
      <w:r>
        <w:rPr>
          <w:position w:val="0"/>
          <w:sz w:val="20"/>
        </w:rPr>
        <w:pict>
          <v:shape style="width:515.9pt;height:103pt;mso-position-horizontal-relative:char;mso-position-vertical-relative:line" type="#_x0000_t202" filled="false" stroked="true" strokeweight="1pt" strokecolor="#006cb4">
            <w10:anchorlock/>
            <v:textbox inset="0,0,0,0">
              <w:txbxContent>
                <w:p>
                  <w:pPr>
                    <w:spacing w:line="249" w:lineRule="auto" w:before="146"/>
                    <w:ind w:left="250" w:right="226" w:firstLine="0"/>
                    <w:jc w:val="left"/>
                    <w:rPr>
                      <w:i/>
                      <w:sz w:val="22"/>
                    </w:rPr>
                  </w:pPr>
                  <w:r>
                    <w:rPr>
                      <w:i/>
                      <w:sz w:val="22"/>
                    </w:rPr>
                    <w:t>This publication is a summary of monthly reports compiled by the Bank of England’s Agents,</w:t>
                  </w:r>
                  <w:r>
                    <w:rPr>
                      <w:position w:val="5"/>
                      <w:sz w:val="16"/>
                    </w:rPr>
                    <w:t>(1) </w:t>
                  </w:r>
                  <w:r>
                    <w:rPr>
                      <w:i/>
                      <w:sz w:val="22"/>
                    </w:rPr>
                    <w:t>following </w:t>
                  </w:r>
                  <w:r>
                    <w:rPr>
                      <w:i/>
                      <w:sz w:val="22"/>
                    </w:rPr>
                    <w:t>discussions with </w:t>
                  </w:r>
                  <w:r>
                    <w:rPr>
                      <w:i/>
                      <w:spacing w:val="-3"/>
                      <w:sz w:val="22"/>
                    </w:rPr>
                    <w:t>around </w:t>
                  </w:r>
                  <w:r>
                    <w:rPr>
                      <w:i/>
                      <w:sz w:val="22"/>
                    </w:rPr>
                    <w:t>1,700 businesses in the period between mid-July and </w:t>
                  </w:r>
                  <w:r>
                    <w:rPr>
                      <w:i/>
                      <w:spacing w:val="-3"/>
                      <w:sz w:val="22"/>
                    </w:rPr>
                    <w:t>mid-October. </w:t>
                  </w:r>
                  <w:r>
                    <w:rPr>
                      <w:i/>
                      <w:sz w:val="22"/>
                    </w:rPr>
                    <w:t>It </w:t>
                  </w:r>
                  <w:r>
                    <w:rPr>
                      <w:i/>
                      <w:spacing w:val="-3"/>
                      <w:sz w:val="22"/>
                    </w:rPr>
                    <w:t>provides </w:t>
                  </w:r>
                  <w:r>
                    <w:rPr>
                      <w:i/>
                      <w:sz w:val="22"/>
                    </w:rPr>
                    <w:t>information on the state of business conditions, </w:t>
                  </w:r>
                  <w:r>
                    <w:rPr>
                      <w:i/>
                      <w:spacing w:val="-3"/>
                      <w:sz w:val="22"/>
                    </w:rPr>
                    <w:t>from </w:t>
                  </w:r>
                  <w:r>
                    <w:rPr>
                      <w:i/>
                      <w:sz w:val="22"/>
                    </w:rPr>
                    <w:t>firms </w:t>
                  </w:r>
                  <w:r>
                    <w:rPr>
                      <w:i/>
                      <w:spacing w:val="-3"/>
                      <w:sz w:val="22"/>
                    </w:rPr>
                    <w:t>across </w:t>
                  </w:r>
                  <w:r>
                    <w:rPr>
                      <w:i/>
                      <w:sz w:val="22"/>
                    </w:rPr>
                    <w:t>all sectors of the </w:t>
                  </w:r>
                  <w:r>
                    <w:rPr>
                      <w:i/>
                      <w:spacing w:val="-3"/>
                      <w:sz w:val="22"/>
                    </w:rPr>
                    <w:t>economy. </w:t>
                  </w:r>
                  <w:r>
                    <w:rPr>
                      <w:i/>
                      <w:sz w:val="22"/>
                    </w:rPr>
                    <w:t>The </w:t>
                  </w:r>
                  <w:r>
                    <w:rPr>
                      <w:i/>
                      <w:spacing w:val="-3"/>
                      <w:sz w:val="22"/>
                    </w:rPr>
                    <w:t>report </w:t>
                  </w:r>
                  <w:r>
                    <w:rPr>
                      <w:i/>
                      <w:sz w:val="22"/>
                    </w:rPr>
                    <w:t>does not </w:t>
                  </w:r>
                  <w:r>
                    <w:rPr>
                      <w:i/>
                      <w:spacing w:val="-3"/>
                      <w:sz w:val="22"/>
                    </w:rPr>
                    <w:t>represent </w:t>
                  </w:r>
                  <w:r>
                    <w:rPr>
                      <w:i/>
                      <w:sz w:val="22"/>
                    </w:rPr>
                    <w:t>the </w:t>
                  </w:r>
                  <w:r>
                    <w:rPr>
                      <w:i/>
                      <w:spacing w:val="-3"/>
                      <w:sz w:val="22"/>
                    </w:rPr>
                    <w:t>Bank’s </w:t>
                  </w:r>
                  <w:r>
                    <w:rPr>
                      <w:i/>
                      <w:sz w:val="22"/>
                    </w:rPr>
                    <w:t>own views, nor does it </w:t>
                  </w:r>
                  <w:r>
                    <w:rPr>
                      <w:i/>
                      <w:spacing w:val="-3"/>
                      <w:sz w:val="22"/>
                    </w:rPr>
                    <w:t>represent </w:t>
                  </w:r>
                  <w:r>
                    <w:rPr>
                      <w:i/>
                      <w:sz w:val="22"/>
                    </w:rPr>
                    <w:t>the views of any particular firm or </w:t>
                  </w:r>
                  <w:r>
                    <w:rPr>
                      <w:i/>
                      <w:spacing w:val="-4"/>
                      <w:sz w:val="22"/>
                    </w:rPr>
                    <w:t>region. </w:t>
                  </w:r>
                  <w:r>
                    <w:rPr>
                      <w:i/>
                      <w:sz w:val="22"/>
                    </w:rPr>
                    <w:t>The </w:t>
                  </w:r>
                  <w:r>
                    <w:rPr>
                      <w:i/>
                      <w:spacing w:val="-3"/>
                      <w:sz w:val="22"/>
                    </w:rPr>
                    <w:t>Bank’s </w:t>
                  </w:r>
                  <w:r>
                    <w:rPr>
                      <w:i/>
                      <w:sz w:val="22"/>
                    </w:rPr>
                    <w:t>Monetary </w:t>
                  </w:r>
                  <w:r>
                    <w:rPr>
                      <w:i/>
                      <w:spacing w:val="-4"/>
                      <w:sz w:val="22"/>
                    </w:rPr>
                    <w:t>Policy </w:t>
                  </w:r>
                  <w:r>
                    <w:rPr>
                      <w:i/>
                      <w:sz w:val="22"/>
                    </w:rPr>
                    <w:t>Committee uses the intelligence </w:t>
                  </w:r>
                  <w:r>
                    <w:rPr>
                      <w:i/>
                      <w:spacing w:val="-3"/>
                      <w:sz w:val="22"/>
                    </w:rPr>
                    <w:t>provided </w:t>
                  </w:r>
                  <w:r>
                    <w:rPr>
                      <w:i/>
                      <w:sz w:val="22"/>
                    </w:rPr>
                    <w:t>by the Agents, in conjunction with information </w:t>
                  </w:r>
                  <w:r>
                    <w:rPr>
                      <w:i/>
                      <w:spacing w:val="-4"/>
                      <w:sz w:val="22"/>
                    </w:rPr>
                    <w:t>from </w:t>
                  </w:r>
                  <w:r>
                    <w:rPr>
                      <w:i/>
                      <w:sz w:val="22"/>
                    </w:rPr>
                    <w:t>other sources, to assist its understanding and assessment of current economic</w:t>
                  </w:r>
                  <w:r>
                    <w:rPr>
                      <w:i/>
                      <w:spacing w:val="-29"/>
                      <w:sz w:val="22"/>
                    </w:rPr>
                    <w:t> </w:t>
                  </w:r>
                  <w:r>
                    <w:rPr>
                      <w:i/>
                      <w:sz w:val="22"/>
                    </w:rPr>
                    <w:t>conditions.</w:t>
                  </w:r>
                </w:p>
              </w:txbxContent>
            </v:textbox>
            <v:stroke dashstyle="solid"/>
          </v:shape>
        </w:pict>
      </w:r>
      <w:r>
        <w:rPr>
          <w:position w:val="0"/>
          <w:sz w:val="20"/>
        </w:rPr>
      </w:r>
    </w:p>
    <w:p>
      <w:pPr>
        <w:pStyle w:val="ListParagraph"/>
        <w:numPr>
          <w:ilvl w:val="0"/>
          <w:numId w:val="47"/>
        </w:numPr>
        <w:tabs>
          <w:tab w:pos="645" w:val="left" w:leader="none"/>
          <w:tab w:pos="646" w:val="left" w:leader="none"/>
        </w:tabs>
        <w:spacing w:line="247" w:lineRule="auto" w:before="148" w:after="0"/>
        <w:ind w:left="645" w:right="594" w:hanging="480"/>
        <w:jc w:val="left"/>
        <w:rPr>
          <w:sz w:val="22"/>
        </w:rPr>
      </w:pPr>
      <w:r>
        <w:rPr>
          <w:sz w:val="22"/>
        </w:rPr>
        <w:t>Manufacturing output growth picked up moderately during the period in most regions—predominantly reflecting an improvement in external demand. </w:t>
      </w:r>
      <w:r>
        <w:rPr>
          <w:spacing w:val="-3"/>
          <w:sz w:val="22"/>
        </w:rPr>
        <w:t>Within </w:t>
      </w:r>
      <w:r>
        <w:rPr>
          <w:sz w:val="22"/>
        </w:rPr>
        <w:t>manufacturing, the diverging performance between industries remained a prominent</w:t>
      </w:r>
      <w:r>
        <w:rPr>
          <w:spacing w:val="-6"/>
          <w:sz w:val="22"/>
        </w:rPr>
        <w:t> </w:t>
      </w:r>
      <w:r>
        <w:rPr>
          <w:sz w:val="22"/>
        </w:rPr>
        <w:t>theme.</w:t>
      </w:r>
    </w:p>
    <w:p>
      <w:pPr>
        <w:pStyle w:val="BodyText"/>
        <w:spacing w:before="5"/>
        <w:rPr>
          <w:sz w:val="22"/>
        </w:rPr>
      </w:pPr>
    </w:p>
    <w:p>
      <w:pPr>
        <w:pStyle w:val="ListParagraph"/>
        <w:numPr>
          <w:ilvl w:val="0"/>
          <w:numId w:val="47"/>
        </w:numPr>
        <w:tabs>
          <w:tab w:pos="645" w:val="left" w:leader="none"/>
          <w:tab w:pos="646" w:val="left" w:leader="none"/>
        </w:tabs>
        <w:spacing w:line="247" w:lineRule="auto" w:before="0" w:after="0"/>
        <w:ind w:left="645" w:right="665" w:hanging="480"/>
        <w:jc w:val="left"/>
        <w:rPr>
          <w:sz w:val="22"/>
        </w:rPr>
      </w:pPr>
      <w:r>
        <w:rPr>
          <w:sz w:val="22"/>
        </w:rPr>
        <w:t>Overall, construction growth remained firm. In many regions, a </w:t>
      </w:r>
      <w:r>
        <w:rPr>
          <w:spacing w:val="-3"/>
          <w:sz w:val="22"/>
        </w:rPr>
        <w:t>slowdown </w:t>
      </w:r>
      <w:r>
        <w:rPr>
          <w:sz w:val="22"/>
        </w:rPr>
        <w:t>in residential construction was offset by stronger growth in commercial and public</w:t>
      </w:r>
      <w:r>
        <w:rPr>
          <w:spacing w:val="-15"/>
          <w:sz w:val="22"/>
        </w:rPr>
        <w:t> </w:t>
      </w:r>
      <w:r>
        <w:rPr>
          <w:sz w:val="22"/>
        </w:rPr>
        <w:t>construction.</w:t>
      </w:r>
    </w:p>
    <w:p>
      <w:pPr>
        <w:pStyle w:val="BodyText"/>
        <w:spacing w:before="6"/>
        <w:rPr>
          <w:sz w:val="22"/>
        </w:rPr>
      </w:pPr>
    </w:p>
    <w:p>
      <w:pPr>
        <w:pStyle w:val="ListParagraph"/>
        <w:numPr>
          <w:ilvl w:val="0"/>
          <w:numId w:val="47"/>
        </w:numPr>
        <w:tabs>
          <w:tab w:pos="645" w:val="left" w:leader="none"/>
          <w:tab w:pos="646" w:val="left" w:leader="none"/>
        </w:tabs>
        <w:spacing w:line="247" w:lineRule="auto" w:before="0" w:after="0"/>
        <w:ind w:left="645" w:right="584" w:hanging="480"/>
        <w:jc w:val="left"/>
        <w:rPr>
          <w:sz w:val="22"/>
        </w:rPr>
      </w:pPr>
      <w:r>
        <w:rPr>
          <w:sz w:val="22"/>
        </w:rPr>
        <w:t>Service sector growth eased slightly during the period, </w:t>
      </w:r>
      <w:r>
        <w:rPr>
          <w:spacing w:val="-3"/>
          <w:sz w:val="22"/>
        </w:rPr>
        <w:t>driven </w:t>
      </w:r>
      <w:r>
        <w:rPr>
          <w:sz w:val="22"/>
        </w:rPr>
        <w:t>by a further </w:t>
      </w:r>
      <w:r>
        <w:rPr>
          <w:spacing w:val="-3"/>
          <w:sz w:val="22"/>
        </w:rPr>
        <w:t>slowdown </w:t>
      </w:r>
      <w:r>
        <w:rPr>
          <w:sz w:val="22"/>
        </w:rPr>
        <w:t>in consumer services, particularly UK tourism. Most areas of business services continued to record strong</w:t>
      </w:r>
      <w:r>
        <w:rPr>
          <w:spacing w:val="-39"/>
          <w:sz w:val="22"/>
        </w:rPr>
        <w:t> </w:t>
      </w:r>
      <w:r>
        <w:rPr>
          <w:sz w:val="22"/>
        </w:rPr>
        <w:t>growth.</w:t>
      </w:r>
    </w:p>
    <w:p>
      <w:pPr>
        <w:pStyle w:val="BodyText"/>
        <w:spacing w:before="6"/>
        <w:rPr>
          <w:sz w:val="22"/>
        </w:rPr>
      </w:pPr>
    </w:p>
    <w:p>
      <w:pPr>
        <w:pStyle w:val="ListParagraph"/>
        <w:numPr>
          <w:ilvl w:val="0"/>
          <w:numId w:val="47"/>
        </w:numPr>
        <w:tabs>
          <w:tab w:pos="645" w:val="left" w:leader="none"/>
          <w:tab w:pos="646" w:val="left" w:leader="none"/>
        </w:tabs>
        <w:spacing w:line="247" w:lineRule="auto" w:before="0" w:after="0"/>
        <w:ind w:left="645" w:right="662" w:hanging="480"/>
        <w:jc w:val="left"/>
        <w:rPr>
          <w:sz w:val="22"/>
        </w:rPr>
      </w:pPr>
      <w:r>
        <w:rPr>
          <w:sz w:val="22"/>
        </w:rPr>
        <w:t>Annual</w:t>
      </w:r>
      <w:r>
        <w:rPr>
          <w:spacing w:val="-6"/>
          <w:sz w:val="22"/>
        </w:rPr>
        <w:t> </w:t>
      </w:r>
      <w:r>
        <w:rPr>
          <w:sz w:val="22"/>
        </w:rPr>
        <w:t>growth</w:t>
      </w:r>
      <w:r>
        <w:rPr>
          <w:spacing w:val="-5"/>
          <w:sz w:val="22"/>
        </w:rPr>
        <w:t> </w:t>
      </w:r>
      <w:r>
        <w:rPr>
          <w:sz w:val="22"/>
        </w:rPr>
        <w:t>in</w:t>
      </w:r>
      <w:r>
        <w:rPr>
          <w:spacing w:val="-6"/>
          <w:sz w:val="22"/>
        </w:rPr>
        <w:t> </w:t>
      </w:r>
      <w:r>
        <w:rPr>
          <w:sz w:val="22"/>
        </w:rPr>
        <w:t>retail</w:t>
      </w:r>
      <w:r>
        <w:rPr>
          <w:spacing w:val="-5"/>
          <w:sz w:val="22"/>
        </w:rPr>
        <w:t> </w:t>
      </w:r>
      <w:r>
        <w:rPr>
          <w:sz w:val="22"/>
        </w:rPr>
        <w:t>sales</w:t>
      </w:r>
      <w:r>
        <w:rPr>
          <w:spacing w:val="-6"/>
          <w:sz w:val="22"/>
        </w:rPr>
        <w:t> </w:t>
      </w:r>
      <w:r>
        <w:rPr>
          <w:sz w:val="22"/>
        </w:rPr>
        <w:t>values</w:t>
      </w:r>
      <w:r>
        <w:rPr>
          <w:spacing w:val="-5"/>
          <w:sz w:val="22"/>
        </w:rPr>
        <w:t> </w:t>
      </w:r>
      <w:r>
        <w:rPr>
          <w:sz w:val="22"/>
        </w:rPr>
        <w:t>was</w:t>
      </w:r>
      <w:r>
        <w:rPr>
          <w:spacing w:val="-6"/>
          <w:sz w:val="22"/>
        </w:rPr>
        <w:t> </w:t>
      </w:r>
      <w:r>
        <w:rPr>
          <w:sz w:val="22"/>
        </w:rPr>
        <w:t>reported</w:t>
      </w:r>
      <w:r>
        <w:rPr>
          <w:spacing w:val="-5"/>
          <w:sz w:val="22"/>
        </w:rPr>
        <w:t> </w:t>
      </w:r>
      <w:r>
        <w:rPr>
          <w:sz w:val="22"/>
        </w:rPr>
        <w:t>to</w:t>
      </w:r>
      <w:r>
        <w:rPr>
          <w:spacing w:val="-6"/>
          <w:sz w:val="22"/>
        </w:rPr>
        <w:t> </w:t>
      </w:r>
      <w:r>
        <w:rPr>
          <w:spacing w:val="-3"/>
          <w:sz w:val="22"/>
        </w:rPr>
        <w:t>have</w:t>
      </w:r>
      <w:r>
        <w:rPr>
          <w:spacing w:val="-5"/>
          <w:sz w:val="22"/>
        </w:rPr>
        <w:t> </w:t>
      </w:r>
      <w:r>
        <w:rPr>
          <w:sz w:val="22"/>
        </w:rPr>
        <w:t>eased</w:t>
      </w:r>
      <w:r>
        <w:rPr>
          <w:spacing w:val="-5"/>
          <w:sz w:val="22"/>
        </w:rPr>
        <w:t> </w:t>
      </w:r>
      <w:r>
        <w:rPr>
          <w:sz w:val="22"/>
        </w:rPr>
        <w:t>slightly</w:t>
      </w:r>
      <w:r>
        <w:rPr>
          <w:spacing w:val="-6"/>
          <w:sz w:val="22"/>
        </w:rPr>
        <w:t> </w:t>
      </w:r>
      <w:r>
        <w:rPr>
          <w:sz w:val="22"/>
        </w:rPr>
        <w:t>in</w:t>
      </w:r>
      <w:r>
        <w:rPr>
          <w:spacing w:val="-5"/>
          <w:sz w:val="22"/>
        </w:rPr>
        <w:t> </w:t>
      </w:r>
      <w:r>
        <w:rPr>
          <w:sz w:val="22"/>
        </w:rPr>
        <w:t>most</w:t>
      </w:r>
      <w:r>
        <w:rPr>
          <w:spacing w:val="-6"/>
          <w:sz w:val="22"/>
        </w:rPr>
        <w:t> </w:t>
      </w:r>
      <w:r>
        <w:rPr>
          <w:sz w:val="22"/>
        </w:rPr>
        <w:t>regions</w:t>
      </w:r>
      <w:r>
        <w:rPr>
          <w:spacing w:val="-5"/>
          <w:sz w:val="22"/>
        </w:rPr>
        <w:t> </w:t>
      </w:r>
      <w:r>
        <w:rPr>
          <w:sz w:val="22"/>
        </w:rPr>
        <w:t>during</w:t>
      </w:r>
      <w:r>
        <w:rPr>
          <w:spacing w:val="-6"/>
          <w:sz w:val="22"/>
        </w:rPr>
        <w:t> </w:t>
      </w:r>
      <w:r>
        <w:rPr>
          <w:sz w:val="22"/>
        </w:rPr>
        <w:t>the</w:t>
      </w:r>
      <w:r>
        <w:rPr>
          <w:spacing w:val="-5"/>
          <w:sz w:val="22"/>
        </w:rPr>
        <w:t> </w:t>
      </w:r>
      <w:r>
        <w:rPr>
          <w:sz w:val="22"/>
        </w:rPr>
        <w:t>period. Despite further price cuts, sales of </w:t>
      </w:r>
      <w:r>
        <w:rPr>
          <w:spacing w:val="-3"/>
          <w:sz w:val="22"/>
        </w:rPr>
        <w:t>new </w:t>
      </w:r>
      <w:r>
        <w:rPr>
          <w:sz w:val="22"/>
        </w:rPr>
        <w:t>cars remained subdued. Growth in most other areas of consumer spending remained</w:t>
      </w:r>
      <w:r>
        <w:rPr>
          <w:spacing w:val="-3"/>
          <w:sz w:val="22"/>
        </w:rPr>
        <w:t> steady.</w:t>
      </w:r>
    </w:p>
    <w:p>
      <w:pPr>
        <w:pStyle w:val="BodyText"/>
        <w:spacing w:before="5"/>
        <w:rPr>
          <w:sz w:val="22"/>
        </w:rPr>
      </w:pPr>
    </w:p>
    <w:p>
      <w:pPr>
        <w:pStyle w:val="ListParagraph"/>
        <w:numPr>
          <w:ilvl w:val="0"/>
          <w:numId w:val="47"/>
        </w:numPr>
        <w:tabs>
          <w:tab w:pos="645" w:val="left" w:leader="none"/>
          <w:tab w:pos="646" w:val="left" w:leader="none"/>
        </w:tabs>
        <w:spacing w:line="247" w:lineRule="auto" w:before="1" w:after="0"/>
        <w:ind w:left="645" w:right="448" w:hanging="480"/>
        <w:jc w:val="left"/>
        <w:rPr>
          <w:sz w:val="22"/>
        </w:rPr>
      </w:pPr>
      <w:r>
        <w:rPr>
          <w:sz w:val="22"/>
        </w:rPr>
        <w:t>Compared with the previous </w:t>
      </w:r>
      <w:r>
        <w:rPr>
          <w:i/>
          <w:sz w:val="22"/>
        </w:rPr>
        <w:t>Agents’ Summary</w:t>
      </w:r>
      <w:r>
        <w:rPr>
          <w:sz w:val="22"/>
        </w:rPr>
        <w:t>, export volume growth strengthened in most regions, particularly to the United States. But despite the improvement, most Agencies suggested that import growth continued to outstrip export</w:t>
      </w:r>
      <w:r>
        <w:rPr>
          <w:spacing w:val="-6"/>
          <w:sz w:val="22"/>
        </w:rPr>
        <w:t> </w:t>
      </w:r>
      <w:r>
        <w:rPr>
          <w:sz w:val="22"/>
        </w:rPr>
        <w:t>growth.</w:t>
      </w:r>
    </w:p>
    <w:p>
      <w:pPr>
        <w:pStyle w:val="BodyText"/>
        <w:spacing w:before="5"/>
        <w:rPr>
          <w:sz w:val="22"/>
        </w:rPr>
      </w:pPr>
    </w:p>
    <w:p>
      <w:pPr>
        <w:pStyle w:val="ListParagraph"/>
        <w:numPr>
          <w:ilvl w:val="0"/>
          <w:numId w:val="47"/>
        </w:numPr>
        <w:tabs>
          <w:tab w:pos="645" w:val="left" w:leader="none"/>
          <w:tab w:pos="646" w:val="left" w:leader="none"/>
        </w:tabs>
        <w:spacing w:line="247" w:lineRule="auto" w:before="0" w:after="0"/>
        <w:ind w:left="645" w:right="177" w:hanging="480"/>
        <w:jc w:val="left"/>
        <w:rPr>
          <w:sz w:val="22"/>
        </w:rPr>
      </w:pPr>
      <w:r>
        <w:rPr>
          <w:sz w:val="22"/>
        </w:rPr>
        <w:t>Investment</w:t>
      </w:r>
      <w:r>
        <w:rPr>
          <w:spacing w:val="-10"/>
          <w:sz w:val="22"/>
        </w:rPr>
        <w:t> </w:t>
      </w:r>
      <w:r>
        <w:rPr>
          <w:sz w:val="22"/>
        </w:rPr>
        <w:t>intentions</w:t>
      </w:r>
      <w:r>
        <w:rPr>
          <w:spacing w:val="-9"/>
          <w:sz w:val="22"/>
        </w:rPr>
        <w:t> </w:t>
      </w:r>
      <w:r>
        <w:rPr>
          <w:sz w:val="22"/>
        </w:rPr>
        <w:t>in</w:t>
      </w:r>
      <w:r>
        <w:rPr>
          <w:spacing w:val="-9"/>
          <w:sz w:val="22"/>
        </w:rPr>
        <w:t> </w:t>
      </w:r>
      <w:r>
        <w:rPr>
          <w:sz w:val="22"/>
        </w:rPr>
        <w:t>the</w:t>
      </w:r>
      <w:r>
        <w:rPr>
          <w:spacing w:val="-9"/>
          <w:sz w:val="22"/>
        </w:rPr>
        <w:t> </w:t>
      </w:r>
      <w:r>
        <w:rPr>
          <w:sz w:val="22"/>
        </w:rPr>
        <w:t>manufacturing</w:t>
      </w:r>
      <w:r>
        <w:rPr>
          <w:spacing w:val="-9"/>
          <w:sz w:val="22"/>
        </w:rPr>
        <w:t> </w:t>
      </w:r>
      <w:r>
        <w:rPr>
          <w:sz w:val="22"/>
        </w:rPr>
        <w:t>sector</w:t>
      </w:r>
      <w:r>
        <w:rPr>
          <w:spacing w:val="-9"/>
          <w:sz w:val="22"/>
        </w:rPr>
        <w:t> </w:t>
      </w:r>
      <w:r>
        <w:rPr>
          <w:sz w:val="22"/>
        </w:rPr>
        <w:t>deteriorated</w:t>
      </w:r>
      <w:r>
        <w:rPr>
          <w:spacing w:val="-9"/>
          <w:sz w:val="22"/>
        </w:rPr>
        <w:t> </w:t>
      </w:r>
      <w:r>
        <w:rPr>
          <w:sz w:val="22"/>
        </w:rPr>
        <w:t>further</w:t>
      </w:r>
      <w:r>
        <w:rPr>
          <w:spacing w:val="-9"/>
          <w:sz w:val="22"/>
        </w:rPr>
        <w:t> </w:t>
      </w:r>
      <w:r>
        <w:rPr>
          <w:sz w:val="22"/>
        </w:rPr>
        <w:t>in</w:t>
      </w:r>
      <w:r>
        <w:rPr>
          <w:spacing w:val="-9"/>
          <w:sz w:val="22"/>
        </w:rPr>
        <w:t> </w:t>
      </w:r>
      <w:r>
        <w:rPr>
          <w:sz w:val="22"/>
        </w:rPr>
        <w:t>most</w:t>
      </w:r>
      <w:r>
        <w:rPr>
          <w:spacing w:val="-9"/>
          <w:sz w:val="22"/>
        </w:rPr>
        <w:t> </w:t>
      </w:r>
      <w:r>
        <w:rPr>
          <w:sz w:val="22"/>
        </w:rPr>
        <w:t>regions—largely</w:t>
      </w:r>
      <w:r>
        <w:rPr>
          <w:spacing w:val="-9"/>
          <w:sz w:val="22"/>
        </w:rPr>
        <w:t> </w:t>
      </w:r>
      <w:r>
        <w:rPr>
          <w:sz w:val="22"/>
        </w:rPr>
        <w:t>reflecting</w:t>
      </w:r>
      <w:r>
        <w:rPr>
          <w:spacing w:val="-9"/>
          <w:sz w:val="22"/>
        </w:rPr>
        <w:t> </w:t>
      </w:r>
      <w:r>
        <w:rPr>
          <w:sz w:val="22"/>
        </w:rPr>
        <w:t>lower profitability and the increased attractiveness of alternative overseas locations. By contrast, service sector investment remained</w:t>
      </w:r>
      <w:r>
        <w:rPr>
          <w:spacing w:val="-3"/>
          <w:sz w:val="22"/>
        </w:rPr>
        <w:t> </w:t>
      </w:r>
      <w:r>
        <w:rPr>
          <w:sz w:val="22"/>
        </w:rPr>
        <w:t>strong.</w:t>
      </w:r>
    </w:p>
    <w:p>
      <w:pPr>
        <w:pStyle w:val="BodyText"/>
        <w:spacing w:before="5"/>
        <w:rPr>
          <w:sz w:val="22"/>
        </w:rPr>
      </w:pPr>
    </w:p>
    <w:p>
      <w:pPr>
        <w:pStyle w:val="ListParagraph"/>
        <w:numPr>
          <w:ilvl w:val="0"/>
          <w:numId w:val="47"/>
        </w:numPr>
        <w:tabs>
          <w:tab w:pos="645" w:val="left" w:leader="none"/>
          <w:tab w:pos="646" w:val="left" w:leader="none"/>
        </w:tabs>
        <w:spacing w:line="247" w:lineRule="auto" w:before="0" w:after="0"/>
        <w:ind w:left="645" w:right="150" w:hanging="480"/>
        <w:jc w:val="left"/>
        <w:rPr>
          <w:sz w:val="22"/>
        </w:rPr>
      </w:pPr>
      <w:r>
        <w:rPr>
          <w:sz w:val="22"/>
        </w:rPr>
        <w:t>Input price inflation increased further during the period. Oil-related price increases continued to dominate discussions. But material cost increases remained difficult to pass along the supply chain.  </w:t>
      </w:r>
      <w:r>
        <w:rPr>
          <w:spacing w:val="-4"/>
          <w:sz w:val="22"/>
        </w:rPr>
        <w:t>However, </w:t>
      </w:r>
      <w:r>
        <w:rPr>
          <w:sz w:val="22"/>
        </w:rPr>
        <w:t>some firms suggested that continued improvements in productivity had eased pressure on margins to some degree. Service sector inflation softened </w:t>
      </w:r>
      <w:r>
        <w:rPr>
          <w:spacing w:val="-3"/>
          <w:sz w:val="22"/>
        </w:rPr>
        <w:t>slightly, </w:t>
      </w:r>
      <w:r>
        <w:rPr>
          <w:sz w:val="22"/>
        </w:rPr>
        <w:t>while the trend of flat or falling goods prices was maintained. Further falls were reported in </w:t>
      </w:r>
      <w:r>
        <w:rPr>
          <w:spacing w:val="-3"/>
          <w:sz w:val="22"/>
        </w:rPr>
        <w:t>new </w:t>
      </w:r>
      <w:r>
        <w:rPr>
          <w:sz w:val="22"/>
        </w:rPr>
        <w:t>and used car prices. House price inflation continued to slow in most</w:t>
      </w:r>
      <w:r>
        <w:rPr>
          <w:spacing w:val="-1"/>
          <w:sz w:val="22"/>
        </w:rPr>
        <w:t> </w:t>
      </w:r>
      <w:r>
        <w:rPr>
          <w:sz w:val="22"/>
        </w:rPr>
        <w:t>regions.</w:t>
      </w:r>
    </w:p>
    <w:p>
      <w:pPr>
        <w:pStyle w:val="BodyText"/>
        <w:spacing w:before="4"/>
        <w:rPr>
          <w:sz w:val="22"/>
        </w:rPr>
      </w:pPr>
    </w:p>
    <w:p>
      <w:pPr>
        <w:pStyle w:val="ListParagraph"/>
        <w:numPr>
          <w:ilvl w:val="0"/>
          <w:numId w:val="47"/>
        </w:numPr>
        <w:tabs>
          <w:tab w:pos="645" w:val="left" w:leader="none"/>
          <w:tab w:pos="646" w:val="left" w:leader="none"/>
        </w:tabs>
        <w:spacing w:line="247" w:lineRule="auto" w:before="0" w:after="0"/>
        <w:ind w:left="645" w:right="160" w:hanging="480"/>
        <w:jc w:val="left"/>
        <w:rPr>
          <w:sz w:val="22"/>
        </w:rPr>
      </w:pPr>
      <w:r>
        <w:rPr>
          <w:sz w:val="22"/>
        </w:rPr>
        <w:t>Skill shortages intensified in most regions during the period, after remaining broadly unchanged since the beginning of the </w:t>
      </w:r>
      <w:r>
        <w:rPr>
          <w:spacing w:val="-4"/>
          <w:sz w:val="22"/>
        </w:rPr>
        <w:t>year. </w:t>
      </w:r>
      <w:r>
        <w:rPr>
          <w:sz w:val="22"/>
        </w:rPr>
        <w:t>Settlements remained stable in most regions, although there were early signs of higher settlements late in the period—particularly in the southern regions. </w:t>
      </w:r>
      <w:r>
        <w:rPr>
          <w:spacing w:val="-5"/>
          <w:sz w:val="22"/>
        </w:rPr>
        <w:t>Total </w:t>
      </w:r>
      <w:r>
        <w:rPr>
          <w:sz w:val="22"/>
        </w:rPr>
        <w:t>earnings growth slowed during the period</w:t>
      </w:r>
      <w:r>
        <w:rPr>
          <w:spacing w:val="-6"/>
          <w:sz w:val="22"/>
        </w:rPr>
        <w:t> </w:t>
      </w:r>
      <w:r>
        <w:rPr>
          <w:sz w:val="22"/>
        </w:rPr>
        <w:t>in</w:t>
      </w:r>
      <w:r>
        <w:rPr>
          <w:spacing w:val="-6"/>
          <w:sz w:val="22"/>
        </w:rPr>
        <w:t> </w:t>
      </w:r>
      <w:r>
        <w:rPr>
          <w:sz w:val="22"/>
        </w:rPr>
        <w:t>both</w:t>
      </w:r>
      <w:r>
        <w:rPr>
          <w:spacing w:val="-5"/>
          <w:sz w:val="22"/>
        </w:rPr>
        <w:t> </w:t>
      </w:r>
      <w:r>
        <w:rPr>
          <w:sz w:val="22"/>
        </w:rPr>
        <w:t>the</w:t>
      </w:r>
      <w:r>
        <w:rPr>
          <w:spacing w:val="-6"/>
          <w:sz w:val="22"/>
        </w:rPr>
        <w:t> </w:t>
      </w:r>
      <w:r>
        <w:rPr>
          <w:sz w:val="22"/>
        </w:rPr>
        <w:t>manufacturing</w:t>
      </w:r>
      <w:r>
        <w:rPr>
          <w:spacing w:val="-6"/>
          <w:sz w:val="22"/>
        </w:rPr>
        <w:t> </w:t>
      </w:r>
      <w:r>
        <w:rPr>
          <w:sz w:val="22"/>
        </w:rPr>
        <w:t>and</w:t>
      </w:r>
      <w:r>
        <w:rPr>
          <w:spacing w:val="-5"/>
          <w:sz w:val="22"/>
        </w:rPr>
        <w:t> </w:t>
      </w:r>
      <w:r>
        <w:rPr>
          <w:sz w:val="22"/>
        </w:rPr>
        <w:t>service</w:t>
      </w:r>
      <w:r>
        <w:rPr>
          <w:spacing w:val="-6"/>
          <w:sz w:val="22"/>
        </w:rPr>
        <w:t> </w:t>
      </w:r>
      <w:r>
        <w:rPr>
          <w:sz w:val="22"/>
        </w:rPr>
        <w:t>sectors,</w:t>
      </w:r>
      <w:r>
        <w:rPr>
          <w:spacing w:val="-5"/>
          <w:sz w:val="22"/>
        </w:rPr>
        <w:t> </w:t>
      </w:r>
      <w:r>
        <w:rPr>
          <w:sz w:val="22"/>
        </w:rPr>
        <w:t>mostly</w:t>
      </w:r>
      <w:r>
        <w:rPr>
          <w:spacing w:val="-5"/>
          <w:sz w:val="22"/>
        </w:rPr>
        <w:t> </w:t>
      </w:r>
      <w:r>
        <w:rPr>
          <w:sz w:val="22"/>
        </w:rPr>
        <w:t>as</w:t>
      </w:r>
      <w:r>
        <w:rPr>
          <w:spacing w:val="-6"/>
          <w:sz w:val="22"/>
        </w:rPr>
        <w:t> </w:t>
      </w:r>
      <w:r>
        <w:rPr>
          <w:sz w:val="22"/>
        </w:rPr>
        <w:t>a</w:t>
      </w:r>
      <w:r>
        <w:rPr>
          <w:spacing w:val="-6"/>
          <w:sz w:val="22"/>
        </w:rPr>
        <w:t> </w:t>
      </w:r>
      <w:r>
        <w:rPr>
          <w:sz w:val="22"/>
        </w:rPr>
        <w:t>result</w:t>
      </w:r>
      <w:r>
        <w:rPr>
          <w:spacing w:val="-5"/>
          <w:sz w:val="22"/>
        </w:rPr>
        <w:t> </w:t>
      </w:r>
      <w:r>
        <w:rPr>
          <w:sz w:val="22"/>
        </w:rPr>
        <w:t>of</w:t>
      </w:r>
      <w:r>
        <w:rPr>
          <w:spacing w:val="-6"/>
          <w:sz w:val="22"/>
        </w:rPr>
        <w:t> </w:t>
      </w:r>
      <w:r>
        <w:rPr>
          <w:sz w:val="22"/>
        </w:rPr>
        <w:t>lower</w:t>
      </w:r>
      <w:r>
        <w:rPr>
          <w:spacing w:val="-6"/>
          <w:sz w:val="22"/>
        </w:rPr>
        <w:t> </w:t>
      </w:r>
      <w:r>
        <w:rPr>
          <w:sz w:val="22"/>
        </w:rPr>
        <w:t>bonus</w:t>
      </w:r>
      <w:r>
        <w:rPr>
          <w:spacing w:val="-5"/>
          <w:sz w:val="22"/>
        </w:rPr>
        <w:t> </w:t>
      </w:r>
      <w:r>
        <w:rPr>
          <w:sz w:val="22"/>
        </w:rPr>
        <w:t>payments</w:t>
      </w:r>
      <w:r>
        <w:rPr>
          <w:spacing w:val="-6"/>
          <w:sz w:val="22"/>
        </w:rPr>
        <w:t> </w:t>
      </w:r>
      <w:r>
        <w:rPr>
          <w:sz w:val="22"/>
        </w:rPr>
        <w:t>relative</w:t>
      </w:r>
      <w:r>
        <w:rPr>
          <w:spacing w:val="-6"/>
          <w:sz w:val="22"/>
        </w:rPr>
        <w:t> </w:t>
      </w:r>
      <w:r>
        <w:rPr>
          <w:sz w:val="22"/>
        </w:rPr>
        <w:t>to</w:t>
      </w:r>
      <w:r>
        <w:rPr>
          <w:spacing w:val="-5"/>
          <w:sz w:val="22"/>
        </w:rPr>
        <w:t> </w:t>
      </w:r>
      <w:r>
        <w:rPr>
          <w:sz w:val="22"/>
        </w:rPr>
        <w:t>last </w:t>
      </w:r>
      <w:r>
        <w:rPr>
          <w:spacing w:val="-4"/>
          <w:sz w:val="22"/>
        </w:rPr>
        <w:t>year. </w:t>
      </w:r>
      <w:r>
        <w:rPr>
          <w:sz w:val="22"/>
        </w:rPr>
        <w:t>There was little change in employment trends. Construction and service sector employment continued to rise </w:t>
      </w:r>
      <w:r>
        <w:rPr>
          <w:spacing w:val="-3"/>
          <w:sz w:val="22"/>
        </w:rPr>
        <w:t>steadily, </w:t>
      </w:r>
      <w:r>
        <w:rPr>
          <w:sz w:val="22"/>
        </w:rPr>
        <w:t>while manufacturing employment declined</w:t>
      </w:r>
      <w:r>
        <w:rPr>
          <w:spacing w:val="-5"/>
          <w:sz w:val="22"/>
        </w:rPr>
        <w:t> </w:t>
      </w:r>
      <w:r>
        <w:rPr>
          <w:spacing w:val="-3"/>
          <w:sz w:val="22"/>
        </w:rPr>
        <w:t>further.</w:t>
      </w:r>
    </w:p>
    <w:p>
      <w:pPr>
        <w:pStyle w:val="BodyText"/>
        <w:rPr>
          <w:sz w:val="20"/>
        </w:rPr>
      </w:pPr>
    </w:p>
    <w:p>
      <w:pPr>
        <w:pStyle w:val="BodyText"/>
        <w:spacing w:before="4"/>
        <w:rPr>
          <w:sz w:val="28"/>
        </w:rPr>
      </w:pPr>
      <w:r>
        <w:rPr/>
        <w:pict>
          <v:shape style="position:absolute;margin-left:39pt;margin-top:18.38187pt;width:517pt;height:.1pt;mso-position-horizontal-relative:page;mso-position-vertical-relative:paragraph;z-index:-15237632;mso-wrap-distance-left:0;mso-wrap-distance-right:0" coordorigin="780,368" coordsize="10340,0" path="m780,368l11120,368e" filled="false" stroked="true" strokeweight=".125pt" strokecolor="#000000">
            <v:path arrowok="t"/>
            <v:stroke dashstyle="solid"/>
            <w10:wrap type="topAndBottom"/>
          </v:shape>
        </w:pict>
      </w:r>
    </w:p>
    <w:p>
      <w:pPr>
        <w:spacing w:line="208" w:lineRule="auto" w:before="11"/>
        <w:ind w:left="415" w:right="341" w:hanging="240"/>
        <w:jc w:val="left"/>
        <w:rPr>
          <w:sz w:val="16"/>
        </w:rPr>
      </w:pPr>
      <w:r>
        <w:rPr>
          <w:sz w:val="16"/>
        </w:rPr>
        <w:t>(1) The Bank of England has Agencies for Central Southern England, the East Midlands, Greater London, the North East &amp; Cumbria, the North West, Northern Ireland, Scotland, the South East &amp; East Anglia, the South West, Wales, the West Midlands, and Yorkshire &amp; the Humber.</w:t>
      </w:r>
    </w:p>
    <w:p>
      <w:pPr>
        <w:spacing w:after="0" w:line="208" w:lineRule="auto"/>
        <w:jc w:val="left"/>
        <w:rPr>
          <w:sz w:val="16"/>
        </w:rPr>
        <w:sectPr>
          <w:type w:val="continuous"/>
          <w:pgSz w:w="11900" w:h="16840"/>
          <w:pgMar w:top="1260" w:bottom="280" w:left="640" w:right="640"/>
        </w:sectPr>
      </w:pPr>
    </w:p>
    <w:p>
      <w:pPr>
        <w:pStyle w:val="BodyText"/>
        <w:rPr>
          <w:sz w:val="20"/>
        </w:rPr>
      </w:pPr>
    </w:p>
    <w:p>
      <w:pPr>
        <w:spacing w:after="0"/>
        <w:rPr>
          <w:sz w:val="20"/>
        </w:rPr>
        <w:sectPr>
          <w:headerReference w:type="even" r:id="rId214"/>
          <w:pgSz w:w="11900" w:h="16840"/>
          <w:pgMar w:header="586" w:footer="592" w:top="780" w:bottom="780" w:left="640" w:right="640"/>
        </w:sectPr>
      </w:pPr>
    </w:p>
    <w:p>
      <w:pPr>
        <w:spacing w:before="233"/>
        <w:ind w:left="177" w:right="0" w:firstLine="0"/>
        <w:jc w:val="left"/>
        <w:rPr>
          <w:b/>
          <w:sz w:val="28"/>
        </w:rPr>
      </w:pPr>
      <w:r>
        <w:rPr>
          <w:b/>
          <w:color w:val="006CB4"/>
          <w:sz w:val="28"/>
        </w:rPr>
        <w:t>OUTPUT</w:t>
      </w:r>
    </w:p>
    <w:p>
      <w:pPr>
        <w:pStyle w:val="Heading5"/>
        <w:spacing w:before="252"/>
        <w:ind w:left="177"/>
        <w:rPr>
          <w:i/>
        </w:rPr>
      </w:pPr>
      <w:r>
        <w:rPr>
          <w:i/>
          <w:color w:val="006CB4"/>
        </w:rPr>
        <w:t>Primary production</w:t>
      </w:r>
    </w:p>
    <w:p>
      <w:pPr>
        <w:spacing w:line="247" w:lineRule="auto" w:before="209"/>
        <w:ind w:left="177" w:right="22" w:firstLine="0"/>
        <w:jc w:val="left"/>
        <w:rPr>
          <w:sz w:val="22"/>
        </w:rPr>
      </w:pPr>
      <w:r>
        <w:rPr>
          <w:sz w:val="22"/>
        </w:rPr>
        <w:t>Agricultural sector output was reported to have remained lower than a year ago, but was broadly unchanged compared with the previous quarter. But within the sector, there was much diversity in performance. The Agents suggested that livestock production recovered from a low base, although pig production in East Anglia was affected by swine fever restrictions. The quality of certain crops (eg potatoes and soft fruit) was affected by poor weather during the period. Looking forward, there are concerns that the continuation of the recent wet weather may have an adverse effect on crops to be harvested early next year. Many Agencies continued to cite dairy farming as one of the weakest sectors. Reports of farm consolidation (to achieve economies of scale) and business failures continued. Contacts continued to stress that farm incomes remained at historically low levels.</w:t>
      </w:r>
    </w:p>
    <w:p>
      <w:pPr>
        <w:pStyle w:val="BodyText"/>
        <w:spacing w:before="8"/>
        <w:rPr>
          <w:sz w:val="21"/>
        </w:rPr>
      </w:pPr>
    </w:p>
    <w:p>
      <w:pPr>
        <w:spacing w:line="247" w:lineRule="auto" w:before="0"/>
        <w:ind w:left="177" w:right="385" w:firstLine="0"/>
        <w:jc w:val="left"/>
        <w:rPr>
          <w:sz w:val="22"/>
        </w:rPr>
      </w:pPr>
      <w:r>
        <w:rPr>
          <w:sz w:val="22"/>
        </w:rPr>
        <w:t>Contacts in Scotland reported that oil and gas extraction remained lower than a year ago and had been constrained during the period by restructuring within the industry and summer maintenance.</w:t>
      </w:r>
    </w:p>
    <w:p>
      <w:pPr>
        <w:pStyle w:val="BodyText"/>
        <w:spacing w:before="3"/>
        <w:rPr>
          <w:sz w:val="26"/>
        </w:rPr>
      </w:pPr>
    </w:p>
    <w:p>
      <w:pPr>
        <w:pStyle w:val="Heading5"/>
        <w:ind w:left="177"/>
        <w:rPr>
          <w:i/>
        </w:rPr>
      </w:pPr>
      <w:r>
        <w:rPr>
          <w:i/>
          <w:color w:val="006CB4"/>
        </w:rPr>
        <w:t>Manufacturing</w:t>
      </w:r>
    </w:p>
    <w:p>
      <w:pPr>
        <w:spacing w:line="247" w:lineRule="auto" w:before="209"/>
        <w:ind w:left="177" w:right="22" w:firstLine="0"/>
        <w:jc w:val="left"/>
        <w:rPr>
          <w:sz w:val="22"/>
        </w:rPr>
      </w:pPr>
      <w:r>
        <w:rPr>
          <w:sz w:val="22"/>
        </w:rPr>
        <w:t>Reports suggested that manufacturing output growth picked up modestly throughout the period in most regions, after slowing since the beginning of the year. In most cases, this was predominantly driven by a recovery in exports, though domestic demand also strengthened recently in some regions. The majority of contacts reported that the petrol disruption in</w:t>
      </w:r>
    </w:p>
    <w:p>
      <w:pPr>
        <w:spacing w:line="247" w:lineRule="auto" w:before="0"/>
        <w:ind w:left="177" w:right="0" w:firstLine="0"/>
        <w:jc w:val="left"/>
        <w:rPr>
          <w:sz w:val="22"/>
        </w:rPr>
      </w:pPr>
      <w:r>
        <w:rPr>
          <w:sz w:val="22"/>
        </w:rPr>
        <w:t>mid-September had minimal impact on production. Order books also improved during the period in most regions, particularly for exports. But confidence remained fragile in most regions (particularly in Yorkshire, the Midlands and the North East), with increased reports of cash-flow problems and margin pressure resulting from overseas competition.</w:t>
      </w:r>
    </w:p>
    <w:p>
      <w:pPr>
        <w:pStyle w:val="BodyText"/>
        <w:spacing w:before="10"/>
        <w:rPr>
          <w:sz w:val="21"/>
        </w:rPr>
      </w:pPr>
    </w:p>
    <w:p>
      <w:pPr>
        <w:spacing w:line="247" w:lineRule="auto" w:before="0"/>
        <w:ind w:left="177" w:right="0" w:firstLine="0"/>
        <w:jc w:val="left"/>
        <w:rPr>
          <w:sz w:val="22"/>
        </w:rPr>
      </w:pPr>
      <w:r>
        <w:rPr>
          <w:sz w:val="22"/>
        </w:rPr>
        <w:t>The divergence between the performance of industries within manufacturing remained a prominent theme.</w:t>
      </w:r>
    </w:p>
    <w:p>
      <w:pPr>
        <w:spacing w:line="247" w:lineRule="auto" w:before="0"/>
        <w:ind w:left="177" w:right="128" w:firstLine="0"/>
        <w:jc w:val="left"/>
        <w:rPr>
          <w:sz w:val="22"/>
        </w:rPr>
      </w:pPr>
      <w:r>
        <w:rPr>
          <w:sz w:val="22"/>
        </w:rPr>
        <w:t>Most Agencies continued to report that high value added industries, such as electronics and telecommunications, continued to record the strongest growth—although a slight easing was noted in some regions. Output growth in the aerospace industry also remained strong. Growth in these industries outweighed declining output in more traditional industries such as automotive-related and basic metal production.</w:t>
      </w:r>
    </w:p>
    <w:p>
      <w:pPr>
        <w:pStyle w:val="Heading5"/>
        <w:spacing w:before="233"/>
        <w:ind w:left="177"/>
        <w:rPr>
          <w:i/>
        </w:rPr>
      </w:pPr>
      <w:r>
        <w:rPr>
          <w:i w:val="0"/>
        </w:rPr>
        <w:br w:type="column"/>
      </w:r>
      <w:r>
        <w:rPr>
          <w:i/>
          <w:color w:val="006CB4"/>
        </w:rPr>
        <w:t>Construction and housing</w:t>
      </w:r>
    </w:p>
    <w:p>
      <w:pPr>
        <w:spacing w:line="247" w:lineRule="auto" w:before="154"/>
        <w:ind w:left="177" w:right="127" w:firstLine="0"/>
        <w:jc w:val="left"/>
        <w:rPr>
          <w:sz w:val="22"/>
        </w:rPr>
      </w:pPr>
      <w:r>
        <w:rPr>
          <w:sz w:val="22"/>
        </w:rPr>
        <w:t>Overall, construction growth was reported to have remained firm during the period. In most regions, a slowdown in residential construction activity was offset by stronger growth in commercial and public construction. The slowdown in residential construction was particularly noticeable in the southern regions of the United Kingdom, where activity had been relatively stronger.</w:t>
      </w:r>
    </w:p>
    <w:p>
      <w:pPr>
        <w:spacing w:line="247" w:lineRule="auto" w:before="215"/>
        <w:ind w:left="177" w:right="269" w:firstLine="0"/>
        <w:jc w:val="left"/>
        <w:rPr>
          <w:sz w:val="22"/>
        </w:rPr>
      </w:pPr>
      <w:r>
        <w:rPr>
          <w:sz w:val="22"/>
        </w:rPr>
        <w:t>By contrast, growth in commercial and public construction rose in many regions. Commercial activity remained strongest in the retail, leisure and professional services sectors. Some Agencies noted increased infrastructure construction (eg the extension of telecommunications networks) and a pick-up in the construction of public buildings such as schools and hospitals. Contacts suggested that strong construction output growth was likely to continue for several quarters, given solid commercial order books and expected further substantial public spending. But Agencies suggested that the pace of growth was unlikely to increase further, given continued</w:t>
      </w:r>
    </w:p>
    <w:p>
      <w:pPr>
        <w:spacing w:line="246" w:lineRule="exact" w:before="0"/>
        <w:ind w:left="177" w:right="0" w:firstLine="0"/>
        <w:jc w:val="left"/>
        <w:rPr>
          <w:sz w:val="22"/>
        </w:rPr>
      </w:pPr>
      <w:r>
        <w:rPr>
          <w:sz w:val="22"/>
        </w:rPr>
        <w:t>supply-side constraints (notably skill shortages).</w:t>
      </w:r>
    </w:p>
    <w:p>
      <w:pPr>
        <w:pStyle w:val="BodyText"/>
        <w:rPr>
          <w:sz w:val="27"/>
        </w:rPr>
      </w:pPr>
    </w:p>
    <w:p>
      <w:pPr>
        <w:pStyle w:val="Heading5"/>
        <w:spacing w:before="1"/>
        <w:ind w:left="177"/>
        <w:rPr>
          <w:i/>
        </w:rPr>
      </w:pPr>
      <w:r>
        <w:rPr>
          <w:i/>
          <w:color w:val="006CB4"/>
        </w:rPr>
        <w:t>Services</w:t>
      </w:r>
    </w:p>
    <w:p>
      <w:pPr>
        <w:spacing w:line="247" w:lineRule="auto" w:before="134"/>
        <w:ind w:left="177" w:right="140" w:firstLine="0"/>
        <w:jc w:val="left"/>
        <w:rPr>
          <w:sz w:val="22"/>
        </w:rPr>
      </w:pPr>
      <w:r>
        <w:rPr>
          <w:sz w:val="22"/>
        </w:rPr>
        <w:t>Service sector growth was reported to have eased overall in almost all regions—driven by a slowdown in consumer services activity. Most areas of business services continued to record robust growth— particularly professional and financial services, which were boosted by mergers and acquisitions activity. In addition, demand for IT and telecommunications continued to increase. But many firms suggested that output growth was being constrained by the availability of suitably skilled staff. Employment agencies also remained areas of strong activity—as firms increased their use of part-time and temporary staff, and as many manufacturers tried to reduce overheads by outsourcing non-core services.</w:t>
      </w:r>
    </w:p>
    <w:p>
      <w:pPr>
        <w:spacing w:line="247" w:lineRule="auto" w:before="212"/>
        <w:ind w:left="177" w:right="219" w:firstLine="0"/>
        <w:jc w:val="left"/>
        <w:rPr>
          <w:sz w:val="22"/>
        </w:rPr>
      </w:pPr>
      <w:r>
        <w:rPr>
          <w:sz w:val="22"/>
        </w:rPr>
        <w:t>Consumer services continued to slow during the period. Tourism-related activity slowed during the summer—thought to be the result of poor weather and the relatively weak euro. Lower turnover was reported by many UK tourist attractions and other related services. There had been some reports of an improvement towards late summer, but this had been more than offset by the negative impact of the fuel disruption—business that was unlikely to be recouped. Demand for housing-related services, such as estate agents and conveyancing, also slowed during the period. Leisure services growth remained buoyant, particularly for restaurants, pubs and fitness centres.</w:t>
      </w:r>
    </w:p>
    <w:p>
      <w:pPr>
        <w:spacing w:after="0" w:line="247" w:lineRule="auto"/>
        <w:jc w:val="left"/>
        <w:rPr>
          <w:sz w:val="22"/>
        </w:rPr>
        <w:sectPr>
          <w:type w:val="continuous"/>
          <w:pgSz w:w="11900" w:h="16840"/>
          <w:pgMar w:top="1260" w:bottom="280" w:left="640" w:right="640"/>
          <w:cols w:num="2" w:equalWidth="0">
            <w:col w:w="5091" w:space="292"/>
            <w:col w:w="5237"/>
          </w:cols>
        </w:sectPr>
      </w:pPr>
    </w:p>
    <w:p>
      <w:pPr>
        <w:spacing w:before="82" w:after="12"/>
        <w:ind w:left="0" w:right="137" w:firstLine="0"/>
        <w:jc w:val="right"/>
        <w:rPr>
          <w:i/>
          <w:sz w:val="16"/>
        </w:rPr>
      </w:pPr>
      <w:r>
        <w:rPr>
          <w:i/>
          <w:sz w:val="16"/>
        </w:rPr>
        <w:t>Agents’ summary of business conditions</w:t>
      </w:r>
    </w:p>
    <w:p>
      <w:pPr>
        <w:pStyle w:val="BodyText"/>
        <w:spacing w:line="20" w:lineRule="exact"/>
        <w:ind w:left="143"/>
        <w:rPr>
          <w:sz w:val="2"/>
        </w:rPr>
      </w:pPr>
      <w:r>
        <w:rPr>
          <w:sz w:val="2"/>
        </w:rPr>
        <w:pict>
          <v:group style="width:517.5pt;height:.15pt;mso-position-horizontal-relative:char;mso-position-vertical-relative:line" coordorigin="0,0" coordsize="10350,3">
            <v:line style="position:absolute" from="0,1" to="10350,1" stroked="true" strokeweight=".125pt" strokecolor="#000000">
              <v:stroke dashstyle="solid"/>
            </v:line>
          </v:group>
        </w:pict>
      </w:r>
      <w:r>
        <w:rPr>
          <w:sz w:val="2"/>
        </w:rPr>
      </w:r>
    </w:p>
    <w:p>
      <w:pPr>
        <w:pStyle w:val="BodyText"/>
        <w:spacing w:before="9"/>
        <w:rPr>
          <w:i/>
          <w:sz w:val="29"/>
        </w:rPr>
      </w:pPr>
    </w:p>
    <w:p>
      <w:pPr>
        <w:spacing w:after="0"/>
        <w:rPr>
          <w:sz w:val="29"/>
        </w:rPr>
        <w:sectPr>
          <w:headerReference w:type="default" r:id="rId215"/>
          <w:pgSz w:w="11900" w:h="16840"/>
          <w:pgMar w:header="0" w:footer="612" w:top="520" w:bottom="800" w:left="640" w:right="640"/>
        </w:sectPr>
      </w:pPr>
    </w:p>
    <w:p>
      <w:pPr>
        <w:spacing w:before="89"/>
        <w:ind w:left="182" w:right="0" w:firstLine="0"/>
        <w:jc w:val="left"/>
        <w:rPr>
          <w:b/>
          <w:sz w:val="28"/>
        </w:rPr>
      </w:pPr>
      <w:r>
        <w:rPr>
          <w:b/>
          <w:color w:val="006CB4"/>
          <w:sz w:val="28"/>
        </w:rPr>
        <w:t>DEMAND</w:t>
      </w:r>
    </w:p>
    <w:p>
      <w:pPr>
        <w:pStyle w:val="BodyText"/>
        <w:spacing w:before="10"/>
        <w:rPr>
          <w:b/>
          <w:sz w:val="25"/>
        </w:rPr>
      </w:pPr>
    </w:p>
    <w:p>
      <w:pPr>
        <w:pStyle w:val="Heading5"/>
        <w:ind w:left="182"/>
        <w:rPr>
          <w:i/>
        </w:rPr>
      </w:pPr>
      <w:r>
        <w:rPr>
          <w:i/>
          <w:color w:val="006CB4"/>
        </w:rPr>
        <w:t>Consumption</w:t>
      </w:r>
    </w:p>
    <w:p>
      <w:pPr>
        <w:spacing w:line="247" w:lineRule="auto" w:before="209"/>
        <w:ind w:left="182" w:right="0" w:firstLine="0"/>
        <w:jc w:val="left"/>
        <w:rPr>
          <w:sz w:val="22"/>
        </w:rPr>
      </w:pPr>
      <w:r>
        <w:rPr>
          <w:sz w:val="22"/>
        </w:rPr>
        <w:t>On balance, annual retail sales value growth eased slightly over the period. But overall, consumer confidence was said to have remained relatively steady in most regions. Demand remained strongest for household goods (particularly electronics and telecommunications), although there were reports</w:t>
      </w:r>
    </w:p>
    <w:p>
      <w:pPr>
        <w:spacing w:line="247" w:lineRule="auto" w:before="0"/>
        <w:ind w:left="182" w:right="387" w:firstLine="0"/>
        <w:jc w:val="left"/>
        <w:rPr>
          <w:sz w:val="22"/>
        </w:rPr>
      </w:pPr>
      <w:r>
        <w:rPr>
          <w:sz w:val="22"/>
        </w:rPr>
        <w:t>of a slowdown in some regions towards the end of the period. There was some indication of an improvement in clothing sales, possibly because sales of autumn fashions had been boosted at the beginning of the season by the poor weather.</w:t>
      </w:r>
    </w:p>
    <w:p>
      <w:pPr>
        <w:spacing w:line="247" w:lineRule="auto" w:before="0"/>
        <w:ind w:left="182" w:right="0" w:firstLine="0"/>
        <w:jc w:val="left"/>
        <w:rPr>
          <w:sz w:val="22"/>
        </w:rPr>
      </w:pPr>
      <w:r>
        <w:rPr>
          <w:sz w:val="22"/>
        </w:rPr>
        <w:t>Growth in most other areas of consumer spending remained broadly unchanged during the period.</w:t>
      </w:r>
    </w:p>
    <w:p>
      <w:pPr>
        <w:spacing w:line="247" w:lineRule="auto" w:before="0"/>
        <w:ind w:left="182" w:right="0" w:firstLine="0"/>
        <w:jc w:val="left"/>
        <w:rPr>
          <w:sz w:val="22"/>
        </w:rPr>
      </w:pPr>
      <w:r>
        <w:rPr>
          <w:sz w:val="22"/>
        </w:rPr>
        <w:t>Spending on overseas travel rose strongly in many areas, though this was partly offset by lower spending on domestic travel.</w:t>
      </w:r>
    </w:p>
    <w:p>
      <w:pPr>
        <w:pStyle w:val="BodyText"/>
        <w:spacing w:before="9"/>
        <w:rPr>
          <w:sz w:val="21"/>
        </w:rPr>
      </w:pPr>
    </w:p>
    <w:p>
      <w:pPr>
        <w:spacing w:line="247" w:lineRule="auto" w:before="0"/>
        <w:ind w:left="182" w:right="387" w:firstLine="0"/>
        <w:jc w:val="left"/>
        <w:rPr>
          <w:sz w:val="22"/>
        </w:rPr>
      </w:pPr>
      <w:r>
        <w:rPr>
          <w:sz w:val="22"/>
        </w:rPr>
        <w:t>Despite announcements of price cuts by several manufacturers during the period, new car sales to individuals remained depressed—even during the new registration period in September. Most motor vehicle traders suggested that consumers were unlikely to return to the market until there was more certainty regarding the extent and timing of future price cuts. Specifically, most believe that</w:t>
      </w:r>
    </w:p>
    <w:p>
      <w:pPr>
        <w:spacing w:line="247" w:lineRule="auto" w:before="0"/>
        <w:ind w:left="182" w:right="18" w:firstLine="0"/>
        <w:jc w:val="left"/>
        <w:rPr>
          <w:sz w:val="22"/>
        </w:rPr>
      </w:pPr>
      <w:r>
        <w:rPr>
          <w:sz w:val="22"/>
        </w:rPr>
        <w:t>the pick-up is unlikely to occur until early next year— after measures to require manufacturers to pass on fleet discounts to retail dealers are enforced in December.</w:t>
      </w:r>
    </w:p>
    <w:p>
      <w:pPr>
        <w:spacing w:line="247" w:lineRule="auto" w:before="0"/>
        <w:ind w:left="182" w:right="0" w:firstLine="0"/>
        <w:jc w:val="left"/>
        <w:rPr>
          <w:sz w:val="22"/>
        </w:rPr>
      </w:pPr>
      <w:r>
        <w:rPr>
          <w:sz w:val="22"/>
        </w:rPr>
        <w:t>There was also little evidence of any improvement in used car sales.</w:t>
      </w:r>
    </w:p>
    <w:p>
      <w:pPr>
        <w:pStyle w:val="BodyText"/>
        <w:spacing w:before="9"/>
        <w:rPr>
          <w:sz w:val="25"/>
        </w:rPr>
      </w:pPr>
    </w:p>
    <w:p>
      <w:pPr>
        <w:pStyle w:val="Heading5"/>
        <w:ind w:left="182"/>
        <w:rPr>
          <w:i/>
        </w:rPr>
      </w:pPr>
      <w:r>
        <w:rPr>
          <w:i/>
          <w:color w:val="006CB4"/>
        </w:rPr>
        <w:t>Exports and imports</w:t>
      </w:r>
    </w:p>
    <w:p>
      <w:pPr>
        <w:spacing w:line="247" w:lineRule="auto" w:before="174"/>
        <w:ind w:left="182" w:right="43" w:firstLine="0"/>
        <w:jc w:val="left"/>
        <w:rPr>
          <w:sz w:val="22"/>
        </w:rPr>
      </w:pPr>
      <w:r>
        <w:rPr>
          <w:sz w:val="22"/>
        </w:rPr>
        <w:t>Compared with the previous </w:t>
      </w:r>
      <w:r>
        <w:rPr>
          <w:i/>
          <w:sz w:val="22"/>
        </w:rPr>
        <w:t>Agents’ </w:t>
      </w:r>
      <w:r>
        <w:rPr>
          <w:i/>
          <w:spacing w:val="-3"/>
          <w:sz w:val="22"/>
        </w:rPr>
        <w:t>Summary, </w:t>
      </w:r>
      <w:r>
        <w:rPr>
          <w:sz w:val="22"/>
        </w:rPr>
        <w:t>export volume</w:t>
      </w:r>
      <w:r>
        <w:rPr>
          <w:spacing w:val="-9"/>
          <w:sz w:val="22"/>
        </w:rPr>
        <w:t> </w:t>
      </w:r>
      <w:r>
        <w:rPr>
          <w:sz w:val="22"/>
        </w:rPr>
        <w:t>growth</w:t>
      </w:r>
      <w:r>
        <w:rPr>
          <w:spacing w:val="-9"/>
          <w:sz w:val="22"/>
        </w:rPr>
        <w:t> </w:t>
      </w:r>
      <w:r>
        <w:rPr>
          <w:sz w:val="22"/>
        </w:rPr>
        <w:t>strengthened</w:t>
      </w:r>
      <w:r>
        <w:rPr>
          <w:spacing w:val="-9"/>
          <w:sz w:val="22"/>
        </w:rPr>
        <w:t> </w:t>
      </w:r>
      <w:r>
        <w:rPr>
          <w:sz w:val="22"/>
        </w:rPr>
        <w:t>in</w:t>
      </w:r>
      <w:r>
        <w:rPr>
          <w:spacing w:val="-9"/>
          <w:sz w:val="22"/>
        </w:rPr>
        <w:t> </w:t>
      </w:r>
      <w:r>
        <w:rPr>
          <w:sz w:val="22"/>
        </w:rPr>
        <w:t>most</w:t>
      </w:r>
      <w:r>
        <w:rPr>
          <w:spacing w:val="-8"/>
          <w:sz w:val="22"/>
        </w:rPr>
        <w:t> </w:t>
      </w:r>
      <w:r>
        <w:rPr>
          <w:sz w:val="22"/>
        </w:rPr>
        <w:t>regions,</w:t>
      </w:r>
      <w:r>
        <w:rPr>
          <w:spacing w:val="-8"/>
          <w:sz w:val="22"/>
        </w:rPr>
        <w:t> </w:t>
      </w:r>
      <w:r>
        <w:rPr>
          <w:sz w:val="22"/>
        </w:rPr>
        <w:t>reflecting stronger external demand. Most regions reported that demand from the United States remained robust and had been boosted by the recent depreciation of sterling against the </w:t>
      </w:r>
      <w:r>
        <w:rPr>
          <w:spacing w:val="-3"/>
          <w:sz w:val="22"/>
        </w:rPr>
        <w:t>dollar. </w:t>
      </w:r>
      <w:r>
        <w:rPr>
          <w:sz w:val="22"/>
        </w:rPr>
        <w:t>Export growth to other markets in the Middle East and Asia also improved. But sales to Europe remained more difficult—most manufacturers suggested that export volumes to Europe were maintained only through intense downward margin pressure.</w:t>
      </w:r>
    </w:p>
    <w:p>
      <w:pPr>
        <w:pStyle w:val="BodyText"/>
        <w:spacing w:before="4"/>
        <w:rPr>
          <w:sz w:val="20"/>
        </w:rPr>
      </w:pPr>
    </w:p>
    <w:p>
      <w:pPr>
        <w:spacing w:line="247" w:lineRule="auto" w:before="0"/>
        <w:ind w:left="182" w:right="99" w:firstLine="0"/>
        <w:jc w:val="left"/>
        <w:rPr>
          <w:sz w:val="22"/>
        </w:rPr>
      </w:pPr>
      <w:r>
        <w:rPr>
          <w:sz w:val="22"/>
        </w:rPr>
        <w:t>Import growth remained strong during the period. Most Agencies suggested that the growth in imports continued to run ahead of that of exports. Firms continued to increase purchases of relatively cheap overseas materials (for example from Eastern Europe and Asia) to alleviate pressure on margins.</w:t>
      </w:r>
    </w:p>
    <w:p>
      <w:pPr>
        <w:pStyle w:val="Heading5"/>
        <w:spacing w:before="89"/>
        <w:ind w:left="182"/>
        <w:rPr>
          <w:i/>
        </w:rPr>
      </w:pPr>
      <w:r>
        <w:rPr>
          <w:i w:val="0"/>
        </w:rPr>
        <w:br w:type="column"/>
      </w:r>
      <w:r>
        <w:rPr>
          <w:i/>
          <w:color w:val="006CB4"/>
        </w:rPr>
        <w:t>Investment</w:t>
      </w:r>
    </w:p>
    <w:p>
      <w:pPr>
        <w:spacing w:line="247" w:lineRule="auto" w:before="208"/>
        <w:ind w:left="182" w:right="180" w:firstLine="0"/>
        <w:jc w:val="left"/>
        <w:rPr>
          <w:sz w:val="22"/>
        </w:rPr>
      </w:pPr>
      <w:r>
        <w:rPr>
          <w:sz w:val="22"/>
        </w:rPr>
        <w:t>Service</w:t>
      </w:r>
      <w:r>
        <w:rPr>
          <w:spacing w:val="-9"/>
          <w:sz w:val="22"/>
        </w:rPr>
        <w:t> </w:t>
      </w:r>
      <w:r>
        <w:rPr>
          <w:sz w:val="22"/>
        </w:rPr>
        <w:t>sector</w:t>
      </w:r>
      <w:r>
        <w:rPr>
          <w:spacing w:val="-9"/>
          <w:sz w:val="22"/>
        </w:rPr>
        <w:t> </w:t>
      </w:r>
      <w:r>
        <w:rPr>
          <w:sz w:val="22"/>
        </w:rPr>
        <w:t>investment</w:t>
      </w:r>
      <w:r>
        <w:rPr>
          <w:spacing w:val="-9"/>
          <w:sz w:val="22"/>
        </w:rPr>
        <w:t> </w:t>
      </w:r>
      <w:r>
        <w:rPr>
          <w:sz w:val="22"/>
        </w:rPr>
        <w:t>intentions</w:t>
      </w:r>
      <w:r>
        <w:rPr>
          <w:spacing w:val="-9"/>
          <w:sz w:val="22"/>
        </w:rPr>
        <w:t> </w:t>
      </w:r>
      <w:r>
        <w:rPr>
          <w:sz w:val="22"/>
        </w:rPr>
        <w:t>remained</w:t>
      </w:r>
      <w:r>
        <w:rPr>
          <w:spacing w:val="-9"/>
          <w:sz w:val="22"/>
        </w:rPr>
        <w:t> </w:t>
      </w:r>
      <w:r>
        <w:rPr>
          <w:sz w:val="22"/>
        </w:rPr>
        <w:t>steady</w:t>
      </w:r>
      <w:r>
        <w:rPr>
          <w:spacing w:val="-8"/>
          <w:sz w:val="22"/>
        </w:rPr>
        <w:t> </w:t>
      </w:r>
      <w:r>
        <w:rPr>
          <w:sz w:val="22"/>
        </w:rPr>
        <w:t>at a high </w:t>
      </w:r>
      <w:r>
        <w:rPr>
          <w:spacing w:val="-3"/>
          <w:sz w:val="22"/>
        </w:rPr>
        <w:t>level </w:t>
      </w:r>
      <w:r>
        <w:rPr>
          <w:sz w:val="22"/>
        </w:rPr>
        <w:t>during the period. Firms continued to </w:t>
      </w:r>
      <w:r>
        <w:rPr>
          <w:spacing w:val="-3"/>
          <w:sz w:val="22"/>
        </w:rPr>
        <w:t>invest </w:t>
      </w:r>
      <w:r>
        <w:rPr>
          <w:sz w:val="22"/>
        </w:rPr>
        <w:t>in </w:t>
      </w:r>
      <w:r>
        <w:rPr>
          <w:spacing w:val="-3"/>
          <w:sz w:val="22"/>
        </w:rPr>
        <w:t>new office </w:t>
      </w:r>
      <w:r>
        <w:rPr>
          <w:sz w:val="22"/>
        </w:rPr>
        <w:t>space, as well as building investment in the leisure and retail sectors. Increased public</w:t>
      </w:r>
      <w:r>
        <w:rPr>
          <w:spacing w:val="-8"/>
          <w:sz w:val="22"/>
        </w:rPr>
        <w:t> </w:t>
      </w:r>
      <w:r>
        <w:rPr>
          <w:sz w:val="22"/>
        </w:rPr>
        <w:t>investment</w:t>
      </w:r>
      <w:r>
        <w:rPr>
          <w:spacing w:val="-8"/>
          <w:sz w:val="22"/>
        </w:rPr>
        <w:t> </w:t>
      </w:r>
      <w:r>
        <w:rPr>
          <w:sz w:val="22"/>
        </w:rPr>
        <w:t>in</w:t>
      </w:r>
      <w:r>
        <w:rPr>
          <w:spacing w:val="-8"/>
          <w:sz w:val="22"/>
        </w:rPr>
        <w:t> </w:t>
      </w:r>
      <w:r>
        <w:rPr>
          <w:sz w:val="22"/>
        </w:rPr>
        <w:t>health</w:t>
      </w:r>
      <w:r>
        <w:rPr>
          <w:spacing w:val="-8"/>
          <w:sz w:val="22"/>
        </w:rPr>
        <w:t> </w:t>
      </w:r>
      <w:r>
        <w:rPr>
          <w:sz w:val="22"/>
        </w:rPr>
        <w:t>and</w:t>
      </w:r>
      <w:r>
        <w:rPr>
          <w:spacing w:val="-8"/>
          <w:sz w:val="22"/>
        </w:rPr>
        <w:t> </w:t>
      </w:r>
      <w:r>
        <w:rPr>
          <w:sz w:val="22"/>
        </w:rPr>
        <w:t>education</w:t>
      </w:r>
      <w:r>
        <w:rPr>
          <w:spacing w:val="-8"/>
          <w:sz w:val="22"/>
        </w:rPr>
        <w:t> </w:t>
      </w:r>
      <w:r>
        <w:rPr>
          <w:sz w:val="22"/>
        </w:rPr>
        <w:t>facilities</w:t>
      </w:r>
      <w:r>
        <w:rPr>
          <w:spacing w:val="-8"/>
          <w:sz w:val="22"/>
        </w:rPr>
        <w:t> </w:t>
      </w:r>
      <w:r>
        <w:rPr>
          <w:sz w:val="22"/>
        </w:rPr>
        <w:t>was also frequently cited. IT investment remained strong, with little sign of any easing in</w:t>
      </w:r>
      <w:r>
        <w:rPr>
          <w:spacing w:val="-15"/>
          <w:sz w:val="22"/>
        </w:rPr>
        <w:t> </w:t>
      </w:r>
      <w:r>
        <w:rPr>
          <w:sz w:val="22"/>
        </w:rPr>
        <w:t>growth.</w:t>
      </w:r>
    </w:p>
    <w:p>
      <w:pPr>
        <w:pStyle w:val="BodyText"/>
        <w:spacing w:before="3"/>
        <w:rPr>
          <w:sz w:val="22"/>
        </w:rPr>
      </w:pPr>
    </w:p>
    <w:p>
      <w:pPr>
        <w:spacing w:line="247" w:lineRule="auto" w:before="0"/>
        <w:ind w:left="182" w:right="194" w:firstLine="0"/>
        <w:jc w:val="left"/>
        <w:rPr>
          <w:sz w:val="22"/>
        </w:rPr>
      </w:pPr>
      <w:r>
        <w:rPr>
          <w:sz w:val="22"/>
        </w:rPr>
        <w:t>By</w:t>
      </w:r>
      <w:r>
        <w:rPr>
          <w:spacing w:val="-10"/>
          <w:sz w:val="22"/>
        </w:rPr>
        <w:t> </w:t>
      </w:r>
      <w:r>
        <w:rPr>
          <w:sz w:val="22"/>
        </w:rPr>
        <w:t>contrast,</w:t>
      </w:r>
      <w:r>
        <w:rPr>
          <w:spacing w:val="-8"/>
          <w:sz w:val="22"/>
        </w:rPr>
        <w:t> </w:t>
      </w:r>
      <w:r>
        <w:rPr>
          <w:sz w:val="22"/>
        </w:rPr>
        <w:t>investment</w:t>
      </w:r>
      <w:r>
        <w:rPr>
          <w:spacing w:val="-9"/>
          <w:sz w:val="22"/>
        </w:rPr>
        <w:t> </w:t>
      </w:r>
      <w:r>
        <w:rPr>
          <w:sz w:val="22"/>
        </w:rPr>
        <w:t>intentions</w:t>
      </w:r>
      <w:r>
        <w:rPr>
          <w:spacing w:val="-9"/>
          <w:sz w:val="22"/>
        </w:rPr>
        <w:t> </w:t>
      </w:r>
      <w:r>
        <w:rPr>
          <w:sz w:val="22"/>
        </w:rPr>
        <w:t>in</w:t>
      </w:r>
      <w:r>
        <w:rPr>
          <w:spacing w:val="-9"/>
          <w:sz w:val="22"/>
        </w:rPr>
        <w:t> </w:t>
      </w:r>
      <w:r>
        <w:rPr>
          <w:sz w:val="22"/>
        </w:rPr>
        <w:t>the</w:t>
      </w:r>
      <w:r>
        <w:rPr>
          <w:spacing w:val="-9"/>
          <w:sz w:val="22"/>
        </w:rPr>
        <w:t> </w:t>
      </w:r>
      <w:r>
        <w:rPr>
          <w:sz w:val="22"/>
        </w:rPr>
        <w:t>manufacturing sector continued to deteriorate during the period in most regions. The further downturn in UK </w:t>
      </w:r>
      <w:r>
        <w:rPr>
          <w:spacing w:val="-3"/>
          <w:sz w:val="22"/>
        </w:rPr>
        <w:t>investment </w:t>
      </w:r>
      <w:r>
        <w:rPr>
          <w:sz w:val="22"/>
        </w:rPr>
        <w:t>intentions was reportedly </w:t>
      </w:r>
      <w:r>
        <w:rPr>
          <w:spacing w:val="-3"/>
          <w:sz w:val="22"/>
        </w:rPr>
        <w:t>driven </w:t>
      </w:r>
      <w:r>
        <w:rPr>
          <w:sz w:val="22"/>
        </w:rPr>
        <w:t>by lower profitability and the relative attractiveness of alternative overseas locations. In addition, significant spare capacity in the sector has reportedly mitigated the need for </w:t>
      </w:r>
      <w:r>
        <w:rPr>
          <w:spacing w:val="-3"/>
          <w:sz w:val="22"/>
        </w:rPr>
        <w:t>new </w:t>
      </w:r>
      <w:r>
        <w:rPr>
          <w:sz w:val="22"/>
        </w:rPr>
        <w:t>investment. There is little evidence to suggest any improvement in the near term, as reports of firms locating </w:t>
      </w:r>
      <w:r>
        <w:rPr>
          <w:spacing w:val="-3"/>
          <w:sz w:val="22"/>
        </w:rPr>
        <w:t>new </w:t>
      </w:r>
      <w:r>
        <w:rPr>
          <w:sz w:val="22"/>
        </w:rPr>
        <w:t>or existing plants overseas increased during the period. There were also increased reports of deferred projects </w:t>
      </w:r>
      <w:r>
        <w:rPr>
          <w:spacing w:val="-3"/>
          <w:sz w:val="22"/>
        </w:rPr>
        <w:t>recently.  Moreover, </w:t>
      </w:r>
      <w:r>
        <w:rPr>
          <w:sz w:val="22"/>
        </w:rPr>
        <w:t>while many  firms reported that productivity-improving measures such as IT investment remained strong, this sometimes crowded out expenditure on plant and</w:t>
      </w:r>
      <w:r>
        <w:rPr>
          <w:spacing w:val="-16"/>
          <w:sz w:val="22"/>
        </w:rPr>
        <w:t> </w:t>
      </w:r>
      <w:r>
        <w:rPr>
          <w:spacing w:val="-3"/>
          <w:sz w:val="22"/>
        </w:rPr>
        <w:t>machinery.</w:t>
      </w:r>
    </w:p>
    <w:p>
      <w:pPr>
        <w:spacing w:line="247" w:lineRule="auto" w:before="0"/>
        <w:ind w:left="182" w:right="127" w:firstLine="0"/>
        <w:jc w:val="left"/>
        <w:rPr>
          <w:sz w:val="22"/>
        </w:rPr>
      </w:pPr>
      <w:r>
        <w:rPr>
          <w:sz w:val="22"/>
        </w:rPr>
        <w:t>Investment to expand capacity tended to be limited to the higher value added sectors such as electronics.</w:t>
      </w:r>
    </w:p>
    <w:p>
      <w:pPr>
        <w:pStyle w:val="BodyText"/>
        <w:spacing w:before="9"/>
        <w:rPr>
          <w:sz w:val="21"/>
        </w:rPr>
      </w:pPr>
    </w:p>
    <w:p>
      <w:pPr>
        <w:spacing w:line="247" w:lineRule="auto" w:before="0"/>
        <w:ind w:left="182" w:right="140" w:firstLine="0"/>
        <w:jc w:val="left"/>
        <w:rPr>
          <w:sz w:val="22"/>
        </w:rPr>
      </w:pPr>
      <w:r>
        <w:rPr>
          <w:sz w:val="22"/>
        </w:rPr>
        <w:t>There was little improvement in investment intentions in the primary sector, particularly in agriculture. But during the period, several major oil companies announced plans for substantial additional investment.</w:t>
      </w:r>
    </w:p>
    <w:p>
      <w:pPr>
        <w:pStyle w:val="BodyText"/>
        <w:rPr>
          <w:sz w:val="28"/>
        </w:rPr>
      </w:pPr>
    </w:p>
    <w:p>
      <w:pPr>
        <w:spacing w:before="0"/>
        <w:ind w:left="182" w:right="0" w:firstLine="0"/>
        <w:jc w:val="left"/>
        <w:rPr>
          <w:b/>
          <w:sz w:val="28"/>
        </w:rPr>
      </w:pPr>
      <w:r>
        <w:rPr>
          <w:b/>
          <w:color w:val="006CB4"/>
          <w:sz w:val="28"/>
        </w:rPr>
        <w:t>EMPLOYMENT</w:t>
      </w:r>
    </w:p>
    <w:p>
      <w:pPr>
        <w:spacing w:line="247" w:lineRule="auto" w:before="222"/>
        <w:ind w:left="182" w:right="269" w:firstLine="0"/>
        <w:jc w:val="left"/>
        <w:rPr>
          <w:sz w:val="22"/>
        </w:rPr>
      </w:pPr>
      <w:r>
        <w:rPr>
          <w:sz w:val="22"/>
        </w:rPr>
        <w:t>Skill shortages intensifed in most regions during the period, after remaining broadly stable since the beginning of the year. Severe shortages, which had previously been limited to the southern regions, appeared to have spread to several other regions. In addition, while in earlier periods the shortages had been limited mostly to specific skilled professions, there had been clear evidence that shortages had now spread to semi-skilled and unskilled positions (for example for retail and clerical staff).</w:t>
      </w:r>
    </w:p>
    <w:p>
      <w:pPr>
        <w:pStyle w:val="BodyText"/>
        <w:spacing w:before="1"/>
        <w:rPr>
          <w:sz w:val="22"/>
        </w:rPr>
      </w:pPr>
    </w:p>
    <w:p>
      <w:pPr>
        <w:spacing w:line="247" w:lineRule="auto" w:before="0"/>
        <w:ind w:left="182" w:right="200" w:firstLine="0"/>
        <w:jc w:val="left"/>
        <w:rPr>
          <w:sz w:val="22"/>
        </w:rPr>
      </w:pPr>
      <w:r>
        <w:rPr>
          <w:sz w:val="22"/>
        </w:rPr>
        <w:t>There was little change to trends in employment growth. Manufacturing employment continued to decline at a similar pace to the previous period in most regions. Many sectors continued to shed staff, though some strong-growth sectors increased their employment levels. Overall, manufacturing firms continued to suggest that productivity improvements meant that they were unlikely to increase staff numbers.</w:t>
      </w:r>
    </w:p>
    <w:p>
      <w:pPr>
        <w:spacing w:after="0" w:line="247" w:lineRule="auto"/>
        <w:jc w:val="left"/>
        <w:rPr>
          <w:sz w:val="22"/>
        </w:rPr>
        <w:sectPr>
          <w:type w:val="continuous"/>
          <w:pgSz w:w="11900" w:h="16840"/>
          <w:pgMar w:top="1260" w:bottom="280" w:left="640" w:right="640"/>
          <w:cols w:num="2" w:equalWidth="0">
            <w:col w:w="5095" w:space="288"/>
            <w:col w:w="5237"/>
          </w:cols>
        </w:sectPr>
      </w:pPr>
    </w:p>
    <w:p>
      <w:pPr>
        <w:pStyle w:val="BodyText"/>
        <w:rPr>
          <w:sz w:val="20"/>
        </w:rPr>
      </w:pPr>
    </w:p>
    <w:p>
      <w:pPr>
        <w:spacing w:after="0"/>
        <w:rPr>
          <w:sz w:val="20"/>
        </w:rPr>
        <w:sectPr>
          <w:headerReference w:type="even" r:id="rId216"/>
          <w:footerReference w:type="even" r:id="rId217"/>
          <w:footerReference w:type="default" r:id="rId218"/>
          <w:pgSz w:w="11900" w:h="16840"/>
          <w:pgMar w:header="586" w:footer="592" w:top="780" w:bottom="780" w:left="640" w:right="640"/>
          <w:pgNumType w:start="74"/>
        </w:sectPr>
      </w:pPr>
    </w:p>
    <w:p>
      <w:pPr>
        <w:pStyle w:val="BodyText"/>
        <w:spacing w:before="5"/>
        <w:rPr>
          <w:sz w:val="21"/>
        </w:rPr>
      </w:pPr>
    </w:p>
    <w:p>
      <w:pPr>
        <w:spacing w:line="247" w:lineRule="auto" w:before="0"/>
        <w:ind w:left="171" w:right="89" w:firstLine="0"/>
        <w:jc w:val="left"/>
        <w:rPr>
          <w:sz w:val="22"/>
        </w:rPr>
      </w:pPr>
      <w:r>
        <w:rPr>
          <w:sz w:val="22"/>
        </w:rPr>
        <w:t>Growth in the services and construction sectors continued at a steady pace, but still appeared to be constrained by the limited availability of suitably skilled labour. In many cases, firms have mitigated the impact of labour shortages to some extent through the increased use of overseas workers.</w:t>
      </w:r>
    </w:p>
    <w:p>
      <w:pPr>
        <w:pStyle w:val="BodyText"/>
        <w:spacing w:before="3"/>
        <w:rPr>
          <w:sz w:val="22"/>
        </w:rPr>
      </w:pPr>
    </w:p>
    <w:p>
      <w:pPr>
        <w:spacing w:before="0"/>
        <w:ind w:left="171" w:right="0" w:firstLine="0"/>
        <w:jc w:val="left"/>
        <w:rPr>
          <w:b/>
          <w:sz w:val="28"/>
        </w:rPr>
      </w:pPr>
      <w:r>
        <w:rPr>
          <w:b/>
          <w:color w:val="006CB4"/>
          <w:sz w:val="28"/>
        </w:rPr>
        <w:t>COSTS AND PRICES</w:t>
      </w:r>
    </w:p>
    <w:p>
      <w:pPr>
        <w:pStyle w:val="Heading5"/>
        <w:spacing w:before="267"/>
        <w:rPr>
          <w:i/>
        </w:rPr>
      </w:pPr>
      <w:r>
        <w:rPr>
          <w:i/>
          <w:color w:val="006CB4"/>
        </w:rPr>
        <w:t>Input prices</w:t>
      </w:r>
    </w:p>
    <w:p>
      <w:pPr>
        <w:spacing w:line="247" w:lineRule="auto" w:before="208"/>
        <w:ind w:left="171" w:right="89" w:firstLine="0"/>
        <w:jc w:val="left"/>
        <w:rPr>
          <w:sz w:val="22"/>
        </w:rPr>
      </w:pPr>
      <w:r>
        <w:rPr>
          <w:sz w:val="22"/>
        </w:rPr>
        <w:t>Input price inflation increased further during the period. However, there were offsetting influences.</w:t>
      </w:r>
    </w:p>
    <w:p>
      <w:pPr>
        <w:spacing w:line="247" w:lineRule="auto" w:before="0"/>
        <w:ind w:left="171" w:right="38" w:firstLine="0"/>
        <w:jc w:val="left"/>
        <w:rPr>
          <w:sz w:val="22"/>
        </w:rPr>
      </w:pPr>
      <w:r>
        <w:rPr>
          <w:sz w:val="22"/>
        </w:rPr>
        <w:t>Oil-related</w:t>
      </w:r>
      <w:r>
        <w:rPr>
          <w:spacing w:val="-8"/>
          <w:sz w:val="22"/>
        </w:rPr>
        <w:t> </w:t>
      </w:r>
      <w:r>
        <w:rPr>
          <w:sz w:val="22"/>
        </w:rPr>
        <w:t>and</w:t>
      </w:r>
      <w:r>
        <w:rPr>
          <w:spacing w:val="-7"/>
          <w:sz w:val="22"/>
        </w:rPr>
        <w:t> </w:t>
      </w:r>
      <w:r>
        <w:rPr>
          <w:sz w:val="22"/>
        </w:rPr>
        <w:t>industrial</w:t>
      </w:r>
      <w:r>
        <w:rPr>
          <w:spacing w:val="-8"/>
          <w:sz w:val="22"/>
        </w:rPr>
        <w:t> </w:t>
      </w:r>
      <w:r>
        <w:rPr>
          <w:sz w:val="22"/>
        </w:rPr>
        <w:t>gas</w:t>
      </w:r>
      <w:r>
        <w:rPr>
          <w:spacing w:val="-7"/>
          <w:sz w:val="22"/>
        </w:rPr>
        <w:t> </w:t>
      </w:r>
      <w:r>
        <w:rPr>
          <w:sz w:val="22"/>
        </w:rPr>
        <w:t>price</w:t>
      </w:r>
      <w:r>
        <w:rPr>
          <w:spacing w:val="-7"/>
          <w:sz w:val="22"/>
        </w:rPr>
        <w:t> </w:t>
      </w:r>
      <w:r>
        <w:rPr>
          <w:sz w:val="22"/>
        </w:rPr>
        <w:t>increases</w:t>
      </w:r>
      <w:r>
        <w:rPr>
          <w:spacing w:val="-8"/>
          <w:sz w:val="22"/>
        </w:rPr>
        <w:t> </w:t>
      </w:r>
      <w:r>
        <w:rPr>
          <w:sz w:val="22"/>
        </w:rPr>
        <w:t>dominated discussions, although examples of relatively smaller rises in plastics, paper and steel prices also continued to be cited. Firms </w:t>
      </w:r>
      <w:r>
        <w:rPr>
          <w:spacing w:val="-3"/>
          <w:sz w:val="22"/>
        </w:rPr>
        <w:t>have </w:t>
      </w:r>
      <w:r>
        <w:rPr>
          <w:sz w:val="22"/>
        </w:rPr>
        <w:t>become increasingly concerned about rising transport and distribution costs. In addition, there was some evidence of rising import costs for dollar-denominated commodities as a result of the depreciation of the sterling. </w:t>
      </w:r>
      <w:r>
        <w:rPr>
          <w:spacing w:val="-4"/>
          <w:sz w:val="22"/>
        </w:rPr>
        <w:t>However, </w:t>
      </w:r>
      <w:r>
        <w:rPr>
          <w:sz w:val="22"/>
        </w:rPr>
        <w:t>firms continued to report lower prices for many products as a result of re-sourcing from relatively cheaper overseas suppliers and through centralised purchasing, consolidation and outsourcing. </w:t>
      </w:r>
      <w:r>
        <w:rPr>
          <w:spacing w:val="-3"/>
          <w:sz w:val="22"/>
        </w:rPr>
        <w:t>Moreover, </w:t>
      </w:r>
      <w:r>
        <w:rPr>
          <w:sz w:val="22"/>
        </w:rPr>
        <w:t>many firms </w:t>
      </w:r>
      <w:r>
        <w:rPr>
          <w:spacing w:val="-3"/>
          <w:sz w:val="22"/>
        </w:rPr>
        <w:t>have </w:t>
      </w:r>
      <w:r>
        <w:rPr>
          <w:sz w:val="22"/>
        </w:rPr>
        <w:t>been able to offset materials price increases by achieving reductions in unit costs, through significant productivity</w:t>
      </w:r>
      <w:r>
        <w:rPr>
          <w:spacing w:val="-2"/>
          <w:sz w:val="22"/>
        </w:rPr>
        <w:t> </w:t>
      </w:r>
      <w:r>
        <w:rPr>
          <w:sz w:val="22"/>
        </w:rPr>
        <w:t>gains.</w:t>
      </w:r>
    </w:p>
    <w:p>
      <w:pPr>
        <w:pStyle w:val="BodyText"/>
        <w:spacing w:before="6"/>
        <w:rPr>
          <w:sz w:val="20"/>
        </w:rPr>
      </w:pPr>
    </w:p>
    <w:p>
      <w:pPr>
        <w:pStyle w:val="Heading5"/>
        <w:rPr>
          <w:i/>
        </w:rPr>
      </w:pPr>
      <w:r>
        <w:rPr>
          <w:i/>
          <w:color w:val="006CB4"/>
        </w:rPr>
        <w:t>Pay</w:t>
      </w:r>
    </w:p>
    <w:p>
      <w:pPr>
        <w:spacing w:line="247" w:lineRule="auto" w:before="209"/>
        <w:ind w:left="171" w:right="42" w:firstLine="0"/>
        <w:jc w:val="left"/>
        <w:rPr>
          <w:sz w:val="22"/>
        </w:rPr>
      </w:pPr>
      <w:r>
        <w:rPr>
          <w:sz w:val="22"/>
        </w:rPr>
        <w:t>Settlement trends remained similar to those reported in recent </w:t>
      </w:r>
      <w:r>
        <w:rPr>
          <w:i/>
          <w:sz w:val="22"/>
        </w:rPr>
        <w:t>Agents’ Summaries</w:t>
      </w:r>
      <w:r>
        <w:rPr>
          <w:sz w:val="22"/>
        </w:rPr>
        <w:t>, although there were some early signs of higher settlements towards the end of the period. Almost all Agencies suggested that manufacturing settlements remained lower than in services and construction—and most remained equal to or lower than a year ago. However, recent reports suggested that many contacts were expecting stronger increases in upcoming pay rounds.</w:t>
      </w:r>
    </w:p>
    <w:p>
      <w:pPr>
        <w:pStyle w:val="BodyText"/>
        <w:spacing w:before="1"/>
        <w:rPr>
          <w:sz w:val="22"/>
        </w:rPr>
      </w:pPr>
    </w:p>
    <w:p>
      <w:pPr>
        <w:spacing w:line="247" w:lineRule="auto" w:before="0"/>
        <w:ind w:left="171" w:right="89" w:firstLine="0"/>
        <w:jc w:val="left"/>
        <w:rPr>
          <w:sz w:val="22"/>
        </w:rPr>
      </w:pPr>
      <w:r>
        <w:rPr>
          <w:sz w:val="22"/>
        </w:rPr>
        <w:t>Growth in total earnings was reported to have eased in both manufacturing and services in most regions.</w:t>
      </w:r>
    </w:p>
    <w:p>
      <w:pPr>
        <w:spacing w:line="247" w:lineRule="auto" w:before="0"/>
        <w:ind w:left="171" w:right="0" w:firstLine="0"/>
        <w:jc w:val="left"/>
        <w:rPr>
          <w:sz w:val="22"/>
        </w:rPr>
      </w:pPr>
      <w:r>
        <w:rPr>
          <w:sz w:val="22"/>
        </w:rPr>
        <w:t>Overtime payments declined in manufacturing in many regions as employers used flexible working-hour arrangements to meet variations in demand. Bonus payments also continued to decline relative to last year—reflecting lower profitability. Total earnings growth also slowed in the services sector— predominantly from lower bonus payments. But there</w:t>
      </w:r>
    </w:p>
    <w:p>
      <w:pPr>
        <w:pStyle w:val="BodyText"/>
        <w:spacing w:before="5"/>
        <w:rPr>
          <w:sz w:val="21"/>
        </w:rPr>
      </w:pPr>
      <w:r>
        <w:rPr/>
        <w:br w:type="column"/>
      </w:r>
      <w:r>
        <w:rPr>
          <w:sz w:val="21"/>
        </w:rPr>
      </w:r>
    </w:p>
    <w:p>
      <w:pPr>
        <w:spacing w:line="247" w:lineRule="auto" w:before="0"/>
        <w:ind w:left="171" w:right="310" w:firstLine="0"/>
        <w:jc w:val="left"/>
        <w:rPr>
          <w:sz w:val="22"/>
        </w:rPr>
      </w:pPr>
      <w:r>
        <w:rPr>
          <w:sz w:val="22"/>
        </w:rPr>
        <w:t>are indications that sustained skill shortages in the sector are beginning to be seen in higher underlying pay growth—although there appears to be a wider dispersion of rates. Companies are also making increased use of non-pay rewards such as additional holidays and flexible working-hour arrangements.</w:t>
      </w:r>
    </w:p>
    <w:p>
      <w:pPr>
        <w:pStyle w:val="BodyText"/>
        <w:spacing w:before="2"/>
        <w:rPr>
          <w:sz w:val="26"/>
        </w:rPr>
      </w:pPr>
    </w:p>
    <w:p>
      <w:pPr>
        <w:pStyle w:val="Heading5"/>
        <w:rPr>
          <w:i/>
        </w:rPr>
      </w:pPr>
      <w:r>
        <w:rPr>
          <w:i/>
          <w:color w:val="006CB4"/>
        </w:rPr>
        <w:t>Output prices</w:t>
      </w:r>
    </w:p>
    <w:p>
      <w:pPr>
        <w:spacing w:line="247" w:lineRule="auto" w:before="208"/>
        <w:ind w:left="171" w:right="310" w:firstLine="0"/>
        <w:jc w:val="left"/>
        <w:rPr>
          <w:sz w:val="22"/>
        </w:rPr>
      </w:pPr>
      <w:r>
        <w:rPr>
          <w:sz w:val="22"/>
        </w:rPr>
        <w:t>The pace of decline in manufacturers’ output prices appeared to slow during the period. In recent months, some firms reported a degree of easing in margin pressure in export markets—especially those with dollar-denominated contracts. Despite the general inability to pass on any input price increases, some firms’ margins are benefitting from improved productivity and lower overhead costs. However, the majority of firms in more traditional manufacturing sectors continued to report intense pressure as a result of competition from continental Europe.</w:t>
      </w:r>
    </w:p>
    <w:p>
      <w:pPr>
        <w:pStyle w:val="BodyText"/>
        <w:spacing w:before="1"/>
        <w:rPr>
          <w:sz w:val="22"/>
        </w:rPr>
      </w:pPr>
    </w:p>
    <w:p>
      <w:pPr>
        <w:spacing w:line="247" w:lineRule="auto" w:before="0"/>
        <w:ind w:left="171" w:right="0" w:firstLine="0"/>
        <w:jc w:val="left"/>
        <w:rPr>
          <w:sz w:val="22"/>
        </w:rPr>
      </w:pPr>
      <w:r>
        <w:rPr>
          <w:sz w:val="22"/>
        </w:rPr>
        <w:t>By contrast, service sector firms noted relatively less difficulty in passing on cost increases. Transport and distribution costs were the most commonly cited examples of rising prices—linked mostly to fuel prices.</w:t>
      </w:r>
    </w:p>
    <w:p>
      <w:pPr>
        <w:pStyle w:val="BodyText"/>
        <w:spacing w:before="3"/>
        <w:rPr>
          <w:sz w:val="26"/>
        </w:rPr>
      </w:pPr>
    </w:p>
    <w:p>
      <w:pPr>
        <w:pStyle w:val="Heading5"/>
        <w:rPr>
          <w:i/>
        </w:rPr>
      </w:pPr>
      <w:r>
        <w:rPr>
          <w:i/>
          <w:color w:val="006CB4"/>
        </w:rPr>
        <w:t>Retail prices</w:t>
      </w:r>
    </w:p>
    <w:p>
      <w:pPr>
        <w:spacing w:line="247" w:lineRule="auto" w:before="254"/>
        <w:ind w:left="171" w:right="296" w:firstLine="0"/>
        <w:jc w:val="left"/>
        <w:rPr>
          <w:sz w:val="22"/>
        </w:rPr>
      </w:pPr>
      <w:r>
        <w:rPr>
          <w:sz w:val="22"/>
        </w:rPr>
        <w:t>On average, there was little change to the trend of flat or falling goods prices reported in previous </w:t>
      </w:r>
      <w:r>
        <w:rPr>
          <w:i/>
          <w:sz w:val="22"/>
        </w:rPr>
        <w:t>Agents’ </w:t>
      </w:r>
      <w:r>
        <w:rPr>
          <w:i/>
          <w:sz w:val="22"/>
        </w:rPr>
        <w:t>Summaries</w:t>
      </w:r>
      <w:r>
        <w:rPr>
          <w:sz w:val="22"/>
        </w:rPr>
        <w:t>. But within the period, it appeared that greater-than-normal discounting during the summer ‘sales’ at the beginning of the period (particularly for clothing) was balanced by slightly less-than-normal discounting towards the end of the period.</w:t>
      </w:r>
    </w:p>
    <w:p>
      <w:pPr>
        <w:pStyle w:val="BodyText"/>
        <w:spacing w:before="6"/>
        <w:rPr>
          <w:sz w:val="20"/>
        </w:rPr>
      </w:pPr>
    </w:p>
    <w:p>
      <w:pPr>
        <w:spacing w:line="247" w:lineRule="auto" w:before="0"/>
        <w:ind w:left="171" w:right="0" w:firstLine="0"/>
        <w:jc w:val="left"/>
        <w:rPr>
          <w:sz w:val="22"/>
        </w:rPr>
      </w:pPr>
      <w:r>
        <w:rPr>
          <w:sz w:val="22"/>
        </w:rPr>
        <w:t>On balance, service sector inflation was slightly slower than reported in the previous </w:t>
      </w:r>
      <w:r>
        <w:rPr>
          <w:i/>
          <w:sz w:val="22"/>
        </w:rPr>
        <w:t>Agents’ Summary</w:t>
      </w:r>
      <w:r>
        <w:rPr>
          <w:sz w:val="22"/>
        </w:rPr>
        <w:t>.</w:t>
      </w:r>
    </w:p>
    <w:p>
      <w:pPr>
        <w:spacing w:line="247" w:lineRule="auto" w:before="0"/>
        <w:ind w:left="171" w:right="943" w:firstLine="0"/>
        <w:jc w:val="left"/>
        <w:rPr>
          <w:sz w:val="22"/>
        </w:rPr>
      </w:pPr>
      <w:r>
        <w:rPr>
          <w:sz w:val="22"/>
        </w:rPr>
        <w:t>Further downward pressure was noted for UK tourism-related activities (for example hotels).</w:t>
      </w:r>
    </w:p>
    <w:p>
      <w:pPr>
        <w:pStyle w:val="BodyText"/>
        <w:spacing w:before="7"/>
        <w:rPr>
          <w:sz w:val="20"/>
        </w:rPr>
      </w:pPr>
    </w:p>
    <w:p>
      <w:pPr>
        <w:spacing w:line="247" w:lineRule="auto" w:before="1"/>
        <w:ind w:left="171" w:right="52" w:firstLine="0"/>
        <w:jc w:val="left"/>
        <w:rPr>
          <w:sz w:val="22"/>
        </w:rPr>
      </w:pPr>
      <w:r>
        <w:rPr>
          <w:sz w:val="22"/>
        </w:rPr>
        <w:t>During the period, Agencies noted a continued slowing in house price inflation. In the southern regions of the United Kingdom, price levels had fallen, but had subsequently stabilised. In other regions, house price inflation also slowed. However, in most cases, price levels continued to rise modestly.</w:t>
      </w:r>
    </w:p>
    <w:p>
      <w:pPr>
        <w:pStyle w:val="BodyText"/>
        <w:spacing w:before="6"/>
        <w:rPr>
          <w:sz w:val="20"/>
        </w:rPr>
      </w:pPr>
    </w:p>
    <w:p>
      <w:pPr>
        <w:spacing w:line="247" w:lineRule="auto" w:before="0"/>
        <w:ind w:left="171" w:right="310" w:firstLine="0"/>
        <w:jc w:val="left"/>
        <w:rPr>
          <w:sz w:val="22"/>
        </w:rPr>
      </w:pPr>
      <w:r>
        <w:rPr>
          <w:sz w:val="22"/>
        </w:rPr>
        <w:t>Agencies reported further falls in both new and used car prices during the period.</w:t>
      </w:r>
    </w:p>
    <w:p>
      <w:pPr>
        <w:spacing w:after="0" w:line="247" w:lineRule="auto"/>
        <w:jc w:val="left"/>
        <w:rPr>
          <w:sz w:val="22"/>
        </w:rPr>
        <w:sectPr>
          <w:type w:val="continuous"/>
          <w:pgSz w:w="11900" w:h="16840"/>
          <w:pgMar w:top="1260" w:bottom="280" w:left="640" w:right="640"/>
          <w:cols w:num="2" w:equalWidth="0">
            <w:col w:w="5109" w:space="273"/>
            <w:col w:w="5238"/>
          </w:cols>
        </w:sectPr>
      </w:pPr>
    </w:p>
    <w:p>
      <w:pPr>
        <w:pStyle w:val="BodyText"/>
        <w:rPr>
          <w:sz w:val="20"/>
        </w:rPr>
      </w:pPr>
      <w:r>
        <w:rPr/>
        <w:pict>
          <v:group style="position:absolute;margin-left:39pt;margin-top:39.669998pt;width:517pt;height:740.35pt;mso-position-horizontal-relative:page;mso-position-vertical-relative:page;z-index:-22432256" coordorigin="780,793" coordsize="10340,14807">
            <v:shape style="position:absolute;left:926;top:940;width:10047;height:14514" coordorigin="927,940" coordsize="10047,14514" path="m10973,940l5954,940,5945,940,927,940,927,8187,927,8206,927,15453,5945,15453,5954,15453,10973,15453,10973,8206,10973,8187,10973,940xe" filled="true" fillcolor="#d7e8e7" stroked="false">
              <v:path arrowok="t"/>
              <v:fill type="solid"/>
            </v:shape>
            <v:shape style="position:absolute;left:1016;top:1073;width:9867;height:14248" coordorigin="1017,1073" coordsize="9867,14248" path="m5950,1073l1017,8197,5950,15320,10883,8197,5950,1073xe" filled="true" fillcolor="#d9e8e7" stroked="false">
              <v:path arrowok="t"/>
              <v:fill type="solid"/>
            </v:shape>
            <v:shape style="position:absolute;left:1113;top:1212;width:9673;height:13968" coordorigin="1113,1213" coordsize="9673,13968" path="m5950,1213l1113,8197,5950,15180,10786,8197,5950,1213xe" filled="true" fillcolor="#dae9e8" stroked="false">
              <v:path arrowok="t"/>
              <v:fill type="solid"/>
            </v:shape>
            <v:shape style="position:absolute;left:1210;top:1352;width:9480;height:13689" coordorigin="1210,1352" coordsize="9480,13689" path="m5950,1352l1210,8197,5950,15041,10690,8197,5950,1352xe" filled="true" fillcolor="#daeae8" stroked="false">
              <v:path arrowok="t"/>
              <v:fill type="solid"/>
            </v:shape>
            <v:shape style="position:absolute;left:1306;top:1492;width:9286;height:13410" coordorigin="1307,1492" coordsize="9286,13410" path="m5950,1492l1307,8197,5950,14901,10593,8197,5950,1492xe" filled="true" fillcolor="#dbeae8" stroked="false">
              <v:path arrowok="t"/>
              <v:fill type="solid"/>
            </v:shape>
            <v:shape style="position:absolute;left:1403;top:1631;width:9093;height:13130" coordorigin="1404,1632" coordsize="9093,13130" path="m5950,1632l1404,8197,5950,14761,10496,8197,5950,1632xe" filled="true" fillcolor="#dcebe9" stroked="false">
              <v:path arrowok="t"/>
              <v:fill type="solid"/>
            </v:shape>
            <v:shape style="position:absolute;left:1500;top:1771;width:8900;height:12851" coordorigin="1500,1771" coordsize="8900,12851" path="m5950,1771l1500,8197,5950,14622,10399,8197,5950,1771xe" filled="true" fillcolor="#ddebe9" stroked="false">
              <v:path arrowok="t"/>
              <v:fill type="solid"/>
            </v:shape>
            <v:shape style="position:absolute;left:1597;top:1911;width:8706;height:12571" coordorigin="1597,1911" coordsize="8706,12571" path="m5950,1911l1597,8197,5950,14482,10303,8197,5950,1911xe" filled="true" fillcolor="#ddebea" stroked="false">
              <v:path arrowok="t"/>
              <v:fill type="solid"/>
            </v:shape>
            <v:shape style="position:absolute;left:1693;top:2050;width:8513;height:12292" coordorigin="1694,2051" coordsize="8513,12292" path="m5950,2051l1694,8197,5950,14342,10206,8197,5950,2051xe" filled="true" fillcolor="#dfebea" stroked="false">
              <v:path arrowok="t"/>
              <v:fill type="solid"/>
            </v:shape>
            <v:shape style="position:absolute;left:1790;top:2190;width:8319;height:12013" coordorigin="1791,2190" coordsize="8319,12013" path="m10109,8197l5950,2190,1791,8197,5950,14203,10109,8197xe" filled="true" fillcolor="#dfeceb" stroked="false">
              <v:path arrowok="t"/>
              <v:fill type="solid"/>
            </v:shape>
            <v:shape style="position:absolute;left:1984;top:2469;width:7932;height:11454" coordorigin="1984,2470" coordsize="7932,11454" path="m5950,2470l1984,8197,5950,13923,9916,8197,5950,2470xe" filled="true" fillcolor="#e0eceb" stroked="false">
              <v:path arrowok="t"/>
              <v:fill type="solid"/>
            </v:shape>
            <v:shape style="position:absolute;left:2080;top:2609;width:7739;height:11175" coordorigin="2081,2610" coordsize="7739,11175" path="m5950,2610l2081,8197,5950,13784,9819,8197,5950,2610xe" filled="true" fillcolor="#e0edeb" stroked="false">
              <v:path arrowok="t"/>
              <v:fill type="solid"/>
            </v:shape>
            <v:shape style="position:absolute;left:2177;top:2749;width:7545;height:10895" coordorigin="2177,2749" coordsize="7545,10895" path="m5950,2749l2177,8197,5950,13644,9722,8197,5950,2749xe" filled="true" fillcolor="#e1edeb" stroked="false">
              <v:path arrowok="t"/>
              <v:fill type="solid"/>
            </v:shape>
            <v:shape style="position:absolute;left:2274;top:2888;width:7352;height:10616" coordorigin="2274,2889" coordsize="7352,10616" path="m5950,2889l2274,8197,5950,13504,9626,8197,5950,2889xe" filled="true" fillcolor="#e2edec" stroked="false">
              <v:path arrowok="t"/>
              <v:fill type="solid"/>
            </v:shape>
            <v:shape style="position:absolute;left:2370;top:3028;width:7158;height:10337" coordorigin="2371,3029" coordsize="7158,10337" path="m5950,3029l2371,8197,5950,13365,9529,8197,5950,3029xe" filled="true" fillcolor="#e3eeec" stroked="false">
              <v:path arrowok="t"/>
              <v:fill type="solid"/>
            </v:shape>
            <v:shape style="position:absolute;left:2467;top:3168;width:6965;height:10057" coordorigin="2468,3168" coordsize="6965,10057" path="m5950,3168l2468,8197,5950,13225,9432,8197,5950,3168xe" filled="true" fillcolor="#e4efed" stroked="false">
              <v:path arrowok="t"/>
              <v:fill type="solid"/>
            </v:shape>
            <v:shape style="position:absolute;left:2564;top:3307;width:6771;height:9778" coordorigin="2564,3308" coordsize="6771,9778" path="m5950,3308l2564,8197,5950,13085,9335,8197,5950,3308xe" filled="true" fillcolor="#e6efed" stroked="false">
              <v:path arrowok="t"/>
              <v:fill type="solid"/>
            </v:shape>
            <v:shape style="position:absolute;left:2661;top:3447;width:6578;height:9499" coordorigin="2661,3448" coordsize="6578,9499" path="m5950,3448l2661,8197,5950,12946,9239,8197,5950,3448xe" filled="true" fillcolor="#e6efee" stroked="false">
              <v:path arrowok="t"/>
              <v:fill type="solid"/>
            </v:shape>
            <v:shape style="position:absolute;left:2757;top:3587;width:6385;height:9219" coordorigin="2758,3587" coordsize="6385,9219" path="m5950,3587l2758,8197,5950,12806,9142,8197,5950,3587xe" filled="true" fillcolor="#e7f0ee" stroked="false">
              <v:path arrowok="t"/>
              <v:fill type="solid"/>
            </v:shape>
            <v:shape style="position:absolute;left:2854;top:3726;width:6191;height:8940" coordorigin="2855,3727" coordsize="6191,8940" path="m9045,8197l5950,3727,2855,8197,5950,12666,9045,8197xe" filled="true" fillcolor="#e8f0ee" stroked="false">
              <v:path arrowok="t"/>
              <v:fill type="solid"/>
            </v:shape>
            <v:shape style="position:absolute;left:3048;top:4006;width:5804;height:8381" coordorigin="3048,4006" coordsize="5804,8381" path="m5950,4006l3048,8197,5950,12387,8852,8197,5950,4006xe" filled="true" fillcolor="#eaf1f0" stroked="false">
              <v:path arrowok="t"/>
              <v:fill type="solid"/>
            </v:shape>
            <v:shape style="position:absolute;left:3144;top:4145;width:5611;height:8102" coordorigin="3145,4146" coordsize="5611,8102" path="m8755,8197l5950,4146,3145,8197,5950,12247,8755,8197xe" filled="true" fillcolor="#ebf3f0" stroked="false">
              <v:path arrowok="t"/>
              <v:fill type="solid"/>
            </v:shape>
            <v:shape style="position:absolute;left:3338;top:4425;width:5224;height:7543" coordorigin="3338,4425" coordsize="5224,7543" path="m5950,4425l3338,8197,5950,11968,8562,8197,5950,4425xe" filled="true" fillcolor="#ebf4f1" stroked="false">
              <v:path arrowok="t"/>
              <v:fill type="solid"/>
            </v:shape>
            <v:shape style="position:absolute;left:3434;top:4565;width:5030;height:7264" coordorigin="3435,4565" coordsize="5030,7264" path="m5950,4565l3435,8197,5950,11828,8465,8197,5950,4565xe" filled="true" fillcolor="#ecf4f1" stroked="false">
              <v:path arrowok="t"/>
              <v:fill type="solid"/>
            </v:shape>
            <v:shape style="position:absolute;left:3531;top:4704;width:4837;height:6984" coordorigin="3532,4705" coordsize="4837,6984" path="m5950,4705l3532,8197,5950,11689,8368,8197,5950,4705xe" filled="true" fillcolor="#ecf4f3" stroked="false">
              <v:path arrowok="t"/>
              <v:fill type="solid"/>
            </v:shape>
            <v:shape style="position:absolute;left:3628;top:4844;width:4643;height:6705" coordorigin="3628,4844" coordsize="4643,6705" path="m5950,4844l3628,8197,5950,11549,8271,8197,5950,4844xe" filled="true" fillcolor="#edf5f3" stroked="false">
              <v:path arrowok="t"/>
              <v:fill type="solid"/>
            </v:shape>
            <v:shape style="position:absolute;left:3725;top:4984;width:4450;height:6426" coordorigin="3725,4984" coordsize="4450,6426" path="m5950,4984l3725,8197,5950,11409,8175,8197,5950,4984xe" filled="true" fillcolor="#eef5f4" stroked="false">
              <v:path arrowok="t"/>
              <v:fill type="solid"/>
            </v:shape>
            <v:shape style="position:absolute;left:3821;top:5123;width:4257;height:6146" coordorigin="3822,5124" coordsize="4257,6146" path="m5950,5124l3822,8197,5950,11270,8078,8197,5950,5124xe" filled="true" fillcolor="#eff6f4" stroked="false">
              <v:path arrowok="t"/>
              <v:fill type="solid"/>
            </v:shape>
            <v:shape style="position:absolute;left:3918;top:5263;width:4063;height:5867" coordorigin="3919,5263" coordsize="4063,5867" path="m5950,5263l3919,8197,5950,11130,7981,8197,5950,5263xe" filled="true" fillcolor="#eff6f5" stroked="false">
              <v:path arrowok="t"/>
              <v:fill type="solid"/>
            </v:shape>
            <v:shape style="position:absolute;left:4015;top:5403;width:3870;height:5588" coordorigin="4015,5403" coordsize="3870,5588" path="m5950,5403l4015,8197,5950,10990,7884,8197,5950,5403xe" filled="true" fillcolor="#f0f7f6" stroked="false">
              <v:path arrowok="t"/>
              <v:fill type="solid"/>
            </v:shape>
            <v:shape style="position:absolute;left:4112;top:5542;width:3676;height:5308" coordorigin="4112,5543" coordsize="3676,5308" path="m7788,8197l5950,5543,4112,8197,5950,10850,7788,8197xe" filled="true" fillcolor="#f1f7f6" stroked="false">
              <v:path arrowok="t"/>
              <v:fill type="solid"/>
            </v:shape>
            <v:shape style="position:absolute;left:4305;top:5822;width:3289;height:4750" coordorigin="4305,5822" coordsize="3289,4750" path="m5950,5822l4305,8197,5950,10571,7594,8197,5950,5822xe" filled="true" fillcolor="#f4f8f7" stroked="false">
              <v:path arrowok="t"/>
              <v:fill type="solid"/>
            </v:shape>
            <v:shape style="position:absolute;left:4402;top:5961;width:3096;height:4470" coordorigin="4402,5962" coordsize="3096,4470" path="m5950,5962l4402,8197,5950,10431,7498,8197,5950,5962xe" filled="true" fillcolor="#f4f8f8" stroked="false">
              <v:path arrowok="t"/>
              <v:fill type="solid"/>
            </v:shape>
            <v:shape style="position:absolute;left:4498;top:6101;width:2902;height:4191" coordorigin="4499,6101" coordsize="2902,4191" path="m5950,6101l4499,8197,5950,10292,7401,8197,5950,6101xe" filled="true" fillcolor="#f5f8f8" stroked="false">
              <v:path arrowok="t"/>
              <v:fill type="solid"/>
            </v:shape>
            <v:shape style="position:absolute;left:4595;top:6241;width:2709;height:3911" coordorigin="4596,6241" coordsize="2709,3911" path="m7304,8197l5950,6241,4596,8197,5950,10152,7304,8197xe" filled="true" fillcolor="#f6f8f8" stroked="false">
              <v:path arrowok="t"/>
              <v:fill type="solid"/>
            </v:shape>
            <v:shape style="position:absolute;left:4789;top:6520;width:2322;height:3353" coordorigin="4789,6521" coordsize="2322,3353" path="m5950,6521l4789,8197,5950,9873,7111,8197,5950,6521xe" filled="true" fillcolor="#f7f9f8" stroked="false">
              <v:path arrowok="t"/>
              <v:fill type="solid"/>
            </v:shape>
            <v:shape style="position:absolute;left:4885;top:6660;width:2129;height:3073" coordorigin="4886,6660" coordsize="2129,3073" path="m5950,6660l4886,8197,5950,9733,7014,8197,5950,6660xe" filled="true" fillcolor="#f8f9f8" stroked="false">
              <v:path arrowok="t"/>
              <v:fill type="solid"/>
            </v:shape>
            <v:shape style="position:absolute;left:4982;top:6799;width:1935;height:2794" coordorigin="4983,6800" coordsize="1935,2794" path="m5950,6800l4983,8197,5950,9593,6917,8197,5950,6800xe" filled="true" fillcolor="#f8fafa" stroked="false">
              <v:path arrowok="t"/>
              <v:fill type="solid"/>
            </v:shape>
            <v:shape style="position:absolute;left:5079;top:6939;width:1742;height:2515" coordorigin="5079,6940" coordsize="1742,2515" path="m5950,6940l5079,8197,5950,9454,6820,8197,5950,6940xe" filled="true" fillcolor="#f8fbfa" stroked="false">
              <v:path arrowok="t"/>
              <v:fill type="solid"/>
            </v:shape>
            <v:shape style="position:absolute;left:5176;top:7079;width:1548;height:2235" coordorigin="5176,7079" coordsize="1548,2235" path="m5950,7079l5176,8197,5950,9314,6724,8197,5950,7079xe" filled="true" fillcolor="#f9fbfa" stroked="false">
              <v:path arrowok="t"/>
              <v:fill type="solid"/>
            </v:shape>
            <v:shape style="position:absolute;left:5272;top:7218;width:1355;height:1956" coordorigin="5273,7219" coordsize="1355,1956" path="m5950,7219l5273,8197,5950,9174,6627,8197,5950,7219xe" filled="true" fillcolor="#fafbfb" stroked="false">
              <v:path arrowok="t"/>
              <v:fill type="solid"/>
            </v:shape>
            <v:shape style="position:absolute;left:5369;top:7358;width:1161;height:1677" coordorigin="5370,7359" coordsize="1161,1677" path="m5950,7359l5370,8197,5950,9035,6530,8197,5950,7359xe" filled="true" fillcolor="#fafcfb" stroked="false">
              <v:path arrowok="t"/>
              <v:fill type="solid"/>
            </v:shape>
            <v:shape style="position:absolute;left:5466;top:7498;width:968;height:1397" coordorigin="5466,7498" coordsize="968,1397" path="m5950,7498l5466,8197,5950,8895,6434,8197,5950,7498xe" filled="true" fillcolor="#fbfcfc" stroked="false">
              <v:path arrowok="t"/>
              <v:fill type="solid"/>
            </v:shape>
            <v:shape style="position:absolute;left:5562;top:7637;width:774;height:1118" coordorigin="5563,7638" coordsize="774,1118" path="m5950,7638l5563,8197,5950,8755,6337,8197,5950,7638xe" filled="true" fillcolor="#fcfdfd" stroked="false">
              <v:path arrowok="t"/>
              <v:fill type="solid"/>
            </v:shape>
            <v:shape style="position:absolute;left:5659;top:7777;width:581;height:839" coordorigin="5660,7778" coordsize="581,839" path="m5950,7778l5660,8197,5950,8616,6240,8197,5950,7778xe" filled="true" fillcolor="#fdfdfd" stroked="false">
              <v:path arrowok="t"/>
              <v:fill type="solid"/>
            </v:shape>
            <v:shape style="position:absolute;left:5756;top:7917;width:387;height:559" coordorigin="5756,7917" coordsize="387,559" path="m5950,7917l5756,8197,5950,8476,6143,8197,5950,7917xe" filled="true" fillcolor="#fdfffd" stroked="false">
              <v:path arrowok="t"/>
              <v:fill type="solid"/>
            </v:shape>
            <v:shape style="position:absolute;left:5853;top:8056;width:194;height:280" coordorigin="5853,8057" coordsize="194,280" path="m5950,8057l5853,8197,5950,8336,6047,8197,5950,8057xe" filled="true" fillcolor="#ffffff" stroked="false">
              <v:path arrowok="t"/>
              <v:fill type="solid"/>
            </v:shape>
            <v:rect style="position:absolute;left:873;top:886;width:10154;height:14620" filled="false" stroked="true" strokeweight="5.333pt" strokecolor="#ffffff">
              <v:stroke dashstyle="solid"/>
            </v:rect>
            <v:rect style="position:absolute;left:820;top:833;width:10260;height:14727" filled="false" stroked="true" strokeweight="4pt" strokecolor="#009391">
              <v:stroke dashstyle="solid"/>
            </v:rect>
            <v:rect style="position:absolute;left:926;top:940;width:10047;height:14514" filled="false" stroked="true" strokeweight="1.334pt" strokecolor="#009391">
              <v:stroke dashstyle="solid"/>
            </v:rect>
            <v:rect style="position:absolute;left:1533;top:1473;width:8840;height:13460" filled="false" stroked="true" strokeweight="2pt" strokecolor="#009391">
              <v:stroke dashstyle="solid"/>
            </v:rect>
            <v:rect style="position:absolute;left:1586;top:1526;width:8734;height:13354" filled="false" stroked="true" strokeweight=".667pt" strokecolor="#009391">
              <v:stroke dashstyle="solid"/>
            </v:rect>
            <v:shape style="position:absolute;left:3078;top:7233;width:5863;height:5887" type="#_x0000_t75" stroked="false">
              <v:imagedata r:id="rId220"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665" w:lineRule="exact" w:before="212"/>
        <w:ind w:right="1195"/>
      </w:pPr>
      <w:bookmarkStart w:name="Monetary Policy Committee meetings minut" w:id="87"/>
      <w:bookmarkEnd w:id="87"/>
      <w:r>
        <w:rPr>
          <w:b w:val="0"/>
        </w:rPr>
      </w:r>
      <w:bookmarkStart w:name="_bookmark39" w:id="88"/>
      <w:bookmarkEnd w:id="88"/>
      <w:r>
        <w:rPr>
          <w:b w:val="0"/>
        </w:rPr>
      </w:r>
      <w:r>
        <w:rPr/>
        <w:t>Annex:</w:t>
      </w:r>
    </w:p>
    <w:p>
      <w:pPr>
        <w:spacing w:line="223" w:lineRule="auto" w:before="15"/>
        <w:ind w:left="1975" w:right="1859" w:firstLine="0"/>
        <w:jc w:val="center"/>
        <w:rPr>
          <w:b/>
          <w:sz w:val="60"/>
        </w:rPr>
      </w:pPr>
      <w:r>
        <w:rPr>
          <w:b/>
          <w:sz w:val="60"/>
        </w:rPr>
        <w:t>Minutes and Press Notices of the monthly</w:t>
      </w:r>
    </w:p>
    <w:p>
      <w:pPr>
        <w:spacing w:line="223" w:lineRule="auto" w:before="0"/>
        <w:ind w:left="1308" w:right="1193" w:firstLine="0"/>
        <w:jc w:val="center"/>
        <w:rPr>
          <w:b/>
          <w:sz w:val="60"/>
        </w:rPr>
      </w:pPr>
      <w:r>
        <w:rPr>
          <w:b/>
          <w:sz w:val="60"/>
        </w:rPr>
        <w:t>Monetary Policy Committee meetings</w:t>
      </w:r>
    </w:p>
    <w:p>
      <w:pPr>
        <w:spacing w:after="0" w:line="223" w:lineRule="auto"/>
        <w:jc w:val="center"/>
        <w:rPr>
          <w:sz w:val="60"/>
        </w:rPr>
        <w:sectPr>
          <w:headerReference w:type="default" r:id="rId219"/>
          <w:pgSz w:w="11900" w:h="16840"/>
          <w:pgMar w:header="0" w:footer="597" w:top="800" w:bottom="780" w:left="640" w:right="640"/>
        </w:sectPr>
      </w:pPr>
    </w:p>
    <w:p>
      <w:pPr>
        <w:pStyle w:val="BodyText"/>
        <w:rPr>
          <w:b/>
          <w:sz w:val="20"/>
        </w:rPr>
      </w:pPr>
    </w:p>
    <w:p>
      <w:pPr>
        <w:pStyle w:val="BodyText"/>
        <w:rPr>
          <w:b/>
          <w:sz w:val="20"/>
        </w:rPr>
      </w:pPr>
    </w:p>
    <w:p>
      <w:pPr>
        <w:pStyle w:val="BodyText"/>
        <w:spacing w:before="2"/>
        <w:rPr>
          <w:b/>
          <w:sz w:val="20"/>
        </w:rPr>
      </w:pPr>
    </w:p>
    <w:p>
      <w:pPr>
        <w:pStyle w:val="Heading3"/>
      </w:pPr>
      <w:bookmarkStart w:name="August minutes" w:id="89"/>
      <w:bookmarkEnd w:id="89"/>
      <w:r>
        <w:rPr>
          <w:b w:val="0"/>
        </w:rPr>
      </w:r>
      <w:bookmarkStart w:name="_bookmark40" w:id="90"/>
      <w:bookmarkEnd w:id="90"/>
      <w:r>
        <w:rPr>
          <w:b w:val="0"/>
        </w:rPr>
      </w:r>
      <w:r>
        <w:rPr>
          <w:color w:val="009391"/>
        </w:rPr>
        <w:t>Minutes of the Monetary Policy Committee meeting on 2–3 August 2000</w:t>
      </w:r>
    </w:p>
    <w:p>
      <w:pPr>
        <w:pStyle w:val="BodyText"/>
        <w:rPr>
          <w:b/>
          <w:sz w:val="28"/>
        </w:rPr>
      </w:pPr>
    </w:p>
    <w:p>
      <w:pPr>
        <w:spacing w:after="0"/>
        <w:rPr>
          <w:sz w:val="28"/>
        </w:rPr>
        <w:sectPr>
          <w:headerReference w:type="default" r:id="rId221"/>
          <w:headerReference w:type="even" r:id="rId222"/>
          <w:footerReference w:type="default" r:id="rId223"/>
          <w:footerReference w:type="even" r:id="rId224"/>
          <w:pgSz w:w="11900" w:h="16840"/>
          <w:pgMar w:header="566" w:footer="597" w:top="760" w:bottom="780" w:left="640" w:right="640"/>
          <w:pgNumType w:start="77"/>
        </w:sectPr>
      </w:pPr>
    </w:p>
    <w:p>
      <w:pPr>
        <w:pStyle w:val="ListParagraph"/>
        <w:numPr>
          <w:ilvl w:val="0"/>
          <w:numId w:val="48"/>
        </w:numPr>
        <w:tabs>
          <w:tab w:pos="645" w:val="left" w:leader="none"/>
          <w:tab w:pos="646" w:val="left" w:leader="none"/>
        </w:tabs>
        <w:spacing w:line="232" w:lineRule="auto" w:before="98" w:after="0"/>
        <w:ind w:left="165" w:right="167" w:firstLine="0"/>
        <w:jc w:val="left"/>
        <w:rPr>
          <w:sz w:val="18"/>
        </w:rPr>
      </w:pPr>
      <w:r>
        <w:rPr>
          <w:sz w:val="18"/>
        </w:rPr>
        <w:t>Before turning to its immediate policy decision, the Committee discussed demand and output; international economic developments; money, credit and asset prices; labour market conditions; and prices and costs; and then reviewed the August projections for output and inflation, and various tactical considerations.</w:t>
      </w:r>
    </w:p>
    <w:p>
      <w:pPr>
        <w:pStyle w:val="BodyText"/>
        <w:spacing w:before="3"/>
        <w:rPr>
          <w:sz w:val="20"/>
        </w:rPr>
      </w:pPr>
    </w:p>
    <w:p>
      <w:pPr>
        <w:spacing w:before="0"/>
        <w:ind w:left="165" w:right="0" w:firstLine="0"/>
        <w:jc w:val="left"/>
        <w:rPr>
          <w:b/>
          <w:sz w:val="22"/>
        </w:rPr>
      </w:pPr>
      <w:r>
        <w:rPr>
          <w:b/>
          <w:color w:val="009391"/>
          <w:sz w:val="22"/>
        </w:rPr>
        <w:t>Demand and output</w:t>
      </w:r>
    </w:p>
    <w:p>
      <w:pPr>
        <w:pStyle w:val="ListParagraph"/>
        <w:numPr>
          <w:ilvl w:val="0"/>
          <w:numId w:val="48"/>
        </w:numPr>
        <w:tabs>
          <w:tab w:pos="645" w:val="left" w:leader="none"/>
          <w:tab w:pos="646" w:val="left" w:leader="none"/>
        </w:tabs>
        <w:spacing w:line="232" w:lineRule="auto" w:before="130" w:after="0"/>
        <w:ind w:left="165" w:right="122" w:firstLine="0"/>
        <w:jc w:val="left"/>
        <w:rPr>
          <w:sz w:val="18"/>
        </w:rPr>
      </w:pPr>
      <w:r>
        <w:rPr>
          <w:sz w:val="18"/>
        </w:rPr>
        <w:t>The first estimate of the quarter-on-quarter rate of GDP growth in Q2 had been 0.9%, considerably higher than expected at the time of the May </w:t>
      </w:r>
      <w:r>
        <w:rPr>
          <w:i/>
          <w:sz w:val="18"/>
        </w:rPr>
        <w:t>Inflation Report</w:t>
      </w:r>
      <w:r>
        <w:rPr>
          <w:sz w:val="18"/>
        </w:rPr>
        <w:t>. The increase in measured growth between Q1 and Q2 partly reflected a bounce back in energy production, which had been affected by the weather in Q1. But it was not solely an energy story. Services output was estimated</w:t>
      </w:r>
      <w:r>
        <w:rPr>
          <w:spacing w:val="-4"/>
          <w:sz w:val="18"/>
        </w:rPr>
        <w:t> </w:t>
      </w:r>
      <w:r>
        <w:rPr>
          <w:sz w:val="18"/>
        </w:rPr>
        <w:t>to</w:t>
      </w:r>
      <w:r>
        <w:rPr>
          <w:spacing w:val="-4"/>
          <w:sz w:val="18"/>
        </w:rPr>
        <w:t> </w:t>
      </w:r>
      <w:r>
        <w:rPr>
          <w:sz w:val="18"/>
        </w:rPr>
        <w:t>have</w:t>
      </w:r>
      <w:r>
        <w:rPr>
          <w:spacing w:val="-4"/>
          <w:sz w:val="18"/>
        </w:rPr>
        <w:t> </w:t>
      </w:r>
      <w:r>
        <w:rPr>
          <w:sz w:val="18"/>
        </w:rPr>
        <w:t>grown</w:t>
      </w:r>
      <w:r>
        <w:rPr>
          <w:spacing w:val="-4"/>
          <w:sz w:val="18"/>
        </w:rPr>
        <w:t> </w:t>
      </w:r>
      <w:r>
        <w:rPr>
          <w:sz w:val="18"/>
        </w:rPr>
        <w:t>by</w:t>
      </w:r>
      <w:r>
        <w:rPr>
          <w:spacing w:val="-4"/>
          <w:sz w:val="18"/>
        </w:rPr>
        <w:t> </w:t>
      </w:r>
      <w:r>
        <w:rPr>
          <w:sz w:val="18"/>
        </w:rPr>
        <w:t>1%</w:t>
      </w:r>
      <w:r>
        <w:rPr>
          <w:spacing w:val="-3"/>
          <w:sz w:val="18"/>
        </w:rPr>
        <w:t> </w:t>
      </w:r>
      <w:r>
        <w:rPr>
          <w:sz w:val="18"/>
        </w:rPr>
        <w:t>in</w:t>
      </w:r>
      <w:r>
        <w:rPr>
          <w:spacing w:val="-4"/>
          <w:sz w:val="18"/>
        </w:rPr>
        <w:t> </w:t>
      </w:r>
      <w:r>
        <w:rPr>
          <w:sz w:val="18"/>
        </w:rPr>
        <w:t>Q2</w:t>
      </w:r>
      <w:r>
        <w:rPr>
          <w:spacing w:val="-4"/>
          <w:sz w:val="18"/>
        </w:rPr>
        <w:t> </w:t>
      </w:r>
      <w:r>
        <w:rPr>
          <w:sz w:val="18"/>
        </w:rPr>
        <w:t>on</w:t>
      </w:r>
      <w:r>
        <w:rPr>
          <w:spacing w:val="-4"/>
          <w:sz w:val="18"/>
        </w:rPr>
        <w:t> </w:t>
      </w:r>
      <w:r>
        <w:rPr>
          <w:sz w:val="18"/>
        </w:rPr>
        <w:t>Q1,</w:t>
      </w:r>
      <w:r>
        <w:rPr>
          <w:spacing w:val="-4"/>
          <w:sz w:val="18"/>
        </w:rPr>
        <w:t> </w:t>
      </w:r>
      <w:r>
        <w:rPr>
          <w:sz w:val="18"/>
        </w:rPr>
        <w:t>compared</w:t>
      </w:r>
      <w:r>
        <w:rPr>
          <w:spacing w:val="-3"/>
          <w:sz w:val="18"/>
        </w:rPr>
        <w:t> </w:t>
      </w:r>
      <w:r>
        <w:rPr>
          <w:sz w:val="18"/>
        </w:rPr>
        <w:t>with</w:t>
      </w:r>
      <w:r>
        <w:rPr>
          <w:spacing w:val="-4"/>
          <w:sz w:val="18"/>
        </w:rPr>
        <w:t> </w:t>
      </w:r>
      <w:r>
        <w:rPr>
          <w:sz w:val="18"/>
        </w:rPr>
        <w:t>0.7% in Q1 on 1999 Q4. Another contributory factor might have been a rebound</w:t>
      </w:r>
      <w:r>
        <w:rPr>
          <w:spacing w:val="-6"/>
          <w:sz w:val="18"/>
        </w:rPr>
        <w:t> </w:t>
      </w:r>
      <w:r>
        <w:rPr>
          <w:sz w:val="18"/>
        </w:rPr>
        <w:t>in</w:t>
      </w:r>
      <w:r>
        <w:rPr>
          <w:spacing w:val="-5"/>
          <w:sz w:val="18"/>
        </w:rPr>
        <w:t> </w:t>
      </w:r>
      <w:r>
        <w:rPr>
          <w:sz w:val="18"/>
        </w:rPr>
        <w:t>IT</w:t>
      </w:r>
      <w:r>
        <w:rPr>
          <w:spacing w:val="-5"/>
          <w:sz w:val="18"/>
        </w:rPr>
        <w:t> </w:t>
      </w:r>
      <w:r>
        <w:rPr>
          <w:sz w:val="18"/>
        </w:rPr>
        <w:t>spending,</w:t>
      </w:r>
      <w:r>
        <w:rPr>
          <w:spacing w:val="-6"/>
          <w:sz w:val="18"/>
        </w:rPr>
        <w:t> </w:t>
      </w:r>
      <w:r>
        <w:rPr>
          <w:sz w:val="18"/>
        </w:rPr>
        <w:t>following</w:t>
      </w:r>
      <w:r>
        <w:rPr>
          <w:spacing w:val="-5"/>
          <w:sz w:val="18"/>
        </w:rPr>
        <w:t> </w:t>
      </w:r>
      <w:r>
        <w:rPr>
          <w:sz w:val="18"/>
        </w:rPr>
        <w:t>a</w:t>
      </w:r>
      <w:r>
        <w:rPr>
          <w:spacing w:val="-5"/>
          <w:sz w:val="18"/>
        </w:rPr>
        <w:t> </w:t>
      </w:r>
      <w:r>
        <w:rPr>
          <w:sz w:val="18"/>
        </w:rPr>
        <w:t>post-millennium</w:t>
      </w:r>
      <w:r>
        <w:rPr>
          <w:spacing w:val="-6"/>
          <w:sz w:val="18"/>
        </w:rPr>
        <w:t> </w:t>
      </w:r>
      <w:r>
        <w:rPr>
          <w:sz w:val="18"/>
        </w:rPr>
        <w:t>pause</w:t>
      </w:r>
      <w:r>
        <w:rPr>
          <w:spacing w:val="-5"/>
          <w:sz w:val="18"/>
        </w:rPr>
        <w:t> </w:t>
      </w:r>
      <w:r>
        <w:rPr>
          <w:sz w:val="18"/>
        </w:rPr>
        <w:t>in</w:t>
      </w:r>
      <w:r>
        <w:rPr>
          <w:spacing w:val="-5"/>
          <w:sz w:val="18"/>
        </w:rPr>
        <w:t> </w:t>
      </w:r>
      <w:r>
        <w:rPr>
          <w:sz w:val="18"/>
        </w:rPr>
        <w:t>Q1.</w:t>
      </w:r>
    </w:p>
    <w:p>
      <w:pPr>
        <w:pStyle w:val="BodyText"/>
        <w:spacing w:before="5"/>
        <w:rPr>
          <w:sz w:val="18"/>
        </w:rPr>
      </w:pPr>
    </w:p>
    <w:p>
      <w:pPr>
        <w:pStyle w:val="ListParagraph"/>
        <w:numPr>
          <w:ilvl w:val="0"/>
          <w:numId w:val="48"/>
        </w:numPr>
        <w:tabs>
          <w:tab w:pos="645" w:val="left" w:leader="none"/>
          <w:tab w:pos="646" w:val="left" w:leader="none"/>
        </w:tabs>
        <w:spacing w:line="232" w:lineRule="auto" w:before="1" w:after="0"/>
        <w:ind w:left="165" w:right="38" w:firstLine="0"/>
        <w:jc w:val="left"/>
        <w:rPr>
          <w:sz w:val="18"/>
        </w:rPr>
      </w:pPr>
      <w:r>
        <w:rPr>
          <w:sz w:val="18"/>
        </w:rPr>
        <w:t>More important than the recent volatility in the quarterly output numbers was the changing prospect for the balance of demand in the economy. For the past few years one of the central elements of the Committee’s analysis had been the need to restrain final domestic demand growth, and so domestic inflationary pressures, before the downward influences on net external demand and inflation from sterling’s prolonged appreciation and the weakness in world commodity prices and traded goods prices wore off. Two developments had affected that analysis in recent months: the depreciation in sterling since May and the public expenditure increases announced in the Budget and confirmed in the recent Spending Review. A key question now was, therefore, whether private sector demand would decelerate</w:t>
      </w:r>
      <w:r>
        <w:rPr>
          <w:spacing w:val="-12"/>
          <w:sz w:val="18"/>
        </w:rPr>
        <w:t> </w:t>
      </w:r>
      <w:r>
        <w:rPr>
          <w:sz w:val="18"/>
        </w:rPr>
        <w:t>sufficiently.</w:t>
      </w:r>
    </w:p>
    <w:p>
      <w:pPr>
        <w:pStyle w:val="BodyText"/>
        <w:spacing w:before="2"/>
        <w:rPr>
          <w:sz w:val="18"/>
        </w:rPr>
      </w:pPr>
    </w:p>
    <w:p>
      <w:pPr>
        <w:pStyle w:val="ListParagraph"/>
        <w:numPr>
          <w:ilvl w:val="0"/>
          <w:numId w:val="48"/>
        </w:numPr>
        <w:tabs>
          <w:tab w:pos="645" w:val="left" w:leader="none"/>
          <w:tab w:pos="646" w:val="left" w:leader="none"/>
        </w:tabs>
        <w:spacing w:line="232" w:lineRule="auto" w:before="1" w:after="0"/>
        <w:ind w:left="165" w:right="97" w:firstLine="0"/>
        <w:jc w:val="left"/>
        <w:rPr>
          <w:sz w:val="18"/>
        </w:rPr>
      </w:pPr>
      <w:r>
        <w:rPr>
          <w:sz w:val="18"/>
        </w:rPr>
        <w:t>There had not been much change in aggregate public sector spending plans since the March Budget. The Chancellor’s announcement since the Committee’s previous meeting of the results</w:t>
      </w:r>
      <w:r>
        <w:rPr>
          <w:spacing w:val="-6"/>
          <w:sz w:val="18"/>
        </w:rPr>
        <w:t> </w:t>
      </w:r>
      <w:r>
        <w:rPr>
          <w:sz w:val="18"/>
        </w:rPr>
        <w:t>of</w:t>
      </w:r>
      <w:r>
        <w:rPr>
          <w:spacing w:val="-6"/>
          <w:sz w:val="18"/>
        </w:rPr>
        <w:t> </w:t>
      </w:r>
      <w:r>
        <w:rPr>
          <w:sz w:val="18"/>
        </w:rPr>
        <w:t>the</w:t>
      </w:r>
      <w:r>
        <w:rPr>
          <w:spacing w:val="-5"/>
          <w:sz w:val="18"/>
        </w:rPr>
        <w:t> </w:t>
      </w:r>
      <w:r>
        <w:rPr>
          <w:sz w:val="18"/>
        </w:rPr>
        <w:t>Spending</w:t>
      </w:r>
      <w:r>
        <w:rPr>
          <w:spacing w:val="-6"/>
          <w:sz w:val="18"/>
        </w:rPr>
        <w:t> </w:t>
      </w:r>
      <w:r>
        <w:rPr>
          <w:sz w:val="18"/>
        </w:rPr>
        <w:t>Review</w:t>
      </w:r>
      <w:r>
        <w:rPr>
          <w:spacing w:val="-5"/>
          <w:sz w:val="18"/>
        </w:rPr>
        <w:t> </w:t>
      </w:r>
      <w:r>
        <w:rPr>
          <w:sz w:val="18"/>
        </w:rPr>
        <w:t>had,</w:t>
      </w:r>
      <w:r>
        <w:rPr>
          <w:spacing w:val="-6"/>
          <w:sz w:val="18"/>
        </w:rPr>
        <w:t> </w:t>
      </w:r>
      <w:r>
        <w:rPr>
          <w:sz w:val="18"/>
        </w:rPr>
        <w:t>for</w:t>
      </w:r>
      <w:r>
        <w:rPr>
          <w:spacing w:val="-5"/>
          <w:sz w:val="18"/>
        </w:rPr>
        <w:t> </w:t>
      </w:r>
      <w:r>
        <w:rPr>
          <w:sz w:val="18"/>
        </w:rPr>
        <w:t>the</w:t>
      </w:r>
      <w:r>
        <w:rPr>
          <w:spacing w:val="-6"/>
          <w:sz w:val="18"/>
        </w:rPr>
        <w:t> </w:t>
      </w:r>
      <w:r>
        <w:rPr>
          <w:sz w:val="18"/>
        </w:rPr>
        <w:t>Committee’s</w:t>
      </w:r>
      <w:r>
        <w:rPr>
          <w:spacing w:val="-5"/>
          <w:sz w:val="18"/>
        </w:rPr>
        <w:t> </w:t>
      </w:r>
      <w:r>
        <w:rPr>
          <w:sz w:val="18"/>
        </w:rPr>
        <w:t>purposes, not substantially altered the overall picture, but it had added detail on two things: a carry forward of £1.5 billion of underspend from 1999–2000, and an increase in planned departmental spending on account of lower expected debt interest and social security payments. It was also noted that government revenue was coming in higher than projected, though views differed on the extent to which this would depress aggregate</w:t>
      </w:r>
      <w:r>
        <w:rPr>
          <w:spacing w:val="-9"/>
          <w:sz w:val="18"/>
        </w:rPr>
        <w:t> </w:t>
      </w:r>
      <w:r>
        <w:rPr>
          <w:sz w:val="18"/>
        </w:rPr>
        <w:t>demand.</w:t>
      </w:r>
    </w:p>
    <w:p>
      <w:pPr>
        <w:pStyle w:val="BodyText"/>
        <w:spacing w:before="4"/>
        <w:rPr>
          <w:sz w:val="18"/>
        </w:rPr>
      </w:pPr>
    </w:p>
    <w:p>
      <w:pPr>
        <w:pStyle w:val="ListParagraph"/>
        <w:numPr>
          <w:ilvl w:val="0"/>
          <w:numId w:val="48"/>
        </w:numPr>
        <w:tabs>
          <w:tab w:pos="645" w:val="left" w:leader="none"/>
          <w:tab w:pos="646" w:val="left" w:leader="none"/>
        </w:tabs>
        <w:spacing w:line="232" w:lineRule="auto" w:before="0" w:after="0"/>
        <w:ind w:left="165" w:right="87" w:firstLine="0"/>
        <w:jc w:val="left"/>
        <w:rPr>
          <w:sz w:val="18"/>
        </w:rPr>
      </w:pPr>
      <w:r>
        <w:rPr>
          <w:sz w:val="18"/>
        </w:rPr>
        <w:t>The Committee noted the considerable uncertainty about the possibility of future underspends. Much of the planned extra spending was earmarked for government investment programmes, many of which were subject to complex planning processes. More generally, it would be unclear for some years how the timing of departmental spending would be affected by the introduction of greater flexibility in carrying forward the unspent part of departmental budgets into subsequent financial years. Some members of the Committee saw a risk of government spending being lower than planned over the forecast</w:t>
      </w:r>
      <w:r>
        <w:rPr>
          <w:spacing w:val="-15"/>
          <w:sz w:val="18"/>
        </w:rPr>
        <w:t> </w:t>
      </w:r>
      <w:r>
        <w:rPr>
          <w:sz w:val="18"/>
        </w:rPr>
        <w:t>horizon.</w:t>
      </w:r>
    </w:p>
    <w:p>
      <w:pPr>
        <w:pStyle w:val="BodyText"/>
        <w:spacing w:before="5"/>
        <w:rPr>
          <w:sz w:val="18"/>
        </w:rPr>
      </w:pPr>
    </w:p>
    <w:p>
      <w:pPr>
        <w:pStyle w:val="ListParagraph"/>
        <w:numPr>
          <w:ilvl w:val="0"/>
          <w:numId w:val="48"/>
        </w:numPr>
        <w:tabs>
          <w:tab w:pos="645" w:val="left" w:leader="none"/>
          <w:tab w:pos="646" w:val="left" w:leader="none"/>
        </w:tabs>
        <w:spacing w:line="232" w:lineRule="auto" w:before="0" w:after="0"/>
        <w:ind w:left="165" w:right="52" w:firstLine="0"/>
        <w:jc w:val="left"/>
        <w:rPr>
          <w:sz w:val="18"/>
        </w:rPr>
      </w:pPr>
      <w:r>
        <w:rPr>
          <w:sz w:val="18"/>
        </w:rPr>
        <w:t>Separately, it was not clear whether the reduction in projected social security payments reflected the cyclical strength of the economy or lower social security payments for any given level of output. Whether cyclical or structural influences were at work would have some effect on the prospect for government spending if the economy</w:t>
      </w:r>
      <w:r>
        <w:rPr>
          <w:spacing w:val="-3"/>
          <w:sz w:val="18"/>
        </w:rPr>
        <w:t> </w:t>
      </w:r>
      <w:r>
        <w:rPr>
          <w:sz w:val="18"/>
        </w:rPr>
        <w:t>slowed.</w:t>
      </w:r>
    </w:p>
    <w:p>
      <w:pPr>
        <w:pStyle w:val="BodyText"/>
        <w:rPr>
          <w:sz w:val="17"/>
        </w:rPr>
      </w:pPr>
    </w:p>
    <w:p>
      <w:pPr>
        <w:pStyle w:val="ListParagraph"/>
        <w:numPr>
          <w:ilvl w:val="0"/>
          <w:numId w:val="48"/>
        </w:numPr>
        <w:tabs>
          <w:tab w:pos="645" w:val="left" w:leader="none"/>
          <w:tab w:pos="646" w:val="left" w:leader="none"/>
        </w:tabs>
        <w:spacing w:line="232" w:lineRule="auto" w:before="0" w:after="0"/>
        <w:ind w:left="165" w:right="102" w:firstLine="0"/>
        <w:jc w:val="left"/>
        <w:rPr>
          <w:sz w:val="18"/>
        </w:rPr>
      </w:pPr>
      <w:r>
        <w:rPr>
          <w:sz w:val="18"/>
        </w:rPr>
        <w:t>More generally, given that the economy was currently—and was set to continue—operating close to capacity, an increase in public</w:t>
      </w:r>
      <w:r>
        <w:rPr>
          <w:spacing w:val="-5"/>
          <w:sz w:val="18"/>
        </w:rPr>
        <w:t> </w:t>
      </w:r>
      <w:r>
        <w:rPr>
          <w:sz w:val="18"/>
        </w:rPr>
        <w:t>sector</w:t>
      </w:r>
      <w:r>
        <w:rPr>
          <w:spacing w:val="-5"/>
          <w:sz w:val="18"/>
        </w:rPr>
        <w:t> </w:t>
      </w:r>
      <w:r>
        <w:rPr>
          <w:sz w:val="18"/>
        </w:rPr>
        <w:t>spending</w:t>
      </w:r>
      <w:r>
        <w:rPr>
          <w:spacing w:val="-4"/>
          <w:sz w:val="18"/>
        </w:rPr>
        <w:t> </w:t>
      </w:r>
      <w:r>
        <w:rPr>
          <w:sz w:val="18"/>
        </w:rPr>
        <w:t>could</w:t>
      </w:r>
      <w:r>
        <w:rPr>
          <w:spacing w:val="-5"/>
          <w:sz w:val="18"/>
        </w:rPr>
        <w:t> </w:t>
      </w:r>
      <w:r>
        <w:rPr>
          <w:sz w:val="18"/>
        </w:rPr>
        <w:t>be</w:t>
      </w:r>
      <w:r>
        <w:rPr>
          <w:spacing w:val="-4"/>
          <w:sz w:val="18"/>
        </w:rPr>
        <w:t> </w:t>
      </w:r>
      <w:r>
        <w:rPr>
          <w:sz w:val="18"/>
        </w:rPr>
        <w:t>accommodated</w:t>
      </w:r>
      <w:r>
        <w:rPr>
          <w:spacing w:val="-5"/>
          <w:sz w:val="18"/>
        </w:rPr>
        <w:t> </w:t>
      </w:r>
      <w:r>
        <w:rPr>
          <w:sz w:val="18"/>
        </w:rPr>
        <w:t>only</w:t>
      </w:r>
      <w:r>
        <w:rPr>
          <w:spacing w:val="-4"/>
          <w:sz w:val="18"/>
        </w:rPr>
        <w:t> </w:t>
      </w:r>
      <w:r>
        <w:rPr>
          <w:sz w:val="18"/>
        </w:rPr>
        <w:t>if</w:t>
      </w:r>
      <w:r>
        <w:rPr>
          <w:spacing w:val="-5"/>
          <w:sz w:val="18"/>
        </w:rPr>
        <w:t> </w:t>
      </w:r>
      <w:r>
        <w:rPr>
          <w:sz w:val="18"/>
        </w:rPr>
        <w:t>resources</w:t>
      </w:r>
    </w:p>
    <w:p>
      <w:pPr>
        <w:spacing w:line="232" w:lineRule="auto" w:before="98"/>
        <w:ind w:left="165" w:right="331" w:firstLine="0"/>
        <w:jc w:val="left"/>
        <w:rPr>
          <w:sz w:val="18"/>
        </w:rPr>
      </w:pPr>
      <w:r>
        <w:rPr/>
        <w:br w:type="column"/>
      </w:r>
      <w:r>
        <w:rPr>
          <w:sz w:val="18"/>
        </w:rPr>
        <w:t>were released by a slowdown in private sector demand. A vital question, therefore, was whether that should be expected to occur autonomously at the current level of interest rates or whether a further tightening of policy might be needed to bring it about.</w:t>
      </w:r>
    </w:p>
    <w:p>
      <w:pPr>
        <w:pStyle w:val="ListParagraph"/>
        <w:numPr>
          <w:ilvl w:val="0"/>
          <w:numId w:val="48"/>
        </w:numPr>
        <w:tabs>
          <w:tab w:pos="645" w:val="left" w:leader="none"/>
          <w:tab w:pos="646" w:val="left" w:leader="none"/>
        </w:tabs>
        <w:spacing w:line="232" w:lineRule="auto" w:before="177" w:after="0"/>
        <w:ind w:left="165" w:right="160" w:firstLine="0"/>
        <w:jc w:val="left"/>
        <w:rPr>
          <w:sz w:val="18"/>
        </w:rPr>
      </w:pPr>
      <w:r>
        <w:rPr>
          <w:sz w:val="18"/>
        </w:rPr>
        <w:t>This would depend in good part on the outlook for private sector consumption. The indicators were mixed. On the one hand, some encouragement could be taken from developments in the determinants and indicators of household spending. House prices had decelerated faster than earlier expected, and the latest Royal Institute of Chartered Surveyors’ survey showed a majority of estate agents expecting prices to fall. Domestic equity prices were hardly changed over the year so far. Wealth was, therefore, no longer rising at a rapid rate. Earnings growth had slowed and was expected to moderate further. The Bank’s regional Agents reported that consumer demand seemed to be easing. On the other hand, the level of wealth was still high; household borrowing—secured and unsecured—remained strong; real incomes were expected to continue rising, and unemployment to remain low.  It was also noted that a more moderate pace of house price growth need not of itself entail slower consumption growth, as 1997–98 showed. Overall, the Committee concluded that the saving ratio was likely to</w:t>
      </w:r>
      <w:r>
        <w:rPr>
          <w:spacing w:val="-6"/>
          <w:sz w:val="18"/>
        </w:rPr>
        <w:t> </w:t>
      </w:r>
      <w:r>
        <w:rPr>
          <w:sz w:val="18"/>
        </w:rPr>
        <w:t>rise</w:t>
      </w:r>
      <w:r>
        <w:rPr>
          <w:spacing w:val="-5"/>
          <w:sz w:val="18"/>
        </w:rPr>
        <w:t> </w:t>
      </w:r>
      <w:r>
        <w:rPr>
          <w:sz w:val="18"/>
        </w:rPr>
        <w:t>somewhat,</w:t>
      </w:r>
      <w:r>
        <w:rPr>
          <w:spacing w:val="-5"/>
          <w:sz w:val="18"/>
        </w:rPr>
        <w:t> </w:t>
      </w:r>
      <w:r>
        <w:rPr>
          <w:sz w:val="18"/>
        </w:rPr>
        <w:t>reflecting</w:t>
      </w:r>
      <w:r>
        <w:rPr>
          <w:spacing w:val="-6"/>
          <w:sz w:val="18"/>
        </w:rPr>
        <w:t> </w:t>
      </w:r>
      <w:r>
        <w:rPr>
          <w:sz w:val="18"/>
        </w:rPr>
        <w:t>both</w:t>
      </w:r>
      <w:r>
        <w:rPr>
          <w:spacing w:val="-5"/>
          <w:sz w:val="18"/>
        </w:rPr>
        <w:t> </w:t>
      </w:r>
      <w:r>
        <w:rPr>
          <w:sz w:val="18"/>
        </w:rPr>
        <w:t>lagged</w:t>
      </w:r>
      <w:r>
        <w:rPr>
          <w:spacing w:val="-5"/>
          <w:sz w:val="18"/>
        </w:rPr>
        <w:t> </w:t>
      </w:r>
      <w:r>
        <w:rPr>
          <w:sz w:val="18"/>
        </w:rPr>
        <w:t>effects</w:t>
      </w:r>
      <w:r>
        <w:rPr>
          <w:spacing w:val="-6"/>
          <w:sz w:val="18"/>
        </w:rPr>
        <w:t> </w:t>
      </w:r>
      <w:r>
        <w:rPr>
          <w:sz w:val="18"/>
        </w:rPr>
        <w:t>from</w:t>
      </w:r>
      <w:r>
        <w:rPr>
          <w:spacing w:val="-5"/>
          <w:sz w:val="18"/>
        </w:rPr>
        <w:t> </w:t>
      </w:r>
      <w:r>
        <w:rPr>
          <w:sz w:val="18"/>
        </w:rPr>
        <w:t>the</w:t>
      </w:r>
      <w:r>
        <w:rPr>
          <w:spacing w:val="-5"/>
          <w:sz w:val="18"/>
        </w:rPr>
        <w:t> </w:t>
      </w:r>
      <w:r>
        <w:rPr>
          <w:sz w:val="18"/>
        </w:rPr>
        <w:t>past</w:t>
      </w:r>
      <w:r>
        <w:rPr>
          <w:spacing w:val="-6"/>
          <w:sz w:val="18"/>
        </w:rPr>
        <w:t> </w:t>
      </w:r>
      <w:r>
        <w:rPr>
          <w:sz w:val="18"/>
        </w:rPr>
        <w:t>policy tightenings and also the assumption that households would want to strengthen their balance sheets. Consumption growth was, therefore, expected to moderate—only slightly compared with the first half of the year, but significantly compared to the past few years. Some members saw upside risks to the consumption</w:t>
      </w:r>
      <w:r>
        <w:rPr>
          <w:spacing w:val="-1"/>
          <w:sz w:val="18"/>
        </w:rPr>
        <w:t> </w:t>
      </w:r>
      <w:r>
        <w:rPr>
          <w:sz w:val="18"/>
        </w:rPr>
        <w:t>profile.</w:t>
      </w:r>
    </w:p>
    <w:p>
      <w:pPr>
        <w:pStyle w:val="ListParagraph"/>
        <w:numPr>
          <w:ilvl w:val="0"/>
          <w:numId w:val="48"/>
        </w:numPr>
        <w:tabs>
          <w:tab w:pos="645" w:val="left" w:leader="none"/>
          <w:tab w:pos="646" w:val="left" w:leader="none"/>
        </w:tabs>
        <w:spacing w:line="232" w:lineRule="auto" w:before="162" w:after="0"/>
        <w:ind w:left="165" w:right="225" w:firstLine="0"/>
        <w:jc w:val="left"/>
        <w:rPr>
          <w:sz w:val="18"/>
        </w:rPr>
      </w:pPr>
      <w:r>
        <w:rPr>
          <w:sz w:val="18"/>
        </w:rPr>
        <w:t>Regarding</w:t>
      </w:r>
      <w:r>
        <w:rPr>
          <w:spacing w:val="-7"/>
          <w:sz w:val="18"/>
        </w:rPr>
        <w:t> </w:t>
      </w:r>
      <w:r>
        <w:rPr>
          <w:sz w:val="18"/>
        </w:rPr>
        <w:t>other</w:t>
      </w:r>
      <w:r>
        <w:rPr>
          <w:spacing w:val="-6"/>
          <w:sz w:val="18"/>
        </w:rPr>
        <w:t> </w:t>
      </w:r>
      <w:r>
        <w:rPr>
          <w:sz w:val="18"/>
        </w:rPr>
        <w:t>components</w:t>
      </w:r>
      <w:r>
        <w:rPr>
          <w:spacing w:val="-7"/>
          <w:sz w:val="18"/>
        </w:rPr>
        <w:t> </w:t>
      </w:r>
      <w:r>
        <w:rPr>
          <w:sz w:val="18"/>
        </w:rPr>
        <w:t>of</w:t>
      </w:r>
      <w:r>
        <w:rPr>
          <w:spacing w:val="-6"/>
          <w:sz w:val="18"/>
        </w:rPr>
        <w:t> </w:t>
      </w:r>
      <w:r>
        <w:rPr>
          <w:sz w:val="18"/>
        </w:rPr>
        <w:t>private</w:t>
      </w:r>
      <w:r>
        <w:rPr>
          <w:spacing w:val="-6"/>
          <w:sz w:val="18"/>
        </w:rPr>
        <w:t> </w:t>
      </w:r>
      <w:r>
        <w:rPr>
          <w:sz w:val="18"/>
        </w:rPr>
        <w:t>sector</w:t>
      </w:r>
      <w:r>
        <w:rPr>
          <w:spacing w:val="-7"/>
          <w:sz w:val="18"/>
        </w:rPr>
        <w:t> </w:t>
      </w:r>
      <w:r>
        <w:rPr>
          <w:sz w:val="18"/>
        </w:rPr>
        <w:t>demand,</w:t>
      </w:r>
      <w:r>
        <w:rPr>
          <w:spacing w:val="-6"/>
          <w:sz w:val="18"/>
        </w:rPr>
        <w:t> </w:t>
      </w:r>
      <w:r>
        <w:rPr>
          <w:sz w:val="18"/>
        </w:rPr>
        <w:t>there was some discussion of the implications for private sector investment of the recent corporate sector profit numbers. Some members were struck by the fall in profits in 1999—to the lowest share of GDP for five years. Others thought that there had been only relatively small variations in a strikingly flat</w:t>
      </w:r>
      <w:r>
        <w:rPr>
          <w:spacing w:val="-22"/>
          <w:sz w:val="18"/>
        </w:rPr>
        <w:t> </w:t>
      </w:r>
      <w:r>
        <w:rPr>
          <w:sz w:val="18"/>
        </w:rPr>
        <w:t>series.</w:t>
      </w:r>
    </w:p>
    <w:p>
      <w:pPr>
        <w:pStyle w:val="ListParagraph"/>
        <w:numPr>
          <w:ilvl w:val="0"/>
          <w:numId w:val="48"/>
        </w:numPr>
        <w:tabs>
          <w:tab w:pos="645" w:val="left" w:leader="none"/>
          <w:tab w:pos="646" w:val="left" w:leader="none"/>
        </w:tabs>
        <w:spacing w:line="232" w:lineRule="auto" w:before="175" w:after="0"/>
        <w:ind w:left="165" w:right="194" w:firstLine="0"/>
        <w:jc w:val="left"/>
        <w:rPr>
          <w:sz w:val="18"/>
        </w:rPr>
      </w:pPr>
      <w:r>
        <w:rPr>
          <w:sz w:val="18"/>
        </w:rPr>
        <w:t>Survey indicators provided what was generally seen as a mixed picture of the outlook. The July CBI Quarterly Industrial Trends Survey had recorded a fall in all activity balances, other than for expected output. Some members placed considerable weight</w:t>
      </w:r>
      <w:r>
        <w:rPr>
          <w:spacing w:val="-5"/>
          <w:sz w:val="18"/>
        </w:rPr>
        <w:t> </w:t>
      </w:r>
      <w:r>
        <w:rPr>
          <w:sz w:val="18"/>
        </w:rPr>
        <w:t>on</w:t>
      </w:r>
      <w:r>
        <w:rPr>
          <w:spacing w:val="-5"/>
          <w:sz w:val="18"/>
        </w:rPr>
        <w:t> </w:t>
      </w:r>
      <w:r>
        <w:rPr>
          <w:sz w:val="18"/>
        </w:rPr>
        <w:t>this</w:t>
      </w:r>
      <w:r>
        <w:rPr>
          <w:spacing w:val="-5"/>
          <w:sz w:val="18"/>
        </w:rPr>
        <w:t> </w:t>
      </w:r>
      <w:r>
        <w:rPr>
          <w:sz w:val="18"/>
        </w:rPr>
        <w:t>survey</w:t>
      </w:r>
      <w:r>
        <w:rPr>
          <w:spacing w:val="-5"/>
          <w:sz w:val="18"/>
        </w:rPr>
        <w:t> </w:t>
      </w:r>
      <w:r>
        <w:rPr>
          <w:sz w:val="18"/>
        </w:rPr>
        <w:t>series,</w:t>
      </w:r>
      <w:r>
        <w:rPr>
          <w:spacing w:val="-5"/>
          <w:sz w:val="18"/>
        </w:rPr>
        <w:t> </w:t>
      </w:r>
      <w:r>
        <w:rPr>
          <w:sz w:val="18"/>
        </w:rPr>
        <w:t>suggesting</w:t>
      </w:r>
      <w:r>
        <w:rPr>
          <w:spacing w:val="-5"/>
          <w:sz w:val="18"/>
        </w:rPr>
        <w:t> </w:t>
      </w:r>
      <w:r>
        <w:rPr>
          <w:sz w:val="18"/>
        </w:rPr>
        <w:t>that</w:t>
      </w:r>
      <w:r>
        <w:rPr>
          <w:spacing w:val="-5"/>
          <w:sz w:val="18"/>
        </w:rPr>
        <w:t> </w:t>
      </w:r>
      <w:r>
        <w:rPr>
          <w:sz w:val="18"/>
        </w:rPr>
        <w:t>despite</w:t>
      </w:r>
      <w:r>
        <w:rPr>
          <w:spacing w:val="-5"/>
          <w:sz w:val="18"/>
        </w:rPr>
        <w:t> </w:t>
      </w:r>
      <w:r>
        <w:rPr>
          <w:sz w:val="18"/>
        </w:rPr>
        <w:t>its</w:t>
      </w:r>
      <w:r>
        <w:rPr>
          <w:spacing w:val="-4"/>
          <w:sz w:val="18"/>
        </w:rPr>
        <w:t> </w:t>
      </w:r>
      <w:r>
        <w:rPr>
          <w:sz w:val="18"/>
        </w:rPr>
        <w:t>focus</w:t>
      </w:r>
      <w:r>
        <w:rPr>
          <w:spacing w:val="-5"/>
          <w:sz w:val="18"/>
        </w:rPr>
        <w:t> </w:t>
      </w:r>
      <w:r>
        <w:rPr>
          <w:sz w:val="18"/>
        </w:rPr>
        <w:t>on</w:t>
      </w:r>
      <w:r>
        <w:rPr>
          <w:spacing w:val="-5"/>
          <w:sz w:val="18"/>
        </w:rPr>
        <w:t> </w:t>
      </w:r>
      <w:r>
        <w:rPr>
          <w:sz w:val="18"/>
        </w:rPr>
        <w:t>the manufacturing sector it had the longest and best leading indicator record for whole economy output—with its most prominent ‘mistake’ being the sharp falls in autumn 1998, where it was possible that the Committee’s rapid easing of policy had made a difference.</w:t>
      </w:r>
    </w:p>
    <w:p>
      <w:pPr>
        <w:pStyle w:val="ListParagraph"/>
        <w:numPr>
          <w:ilvl w:val="0"/>
          <w:numId w:val="48"/>
        </w:numPr>
        <w:tabs>
          <w:tab w:pos="645" w:val="left" w:leader="none"/>
          <w:tab w:pos="646" w:val="left" w:leader="none"/>
        </w:tabs>
        <w:spacing w:line="232" w:lineRule="auto" w:before="173" w:after="0"/>
        <w:ind w:left="165" w:right="225" w:firstLine="0"/>
        <w:jc w:val="left"/>
        <w:rPr>
          <w:sz w:val="18"/>
        </w:rPr>
      </w:pPr>
      <w:r>
        <w:rPr>
          <w:sz w:val="18"/>
        </w:rPr>
        <w:t>The Chartered Institute of Purchasing and Supply’s manufacturing</w:t>
      </w:r>
      <w:r>
        <w:rPr>
          <w:spacing w:val="-7"/>
          <w:sz w:val="18"/>
        </w:rPr>
        <w:t> </w:t>
      </w:r>
      <w:r>
        <w:rPr>
          <w:sz w:val="18"/>
        </w:rPr>
        <w:t>survey</w:t>
      </w:r>
      <w:r>
        <w:rPr>
          <w:spacing w:val="-7"/>
          <w:sz w:val="18"/>
        </w:rPr>
        <w:t> </w:t>
      </w:r>
      <w:r>
        <w:rPr>
          <w:sz w:val="18"/>
        </w:rPr>
        <w:t>showed</w:t>
      </w:r>
      <w:r>
        <w:rPr>
          <w:spacing w:val="-8"/>
          <w:sz w:val="18"/>
        </w:rPr>
        <w:t> </w:t>
      </w:r>
      <w:r>
        <w:rPr>
          <w:sz w:val="18"/>
        </w:rPr>
        <w:t>a</w:t>
      </w:r>
      <w:r>
        <w:rPr>
          <w:spacing w:val="-7"/>
          <w:sz w:val="18"/>
        </w:rPr>
        <w:t> </w:t>
      </w:r>
      <w:r>
        <w:rPr>
          <w:sz w:val="18"/>
        </w:rPr>
        <w:t>rebound</w:t>
      </w:r>
      <w:r>
        <w:rPr>
          <w:spacing w:val="-7"/>
          <w:sz w:val="18"/>
        </w:rPr>
        <w:t> </w:t>
      </w:r>
      <w:r>
        <w:rPr>
          <w:sz w:val="18"/>
        </w:rPr>
        <w:t>in</w:t>
      </w:r>
      <w:r>
        <w:rPr>
          <w:spacing w:val="-7"/>
          <w:sz w:val="18"/>
        </w:rPr>
        <w:t> </w:t>
      </w:r>
      <w:r>
        <w:rPr>
          <w:sz w:val="18"/>
        </w:rPr>
        <w:t>manufacturing</w:t>
      </w:r>
      <w:r>
        <w:rPr>
          <w:spacing w:val="-7"/>
          <w:sz w:val="18"/>
        </w:rPr>
        <w:t> </w:t>
      </w:r>
      <w:r>
        <w:rPr>
          <w:sz w:val="18"/>
        </w:rPr>
        <w:t>activity, with the balances for output, orders and export orders all rising. The British Chambers of Commerce manufacturing indicators had not risen overall, however. Some members noted that the fact that not all the manufacturing survey indicators had risen, despite the recent fall in sterling’s exchange rate, suggested that there was significant underlying weakness in that</w:t>
      </w:r>
      <w:r>
        <w:rPr>
          <w:spacing w:val="-10"/>
          <w:sz w:val="18"/>
        </w:rPr>
        <w:t> </w:t>
      </w:r>
      <w:r>
        <w:rPr>
          <w:sz w:val="18"/>
        </w:rPr>
        <w:t>sector.</w:t>
      </w:r>
    </w:p>
    <w:p>
      <w:pPr>
        <w:pStyle w:val="ListParagraph"/>
        <w:numPr>
          <w:ilvl w:val="0"/>
          <w:numId w:val="48"/>
        </w:numPr>
        <w:tabs>
          <w:tab w:pos="645" w:val="left" w:leader="none"/>
          <w:tab w:pos="646" w:val="left" w:leader="none"/>
        </w:tabs>
        <w:spacing w:line="232" w:lineRule="auto" w:before="174" w:after="0"/>
        <w:ind w:left="165" w:right="204" w:firstLine="0"/>
        <w:jc w:val="left"/>
        <w:rPr>
          <w:sz w:val="18"/>
        </w:rPr>
      </w:pPr>
      <w:r>
        <w:rPr>
          <w:sz w:val="18"/>
        </w:rPr>
        <w:t>In the services sector, the main survey indicators had been stronger on the month and were pointing to continued robust growth. Given that services account for about two thirds of UK output, most members thought that the survey evidence overall was consistent with steady</w:t>
      </w:r>
      <w:r>
        <w:rPr>
          <w:spacing w:val="-5"/>
          <w:sz w:val="18"/>
        </w:rPr>
        <w:t> </w:t>
      </w:r>
      <w:r>
        <w:rPr>
          <w:sz w:val="18"/>
        </w:rPr>
        <w:t>growth.</w:t>
      </w:r>
    </w:p>
    <w:p>
      <w:pPr>
        <w:pStyle w:val="BodyText"/>
        <w:spacing w:before="3"/>
        <w:rPr>
          <w:sz w:val="20"/>
        </w:rPr>
      </w:pPr>
    </w:p>
    <w:p>
      <w:pPr>
        <w:spacing w:before="1"/>
        <w:ind w:left="165" w:right="0" w:firstLine="0"/>
        <w:jc w:val="left"/>
        <w:rPr>
          <w:b/>
          <w:sz w:val="22"/>
        </w:rPr>
      </w:pPr>
      <w:r>
        <w:rPr>
          <w:b/>
          <w:color w:val="009391"/>
          <w:sz w:val="22"/>
        </w:rPr>
        <w:t>International economic developments</w:t>
      </w:r>
    </w:p>
    <w:p>
      <w:pPr>
        <w:pStyle w:val="ListParagraph"/>
        <w:numPr>
          <w:ilvl w:val="0"/>
          <w:numId w:val="48"/>
        </w:numPr>
        <w:tabs>
          <w:tab w:pos="645" w:val="left" w:leader="none"/>
          <w:tab w:pos="646" w:val="left" w:leader="none"/>
        </w:tabs>
        <w:spacing w:line="232" w:lineRule="auto" w:before="109" w:after="0"/>
        <w:ind w:left="165" w:right="154" w:firstLine="0"/>
        <w:jc w:val="left"/>
        <w:rPr>
          <w:sz w:val="18"/>
        </w:rPr>
      </w:pPr>
      <w:r>
        <w:rPr>
          <w:sz w:val="18"/>
        </w:rPr>
        <w:t>The Committee briefly discussed international developments. The euro area continued to strengthen. Growth in the US had, yet again, been stronger than expected. There were, though,</w:t>
      </w:r>
      <w:r>
        <w:rPr>
          <w:spacing w:val="-29"/>
          <w:sz w:val="18"/>
        </w:rPr>
        <w:t> </w:t>
      </w:r>
      <w:r>
        <w:rPr>
          <w:sz w:val="18"/>
        </w:rPr>
        <w:t>some</w:t>
      </w:r>
    </w:p>
    <w:p>
      <w:pPr>
        <w:spacing w:after="0" w:line="232" w:lineRule="auto"/>
        <w:jc w:val="left"/>
        <w:rPr>
          <w:sz w:val="18"/>
        </w:rPr>
        <w:sectPr>
          <w:type w:val="continuous"/>
          <w:pgSz w:w="11900" w:h="16840"/>
          <w:pgMar w:top="1260" w:bottom="280" w:left="640" w:right="640"/>
          <w:cols w:num="2" w:equalWidth="0">
            <w:col w:w="5088" w:space="302"/>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6"/>
        <w:rPr>
          <w:sz w:val="20"/>
        </w:rPr>
      </w:pPr>
    </w:p>
    <w:p>
      <w:pPr>
        <w:spacing w:line="232" w:lineRule="auto" w:before="0"/>
        <w:ind w:left="178" w:right="75" w:firstLine="0"/>
        <w:jc w:val="left"/>
        <w:rPr>
          <w:sz w:val="18"/>
        </w:rPr>
      </w:pPr>
      <w:r>
        <w:rPr>
          <w:sz w:val="18"/>
        </w:rPr>
        <w:t>signs of moderation, partly reflecting tighter monetary policy and equity prices being slightly down on the year. There remained a risk of persistent strong growth being followed by a ‘hard landing’, possibly triggered by or leading to a sharp adjustment in asset prices.</w:t>
      </w:r>
    </w:p>
    <w:p>
      <w:pPr>
        <w:pStyle w:val="BodyText"/>
        <w:spacing w:before="1"/>
        <w:rPr>
          <w:sz w:val="17"/>
        </w:rPr>
      </w:pPr>
    </w:p>
    <w:p>
      <w:pPr>
        <w:pStyle w:val="ListParagraph"/>
        <w:numPr>
          <w:ilvl w:val="0"/>
          <w:numId w:val="48"/>
        </w:numPr>
        <w:tabs>
          <w:tab w:pos="658" w:val="left" w:leader="none"/>
          <w:tab w:pos="659" w:val="left" w:leader="none"/>
        </w:tabs>
        <w:spacing w:line="232" w:lineRule="auto" w:before="0" w:after="0"/>
        <w:ind w:left="178" w:right="57" w:firstLine="0"/>
        <w:jc w:val="left"/>
        <w:rPr>
          <w:sz w:val="18"/>
        </w:rPr>
      </w:pPr>
      <w:r>
        <w:rPr>
          <w:sz w:val="18"/>
        </w:rPr>
        <w:t>Oil prices had been stronger than expected in May, which had fed into petrol prices and more generally into RPIX inflation. They had though fallen back in recent weeks and were now expected to fall at a quicker pace than assumed in the May </w:t>
      </w:r>
      <w:r>
        <w:rPr>
          <w:i/>
          <w:sz w:val="18"/>
        </w:rPr>
        <w:t>Inflation </w:t>
      </w:r>
      <w:r>
        <w:rPr>
          <w:i/>
          <w:sz w:val="18"/>
        </w:rPr>
        <w:t>Report</w:t>
      </w:r>
      <w:r>
        <w:rPr>
          <w:i/>
          <w:spacing w:val="-1"/>
          <w:sz w:val="18"/>
        </w:rPr>
        <w:t> </w:t>
      </w:r>
      <w:r>
        <w:rPr>
          <w:sz w:val="18"/>
        </w:rPr>
        <w:t>projections.</w:t>
      </w:r>
    </w:p>
    <w:p>
      <w:pPr>
        <w:pStyle w:val="BodyText"/>
        <w:rPr>
          <w:sz w:val="17"/>
        </w:rPr>
      </w:pPr>
    </w:p>
    <w:p>
      <w:pPr>
        <w:pStyle w:val="ListParagraph"/>
        <w:numPr>
          <w:ilvl w:val="0"/>
          <w:numId w:val="48"/>
        </w:numPr>
        <w:tabs>
          <w:tab w:pos="658" w:val="left" w:leader="none"/>
          <w:tab w:pos="659" w:val="left" w:leader="none"/>
        </w:tabs>
        <w:spacing w:line="232" w:lineRule="auto" w:before="0" w:after="0"/>
        <w:ind w:left="178" w:right="147" w:firstLine="0"/>
        <w:jc w:val="left"/>
        <w:rPr>
          <w:sz w:val="18"/>
        </w:rPr>
      </w:pPr>
      <w:r>
        <w:rPr>
          <w:sz w:val="18"/>
        </w:rPr>
        <w:t>Overall, the stronger world economic outlook and sterling’s depreciation implied that, looking forward, external influences would probably bear down less on RPIX inflation than in recent years.</w:t>
      </w:r>
    </w:p>
    <w:p>
      <w:pPr>
        <w:pStyle w:val="BodyText"/>
        <w:spacing w:before="5"/>
        <w:rPr>
          <w:sz w:val="20"/>
        </w:rPr>
      </w:pPr>
    </w:p>
    <w:p>
      <w:pPr>
        <w:spacing w:before="0"/>
        <w:ind w:left="178" w:right="0" w:firstLine="0"/>
        <w:jc w:val="left"/>
        <w:rPr>
          <w:b/>
          <w:sz w:val="22"/>
        </w:rPr>
      </w:pPr>
      <w:r>
        <w:rPr>
          <w:b/>
          <w:color w:val="009391"/>
          <w:sz w:val="22"/>
        </w:rPr>
        <w:t>Money, credit and asset prices</w:t>
      </w:r>
    </w:p>
    <w:p>
      <w:pPr>
        <w:pStyle w:val="ListParagraph"/>
        <w:numPr>
          <w:ilvl w:val="0"/>
          <w:numId w:val="48"/>
        </w:numPr>
        <w:tabs>
          <w:tab w:pos="658" w:val="left" w:leader="none"/>
          <w:tab w:pos="659" w:val="left" w:leader="none"/>
        </w:tabs>
        <w:spacing w:line="232" w:lineRule="auto" w:before="129" w:after="0"/>
        <w:ind w:left="178" w:right="77" w:firstLine="0"/>
        <w:jc w:val="left"/>
        <w:rPr>
          <w:sz w:val="18"/>
        </w:rPr>
      </w:pPr>
      <w:r>
        <w:rPr>
          <w:sz w:val="18"/>
        </w:rPr>
        <w:t>A number of indicators suggested that the housing market was slowing: for example, net reservations, site visits, and house prices. But mortgage lending growth and approvals remained strong, as did unsecured borrowing. It was possible that higher debt levels reflected the increases over recent years in household sector wealth brought about by rises in equity and house prices. It was suggested that strong borrowing might reflect more competitive conditions in the consumer credit industry, and that the implications for demand and inflation were unclear. On the whole, though, it was thought that some deceleration in household borrowing would probably occur if consumption growth was to slow in line with the Committee’s projections. The two might come together if households tried to improve their balance sheets. The timing was, however, uncertain. The possibility of continued strong borrowing represented an upside risk to</w:t>
      </w:r>
      <w:r>
        <w:rPr>
          <w:spacing w:val="-24"/>
          <w:sz w:val="18"/>
        </w:rPr>
        <w:t> </w:t>
      </w:r>
      <w:r>
        <w:rPr>
          <w:sz w:val="18"/>
        </w:rPr>
        <w:t>consumption.</w:t>
      </w:r>
    </w:p>
    <w:p>
      <w:pPr>
        <w:pStyle w:val="BodyText"/>
        <w:spacing w:before="5"/>
        <w:rPr>
          <w:sz w:val="16"/>
        </w:rPr>
      </w:pPr>
    </w:p>
    <w:p>
      <w:pPr>
        <w:pStyle w:val="ListParagraph"/>
        <w:numPr>
          <w:ilvl w:val="0"/>
          <w:numId w:val="48"/>
        </w:numPr>
        <w:tabs>
          <w:tab w:pos="658" w:val="left" w:leader="none"/>
          <w:tab w:pos="659" w:val="left" w:leader="none"/>
        </w:tabs>
        <w:spacing w:line="232" w:lineRule="auto" w:before="0" w:after="0"/>
        <w:ind w:left="178" w:right="73" w:firstLine="0"/>
        <w:jc w:val="left"/>
        <w:rPr>
          <w:sz w:val="18"/>
        </w:rPr>
      </w:pPr>
      <w:r>
        <w:rPr>
          <w:sz w:val="18"/>
        </w:rPr>
        <w:t>The corporate borrowing and money numbers were a puzzle. Borrowing from banks and the capital markets was strong, but so was deposit growth. There were no clear sectoral stories to explain the aggregate data. Recent strength in services sector borrowing was not obviously associated with investment</w:t>
      </w:r>
      <w:r>
        <w:rPr>
          <w:spacing w:val="-15"/>
          <w:sz w:val="18"/>
        </w:rPr>
        <w:t> </w:t>
      </w:r>
      <w:r>
        <w:rPr>
          <w:sz w:val="18"/>
        </w:rPr>
        <w:t>growth.</w:t>
      </w:r>
    </w:p>
    <w:p>
      <w:pPr>
        <w:pStyle w:val="BodyText"/>
        <w:rPr>
          <w:sz w:val="17"/>
        </w:rPr>
      </w:pPr>
    </w:p>
    <w:p>
      <w:pPr>
        <w:pStyle w:val="ListParagraph"/>
        <w:numPr>
          <w:ilvl w:val="0"/>
          <w:numId w:val="48"/>
        </w:numPr>
        <w:tabs>
          <w:tab w:pos="658" w:val="left" w:leader="none"/>
          <w:tab w:pos="659" w:val="left" w:leader="none"/>
        </w:tabs>
        <w:spacing w:line="232" w:lineRule="auto" w:before="0" w:after="0"/>
        <w:ind w:left="178" w:right="38" w:firstLine="0"/>
        <w:jc w:val="left"/>
        <w:rPr>
          <w:sz w:val="18"/>
        </w:rPr>
      </w:pPr>
      <w:r>
        <w:rPr>
          <w:sz w:val="18"/>
        </w:rPr>
        <w:t>While sterling’s effective exchange rate index had risen by around 2% over the month, it was still about 4% below the path assumed in the Committee’s May projections. Looking over the year as a whole, sterling had fallen back from its sharp spike in the spring to around the levels prevailing at the end of 1999. Taking that longer view, it was not entirely a euro story; sterling was around 10 cents lower against the dollar than at the beginning of the year.</w:t>
      </w:r>
    </w:p>
    <w:p>
      <w:pPr>
        <w:pStyle w:val="BodyText"/>
        <w:spacing w:before="10"/>
        <w:rPr>
          <w:sz w:val="16"/>
        </w:rPr>
      </w:pPr>
    </w:p>
    <w:p>
      <w:pPr>
        <w:pStyle w:val="ListParagraph"/>
        <w:numPr>
          <w:ilvl w:val="0"/>
          <w:numId w:val="48"/>
        </w:numPr>
        <w:tabs>
          <w:tab w:pos="658" w:val="left" w:leader="none"/>
          <w:tab w:pos="659" w:val="left" w:leader="none"/>
        </w:tabs>
        <w:spacing w:line="232" w:lineRule="auto" w:before="0" w:after="0"/>
        <w:ind w:left="178" w:right="97" w:firstLine="0"/>
        <w:jc w:val="left"/>
        <w:rPr>
          <w:sz w:val="18"/>
        </w:rPr>
      </w:pPr>
      <w:r>
        <w:rPr>
          <w:sz w:val="18"/>
        </w:rPr>
        <w:t>The recent movements did seem, however, to be attributable once again to euro weakness. This was not obviously explained by relative interest rate expectations. It was conjectured that net capital inflows into the euro area were weak, or negative, on account of the substantial accumulation of capital (and associated rise in capital relative to labour) over the past fifteen years or so in continental Europe. Some members thought that, at least in the short term, there was a risk that the euro would be weaker than had been assumed in the central</w:t>
      </w:r>
      <w:r>
        <w:rPr>
          <w:spacing w:val="-8"/>
          <w:sz w:val="18"/>
        </w:rPr>
        <w:t> </w:t>
      </w:r>
      <w:r>
        <w:rPr>
          <w:sz w:val="18"/>
        </w:rPr>
        <w:t>projection.</w:t>
      </w:r>
    </w:p>
    <w:p>
      <w:pPr>
        <w:pStyle w:val="BodyText"/>
        <w:spacing w:before="1"/>
        <w:rPr>
          <w:sz w:val="20"/>
        </w:rPr>
      </w:pPr>
    </w:p>
    <w:p>
      <w:pPr>
        <w:spacing w:before="0"/>
        <w:ind w:left="178" w:right="0" w:firstLine="0"/>
        <w:jc w:val="left"/>
        <w:rPr>
          <w:b/>
          <w:sz w:val="22"/>
        </w:rPr>
      </w:pPr>
      <w:r>
        <w:rPr>
          <w:b/>
          <w:color w:val="009391"/>
          <w:sz w:val="22"/>
        </w:rPr>
        <w:t>The labour market</w:t>
      </w:r>
    </w:p>
    <w:p>
      <w:pPr>
        <w:pStyle w:val="ListParagraph"/>
        <w:numPr>
          <w:ilvl w:val="0"/>
          <w:numId w:val="48"/>
        </w:numPr>
        <w:tabs>
          <w:tab w:pos="658" w:val="left" w:leader="none"/>
          <w:tab w:pos="659" w:val="left" w:leader="none"/>
        </w:tabs>
        <w:spacing w:line="232" w:lineRule="auto" w:before="109" w:after="0"/>
        <w:ind w:left="178" w:right="87" w:firstLine="0"/>
        <w:jc w:val="left"/>
        <w:rPr>
          <w:sz w:val="18"/>
        </w:rPr>
      </w:pPr>
      <w:r>
        <w:rPr>
          <w:sz w:val="18"/>
        </w:rPr>
        <w:t>Employment, on the Labour Force Survey (LFS) measure, had risen by 0.5% in the three months to May compared with the previous three months—the largest increase since June 1997. LFS unemployment had fallen by 47,000 over the same period, to 5.6%. Claimant count unemployment was, at 3.8%, the lowest for nearly 25</w:t>
      </w:r>
      <w:r>
        <w:rPr>
          <w:spacing w:val="-2"/>
          <w:sz w:val="18"/>
        </w:rPr>
        <w:t> </w:t>
      </w:r>
      <w:r>
        <w:rPr>
          <w:sz w:val="18"/>
        </w:rPr>
        <w:t>years.</w:t>
      </w:r>
    </w:p>
    <w:p>
      <w:pPr>
        <w:pStyle w:val="ListParagraph"/>
        <w:numPr>
          <w:ilvl w:val="0"/>
          <w:numId w:val="48"/>
        </w:numPr>
        <w:tabs>
          <w:tab w:pos="658" w:val="left" w:leader="none"/>
          <w:tab w:pos="659" w:val="left" w:leader="none"/>
        </w:tabs>
        <w:spacing w:line="232" w:lineRule="auto" w:before="176" w:after="0"/>
        <w:ind w:left="178" w:right="82" w:firstLine="0"/>
        <w:jc w:val="left"/>
        <w:rPr>
          <w:sz w:val="18"/>
        </w:rPr>
      </w:pPr>
      <w:r>
        <w:rPr>
          <w:sz w:val="18"/>
        </w:rPr>
        <w:t>Over the past couple of years, employment had risen by well over half a million. Around half of this was accounted for by population growth. Of the remainder, falls in inactivity accounted</w:t>
      </w:r>
    </w:p>
    <w:p>
      <w:pPr>
        <w:pStyle w:val="BodyText"/>
        <w:spacing w:before="6"/>
        <w:rPr>
          <w:sz w:val="20"/>
        </w:rPr>
      </w:pPr>
      <w:r>
        <w:rPr/>
        <w:br w:type="column"/>
      </w:r>
      <w:r>
        <w:rPr>
          <w:sz w:val="20"/>
        </w:rPr>
      </w:r>
    </w:p>
    <w:p>
      <w:pPr>
        <w:spacing w:line="232" w:lineRule="auto" w:before="0"/>
        <w:ind w:left="178" w:right="219" w:firstLine="0"/>
        <w:jc w:val="left"/>
        <w:rPr>
          <w:sz w:val="18"/>
        </w:rPr>
      </w:pPr>
      <w:r>
        <w:rPr>
          <w:sz w:val="18"/>
        </w:rPr>
        <w:t>for more than falls in unemployment. It was not clear whether that could continue, but some members were concerned that the latest projections agreed by the Committee did not allow for further falls in inactivity.</w:t>
      </w:r>
    </w:p>
    <w:p>
      <w:pPr>
        <w:pStyle w:val="BodyText"/>
        <w:spacing w:before="1"/>
        <w:rPr>
          <w:sz w:val="17"/>
        </w:rPr>
      </w:pPr>
    </w:p>
    <w:p>
      <w:pPr>
        <w:pStyle w:val="ListParagraph"/>
        <w:numPr>
          <w:ilvl w:val="0"/>
          <w:numId w:val="48"/>
        </w:numPr>
        <w:tabs>
          <w:tab w:pos="658" w:val="left" w:leader="none"/>
          <w:tab w:pos="659" w:val="left" w:leader="none"/>
        </w:tabs>
        <w:spacing w:line="232" w:lineRule="auto" w:before="0" w:after="0"/>
        <w:ind w:left="178" w:right="219" w:firstLine="0"/>
        <w:jc w:val="left"/>
        <w:rPr>
          <w:sz w:val="18"/>
        </w:rPr>
      </w:pPr>
      <w:r>
        <w:rPr>
          <w:sz w:val="18"/>
        </w:rPr>
        <w:t>Another source of labour supply over the past few years had probably been immigration. For example, there were anecdotal reports of public sector health workers being hired from overseas. That might continue, in which case pressures on the labour market from an expanding public sector might be contained. This was, however, difficult to assess quantitatively. The most up-to-date data</w:t>
      </w:r>
      <w:r>
        <w:rPr>
          <w:spacing w:val="-6"/>
          <w:sz w:val="18"/>
        </w:rPr>
        <w:t> </w:t>
      </w:r>
      <w:r>
        <w:rPr>
          <w:sz w:val="18"/>
        </w:rPr>
        <w:t>suggested</w:t>
      </w:r>
      <w:r>
        <w:rPr>
          <w:spacing w:val="-6"/>
          <w:sz w:val="18"/>
        </w:rPr>
        <w:t> </w:t>
      </w:r>
      <w:r>
        <w:rPr>
          <w:sz w:val="18"/>
        </w:rPr>
        <w:t>that</w:t>
      </w:r>
      <w:r>
        <w:rPr>
          <w:spacing w:val="-5"/>
          <w:sz w:val="18"/>
        </w:rPr>
        <w:t> </w:t>
      </w:r>
      <w:r>
        <w:rPr>
          <w:sz w:val="18"/>
        </w:rPr>
        <w:t>net</w:t>
      </w:r>
      <w:r>
        <w:rPr>
          <w:spacing w:val="-6"/>
          <w:sz w:val="18"/>
        </w:rPr>
        <w:t> </w:t>
      </w:r>
      <w:r>
        <w:rPr>
          <w:sz w:val="18"/>
        </w:rPr>
        <w:t>immigration</w:t>
      </w:r>
      <w:r>
        <w:rPr>
          <w:spacing w:val="-5"/>
          <w:sz w:val="18"/>
        </w:rPr>
        <w:t> </w:t>
      </w:r>
      <w:r>
        <w:rPr>
          <w:sz w:val="18"/>
        </w:rPr>
        <w:t>had</w:t>
      </w:r>
      <w:r>
        <w:rPr>
          <w:spacing w:val="-6"/>
          <w:sz w:val="18"/>
        </w:rPr>
        <w:t> </w:t>
      </w:r>
      <w:r>
        <w:rPr>
          <w:sz w:val="18"/>
        </w:rPr>
        <w:t>reached</w:t>
      </w:r>
      <w:r>
        <w:rPr>
          <w:spacing w:val="-5"/>
          <w:sz w:val="18"/>
        </w:rPr>
        <w:t> </w:t>
      </w:r>
      <w:r>
        <w:rPr>
          <w:sz w:val="18"/>
        </w:rPr>
        <w:t>around</w:t>
      </w:r>
      <w:r>
        <w:rPr>
          <w:spacing w:val="-6"/>
          <w:sz w:val="18"/>
        </w:rPr>
        <w:t> </w:t>
      </w:r>
      <w:r>
        <w:rPr>
          <w:sz w:val="18"/>
        </w:rPr>
        <w:t>175,000</w:t>
      </w:r>
      <w:r>
        <w:rPr>
          <w:spacing w:val="-6"/>
          <w:sz w:val="18"/>
        </w:rPr>
        <w:t> </w:t>
      </w:r>
      <w:r>
        <w:rPr>
          <w:sz w:val="18"/>
        </w:rPr>
        <w:t>in 1998—but the reliability of the data was uncertain. It was suggested that the 2001 census might cast light on this issue in due course.</w:t>
      </w:r>
    </w:p>
    <w:p>
      <w:pPr>
        <w:pStyle w:val="BodyText"/>
        <w:spacing w:before="9"/>
        <w:rPr>
          <w:sz w:val="16"/>
        </w:rPr>
      </w:pPr>
    </w:p>
    <w:p>
      <w:pPr>
        <w:pStyle w:val="ListParagraph"/>
        <w:numPr>
          <w:ilvl w:val="0"/>
          <w:numId w:val="48"/>
        </w:numPr>
        <w:tabs>
          <w:tab w:pos="658" w:val="left" w:leader="none"/>
          <w:tab w:pos="659" w:val="left" w:leader="none"/>
        </w:tabs>
        <w:spacing w:line="232" w:lineRule="auto" w:before="0" w:after="0"/>
        <w:ind w:left="178" w:right="254" w:firstLine="0"/>
        <w:jc w:val="left"/>
        <w:rPr>
          <w:sz w:val="18"/>
        </w:rPr>
      </w:pPr>
      <w:r>
        <w:rPr>
          <w:sz w:val="18"/>
        </w:rPr>
        <w:t>Average hours worked by full-time employees had fallen steadily over the past 2–3 years. This was odd during a period of buoyant economic growth and a tight labour market. One possible explanation was that there had been an increase in the use of temporary agency workers in place of overtime working</w:t>
      </w:r>
      <w:r>
        <w:rPr>
          <w:spacing w:val="-24"/>
          <w:sz w:val="18"/>
        </w:rPr>
        <w:t> </w:t>
      </w:r>
      <w:r>
        <w:rPr>
          <w:sz w:val="18"/>
        </w:rPr>
        <w:t>by</w:t>
      </w:r>
    </w:p>
    <w:p>
      <w:pPr>
        <w:spacing w:line="232" w:lineRule="auto" w:before="0"/>
        <w:ind w:left="178" w:right="0" w:firstLine="0"/>
        <w:jc w:val="left"/>
        <w:rPr>
          <w:sz w:val="18"/>
        </w:rPr>
      </w:pPr>
      <w:r>
        <w:rPr>
          <w:sz w:val="18"/>
        </w:rPr>
        <w:t>full-time employees. It was suggested that that might add to labour market flexibility for the economy as a whole, as well as keeping labour costs down for some firms.</w:t>
      </w:r>
    </w:p>
    <w:p>
      <w:pPr>
        <w:pStyle w:val="BodyText"/>
        <w:spacing w:before="9"/>
        <w:rPr>
          <w:sz w:val="16"/>
        </w:rPr>
      </w:pPr>
    </w:p>
    <w:p>
      <w:pPr>
        <w:pStyle w:val="ListParagraph"/>
        <w:numPr>
          <w:ilvl w:val="0"/>
          <w:numId w:val="48"/>
        </w:numPr>
        <w:tabs>
          <w:tab w:pos="658" w:val="left" w:leader="none"/>
          <w:tab w:pos="659" w:val="left" w:leader="none"/>
        </w:tabs>
        <w:spacing w:line="232" w:lineRule="auto" w:before="1" w:after="0"/>
        <w:ind w:left="178" w:right="243" w:firstLine="0"/>
        <w:jc w:val="left"/>
        <w:rPr>
          <w:sz w:val="18"/>
        </w:rPr>
      </w:pPr>
      <w:r>
        <w:rPr>
          <w:sz w:val="18"/>
        </w:rPr>
        <w:t>Headline (three-month moving average) whole economy earnings growth had fallen from 5.1% in April to 4.6% in May, partly on account of February’s 5.5% annual growth rate dropping out of the three-month calculations. But that was not the whole explanation. Annual whole-economy earnings growth had fallen from 4.6% in April to 4.0% in May—the lowest rate of growth since September 1997. The contribution from bonuses in May had been -0.7 percentage points; regular pay growth had</w:t>
      </w:r>
      <w:r>
        <w:rPr>
          <w:spacing w:val="-24"/>
          <w:sz w:val="18"/>
        </w:rPr>
        <w:t> </w:t>
      </w:r>
      <w:r>
        <w:rPr>
          <w:sz w:val="18"/>
        </w:rPr>
        <w:t>risen</w:t>
      </w:r>
    </w:p>
    <w:p>
      <w:pPr>
        <w:spacing w:line="196" w:lineRule="exact" w:before="0"/>
        <w:ind w:left="178" w:right="0" w:firstLine="0"/>
        <w:jc w:val="left"/>
        <w:rPr>
          <w:sz w:val="18"/>
        </w:rPr>
      </w:pPr>
      <w:r>
        <w:rPr>
          <w:sz w:val="18"/>
        </w:rPr>
        <w:t>0.2 percentage points to 4.6% (non seasonally adjusted).</w:t>
      </w:r>
    </w:p>
    <w:p>
      <w:pPr>
        <w:pStyle w:val="BodyText"/>
        <w:spacing w:before="2"/>
        <w:rPr>
          <w:sz w:val="17"/>
        </w:rPr>
      </w:pPr>
    </w:p>
    <w:p>
      <w:pPr>
        <w:pStyle w:val="ListParagraph"/>
        <w:numPr>
          <w:ilvl w:val="0"/>
          <w:numId w:val="48"/>
        </w:numPr>
        <w:tabs>
          <w:tab w:pos="658" w:val="left" w:leader="none"/>
          <w:tab w:pos="659" w:val="left" w:leader="none"/>
        </w:tabs>
        <w:spacing w:line="232" w:lineRule="auto" w:before="0" w:after="0"/>
        <w:ind w:left="178" w:right="158" w:firstLine="0"/>
        <w:jc w:val="left"/>
        <w:rPr>
          <w:sz w:val="18"/>
        </w:rPr>
      </w:pPr>
      <w:r>
        <w:rPr>
          <w:sz w:val="18"/>
        </w:rPr>
        <w:t>Some members regarded the labour market news on the month as significant. First, the continued rise in employment and fall in unemployment over the past year or so had not been accompanied by accelerating earnings, which suggested that the supply side had improved. Government initiatives during the 1990s might help to explain this. For example, anecdote suggested that Jobcentres had become more active and effective in assisting job search. Second, the fall in bonuses was consistent with what was known about corporate sector profitability. It was suggested that bonuses might continue to</w:t>
      </w:r>
      <w:r>
        <w:rPr>
          <w:spacing w:val="-6"/>
          <w:sz w:val="18"/>
        </w:rPr>
        <w:t> </w:t>
      </w:r>
      <w:r>
        <w:rPr>
          <w:sz w:val="18"/>
        </w:rPr>
        <w:t>fall.</w:t>
      </w:r>
    </w:p>
    <w:p>
      <w:pPr>
        <w:pStyle w:val="BodyText"/>
        <w:spacing w:before="8"/>
        <w:rPr>
          <w:sz w:val="16"/>
        </w:rPr>
      </w:pPr>
    </w:p>
    <w:p>
      <w:pPr>
        <w:pStyle w:val="ListParagraph"/>
        <w:numPr>
          <w:ilvl w:val="0"/>
          <w:numId w:val="48"/>
        </w:numPr>
        <w:tabs>
          <w:tab w:pos="658" w:val="left" w:leader="none"/>
          <w:tab w:pos="659" w:val="left" w:leader="none"/>
        </w:tabs>
        <w:spacing w:line="232" w:lineRule="auto" w:before="0" w:after="0"/>
        <w:ind w:left="178" w:right="324" w:firstLine="0"/>
        <w:jc w:val="left"/>
        <w:rPr>
          <w:sz w:val="18"/>
        </w:rPr>
      </w:pPr>
      <w:r>
        <w:rPr>
          <w:sz w:val="18"/>
        </w:rPr>
        <w:t>Other</w:t>
      </w:r>
      <w:r>
        <w:rPr>
          <w:spacing w:val="-5"/>
          <w:sz w:val="18"/>
        </w:rPr>
        <w:t> </w:t>
      </w:r>
      <w:r>
        <w:rPr>
          <w:sz w:val="18"/>
        </w:rPr>
        <w:t>members</w:t>
      </w:r>
      <w:r>
        <w:rPr>
          <w:spacing w:val="-5"/>
          <w:sz w:val="18"/>
        </w:rPr>
        <w:t> </w:t>
      </w:r>
      <w:r>
        <w:rPr>
          <w:sz w:val="18"/>
        </w:rPr>
        <w:t>were</w:t>
      </w:r>
      <w:r>
        <w:rPr>
          <w:spacing w:val="-5"/>
          <w:sz w:val="18"/>
        </w:rPr>
        <w:t> </w:t>
      </w:r>
      <w:r>
        <w:rPr>
          <w:sz w:val="18"/>
        </w:rPr>
        <w:t>less</w:t>
      </w:r>
      <w:r>
        <w:rPr>
          <w:spacing w:val="-5"/>
          <w:sz w:val="18"/>
        </w:rPr>
        <w:t> </w:t>
      </w:r>
      <w:r>
        <w:rPr>
          <w:sz w:val="18"/>
        </w:rPr>
        <w:t>sure</w:t>
      </w:r>
      <w:r>
        <w:rPr>
          <w:spacing w:val="-5"/>
          <w:sz w:val="18"/>
        </w:rPr>
        <w:t> </w:t>
      </w:r>
      <w:r>
        <w:rPr>
          <w:sz w:val="18"/>
        </w:rPr>
        <w:t>about</w:t>
      </w:r>
      <w:r>
        <w:rPr>
          <w:spacing w:val="-5"/>
          <w:sz w:val="18"/>
        </w:rPr>
        <w:t> </w:t>
      </w:r>
      <w:r>
        <w:rPr>
          <w:sz w:val="18"/>
        </w:rPr>
        <w:t>the</w:t>
      </w:r>
      <w:r>
        <w:rPr>
          <w:spacing w:val="-5"/>
          <w:sz w:val="18"/>
        </w:rPr>
        <w:t> </w:t>
      </w:r>
      <w:r>
        <w:rPr>
          <w:sz w:val="18"/>
        </w:rPr>
        <w:t>significance</w:t>
      </w:r>
      <w:r>
        <w:rPr>
          <w:spacing w:val="-5"/>
          <w:sz w:val="18"/>
        </w:rPr>
        <w:t> </w:t>
      </w:r>
      <w:r>
        <w:rPr>
          <w:sz w:val="18"/>
        </w:rPr>
        <w:t>of</w:t>
      </w:r>
      <w:r>
        <w:rPr>
          <w:spacing w:val="-5"/>
          <w:sz w:val="18"/>
        </w:rPr>
        <w:t> </w:t>
      </w:r>
      <w:r>
        <w:rPr>
          <w:sz w:val="18"/>
        </w:rPr>
        <w:t>the recent data. There had undoubtedly been millennium</w:t>
      </w:r>
      <w:r>
        <w:rPr>
          <w:spacing w:val="-22"/>
          <w:sz w:val="18"/>
        </w:rPr>
        <w:t> </w:t>
      </w:r>
      <w:r>
        <w:rPr>
          <w:sz w:val="18"/>
        </w:rPr>
        <w:t>and</w:t>
      </w:r>
    </w:p>
    <w:p>
      <w:pPr>
        <w:spacing w:line="232" w:lineRule="auto" w:before="0"/>
        <w:ind w:left="178" w:right="160" w:firstLine="0"/>
        <w:jc w:val="left"/>
        <w:rPr>
          <w:sz w:val="18"/>
        </w:rPr>
      </w:pPr>
      <w:r>
        <w:rPr>
          <w:sz w:val="18"/>
        </w:rPr>
        <w:t>bonus-related effects, which were now dropping out of the data, but the underlying position was not yet clear. Looking forward, most members thought that unit labour cost growth would have to fall significantly for inflationary pressures to be contained.</w:t>
      </w:r>
    </w:p>
    <w:p>
      <w:pPr>
        <w:pStyle w:val="BodyText"/>
        <w:spacing w:before="3"/>
        <w:rPr>
          <w:sz w:val="20"/>
        </w:rPr>
      </w:pPr>
    </w:p>
    <w:p>
      <w:pPr>
        <w:spacing w:before="1"/>
        <w:ind w:left="178" w:right="0" w:firstLine="0"/>
        <w:jc w:val="left"/>
        <w:rPr>
          <w:b/>
          <w:sz w:val="22"/>
        </w:rPr>
      </w:pPr>
      <w:r>
        <w:rPr>
          <w:b/>
          <w:color w:val="009391"/>
          <w:sz w:val="22"/>
        </w:rPr>
        <w:t>Prices and costs</w:t>
      </w:r>
    </w:p>
    <w:p>
      <w:pPr>
        <w:pStyle w:val="ListParagraph"/>
        <w:numPr>
          <w:ilvl w:val="0"/>
          <w:numId w:val="48"/>
        </w:numPr>
        <w:tabs>
          <w:tab w:pos="658" w:val="left" w:leader="none"/>
          <w:tab w:pos="659" w:val="left" w:leader="none"/>
        </w:tabs>
        <w:spacing w:line="232" w:lineRule="auto" w:before="109" w:after="0"/>
        <w:ind w:left="178" w:right="209" w:firstLine="0"/>
        <w:jc w:val="left"/>
        <w:rPr>
          <w:sz w:val="18"/>
        </w:rPr>
      </w:pPr>
      <w:r>
        <w:rPr>
          <w:sz w:val="18"/>
        </w:rPr>
        <w:t>The consequences for inflation of wage cost growth depended in part on productivity. In the longer run, real wages and productivity should grow at the same rate. Over recent years, real wages had risen much faster, although the gap had recently started to</w:t>
      </w:r>
      <w:r>
        <w:rPr>
          <w:spacing w:val="-2"/>
          <w:sz w:val="18"/>
        </w:rPr>
        <w:t> </w:t>
      </w:r>
      <w:r>
        <w:rPr>
          <w:sz w:val="18"/>
        </w:rPr>
        <w:t>narrow.</w:t>
      </w:r>
    </w:p>
    <w:p>
      <w:pPr>
        <w:pStyle w:val="BodyText"/>
        <w:rPr>
          <w:sz w:val="17"/>
        </w:rPr>
      </w:pPr>
    </w:p>
    <w:p>
      <w:pPr>
        <w:pStyle w:val="ListParagraph"/>
        <w:numPr>
          <w:ilvl w:val="0"/>
          <w:numId w:val="48"/>
        </w:numPr>
        <w:tabs>
          <w:tab w:pos="658" w:val="left" w:leader="none"/>
          <w:tab w:pos="659" w:val="left" w:leader="none"/>
        </w:tabs>
        <w:spacing w:line="232" w:lineRule="auto" w:before="1" w:after="0"/>
        <w:ind w:left="178" w:right="169" w:firstLine="0"/>
        <w:jc w:val="left"/>
        <w:rPr>
          <w:sz w:val="18"/>
        </w:rPr>
      </w:pPr>
      <w:r>
        <w:rPr>
          <w:sz w:val="18"/>
        </w:rPr>
        <w:t>Accumulating cost pressures were apparent in a number of indicators. For example, manufacturers’ input prices (excluding food, beverages, tobacco and petroleum) had risen by 5.0% in the twelve months to June—the fastest rate since October 1995. A major</w:t>
      </w:r>
      <w:r>
        <w:rPr>
          <w:spacing w:val="-5"/>
          <w:sz w:val="18"/>
        </w:rPr>
        <w:t> </w:t>
      </w:r>
      <w:r>
        <w:rPr>
          <w:sz w:val="18"/>
        </w:rPr>
        <w:t>influence</w:t>
      </w:r>
      <w:r>
        <w:rPr>
          <w:spacing w:val="-4"/>
          <w:sz w:val="18"/>
        </w:rPr>
        <w:t> </w:t>
      </w:r>
      <w:r>
        <w:rPr>
          <w:sz w:val="18"/>
        </w:rPr>
        <w:t>on</w:t>
      </w:r>
      <w:r>
        <w:rPr>
          <w:spacing w:val="-4"/>
          <w:sz w:val="18"/>
        </w:rPr>
        <w:t> </w:t>
      </w:r>
      <w:r>
        <w:rPr>
          <w:sz w:val="18"/>
        </w:rPr>
        <w:t>costs</w:t>
      </w:r>
      <w:r>
        <w:rPr>
          <w:spacing w:val="-4"/>
          <w:sz w:val="18"/>
        </w:rPr>
        <w:t> </w:t>
      </w:r>
      <w:r>
        <w:rPr>
          <w:sz w:val="18"/>
        </w:rPr>
        <w:t>was</w:t>
      </w:r>
      <w:r>
        <w:rPr>
          <w:spacing w:val="-4"/>
          <w:sz w:val="18"/>
        </w:rPr>
        <w:t> </w:t>
      </w:r>
      <w:r>
        <w:rPr>
          <w:sz w:val="18"/>
        </w:rPr>
        <w:t>the</w:t>
      </w:r>
      <w:r>
        <w:rPr>
          <w:spacing w:val="-4"/>
          <w:sz w:val="18"/>
        </w:rPr>
        <w:t> </w:t>
      </w:r>
      <w:r>
        <w:rPr>
          <w:sz w:val="18"/>
        </w:rPr>
        <w:t>rise</w:t>
      </w:r>
      <w:r>
        <w:rPr>
          <w:spacing w:val="-4"/>
          <w:sz w:val="18"/>
        </w:rPr>
        <w:t> </w:t>
      </w:r>
      <w:r>
        <w:rPr>
          <w:sz w:val="18"/>
        </w:rPr>
        <w:t>in</w:t>
      </w:r>
      <w:r>
        <w:rPr>
          <w:spacing w:val="-5"/>
          <w:sz w:val="18"/>
        </w:rPr>
        <w:t> </w:t>
      </w:r>
      <w:r>
        <w:rPr>
          <w:sz w:val="18"/>
        </w:rPr>
        <w:t>the</w:t>
      </w:r>
      <w:r>
        <w:rPr>
          <w:spacing w:val="-4"/>
          <w:sz w:val="18"/>
        </w:rPr>
        <w:t> </w:t>
      </w:r>
      <w:r>
        <w:rPr>
          <w:sz w:val="18"/>
        </w:rPr>
        <w:t>oil</w:t>
      </w:r>
      <w:r>
        <w:rPr>
          <w:spacing w:val="-4"/>
          <w:sz w:val="18"/>
        </w:rPr>
        <w:t> </w:t>
      </w:r>
      <w:r>
        <w:rPr>
          <w:sz w:val="18"/>
        </w:rPr>
        <w:t>price,</w:t>
      </w:r>
      <w:r>
        <w:rPr>
          <w:spacing w:val="-4"/>
          <w:sz w:val="18"/>
        </w:rPr>
        <w:t> </w:t>
      </w:r>
      <w:r>
        <w:rPr>
          <w:sz w:val="18"/>
        </w:rPr>
        <w:t>but</w:t>
      </w:r>
      <w:r>
        <w:rPr>
          <w:spacing w:val="-4"/>
          <w:sz w:val="18"/>
        </w:rPr>
        <w:t> </w:t>
      </w:r>
      <w:r>
        <w:rPr>
          <w:sz w:val="18"/>
        </w:rPr>
        <w:t>in</w:t>
      </w:r>
      <w:r>
        <w:rPr>
          <w:spacing w:val="-4"/>
          <w:sz w:val="18"/>
        </w:rPr>
        <w:t> </w:t>
      </w:r>
      <w:r>
        <w:rPr>
          <w:sz w:val="18"/>
        </w:rPr>
        <w:t>addition the Bank’s non-oil commodity price index was up 5.2% in the twelve months to June—the highest rate since December 1995. RPIX inflation had risen more than had been expected, so that it was</w:t>
      </w:r>
      <w:r>
        <w:rPr>
          <w:spacing w:val="-4"/>
          <w:sz w:val="18"/>
        </w:rPr>
        <w:t> </w:t>
      </w:r>
      <w:r>
        <w:rPr>
          <w:sz w:val="18"/>
        </w:rPr>
        <w:t>set</w:t>
      </w:r>
      <w:r>
        <w:rPr>
          <w:spacing w:val="-3"/>
          <w:sz w:val="18"/>
        </w:rPr>
        <w:t> </w:t>
      </w:r>
      <w:r>
        <w:rPr>
          <w:sz w:val="18"/>
        </w:rPr>
        <w:t>to</w:t>
      </w:r>
      <w:r>
        <w:rPr>
          <w:spacing w:val="-3"/>
          <w:sz w:val="18"/>
        </w:rPr>
        <w:t> </w:t>
      </w:r>
      <w:r>
        <w:rPr>
          <w:sz w:val="18"/>
        </w:rPr>
        <w:t>be</w:t>
      </w:r>
      <w:r>
        <w:rPr>
          <w:spacing w:val="-3"/>
          <w:sz w:val="18"/>
        </w:rPr>
        <w:t> </w:t>
      </w:r>
      <w:r>
        <w:rPr>
          <w:sz w:val="18"/>
        </w:rPr>
        <w:t>much</w:t>
      </w:r>
      <w:r>
        <w:rPr>
          <w:spacing w:val="-3"/>
          <w:sz w:val="18"/>
        </w:rPr>
        <w:t> </w:t>
      </w:r>
      <w:r>
        <w:rPr>
          <w:sz w:val="18"/>
        </w:rPr>
        <w:t>closer</w:t>
      </w:r>
      <w:r>
        <w:rPr>
          <w:spacing w:val="-4"/>
          <w:sz w:val="18"/>
        </w:rPr>
        <w:t> </w:t>
      </w:r>
      <w:r>
        <w:rPr>
          <w:sz w:val="18"/>
        </w:rPr>
        <w:t>to</w:t>
      </w:r>
      <w:r>
        <w:rPr>
          <w:spacing w:val="-3"/>
          <w:sz w:val="18"/>
        </w:rPr>
        <w:t> </w:t>
      </w:r>
      <w:r>
        <w:rPr>
          <w:sz w:val="18"/>
        </w:rPr>
        <w:t>target</w:t>
      </w:r>
      <w:r>
        <w:rPr>
          <w:spacing w:val="-3"/>
          <w:sz w:val="18"/>
        </w:rPr>
        <w:t> </w:t>
      </w:r>
      <w:r>
        <w:rPr>
          <w:sz w:val="18"/>
        </w:rPr>
        <w:t>in</w:t>
      </w:r>
      <w:r>
        <w:rPr>
          <w:spacing w:val="-3"/>
          <w:sz w:val="18"/>
        </w:rPr>
        <w:t> </w:t>
      </w:r>
      <w:r>
        <w:rPr>
          <w:sz w:val="18"/>
        </w:rPr>
        <w:t>the</w:t>
      </w:r>
      <w:r>
        <w:rPr>
          <w:spacing w:val="-3"/>
          <w:sz w:val="18"/>
        </w:rPr>
        <w:t> </w:t>
      </w:r>
      <w:r>
        <w:rPr>
          <w:sz w:val="18"/>
        </w:rPr>
        <w:t>short</w:t>
      </w:r>
      <w:r>
        <w:rPr>
          <w:spacing w:val="-4"/>
          <w:sz w:val="18"/>
        </w:rPr>
        <w:t> </w:t>
      </w:r>
      <w:r>
        <w:rPr>
          <w:sz w:val="18"/>
        </w:rPr>
        <w:t>run</w:t>
      </w:r>
      <w:r>
        <w:rPr>
          <w:spacing w:val="-3"/>
          <w:sz w:val="18"/>
        </w:rPr>
        <w:t> </w:t>
      </w:r>
      <w:r>
        <w:rPr>
          <w:sz w:val="18"/>
        </w:rPr>
        <w:t>than</w:t>
      </w:r>
      <w:r>
        <w:rPr>
          <w:spacing w:val="-3"/>
          <w:sz w:val="18"/>
        </w:rPr>
        <w:t> </w:t>
      </w:r>
      <w:r>
        <w:rPr>
          <w:sz w:val="18"/>
        </w:rPr>
        <w:t>projected</w:t>
      </w:r>
    </w:p>
    <w:p>
      <w:pPr>
        <w:spacing w:line="232" w:lineRule="auto" w:before="0"/>
        <w:ind w:left="178" w:right="269" w:firstLine="0"/>
        <w:jc w:val="left"/>
        <w:rPr>
          <w:sz w:val="18"/>
        </w:rPr>
      </w:pPr>
      <w:r>
        <w:rPr>
          <w:sz w:val="18"/>
        </w:rPr>
        <w:t>in the May </w:t>
      </w:r>
      <w:r>
        <w:rPr>
          <w:i/>
          <w:sz w:val="18"/>
        </w:rPr>
        <w:t>Inflation Report</w:t>
      </w:r>
      <w:r>
        <w:rPr>
          <w:sz w:val="18"/>
        </w:rPr>
        <w:t>. Views varied on the significance of this.</w:t>
      </w:r>
    </w:p>
    <w:p>
      <w:pPr>
        <w:spacing w:after="0" w:line="232" w:lineRule="auto"/>
        <w:jc w:val="left"/>
        <w:rPr>
          <w:sz w:val="18"/>
        </w:rPr>
        <w:sectPr>
          <w:type w:val="continuous"/>
          <w:pgSz w:w="11900" w:h="16840"/>
          <w:pgMar w:top="1260" w:bottom="280" w:left="640" w:right="640"/>
          <w:cols w:num="2" w:equalWidth="0">
            <w:col w:w="5117" w:space="266"/>
            <w:col w:w="5237"/>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6"/>
        <w:rPr>
          <w:sz w:val="20"/>
        </w:rPr>
      </w:pPr>
    </w:p>
    <w:p>
      <w:pPr>
        <w:pStyle w:val="ListParagraph"/>
        <w:numPr>
          <w:ilvl w:val="0"/>
          <w:numId w:val="48"/>
        </w:numPr>
        <w:tabs>
          <w:tab w:pos="655" w:val="left" w:leader="none"/>
          <w:tab w:pos="656" w:val="left" w:leader="none"/>
        </w:tabs>
        <w:spacing w:line="232" w:lineRule="auto" w:before="0" w:after="0"/>
        <w:ind w:left="175" w:right="63" w:firstLine="0"/>
        <w:jc w:val="left"/>
        <w:rPr>
          <w:sz w:val="18"/>
        </w:rPr>
      </w:pPr>
      <w:r>
        <w:rPr>
          <w:sz w:val="18"/>
        </w:rPr>
        <w:t>Some members stressed that oil prices were expected to fall back, so that the effect of the earlier price rises on RPIX inflation should be short-lived. Sterling’s depreciation would also have only temporary effects. RPIX inflation excluding food, energy and tobacco had been edging down. Moreover, it was not at all clear that rising costs would feed through to prices given current and prospective developments on the supply side of the economy. These members argued that survey evidence pointed to increasing pressure on margins over the past few years. Businesses should be expected to respond to increased competitive pressure by increasing productivity and reducing bonuses. In any case,</w:t>
      </w:r>
      <w:r>
        <w:rPr>
          <w:spacing w:val="-28"/>
          <w:sz w:val="18"/>
        </w:rPr>
        <w:t> </w:t>
      </w:r>
      <w:r>
        <w:rPr>
          <w:sz w:val="18"/>
        </w:rPr>
        <w:t>it</w:t>
      </w:r>
    </w:p>
    <w:p>
      <w:pPr>
        <w:spacing w:line="232" w:lineRule="auto" w:before="0"/>
        <w:ind w:left="175" w:right="151" w:firstLine="0"/>
        <w:jc w:val="left"/>
        <w:rPr>
          <w:sz w:val="18"/>
        </w:rPr>
      </w:pPr>
      <w:r>
        <w:rPr>
          <w:sz w:val="18"/>
        </w:rPr>
        <w:t>was plausible that productivity growth was set to rise because of a variety of factors involving the potential benefits of</w:t>
      </w:r>
    </w:p>
    <w:p>
      <w:pPr>
        <w:spacing w:line="232" w:lineRule="auto" w:before="0"/>
        <w:ind w:left="175" w:right="61" w:firstLine="0"/>
        <w:jc w:val="left"/>
        <w:rPr>
          <w:sz w:val="18"/>
        </w:rPr>
      </w:pPr>
      <w:r>
        <w:rPr>
          <w:sz w:val="18"/>
        </w:rPr>
        <w:t>business-to-business e-commerce and the likelihood that those who had recently obtained jobs after a long spell of unemployment or inactivity would become more effective as they gained experience. These influences were, on this view, not well reflected in the structure of the main forecasting model. In order to capture such supply side improvements in the projection for inflation, these members favoured incorporating a materially larger downward effect on inflation from the gains in productivity and cost cutting than assumed in the best collective projection shown in the fan charts.</w:t>
      </w:r>
    </w:p>
    <w:p>
      <w:pPr>
        <w:pStyle w:val="BodyText"/>
        <w:spacing w:before="7"/>
        <w:rPr>
          <w:sz w:val="17"/>
        </w:rPr>
      </w:pPr>
    </w:p>
    <w:p>
      <w:pPr>
        <w:pStyle w:val="ListParagraph"/>
        <w:numPr>
          <w:ilvl w:val="0"/>
          <w:numId w:val="48"/>
        </w:numPr>
        <w:tabs>
          <w:tab w:pos="655" w:val="left" w:leader="none"/>
          <w:tab w:pos="656" w:val="left" w:leader="none"/>
        </w:tabs>
        <w:spacing w:line="232" w:lineRule="auto" w:before="0" w:after="0"/>
        <w:ind w:left="175" w:right="39" w:firstLine="0"/>
        <w:jc w:val="left"/>
        <w:rPr>
          <w:sz w:val="18"/>
        </w:rPr>
      </w:pPr>
      <w:r>
        <w:rPr>
          <w:sz w:val="18"/>
        </w:rPr>
        <w:t>Some other members preferred a smaller effect than was incorporated in the best collective projection. There was not much sign of the strength in business investment that would plausibly be needed to deliver an improvement in productivity growth relative to the past trend. Nor was there much evidence of price-cost margins being systematically compressed. Experience in the US did not suggest that margin compression was an inevitable part of the ICT revolution. An assumption of price-cost margin compression had already been made in the past few forecasts and incorporated again in the August projections. It could not sensibly be rolled forward indefinitely.</w:t>
      </w:r>
    </w:p>
    <w:p>
      <w:pPr>
        <w:pStyle w:val="BodyText"/>
        <w:spacing w:before="6"/>
        <w:rPr>
          <w:sz w:val="22"/>
        </w:rPr>
      </w:pPr>
    </w:p>
    <w:p>
      <w:pPr>
        <w:spacing w:before="0"/>
        <w:ind w:left="175" w:right="0" w:firstLine="0"/>
        <w:jc w:val="left"/>
        <w:rPr>
          <w:b/>
          <w:sz w:val="22"/>
        </w:rPr>
      </w:pPr>
      <w:r>
        <w:rPr>
          <w:b/>
          <w:color w:val="009391"/>
          <w:sz w:val="22"/>
        </w:rPr>
        <w:t>The August output growth and inflation projections</w:t>
      </w:r>
    </w:p>
    <w:p>
      <w:pPr>
        <w:pStyle w:val="ListParagraph"/>
        <w:numPr>
          <w:ilvl w:val="0"/>
          <w:numId w:val="48"/>
        </w:numPr>
        <w:tabs>
          <w:tab w:pos="655" w:val="left" w:leader="none"/>
          <w:tab w:pos="656" w:val="left" w:leader="none"/>
        </w:tabs>
        <w:spacing w:line="203" w:lineRule="exact" w:before="124" w:after="0"/>
        <w:ind w:left="655" w:right="0" w:hanging="481"/>
        <w:jc w:val="left"/>
        <w:rPr>
          <w:sz w:val="18"/>
        </w:rPr>
      </w:pPr>
      <w:r>
        <w:rPr>
          <w:sz w:val="18"/>
        </w:rPr>
        <w:t>The</w:t>
      </w:r>
      <w:r>
        <w:rPr>
          <w:spacing w:val="-5"/>
          <w:sz w:val="18"/>
        </w:rPr>
        <w:t> </w:t>
      </w:r>
      <w:r>
        <w:rPr>
          <w:sz w:val="18"/>
        </w:rPr>
        <w:t>Committee</w:t>
      </w:r>
      <w:r>
        <w:rPr>
          <w:spacing w:val="-4"/>
          <w:sz w:val="18"/>
        </w:rPr>
        <w:t> </w:t>
      </w:r>
      <w:r>
        <w:rPr>
          <w:sz w:val="18"/>
        </w:rPr>
        <w:t>agreed</w:t>
      </w:r>
      <w:r>
        <w:rPr>
          <w:spacing w:val="-4"/>
          <w:sz w:val="18"/>
        </w:rPr>
        <w:t> </w:t>
      </w:r>
      <w:r>
        <w:rPr>
          <w:sz w:val="18"/>
        </w:rPr>
        <w:t>the</w:t>
      </w:r>
      <w:r>
        <w:rPr>
          <w:spacing w:val="-5"/>
          <w:sz w:val="18"/>
        </w:rPr>
        <w:t> </w:t>
      </w:r>
      <w:r>
        <w:rPr>
          <w:sz w:val="18"/>
        </w:rPr>
        <w:t>projections</w:t>
      </w:r>
      <w:r>
        <w:rPr>
          <w:spacing w:val="-4"/>
          <w:sz w:val="18"/>
        </w:rPr>
        <w:t> </w:t>
      </w:r>
      <w:r>
        <w:rPr>
          <w:sz w:val="18"/>
        </w:rPr>
        <w:t>to</w:t>
      </w:r>
      <w:r>
        <w:rPr>
          <w:spacing w:val="-4"/>
          <w:sz w:val="18"/>
        </w:rPr>
        <w:t> </w:t>
      </w:r>
      <w:r>
        <w:rPr>
          <w:sz w:val="18"/>
        </w:rPr>
        <w:t>be</w:t>
      </w:r>
      <w:r>
        <w:rPr>
          <w:spacing w:val="-5"/>
          <w:sz w:val="18"/>
        </w:rPr>
        <w:t> </w:t>
      </w:r>
      <w:r>
        <w:rPr>
          <w:sz w:val="18"/>
        </w:rPr>
        <w:t>published</w:t>
      </w:r>
      <w:r>
        <w:rPr>
          <w:spacing w:val="-4"/>
          <w:sz w:val="18"/>
        </w:rPr>
        <w:t> </w:t>
      </w:r>
      <w:r>
        <w:rPr>
          <w:sz w:val="18"/>
        </w:rPr>
        <w:t>in</w:t>
      </w:r>
      <w:r>
        <w:rPr>
          <w:spacing w:val="-4"/>
          <w:sz w:val="18"/>
        </w:rPr>
        <w:t> </w:t>
      </w:r>
      <w:r>
        <w:rPr>
          <w:sz w:val="18"/>
        </w:rPr>
        <w:t>the</w:t>
      </w:r>
    </w:p>
    <w:p>
      <w:pPr>
        <w:spacing w:line="203" w:lineRule="exact" w:before="0"/>
        <w:ind w:left="175" w:right="0" w:firstLine="0"/>
        <w:jc w:val="left"/>
        <w:rPr>
          <w:sz w:val="18"/>
        </w:rPr>
      </w:pPr>
      <w:r>
        <w:rPr>
          <w:i/>
          <w:sz w:val="18"/>
        </w:rPr>
        <w:t>Inflation Report </w:t>
      </w:r>
      <w:r>
        <w:rPr>
          <w:sz w:val="18"/>
        </w:rPr>
        <w:t>on Wednesday 9 August.</w:t>
      </w:r>
    </w:p>
    <w:p>
      <w:pPr>
        <w:pStyle w:val="BodyText"/>
        <w:spacing w:before="10"/>
        <w:rPr>
          <w:sz w:val="19"/>
        </w:rPr>
      </w:pPr>
    </w:p>
    <w:p>
      <w:pPr>
        <w:pStyle w:val="ListParagraph"/>
        <w:numPr>
          <w:ilvl w:val="0"/>
          <w:numId w:val="48"/>
        </w:numPr>
        <w:tabs>
          <w:tab w:pos="655" w:val="left" w:leader="none"/>
          <w:tab w:pos="656" w:val="left" w:leader="none"/>
        </w:tabs>
        <w:spacing w:line="232" w:lineRule="auto" w:before="0" w:after="0"/>
        <w:ind w:left="175" w:right="84" w:firstLine="0"/>
        <w:jc w:val="left"/>
        <w:rPr>
          <w:sz w:val="18"/>
        </w:rPr>
      </w:pPr>
      <w:r>
        <w:rPr>
          <w:sz w:val="18"/>
        </w:rPr>
        <w:t>On the assumption of an official repo rate of 6.0% over the next two years, the central projection was for output growth to ease slightly to around 2</w:t>
      </w:r>
      <w:r>
        <w:rPr>
          <w:position w:val="6"/>
          <w:sz w:val="9"/>
        </w:rPr>
        <w:t>1</w:t>
      </w:r>
      <w:r>
        <w:rPr>
          <w:sz w:val="18"/>
        </w:rPr>
        <w:t>/</w:t>
      </w:r>
      <w:r>
        <w:rPr>
          <w:sz w:val="9"/>
        </w:rPr>
        <w:t>2</w:t>
      </w:r>
      <w:r>
        <w:rPr>
          <w:sz w:val="18"/>
        </w:rPr>
        <w:t>% (around trend) before rising slightly during the second year. On the central projection, RPIX inflation was just below the 2</w:t>
      </w:r>
      <w:r>
        <w:rPr>
          <w:position w:val="6"/>
          <w:sz w:val="9"/>
        </w:rPr>
        <w:t>1</w:t>
      </w:r>
      <w:r>
        <w:rPr>
          <w:sz w:val="18"/>
        </w:rPr>
        <w:t>/</w:t>
      </w:r>
      <w:r>
        <w:rPr>
          <w:sz w:val="9"/>
        </w:rPr>
        <w:t>2</w:t>
      </w:r>
      <w:r>
        <w:rPr>
          <w:sz w:val="18"/>
        </w:rPr>
        <w:t>% target during the first year and then rose to slightly above the target—a slightly higher profile than in</w:t>
      </w:r>
      <w:r>
        <w:rPr>
          <w:spacing w:val="-19"/>
          <w:sz w:val="18"/>
        </w:rPr>
        <w:t> </w:t>
      </w:r>
      <w:r>
        <w:rPr>
          <w:sz w:val="18"/>
        </w:rPr>
        <w:t>May.</w:t>
      </w:r>
    </w:p>
    <w:p>
      <w:pPr>
        <w:pStyle w:val="BodyText"/>
        <w:spacing w:before="7"/>
        <w:rPr>
          <w:sz w:val="19"/>
        </w:rPr>
      </w:pPr>
    </w:p>
    <w:p>
      <w:pPr>
        <w:pStyle w:val="ListParagraph"/>
        <w:numPr>
          <w:ilvl w:val="0"/>
          <w:numId w:val="48"/>
        </w:numPr>
        <w:tabs>
          <w:tab w:pos="655" w:val="left" w:leader="none"/>
          <w:tab w:pos="656" w:val="left" w:leader="none"/>
        </w:tabs>
        <w:spacing w:line="232" w:lineRule="auto" w:before="0" w:after="0"/>
        <w:ind w:left="175" w:right="64" w:firstLine="0"/>
        <w:jc w:val="left"/>
        <w:rPr>
          <w:sz w:val="18"/>
        </w:rPr>
      </w:pPr>
      <w:r>
        <w:rPr>
          <w:sz w:val="18"/>
        </w:rPr>
        <w:t>As in previous quarters, there was a range of views about the inflation outlook. The main difference in assumptions about, in particular, price-cost margins and productivity growth were presented in Table 6.B of the August </w:t>
      </w:r>
      <w:r>
        <w:rPr>
          <w:i/>
          <w:sz w:val="18"/>
        </w:rPr>
        <w:t>Inflation</w:t>
      </w:r>
      <w:r>
        <w:rPr>
          <w:i/>
          <w:spacing w:val="-16"/>
          <w:sz w:val="18"/>
        </w:rPr>
        <w:t> </w:t>
      </w:r>
      <w:r>
        <w:rPr>
          <w:i/>
          <w:sz w:val="18"/>
        </w:rPr>
        <w:t>Report</w:t>
      </w:r>
      <w:r>
        <w:rPr>
          <w:sz w:val="18"/>
        </w:rPr>
        <w:t>.</w:t>
      </w:r>
    </w:p>
    <w:p>
      <w:pPr>
        <w:pStyle w:val="BodyText"/>
        <w:rPr>
          <w:sz w:val="23"/>
        </w:rPr>
      </w:pPr>
    </w:p>
    <w:p>
      <w:pPr>
        <w:spacing w:before="0"/>
        <w:ind w:left="175" w:right="0" w:firstLine="0"/>
        <w:jc w:val="left"/>
        <w:rPr>
          <w:b/>
          <w:sz w:val="22"/>
        </w:rPr>
      </w:pPr>
      <w:r>
        <w:rPr>
          <w:b/>
          <w:color w:val="009391"/>
          <w:sz w:val="22"/>
        </w:rPr>
        <w:t>Tactical considerations</w:t>
      </w:r>
    </w:p>
    <w:p>
      <w:pPr>
        <w:pStyle w:val="ListParagraph"/>
        <w:numPr>
          <w:ilvl w:val="0"/>
          <w:numId w:val="48"/>
        </w:numPr>
        <w:tabs>
          <w:tab w:pos="655" w:val="left" w:leader="none"/>
          <w:tab w:pos="656" w:val="left" w:leader="none"/>
        </w:tabs>
        <w:spacing w:line="232" w:lineRule="auto" w:before="129" w:after="0"/>
        <w:ind w:left="175" w:right="54" w:firstLine="0"/>
        <w:jc w:val="left"/>
        <w:rPr>
          <w:sz w:val="18"/>
        </w:rPr>
      </w:pPr>
      <w:r>
        <w:rPr>
          <w:sz w:val="18"/>
        </w:rPr>
        <w:t>Three tactical considerations were noted. First, the market was expecting rates to rise again but not yet. Market views of the outcome of the meeting were not uniform, but were thought to be 70/30 weighted to ‘no change’, but with the probability assigned to a policy tightening having increased somewhat as the meeting approached. In consequence, a tightening would come as less of a surprise than would have been the case at either of the previous two meetings. That suggested that any consequent upward pressure on sterling might be limited. However, tightening sooner than the market expected might lead to the view that rates would eventually go up by more than currently expected. That might increase any upward pressure on sterling, adding to the downward influences on inflation.</w:t>
      </w:r>
    </w:p>
    <w:p>
      <w:pPr>
        <w:pStyle w:val="BodyText"/>
        <w:spacing w:before="1"/>
        <w:rPr>
          <w:sz w:val="19"/>
        </w:rPr>
      </w:pPr>
    </w:p>
    <w:p>
      <w:pPr>
        <w:pStyle w:val="ListParagraph"/>
        <w:numPr>
          <w:ilvl w:val="0"/>
          <w:numId w:val="48"/>
        </w:numPr>
        <w:tabs>
          <w:tab w:pos="655" w:val="left" w:leader="none"/>
          <w:tab w:pos="656" w:val="left" w:leader="none"/>
        </w:tabs>
        <w:spacing w:line="232" w:lineRule="auto" w:before="1" w:after="0"/>
        <w:ind w:left="175" w:right="38" w:firstLine="0"/>
        <w:jc w:val="left"/>
        <w:rPr>
          <w:sz w:val="18"/>
        </w:rPr>
      </w:pPr>
      <w:r>
        <w:rPr>
          <w:sz w:val="18"/>
        </w:rPr>
        <w:t>Second, the </w:t>
      </w:r>
      <w:r>
        <w:rPr>
          <w:i/>
          <w:sz w:val="18"/>
        </w:rPr>
        <w:t>Inflation Report </w:t>
      </w:r>
      <w:r>
        <w:rPr>
          <w:sz w:val="18"/>
        </w:rPr>
        <w:t>would provide an opportunity to explain any change in the repo</w:t>
      </w:r>
      <w:r>
        <w:rPr>
          <w:spacing w:val="-9"/>
          <w:sz w:val="18"/>
        </w:rPr>
        <w:t> </w:t>
      </w:r>
      <w:r>
        <w:rPr>
          <w:sz w:val="18"/>
        </w:rPr>
        <w:t>rate.</w:t>
      </w:r>
    </w:p>
    <w:p>
      <w:pPr>
        <w:pStyle w:val="BodyText"/>
        <w:spacing w:before="6"/>
        <w:rPr>
          <w:sz w:val="20"/>
        </w:rPr>
      </w:pPr>
      <w:r>
        <w:rPr/>
        <w:br w:type="column"/>
      </w:r>
      <w:r>
        <w:rPr>
          <w:sz w:val="20"/>
        </w:rPr>
      </w:r>
    </w:p>
    <w:p>
      <w:pPr>
        <w:pStyle w:val="ListParagraph"/>
        <w:numPr>
          <w:ilvl w:val="0"/>
          <w:numId w:val="48"/>
        </w:numPr>
        <w:tabs>
          <w:tab w:pos="655" w:val="left" w:leader="none"/>
          <w:tab w:pos="656" w:val="left" w:leader="none"/>
        </w:tabs>
        <w:spacing w:line="232" w:lineRule="auto" w:before="0" w:after="0"/>
        <w:ind w:left="175" w:right="163" w:firstLine="0"/>
        <w:jc w:val="left"/>
        <w:rPr>
          <w:sz w:val="18"/>
        </w:rPr>
      </w:pPr>
      <w:r>
        <w:rPr>
          <w:sz w:val="18"/>
        </w:rPr>
        <w:t>Third, the Committee’s meeting was to be followed fairly shortly by meetings of the ECB, the Bank of Japan and the FOMC. Their</w:t>
      </w:r>
      <w:r>
        <w:rPr>
          <w:spacing w:val="-6"/>
          <w:sz w:val="18"/>
        </w:rPr>
        <w:t> </w:t>
      </w:r>
      <w:r>
        <w:rPr>
          <w:sz w:val="18"/>
        </w:rPr>
        <w:t>decisions</w:t>
      </w:r>
      <w:r>
        <w:rPr>
          <w:spacing w:val="-5"/>
          <w:sz w:val="18"/>
        </w:rPr>
        <w:t> </w:t>
      </w:r>
      <w:r>
        <w:rPr>
          <w:sz w:val="18"/>
        </w:rPr>
        <w:t>would</w:t>
      </w:r>
      <w:r>
        <w:rPr>
          <w:spacing w:val="-5"/>
          <w:sz w:val="18"/>
        </w:rPr>
        <w:t> </w:t>
      </w:r>
      <w:r>
        <w:rPr>
          <w:sz w:val="18"/>
        </w:rPr>
        <w:t>also</w:t>
      </w:r>
      <w:r>
        <w:rPr>
          <w:spacing w:val="-5"/>
          <w:sz w:val="18"/>
        </w:rPr>
        <w:t> </w:t>
      </w:r>
      <w:r>
        <w:rPr>
          <w:sz w:val="18"/>
        </w:rPr>
        <w:t>affect</w:t>
      </w:r>
      <w:r>
        <w:rPr>
          <w:spacing w:val="-6"/>
          <w:sz w:val="18"/>
        </w:rPr>
        <w:t> </w:t>
      </w:r>
      <w:r>
        <w:rPr>
          <w:sz w:val="18"/>
        </w:rPr>
        <w:t>the</w:t>
      </w:r>
      <w:r>
        <w:rPr>
          <w:spacing w:val="-5"/>
          <w:sz w:val="18"/>
        </w:rPr>
        <w:t> </w:t>
      </w:r>
      <w:r>
        <w:rPr>
          <w:sz w:val="18"/>
        </w:rPr>
        <w:t>exchange</w:t>
      </w:r>
      <w:r>
        <w:rPr>
          <w:spacing w:val="-5"/>
          <w:sz w:val="18"/>
        </w:rPr>
        <w:t> </w:t>
      </w:r>
      <w:r>
        <w:rPr>
          <w:sz w:val="18"/>
        </w:rPr>
        <w:t>rate</w:t>
      </w:r>
      <w:r>
        <w:rPr>
          <w:spacing w:val="-5"/>
          <w:sz w:val="18"/>
        </w:rPr>
        <w:t> </w:t>
      </w:r>
      <w:r>
        <w:rPr>
          <w:sz w:val="18"/>
        </w:rPr>
        <w:t>and</w:t>
      </w:r>
      <w:r>
        <w:rPr>
          <w:spacing w:val="-6"/>
          <w:sz w:val="18"/>
        </w:rPr>
        <w:t> </w:t>
      </w:r>
      <w:r>
        <w:rPr>
          <w:sz w:val="18"/>
        </w:rPr>
        <w:t>the</w:t>
      </w:r>
      <w:r>
        <w:rPr>
          <w:spacing w:val="-5"/>
          <w:sz w:val="18"/>
        </w:rPr>
        <w:t> </w:t>
      </w:r>
      <w:r>
        <w:rPr>
          <w:sz w:val="18"/>
        </w:rPr>
        <w:t>external environment more generally. The market was not expecting rises from either the ECB or</w:t>
      </w:r>
      <w:r>
        <w:rPr>
          <w:spacing w:val="-7"/>
          <w:sz w:val="18"/>
        </w:rPr>
        <w:t> </w:t>
      </w:r>
      <w:r>
        <w:rPr>
          <w:sz w:val="18"/>
        </w:rPr>
        <w:t>FOMC.</w:t>
      </w:r>
    </w:p>
    <w:p>
      <w:pPr>
        <w:pStyle w:val="BodyText"/>
        <w:spacing w:before="4"/>
        <w:rPr>
          <w:sz w:val="20"/>
        </w:rPr>
      </w:pPr>
    </w:p>
    <w:p>
      <w:pPr>
        <w:spacing w:before="0"/>
        <w:ind w:left="175" w:right="0" w:firstLine="0"/>
        <w:jc w:val="left"/>
        <w:rPr>
          <w:b/>
          <w:sz w:val="22"/>
        </w:rPr>
      </w:pPr>
      <w:r>
        <w:rPr>
          <w:b/>
          <w:color w:val="009391"/>
          <w:sz w:val="22"/>
        </w:rPr>
        <w:t>The immediate policy decision</w:t>
      </w:r>
    </w:p>
    <w:p>
      <w:pPr>
        <w:pStyle w:val="ListParagraph"/>
        <w:numPr>
          <w:ilvl w:val="0"/>
          <w:numId w:val="48"/>
        </w:numPr>
        <w:tabs>
          <w:tab w:pos="655" w:val="left" w:leader="none"/>
          <w:tab w:pos="656" w:val="left" w:leader="none"/>
        </w:tabs>
        <w:spacing w:line="232" w:lineRule="auto" w:before="129" w:after="0"/>
        <w:ind w:left="175" w:right="193" w:firstLine="0"/>
        <w:jc w:val="left"/>
        <w:rPr>
          <w:sz w:val="18"/>
        </w:rPr>
      </w:pPr>
      <w:r>
        <w:rPr>
          <w:sz w:val="18"/>
        </w:rPr>
        <w:t>Various arguments were advanced in favour of maintaining the repo rate at 6.0%. For some preferring ‘no change’ the position was finely balanced. On the one hand, the signs that the economy was slowing were less compelling following the first estimate of Q2 GDP, the world economy remained strong, and there would be upward pressures on inflation from sterling’s depreciation since May. On the other hand, the determinants of consumption were consistent with slowing private sector demand, and the</w:t>
      </w:r>
      <w:r>
        <w:rPr>
          <w:spacing w:val="-31"/>
          <w:sz w:val="18"/>
        </w:rPr>
        <w:t> </w:t>
      </w:r>
      <w:r>
        <w:rPr>
          <w:sz w:val="18"/>
        </w:rPr>
        <w:t>outlook</w:t>
      </w:r>
    </w:p>
    <w:p>
      <w:pPr>
        <w:spacing w:line="232" w:lineRule="auto" w:before="0"/>
        <w:ind w:left="175" w:right="302" w:firstLine="0"/>
        <w:jc w:val="left"/>
        <w:rPr>
          <w:sz w:val="18"/>
        </w:rPr>
      </w:pPr>
      <w:r>
        <w:rPr>
          <w:sz w:val="18"/>
        </w:rPr>
        <w:t>for earnings was more benign than at the time of the May </w:t>
      </w:r>
      <w:r>
        <w:rPr>
          <w:i/>
          <w:sz w:val="18"/>
        </w:rPr>
        <w:t>Inflation Report</w:t>
      </w:r>
      <w:r>
        <w:rPr>
          <w:sz w:val="18"/>
        </w:rPr>
        <w:t>. Moreover, there did seem to have been some improvement in the economy’s supply-side performance. Among</w:t>
      </w:r>
    </w:p>
    <w:p>
      <w:pPr>
        <w:spacing w:line="232" w:lineRule="auto" w:before="0"/>
        <w:ind w:left="175" w:right="188" w:firstLine="0"/>
        <w:jc w:val="left"/>
        <w:rPr>
          <w:sz w:val="18"/>
        </w:rPr>
      </w:pPr>
      <w:r>
        <w:rPr>
          <w:sz w:val="18"/>
        </w:rPr>
        <w:t>other</w:t>
      </w:r>
      <w:r>
        <w:rPr>
          <w:spacing w:val="-5"/>
          <w:sz w:val="18"/>
        </w:rPr>
        <w:t> </w:t>
      </w:r>
      <w:r>
        <w:rPr>
          <w:sz w:val="18"/>
        </w:rPr>
        <w:t>evidence,</w:t>
      </w:r>
      <w:r>
        <w:rPr>
          <w:spacing w:val="-5"/>
          <w:sz w:val="18"/>
        </w:rPr>
        <w:t> </w:t>
      </w:r>
      <w:r>
        <w:rPr>
          <w:sz w:val="18"/>
        </w:rPr>
        <w:t>some</w:t>
      </w:r>
      <w:r>
        <w:rPr>
          <w:spacing w:val="-5"/>
          <w:sz w:val="18"/>
        </w:rPr>
        <w:t> </w:t>
      </w:r>
      <w:r>
        <w:rPr>
          <w:sz w:val="18"/>
        </w:rPr>
        <w:t>members</w:t>
      </w:r>
      <w:r>
        <w:rPr>
          <w:spacing w:val="-5"/>
          <w:sz w:val="18"/>
        </w:rPr>
        <w:t> </w:t>
      </w:r>
      <w:r>
        <w:rPr>
          <w:sz w:val="18"/>
        </w:rPr>
        <w:t>cited</w:t>
      </w:r>
      <w:r>
        <w:rPr>
          <w:spacing w:val="-5"/>
          <w:sz w:val="18"/>
        </w:rPr>
        <w:t> </w:t>
      </w:r>
      <w:r>
        <w:rPr>
          <w:sz w:val="18"/>
        </w:rPr>
        <w:t>the</w:t>
      </w:r>
      <w:r>
        <w:rPr>
          <w:spacing w:val="-5"/>
          <w:sz w:val="18"/>
        </w:rPr>
        <w:t> </w:t>
      </w:r>
      <w:r>
        <w:rPr>
          <w:sz w:val="18"/>
        </w:rPr>
        <w:t>tendency</w:t>
      </w:r>
      <w:r>
        <w:rPr>
          <w:spacing w:val="-5"/>
          <w:sz w:val="18"/>
        </w:rPr>
        <w:t> </w:t>
      </w:r>
      <w:r>
        <w:rPr>
          <w:sz w:val="18"/>
        </w:rPr>
        <w:t>over</w:t>
      </w:r>
      <w:r>
        <w:rPr>
          <w:spacing w:val="-5"/>
          <w:sz w:val="18"/>
        </w:rPr>
        <w:t> </w:t>
      </w:r>
      <w:r>
        <w:rPr>
          <w:sz w:val="18"/>
        </w:rPr>
        <w:t>the</w:t>
      </w:r>
      <w:r>
        <w:rPr>
          <w:spacing w:val="-5"/>
          <w:sz w:val="18"/>
        </w:rPr>
        <w:t> </w:t>
      </w:r>
      <w:r>
        <w:rPr>
          <w:sz w:val="18"/>
        </w:rPr>
        <w:t>past</w:t>
      </w:r>
      <w:r>
        <w:rPr>
          <w:spacing w:val="-5"/>
          <w:sz w:val="18"/>
        </w:rPr>
        <w:t> </w:t>
      </w:r>
      <w:r>
        <w:rPr>
          <w:sz w:val="18"/>
        </w:rPr>
        <w:t>few years for the Committee to underpredict output growth but overpredict inflation outturns, although lower import prices had played a part. Some allowance was made for this in the margins assumptions in the latest projections. The best collective projection—with inflation slightly below target in the first year and slightly above in the second year—reflected this balance of forces and was consistent with either ‘no change’ or a small policy tightening. An immediate move was not needed, and would risk the market concluding that there would be further tightenings, which through upward pressure on sterling would create unnecessary downward pressures on inflation. Publishing a fan chart with the central projection slightly above target at</w:t>
      </w:r>
      <w:r>
        <w:rPr>
          <w:spacing w:val="-26"/>
          <w:sz w:val="18"/>
        </w:rPr>
        <w:t> </w:t>
      </w:r>
      <w:r>
        <w:rPr>
          <w:sz w:val="18"/>
        </w:rPr>
        <w:t>the</w:t>
      </w:r>
    </w:p>
    <w:p>
      <w:pPr>
        <w:spacing w:line="232" w:lineRule="auto" w:before="0"/>
        <w:ind w:left="175" w:right="187" w:firstLine="0"/>
        <w:jc w:val="left"/>
        <w:rPr>
          <w:sz w:val="18"/>
        </w:rPr>
      </w:pPr>
      <w:r>
        <w:rPr>
          <w:sz w:val="18"/>
        </w:rPr>
        <w:t>two-year</w:t>
      </w:r>
      <w:r>
        <w:rPr>
          <w:spacing w:val="-6"/>
          <w:sz w:val="18"/>
        </w:rPr>
        <w:t> </w:t>
      </w:r>
      <w:r>
        <w:rPr>
          <w:sz w:val="18"/>
        </w:rPr>
        <w:t>horizon</w:t>
      </w:r>
      <w:r>
        <w:rPr>
          <w:spacing w:val="-5"/>
          <w:sz w:val="18"/>
        </w:rPr>
        <w:t> </w:t>
      </w:r>
      <w:r>
        <w:rPr>
          <w:sz w:val="18"/>
        </w:rPr>
        <w:t>might</w:t>
      </w:r>
      <w:r>
        <w:rPr>
          <w:spacing w:val="-6"/>
          <w:sz w:val="18"/>
        </w:rPr>
        <w:t> </w:t>
      </w:r>
      <w:r>
        <w:rPr>
          <w:sz w:val="18"/>
        </w:rPr>
        <w:t>cause</w:t>
      </w:r>
      <w:r>
        <w:rPr>
          <w:spacing w:val="-5"/>
          <w:sz w:val="18"/>
        </w:rPr>
        <w:t> </w:t>
      </w:r>
      <w:r>
        <w:rPr>
          <w:sz w:val="18"/>
        </w:rPr>
        <w:t>a</w:t>
      </w:r>
      <w:r>
        <w:rPr>
          <w:spacing w:val="-6"/>
          <w:sz w:val="18"/>
        </w:rPr>
        <w:t> </w:t>
      </w:r>
      <w:r>
        <w:rPr>
          <w:sz w:val="18"/>
        </w:rPr>
        <w:t>modest</w:t>
      </w:r>
      <w:r>
        <w:rPr>
          <w:spacing w:val="-5"/>
          <w:sz w:val="18"/>
        </w:rPr>
        <w:t> </w:t>
      </w:r>
      <w:r>
        <w:rPr>
          <w:sz w:val="18"/>
        </w:rPr>
        <w:t>tightening</w:t>
      </w:r>
      <w:r>
        <w:rPr>
          <w:spacing w:val="-6"/>
          <w:sz w:val="18"/>
        </w:rPr>
        <w:t> </w:t>
      </w:r>
      <w:r>
        <w:rPr>
          <w:sz w:val="18"/>
        </w:rPr>
        <w:t>in</w:t>
      </w:r>
      <w:r>
        <w:rPr>
          <w:spacing w:val="-5"/>
          <w:sz w:val="18"/>
        </w:rPr>
        <w:t> </w:t>
      </w:r>
      <w:r>
        <w:rPr>
          <w:sz w:val="18"/>
        </w:rPr>
        <w:t>money</w:t>
      </w:r>
      <w:r>
        <w:rPr>
          <w:spacing w:val="-6"/>
          <w:sz w:val="18"/>
        </w:rPr>
        <w:t> </w:t>
      </w:r>
      <w:r>
        <w:rPr>
          <w:sz w:val="18"/>
        </w:rPr>
        <w:t>market conditions.  That would not be unwelcome in itself and would avoid the risk of a larger market adjustment if the repo rate were raised.</w:t>
      </w:r>
    </w:p>
    <w:p>
      <w:pPr>
        <w:pStyle w:val="ListParagraph"/>
        <w:numPr>
          <w:ilvl w:val="0"/>
          <w:numId w:val="48"/>
        </w:numPr>
        <w:tabs>
          <w:tab w:pos="655" w:val="left" w:leader="none"/>
          <w:tab w:pos="656" w:val="left" w:leader="none"/>
        </w:tabs>
        <w:spacing w:line="232" w:lineRule="auto" w:before="179" w:after="0"/>
        <w:ind w:left="175" w:right="157" w:firstLine="0"/>
        <w:jc w:val="left"/>
        <w:rPr>
          <w:sz w:val="18"/>
        </w:rPr>
      </w:pPr>
      <w:r>
        <w:rPr>
          <w:sz w:val="18"/>
        </w:rPr>
        <w:t>Some other members preferred assumptions which would produce a lower central projection for inflation. In particular, improvements in the performance of the supply side of the economy would dampen inflationary pressures by more than assumed in the best collective projection. Looking forward, those pressures were in any case easing rather than increasing. The earnings data in particular were encouraging, and the oil price had recently fallen back somewhat. The deceleration in house prices and the likelihood that the oil price would not rise further would be negative influences on RPIX inflation for a while. The determinants of consumption were softening. While the risks to consumption were probably on the upside, the risks to business investment and government spending were on the downside. On one view policy was already contractionary: this could be seen in various leading indicators, in estimates showing that the short-term real interest rate was above the ‘neutral’ rate, and from a tightening in measures of monetary conditions that incorporated the rise in the exchange rate in recent years. Whereas a month ago there had been a case for moving to a more ‘neutral’ policy stance, the latest data pointed to a need to maintain slightly contractionary monetary conditions. But there was no case for a further rise. Any tightening would also put upward pressure on sterling’s exchange rate. That was unnecessary in terms of restraining inflation, and it would also add to the risk of sterling’s already-overvalued exchange rate falling sharply in the future—thus creating a risk of undershooting the target in the short run but overshooting it later on if and when sterling fell</w:t>
      </w:r>
      <w:r>
        <w:rPr>
          <w:spacing w:val="-3"/>
          <w:sz w:val="18"/>
        </w:rPr>
        <w:t> </w:t>
      </w:r>
      <w:r>
        <w:rPr>
          <w:sz w:val="18"/>
        </w:rPr>
        <w:t>back.</w:t>
      </w:r>
    </w:p>
    <w:p>
      <w:pPr>
        <w:pStyle w:val="ListParagraph"/>
        <w:numPr>
          <w:ilvl w:val="0"/>
          <w:numId w:val="48"/>
        </w:numPr>
        <w:tabs>
          <w:tab w:pos="655" w:val="left" w:leader="none"/>
          <w:tab w:pos="656" w:val="left" w:leader="none"/>
        </w:tabs>
        <w:spacing w:line="232" w:lineRule="auto" w:before="159" w:after="0"/>
        <w:ind w:left="175" w:right="372" w:firstLine="0"/>
        <w:jc w:val="left"/>
        <w:rPr>
          <w:sz w:val="18"/>
        </w:rPr>
      </w:pPr>
      <w:r>
        <w:rPr>
          <w:sz w:val="18"/>
        </w:rPr>
        <w:t>Arguments were also advanced in favour of an immediate small increase in the repo rate. On this view, the news on the month pointed, on balance, to stronger conditions than had been apparent a month ago. If the GDP data for Q1 and Q2 were averaged, there was little sign of a significant slowdown. While most of the determinants of consumption had eased in recent months,</w:t>
      </w:r>
      <w:r>
        <w:rPr>
          <w:spacing w:val="-6"/>
          <w:sz w:val="18"/>
        </w:rPr>
        <w:t> </w:t>
      </w:r>
      <w:r>
        <w:rPr>
          <w:sz w:val="18"/>
        </w:rPr>
        <w:t>household</w:t>
      </w:r>
      <w:r>
        <w:rPr>
          <w:spacing w:val="-5"/>
          <w:sz w:val="18"/>
        </w:rPr>
        <w:t> </w:t>
      </w:r>
      <w:r>
        <w:rPr>
          <w:sz w:val="18"/>
        </w:rPr>
        <w:t>borrowing</w:t>
      </w:r>
      <w:r>
        <w:rPr>
          <w:spacing w:val="-5"/>
          <w:sz w:val="18"/>
        </w:rPr>
        <w:t> </w:t>
      </w:r>
      <w:r>
        <w:rPr>
          <w:sz w:val="18"/>
        </w:rPr>
        <w:t>remained</w:t>
      </w:r>
      <w:r>
        <w:rPr>
          <w:spacing w:val="-6"/>
          <w:sz w:val="18"/>
        </w:rPr>
        <w:t> </w:t>
      </w:r>
      <w:r>
        <w:rPr>
          <w:sz w:val="18"/>
        </w:rPr>
        <w:t>strong</w:t>
      </w:r>
      <w:r>
        <w:rPr>
          <w:spacing w:val="-5"/>
          <w:sz w:val="18"/>
        </w:rPr>
        <w:t> </w:t>
      </w:r>
      <w:r>
        <w:rPr>
          <w:sz w:val="18"/>
        </w:rPr>
        <w:t>and</w:t>
      </w:r>
      <w:r>
        <w:rPr>
          <w:spacing w:val="-5"/>
          <w:sz w:val="18"/>
        </w:rPr>
        <w:t> </w:t>
      </w:r>
      <w:r>
        <w:rPr>
          <w:sz w:val="18"/>
        </w:rPr>
        <w:t>it</w:t>
      </w:r>
      <w:r>
        <w:rPr>
          <w:spacing w:val="-6"/>
          <w:sz w:val="18"/>
        </w:rPr>
        <w:t> </w:t>
      </w:r>
      <w:r>
        <w:rPr>
          <w:sz w:val="18"/>
        </w:rPr>
        <w:t>was</w:t>
      </w:r>
      <w:r>
        <w:rPr>
          <w:spacing w:val="-5"/>
          <w:sz w:val="18"/>
        </w:rPr>
        <w:t> </w:t>
      </w:r>
      <w:r>
        <w:rPr>
          <w:sz w:val="18"/>
        </w:rPr>
        <w:t>not</w:t>
      </w:r>
      <w:r>
        <w:rPr>
          <w:spacing w:val="-5"/>
          <w:sz w:val="18"/>
        </w:rPr>
        <w:t> </w:t>
      </w:r>
      <w:r>
        <w:rPr>
          <w:sz w:val="18"/>
        </w:rPr>
        <w:t>yet</w:t>
      </w:r>
    </w:p>
    <w:p>
      <w:pPr>
        <w:spacing w:after="0" w:line="232" w:lineRule="auto"/>
        <w:jc w:val="left"/>
        <w:rPr>
          <w:sz w:val="18"/>
        </w:rPr>
        <w:sectPr>
          <w:type w:val="continuous"/>
          <w:pgSz w:w="11900" w:h="16840"/>
          <w:pgMar w:top="1260" w:bottom="280" w:left="640" w:right="640"/>
          <w:cols w:num="2" w:equalWidth="0">
            <w:col w:w="5110" w:space="283"/>
            <w:col w:w="5227"/>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6"/>
        <w:rPr>
          <w:sz w:val="20"/>
        </w:rPr>
      </w:pPr>
    </w:p>
    <w:p>
      <w:pPr>
        <w:spacing w:line="232" w:lineRule="auto" w:before="0"/>
        <w:ind w:left="174" w:right="38" w:firstLine="0"/>
        <w:jc w:val="left"/>
        <w:rPr>
          <w:sz w:val="18"/>
        </w:rPr>
      </w:pPr>
      <w:r>
        <w:rPr>
          <w:sz w:val="18"/>
        </w:rPr>
        <w:t>clear that private sector demand would slow quickly enough to offset the effects of increased public sector spending; the risks to inflation from consumption were on the upside. Measures of earnings growth had fallen, but it was very difficult to assess the underlying rate of increase. It was clear, though, that the labour market had continued to tighten. Employment had increased by </w:t>
      </w:r>
      <w:r>
        <w:rPr>
          <w:position w:val="6"/>
          <w:sz w:val="9"/>
        </w:rPr>
        <w:t>1</w:t>
      </w:r>
      <w:r>
        <w:rPr>
          <w:sz w:val="18"/>
        </w:rPr>
        <w:t>/</w:t>
      </w:r>
      <w:r>
        <w:rPr>
          <w:sz w:val="9"/>
        </w:rPr>
        <w:t>2</w:t>
      </w:r>
      <w:r>
        <w:rPr>
          <w:sz w:val="18"/>
        </w:rPr>
        <w:t>%</w:t>
      </w:r>
      <w:r>
        <w:rPr>
          <w:spacing w:val="-5"/>
          <w:sz w:val="18"/>
        </w:rPr>
        <w:t> </w:t>
      </w:r>
      <w:r>
        <w:rPr>
          <w:sz w:val="18"/>
        </w:rPr>
        <w:t>in</w:t>
      </w:r>
      <w:r>
        <w:rPr>
          <w:spacing w:val="-4"/>
          <w:sz w:val="18"/>
        </w:rPr>
        <w:t> </w:t>
      </w:r>
      <w:r>
        <w:rPr>
          <w:sz w:val="18"/>
        </w:rPr>
        <w:t>the</w:t>
      </w:r>
      <w:r>
        <w:rPr>
          <w:spacing w:val="-4"/>
          <w:sz w:val="18"/>
        </w:rPr>
        <w:t> </w:t>
      </w:r>
      <w:r>
        <w:rPr>
          <w:sz w:val="18"/>
        </w:rPr>
        <w:t>three</w:t>
      </w:r>
      <w:r>
        <w:rPr>
          <w:spacing w:val="-4"/>
          <w:sz w:val="18"/>
        </w:rPr>
        <w:t> </w:t>
      </w:r>
      <w:r>
        <w:rPr>
          <w:sz w:val="18"/>
        </w:rPr>
        <w:t>months</w:t>
      </w:r>
      <w:r>
        <w:rPr>
          <w:spacing w:val="-4"/>
          <w:sz w:val="18"/>
        </w:rPr>
        <w:t> </w:t>
      </w:r>
      <w:r>
        <w:rPr>
          <w:sz w:val="18"/>
        </w:rPr>
        <w:t>to</w:t>
      </w:r>
      <w:r>
        <w:rPr>
          <w:spacing w:val="-5"/>
          <w:sz w:val="18"/>
        </w:rPr>
        <w:t> </w:t>
      </w:r>
      <w:r>
        <w:rPr>
          <w:sz w:val="18"/>
        </w:rPr>
        <w:t>May,</w:t>
      </w:r>
      <w:r>
        <w:rPr>
          <w:spacing w:val="-4"/>
          <w:sz w:val="18"/>
        </w:rPr>
        <w:t> </w:t>
      </w:r>
      <w:r>
        <w:rPr>
          <w:sz w:val="18"/>
        </w:rPr>
        <w:t>and</w:t>
      </w:r>
      <w:r>
        <w:rPr>
          <w:spacing w:val="-4"/>
          <w:sz w:val="18"/>
        </w:rPr>
        <w:t> </w:t>
      </w:r>
      <w:r>
        <w:rPr>
          <w:sz w:val="18"/>
        </w:rPr>
        <w:t>unemployment</w:t>
      </w:r>
      <w:r>
        <w:rPr>
          <w:spacing w:val="-4"/>
          <w:sz w:val="18"/>
        </w:rPr>
        <w:t> </w:t>
      </w:r>
      <w:r>
        <w:rPr>
          <w:sz w:val="18"/>
        </w:rPr>
        <w:t>was</w:t>
      </w:r>
      <w:r>
        <w:rPr>
          <w:spacing w:val="-5"/>
          <w:sz w:val="18"/>
        </w:rPr>
        <w:t> </w:t>
      </w:r>
      <w:r>
        <w:rPr>
          <w:sz w:val="18"/>
        </w:rPr>
        <w:t>lower</w:t>
      </w:r>
      <w:r>
        <w:rPr>
          <w:spacing w:val="-4"/>
          <w:sz w:val="18"/>
        </w:rPr>
        <w:t> </w:t>
      </w:r>
      <w:r>
        <w:rPr>
          <w:sz w:val="18"/>
        </w:rPr>
        <w:t>than for a quarter of a century. The central projection assumed decelerating unit labour costs. The risks to inflation from earnings were therefore also on the upside. Other indicators of short-term cost pressures were clearly increasing, and inflation was now likely to undershoot the 2</w:t>
      </w:r>
      <w:r>
        <w:rPr>
          <w:position w:val="6"/>
          <w:sz w:val="9"/>
        </w:rPr>
        <w:t>1</w:t>
      </w:r>
      <w:r>
        <w:rPr>
          <w:sz w:val="18"/>
        </w:rPr>
        <w:t>/</w:t>
      </w:r>
      <w:r>
        <w:rPr>
          <w:sz w:val="9"/>
        </w:rPr>
        <w:t>2</w:t>
      </w:r>
      <w:r>
        <w:rPr>
          <w:sz w:val="18"/>
        </w:rPr>
        <w:t>% target in the short run by rather less than had been projected in the May </w:t>
      </w:r>
      <w:r>
        <w:rPr>
          <w:i/>
          <w:sz w:val="18"/>
        </w:rPr>
        <w:t>Inflation Report</w:t>
      </w:r>
      <w:r>
        <w:rPr>
          <w:sz w:val="18"/>
        </w:rPr>
        <w:t>. While sterling had risen since the Committee’s July meeting, it was still about 4% below the path projected in the May </w:t>
      </w:r>
      <w:r>
        <w:rPr>
          <w:i/>
          <w:sz w:val="18"/>
        </w:rPr>
        <w:t>Inflation Report</w:t>
      </w:r>
      <w:r>
        <w:rPr>
          <w:sz w:val="18"/>
        </w:rPr>
        <w:t>; and there remained a risk of further falls since the economy was still relatively uncompetitive at the current real exchange rate. It was conceivable that a structural shift in economy-wide margins was underway, but there was not much evidence of this yet; for this reason some members preferred a higher central projection for inflation than the best collective projection. While there were tactical arguments in favour of delay, given that the balance of risks to inflation was on the upside, and given that the market was expecting</w:t>
      </w:r>
      <w:r>
        <w:rPr>
          <w:spacing w:val="-4"/>
          <w:sz w:val="18"/>
        </w:rPr>
        <w:t> </w:t>
      </w:r>
      <w:r>
        <w:rPr>
          <w:sz w:val="18"/>
        </w:rPr>
        <w:t>a</w:t>
      </w:r>
      <w:r>
        <w:rPr>
          <w:spacing w:val="-4"/>
          <w:sz w:val="18"/>
        </w:rPr>
        <w:t> </w:t>
      </w:r>
      <w:r>
        <w:rPr>
          <w:sz w:val="18"/>
        </w:rPr>
        <w:t>modest</w:t>
      </w:r>
      <w:r>
        <w:rPr>
          <w:spacing w:val="-3"/>
          <w:sz w:val="18"/>
        </w:rPr>
        <w:t> </w:t>
      </w:r>
      <w:r>
        <w:rPr>
          <w:sz w:val="18"/>
        </w:rPr>
        <w:t>tightening</w:t>
      </w:r>
      <w:r>
        <w:rPr>
          <w:spacing w:val="-4"/>
          <w:sz w:val="18"/>
        </w:rPr>
        <w:t> </w:t>
      </w:r>
      <w:r>
        <w:rPr>
          <w:sz w:val="18"/>
        </w:rPr>
        <w:t>later</w:t>
      </w:r>
      <w:r>
        <w:rPr>
          <w:spacing w:val="-4"/>
          <w:sz w:val="18"/>
        </w:rPr>
        <w:t> </w:t>
      </w:r>
      <w:r>
        <w:rPr>
          <w:sz w:val="18"/>
        </w:rPr>
        <w:t>in</w:t>
      </w:r>
      <w:r>
        <w:rPr>
          <w:spacing w:val="-3"/>
          <w:sz w:val="18"/>
        </w:rPr>
        <w:t> </w:t>
      </w:r>
      <w:r>
        <w:rPr>
          <w:sz w:val="18"/>
        </w:rPr>
        <w:t>the</w:t>
      </w:r>
      <w:r>
        <w:rPr>
          <w:spacing w:val="-4"/>
          <w:sz w:val="18"/>
        </w:rPr>
        <w:t> </w:t>
      </w:r>
      <w:r>
        <w:rPr>
          <w:sz w:val="18"/>
        </w:rPr>
        <w:t>year,</w:t>
      </w:r>
      <w:r>
        <w:rPr>
          <w:spacing w:val="-3"/>
          <w:sz w:val="18"/>
        </w:rPr>
        <w:t> </w:t>
      </w:r>
      <w:r>
        <w:rPr>
          <w:sz w:val="18"/>
        </w:rPr>
        <w:t>the</w:t>
      </w:r>
      <w:r>
        <w:rPr>
          <w:spacing w:val="-4"/>
          <w:sz w:val="18"/>
        </w:rPr>
        <w:t> </w:t>
      </w:r>
      <w:r>
        <w:rPr>
          <w:sz w:val="18"/>
        </w:rPr>
        <w:t>better</w:t>
      </w:r>
      <w:r>
        <w:rPr>
          <w:spacing w:val="-4"/>
          <w:sz w:val="18"/>
        </w:rPr>
        <w:t> </w:t>
      </w:r>
      <w:r>
        <w:rPr>
          <w:sz w:val="18"/>
        </w:rPr>
        <w:t>course</w:t>
      </w:r>
    </w:p>
    <w:p>
      <w:pPr>
        <w:pStyle w:val="BodyText"/>
        <w:spacing w:before="6"/>
        <w:rPr>
          <w:sz w:val="20"/>
        </w:rPr>
      </w:pPr>
      <w:r>
        <w:rPr/>
        <w:br w:type="column"/>
      </w:r>
      <w:r>
        <w:rPr>
          <w:sz w:val="20"/>
        </w:rPr>
      </w:r>
    </w:p>
    <w:p>
      <w:pPr>
        <w:spacing w:line="232" w:lineRule="auto" w:before="0"/>
        <w:ind w:left="174" w:right="0" w:firstLine="0"/>
        <w:jc w:val="left"/>
        <w:rPr>
          <w:sz w:val="18"/>
        </w:rPr>
      </w:pPr>
      <w:r>
        <w:rPr>
          <w:sz w:val="18"/>
        </w:rPr>
        <w:t>was an immediate increase of 25 basis points. For some this was a finely balanced decision.</w:t>
      </w:r>
    </w:p>
    <w:p>
      <w:pPr>
        <w:pStyle w:val="BodyText"/>
        <w:spacing w:before="3"/>
        <w:rPr>
          <w:sz w:val="17"/>
        </w:rPr>
      </w:pPr>
    </w:p>
    <w:p>
      <w:pPr>
        <w:pStyle w:val="ListParagraph"/>
        <w:numPr>
          <w:ilvl w:val="0"/>
          <w:numId w:val="48"/>
        </w:numPr>
        <w:tabs>
          <w:tab w:pos="654" w:val="left" w:leader="none"/>
          <w:tab w:pos="655" w:val="left" w:leader="none"/>
        </w:tabs>
        <w:spacing w:line="232" w:lineRule="auto" w:before="0" w:after="0"/>
        <w:ind w:left="174" w:right="180" w:firstLine="0"/>
        <w:jc w:val="left"/>
        <w:rPr>
          <w:sz w:val="18"/>
        </w:rPr>
      </w:pPr>
      <w:r>
        <w:rPr>
          <w:sz w:val="18"/>
        </w:rPr>
        <w:t>The Governor invited members to vote on the proposition that the Bank’s repo rate be maintained at 6.0%. Five members of the</w:t>
      </w:r>
      <w:r>
        <w:rPr>
          <w:spacing w:val="-7"/>
          <w:sz w:val="18"/>
        </w:rPr>
        <w:t> </w:t>
      </w:r>
      <w:r>
        <w:rPr>
          <w:sz w:val="18"/>
        </w:rPr>
        <w:t>Committee</w:t>
      </w:r>
      <w:r>
        <w:rPr>
          <w:spacing w:val="-7"/>
          <w:sz w:val="18"/>
        </w:rPr>
        <w:t> </w:t>
      </w:r>
      <w:r>
        <w:rPr>
          <w:sz w:val="18"/>
        </w:rPr>
        <w:t>(the</w:t>
      </w:r>
      <w:r>
        <w:rPr>
          <w:spacing w:val="-7"/>
          <w:sz w:val="18"/>
        </w:rPr>
        <w:t> </w:t>
      </w:r>
      <w:r>
        <w:rPr>
          <w:sz w:val="18"/>
        </w:rPr>
        <w:t>Governor,</w:t>
      </w:r>
      <w:r>
        <w:rPr>
          <w:spacing w:val="-7"/>
          <w:sz w:val="18"/>
        </w:rPr>
        <w:t> </w:t>
      </w:r>
      <w:r>
        <w:rPr>
          <w:sz w:val="18"/>
        </w:rPr>
        <w:t>Christopher</w:t>
      </w:r>
      <w:r>
        <w:rPr>
          <w:spacing w:val="-7"/>
          <w:sz w:val="18"/>
        </w:rPr>
        <w:t> </w:t>
      </w:r>
      <w:r>
        <w:rPr>
          <w:sz w:val="18"/>
        </w:rPr>
        <w:t>Allsopp,</w:t>
      </w:r>
      <w:r>
        <w:rPr>
          <w:spacing w:val="-7"/>
          <w:sz w:val="18"/>
        </w:rPr>
        <w:t> </w:t>
      </w:r>
      <w:r>
        <w:rPr>
          <w:sz w:val="18"/>
        </w:rPr>
        <w:t>DeAnne</w:t>
      </w:r>
      <w:r>
        <w:rPr>
          <w:spacing w:val="-7"/>
          <w:sz w:val="18"/>
        </w:rPr>
        <w:t> </w:t>
      </w:r>
      <w:r>
        <w:rPr>
          <w:sz w:val="18"/>
        </w:rPr>
        <w:t>Julius, Ian Plenderleith and Sushil Wadhwani) voted for the proposition. David Clementi, Mervyn King, Stephen Nickell and John Vickers voted against, preferring a rise in rates of 25 basis</w:t>
      </w:r>
      <w:r>
        <w:rPr>
          <w:spacing w:val="-25"/>
          <w:sz w:val="18"/>
        </w:rPr>
        <w:t> </w:t>
      </w:r>
      <w:r>
        <w:rPr>
          <w:sz w:val="18"/>
        </w:rPr>
        <w:t>points.</w:t>
      </w:r>
    </w:p>
    <w:p>
      <w:pPr>
        <w:pStyle w:val="ListParagraph"/>
        <w:numPr>
          <w:ilvl w:val="0"/>
          <w:numId w:val="48"/>
        </w:numPr>
        <w:tabs>
          <w:tab w:pos="654" w:val="left" w:leader="none"/>
          <w:tab w:pos="655" w:val="left" w:leader="none"/>
        </w:tabs>
        <w:spacing w:line="400" w:lineRule="exact" w:before="38" w:after="0"/>
        <w:ind w:left="174" w:right="535" w:firstLine="0"/>
        <w:jc w:val="left"/>
        <w:rPr>
          <w:sz w:val="18"/>
        </w:rPr>
      </w:pPr>
      <w:r>
        <w:rPr>
          <w:sz w:val="18"/>
        </w:rPr>
        <w:t>The following members of the Committee were present: Eddie George,</w:t>
      </w:r>
      <w:r>
        <w:rPr>
          <w:spacing w:val="-3"/>
          <w:sz w:val="18"/>
        </w:rPr>
        <w:t> </w:t>
      </w:r>
      <w:r>
        <w:rPr>
          <w:sz w:val="18"/>
        </w:rPr>
        <w:t>Governor</w:t>
      </w:r>
    </w:p>
    <w:p>
      <w:pPr>
        <w:spacing w:line="155" w:lineRule="exact" w:before="0"/>
        <w:ind w:left="174" w:right="0" w:firstLine="0"/>
        <w:jc w:val="left"/>
        <w:rPr>
          <w:sz w:val="18"/>
        </w:rPr>
      </w:pPr>
      <w:r>
        <w:rPr>
          <w:sz w:val="18"/>
        </w:rPr>
        <w:t>Mervyn King, Deputy Governor responsible for monetary policy</w:t>
      </w:r>
    </w:p>
    <w:p>
      <w:pPr>
        <w:spacing w:line="232" w:lineRule="auto" w:before="2"/>
        <w:ind w:left="174" w:right="747" w:firstLine="0"/>
        <w:jc w:val="left"/>
        <w:rPr>
          <w:sz w:val="18"/>
        </w:rPr>
      </w:pPr>
      <w:r>
        <w:rPr>
          <w:sz w:val="18"/>
        </w:rPr>
        <w:t>David Clementi, Deputy Governor responsible for financial stability</w:t>
      </w:r>
    </w:p>
    <w:p>
      <w:pPr>
        <w:spacing w:line="232" w:lineRule="auto" w:before="0"/>
        <w:ind w:left="174" w:right="3576" w:firstLine="0"/>
        <w:jc w:val="left"/>
        <w:rPr>
          <w:sz w:val="18"/>
        </w:rPr>
      </w:pPr>
      <w:r>
        <w:rPr>
          <w:sz w:val="18"/>
        </w:rPr>
        <w:t>Christopher Allsopp DeAnne Julius Stephen Nickell</w:t>
      </w:r>
    </w:p>
    <w:p>
      <w:pPr>
        <w:spacing w:line="232" w:lineRule="auto" w:before="0"/>
        <w:ind w:left="174" w:right="3766" w:firstLine="0"/>
        <w:jc w:val="left"/>
        <w:rPr>
          <w:sz w:val="18"/>
        </w:rPr>
      </w:pPr>
      <w:r>
        <w:rPr>
          <w:sz w:val="18"/>
        </w:rPr>
        <w:t>Ian Plenderleith John Vickers Sushil Wadhwani</w:t>
      </w:r>
    </w:p>
    <w:p>
      <w:pPr>
        <w:pStyle w:val="BodyText"/>
        <w:spacing w:before="4"/>
        <w:rPr>
          <w:sz w:val="16"/>
        </w:rPr>
      </w:pPr>
    </w:p>
    <w:p>
      <w:pPr>
        <w:pStyle w:val="ListParagraph"/>
        <w:numPr>
          <w:ilvl w:val="0"/>
          <w:numId w:val="48"/>
        </w:numPr>
        <w:tabs>
          <w:tab w:pos="654" w:val="left" w:leader="none"/>
          <w:tab w:pos="655" w:val="left" w:leader="none"/>
        </w:tabs>
        <w:spacing w:line="240" w:lineRule="auto" w:before="1" w:after="0"/>
        <w:ind w:left="654" w:right="0" w:hanging="481"/>
        <w:jc w:val="left"/>
        <w:rPr>
          <w:sz w:val="18"/>
        </w:rPr>
      </w:pPr>
      <w:r>
        <w:rPr>
          <w:sz w:val="18"/>
        </w:rPr>
        <w:t>Andrew Turnbull was present as the Treasury</w:t>
      </w:r>
      <w:r>
        <w:rPr>
          <w:spacing w:val="-33"/>
          <w:sz w:val="18"/>
        </w:rPr>
        <w:t> </w:t>
      </w:r>
      <w:r>
        <w:rPr>
          <w:sz w:val="18"/>
        </w:rPr>
        <w:t>representative.</w:t>
      </w:r>
    </w:p>
    <w:p>
      <w:pPr>
        <w:spacing w:after="0" w:line="240" w:lineRule="auto"/>
        <w:jc w:val="left"/>
        <w:rPr>
          <w:sz w:val="18"/>
        </w:rPr>
        <w:sectPr>
          <w:type w:val="continuous"/>
          <w:pgSz w:w="11900" w:h="16840"/>
          <w:pgMar w:top="1260" w:bottom="280" w:left="640" w:right="640"/>
          <w:cols w:num="2" w:equalWidth="0">
            <w:col w:w="5103" w:space="282"/>
            <w:col w:w="5235"/>
          </w:cols>
        </w:sectPr>
      </w:pPr>
    </w:p>
    <w:p>
      <w:pPr>
        <w:pStyle w:val="BodyText"/>
        <w:rPr>
          <w:sz w:val="20"/>
        </w:rPr>
      </w:pPr>
    </w:p>
    <w:p>
      <w:pPr>
        <w:pStyle w:val="BodyText"/>
        <w:rPr>
          <w:sz w:val="20"/>
        </w:rPr>
      </w:pPr>
    </w:p>
    <w:p>
      <w:pPr>
        <w:pStyle w:val="Heading3"/>
        <w:spacing w:before="256"/>
      </w:pPr>
      <w:r>
        <w:rPr>
          <w:color w:val="009391"/>
        </w:rPr>
        <w:t>Annex: Summary of data presented by Bank staff</w:t>
      </w:r>
    </w:p>
    <w:p>
      <w:pPr>
        <w:pStyle w:val="BodyText"/>
        <w:spacing w:before="11"/>
        <w:rPr>
          <w:b/>
        </w:rPr>
      </w:pPr>
    </w:p>
    <w:p>
      <w:pPr>
        <w:spacing w:after="0"/>
        <w:sectPr>
          <w:pgSz w:w="11900" w:h="16840"/>
          <w:pgMar w:header="566" w:footer="597" w:top="760" w:bottom="780" w:left="640" w:right="640"/>
        </w:sectPr>
      </w:pPr>
    </w:p>
    <w:p>
      <w:pPr>
        <w:pStyle w:val="ListParagraph"/>
        <w:numPr>
          <w:ilvl w:val="1"/>
          <w:numId w:val="48"/>
        </w:numPr>
        <w:tabs>
          <w:tab w:pos="655" w:val="left" w:leader="none"/>
          <w:tab w:pos="656" w:val="left" w:leader="none"/>
        </w:tabs>
        <w:spacing w:line="240" w:lineRule="auto" w:before="91" w:after="0"/>
        <w:ind w:left="655" w:right="0" w:hanging="481"/>
        <w:jc w:val="left"/>
        <w:rPr>
          <w:b/>
          <w:sz w:val="22"/>
        </w:rPr>
      </w:pPr>
      <w:r>
        <w:rPr>
          <w:b/>
          <w:color w:val="009391"/>
          <w:sz w:val="22"/>
        </w:rPr>
        <w:t>The international</w:t>
      </w:r>
      <w:r>
        <w:rPr>
          <w:b/>
          <w:color w:val="009391"/>
          <w:spacing w:val="-5"/>
          <w:sz w:val="22"/>
        </w:rPr>
        <w:t> </w:t>
      </w:r>
      <w:r>
        <w:rPr>
          <w:b/>
          <w:color w:val="009391"/>
          <w:sz w:val="22"/>
        </w:rPr>
        <w:t>environment</w:t>
      </w:r>
    </w:p>
    <w:p>
      <w:pPr>
        <w:pStyle w:val="ListParagraph"/>
        <w:numPr>
          <w:ilvl w:val="0"/>
          <w:numId w:val="49"/>
        </w:numPr>
        <w:tabs>
          <w:tab w:pos="655" w:val="left" w:leader="none"/>
          <w:tab w:pos="656" w:val="left" w:leader="none"/>
        </w:tabs>
        <w:spacing w:line="232" w:lineRule="auto" w:before="129" w:after="0"/>
        <w:ind w:left="175" w:right="38" w:firstLine="0"/>
        <w:jc w:val="left"/>
        <w:rPr>
          <w:sz w:val="18"/>
        </w:rPr>
      </w:pPr>
      <w:r>
        <w:rPr>
          <w:sz w:val="18"/>
        </w:rPr>
        <w:t>Evidence of a slowdown in the United States had been mixed. GDP had risen by 1.3% in Q2 following a rise of 1.2% in Q1. Investment had grown by 3.6% in Q2 after 3.9% in Q1. But quarterly consumption growth had slowed to 0.7% in Q2 compared with 1.8% in Q1. Exports had risen by 1.8% in Q2, but imports had risen by 4.0%, reflecting continued strong domestic demand. Private non-farm payrolls had risen by 206,000 in June, but total payrolls had risen by only 11,000, as 190,000 workers who had been temporarily employed on the Census finished their work in June.  The unemployment rate had fallen to 4.0% in June from 4.1% in May.  The Conference Board index of consumer confidence had risen to 141.7 in July from a revised 139.2 in June, and had remained at a historically high level. Annual consumer price inflation had increased to 3.7% in June from 3.1% in May, primarily because of higher energy prices. Core consumer price inflation had risen only slightly, to 2.4% from 2.3%. The employment cost index had risen by 1.0% in</w:t>
      </w:r>
      <w:r>
        <w:rPr>
          <w:spacing w:val="-14"/>
          <w:sz w:val="18"/>
        </w:rPr>
        <w:t> </w:t>
      </w:r>
      <w:r>
        <w:rPr>
          <w:sz w:val="18"/>
        </w:rPr>
        <w:t>Q2.</w:t>
      </w:r>
    </w:p>
    <w:p>
      <w:pPr>
        <w:pStyle w:val="BodyText"/>
        <w:spacing w:before="3"/>
        <w:rPr>
          <w:sz w:val="16"/>
        </w:rPr>
      </w:pPr>
    </w:p>
    <w:p>
      <w:pPr>
        <w:pStyle w:val="ListParagraph"/>
        <w:numPr>
          <w:ilvl w:val="0"/>
          <w:numId w:val="49"/>
        </w:numPr>
        <w:tabs>
          <w:tab w:pos="655" w:val="left" w:leader="none"/>
          <w:tab w:pos="656" w:val="left" w:leader="none"/>
        </w:tabs>
        <w:spacing w:line="232" w:lineRule="auto" w:before="0" w:after="0"/>
        <w:ind w:left="175" w:right="68" w:firstLine="0"/>
        <w:jc w:val="left"/>
        <w:rPr>
          <w:sz w:val="18"/>
        </w:rPr>
      </w:pPr>
      <w:r>
        <w:rPr>
          <w:sz w:val="18"/>
        </w:rPr>
        <w:t>Recent data had shown further evidence of strong growth in the euro area. Euro-area GDP growth in Q1 had been revised up to 0.9% from 0.7%. Consumption growth, reported as flat in the first Q1 release, had been revised up to 0.7%. The revised data was more easily reconcilable with high levels of euro area consumer confidence and recent labour market trends. Available data for Q2 had pointed to a continuation of strong growth. Retail sales had grown by 0.2% in May after growing by 1.4% in April. Industrial production had risen by 0.8% in May, after growing by 0.6% in April. The unemployment rate had fallen to 9.1% in June from 9.2% in May. The German Ifo index had fallen to 100.4 in June from 102.0 in the previous month, but the euro-area business confidence balance had risen by three points in June. HICP inflation had risen to 2.4% in June from 1.9% in May, reflecting higher energy prices. Core inflation had risen to 1.3% in June from 1.1% in May.</w:t>
      </w:r>
    </w:p>
    <w:p>
      <w:pPr>
        <w:pStyle w:val="BodyText"/>
        <w:spacing w:before="3"/>
        <w:rPr>
          <w:sz w:val="16"/>
        </w:rPr>
      </w:pPr>
    </w:p>
    <w:p>
      <w:pPr>
        <w:pStyle w:val="ListParagraph"/>
        <w:numPr>
          <w:ilvl w:val="0"/>
          <w:numId w:val="49"/>
        </w:numPr>
        <w:tabs>
          <w:tab w:pos="655" w:val="left" w:leader="none"/>
          <w:tab w:pos="656" w:val="left" w:leader="none"/>
        </w:tabs>
        <w:spacing w:line="232" w:lineRule="auto" w:before="1" w:after="0"/>
        <w:ind w:left="175" w:right="78" w:firstLine="0"/>
        <w:jc w:val="left"/>
        <w:rPr>
          <w:sz w:val="18"/>
        </w:rPr>
      </w:pPr>
      <w:r>
        <w:rPr>
          <w:sz w:val="18"/>
        </w:rPr>
        <w:t>Japan’s industrial production had grown by 1.7% in June, bringing the increase on the quarter in Q2 to 1.6%. And tertiary activity had grown by 0.5% in May. Retail sales had grown by 1.5% in June, while employees’ cash earnings had risen by 0.8% in the year to June. Unemployment had risen to 4.7% in June from 4.6% in May. Against this, the ratio of new job offers to applicants had risen from just under 1.0 to 1.1. Consumer prices had declined by 0.3% in June and by 0.7% in the year to June. In contrast, the wholesale price index had been flat on the month and was 0.3% higher on the</w:t>
      </w:r>
      <w:r>
        <w:rPr>
          <w:spacing w:val="-4"/>
          <w:sz w:val="18"/>
        </w:rPr>
        <w:t> </w:t>
      </w:r>
      <w:r>
        <w:rPr>
          <w:sz w:val="18"/>
        </w:rPr>
        <w:t>year.</w:t>
      </w:r>
    </w:p>
    <w:p>
      <w:pPr>
        <w:pStyle w:val="BodyText"/>
        <w:spacing w:before="8"/>
        <w:rPr>
          <w:sz w:val="16"/>
        </w:rPr>
      </w:pPr>
    </w:p>
    <w:p>
      <w:pPr>
        <w:pStyle w:val="ListParagraph"/>
        <w:numPr>
          <w:ilvl w:val="0"/>
          <w:numId w:val="49"/>
        </w:numPr>
        <w:tabs>
          <w:tab w:pos="655" w:val="left" w:leader="none"/>
          <w:tab w:pos="656" w:val="left" w:leader="none"/>
        </w:tabs>
        <w:spacing w:line="232" w:lineRule="auto" w:before="0" w:after="0"/>
        <w:ind w:left="175" w:right="234" w:firstLine="0"/>
        <w:jc w:val="left"/>
        <w:rPr>
          <w:sz w:val="18"/>
        </w:rPr>
      </w:pPr>
      <w:r>
        <w:rPr>
          <w:sz w:val="18"/>
        </w:rPr>
        <w:t>Since the previous MPC meeting the price of Brent crude had fallen by around $3 to approximately $27 a barrel. The price for</w:t>
      </w:r>
      <w:r>
        <w:rPr>
          <w:spacing w:val="-5"/>
          <w:sz w:val="18"/>
        </w:rPr>
        <w:t> </w:t>
      </w:r>
      <w:r>
        <w:rPr>
          <w:sz w:val="18"/>
        </w:rPr>
        <w:t>Brent</w:t>
      </w:r>
      <w:r>
        <w:rPr>
          <w:spacing w:val="-4"/>
          <w:sz w:val="18"/>
        </w:rPr>
        <w:t> </w:t>
      </w:r>
      <w:r>
        <w:rPr>
          <w:sz w:val="18"/>
        </w:rPr>
        <w:t>crude</w:t>
      </w:r>
      <w:r>
        <w:rPr>
          <w:spacing w:val="-4"/>
          <w:sz w:val="18"/>
        </w:rPr>
        <w:t> </w:t>
      </w:r>
      <w:r>
        <w:rPr>
          <w:sz w:val="18"/>
        </w:rPr>
        <w:t>futures</w:t>
      </w:r>
      <w:r>
        <w:rPr>
          <w:spacing w:val="-5"/>
          <w:sz w:val="18"/>
        </w:rPr>
        <w:t> </w:t>
      </w:r>
      <w:r>
        <w:rPr>
          <w:sz w:val="18"/>
        </w:rPr>
        <w:t>maturing</w:t>
      </w:r>
      <w:r>
        <w:rPr>
          <w:spacing w:val="-4"/>
          <w:sz w:val="18"/>
        </w:rPr>
        <w:t> </w:t>
      </w:r>
      <w:r>
        <w:rPr>
          <w:sz w:val="18"/>
        </w:rPr>
        <w:t>in</w:t>
      </w:r>
      <w:r>
        <w:rPr>
          <w:spacing w:val="-4"/>
          <w:sz w:val="18"/>
        </w:rPr>
        <w:t> </w:t>
      </w:r>
      <w:r>
        <w:rPr>
          <w:sz w:val="18"/>
        </w:rPr>
        <w:t>August</w:t>
      </w:r>
      <w:r>
        <w:rPr>
          <w:spacing w:val="-4"/>
          <w:sz w:val="18"/>
        </w:rPr>
        <w:t> </w:t>
      </w:r>
      <w:r>
        <w:rPr>
          <w:sz w:val="18"/>
        </w:rPr>
        <w:t>had</w:t>
      </w:r>
      <w:r>
        <w:rPr>
          <w:spacing w:val="-5"/>
          <w:sz w:val="18"/>
        </w:rPr>
        <w:t> </w:t>
      </w:r>
      <w:r>
        <w:rPr>
          <w:sz w:val="18"/>
        </w:rPr>
        <w:t>fallen</w:t>
      </w:r>
      <w:r>
        <w:rPr>
          <w:spacing w:val="-4"/>
          <w:sz w:val="18"/>
        </w:rPr>
        <w:t> </w:t>
      </w:r>
      <w:r>
        <w:rPr>
          <w:sz w:val="18"/>
        </w:rPr>
        <w:t>by</w:t>
      </w:r>
      <w:r>
        <w:rPr>
          <w:spacing w:val="-4"/>
          <w:sz w:val="18"/>
        </w:rPr>
        <w:t> </w:t>
      </w:r>
      <w:r>
        <w:rPr>
          <w:sz w:val="18"/>
        </w:rPr>
        <w:t>around</w:t>
      </w:r>
    </w:p>
    <w:p>
      <w:pPr>
        <w:spacing w:line="232" w:lineRule="auto" w:before="0"/>
        <w:ind w:left="175" w:right="0" w:firstLine="0"/>
        <w:jc w:val="left"/>
        <w:rPr>
          <w:sz w:val="18"/>
        </w:rPr>
      </w:pPr>
      <w:r>
        <w:rPr>
          <w:sz w:val="18"/>
        </w:rPr>
        <w:t>$1.60, to $28 a barrel. At longer maturities the futures curve had remained little changed.</w:t>
      </w:r>
    </w:p>
    <w:p>
      <w:pPr>
        <w:pStyle w:val="BodyText"/>
        <w:rPr>
          <w:sz w:val="17"/>
        </w:rPr>
      </w:pPr>
    </w:p>
    <w:p>
      <w:pPr>
        <w:pStyle w:val="ListParagraph"/>
        <w:numPr>
          <w:ilvl w:val="0"/>
          <w:numId w:val="49"/>
        </w:numPr>
        <w:tabs>
          <w:tab w:pos="655" w:val="left" w:leader="none"/>
          <w:tab w:pos="656" w:val="left" w:leader="none"/>
        </w:tabs>
        <w:spacing w:line="232" w:lineRule="auto" w:before="0" w:after="0"/>
        <w:ind w:left="175" w:right="173" w:firstLine="0"/>
        <w:jc w:val="left"/>
        <w:rPr>
          <w:sz w:val="18"/>
        </w:rPr>
      </w:pPr>
      <w:r>
        <w:rPr>
          <w:sz w:val="18"/>
        </w:rPr>
        <w:t>Since</w:t>
      </w:r>
      <w:r>
        <w:rPr>
          <w:spacing w:val="-5"/>
          <w:sz w:val="18"/>
        </w:rPr>
        <w:t> </w:t>
      </w:r>
      <w:r>
        <w:rPr>
          <w:sz w:val="18"/>
        </w:rPr>
        <w:t>the</w:t>
      </w:r>
      <w:r>
        <w:rPr>
          <w:spacing w:val="-5"/>
          <w:sz w:val="18"/>
        </w:rPr>
        <w:t> </w:t>
      </w:r>
      <w:r>
        <w:rPr>
          <w:sz w:val="18"/>
        </w:rPr>
        <w:t>previous</w:t>
      </w:r>
      <w:r>
        <w:rPr>
          <w:spacing w:val="-5"/>
          <w:sz w:val="18"/>
        </w:rPr>
        <w:t> </w:t>
      </w:r>
      <w:r>
        <w:rPr>
          <w:sz w:val="18"/>
        </w:rPr>
        <w:t>MPC</w:t>
      </w:r>
      <w:r>
        <w:rPr>
          <w:spacing w:val="-5"/>
          <w:sz w:val="18"/>
        </w:rPr>
        <w:t> </w:t>
      </w:r>
      <w:r>
        <w:rPr>
          <w:sz w:val="18"/>
        </w:rPr>
        <w:t>meeting</w:t>
      </w:r>
      <w:r>
        <w:rPr>
          <w:spacing w:val="-4"/>
          <w:sz w:val="18"/>
        </w:rPr>
        <w:t> </w:t>
      </w:r>
      <w:r>
        <w:rPr>
          <w:sz w:val="18"/>
        </w:rPr>
        <w:t>the</w:t>
      </w:r>
      <w:r>
        <w:rPr>
          <w:spacing w:val="-5"/>
          <w:sz w:val="18"/>
        </w:rPr>
        <w:t> </w:t>
      </w:r>
      <w:r>
        <w:rPr>
          <w:sz w:val="18"/>
        </w:rPr>
        <w:t>Wilshire</w:t>
      </w:r>
      <w:r>
        <w:rPr>
          <w:spacing w:val="-5"/>
          <w:sz w:val="18"/>
        </w:rPr>
        <w:t> </w:t>
      </w:r>
      <w:r>
        <w:rPr>
          <w:sz w:val="18"/>
        </w:rPr>
        <w:t>5000</w:t>
      </w:r>
      <w:r>
        <w:rPr>
          <w:spacing w:val="-5"/>
          <w:sz w:val="18"/>
        </w:rPr>
        <w:t> </w:t>
      </w:r>
      <w:r>
        <w:rPr>
          <w:sz w:val="18"/>
        </w:rPr>
        <w:t>and</w:t>
      </w:r>
      <w:r>
        <w:rPr>
          <w:spacing w:val="-4"/>
          <w:sz w:val="18"/>
        </w:rPr>
        <w:t> </w:t>
      </w:r>
      <w:r>
        <w:rPr>
          <w:sz w:val="18"/>
        </w:rPr>
        <w:t>the DJ Euro Stoxx had fallen by 1.2% and 0.4% respectively, and the Topix had fallen by 7.4%. Short term interest rate expectations implied from futures contracts in the US had fallen slightly. In contrast, implied policy rates for the euro area had</w:t>
      </w:r>
      <w:r>
        <w:rPr>
          <w:spacing w:val="-24"/>
          <w:sz w:val="18"/>
        </w:rPr>
        <w:t> </w:t>
      </w:r>
      <w:r>
        <w:rPr>
          <w:sz w:val="18"/>
        </w:rPr>
        <w:t>risen.</w:t>
      </w:r>
    </w:p>
    <w:p>
      <w:pPr>
        <w:pStyle w:val="BodyText"/>
        <w:spacing w:before="3"/>
        <w:rPr>
          <w:sz w:val="21"/>
        </w:rPr>
      </w:pPr>
    </w:p>
    <w:p>
      <w:pPr>
        <w:pStyle w:val="ListParagraph"/>
        <w:numPr>
          <w:ilvl w:val="1"/>
          <w:numId w:val="48"/>
        </w:numPr>
        <w:tabs>
          <w:tab w:pos="655" w:val="left" w:leader="none"/>
          <w:tab w:pos="656" w:val="left" w:leader="none"/>
        </w:tabs>
        <w:spacing w:line="240" w:lineRule="auto" w:before="0" w:after="0"/>
        <w:ind w:left="655" w:right="0" w:hanging="481"/>
        <w:jc w:val="left"/>
        <w:rPr>
          <w:b/>
          <w:sz w:val="22"/>
        </w:rPr>
      </w:pPr>
      <w:r>
        <w:rPr>
          <w:b/>
          <w:color w:val="009391"/>
          <w:sz w:val="22"/>
        </w:rPr>
        <w:t>Monetary and financial</w:t>
      </w:r>
      <w:r>
        <w:rPr>
          <w:b/>
          <w:color w:val="009391"/>
          <w:spacing w:val="-7"/>
          <w:sz w:val="22"/>
        </w:rPr>
        <w:t> </w:t>
      </w:r>
      <w:r>
        <w:rPr>
          <w:b/>
          <w:color w:val="009391"/>
          <w:sz w:val="22"/>
        </w:rPr>
        <w:t>conditions</w:t>
      </w:r>
    </w:p>
    <w:p>
      <w:pPr>
        <w:pStyle w:val="ListParagraph"/>
        <w:numPr>
          <w:ilvl w:val="0"/>
          <w:numId w:val="49"/>
        </w:numPr>
        <w:tabs>
          <w:tab w:pos="655" w:val="left" w:leader="none"/>
          <w:tab w:pos="656" w:val="left" w:leader="none"/>
        </w:tabs>
        <w:spacing w:line="232" w:lineRule="auto" w:before="129" w:after="0"/>
        <w:ind w:left="175" w:right="83" w:firstLine="0"/>
        <w:jc w:val="left"/>
        <w:rPr>
          <w:sz w:val="18"/>
        </w:rPr>
      </w:pPr>
      <w:r>
        <w:rPr>
          <w:sz w:val="18"/>
        </w:rPr>
        <w:t>The twelve-month growth rate of notes and coin had continued</w:t>
      </w:r>
      <w:r>
        <w:rPr>
          <w:spacing w:val="-4"/>
          <w:sz w:val="18"/>
        </w:rPr>
        <w:t> </w:t>
      </w:r>
      <w:r>
        <w:rPr>
          <w:sz w:val="18"/>
        </w:rPr>
        <w:t>to</w:t>
      </w:r>
      <w:r>
        <w:rPr>
          <w:spacing w:val="-4"/>
          <w:sz w:val="18"/>
        </w:rPr>
        <w:t> </w:t>
      </w:r>
      <w:r>
        <w:rPr>
          <w:sz w:val="18"/>
        </w:rPr>
        <w:t>fall,</w:t>
      </w:r>
      <w:r>
        <w:rPr>
          <w:spacing w:val="-4"/>
          <w:sz w:val="18"/>
        </w:rPr>
        <w:t> </w:t>
      </w:r>
      <w:r>
        <w:rPr>
          <w:sz w:val="18"/>
        </w:rPr>
        <w:t>and</w:t>
      </w:r>
      <w:r>
        <w:rPr>
          <w:spacing w:val="-4"/>
          <w:sz w:val="18"/>
        </w:rPr>
        <w:t> </w:t>
      </w:r>
      <w:r>
        <w:rPr>
          <w:sz w:val="18"/>
        </w:rPr>
        <w:t>was</w:t>
      </w:r>
      <w:r>
        <w:rPr>
          <w:spacing w:val="-4"/>
          <w:sz w:val="18"/>
        </w:rPr>
        <w:t> </w:t>
      </w:r>
      <w:r>
        <w:rPr>
          <w:sz w:val="18"/>
        </w:rPr>
        <w:t>down</w:t>
      </w:r>
      <w:r>
        <w:rPr>
          <w:spacing w:val="-3"/>
          <w:sz w:val="18"/>
        </w:rPr>
        <w:t> </w:t>
      </w:r>
      <w:r>
        <w:rPr>
          <w:sz w:val="18"/>
        </w:rPr>
        <w:t>from</w:t>
      </w:r>
      <w:r>
        <w:rPr>
          <w:spacing w:val="-4"/>
          <w:sz w:val="18"/>
        </w:rPr>
        <w:t> </w:t>
      </w:r>
      <w:r>
        <w:rPr>
          <w:sz w:val="18"/>
        </w:rPr>
        <w:t>7.5%</w:t>
      </w:r>
      <w:r>
        <w:rPr>
          <w:spacing w:val="-4"/>
          <w:sz w:val="18"/>
        </w:rPr>
        <w:t> </w:t>
      </w:r>
      <w:r>
        <w:rPr>
          <w:sz w:val="18"/>
        </w:rPr>
        <w:t>in</w:t>
      </w:r>
      <w:r>
        <w:rPr>
          <w:spacing w:val="-4"/>
          <w:sz w:val="18"/>
        </w:rPr>
        <w:t> </w:t>
      </w:r>
      <w:r>
        <w:rPr>
          <w:sz w:val="18"/>
        </w:rPr>
        <w:t>June</w:t>
      </w:r>
      <w:r>
        <w:rPr>
          <w:spacing w:val="-4"/>
          <w:sz w:val="18"/>
        </w:rPr>
        <w:t> </w:t>
      </w:r>
      <w:r>
        <w:rPr>
          <w:sz w:val="18"/>
        </w:rPr>
        <w:t>to</w:t>
      </w:r>
      <w:r>
        <w:rPr>
          <w:spacing w:val="-3"/>
          <w:sz w:val="18"/>
        </w:rPr>
        <w:t> </w:t>
      </w:r>
      <w:r>
        <w:rPr>
          <w:sz w:val="18"/>
        </w:rPr>
        <w:t>7.1%</w:t>
      </w:r>
      <w:r>
        <w:rPr>
          <w:spacing w:val="-4"/>
          <w:sz w:val="18"/>
        </w:rPr>
        <w:t> </w:t>
      </w:r>
      <w:r>
        <w:rPr>
          <w:sz w:val="18"/>
        </w:rPr>
        <w:t>in</w:t>
      </w:r>
      <w:r>
        <w:rPr>
          <w:spacing w:val="-4"/>
          <w:sz w:val="18"/>
        </w:rPr>
        <w:t> </w:t>
      </w:r>
      <w:r>
        <w:rPr>
          <w:sz w:val="18"/>
        </w:rPr>
        <w:t>July.</w:t>
      </w:r>
    </w:p>
    <w:p>
      <w:pPr>
        <w:pStyle w:val="BodyText"/>
        <w:spacing w:before="3"/>
        <w:rPr>
          <w:sz w:val="17"/>
        </w:rPr>
      </w:pPr>
    </w:p>
    <w:p>
      <w:pPr>
        <w:pStyle w:val="ListParagraph"/>
        <w:numPr>
          <w:ilvl w:val="0"/>
          <w:numId w:val="49"/>
        </w:numPr>
        <w:tabs>
          <w:tab w:pos="655" w:val="left" w:leader="none"/>
          <w:tab w:pos="656" w:val="left" w:leader="none"/>
        </w:tabs>
        <w:spacing w:line="232" w:lineRule="auto" w:before="0" w:after="0"/>
        <w:ind w:left="175" w:right="73" w:firstLine="0"/>
        <w:jc w:val="left"/>
        <w:rPr>
          <w:sz w:val="18"/>
        </w:rPr>
      </w:pPr>
      <w:r>
        <w:rPr>
          <w:sz w:val="18"/>
        </w:rPr>
        <w:t>M4 had risen by £8.2 billion (1.0%) in June. This had raised the</w:t>
      </w:r>
      <w:r>
        <w:rPr>
          <w:spacing w:val="-4"/>
          <w:sz w:val="18"/>
        </w:rPr>
        <w:t> </w:t>
      </w:r>
      <w:r>
        <w:rPr>
          <w:sz w:val="18"/>
        </w:rPr>
        <w:t>twelve-month</w:t>
      </w:r>
      <w:r>
        <w:rPr>
          <w:spacing w:val="-4"/>
          <w:sz w:val="18"/>
        </w:rPr>
        <w:t> </w:t>
      </w:r>
      <w:r>
        <w:rPr>
          <w:sz w:val="18"/>
        </w:rPr>
        <w:t>growth</w:t>
      </w:r>
      <w:r>
        <w:rPr>
          <w:spacing w:val="-4"/>
          <w:sz w:val="18"/>
        </w:rPr>
        <w:t> </w:t>
      </w:r>
      <w:r>
        <w:rPr>
          <w:sz w:val="18"/>
        </w:rPr>
        <w:t>rate</w:t>
      </w:r>
      <w:r>
        <w:rPr>
          <w:spacing w:val="-4"/>
          <w:sz w:val="18"/>
        </w:rPr>
        <w:t> </w:t>
      </w:r>
      <w:r>
        <w:rPr>
          <w:sz w:val="18"/>
        </w:rPr>
        <w:t>to</w:t>
      </w:r>
      <w:r>
        <w:rPr>
          <w:spacing w:val="-4"/>
          <w:sz w:val="18"/>
        </w:rPr>
        <w:t> </w:t>
      </w:r>
      <w:r>
        <w:rPr>
          <w:sz w:val="18"/>
        </w:rPr>
        <w:t>6.8%,</w:t>
      </w:r>
      <w:r>
        <w:rPr>
          <w:spacing w:val="-4"/>
          <w:sz w:val="18"/>
        </w:rPr>
        <w:t> </w:t>
      </w:r>
      <w:r>
        <w:rPr>
          <w:sz w:val="18"/>
        </w:rPr>
        <w:t>the</w:t>
      </w:r>
      <w:r>
        <w:rPr>
          <w:spacing w:val="-4"/>
          <w:sz w:val="18"/>
        </w:rPr>
        <w:t> </w:t>
      </w:r>
      <w:r>
        <w:rPr>
          <w:sz w:val="18"/>
        </w:rPr>
        <w:t>highest</w:t>
      </w:r>
      <w:r>
        <w:rPr>
          <w:spacing w:val="-4"/>
          <w:sz w:val="18"/>
        </w:rPr>
        <w:t> </w:t>
      </w:r>
      <w:r>
        <w:rPr>
          <w:sz w:val="18"/>
        </w:rPr>
        <w:t>for</w:t>
      </w:r>
      <w:r>
        <w:rPr>
          <w:spacing w:val="-4"/>
          <w:sz w:val="18"/>
        </w:rPr>
        <w:t> </w:t>
      </w:r>
      <w:r>
        <w:rPr>
          <w:sz w:val="18"/>
        </w:rPr>
        <w:t>more</w:t>
      </w:r>
      <w:r>
        <w:rPr>
          <w:spacing w:val="-3"/>
          <w:sz w:val="18"/>
        </w:rPr>
        <w:t> </w:t>
      </w:r>
      <w:r>
        <w:rPr>
          <w:sz w:val="18"/>
        </w:rPr>
        <w:t>than</w:t>
      </w:r>
      <w:r>
        <w:rPr>
          <w:spacing w:val="-4"/>
          <w:sz w:val="18"/>
        </w:rPr>
        <w:t> </w:t>
      </w:r>
      <w:r>
        <w:rPr>
          <w:sz w:val="18"/>
        </w:rPr>
        <w:t>a</w:t>
      </w:r>
    </w:p>
    <w:p>
      <w:pPr>
        <w:spacing w:line="232" w:lineRule="auto" w:before="105"/>
        <w:ind w:left="175" w:right="814" w:firstLine="0"/>
        <w:jc w:val="left"/>
        <w:rPr>
          <w:sz w:val="18"/>
        </w:rPr>
      </w:pPr>
      <w:r>
        <w:rPr/>
        <w:br w:type="column"/>
      </w:r>
      <w:r>
        <w:rPr>
          <w:sz w:val="18"/>
        </w:rPr>
        <w:t>year. Aggregate M4 lending (excluding the effects of securitisations) had remained strong in June, increasing by</w:t>
      </w:r>
    </w:p>
    <w:p>
      <w:pPr>
        <w:spacing w:line="232" w:lineRule="auto" w:before="0"/>
        <w:ind w:left="175" w:right="249" w:firstLine="0"/>
        <w:jc w:val="left"/>
        <w:rPr>
          <w:sz w:val="18"/>
        </w:rPr>
      </w:pPr>
      <w:r>
        <w:rPr>
          <w:sz w:val="18"/>
        </w:rPr>
        <w:t>£5.4 billion on the month. The twelve-month growth rate had fallen slightly to 11.5% from the peak of 12.1% in May.</w:t>
      </w:r>
    </w:p>
    <w:p>
      <w:pPr>
        <w:pStyle w:val="BodyText"/>
        <w:spacing w:before="1"/>
        <w:rPr>
          <w:sz w:val="17"/>
        </w:rPr>
      </w:pPr>
    </w:p>
    <w:p>
      <w:pPr>
        <w:pStyle w:val="ListParagraph"/>
        <w:numPr>
          <w:ilvl w:val="0"/>
          <w:numId w:val="49"/>
        </w:numPr>
        <w:tabs>
          <w:tab w:pos="655" w:val="left" w:leader="none"/>
          <w:tab w:pos="656" w:val="left" w:leader="none"/>
        </w:tabs>
        <w:spacing w:line="232" w:lineRule="auto" w:before="1" w:after="0"/>
        <w:ind w:left="175" w:right="222" w:firstLine="0"/>
        <w:jc w:val="left"/>
        <w:rPr>
          <w:sz w:val="18"/>
        </w:rPr>
      </w:pPr>
      <w:r>
        <w:rPr>
          <w:sz w:val="18"/>
        </w:rPr>
        <w:t>Households’ M4 had increased by £3.9 billion (0.8%) in June. That had reflected a recovery from the weak growth in May. The twelve-month growth rate in June, at 5.5%, was still below the average growth rate during</w:t>
      </w:r>
      <w:r>
        <w:rPr>
          <w:spacing w:val="-6"/>
          <w:sz w:val="18"/>
        </w:rPr>
        <w:t> </w:t>
      </w:r>
      <w:r>
        <w:rPr>
          <w:sz w:val="18"/>
        </w:rPr>
        <w:t>1999.</w:t>
      </w:r>
    </w:p>
    <w:p>
      <w:pPr>
        <w:pStyle w:val="BodyText"/>
        <w:spacing w:before="1"/>
        <w:rPr>
          <w:sz w:val="17"/>
        </w:rPr>
      </w:pPr>
    </w:p>
    <w:p>
      <w:pPr>
        <w:pStyle w:val="ListParagraph"/>
        <w:numPr>
          <w:ilvl w:val="0"/>
          <w:numId w:val="49"/>
        </w:numPr>
        <w:tabs>
          <w:tab w:pos="655" w:val="left" w:leader="none"/>
          <w:tab w:pos="656" w:val="left" w:leader="none"/>
        </w:tabs>
        <w:spacing w:line="232" w:lineRule="auto" w:before="0" w:after="0"/>
        <w:ind w:left="175" w:right="372" w:firstLine="0"/>
        <w:jc w:val="left"/>
        <w:rPr>
          <w:sz w:val="18"/>
        </w:rPr>
      </w:pPr>
      <w:r>
        <w:rPr>
          <w:sz w:val="18"/>
        </w:rPr>
        <w:t>Households’ M4 lending (excluding securitisations) had continued</w:t>
      </w:r>
      <w:r>
        <w:rPr>
          <w:spacing w:val="-6"/>
          <w:sz w:val="18"/>
        </w:rPr>
        <w:t> </w:t>
      </w:r>
      <w:r>
        <w:rPr>
          <w:sz w:val="18"/>
        </w:rPr>
        <w:t>to</w:t>
      </w:r>
      <w:r>
        <w:rPr>
          <w:spacing w:val="-5"/>
          <w:sz w:val="18"/>
        </w:rPr>
        <w:t> </w:t>
      </w:r>
      <w:r>
        <w:rPr>
          <w:sz w:val="18"/>
        </w:rPr>
        <w:t>be</w:t>
      </w:r>
      <w:r>
        <w:rPr>
          <w:spacing w:val="-5"/>
          <w:sz w:val="18"/>
        </w:rPr>
        <w:t> </w:t>
      </w:r>
      <w:r>
        <w:rPr>
          <w:sz w:val="18"/>
        </w:rPr>
        <w:t>strong</w:t>
      </w:r>
      <w:r>
        <w:rPr>
          <w:spacing w:val="-5"/>
          <w:sz w:val="18"/>
        </w:rPr>
        <w:t> </w:t>
      </w:r>
      <w:r>
        <w:rPr>
          <w:sz w:val="18"/>
        </w:rPr>
        <w:t>in</w:t>
      </w:r>
      <w:r>
        <w:rPr>
          <w:spacing w:val="-5"/>
          <w:sz w:val="18"/>
        </w:rPr>
        <w:t> </w:t>
      </w:r>
      <w:r>
        <w:rPr>
          <w:sz w:val="18"/>
        </w:rPr>
        <w:t>June,</w:t>
      </w:r>
      <w:r>
        <w:rPr>
          <w:spacing w:val="-5"/>
          <w:sz w:val="18"/>
        </w:rPr>
        <w:t> </w:t>
      </w:r>
      <w:r>
        <w:rPr>
          <w:sz w:val="18"/>
        </w:rPr>
        <w:t>increasing</w:t>
      </w:r>
      <w:r>
        <w:rPr>
          <w:spacing w:val="-5"/>
          <w:sz w:val="18"/>
        </w:rPr>
        <w:t> </w:t>
      </w:r>
      <w:r>
        <w:rPr>
          <w:sz w:val="18"/>
        </w:rPr>
        <w:t>by</w:t>
      </w:r>
      <w:r>
        <w:rPr>
          <w:spacing w:val="-5"/>
          <w:sz w:val="18"/>
        </w:rPr>
        <w:t> </w:t>
      </w:r>
      <w:r>
        <w:rPr>
          <w:sz w:val="18"/>
        </w:rPr>
        <w:t>£5.0</w:t>
      </w:r>
      <w:r>
        <w:rPr>
          <w:spacing w:val="-5"/>
          <w:sz w:val="18"/>
        </w:rPr>
        <w:t> </w:t>
      </w:r>
      <w:r>
        <w:rPr>
          <w:sz w:val="18"/>
        </w:rPr>
        <w:t>billion</w:t>
      </w:r>
      <w:r>
        <w:rPr>
          <w:spacing w:val="-5"/>
          <w:sz w:val="18"/>
        </w:rPr>
        <w:t> </w:t>
      </w:r>
      <w:r>
        <w:rPr>
          <w:sz w:val="18"/>
        </w:rPr>
        <w:t>(0.9%). Within total lending to individuals, secured lending in June had been close to the strongest flow seen since the pick-up in the housing market last spring. Despite slightly weaker loan approvals figures in June, the number of approvals had remained robust.</w:t>
      </w:r>
    </w:p>
    <w:p>
      <w:pPr>
        <w:pStyle w:val="BodyText"/>
        <w:spacing w:before="10"/>
        <w:rPr>
          <w:sz w:val="16"/>
        </w:rPr>
      </w:pPr>
    </w:p>
    <w:p>
      <w:pPr>
        <w:pStyle w:val="ListParagraph"/>
        <w:numPr>
          <w:ilvl w:val="0"/>
          <w:numId w:val="49"/>
        </w:numPr>
        <w:tabs>
          <w:tab w:pos="655" w:val="left" w:leader="none"/>
          <w:tab w:pos="656" w:val="left" w:leader="none"/>
        </w:tabs>
        <w:spacing w:line="232" w:lineRule="auto" w:before="1" w:after="0"/>
        <w:ind w:left="175" w:right="142" w:firstLine="0"/>
        <w:jc w:val="left"/>
        <w:rPr>
          <w:sz w:val="18"/>
        </w:rPr>
      </w:pPr>
      <w:r>
        <w:rPr>
          <w:sz w:val="18"/>
        </w:rPr>
        <w:t>Private non-financial corporations’ (PNFCs’) M4 had risen by £0.9 billion (0.7%) in June. The twelve-month growth rate had increased to 9.0% from 6.3% in May. PNFCs’ M4 lending (excluding securitisations) had fallen by £0.9 billion (0.4%) in June. However, the twelve-month growth rate of PNFCs’ M4 lending had remained strong at</w:t>
      </w:r>
      <w:r>
        <w:rPr>
          <w:spacing w:val="-4"/>
          <w:sz w:val="18"/>
        </w:rPr>
        <w:t> </w:t>
      </w:r>
      <w:r>
        <w:rPr>
          <w:sz w:val="18"/>
        </w:rPr>
        <w:t>12.7%.</w:t>
      </w:r>
    </w:p>
    <w:p>
      <w:pPr>
        <w:pStyle w:val="BodyText"/>
        <w:spacing w:before="11"/>
        <w:rPr>
          <w:sz w:val="16"/>
        </w:rPr>
      </w:pPr>
    </w:p>
    <w:p>
      <w:pPr>
        <w:pStyle w:val="ListParagraph"/>
        <w:numPr>
          <w:ilvl w:val="0"/>
          <w:numId w:val="49"/>
        </w:numPr>
        <w:tabs>
          <w:tab w:pos="655" w:val="left" w:leader="none"/>
          <w:tab w:pos="656" w:val="left" w:leader="none"/>
        </w:tabs>
        <w:spacing w:line="232" w:lineRule="auto" w:before="0" w:after="0"/>
        <w:ind w:left="175" w:right="143" w:firstLine="0"/>
        <w:jc w:val="left"/>
        <w:rPr>
          <w:sz w:val="18"/>
        </w:rPr>
      </w:pPr>
      <w:r>
        <w:rPr>
          <w:sz w:val="18"/>
        </w:rPr>
        <w:t>The</w:t>
      </w:r>
      <w:r>
        <w:rPr>
          <w:spacing w:val="-6"/>
          <w:sz w:val="18"/>
        </w:rPr>
        <w:t> </w:t>
      </w:r>
      <w:r>
        <w:rPr>
          <w:sz w:val="18"/>
        </w:rPr>
        <w:t>flow</w:t>
      </w:r>
      <w:r>
        <w:rPr>
          <w:spacing w:val="-5"/>
          <w:sz w:val="18"/>
        </w:rPr>
        <w:t> </w:t>
      </w:r>
      <w:r>
        <w:rPr>
          <w:sz w:val="18"/>
        </w:rPr>
        <w:t>of</w:t>
      </w:r>
      <w:r>
        <w:rPr>
          <w:spacing w:val="-5"/>
          <w:sz w:val="18"/>
        </w:rPr>
        <w:t> </w:t>
      </w:r>
      <w:r>
        <w:rPr>
          <w:sz w:val="18"/>
        </w:rPr>
        <w:t>external</w:t>
      </w:r>
      <w:r>
        <w:rPr>
          <w:spacing w:val="-5"/>
          <w:sz w:val="18"/>
        </w:rPr>
        <w:t> </w:t>
      </w:r>
      <w:r>
        <w:rPr>
          <w:sz w:val="18"/>
        </w:rPr>
        <w:t>corporate</w:t>
      </w:r>
      <w:r>
        <w:rPr>
          <w:spacing w:val="-6"/>
          <w:sz w:val="18"/>
        </w:rPr>
        <w:t> </w:t>
      </w:r>
      <w:r>
        <w:rPr>
          <w:sz w:val="18"/>
        </w:rPr>
        <w:t>finance</w:t>
      </w:r>
      <w:r>
        <w:rPr>
          <w:spacing w:val="-5"/>
          <w:sz w:val="18"/>
        </w:rPr>
        <w:t> </w:t>
      </w:r>
      <w:r>
        <w:rPr>
          <w:sz w:val="18"/>
        </w:rPr>
        <w:t>had</w:t>
      </w:r>
      <w:r>
        <w:rPr>
          <w:spacing w:val="-5"/>
          <w:sz w:val="18"/>
        </w:rPr>
        <w:t> </w:t>
      </w:r>
      <w:r>
        <w:rPr>
          <w:sz w:val="18"/>
        </w:rPr>
        <w:t>been</w:t>
      </w:r>
      <w:r>
        <w:rPr>
          <w:spacing w:val="-5"/>
          <w:sz w:val="18"/>
        </w:rPr>
        <w:t> </w:t>
      </w:r>
      <w:r>
        <w:rPr>
          <w:sz w:val="18"/>
        </w:rPr>
        <w:t>£17.5</w:t>
      </w:r>
      <w:r>
        <w:rPr>
          <w:spacing w:val="-5"/>
          <w:sz w:val="18"/>
        </w:rPr>
        <w:t> </w:t>
      </w:r>
      <w:r>
        <w:rPr>
          <w:sz w:val="18"/>
        </w:rPr>
        <w:t>billion in 2000 Q2, up from £15.6 billion in 2000 Q1. The proportion of external corporate finance in the form of sterling bank borrowing had also risen in 2000 Q2. The quarterly industrial breakdown of bank lending showed that the majority of sterling bank borrowing by corporates in 2000 Q2 had been undertaken by service sector firms, continuing the trend seen since 1999</w:t>
      </w:r>
      <w:r>
        <w:rPr>
          <w:spacing w:val="-13"/>
          <w:sz w:val="18"/>
        </w:rPr>
        <w:t> </w:t>
      </w:r>
      <w:r>
        <w:rPr>
          <w:sz w:val="18"/>
        </w:rPr>
        <w:t>Q3.</w:t>
      </w:r>
    </w:p>
    <w:p>
      <w:pPr>
        <w:pStyle w:val="BodyText"/>
        <w:spacing w:before="10"/>
        <w:rPr>
          <w:sz w:val="16"/>
        </w:rPr>
      </w:pPr>
    </w:p>
    <w:p>
      <w:pPr>
        <w:pStyle w:val="ListParagraph"/>
        <w:numPr>
          <w:ilvl w:val="0"/>
          <w:numId w:val="49"/>
        </w:numPr>
        <w:tabs>
          <w:tab w:pos="655" w:val="left" w:leader="none"/>
          <w:tab w:pos="656" w:val="left" w:leader="none"/>
        </w:tabs>
        <w:spacing w:line="232" w:lineRule="auto" w:before="0" w:after="0"/>
        <w:ind w:left="175" w:right="157" w:firstLine="0"/>
        <w:jc w:val="left"/>
        <w:rPr>
          <w:sz w:val="18"/>
        </w:rPr>
      </w:pPr>
      <w:r>
        <w:rPr>
          <w:sz w:val="18"/>
        </w:rPr>
        <w:t>Holdings of M4 by other financial corporations (OFCs) had increased by £3.4 billion (1.8%) in June. The twelve-month growth rate was 9.0%, having risen by more than 14 percentage points between 1999 Q3 and 2000 Q2.  Since 1999 Q3, the majority of this growth had been due to the increased money holdings of other financial institutions and financial auxiliaries (OFIFAs) rather than insurance companies and pension funds (ICPFs). OFCs’ M4 lending had grown by £1.4 billion (0.6%) in</w:t>
      </w:r>
      <w:r>
        <w:rPr>
          <w:spacing w:val="-18"/>
          <w:sz w:val="18"/>
        </w:rPr>
        <w:t> </w:t>
      </w:r>
      <w:r>
        <w:rPr>
          <w:sz w:val="18"/>
        </w:rPr>
        <w:t>June—the</w:t>
      </w:r>
    </w:p>
    <w:p>
      <w:pPr>
        <w:spacing w:line="196" w:lineRule="exact" w:before="0"/>
        <w:ind w:left="175" w:right="0" w:firstLine="0"/>
        <w:jc w:val="left"/>
        <w:rPr>
          <w:sz w:val="18"/>
        </w:rPr>
      </w:pPr>
      <w:r>
        <w:rPr>
          <w:sz w:val="18"/>
        </w:rPr>
        <w:t>twelve-month growth rate had been 13.7%.</w:t>
      </w:r>
    </w:p>
    <w:p>
      <w:pPr>
        <w:pStyle w:val="BodyText"/>
        <w:spacing w:before="3"/>
        <w:rPr>
          <w:sz w:val="17"/>
        </w:rPr>
      </w:pPr>
    </w:p>
    <w:p>
      <w:pPr>
        <w:pStyle w:val="ListParagraph"/>
        <w:numPr>
          <w:ilvl w:val="0"/>
          <w:numId w:val="49"/>
        </w:numPr>
        <w:tabs>
          <w:tab w:pos="655" w:val="left" w:leader="none"/>
          <w:tab w:pos="656" w:val="left" w:leader="none"/>
        </w:tabs>
        <w:spacing w:line="232" w:lineRule="auto" w:before="0" w:after="0"/>
        <w:ind w:left="175" w:right="392" w:firstLine="0"/>
        <w:jc w:val="left"/>
        <w:rPr>
          <w:sz w:val="18"/>
        </w:rPr>
      </w:pPr>
      <w:r>
        <w:rPr>
          <w:sz w:val="18"/>
        </w:rPr>
        <w:t>Since</w:t>
      </w:r>
      <w:r>
        <w:rPr>
          <w:spacing w:val="-6"/>
          <w:sz w:val="18"/>
        </w:rPr>
        <w:t> </w:t>
      </w:r>
      <w:r>
        <w:rPr>
          <w:sz w:val="18"/>
        </w:rPr>
        <w:t>the</w:t>
      </w:r>
      <w:r>
        <w:rPr>
          <w:spacing w:val="-6"/>
          <w:sz w:val="18"/>
        </w:rPr>
        <w:t> </w:t>
      </w:r>
      <w:r>
        <w:rPr>
          <w:sz w:val="18"/>
        </w:rPr>
        <w:t>July</w:t>
      </w:r>
      <w:r>
        <w:rPr>
          <w:spacing w:val="-5"/>
          <w:sz w:val="18"/>
        </w:rPr>
        <w:t> </w:t>
      </w:r>
      <w:r>
        <w:rPr>
          <w:sz w:val="18"/>
        </w:rPr>
        <w:t>MPC</w:t>
      </w:r>
      <w:r>
        <w:rPr>
          <w:spacing w:val="-6"/>
          <w:sz w:val="18"/>
        </w:rPr>
        <w:t> </w:t>
      </w:r>
      <w:r>
        <w:rPr>
          <w:sz w:val="18"/>
        </w:rPr>
        <w:t>meeting,</w:t>
      </w:r>
      <w:r>
        <w:rPr>
          <w:spacing w:val="-5"/>
          <w:sz w:val="18"/>
        </w:rPr>
        <w:t> </w:t>
      </w:r>
      <w:r>
        <w:rPr>
          <w:sz w:val="18"/>
        </w:rPr>
        <w:t>interest</w:t>
      </w:r>
      <w:r>
        <w:rPr>
          <w:spacing w:val="-6"/>
          <w:sz w:val="18"/>
        </w:rPr>
        <w:t> </w:t>
      </w:r>
      <w:r>
        <w:rPr>
          <w:sz w:val="18"/>
        </w:rPr>
        <w:t>rate</w:t>
      </w:r>
      <w:r>
        <w:rPr>
          <w:spacing w:val="-6"/>
          <w:sz w:val="18"/>
        </w:rPr>
        <w:t> </w:t>
      </w:r>
      <w:r>
        <w:rPr>
          <w:sz w:val="18"/>
        </w:rPr>
        <w:t>expectations,</w:t>
      </w:r>
      <w:r>
        <w:rPr>
          <w:spacing w:val="-5"/>
          <w:sz w:val="18"/>
        </w:rPr>
        <w:t> </w:t>
      </w:r>
      <w:r>
        <w:rPr>
          <w:sz w:val="18"/>
        </w:rPr>
        <w:t>as measured by the two-week gilt repo curve, had risen by up to around 15 basis points. Longer-term nominal interest rates had risen by around 10 basis points since the July MPC</w:t>
      </w:r>
      <w:r>
        <w:rPr>
          <w:spacing w:val="-32"/>
          <w:sz w:val="18"/>
        </w:rPr>
        <w:t> </w:t>
      </w:r>
      <w:r>
        <w:rPr>
          <w:sz w:val="18"/>
        </w:rPr>
        <w:t>meeting.</w:t>
      </w:r>
    </w:p>
    <w:p>
      <w:pPr>
        <w:pStyle w:val="BodyText"/>
        <w:spacing w:before="1"/>
        <w:rPr>
          <w:sz w:val="17"/>
        </w:rPr>
      </w:pPr>
    </w:p>
    <w:p>
      <w:pPr>
        <w:pStyle w:val="ListParagraph"/>
        <w:numPr>
          <w:ilvl w:val="0"/>
          <w:numId w:val="49"/>
        </w:numPr>
        <w:tabs>
          <w:tab w:pos="655" w:val="left" w:leader="none"/>
          <w:tab w:pos="656" w:val="left" w:leader="none"/>
        </w:tabs>
        <w:spacing w:line="232" w:lineRule="auto" w:before="0" w:after="0"/>
        <w:ind w:left="175" w:right="243" w:firstLine="0"/>
        <w:jc w:val="left"/>
        <w:rPr>
          <w:sz w:val="18"/>
        </w:rPr>
      </w:pPr>
      <w:r>
        <w:rPr>
          <w:sz w:val="18"/>
        </w:rPr>
        <w:t>The term structure of corporate bond yields had remained fairly flat since the July MPC meeting. Data on corporate bond issuance in July had shown that there had been a reduction in the proportion of corporate bonds issued at longer maturities. The spread of corporate bond yields over gilts had been increasing steadily since the beginning of the year. But the spread of corporate bond yields over swap rates had been broadly flat, suggesting</w:t>
      </w:r>
      <w:r>
        <w:rPr>
          <w:spacing w:val="-6"/>
          <w:sz w:val="18"/>
        </w:rPr>
        <w:t> </w:t>
      </w:r>
      <w:r>
        <w:rPr>
          <w:sz w:val="18"/>
        </w:rPr>
        <w:t>that</w:t>
      </w:r>
      <w:r>
        <w:rPr>
          <w:spacing w:val="-5"/>
          <w:sz w:val="18"/>
        </w:rPr>
        <w:t> </w:t>
      </w:r>
      <w:r>
        <w:rPr>
          <w:sz w:val="18"/>
        </w:rPr>
        <w:t>factors</w:t>
      </w:r>
      <w:r>
        <w:rPr>
          <w:spacing w:val="-6"/>
          <w:sz w:val="18"/>
        </w:rPr>
        <w:t> </w:t>
      </w:r>
      <w:r>
        <w:rPr>
          <w:sz w:val="18"/>
        </w:rPr>
        <w:t>affecting</w:t>
      </w:r>
      <w:r>
        <w:rPr>
          <w:spacing w:val="-5"/>
          <w:sz w:val="18"/>
        </w:rPr>
        <w:t> </w:t>
      </w:r>
      <w:r>
        <w:rPr>
          <w:sz w:val="18"/>
        </w:rPr>
        <w:t>the</w:t>
      </w:r>
      <w:r>
        <w:rPr>
          <w:spacing w:val="-5"/>
          <w:sz w:val="18"/>
        </w:rPr>
        <w:t> </w:t>
      </w:r>
      <w:r>
        <w:rPr>
          <w:sz w:val="18"/>
        </w:rPr>
        <w:t>gilt</w:t>
      </w:r>
      <w:r>
        <w:rPr>
          <w:spacing w:val="-6"/>
          <w:sz w:val="18"/>
        </w:rPr>
        <w:t> </w:t>
      </w:r>
      <w:r>
        <w:rPr>
          <w:sz w:val="18"/>
        </w:rPr>
        <w:t>market</w:t>
      </w:r>
      <w:r>
        <w:rPr>
          <w:spacing w:val="-5"/>
          <w:sz w:val="18"/>
        </w:rPr>
        <w:t> </w:t>
      </w:r>
      <w:r>
        <w:rPr>
          <w:sz w:val="18"/>
        </w:rPr>
        <w:t>were</w:t>
      </w:r>
      <w:r>
        <w:rPr>
          <w:spacing w:val="-6"/>
          <w:sz w:val="18"/>
        </w:rPr>
        <w:t> </w:t>
      </w:r>
      <w:r>
        <w:rPr>
          <w:sz w:val="18"/>
        </w:rPr>
        <w:t>at</w:t>
      </w:r>
      <w:r>
        <w:rPr>
          <w:spacing w:val="-5"/>
          <w:sz w:val="18"/>
        </w:rPr>
        <w:t> </w:t>
      </w:r>
      <w:r>
        <w:rPr>
          <w:sz w:val="18"/>
        </w:rPr>
        <w:t>least</w:t>
      </w:r>
      <w:r>
        <w:rPr>
          <w:spacing w:val="-5"/>
          <w:sz w:val="18"/>
        </w:rPr>
        <w:t> </w:t>
      </w:r>
      <w:r>
        <w:rPr>
          <w:sz w:val="18"/>
        </w:rPr>
        <w:t>partly responsible.</w:t>
      </w:r>
    </w:p>
    <w:p>
      <w:pPr>
        <w:pStyle w:val="BodyText"/>
        <w:spacing w:before="9"/>
        <w:rPr>
          <w:sz w:val="16"/>
        </w:rPr>
      </w:pPr>
    </w:p>
    <w:p>
      <w:pPr>
        <w:pStyle w:val="ListParagraph"/>
        <w:numPr>
          <w:ilvl w:val="0"/>
          <w:numId w:val="49"/>
        </w:numPr>
        <w:tabs>
          <w:tab w:pos="655" w:val="left" w:leader="none"/>
          <w:tab w:pos="656" w:val="left" w:leader="none"/>
        </w:tabs>
        <w:spacing w:line="232" w:lineRule="auto" w:before="0" w:after="0"/>
        <w:ind w:left="175" w:right="447" w:firstLine="0"/>
        <w:jc w:val="left"/>
        <w:rPr>
          <w:sz w:val="18"/>
        </w:rPr>
      </w:pPr>
      <w:r>
        <w:rPr>
          <w:sz w:val="18"/>
        </w:rPr>
        <w:t>Retail interest rates had been little changed since the July MPC meeting. It was noted that the structure of the mortgage market had been changing over recent years. For example, the average two-year discount offered on standard variable-rate mortgages had risen to around 170 basis points in July from an average of around 130 basis points in</w:t>
      </w:r>
      <w:r>
        <w:rPr>
          <w:spacing w:val="-14"/>
          <w:sz w:val="18"/>
        </w:rPr>
        <w:t> </w:t>
      </w:r>
      <w:r>
        <w:rPr>
          <w:sz w:val="18"/>
        </w:rPr>
        <w:t>1997–99.</w:t>
      </w:r>
    </w:p>
    <w:p>
      <w:pPr>
        <w:pStyle w:val="BodyText"/>
        <w:spacing w:before="2"/>
        <w:rPr>
          <w:sz w:val="16"/>
        </w:rPr>
      </w:pPr>
    </w:p>
    <w:p>
      <w:pPr>
        <w:pStyle w:val="ListParagraph"/>
        <w:numPr>
          <w:ilvl w:val="0"/>
          <w:numId w:val="49"/>
        </w:numPr>
        <w:tabs>
          <w:tab w:pos="655" w:val="left" w:leader="none"/>
          <w:tab w:pos="656" w:val="left" w:leader="none"/>
        </w:tabs>
        <w:spacing w:line="232" w:lineRule="auto" w:before="0" w:after="0"/>
        <w:ind w:left="175" w:right="237" w:firstLine="0"/>
        <w:jc w:val="left"/>
        <w:rPr>
          <w:sz w:val="18"/>
        </w:rPr>
      </w:pPr>
      <w:r>
        <w:rPr>
          <w:sz w:val="18"/>
        </w:rPr>
        <w:t>Survey measures of inflation expectations had changed very little since the July MPC</w:t>
      </w:r>
      <w:r>
        <w:rPr>
          <w:spacing w:val="-8"/>
          <w:sz w:val="18"/>
        </w:rPr>
        <w:t> </w:t>
      </w:r>
      <w:r>
        <w:rPr>
          <w:sz w:val="18"/>
        </w:rPr>
        <w:t>meeting.</w:t>
      </w:r>
    </w:p>
    <w:p>
      <w:pPr>
        <w:spacing w:after="0" w:line="232" w:lineRule="auto"/>
        <w:jc w:val="left"/>
        <w:rPr>
          <w:sz w:val="18"/>
        </w:rPr>
        <w:sectPr>
          <w:type w:val="continuous"/>
          <w:pgSz w:w="11900" w:h="16840"/>
          <w:pgMar w:top="1260" w:bottom="280" w:left="640" w:right="640"/>
          <w:cols w:num="2" w:equalWidth="0">
            <w:col w:w="5114" w:space="278"/>
            <w:col w:w="5228"/>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6"/>
        <w:rPr>
          <w:sz w:val="20"/>
        </w:rPr>
      </w:pPr>
    </w:p>
    <w:p>
      <w:pPr>
        <w:pStyle w:val="ListParagraph"/>
        <w:numPr>
          <w:ilvl w:val="0"/>
          <w:numId w:val="49"/>
        </w:numPr>
        <w:tabs>
          <w:tab w:pos="649" w:val="left" w:leader="none"/>
          <w:tab w:pos="650" w:val="left" w:leader="none"/>
        </w:tabs>
        <w:spacing w:line="232" w:lineRule="auto" w:before="0" w:after="0"/>
        <w:ind w:left="169" w:right="47" w:firstLine="0"/>
        <w:jc w:val="left"/>
        <w:rPr>
          <w:sz w:val="18"/>
        </w:rPr>
      </w:pPr>
      <w:r>
        <w:rPr>
          <w:sz w:val="18"/>
        </w:rPr>
        <w:t>The FTSE 100, the FTSE All-Share and the FTSE Small Cap indices had all remained broadly unchanged since the July MPC meeting. The UK IT sector, as measured by</w:t>
      </w:r>
      <w:r>
        <w:rPr>
          <w:spacing w:val="-15"/>
          <w:sz w:val="18"/>
        </w:rPr>
        <w:t> </w:t>
      </w:r>
      <w:r>
        <w:rPr>
          <w:sz w:val="18"/>
        </w:rPr>
        <w:t>the</w:t>
      </w:r>
    </w:p>
    <w:p>
      <w:pPr>
        <w:spacing w:line="200" w:lineRule="exact" w:before="0"/>
        <w:ind w:left="169" w:right="0" w:firstLine="0"/>
        <w:jc w:val="left"/>
        <w:rPr>
          <w:sz w:val="18"/>
        </w:rPr>
      </w:pPr>
      <w:r>
        <w:rPr>
          <w:sz w:val="18"/>
        </w:rPr>
        <w:t>FTSE techMARK index had risen by 4.1% over the month.</w:t>
      </w:r>
    </w:p>
    <w:p>
      <w:pPr>
        <w:pStyle w:val="ListParagraph"/>
        <w:numPr>
          <w:ilvl w:val="0"/>
          <w:numId w:val="49"/>
        </w:numPr>
        <w:tabs>
          <w:tab w:pos="649" w:val="left" w:leader="none"/>
          <w:tab w:pos="650" w:val="left" w:leader="none"/>
        </w:tabs>
        <w:spacing w:line="232" w:lineRule="auto" w:before="178" w:after="0"/>
        <w:ind w:left="169" w:right="38" w:firstLine="0"/>
        <w:jc w:val="left"/>
        <w:rPr>
          <w:sz w:val="18"/>
        </w:rPr>
      </w:pPr>
      <w:r>
        <w:rPr>
          <w:sz w:val="18"/>
        </w:rPr>
        <w:t>Since the previous MPC meeting, the sterling ERI had appreciated by 2.3%, reflecting a 3.4% appreciation against the euro. Interest rate differentials could explain almost all of sterling’s appreciation against the euro on the month, but could not explain sterling’s 3.2% depreciation against the dollar since the July MPC meeting. Over a longer period, interest rate differentials could not explain sterling’s depreciation since the May </w:t>
      </w:r>
      <w:r>
        <w:rPr>
          <w:i/>
          <w:sz w:val="18"/>
        </w:rPr>
        <w:t>Inflation</w:t>
      </w:r>
      <w:r>
        <w:rPr>
          <w:i/>
          <w:spacing w:val="-24"/>
          <w:sz w:val="18"/>
        </w:rPr>
        <w:t> </w:t>
      </w:r>
      <w:r>
        <w:rPr>
          <w:i/>
          <w:sz w:val="18"/>
        </w:rPr>
        <w:t>Report</w:t>
      </w:r>
      <w:r>
        <w:rPr>
          <w:sz w:val="18"/>
        </w:rPr>
        <w:t>.</w:t>
      </w:r>
    </w:p>
    <w:p>
      <w:pPr>
        <w:pStyle w:val="BodyText"/>
        <w:spacing w:before="5"/>
        <w:rPr>
          <w:sz w:val="18"/>
        </w:rPr>
      </w:pPr>
    </w:p>
    <w:p>
      <w:pPr>
        <w:pStyle w:val="ListParagraph"/>
        <w:numPr>
          <w:ilvl w:val="1"/>
          <w:numId w:val="48"/>
        </w:numPr>
        <w:tabs>
          <w:tab w:pos="649" w:val="left" w:leader="none"/>
          <w:tab w:pos="650" w:val="left" w:leader="none"/>
        </w:tabs>
        <w:spacing w:line="240" w:lineRule="auto" w:before="0" w:after="0"/>
        <w:ind w:left="649" w:right="0" w:hanging="481"/>
        <w:jc w:val="left"/>
        <w:rPr>
          <w:b/>
          <w:sz w:val="22"/>
        </w:rPr>
      </w:pPr>
      <w:r>
        <w:rPr>
          <w:b/>
          <w:color w:val="009391"/>
          <w:sz w:val="22"/>
        </w:rPr>
        <w:t>Demand and</w:t>
      </w:r>
      <w:r>
        <w:rPr>
          <w:b/>
          <w:color w:val="009391"/>
          <w:spacing w:val="-3"/>
          <w:sz w:val="22"/>
        </w:rPr>
        <w:t> </w:t>
      </w:r>
      <w:r>
        <w:rPr>
          <w:b/>
          <w:color w:val="009391"/>
          <w:sz w:val="22"/>
        </w:rPr>
        <w:t>output</w:t>
      </w:r>
    </w:p>
    <w:p>
      <w:pPr>
        <w:pStyle w:val="ListParagraph"/>
        <w:numPr>
          <w:ilvl w:val="0"/>
          <w:numId w:val="49"/>
        </w:numPr>
        <w:tabs>
          <w:tab w:pos="649" w:val="left" w:leader="none"/>
          <w:tab w:pos="650" w:val="left" w:leader="none"/>
        </w:tabs>
        <w:spacing w:line="232" w:lineRule="auto" w:before="110" w:after="0"/>
        <w:ind w:left="169" w:right="137" w:firstLine="0"/>
        <w:jc w:val="left"/>
        <w:rPr>
          <w:sz w:val="18"/>
        </w:rPr>
      </w:pPr>
      <w:r>
        <w:rPr>
          <w:sz w:val="18"/>
        </w:rPr>
        <w:t>The preliminary National Statistics estimate of GDP growth in 2000 Q2 had shown growth picking up to 0.9% from 0.5% in Q1. Service sector output had grown by 1% in Q2, to 3.6% higher than a year earlier. Within services, the distribution, hotels and catering sector had grown by 0.3%. Industrial production had grown by 0.9% in the three months to May, and manufacturing output had grown by 0.3% over the same</w:t>
      </w:r>
      <w:r>
        <w:rPr>
          <w:spacing w:val="-15"/>
          <w:sz w:val="18"/>
        </w:rPr>
        <w:t> </w:t>
      </w:r>
      <w:r>
        <w:rPr>
          <w:sz w:val="18"/>
        </w:rPr>
        <w:t>period.</w:t>
      </w:r>
    </w:p>
    <w:p>
      <w:pPr>
        <w:pStyle w:val="ListParagraph"/>
        <w:numPr>
          <w:ilvl w:val="0"/>
          <w:numId w:val="49"/>
        </w:numPr>
        <w:tabs>
          <w:tab w:pos="649" w:val="left" w:leader="none"/>
          <w:tab w:pos="650" w:val="left" w:leader="none"/>
        </w:tabs>
        <w:spacing w:line="232" w:lineRule="auto" w:before="174" w:after="0"/>
        <w:ind w:left="169" w:right="63" w:firstLine="0"/>
        <w:jc w:val="left"/>
        <w:rPr>
          <w:sz w:val="18"/>
        </w:rPr>
      </w:pPr>
      <w:r>
        <w:rPr>
          <w:sz w:val="18"/>
        </w:rPr>
        <w:t>The total deficit on trade in goods and services had narrowed very slightly in May to £1.6 billion. Total export volumes had grown by 3.6%, and total import volumes by 2.7%, in the three months to May. Excluding oil and erratics, total export volumes had grown by 2.6% over the same period, and total import volumes had grown by 1.6%. Non-EU export volumes had risen by 5.6% in Q2, and non-EU import volumes had risen by</w:t>
      </w:r>
      <w:r>
        <w:rPr>
          <w:spacing w:val="-16"/>
          <w:sz w:val="18"/>
        </w:rPr>
        <w:t> </w:t>
      </w:r>
      <w:r>
        <w:rPr>
          <w:sz w:val="18"/>
        </w:rPr>
        <w:t>4.4%.</w:t>
      </w:r>
    </w:p>
    <w:p>
      <w:pPr>
        <w:pStyle w:val="ListParagraph"/>
        <w:numPr>
          <w:ilvl w:val="0"/>
          <w:numId w:val="49"/>
        </w:numPr>
        <w:tabs>
          <w:tab w:pos="649" w:val="left" w:leader="none"/>
          <w:tab w:pos="650" w:val="left" w:leader="none"/>
        </w:tabs>
        <w:spacing w:line="232" w:lineRule="auto" w:before="175" w:after="0"/>
        <w:ind w:left="169" w:right="103" w:firstLine="0"/>
        <w:jc w:val="left"/>
        <w:rPr>
          <w:sz w:val="18"/>
        </w:rPr>
      </w:pPr>
      <w:r>
        <w:rPr>
          <w:sz w:val="18"/>
        </w:rPr>
        <w:t>Retail sales had grown by 0.7% in June and by 0.3% in Q2. Total new car registrations in the three months to June had risen by 0.1% on a year earlier, while private new car registrations had fallen by 7.5% over the same period. The retail indicator of the CBI</w:t>
      </w:r>
      <w:r>
        <w:rPr>
          <w:spacing w:val="-5"/>
          <w:sz w:val="18"/>
        </w:rPr>
        <w:t> </w:t>
      </w:r>
      <w:r>
        <w:rPr>
          <w:sz w:val="18"/>
        </w:rPr>
        <w:t>survey</w:t>
      </w:r>
      <w:r>
        <w:rPr>
          <w:spacing w:val="-5"/>
          <w:sz w:val="18"/>
        </w:rPr>
        <w:t> </w:t>
      </w:r>
      <w:r>
        <w:rPr>
          <w:sz w:val="18"/>
        </w:rPr>
        <w:t>of</w:t>
      </w:r>
      <w:r>
        <w:rPr>
          <w:spacing w:val="-4"/>
          <w:sz w:val="18"/>
        </w:rPr>
        <w:t> </w:t>
      </w:r>
      <w:r>
        <w:rPr>
          <w:sz w:val="18"/>
        </w:rPr>
        <w:t>distributive</w:t>
      </w:r>
      <w:r>
        <w:rPr>
          <w:spacing w:val="-5"/>
          <w:sz w:val="18"/>
        </w:rPr>
        <w:t> </w:t>
      </w:r>
      <w:r>
        <w:rPr>
          <w:sz w:val="18"/>
        </w:rPr>
        <w:t>trades</w:t>
      </w:r>
      <w:r>
        <w:rPr>
          <w:spacing w:val="-4"/>
          <w:sz w:val="18"/>
        </w:rPr>
        <w:t> </w:t>
      </w:r>
      <w:r>
        <w:rPr>
          <w:sz w:val="18"/>
        </w:rPr>
        <w:t>had</w:t>
      </w:r>
      <w:r>
        <w:rPr>
          <w:spacing w:val="-5"/>
          <w:sz w:val="18"/>
        </w:rPr>
        <w:t> </w:t>
      </w:r>
      <w:r>
        <w:rPr>
          <w:sz w:val="18"/>
        </w:rPr>
        <w:t>increased</w:t>
      </w:r>
      <w:r>
        <w:rPr>
          <w:spacing w:val="-4"/>
          <w:sz w:val="18"/>
        </w:rPr>
        <w:t> </w:t>
      </w:r>
      <w:r>
        <w:rPr>
          <w:sz w:val="18"/>
        </w:rPr>
        <w:t>to</w:t>
      </w:r>
      <w:r>
        <w:rPr>
          <w:spacing w:val="-5"/>
          <w:sz w:val="18"/>
        </w:rPr>
        <w:t> </w:t>
      </w:r>
      <w:r>
        <w:rPr>
          <w:sz w:val="18"/>
        </w:rPr>
        <w:t>+24</w:t>
      </w:r>
      <w:r>
        <w:rPr>
          <w:spacing w:val="-5"/>
          <w:sz w:val="18"/>
        </w:rPr>
        <w:t> </w:t>
      </w:r>
      <w:r>
        <w:rPr>
          <w:sz w:val="18"/>
        </w:rPr>
        <w:t>in</w:t>
      </w:r>
      <w:r>
        <w:rPr>
          <w:spacing w:val="-4"/>
          <w:sz w:val="18"/>
        </w:rPr>
        <w:t> </w:t>
      </w:r>
      <w:r>
        <w:rPr>
          <w:sz w:val="18"/>
        </w:rPr>
        <w:t>July</w:t>
      </w:r>
      <w:r>
        <w:rPr>
          <w:spacing w:val="-5"/>
          <w:sz w:val="18"/>
        </w:rPr>
        <w:t> </w:t>
      </w:r>
      <w:r>
        <w:rPr>
          <w:sz w:val="18"/>
        </w:rPr>
        <w:t>from</w:t>
      </w:r>
    </w:p>
    <w:p>
      <w:pPr>
        <w:spacing w:line="232" w:lineRule="auto" w:before="0"/>
        <w:ind w:left="169" w:right="93" w:firstLine="0"/>
        <w:jc w:val="left"/>
        <w:rPr>
          <w:sz w:val="18"/>
        </w:rPr>
      </w:pPr>
      <w:r>
        <w:rPr>
          <w:sz w:val="18"/>
        </w:rPr>
        <w:t>+15 in June. The quarterly Consumers’ Association survey of consumer confidence had increased to +37 in July from +33 in April. Against this, the GfK consumer confidence index had fallen to -2.0 in July, from +0.1 in June. The MORI index had increased to -10 in July, from -14 in June.</w:t>
      </w:r>
    </w:p>
    <w:p>
      <w:pPr>
        <w:pStyle w:val="ListParagraph"/>
        <w:numPr>
          <w:ilvl w:val="0"/>
          <w:numId w:val="49"/>
        </w:numPr>
        <w:tabs>
          <w:tab w:pos="649" w:val="left" w:leader="none"/>
          <w:tab w:pos="650" w:val="left" w:leader="none"/>
        </w:tabs>
        <w:spacing w:line="232" w:lineRule="auto" w:before="172" w:after="0"/>
        <w:ind w:left="169" w:right="54" w:firstLine="0"/>
        <w:jc w:val="left"/>
        <w:rPr>
          <w:sz w:val="18"/>
        </w:rPr>
      </w:pPr>
      <w:r>
        <w:rPr>
          <w:sz w:val="18"/>
        </w:rPr>
        <w:t>The Nationwide house price index had fallen by 0.2% in July, but remained 13.9% higher than a year earlier. The Royal Institute of Chartered Surveyors (RICS) house price survey balance had fallen to +5 in June, from +25 in May. The survey had suggested that prices had continued to rise outside London and the South East, although the rate of increase had slowed in several regions. The House Builders’ Federation (HBF) house price survey had been virtually unchanged in June at +21. HBF net reservations had fallen to -17 in June, from -11 in May. Particulars delivered had fallen by 1.6% in June, but remained 3.6% higher than a year earlier.</w:t>
      </w:r>
    </w:p>
    <w:p>
      <w:pPr>
        <w:pStyle w:val="ListParagraph"/>
        <w:numPr>
          <w:ilvl w:val="0"/>
          <w:numId w:val="49"/>
        </w:numPr>
        <w:tabs>
          <w:tab w:pos="649" w:val="left" w:leader="none"/>
          <w:tab w:pos="650" w:val="left" w:leader="none"/>
        </w:tabs>
        <w:spacing w:line="232" w:lineRule="auto" w:before="162" w:after="0"/>
        <w:ind w:left="169" w:right="147" w:firstLine="0"/>
        <w:jc w:val="left"/>
        <w:rPr>
          <w:sz w:val="18"/>
        </w:rPr>
      </w:pPr>
      <w:r>
        <w:rPr>
          <w:sz w:val="18"/>
        </w:rPr>
        <w:t>Public sector net borrowing in June had been £2.7 billion, compared with £2.6 billion in June 1999. Net borrowing had</w:t>
      </w:r>
      <w:r>
        <w:rPr>
          <w:spacing w:val="-4"/>
          <w:sz w:val="18"/>
        </w:rPr>
        <w:t> </w:t>
      </w:r>
      <w:r>
        <w:rPr>
          <w:sz w:val="18"/>
        </w:rPr>
        <w:t>been</w:t>
      </w:r>
    </w:p>
    <w:p>
      <w:pPr>
        <w:spacing w:line="232" w:lineRule="auto" w:before="0"/>
        <w:ind w:left="169" w:right="139" w:firstLine="0"/>
        <w:jc w:val="left"/>
        <w:rPr>
          <w:sz w:val="18"/>
        </w:rPr>
      </w:pPr>
      <w:r>
        <w:rPr>
          <w:sz w:val="18"/>
        </w:rPr>
        <w:t>£4.2 billion in 2000 Q2, marginally higher than in the same period last year. The Spending Review had included modest upward revisions to total managed expenditure reflecting a partial</w:t>
      </w:r>
    </w:p>
    <w:p>
      <w:pPr>
        <w:spacing w:line="200" w:lineRule="exact" w:before="0"/>
        <w:ind w:left="169" w:right="0" w:firstLine="0"/>
        <w:jc w:val="left"/>
        <w:rPr>
          <w:sz w:val="18"/>
        </w:rPr>
      </w:pPr>
      <w:r>
        <w:rPr>
          <w:sz w:val="18"/>
        </w:rPr>
        <w:t>carry-forward of the underspend in the fiscal year 1999–2000.</w:t>
      </w:r>
    </w:p>
    <w:p>
      <w:pPr>
        <w:pStyle w:val="ListParagraph"/>
        <w:numPr>
          <w:ilvl w:val="0"/>
          <w:numId w:val="49"/>
        </w:numPr>
        <w:tabs>
          <w:tab w:pos="649" w:val="left" w:leader="none"/>
          <w:tab w:pos="650" w:val="left" w:leader="none"/>
        </w:tabs>
        <w:spacing w:line="232" w:lineRule="auto" w:before="166" w:after="0"/>
        <w:ind w:left="169" w:right="38" w:firstLine="0"/>
        <w:jc w:val="left"/>
        <w:rPr>
          <w:sz w:val="18"/>
        </w:rPr>
      </w:pPr>
      <w:r>
        <w:rPr>
          <w:sz w:val="18"/>
        </w:rPr>
        <w:t>Survey data on manufacturing investment intentions had been mixed. The British Chambers of Commerce (BCC) Quarterly Economic Survey had reported that the balance of investment intentions in manufacturing had increased to 12 in Q2 from 9 in Q1. On the other hand, the Confederation of British Industry (CBI) quarterly survey had reported a virtually unchanged balance of -21. BCC survey data for the service sector had showed that the balance of investment intentions had increased slightly, to 21 from 18 in Q1.</w:t>
      </w:r>
    </w:p>
    <w:p>
      <w:pPr>
        <w:pStyle w:val="ListParagraph"/>
        <w:numPr>
          <w:ilvl w:val="0"/>
          <w:numId w:val="49"/>
        </w:numPr>
        <w:tabs>
          <w:tab w:pos="649" w:val="left" w:leader="none"/>
          <w:tab w:pos="650" w:val="left" w:leader="none"/>
        </w:tabs>
        <w:spacing w:line="232" w:lineRule="auto" w:before="163" w:after="0"/>
        <w:ind w:left="169" w:right="277" w:firstLine="0"/>
        <w:jc w:val="left"/>
        <w:rPr>
          <w:sz w:val="18"/>
        </w:rPr>
      </w:pPr>
      <w:r>
        <w:rPr>
          <w:sz w:val="18"/>
        </w:rPr>
        <w:t>Survey evidence on trends in stocks had been mixed. The July</w:t>
      </w:r>
      <w:r>
        <w:rPr>
          <w:spacing w:val="-5"/>
          <w:sz w:val="18"/>
        </w:rPr>
        <w:t> </w:t>
      </w:r>
      <w:r>
        <w:rPr>
          <w:sz w:val="18"/>
        </w:rPr>
        <w:t>CBI</w:t>
      </w:r>
      <w:r>
        <w:rPr>
          <w:spacing w:val="-5"/>
          <w:sz w:val="18"/>
        </w:rPr>
        <w:t> </w:t>
      </w:r>
      <w:r>
        <w:rPr>
          <w:sz w:val="18"/>
        </w:rPr>
        <w:t>Industrial</w:t>
      </w:r>
      <w:r>
        <w:rPr>
          <w:spacing w:val="-4"/>
          <w:sz w:val="18"/>
        </w:rPr>
        <w:t> </w:t>
      </w:r>
      <w:r>
        <w:rPr>
          <w:sz w:val="18"/>
        </w:rPr>
        <w:t>Trends</w:t>
      </w:r>
      <w:r>
        <w:rPr>
          <w:spacing w:val="-5"/>
          <w:sz w:val="18"/>
        </w:rPr>
        <w:t> </w:t>
      </w:r>
      <w:r>
        <w:rPr>
          <w:sz w:val="18"/>
        </w:rPr>
        <w:t>Survey</w:t>
      </w:r>
      <w:r>
        <w:rPr>
          <w:spacing w:val="-4"/>
          <w:sz w:val="18"/>
        </w:rPr>
        <w:t> </w:t>
      </w:r>
      <w:r>
        <w:rPr>
          <w:sz w:val="18"/>
        </w:rPr>
        <w:t>had</w:t>
      </w:r>
      <w:r>
        <w:rPr>
          <w:spacing w:val="-5"/>
          <w:sz w:val="18"/>
        </w:rPr>
        <w:t> </w:t>
      </w:r>
      <w:r>
        <w:rPr>
          <w:sz w:val="18"/>
        </w:rPr>
        <w:t>indicated</w:t>
      </w:r>
      <w:r>
        <w:rPr>
          <w:spacing w:val="-4"/>
          <w:sz w:val="18"/>
        </w:rPr>
        <w:t> </w:t>
      </w:r>
      <w:r>
        <w:rPr>
          <w:sz w:val="18"/>
        </w:rPr>
        <w:t>falling</w:t>
      </w:r>
      <w:r>
        <w:rPr>
          <w:spacing w:val="-5"/>
          <w:sz w:val="18"/>
        </w:rPr>
        <w:t> </w:t>
      </w:r>
      <w:r>
        <w:rPr>
          <w:sz w:val="18"/>
        </w:rPr>
        <w:t>stocks</w:t>
      </w:r>
    </w:p>
    <w:p>
      <w:pPr>
        <w:pStyle w:val="BodyText"/>
        <w:spacing w:before="6"/>
        <w:rPr>
          <w:sz w:val="20"/>
        </w:rPr>
      </w:pPr>
      <w:r>
        <w:rPr/>
        <w:br w:type="column"/>
      </w:r>
      <w:r>
        <w:rPr>
          <w:sz w:val="20"/>
        </w:rPr>
      </w:r>
    </w:p>
    <w:p>
      <w:pPr>
        <w:spacing w:line="232" w:lineRule="auto" w:before="0"/>
        <w:ind w:left="169" w:right="187" w:firstLine="0"/>
        <w:jc w:val="left"/>
        <w:rPr>
          <w:sz w:val="18"/>
        </w:rPr>
      </w:pPr>
      <w:r>
        <w:rPr>
          <w:sz w:val="18"/>
        </w:rPr>
        <w:t>balances. The CBI distributive trades survey for the same month had suggested that stocks had remained steady in Q2.</w:t>
      </w:r>
    </w:p>
    <w:p>
      <w:pPr>
        <w:pStyle w:val="BodyText"/>
        <w:spacing w:before="3"/>
        <w:rPr>
          <w:sz w:val="17"/>
        </w:rPr>
      </w:pPr>
    </w:p>
    <w:p>
      <w:pPr>
        <w:pStyle w:val="ListParagraph"/>
        <w:numPr>
          <w:ilvl w:val="0"/>
          <w:numId w:val="49"/>
        </w:numPr>
        <w:tabs>
          <w:tab w:pos="649" w:val="left" w:leader="none"/>
          <w:tab w:pos="650" w:val="left" w:leader="none"/>
        </w:tabs>
        <w:spacing w:line="232" w:lineRule="auto" w:before="0" w:after="0"/>
        <w:ind w:left="169" w:right="225" w:firstLine="0"/>
        <w:jc w:val="left"/>
        <w:rPr>
          <w:sz w:val="18"/>
        </w:rPr>
      </w:pPr>
      <w:r>
        <w:rPr>
          <w:sz w:val="18"/>
        </w:rPr>
        <w:t>The CBI and BCC surveys had shown a fall in orders to the manufacturing sector in Q2. However, there had been a rise in the headline index of the CIPS purchasing managers’ survey of manufacturing to 51.8 in July from 50.4 in June. Other surveys, such as those by Dun &amp; Bradstreet and Euler Trade Indemnity, had suggested slowing manufacturing activity in Q3. The Dun and Bradstreet and BCC surveys had also suggested weaker expected profitability in manufacturing. Survey data on services output had remained buoyant. The CIPS services activity index had risen slightly in July, while the BCC survey had reported an increase in orders to the service</w:t>
      </w:r>
      <w:r>
        <w:rPr>
          <w:spacing w:val="-6"/>
          <w:sz w:val="18"/>
        </w:rPr>
        <w:t> </w:t>
      </w:r>
      <w:r>
        <w:rPr>
          <w:sz w:val="18"/>
        </w:rPr>
        <w:t>sector.</w:t>
      </w:r>
    </w:p>
    <w:p>
      <w:pPr>
        <w:pStyle w:val="BodyText"/>
        <w:spacing w:before="10"/>
        <w:rPr>
          <w:sz w:val="19"/>
        </w:rPr>
      </w:pPr>
    </w:p>
    <w:p>
      <w:pPr>
        <w:pStyle w:val="ListParagraph"/>
        <w:numPr>
          <w:ilvl w:val="1"/>
          <w:numId w:val="48"/>
        </w:numPr>
        <w:tabs>
          <w:tab w:pos="649" w:val="left" w:leader="none"/>
          <w:tab w:pos="650" w:val="left" w:leader="none"/>
        </w:tabs>
        <w:spacing w:line="240" w:lineRule="auto" w:before="1" w:after="0"/>
        <w:ind w:left="649" w:right="0" w:hanging="481"/>
        <w:jc w:val="left"/>
        <w:rPr>
          <w:b/>
          <w:sz w:val="22"/>
        </w:rPr>
      </w:pPr>
      <w:r>
        <w:rPr>
          <w:b/>
          <w:color w:val="009391"/>
          <w:sz w:val="22"/>
        </w:rPr>
        <w:t>Labour</w:t>
      </w:r>
      <w:r>
        <w:rPr>
          <w:b/>
          <w:color w:val="009391"/>
          <w:spacing w:val="-2"/>
          <w:sz w:val="22"/>
        </w:rPr>
        <w:t> </w:t>
      </w:r>
      <w:r>
        <w:rPr>
          <w:b/>
          <w:color w:val="009391"/>
          <w:sz w:val="22"/>
        </w:rPr>
        <w:t>market</w:t>
      </w:r>
    </w:p>
    <w:p>
      <w:pPr>
        <w:pStyle w:val="ListParagraph"/>
        <w:numPr>
          <w:ilvl w:val="0"/>
          <w:numId w:val="49"/>
        </w:numPr>
        <w:tabs>
          <w:tab w:pos="649" w:val="left" w:leader="none"/>
          <w:tab w:pos="650" w:val="left" w:leader="none"/>
        </w:tabs>
        <w:spacing w:line="232" w:lineRule="auto" w:before="129" w:after="0"/>
        <w:ind w:left="169" w:right="170" w:firstLine="0"/>
        <w:jc w:val="left"/>
        <w:rPr>
          <w:sz w:val="18"/>
        </w:rPr>
      </w:pPr>
      <w:r>
        <w:rPr>
          <w:sz w:val="18"/>
        </w:rPr>
        <w:t>Employment growth had strengthened.  LFS employment had increased by 126,000 (0.5%) in the three months to May compared with the previous three months. This was double the increase in the previous non-overlapping period, and also slightly higher than the growth in the three months to April. Most of the increased employment had been in full-time work, which had risen by 107,000 (0.5%); part-time employment had risen by 19,000 (0.3%). Higher employment had contributed to an increase of 0.3% in total hours worked in the three months to May, although average hours worked had fallen by 0.1%. During the past year, there had been a widening gap between employment growth and the growth in hours</w:t>
      </w:r>
      <w:r>
        <w:rPr>
          <w:spacing w:val="-3"/>
          <w:sz w:val="18"/>
        </w:rPr>
        <w:t> </w:t>
      </w:r>
      <w:r>
        <w:rPr>
          <w:sz w:val="18"/>
        </w:rPr>
        <w:t>worked.</w:t>
      </w:r>
    </w:p>
    <w:p>
      <w:pPr>
        <w:pStyle w:val="BodyText"/>
        <w:spacing w:before="7"/>
        <w:rPr>
          <w:sz w:val="16"/>
        </w:rPr>
      </w:pPr>
    </w:p>
    <w:p>
      <w:pPr>
        <w:pStyle w:val="ListParagraph"/>
        <w:numPr>
          <w:ilvl w:val="0"/>
          <w:numId w:val="49"/>
        </w:numPr>
        <w:tabs>
          <w:tab w:pos="649" w:val="left" w:leader="none"/>
          <w:tab w:pos="650" w:val="left" w:leader="none"/>
        </w:tabs>
        <w:spacing w:line="232" w:lineRule="auto" w:before="0" w:after="0"/>
        <w:ind w:left="169" w:right="189" w:firstLine="0"/>
        <w:jc w:val="left"/>
        <w:rPr>
          <w:sz w:val="18"/>
        </w:rPr>
      </w:pPr>
      <w:r>
        <w:rPr>
          <w:sz w:val="18"/>
        </w:rPr>
        <w:t>Survey evidence had suggested that employment growth would remain strong. The CIPS employment survey had indicated that employment growth in the service and construction sectors increased in July, and that the decline in manufacturing employment had slowed. In addition, responses to the questions on employment intentions in the BCC and CBI surveys both suggested that growth would remain strong in the next few</w:t>
      </w:r>
      <w:r>
        <w:rPr>
          <w:spacing w:val="-22"/>
          <w:sz w:val="18"/>
        </w:rPr>
        <w:t> </w:t>
      </w:r>
      <w:r>
        <w:rPr>
          <w:sz w:val="18"/>
        </w:rPr>
        <w:t>months.</w:t>
      </w:r>
    </w:p>
    <w:p>
      <w:pPr>
        <w:pStyle w:val="BodyText"/>
        <w:spacing w:before="10"/>
        <w:rPr>
          <w:sz w:val="16"/>
        </w:rPr>
      </w:pPr>
    </w:p>
    <w:p>
      <w:pPr>
        <w:pStyle w:val="ListParagraph"/>
        <w:numPr>
          <w:ilvl w:val="0"/>
          <w:numId w:val="49"/>
        </w:numPr>
        <w:tabs>
          <w:tab w:pos="649" w:val="left" w:leader="none"/>
          <w:tab w:pos="650" w:val="left" w:leader="none"/>
        </w:tabs>
        <w:spacing w:line="232" w:lineRule="auto" w:before="0" w:after="0"/>
        <w:ind w:left="169" w:right="191" w:firstLine="0"/>
        <w:jc w:val="left"/>
        <w:rPr>
          <w:sz w:val="18"/>
        </w:rPr>
      </w:pPr>
      <w:r>
        <w:rPr>
          <w:sz w:val="18"/>
        </w:rPr>
        <w:t>Survey evidence had also indicated that staff shortages and recruitment difficulties persisted. The CBI Industrial Trends Survey had reported that shortages of both skilled and unskilled staff</w:t>
      </w:r>
      <w:r>
        <w:rPr>
          <w:spacing w:val="-6"/>
          <w:sz w:val="18"/>
        </w:rPr>
        <w:t> </w:t>
      </w:r>
      <w:r>
        <w:rPr>
          <w:sz w:val="18"/>
        </w:rPr>
        <w:t>increased</w:t>
      </w:r>
      <w:r>
        <w:rPr>
          <w:spacing w:val="-5"/>
          <w:sz w:val="18"/>
        </w:rPr>
        <w:t> </w:t>
      </w:r>
      <w:r>
        <w:rPr>
          <w:sz w:val="18"/>
        </w:rPr>
        <w:t>in</w:t>
      </w:r>
      <w:r>
        <w:rPr>
          <w:spacing w:val="-5"/>
          <w:sz w:val="18"/>
        </w:rPr>
        <w:t> </w:t>
      </w:r>
      <w:r>
        <w:rPr>
          <w:sz w:val="18"/>
        </w:rPr>
        <w:t>Q2,</w:t>
      </w:r>
      <w:r>
        <w:rPr>
          <w:spacing w:val="-5"/>
          <w:sz w:val="18"/>
        </w:rPr>
        <w:t> </w:t>
      </w:r>
      <w:r>
        <w:rPr>
          <w:sz w:val="18"/>
        </w:rPr>
        <w:t>although</w:t>
      </w:r>
      <w:r>
        <w:rPr>
          <w:spacing w:val="-6"/>
          <w:sz w:val="18"/>
        </w:rPr>
        <w:t> </w:t>
      </w:r>
      <w:r>
        <w:rPr>
          <w:sz w:val="18"/>
        </w:rPr>
        <w:t>the</w:t>
      </w:r>
      <w:r>
        <w:rPr>
          <w:spacing w:val="-5"/>
          <w:sz w:val="18"/>
        </w:rPr>
        <w:t> </w:t>
      </w:r>
      <w:r>
        <w:rPr>
          <w:sz w:val="18"/>
        </w:rPr>
        <w:t>degree</w:t>
      </w:r>
      <w:r>
        <w:rPr>
          <w:spacing w:val="-5"/>
          <w:sz w:val="18"/>
        </w:rPr>
        <w:t> </w:t>
      </w:r>
      <w:r>
        <w:rPr>
          <w:sz w:val="18"/>
        </w:rPr>
        <w:t>of</w:t>
      </w:r>
      <w:r>
        <w:rPr>
          <w:spacing w:val="-5"/>
          <w:sz w:val="18"/>
        </w:rPr>
        <w:t> </w:t>
      </w:r>
      <w:r>
        <w:rPr>
          <w:sz w:val="18"/>
        </w:rPr>
        <w:t>the</w:t>
      </w:r>
      <w:r>
        <w:rPr>
          <w:spacing w:val="-6"/>
          <w:sz w:val="18"/>
        </w:rPr>
        <w:t> </w:t>
      </w:r>
      <w:r>
        <w:rPr>
          <w:sz w:val="18"/>
        </w:rPr>
        <w:t>measured</w:t>
      </w:r>
      <w:r>
        <w:rPr>
          <w:spacing w:val="-5"/>
          <w:sz w:val="18"/>
        </w:rPr>
        <w:t> </w:t>
      </w:r>
      <w:r>
        <w:rPr>
          <w:sz w:val="18"/>
        </w:rPr>
        <w:t>disparity between workers’ skills and the skill levels demanded by firms was similar to historical averages. The BCC survey had shown that recruitment difficulties also remained high in Q2. The Recruitment and Employment Confederation survey had suggested that the shortage of agency staff continued to worsen in</w:t>
      </w:r>
      <w:r>
        <w:rPr>
          <w:spacing w:val="-17"/>
          <w:sz w:val="18"/>
        </w:rPr>
        <w:t> </w:t>
      </w:r>
      <w:r>
        <w:rPr>
          <w:sz w:val="18"/>
        </w:rPr>
        <w:t>July.</w:t>
      </w:r>
    </w:p>
    <w:p>
      <w:pPr>
        <w:pStyle w:val="BodyText"/>
        <w:spacing w:before="9"/>
        <w:rPr>
          <w:sz w:val="16"/>
        </w:rPr>
      </w:pPr>
    </w:p>
    <w:p>
      <w:pPr>
        <w:pStyle w:val="ListParagraph"/>
        <w:numPr>
          <w:ilvl w:val="0"/>
          <w:numId w:val="49"/>
        </w:numPr>
        <w:tabs>
          <w:tab w:pos="649" w:val="left" w:leader="none"/>
          <w:tab w:pos="650" w:val="left" w:leader="none"/>
        </w:tabs>
        <w:spacing w:line="232" w:lineRule="auto" w:before="0" w:after="0"/>
        <w:ind w:left="169" w:right="435" w:firstLine="0"/>
        <w:jc w:val="left"/>
        <w:rPr>
          <w:sz w:val="18"/>
        </w:rPr>
      </w:pPr>
      <w:r>
        <w:rPr>
          <w:sz w:val="18"/>
        </w:rPr>
        <w:t>The number of new vacancies notified to Jobcentres had increased in June (along with the number of placings). This had reversed part of the fall in</w:t>
      </w:r>
      <w:r>
        <w:rPr>
          <w:spacing w:val="-9"/>
          <w:sz w:val="18"/>
        </w:rPr>
        <w:t> </w:t>
      </w:r>
      <w:r>
        <w:rPr>
          <w:sz w:val="18"/>
        </w:rPr>
        <w:t>May.</w:t>
      </w:r>
    </w:p>
    <w:p>
      <w:pPr>
        <w:pStyle w:val="BodyText"/>
        <w:spacing w:before="2"/>
        <w:rPr>
          <w:sz w:val="17"/>
        </w:rPr>
      </w:pPr>
    </w:p>
    <w:p>
      <w:pPr>
        <w:pStyle w:val="ListParagraph"/>
        <w:numPr>
          <w:ilvl w:val="0"/>
          <w:numId w:val="49"/>
        </w:numPr>
        <w:tabs>
          <w:tab w:pos="649" w:val="left" w:leader="none"/>
          <w:tab w:pos="650" w:val="left" w:leader="none"/>
        </w:tabs>
        <w:spacing w:line="232" w:lineRule="auto" w:before="1" w:after="0"/>
        <w:ind w:left="169" w:right="175" w:firstLine="0"/>
        <w:jc w:val="left"/>
        <w:rPr>
          <w:sz w:val="18"/>
        </w:rPr>
      </w:pPr>
      <w:r>
        <w:rPr>
          <w:sz w:val="18"/>
        </w:rPr>
        <w:t>LFS unemployment had fallen by 47,000, with the unemployment rate falling by 0.2 percentage points to 5.6% in the three months to May compared with the previous three months. The fall in LFS unemployment had been fairly evenly split between the less-one-year unemployed (down by 20,000) and the long-term unemployed (down by 28,000). Claimant count unemployment had fallen by 11,900 in June, with the rate unchanged at</w:t>
      </w:r>
      <w:r>
        <w:rPr>
          <w:spacing w:val="-25"/>
          <w:sz w:val="18"/>
        </w:rPr>
        <w:t> </w:t>
      </w:r>
      <w:r>
        <w:rPr>
          <w:sz w:val="18"/>
        </w:rPr>
        <w:t>3.8%.</w:t>
      </w:r>
    </w:p>
    <w:p>
      <w:pPr>
        <w:pStyle w:val="BodyText"/>
        <w:spacing w:before="10"/>
        <w:rPr>
          <w:sz w:val="16"/>
        </w:rPr>
      </w:pPr>
    </w:p>
    <w:p>
      <w:pPr>
        <w:pStyle w:val="ListParagraph"/>
        <w:numPr>
          <w:ilvl w:val="0"/>
          <w:numId w:val="49"/>
        </w:numPr>
        <w:tabs>
          <w:tab w:pos="649" w:val="left" w:leader="none"/>
          <w:tab w:pos="650" w:val="left" w:leader="none"/>
        </w:tabs>
        <w:spacing w:line="232" w:lineRule="auto" w:before="0" w:after="0"/>
        <w:ind w:left="169" w:right="171" w:firstLine="0"/>
        <w:jc w:val="left"/>
        <w:rPr>
          <w:sz w:val="18"/>
        </w:rPr>
      </w:pPr>
      <w:r>
        <w:rPr>
          <w:sz w:val="18"/>
        </w:rPr>
        <w:t>The LFS measure of inactivity had fallen by 42,000 in the three months to May compared with the previous three months. Amongst people of working age, inactivity had fallen by 65,000, the largest fall since the winter of 1998–99. The largest decline had been among people who did not want a</w:t>
      </w:r>
      <w:r>
        <w:rPr>
          <w:spacing w:val="-13"/>
          <w:sz w:val="18"/>
        </w:rPr>
        <w:t> </w:t>
      </w:r>
      <w:r>
        <w:rPr>
          <w:sz w:val="18"/>
        </w:rPr>
        <w:t>job.</w:t>
      </w:r>
    </w:p>
    <w:p>
      <w:pPr>
        <w:pStyle w:val="ListParagraph"/>
        <w:numPr>
          <w:ilvl w:val="0"/>
          <w:numId w:val="49"/>
        </w:numPr>
        <w:tabs>
          <w:tab w:pos="649" w:val="left" w:leader="none"/>
          <w:tab w:pos="650" w:val="left" w:leader="none"/>
        </w:tabs>
        <w:spacing w:line="203" w:lineRule="exact" w:before="171" w:after="0"/>
        <w:ind w:left="649" w:right="0" w:hanging="481"/>
        <w:jc w:val="left"/>
        <w:rPr>
          <w:sz w:val="18"/>
        </w:rPr>
      </w:pPr>
      <w:r>
        <w:rPr>
          <w:sz w:val="18"/>
        </w:rPr>
        <w:t>Whole-economy headline earnings growth had fallen</w:t>
      </w:r>
      <w:r>
        <w:rPr>
          <w:spacing w:val="-19"/>
          <w:sz w:val="18"/>
        </w:rPr>
        <w:t> </w:t>
      </w:r>
      <w:r>
        <w:rPr>
          <w:sz w:val="18"/>
        </w:rPr>
        <w:t>by</w:t>
      </w:r>
    </w:p>
    <w:p>
      <w:pPr>
        <w:pStyle w:val="ListParagraph"/>
        <w:numPr>
          <w:ilvl w:val="1"/>
          <w:numId w:val="50"/>
        </w:numPr>
        <w:tabs>
          <w:tab w:pos="440" w:val="left" w:leader="none"/>
        </w:tabs>
        <w:spacing w:line="232" w:lineRule="auto" w:before="2" w:after="0"/>
        <w:ind w:left="169" w:right="575" w:firstLine="0"/>
        <w:jc w:val="left"/>
        <w:rPr>
          <w:sz w:val="18"/>
        </w:rPr>
      </w:pPr>
      <w:r>
        <w:rPr>
          <w:sz w:val="18"/>
        </w:rPr>
        <w:t>percentage points to 4.6% in the year to May. Headline earnings</w:t>
      </w:r>
      <w:r>
        <w:rPr>
          <w:spacing w:val="-5"/>
          <w:sz w:val="18"/>
        </w:rPr>
        <w:t> </w:t>
      </w:r>
      <w:r>
        <w:rPr>
          <w:sz w:val="18"/>
        </w:rPr>
        <w:t>growth</w:t>
      </w:r>
      <w:r>
        <w:rPr>
          <w:spacing w:val="-5"/>
          <w:sz w:val="18"/>
        </w:rPr>
        <w:t> </w:t>
      </w:r>
      <w:r>
        <w:rPr>
          <w:sz w:val="18"/>
        </w:rPr>
        <w:t>had</w:t>
      </w:r>
      <w:r>
        <w:rPr>
          <w:spacing w:val="-5"/>
          <w:sz w:val="18"/>
        </w:rPr>
        <w:t> </w:t>
      </w:r>
      <w:r>
        <w:rPr>
          <w:sz w:val="18"/>
        </w:rPr>
        <w:t>fallen</w:t>
      </w:r>
      <w:r>
        <w:rPr>
          <w:spacing w:val="-4"/>
          <w:sz w:val="18"/>
        </w:rPr>
        <w:t> </w:t>
      </w:r>
      <w:r>
        <w:rPr>
          <w:sz w:val="18"/>
        </w:rPr>
        <w:t>in</w:t>
      </w:r>
      <w:r>
        <w:rPr>
          <w:spacing w:val="-5"/>
          <w:sz w:val="18"/>
        </w:rPr>
        <w:t> </w:t>
      </w:r>
      <w:r>
        <w:rPr>
          <w:sz w:val="18"/>
        </w:rPr>
        <w:t>both</w:t>
      </w:r>
      <w:r>
        <w:rPr>
          <w:spacing w:val="-5"/>
          <w:sz w:val="18"/>
        </w:rPr>
        <w:t> </w:t>
      </w:r>
      <w:r>
        <w:rPr>
          <w:sz w:val="18"/>
        </w:rPr>
        <w:t>the</w:t>
      </w:r>
      <w:r>
        <w:rPr>
          <w:spacing w:val="-5"/>
          <w:sz w:val="18"/>
        </w:rPr>
        <w:t> </w:t>
      </w:r>
      <w:r>
        <w:rPr>
          <w:sz w:val="18"/>
        </w:rPr>
        <w:t>private</w:t>
      </w:r>
      <w:r>
        <w:rPr>
          <w:spacing w:val="-4"/>
          <w:sz w:val="18"/>
        </w:rPr>
        <w:t> </w:t>
      </w:r>
      <w:r>
        <w:rPr>
          <w:sz w:val="18"/>
        </w:rPr>
        <w:t>sector</w:t>
      </w:r>
      <w:r>
        <w:rPr>
          <w:spacing w:val="-5"/>
          <w:sz w:val="18"/>
        </w:rPr>
        <w:t> </w:t>
      </w:r>
      <w:r>
        <w:rPr>
          <w:sz w:val="18"/>
        </w:rPr>
        <w:t>(down</w:t>
      </w:r>
      <w:r>
        <w:rPr>
          <w:spacing w:val="-5"/>
          <w:sz w:val="18"/>
        </w:rPr>
        <w:t> </w:t>
      </w:r>
      <w:r>
        <w:rPr>
          <w:sz w:val="18"/>
        </w:rPr>
        <w:t>by</w:t>
      </w:r>
    </w:p>
    <w:p>
      <w:pPr>
        <w:pStyle w:val="ListParagraph"/>
        <w:numPr>
          <w:ilvl w:val="1"/>
          <w:numId w:val="50"/>
        </w:numPr>
        <w:tabs>
          <w:tab w:pos="440" w:val="left" w:leader="none"/>
        </w:tabs>
        <w:spacing w:line="197" w:lineRule="exact" w:before="0" w:after="0"/>
        <w:ind w:left="439" w:right="0" w:hanging="271"/>
        <w:jc w:val="left"/>
        <w:rPr>
          <w:sz w:val="18"/>
        </w:rPr>
      </w:pPr>
      <w:r>
        <w:rPr>
          <w:sz w:val="18"/>
        </w:rPr>
        <w:t>percentage points to 4.8%) and the public sector (down</w:t>
      </w:r>
      <w:r>
        <w:rPr>
          <w:spacing w:val="-24"/>
          <w:sz w:val="18"/>
        </w:rPr>
        <w:t> </w:t>
      </w:r>
      <w:r>
        <w:rPr>
          <w:sz w:val="18"/>
        </w:rPr>
        <w:t>by</w:t>
      </w:r>
    </w:p>
    <w:p>
      <w:pPr>
        <w:spacing w:line="232" w:lineRule="auto" w:before="1"/>
        <w:ind w:left="169" w:right="162" w:firstLine="0"/>
        <w:jc w:val="left"/>
        <w:rPr>
          <w:sz w:val="18"/>
        </w:rPr>
      </w:pPr>
      <w:r>
        <w:rPr>
          <w:sz w:val="18"/>
        </w:rPr>
        <w:t>0.4 percentage points to 3.8%). Within the private sector, headline earnings growth in service sector firms had fallen by 0.8 percentage</w:t>
      </w:r>
    </w:p>
    <w:p>
      <w:pPr>
        <w:spacing w:after="0" w:line="232" w:lineRule="auto"/>
        <w:jc w:val="left"/>
        <w:rPr>
          <w:sz w:val="18"/>
        </w:rPr>
        <w:sectPr>
          <w:type w:val="continuous"/>
          <w:pgSz w:w="11900" w:h="16840"/>
          <w:pgMar w:top="1260" w:bottom="280" w:left="640" w:right="640"/>
          <w:cols w:num="2" w:equalWidth="0">
            <w:col w:w="5113" w:space="272"/>
            <w:col w:w="5235"/>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1"/>
        <w:rPr>
          <w:sz w:val="20"/>
        </w:rPr>
      </w:pPr>
    </w:p>
    <w:p>
      <w:pPr>
        <w:spacing w:line="203" w:lineRule="exact" w:before="0"/>
        <w:ind w:left="180" w:right="0" w:firstLine="0"/>
        <w:jc w:val="left"/>
        <w:rPr>
          <w:sz w:val="18"/>
        </w:rPr>
      </w:pPr>
      <w:r>
        <w:rPr>
          <w:sz w:val="18"/>
        </w:rPr>
        <w:t>points to 4.9%, but had increased in the manufacturing sector by</w:t>
      </w:r>
    </w:p>
    <w:p>
      <w:pPr>
        <w:spacing w:line="232" w:lineRule="auto" w:before="2"/>
        <w:ind w:left="180" w:right="104" w:firstLine="0"/>
        <w:jc w:val="left"/>
        <w:rPr>
          <w:sz w:val="18"/>
        </w:rPr>
      </w:pPr>
      <w:r>
        <w:rPr>
          <w:sz w:val="18"/>
        </w:rPr>
        <w:t>0.1 percentage points to 4.6%. Actual earnings growth in the year to May had been 4.0%, down by 0.6 percentage points from the previous month. This decline was more than accounted for by weaker bonus growth. There had been significant revisions to earnings growth data for April, particularly in the manufacturing and public sectors.</w:t>
      </w:r>
    </w:p>
    <w:p>
      <w:pPr>
        <w:pStyle w:val="BodyText"/>
        <w:spacing w:before="6"/>
        <w:rPr>
          <w:sz w:val="19"/>
        </w:rPr>
      </w:pPr>
    </w:p>
    <w:p>
      <w:pPr>
        <w:pStyle w:val="ListParagraph"/>
        <w:numPr>
          <w:ilvl w:val="0"/>
          <w:numId w:val="49"/>
        </w:numPr>
        <w:tabs>
          <w:tab w:pos="659" w:val="left" w:leader="none"/>
          <w:tab w:pos="660" w:val="left" w:leader="none"/>
        </w:tabs>
        <w:spacing w:line="232" w:lineRule="auto" w:before="0" w:after="0"/>
        <w:ind w:left="180" w:right="113" w:firstLine="0"/>
        <w:jc w:val="left"/>
        <w:rPr>
          <w:sz w:val="18"/>
        </w:rPr>
      </w:pPr>
      <w:r>
        <w:rPr>
          <w:sz w:val="18"/>
        </w:rPr>
        <w:t>There had been little new information on settlements. The Bank’s</w:t>
      </w:r>
      <w:r>
        <w:rPr>
          <w:spacing w:val="-7"/>
          <w:sz w:val="18"/>
        </w:rPr>
        <w:t> </w:t>
      </w:r>
      <w:r>
        <w:rPr>
          <w:sz w:val="18"/>
        </w:rPr>
        <w:t>AEI-weighted</w:t>
      </w:r>
      <w:r>
        <w:rPr>
          <w:spacing w:val="-7"/>
          <w:sz w:val="18"/>
        </w:rPr>
        <w:t> </w:t>
      </w:r>
      <w:r>
        <w:rPr>
          <w:sz w:val="18"/>
        </w:rPr>
        <w:t>twelve-month</w:t>
      </w:r>
      <w:r>
        <w:rPr>
          <w:spacing w:val="-7"/>
          <w:sz w:val="18"/>
        </w:rPr>
        <w:t> </w:t>
      </w:r>
      <w:r>
        <w:rPr>
          <w:sz w:val="18"/>
        </w:rPr>
        <w:t>mean</w:t>
      </w:r>
      <w:r>
        <w:rPr>
          <w:spacing w:val="-7"/>
          <w:sz w:val="18"/>
        </w:rPr>
        <w:t> </w:t>
      </w:r>
      <w:r>
        <w:rPr>
          <w:sz w:val="18"/>
        </w:rPr>
        <w:t>settlement</w:t>
      </w:r>
      <w:r>
        <w:rPr>
          <w:spacing w:val="-6"/>
          <w:sz w:val="18"/>
        </w:rPr>
        <w:t> </w:t>
      </w:r>
      <w:r>
        <w:rPr>
          <w:sz w:val="18"/>
        </w:rPr>
        <w:t>had</w:t>
      </w:r>
      <w:r>
        <w:rPr>
          <w:spacing w:val="-7"/>
          <w:sz w:val="18"/>
        </w:rPr>
        <w:t> </w:t>
      </w:r>
      <w:r>
        <w:rPr>
          <w:sz w:val="18"/>
        </w:rPr>
        <w:t>fallen</w:t>
      </w:r>
      <w:r>
        <w:rPr>
          <w:spacing w:val="-7"/>
          <w:sz w:val="18"/>
        </w:rPr>
        <w:t> </w:t>
      </w:r>
      <w:r>
        <w:rPr>
          <w:sz w:val="18"/>
        </w:rPr>
        <w:t>by</w:t>
      </w:r>
    </w:p>
    <w:p>
      <w:pPr>
        <w:spacing w:line="232" w:lineRule="auto" w:before="0"/>
        <w:ind w:left="180" w:right="104" w:firstLine="0"/>
        <w:jc w:val="left"/>
        <w:rPr>
          <w:sz w:val="18"/>
        </w:rPr>
      </w:pPr>
      <w:r>
        <w:rPr>
          <w:sz w:val="18"/>
        </w:rPr>
        <w:t>0.1 percentage points to 3.0% in June, but the three-month mean was unchanged. Most of the settlement data in June had related to workers in the construction industry.</w:t>
      </w:r>
    </w:p>
    <w:p>
      <w:pPr>
        <w:pStyle w:val="BodyText"/>
        <w:rPr>
          <w:sz w:val="23"/>
        </w:rPr>
      </w:pPr>
    </w:p>
    <w:p>
      <w:pPr>
        <w:pStyle w:val="ListParagraph"/>
        <w:numPr>
          <w:ilvl w:val="1"/>
          <w:numId w:val="48"/>
        </w:numPr>
        <w:tabs>
          <w:tab w:pos="659" w:val="left" w:leader="none"/>
          <w:tab w:pos="661" w:val="left" w:leader="none"/>
        </w:tabs>
        <w:spacing w:line="240" w:lineRule="auto" w:before="0" w:after="0"/>
        <w:ind w:left="660" w:right="0" w:hanging="481"/>
        <w:jc w:val="left"/>
        <w:rPr>
          <w:b/>
          <w:sz w:val="22"/>
        </w:rPr>
      </w:pPr>
      <w:r>
        <w:rPr>
          <w:b/>
          <w:color w:val="009391"/>
          <w:sz w:val="22"/>
        </w:rPr>
        <w:t>Prices</w:t>
      </w:r>
    </w:p>
    <w:p>
      <w:pPr>
        <w:pStyle w:val="ListParagraph"/>
        <w:numPr>
          <w:ilvl w:val="0"/>
          <w:numId w:val="49"/>
        </w:numPr>
        <w:tabs>
          <w:tab w:pos="659" w:val="left" w:leader="none"/>
          <w:tab w:pos="660" w:val="left" w:leader="none"/>
        </w:tabs>
        <w:spacing w:line="232" w:lineRule="auto" w:before="129" w:after="0"/>
        <w:ind w:left="180" w:right="38" w:firstLine="0"/>
        <w:jc w:val="left"/>
        <w:rPr>
          <w:sz w:val="18"/>
        </w:rPr>
      </w:pPr>
      <w:r>
        <w:rPr>
          <w:sz w:val="18"/>
        </w:rPr>
        <w:t>The Bank’s oil-inclusive commodity price index had risen by 3.8% in June, taking the annual inflation rate from 17.1% up to 22.3%. Higher fuel and domestic food prices had largely accounted for the rise in the annual rate. Excluding oil, commodity prices had risen by 5.2% in the twelve months to June, up from 2.6% in the previous</w:t>
      </w:r>
      <w:r>
        <w:rPr>
          <w:spacing w:val="-2"/>
          <w:sz w:val="18"/>
        </w:rPr>
        <w:t> </w:t>
      </w:r>
      <w:r>
        <w:rPr>
          <w:sz w:val="18"/>
        </w:rPr>
        <w:t>month.</w:t>
      </w:r>
    </w:p>
    <w:p>
      <w:pPr>
        <w:pStyle w:val="BodyText"/>
        <w:spacing w:before="7"/>
        <w:rPr>
          <w:sz w:val="19"/>
        </w:rPr>
      </w:pPr>
    </w:p>
    <w:p>
      <w:pPr>
        <w:pStyle w:val="ListParagraph"/>
        <w:numPr>
          <w:ilvl w:val="0"/>
          <w:numId w:val="49"/>
        </w:numPr>
        <w:tabs>
          <w:tab w:pos="659" w:val="left" w:leader="none"/>
          <w:tab w:pos="660" w:val="left" w:leader="none"/>
        </w:tabs>
        <w:spacing w:line="232" w:lineRule="auto" w:before="0" w:after="0"/>
        <w:ind w:left="180" w:right="58" w:firstLine="0"/>
        <w:jc w:val="left"/>
        <w:rPr>
          <w:sz w:val="18"/>
        </w:rPr>
      </w:pPr>
      <w:r>
        <w:rPr>
          <w:sz w:val="18"/>
        </w:rPr>
        <w:t>Seasonally adjusted manufacturing input prices had risen by 1.4%</w:t>
      </w:r>
      <w:r>
        <w:rPr>
          <w:spacing w:val="-5"/>
          <w:sz w:val="18"/>
        </w:rPr>
        <w:t> </w:t>
      </w:r>
      <w:r>
        <w:rPr>
          <w:sz w:val="18"/>
        </w:rPr>
        <w:t>in</w:t>
      </w:r>
      <w:r>
        <w:rPr>
          <w:spacing w:val="-5"/>
          <w:sz w:val="18"/>
        </w:rPr>
        <w:t> </w:t>
      </w:r>
      <w:r>
        <w:rPr>
          <w:sz w:val="18"/>
        </w:rPr>
        <w:t>June,</w:t>
      </w:r>
      <w:r>
        <w:rPr>
          <w:spacing w:val="-4"/>
          <w:sz w:val="18"/>
        </w:rPr>
        <w:t> </w:t>
      </w:r>
      <w:r>
        <w:rPr>
          <w:sz w:val="18"/>
        </w:rPr>
        <w:t>taking</w:t>
      </w:r>
      <w:r>
        <w:rPr>
          <w:spacing w:val="-5"/>
          <w:sz w:val="18"/>
        </w:rPr>
        <w:t> </w:t>
      </w:r>
      <w:r>
        <w:rPr>
          <w:sz w:val="18"/>
        </w:rPr>
        <w:t>the</w:t>
      </w:r>
      <w:r>
        <w:rPr>
          <w:spacing w:val="-5"/>
          <w:sz w:val="18"/>
        </w:rPr>
        <w:t> </w:t>
      </w:r>
      <w:r>
        <w:rPr>
          <w:sz w:val="18"/>
        </w:rPr>
        <w:t>annual</w:t>
      </w:r>
      <w:r>
        <w:rPr>
          <w:spacing w:val="-4"/>
          <w:sz w:val="18"/>
        </w:rPr>
        <w:t> </w:t>
      </w:r>
      <w:r>
        <w:rPr>
          <w:sz w:val="18"/>
        </w:rPr>
        <w:t>inflation</w:t>
      </w:r>
      <w:r>
        <w:rPr>
          <w:spacing w:val="-5"/>
          <w:sz w:val="18"/>
        </w:rPr>
        <w:t> </w:t>
      </w:r>
      <w:r>
        <w:rPr>
          <w:sz w:val="18"/>
        </w:rPr>
        <w:t>rate</w:t>
      </w:r>
      <w:r>
        <w:rPr>
          <w:spacing w:val="-5"/>
          <w:sz w:val="18"/>
        </w:rPr>
        <w:t> </w:t>
      </w:r>
      <w:r>
        <w:rPr>
          <w:sz w:val="18"/>
        </w:rPr>
        <w:t>from</w:t>
      </w:r>
      <w:r>
        <w:rPr>
          <w:spacing w:val="-4"/>
          <w:sz w:val="18"/>
        </w:rPr>
        <w:t> </w:t>
      </w:r>
      <w:r>
        <w:rPr>
          <w:sz w:val="18"/>
        </w:rPr>
        <w:t>12.9%</w:t>
      </w:r>
      <w:r>
        <w:rPr>
          <w:spacing w:val="-5"/>
          <w:sz w:val="18"/>
        </w:rPr>
        <w:t> </w:t>
      </w:r>
      <w:r>
        <w:rPr>
          <w:sz w:val="18"/>
        </w:rPr>
        <w:t>to</w:t>
      </w:r>
      <w:r>
        <w:rPr>
          <w:spacing w:val="-5"/>
          <w:sz w:val="18"/>
        </w:rPr>
        <w:t> </w:t>
      </w:r>
      <w:r>
        <w:rPr>
          <w:sz w:val="18"/>
        </w:rPr>
        <w:t>14.1%. The rise reflected higher prices of oil and other raw materials including chemicals and domestic food. The annual rate of change of seasonally adjusted total output prices excluding excise duties (PPIY) had increased strongly, to 2.4% from 1.8% in May, largely on account of higher petroleum price inflation. Looking ahead, the latest CBI expected output price balance had strengthened to -15 in July from -18. This contrasted with the data from the BCC survey on manufacturing. The BCC price expectation balance for services had fallen to 21 in Q2 from 26 in</w:t>
      </w:r>
      <w:r>
        <w:rPr>
          <w:spacing w:val="-12"/>
          <w:sz w:val="18"/>
        </w:rPr>
        <w:t> </w:t>
      </w:r>
      <w:r>
        <w:rPr>
          <w:sz w:val="18"/>
        </w:rPr>
        <w:t>Q1.</w:t>
      </w:r>
    </w:p>
    <w:p>
      <w:pPr>
        <w:pStyle w:val="BodyText"/>
        <w:spacing w:before="4"/>
        <w:rPr>
          <w:sz w:val="18"/>
        </w:rPr>
      </w:pPr>
    </w:p>
    <w:p>
      <w:pPr>
        <w:pStyle w:val="ListParagraph"/>
        <w:numPr>
          <w:ilvl w:val="0"/>
          <w:numId w:val="49"/>
        </w:numPr>
        <w:tabs>
          <w:tab w:pos="659" w:val="left" w:leader="none"/>
          <w:tab w:pos="660" w:val="left" w:leader="none"/>
        </w:tabs>
        <w:spacing w:line="232" w:lineRule="auto" w:before="0" w:after="0"/>
        <w:ind w:left="180" w:right="163" w:firstLine="0"/>
        <w:jc w:val="left"/>
        <w:rPr>
          <w:sz w:val="18"/>
        </w:rPr>
      </w:pPr>
      <w:r>
        <w:rPr>
          <w:sz w:val="18"/>
        </w:rPr>
        <w:t>Prices of total imported goods had risen by 2.5% in May. Excluding</w:t>
      </w:r>
      <w:r>
        <w:rPr>
          <w:spacing w:val="-6"/>
          <w:sz w:val="18"/>
        </w:rPr>
        <w:t> </w:t>
      </w:r>
      <w:r>
        <w:rPr>
          <w:sz w:val="18"/>
        </w:rPr>
        <w:t>oil</w:t>
      </w:r>
      <w:r>
        <w:rPr>
          <w:spacing w:val="-5"/>
          <w:sz w:val="18"/>
        </w:rPr>
        <w:t> </w:t>
      </w:r>
      <w:r>
        <w:rPr>
          <w:sz w:val="18"/>
        </w:rPr>
        <w:t>and</w:t>
      </w:r>
      <w:r>
        <w:rPr>
          <w:spacing w:val="-5"/>
          <w:sz w:val="18"/>
        </w:rPr>
        <w:t> </w:t>
      </w:r>
      <w:r>
        <w:rPr>
          <w:sz w:val="18"/>
        </w:rPr>
        <w:t>erratics,</w:t>
      </w:r>
      <w:r>
        <w:rPr>
          <w:spacing w:val="-5"/>
          <w:sz w:val="18"/>
        </w:rPr>
        <w:t> </w:t>
      </w:r>
      <w:r>
        <w:rPr>
          <w:sz w:val="18"/>
        </w:rPr>
        <w:t>prices</w:t>
      </w:r>
      <w:r>
        <w:rPr>
          <w:spacing w:val="-5"/>
          <w:sz w:val="18"/>
        </w:rPr>
        <w:t> </w:t>
      </w:r>
      <w:r>
        <w:rPr>
          <w:sz w:val="18"/>
        </w:rPr>
        <w:t>of</w:t>
      </w:r>
      <w:r>
        <w:rPr>
          <w:spacing w:val="-5"/>
          <w:sz w:val="18"/>
        </w:rPr>
        <w:t> </w:t>
      </w:r>
      <w:r>
        <w:rPr>
          <w:sz w:val="18"/>
        </w:rPr>
        <w:t>imported</w:t>
      </w:r>
      <w:r>
        <w:rPr>
          <w:spacing w:val="-6"/>
          <w:sz w:val="18"/>
        </w:rPr>
        <w:t> </w:t>
      </w:r>
      <w:r>
        <w:rPr>
          <w:sz w:val="18"/>
        </w:rPr>
        <w:t>goods</w:t>
      </w:r>
      <w:r>
        <w:rPr>
          <w:spacing w:val="-5"/>
          <w:sz w:val="18"/>
        </w:rPr>
        <w:t> </w:t>
      </w:r>
      <w:r>
        <w:rPr>
          <w:sz w:val="18"/>
        </w:rPr>
        <w:t>had</w:t>
      </w:r>
      <w:r>
        <w:rPr>
          <w:spacing w:val="-5"/>
          <w:sz w:val="18"/>
        </w:rPr>
        <w:t> </w:t>
      </w:r>
      <w:r>
        <w:rPr>
          <w:sz w:val="18"/>
        </w:rPr>
        <w:t>also</w:t>
      </w:r>
      <w:r>
        <w:rPr>
          <w:spacing w:val="-5"/>
          <w:sz w:val="18"/>
        </w:rPr>
        <w:t> </w:t>
      </w:r>
      <w:r>
        <w:rPr>
          <w:sz w:val="18"/>
        </w:rPr>
        <w:t>risen by 1.6%.</w:t>
      </w:r>
    </w:p>
    <w:p>
      <w:pPr>
        <w:pStyle w:val="BodyText"/>
        <w:spacing w:before="11"/>
        <w:rPr>
          <w:sz w:val="18"/>
        </w:rPr>
      </w:pPr>
    </w:p>
    <w:p>
      <w:pPr>
        <w:pStyle w:val="ListParagraph"/>
        <w:numPr>
          <w:ilvl w:val="0"/>
          <w:numId w:val="49"/>
        </w:numPr>
        <w:tabs>
          <w:tab w:pos="659" w:val="left" w:leader="none"/>
          <w:tab w:pos="660" w:val="left" w:leader="none"/>
        </w:tabs>
        <w:spacing w:line="232" w:lineRule="auto" w:before="0" w:after="0"/>
        <w:ind w:left="180" w:right="342" w:firstLine="0"/>
        <w:jc w:val="left"/>
        <w:rPr>
          <w:sz w:val="18"/>
        </w:rPr>
      </w:pPr>
      <w:r>
        <w:rPr>
          <w:sz w:val="18"/>
        </w:rPr>
        <w:t>RPIX had increased by 2.2% in the year to June, up from 2.0% in May, largely owing to higher petrol price and seasonal food price</w:t>
      </w:r>
      <w:r>
        <w:rPr>
          <w:spacing w:val="-3"/>
          <w:sz w:val="18"/>
        </w:rPr>
        <w:t> </w:t>
      </w:r>
      <w:r>
        <w:rPr>
          <w:sz w:val="18"/>
        </w:rPr>
        <w:t>inflation.</w:t>
      </w:r>
    </w:p>
    <w:p>
      <w:pPr>
        <w:pStyle w:val="BodyText"/>
        <w:spacing w:before="1"/>
        <w:rPr>
          <w:sz w:val="23"/>
        </w:rPr>
      </w:pPr>
    </w:p>
    <w:p>
      <w:pPr>
        <w:pStyle w:val="ListParagraph"/>
        <w:numPr>
          <w:ilvl w:val="1"/>
          <w:numId w:val="48"/>
        </w:numPr>
        <w:tabs>
          <w:tab w:pos="660" w:val="left" w:leader="none"/>
          <w:tab w:pos="661" w:val="left" w:leader="none"/>
        </w:tabs>
        <w:spacing w:line="240" w:lineRule="auto" w:before="0" w:after="0"/>
        <w:ind w:left="660" w:right="0" w:hanging="481"/>
        <w:jc w:val="left"/>
        <w:rPr>
          <w:b/>
          <w:sz w:val="22"/>
        </w:rPr>
      </w:pPr>
      <w:r>
        <w:rPr>
          <w:b/>
          <w:color w:val="009391"/>
          <w:sz w:val="22"/>
        </w:rPr>
        <w:t>Reports by the </w:t>
      </w:r>
      <w:r>
        <w:rPr>
          <w:b/>
          <w:color w:val="009391"/>
          <w:spacing w:val="-3"/>
          <w:sz w:val="22"/>
        </w:rPr>
        <w:t>Bank’s</w:t>
      </w:r>
      <w:r>
        <w:rPr>
          <w:b/>
          <w:color w:val="009391"/>
          <w:spacing w:val="-6"/>
          <w:sz w:val="22"/>
        </w:rPr>
        <w:t> </w:t>
      </w:r>
      <w:r>
        <w:rPr>
          <w:b/>
          <w:color w:val="009391"/>
          <w:sz w:val="22"/>
        </w:rPr>
        <w:t>Agents</w:t>
      </w:r>
    </w:p>
    <w:p>
      <w:pPr>
        <w:pStyle w:val="ListParagraph"/>
        <w:numPr>
          <w:ilvl w:val="0"/>
          <w:numId w:val="49"/>
        </w:numPr>
        <w:tabs>
          <w:tab w:pos="659" w:val="left" w:leader="none"/>
          <w:tab w:pos="660" w:val="left" w:leader="none"/>
        </w:tabs>
        <w:spacing w:line="232" w:lineRule="auto" w:before="129" w:after="0"/>
        <w:ind w:left="180" w:right="83" w:firstLine="0"/>
        <w:jc w:val="left"/>
        <w:rPr>
          <w:sz w:val="18"/>
        </w:rPr>
      </w:pPr>
      <w:r>
        <w:rPr>
          <w:sz w:val="18"/>
        </w:rPr>
        <w:t>The Agents suggested that manufacturing output growth had continued to slow in recent months. Against this, there had been clear</w:t>
      </w:r>
      <w:r>
        <w:rPr>
          <w:spacing w:val="-5"/>
          <w:sz w:val="18"/>
        </w:rPr>
        <w:t> </w:t>
      </w:r>
      <w:r>
        <w:rPr>
          <w:sz w:val="18"/>
        </w:rPr>
        <w:t>signs</w:t>
      </w:r>
      <w:r>
        <w:rPr>
          <w:spacing w:val="-5"/>
          <w:sz w:val="18"/>
        </w:rPr>
        <w:t> </w:t>
      </w:r>
      <w:r>
        <w:rPr>
          <w:sz w:val="18"/>
        </w:rPr>
        <w:t>of</w:t>
      </w:r>
      <w:r>
        <w:rPr>
          <w:spacing w:val="-4"/>
          <w:sz w:val="18"/>
        </w:rPr>
        <w:t> </w:t>
      </w:r>
      <w:r>
        <w:rPr>
          <w:sz w:val="18"/>
        </w:rPr>
        <w:t>an</w:t>
      </w:r>
      <w:r>
        <w:rPr>
          <w:spacing w:val="-5"/>
          <w:sz w:val="18"/>
        </w:rPr>
        <w:t> </w:t>
      </w:r>
      <w:r>
        <w:rPr>
          <w:sz w:val="18"/>
        </w:rPr>
        <w:t>improvement</w:t>
      </w:r>
      <w:r>
        <w:rPr>
          <w:spacing w:val="-4"/>
          <w:sz w:val="18"/>
        </w:rPr>
        <w:t> </w:t>
      </w:r>
      <w:r>
        <w:rPr>
          <w:sz w:val="18"/>
        </w:rPr>
        <w:t>in</w:t>
      </w:r>
      <w:r>
        <w:rPr>
          <w:spacing w:val="-5"/>
          <w:sz w:val="18"/>
        </w:rPr>
        <w:t> </w:t>
      </w:r>
      <w:r>
        <w:rPr>
          <w:sz w:val="18"/>
        </w:rPr>
        <w:t>export</w:t>
      </w:r>
      <w:r>
        <w:rPr>
          <w:spacing w:val="-5"/>
          <w:sz w:val="18"/>
        </w:rPr>
        <w:t> </w:t>
      </w:r>
      <w:r>
        <w:rPr>
          <w:sz w:val="18"/>
        </w:rPr>
        <w:t>markets</w:t>
      </w:r>
      <w:r>
        <w:rPr>
          <w:spacing w:val="-4"/>
          <w:sz w:val="18"/>
        </w:rPr>
        <w:t> </w:t>
      </w:r>
      <w:r>
        <w:rPr>
          <w:sz w:val="18"/>
        </w:rPr>
        <w:t>in</w:t>
      </w:r>
      <w:r>
        <w:rPr>
          <w:spacing w:val="-5"/>
          <w:sz w:val="18"/>
        </w:rPr>
        <w:t> </w:t>
      </w:r>
      <w:r>
        <w:rPr>
          <w:sz w:val="18"/>
        </w:rPr>
        <w:t>some</w:t>
      </w:r>
      <w:r>
        <w:rPr>
          <w:spacing w:val="-4"/>
          <w:sz w:val="18"/>
        </w:rPr>
        <w:t> </w:t>
      </w:r>
      <w:r>
        <w:rPr>
          <w:sz w:val="18"/>
        </w:rPr>
        <w:t>regions</w:t>
      </w:r>
      <w:r>
        <w:rPr>
          <w:spacing w:val="-5"/>
          <w:sz w:val="18"/>
        </w:rPr>
        <w:t> </w:t>
      </w:r>
      <w:r>
        <w:rPr>
          <w:sz w:val="18"/>
        </w:rPr>
        <w:t>in recent</w:t>
      </w:r>
      <w:r>
        <w:rPr>
          <w:spacing w:val="-2"/>
          <w:sz w:val="18"/>
        </w:rPr>
        <w:t> </w:t>
      </w:r>
      <w:r>
        <w:rPr>
          <w:sz w:val="18"/>
        </w:rPr>
        <w:t>weeks.</w:t>
      </w:r>
    </w:p>
    <w:p>
      <w:pPr>
        <w:pStyle w:val="BodyText"/>
        <w:spacing w:before="10"/>
        <w:rPr>
          <w:sz w:val="18"/>
        </w:rPr>
      </w:pPr>
    </w:p>
    <w:p>
      <w:pPr>
        <w:pStyle w:val="ListParagraph"/>
        <w:numPr>
          <w:ilvl w:val="0"/>
          <w:numId w:val="49"/>
        </w:numPr>
        <w:tabs>
          <w:tab w:pos="659" w:val="left" w:leader="none"/>
          <w:tab w:pos="660" w:val="left" w:leader="none"/>
        </w:tabs>
        <w:spacing w:line="232" w:lineRule="auto" w:before="0" w:after="0"/>
        <w:ind w:left="180" w:right="223" w:firstLine="0"/>
        <w:jc w:val="left"/>
        <w:rPr>
          <w:sz w:val="18"/>
        </w:rPr>
      </w:pPr>
      <w:r>
        <w:rPr>
          <w:sz w:val="18"/>
        </w:rPr>
        <w:t>Most areas of business services had continued to record strong growth, although transport services (particularly road haulage) had appeared to slow recently. Demand for IT services, which</w:t>
      </w:r>
      <w:r>
        <w:rPr>
          <w:spacing w:val="-5"/>
          <w:sz w:val="18"/>
        </w:rPr>
        <w:t> </w:t>
      </w:r>
      <w:r>
        <w:rPr>
          <w:sz w:val="18"/>
        </w:rPr>
        <w:t>had</w:t>
      </w:r>
      <w:r>
        <w:rPr>
          <w:spacing w:val="-4"/>
          <w:sz w:val="18"/>
        </w:rPr>
        <w:t> </w:t>
      </w:r>
      <w:r>
        <w:rPr>
          <w:sz w:val="18"/>
        </w:rPr>
        <w:t>seen</w:t>
      </w:r>
      <w:r>
        <w:rPr>
          <w:spacing w:val="-5"/>
          <w:sz w:val="18"/>
        </w:rPr>
        <w:t> </w:t>
      </w:r>
      <w:r>
        <w:rPr>
          <w:sz w:val="18"/>
        </w:rPr>
        <w:t>a</w:t>
      </w:r>
      <w:r>
        <w:rPr>
          <w:spacing w:val="-4"/>
          <w:sz w:val="18"/>
        </w:rPr>
        <w:t> </w:t>
      </w:r>
      <w:r>
        <w:rPr>
          <w:sz w:val="18"/>
        </w:rPr>
        <w:t>dip</w:t>
      </w:r>
      <w:r>
        <w:rPr>
          <w:spacing w:val="-5"/>
          <w:sz w:val="18"/>
        </w:rPr>
        <w:t> </w:t>
      </w:r>
      <w:r>
        <w:rPr>
          <w:sz w:val="18"/>
        </w:rPr>
        <w:t>since</w:t>
      </w:r>
      <w:r>
        <w:rPr>
          <w:spacing w:val="-4"/>
          <w:sz w:val="18"/>
        </w:rPr>
        <w:t> </w:t>
      </w:r>
      <w:r>
        <w:rPr>
          <w:sz w:val="18"/>
        </w:rPr>
        <w:t>late-1999</w:t>
      </w:r>
      <w:r>
        <w:rPr>
          <w:spacing w:val="-5"/>
          <w:sz w:val="18"/>
        </w:rPr>
        <w:t> </w:t>
      </w:r>
      <w:r>
        <w:rPr>
          <w:sz w:val="18"/>
        </w:rPr>
        <w:t>was</w:t>
      </w:r>
      <w:r>
        <w:rPr>
          <w:spacing w:val="-4"/>
          <w:sz w:val="18"/>
        </w:rPr>
        <w:t> </w:t>
      </w:r>
      <w:r>
        <w:rPr>
          <w:sz w:val="18"/>
        </w:rPr>
        <w:t>reported</w:t>
      </w:r>
      <w:r>
        <w:rPr>
          <w:spacing w:val="-4"/>
          <w:sz w:val="18"/>
        </w:rPr>
        <w:t> </w:t>
      </w:r>
      <w:r>
        <w:rPr>
          <w:sz w:val="18"/>
        </w:rPr>
        <w:t>to</w:t>
      </w:r>
      <w:r>
        <w:rPr>
          <w:spacing w:val="-5"/>
          <w:sz w:val="18"/>
        </w:rPr>
        <w:t> </w:t>
      </w:r>
      <w:r>
        <w:rPr>
          <w:sz w:val="18"/>
        </w:rPr>
        <w:t>have</w:t>
      </w:r>
      <w:r>
        <w:rPr>
          <w:spacing w:val="-4"/>
          <w:sz w:val="18"/>
        </w:rPr>
        <w:t> </w:t>
      </w:r>
      <w:r>
        <w:rPr>
          <w:sz w:val="18"/>
        </w:rPr>
        <w:t>picked up in recent weeks. There had been a noticeable downturn in domestic</w:t>
      </w:r>
      <w:r>
        <w:rPr>
          <w:spacing w:val="-2"/>
          <w:sz w:val="18"/>
        </w:rPr>
        <w:t> </w:t>
      </w:r>
      <w:r>
        <w:rPr>
          <w:sz w:val="18"/>
        </w:rPr>
        <w:t>tourism.</w:t>
      </w:r>
    </w:p>
    <w:p>
      <w:pPr>
        <w:pStyle w:val="BodyText"/>
        <w:spacing w:before="6"/>
        <w:rPr>
          <w:sz w:val="20"/>
        </w:rPr>
      </w:pPr>
      <w:r>
        <w:rPr/>
        <w:br w:type="column"/>
      </w:r>
      <w:r>
        <w:rPr>
          <w:sz w:val="20"/>
        </w:rPr>
      </w:r>
    </w:p>
    <w:p>
      <w:pPr>
        <w:pStyle w:val="ListParagraph"/>
        <w:numPr>
          <w:ilvl w:val="0"/>
          <w:numId w:val="49"/>
        </w:numPr>
        <w:tabs>
          <w:tab w:pos="659" w:val="left" w:leader="none"/>
          <w:tab w:pos="660" w:val="left" w:leader="none"/>
        </w:tabs>
        <w:spacing w:line="232" w:lineRule="auto" w:before="0" w:after="0"/>
        <w:ind w:left="180" w:right="155" w:firstLine="0"/>
        <w:jc w:val="left"/>
        <w:rPr>
          <w:sz w:val="18"/>
        </w:rPr>
      </w:pPr>
      <w:r>
        <w:rPr>
          <w:sz w:val="18"/>
        </w:rPr>
        <w:t>There had been further evidence of a slowing in residential construction activity—particularly noticeable in the southern regions of the United Kingdom. This was reported to have been the result of both supply-side constraints and a slowing in demand— evidenced by fewer site visits and increased cancellations. In contrast, growth in commercial construction was said to have been maintained in most</w:t>
      </w:r>
      <w:r>
        <w:rPr>
          <w:spacing w:val="-4"/>
          <w:sz w:val="18"/>
        </w:rPr>
        <w:t> </w:t>
      </w:r>
      <w:r>
        <w:rPr>
          <w:sz w:val="18"/>
        </w:rPr>
        <w:t>regions.</w:t>
      </w:r>
    </w:p>
    <w:p>
      <w:pPr>
        <w:pStyle w:val="BodyText"/>
        <w:spacing w:before="10"/>
        <w:rPr>
          <w:sz w:val="16"/>
        </w:rPr>
      </w:pPr>
    </w:p>
    <w:p>
      <w:pPr>
        <w:pStyle w:val="ListParagraph"/>
        <w:numPr>
          <w:ilvl w:val="0"/>
          <w:numId w:val="49"/>
        </w:numPr>
        <w:tabs>
          <w:tab w:pos="659" w:val="left" w:leader="none"/>
          <w:tab w:pos="660" w:val="left" w:leader="none"/>
        </w:tabs>
        <w:spacing w:line="232" w:lineRule="auto" w:before="1" w:after="0"/>
        <w:ind w:left="180" w:right="276" w:firstLine="0"/>
        <w:jc w:val="left"/>
        <w:rPr>
          <w:sz w:val="18"/>
        </w:rPr>
      </w:pPr>
      <w:r>
        <w:rPr>
          <w:sz w:val="18"/>
        </w:rPr>
        <w:t>Agents reported that there had been a further rise in input price inflation, as earlier rises in the oil price had fed through to stronger increases in the price of related products. In addition, there</w:t>
      </w:r>
      <w:r>
        <w:rPr>
          <w:spacing w:val="-5"/>
          <w:sz w:val="18"/>
        </w:rPr>
        <w:t> </w:t>
      </w:r>
      <w:r>
        <w:rPr>
          <w:sz w:val="18"/>
        </w:rPr>
        <w:t>had</w:t>
      </w:r>
      <w:r>
        <w:rPr>
          <w:spacing w:val="-5"/>
          <w:sz w:val="18"/>
        </w:rPr>
        <w:t> </w:t>
      </w:r>
      <w:r>
        <w:rPr>
          <w:sz w:val="18"/>
        </w:rPr>
        <w:t>been</w:t>
      </w:r>
      <w:r>
        <w:rPr>
          <w:spacing w:val="-4"/>
          <w:sz w:val="18"/>
        </w:rPr>
        <w:t> </w:t>
      </w:r>
      <w:r>
        <w:rPr>
          <w:sz w:val="18"/>
        </w:rPr>
        <w:t>some</w:t>
      </w:r>
      <w:r>
        <w:rPr>
          <w:spacing w:val="-5"/>
          <w:sz w:val="18"/>
        </w:rPr>
        <w:t> </w:t>
      </w:r>
      <w:r>
        <w:rPr>
          <w:sz w:val="18"/>
        </w:rPr>
        <w:t>indication</w:t>
      </w:r>
      <w:r>
        <w:rPr>
          <w:spacing w:val="-5"/>
          <w:sz w:val="18"/>
        </w:rPr>
        <w:t> </w:t>
      </w:r>
      <w:r>
        <w:rPr>
          <w:sz w:val="18"/>
        </w:rPr>
        <w:t>of</w:t>
      </w:r>
      <w:r>
        <w:rPr>
          <w:spacing w:val="-4"/>
          <w:sz w:val="18"/>
        </w:rPr>
        <w:t> </w:t>
      </w:r>
      <w:r>
        <w:rPr>
          <w:sz w:val="18"/>
        </w:rPr>
        <w:t>a</w:t>
      </w:r>
      <w:r>
        <w:rPr>
          <w:spacing w:val="-5"/>
          <w:sz w:val="18"/>
        </w:rPr>
        <w:t> </w:t>
      </w:r>
      <w:r>
        <w:rPr>
          <w:sz w:val="18"/>
        </w:rPr>
        <w:t>recent</w:t>
      </w:r>
      <w:r>
        <w:rPr>
          <w:spacing w:val="-5"/>
          <w:sz w:val="18"/>
        </w:rPr>
        <w:t> </w:t>
      </w:r>
      <w:r>
        <w:rPr>
          <w:sz w:val="18"/>
        </w:rPr>
        <w:t>increase</w:t>
      </w:r>
      <w:r>
        <w:rPr>
          <w:spacing w:val="-4"/>
          <w:sz w:val="18"/>
        </w:rPr>
        <w:t> </w:t>
      </w:r>
      <w:r>
        <w:rPr>
          <w:sz w:val="18"/>
        </w:rPr>
        <w:t>in</w:t>
      </w:r>
      <w:r>
        <w:rPr>
          <w:spacing w:val="-5"/>
          <w:sz w:val="18"/>
        </w:rPr>
        <w:t> </w:t>
      </w:r>
      <w:r>
        <w:rPr>
          <w:sz w:val="18"/>
        </w:rPr>
        <w:t>output</w:t>
      </w:r>
      <w:r>
        <w:rPr>
          <w:spacing w:val="-5"/>
          <w:sz w:val="18"/>
        </w:rPr>
        <w:t> </w:t>
      </w:r>
      <w:r>
        <w:rPr>
          <w:sz w:val="18"/>
        </w:rPr>
        <w:t>price pressures.</w:t>
      </w:r>
    </w:p>
    <w:p>
      <w:pPr>
        <w:pStyle w:val="BodyText"/>
        <w:rPr>
          <w:sz w:val="17"/>
        </w:rPr>
      </w:pPr>
    </w:p>
    <w:p>
      <w:pPr>
        <w:pStyle w:val="ListParagraph"/>
        <w:numPr>
          <w:ilvl w:val="0"/>
          <w:numId w:val="49"/>
        </w:numPr>
        <w:tabs>
          <w:tab w:pos="659" w:val="left" w:leader="none"/>
          <w:tab w:pos="660" w:val="left" w:leader="none"/>
        </w:tabs>
        <w:spacing w:line="232" w:lineRule="auto" w:before="0" w:after="0"/>
        <w:ind w:left="180" w:right="201" w:firstLine="0"/>
        <w:jc w:val="left"/>
        <w:rPr>
          <w:sz w:val="18"/>
        </w:rPr>
      </w:pPr>
      <w:r>
        <w:rPr>
          <w:sz w:val="18"/>
        </w:rPr>
        <w:t>House price growth appeared to have slowed further in most regions. In the southern regions, where inflation had slowed markedly</w:t>
      </w:r>
      <w:r>
        <w:rPr>
          <w:spacing w:val="-6"/>
          <w:sz w:val="18"/>
        </w:rPr>
        <w:t> </w:t>
      </w:r>
      <w:r>
        <w:rPr>
          <w:sz w:val="18"/>
        </w:rPr>
        <w:t>recently,</w:t>
      </w:r>
      <w:r>
        <w:rPr>
          <w:spacing w:val="-5"/>
          <w:sz w:val="18"/>
        </w:rPr>
        <w:t> </w:t>
      </w:r>
      <w:r>
        <w:rPr>
          <w:sz w:val="18"/>
        </w:rPr>
        <w:t>there</w:t>
      </w:r>
      <w:r>
        <w:rPr>
          <w:spacing w:val="-5"/>
          <w:sz w:val="18"/>
        </w:rPr>
        <w:t> </w:t>
      </w:r>
      <w:r>
        <w:rPr>
          <w:sz w:val="18"/>
        </w:rPr>
        <w:t>had</w:t>
      </w:r>
      <w:r>
        <w:rPr>
          <w:spacing w:val="-5"/>
          <w:sz w:val="18"/>
        </w:rPr>
        <w:t> </w:t>
      </w:r>
      <w:r>
        <w:rPr>
          <w:sz w:val="18"/>
        </w:rPr>
        <w:t>been</w:t>
      </w:r>
      <w:r>
        <w:rPr>
          <w:spacing w:val="-6"/>
          <w:sz w:val="18"/>
        </w:rPr>
        <w:t> </w:t>
      </w:r>
      <w:r>
        <w:rPr>
          <w:sz w:val="18"/>
        </w:rPr>
        <w:t>reports</w:t>
      </w:r>
      <w:r>
        <w:rPr>
          <w:spacing w:val="-5"/>
          <w:sz w:val="18"/>
        </w:rPr>
        <w:t> </w:t>
      </w:r>
      <w:r>
        <w:rPr>
          <w:sz w:val="18"/>
        </w:rPr>
        <w:t>of</w:t>
      </w:r>
      <w:r>
        <w:rPr>
          <w:spacing w:val="-5"/>
          <w:sz w:val="18"/>
        </w:rPr>
        <w:t> </w:t>
      </w:r>
      <w:r>
        <w:rPr>
          <w:sz w:val="18"/>
        </w:rPr>
        <w:t>some</w:t>
      </w:r>
      <w:r>
        <w:rPr>
          <w:spacing w:val="-5"/>
          <w:sz w:val="18"/>
        </w:rPr>
        <w:t> </w:t>
      </w:r>
      <w:r>
        <w:rPr>
          <w:sz w:val="18"/>
        </w:rPr>
        <w:t>small</w:t>
      </w:r>
      <w:r>
        <w:rPr>
          <w:spacing w:val="-6"/>
          <w:sz w:val="18"/>
        </w:rPr>
        <w:t> </w:t>
      </w:r>
      <w:r>
        <w:rPr>
          <w:sz w:val="18"/>
        </w:rPr>
        <w:t>price</w:t>
      </w:r>
      <w:r>
        <w:rPr>
          <w:spacing w:val="-5"/>
          <w:sz w:val="18"/>
        </w:rPr>
        <w:t> </w:t>
      </w:r>
      <w:r>
        <w:rPr>
          <w:sz w:val="18"/>
        </w:rPr>
        <w:t>falls.</w:t>
      </w:r>
    </w:p>
    <w:p>
      <w:pPr>
        <w:pStyle w:val="BodyText"/>
        <w:spacing w:before="2"/>
        <w:rPr>
          <w:sz w:val="17"/>
        </w:rPr>
      </w:pPr>
    </w:p>
    <w:p>
      <w:pPr>
        <w:pStyle w:val="ListParagraph"/>
        <w:numPr>
          <w:ilvl w:val="0"/>
          <w:numId w:val="49"/>
        </w:numPr>
        <w:tabs>
          <w:tab w:pos="659" w:val="left" w:leader="none"/>
          <w:tab w:pos="660" w:val="left" w:leader="none"/>
        </w:tabs>
        <w:spacing w:line="232" w:lineRule="auto" w:before="0" w:after="0"/>
        <w:ind w:left="180" w:right="176" w:firstLine="0"/>
        <w:jc w:val="left"/>
        <w:rPr>
          <w:sz w:val="18"/>
        </w:rPr>
      </w:pPr>
      <w:r>
        <w:rPr>
          <w:sz w:val="18"/>
        </w:rPr>
        <w:t>The labour market picture had remained similar to recent months. Although little change to recent settlements had been reported, there had been an increase in the number of contacts indicating that negotiations had become more difficult to resolve recently. In some cases employees had reportedly reacted to higher petrol prices and tax increases. Pressures on the total pay bill had continued to increase in the construction and service</w:t>
      </w:r>
      <w:r>
        <w:rPr>
          <w:spacing w:val="-26"/>
          <w:sz w:val="18"/>
        </w:rPr>
        <w:t> </w:t>
      </w:r>
      <w:r>
        <w:rPr>
          <w:sz w:val="18"/>
        </w:rPr>
        <w:t>sectors.</w:t>
      </w:r>
    </w:p>
    <w:p>
      <w:pPr>
        <w:pStyle w:val="BodyText"/>
        <w:spacing w:before="11"/>
        <w:rPr>
          <w:sz w:val="16"/>
        </w:rPr>
      </w:pPr>
    </w:p>
    <w:p>
      <w:pPr>
        <w:pStyle w:val="ListParagraph"/>
        <w:numPr>
          <w:ilvl w:val="0"/>
          <w:numId w:val="49"/>
        </w:numPr>
        <w:tabs>
          <w:tab w:pos="659" w:val="left" w:leader="none"/>
          <w:tab w:pos="660" w:val="left" w:leader="none"/>
        </w:tabs>
        <w:spacing w:line="232" w:lineRule="auto" w:before="0" w:after="0"/>
        <w:ind w:left="180" w:right="195" w:firstLine="0"/>
        <w:jc w:val="left"/>
        <w:rPr>
          <w:sz w:val="18"/>
        </w:rPr>
      </w:pPr>
      <w:r>
        <w:rPr>
          <w:sz w:val="18"/>
        </w:rPr>
        <w:t>The Agents had conducted a survey of UK firms regarding the pace of consumer spending in recent months. The results had shown that more than half of those firms surveyed in the retail goods, service and motor vehicle sectors reported that recent sales value growth had been lower than expected. Motor vehicle sales had been the weakest relative to expectations. Reasons for the lower-than-expected outturn had included some temporary factors (such as poor weather), but had also indicated some weakness in consumer demand. For motor vehicles, the key factor had been the impact uncertainty surrounding the review of UK car prices. Firms had also been asked about their expectations for annual sales value growth over the next three months. On balance, the results of the Agents’ survey had suggested very little change to the current pace of growth. Car dealers were expecting competition issues to be resolved in the near</w:t>
      </w:r>
      <w:r>
        <w:rPr>
          <w:spacing w:val="-6"/>
          <w:sz w:val="18"/>
        </w:rPr>
        <w:t> </w:t>
      </w:r>
      <w:r>
        <w:rPr>
          <w:sz w:val="18"/>
        </w:rPr>
        <w:t>future.</w:t>
      </w:r>
    </w:p>
    <w:p>
      <w:pPr>
        <w:pStyle w:val="BodyText"/>
        <w:spacing w:before="4"/>
        <w:rPr>
          <w:sz w:val="16"/>
        </w:rPr>
      </w:pPr>
    </w:p>
    <w:p>
      <w:pPr>
        <w:pStyle w:val="ListParagraph"/>
        <w:numPr>
          <w:ilvl w:val="0"/>
          <w:numId w:val="49"/>
        </w:numPr>
        <w:tabs>
          <w:tab w:pos="659" w:val="left" w:leader="none"/>
          <w:tab w:pos="660" w:val="left" w:leader="none"/>
        </w:tabs>
        <w:spacing w:line="232" w:lineRule="auto" w:before="0" w:after="0"/>
        <w:ind w:left="180" w:right="370" w:firstLine="0"/>
        <w:jc w:val="left"/>
        <w:rPr>
          <w:sz w:val="18"/>
        </w:rPr>
      </w:pPr>
      <w:r>
        <w:rPr>
          <w:sz w:val="18"/>
        </w:rPr>
        <w:t>Firms had also been asked about recent price discounting relative to a year ago. Over half of the respondents reported that the extent of summer ‘sales’ this year was slightly greater or significantly greater than last year. This was particularly evident for motor vehicles, but also for retail</w:t>
      </w:r>
      <w:r>
        <w:rPr>
          <w:spacing w:val="-13"/>
          <w:sz w:val="18"/>
        </w:rPr>
        <w:t> </w:t>
      </w:r>
      <w:r>
        <w:rPr>
          <w:sz w:val="18"/>
        </w:rPr>
        <w:t>goods.</w:t>
      </w:r>
    </w:p>
    <w:p>
      <w:pPr>
        <w:pStyle w:val="BodyText"/>
        <w:spacing w:before="4"/>
        <w:rPr>
          <w:sz w:val="20"/>
        </w:rPr>
      </w:pPr>
    </w:p>
    <w:p>
      <w:pPr>
        <w:pStyle w:val="ListParagraph"/>
        <w:numPr>
          <w:ilvl w:val="1"/>
          <w:numId w:val="48"/>
        </w:numPr>
        <w:tabs>
          <w:tab w:pos="661" w:val="left" w:leader="none"/>
        </w:tabs>
        <w:spacing w:line="240" w:lineRule="auto" w:before="0" w:after="0"/>
        <w:ind w:left="660" w:right="0" w:hanging="481"/>
        <w:jc w:val="left"/>
        <w:rPr>
          <w:b/>
          <w:sz w:val="22"/>
        </w:rPr>
      </w:pPr>
      <w:r>
        <w:rPr>
          <w:b/>
          <w:color w:val="009391"/>
          <w:sz w:val="22"/>
        </w:rPr>
        <w:t>Market</w:t>
      </w:r>
      <w:r>
        <w:rPr>
          <w:b/>
          <w:color w:val="009391"/>
          <w:spacing w:val="-2"/>
          <w:sz w:val="22"/>
        </w:rPr>
        <w:t> </w:t>
      </w:r>
      <w:r>
        <w:rPr>
          <w:b/>
          <w:color w:val="009391"/>
          <w:sz w:val="22"/>
        </w:rPr>
        <w:t>intelligence</w:t>
      </w:r>
    </w:p>
    <w:p>
      <w:pPr>
        <w:pStyle w:val="ListParagraph"/>
        <w:numPr>
          <w:ilvl w:val="0"/>
          <w:numId w:val="49"/>
        </w:numPr>
        <w:tabs>
          <w:tab w:pos="659" w:val="left" w:leader="none"/>
          <w:tab w:pos="660" w:val="left" w:leader="none"/>
        </w:tabs>
        <w:spacing w:line="232" w:lineRule="auto" w:before="130" w:after="0"/>
        <w:ind w:left="180" w:right="140" w:firstLine="0"/>
        <w:jc w:val="left"/>
        <w:rPr>
          <w:sz w:val="18"/>
        </w:rPr>
      </w:pPr>
      <w:r>
        <w:rPr>
          <w:sz w:val="18"/>
        </w:rPr>
        <w:t>Market participants’ expectations of official UK interest rates had risen slightly since the July MPC meeting. Two-week forward</w:t>
      </w:r>
      <w:r>
        <w:rPr>
          <w:spacing w:val="-5"/>
          <w:sz w:val="18"/>
        </w:rPr>
        <w:t> </w:t>
      </w:r>
      <w:r>
        <w:rPr>
          <w:sz w:val="18"/>
        </w:rPr>
        <w:t>rates</w:t>
      </w:r>
      <w:r>
        <w:rPr>
          <w:spacing w:val="-4"/>
          <w:sz w:val="18"/>
        </w:rPr>
        <w:t> </w:t>
      </w:r>
      <w:r>
        <w:rPr>
          <w:sz w:val="18"/>
        </w:rPr>
        <w:t>derived</w:t>
      </w:r>
      <w:r>
        <w:rPr>
          <w:spacing w:val="-4"/>
          <w:sz w:val="18"/>
        </w:rPr>
        <w:t> </w:t>
      </w:r>
      <w:r>
        <w:rPr>
          <w:sz w:val="18"/>
        </w:rPr>
        <w:t>from</w:t>
      </w:r>
      <w:r>
        <w:rPr>
          <w:spacing w:val="-5"/>
          <w:sz w:val="18"/>
        </w:rPr>
        <w:t> </w:t>
      </w:r>
      <w:r>
        <w:rPr>
          <w:sz w:val="18"/>
        </w:rPr>
        <w:t>the</w:t>
      </w:r>
      <w:r>
        <w:rPr>
          <w:spacing w:val="-4"/>
          <w:sz w:val="18"/>
        </w:rPr>
        <w:t> </w:t>
      </w:r>
      <w:r>
        <w:rPr>
          <w:sz w:val="18"/>
        </w:rPr>
        <w:t>gilt</w:t>
      </w:r>
      <w:r>
        <w:rPr>
          <w:spacing w:val="-4"/>
          <w:sz w:val="18"/>
        </w:rPr>
        <w:t> </w:t>
      </w:r>
      <w:r>
        <w:rPr>
          <w:sz w:val="18"/>
        </w:rPr>
        <w:t>market</w:t>
      </w:r>
      <w:r>
        <w:rPr>
          <w:spacing w:val="-5"/>
          <w:sz w:val="18"/>
        </w:rPr>
        <w:t> </w:t>
      </w:r>
      <w:r>
        <w:rPr>
          <w:sz w:val="18"/>
        </w:rPr>
        <w:t>had</w:t>
      </w:r>
      <w:r>
        <w:rPr>
          <w:spacing w:val="-4"/>
          <w:sz w:val="18"/>
        </w:rPr>
        <w:t> </w:t>
      </w:r>
      <w:r>
        <w:rPr>
          <w:sz w:val="18"/>
        </w:rPr>
        <w:t>risen</w:t>
      </w:r>
      <w:r>
        <w:rPr>
          <w:spacing w:val="-4"/>
          <w:sz w:val="18"/>
        </w:rPr>
        <w:t> </w:t>
      </w:r>
      <w:r>
        <w:rPr>
          <w:sz w:val="18"/>
        </w:rPr>
        <w:t>by</w:t>
      </w:r>
      <w:r>
        <w:rPr>
          <w:spacing w:val="-5"/>
          <w:sz w:val="18"/>
        </w:rPr>
        <w:t> </w:t>
      </w:r>
      <w:r>
        <w:rPr>
          <w:sz w:val="18"/>
        </w:rPr>
        <w:t>up</w:t>
      </w:r>
      <w:r>
        <w:rPr>
          <w:spacing w:val="-4"/>
          <w:sz w:val="18"/>
        </w:rPr>
        <w:t> </w:t>
      </w:r>
      <w:r>
        <w:rPr>
          <w:sz w:val="18"/>
        </w:rPr>
        <w:t>to</w:t>
      </w:r>
      <w:r>
        <w:rPr>
          <w:spacing w:val="-4"/>
          <w:sz w:val="18"/>
        </w:rPr>
        <w:t> </w:t>
      </w:r>
      <w:r>
        <w:rPr>
          <w:sz w:val="18"/>
        </w:rPr>
        <w:t>around 15 basis points at the 1–2 year maturity. The majority of those polled in the latest Reuters poll of City economists thought that the MPC would not raise rates in August, but the poll had shown a mean</w:t>
      </w:r>
      <w:r>
        <w:rPr>
          <w:spacing w:val="-4"/>
          <w:sz w:val="18"/>
        </w:rPr>
        <w:t> </w:t>
      </w:r>
      <w:r>
        <w:rPr>
          <w:sz w:val="18"/>
        </w:rPr>
        <w:t>expectation</w:t>
      </w:r>
      <w:r>
        <w:rPr>
          <w:spacing w:val="-4"/>
          <w:sz w:val="18"/>
        </w:rPr>
        <w:t> </w:t>
      </w:r>
      <w:r>
        <w:rPr>
          <w:sz w:val="18"/>
        </w:rPr>
        <w:t>that</w:t>
      </w:r>
      <w:r>
        <w:rPr>
          <w:spacing w:val="-4"/>
          <w:sz w:val="18"/>
        </w:rPr>
        <w:t> </w:t>
      </w:r>
      <w:r>
        <w:rPr>
          <w:sz w:val="18"/>
        </w:rPr>
        <w:t>rates</w:t>
      </w:r>
      <w:r>
        <w:rPr>
          <w:spacing w:val="-4"/>
          <w:sz w:val="18"/>
        </w:rPr>
        <w:t> </w:t>
      </w:r>
      <w:r>
        <w:rPr>
          <w:sz w:val="18"/>
        </w:rPr>
        <w:t>would</w:t>
      </w:r>
      <w:r>
        <w:rPr>
          <w:spacing w:val="-3"/>
          <w:sz w:val="18"/>
        </w:rPr>
        <w:t> </w:t>
      </w:r>
      <w:r>
        <w:rPr>
          <w:sz w:val="18"/>
        </w:rPr>
        <w:t>be</w:t>
      </w:r>
      <w:r>
        <w:rPr>
          <w:spacing w:val="-4"/>
          <w:sz w:val="18"/>
        </w:rPr>
        <w:t> </w:t>
      </w:r>
      <w:r>
        <w:rPr>
          <w:sz w:val="18"/>
        </w:rPr>
        <w:t>at</w:t>
      </w:r>
      <w:r>
        <w:rPr>
          <w:spacing w:val="-4"/>
          <w:sz w:val="18"/>
        </w:rPr>
        <w:t> </w:t>
      </w:r>
      <w:r>
        <w:rPr>
          <w:sz w:val="18"/>
        </w:rPr>
        <w:t>or</w:t>
      </w:r>
      <w:r>
        <w:rPr>
          <w:spacing w:val="-4"/>
          <w:sz w:val="18"/>
        </w:rPr>
        <w:t> </w:t>
      </w:r>
      <w:r>
        <w:rPr>
          <w:sz w:val="18"/>
        </w:rPr>
        <w:t>above</w:t>
      </w:r>
      <w:r>
        <w:rPr>
          <w:spacing w:val="-4"/>
          <w:sz w:val="18"/>
        </w:rPr>
        <w:t> </w:t>
      </w:r>
      <w:r>
        <w:rPr>
          <w:sz w:val="18"/>
        </w:rPr>
        <w:t>6</w:t>
      </w:r>
      <w:r>
        <w:rPr>
          <w:position w:val="6"/>
          <w:sz w:val="9"/>
        </w:rPr>
        <w:t>1</w:t>
      </w:r>
      <w:r>
        <w:rPr>
          <w:sz w:val="18"/>
        </w:rPr>
        <w:t>/</w:t>
      </w:r>
      <w:r>
        <w:rPr>
          <w:sz w:val="9"/>
        </w:rPr>
        <w:t>4</w:t>
      </w:r>
      <w:r>
        <w:rPr>
          <w:sz w:val="18"/>
        </w:rPr>
        <w:t>%</w:t>
      </w:r>
      <w:r>
        <w:rPr>
          <w:spacing w:val="-3"/>
          <w:sz w:val="18"/>
        </w:rPr>
        <w:t> </w:t>
      </w:r>
      <w:r>
        <w:rPr>
          <w:sz w:val="18"/>
        </w:rPr>
        <w:t>by</w:t>
      </w:r>
      <w:r>
        <w:rPr>
          <w:spacing w:val="-4"/>
          <w:sz w:val="18"/>
        </w:rPr>
        <w:t> </w:t>
      </w:r>
      <w:r>
        <w:rPr>
          <w:sz w:val="18"/>
        </w:rPr>
        <w:t>year</w:t>
      </w:r>
      <w:r>
        <w:rPr>
          <w:spacing w:val="-4"/>
          <w:sz w:val="18"/>
        </w:rPr>
        <w:t> </w:t>
      </w:r>
      <w:r>
        <w:rPr>
          <w:sz w:val="18"/>
        </w:rPr>
        <w:t>end.</w:t>
      </w:r>
    </w:p>
    <w:p>
      <w:pPr>
        <w:spacing w:after="0" w:line="232" w:lineRule="auto"/>
        <w:jc w:val="left"/>
        <w:rPr>
          <w:sz w:val="18"/>
        </w:rPr>
        <w:sectPr>
          <w:type w:val="continuous"/>
          <w:pgSz w:w="11900" w:h="16840"/>
          <w:pgMar w:top="1260" w:bottom="280" w:left="640" w:right="640"/>
          <w:cols w:num="2" w:equalWidth="0">
            <w:col w:w="5118" w:space="272"/>
            <w:col w:w="5230"/>
          </w:cols>
        </w:sectPr>
      </w:pPr>
    </w:p>
    <w:p>
      <w:pPr>
        <w:pStyle w:val="BodyText"/>
        <w:rPr>
          <w:sz w:val="20"/>
        </w:rPr>
      </w:pPr>
    </w:p>
    <w:p>
      <w:pPr>
        <w:pStyle w:val="BodyText"/>
        <w:rPr>
          <w:sz w:val="20"/>
        </w:rPr>
      </w:pPr>
    </w:p>
    <w:p>
      <w:pPr>
        <w:pStyle w:val="BodyText"/>
        <w:rPr>
          <w:sz w:val="21"/>
        </w:rPr>
      </w:pPr>
    </w:p>
    <w:p>
      <w:pPr>
        <w:pStyle w:val="Heading3"/>
        <w:spacing w:before="87"/>
        <w:ind w:left="169"/>
      </w:pPr>
      <w:bookmarkStart w:name="September minutes" w:id="91"/>
      <w:bookmarkEnd w:id="91"/>
      <w:r>
        <w:rPr>
          <w:b w:val="0"/>
        </w:rPr>
      </w:r>
      <w:bookmarkStart w:name="_bookmark41" w:id="92"/>
      <w:bookmarkEnd w:id="92"/>
      <w:r>
        <w:rPr>
          <w:b w:val="0"/>
        </w:rPr>
      </w:r>
      <w:r>
        <w:rPr>
          <w:color w:val="009391"/>
        </w:rPr>
        <w:t>Minutes of the Monetary Policy Committee meeting on 6–7 September</w:t>
      </w:r>
      <w:r>
        <w:rPr>
          <w:color w:val="009391"/>
          <w:spacing w:val="-55"/>
        </w:rPr>
        <w:t> </w:t>
      </w:r>
      <w:r>
        <w:rPr>
          <w:color w:val="009391"/>
        </w:rPr>
        <w:t>2000</w:t>
      </w:r>
    </w:p>
    <w:p>
      <w:pPr>
        <w:pStyle w:val="BodyText"/>
        <w:rPr>
          <w:b/>
          <w:sz w:val="28"/>
        </w:rPr>
      </w:pPr>
    </w:p>
    <w:p>
      <w:pPr>
        <w:spacing w:after="0"/>
        <w:rPr>
          <w:sz w:val="28"/>
        </w:rPr>
        <w:sectPr>
          <w:pgSz w:w="11900" w:h="16840"/>
          <w:pgMar w:header="566" w:footer="597" w:top="760" w:bottom="780" w:left="640" w:right="640"/>
        </w:sectPr>
      </w:pPr>
    </w:p>
    <w:p>
      <w:pPr>
        <w:pStyle w:val="ListParagraph"/>
        <w:numPr>
          <w:ilvl w:val="0"/>
          <w:numId w:val="51"/>
        </w:numPr>
        <w:tabs>
          <w:tab w:pos="654" w:val="left" w:leader="none"/>
          <w:tab w:pos="655" w:val="left" w:leader="none"/>
        </w:tabs>
        <w:spacing w:line="232" w:lineRule="auto" w:before="98" w:after="0"/>
        <w:ind w:left="174" w:right="182" w:firstLine="0"/>
        <w:jc w:val="left"/>
        <w:rPr>
          <w:sz w:val="18"/>
        </w:rPr>
      </w:pPr>
      <w:r>
        <w:rPr>
          <w:sz w:val="18"/>
        </w:rPr>
        <w:t>Before turning to its immediate policy decision, the Committee discussed demand and output; the world economy; money, credit and asset prices; the labour market; and prices and costs.</w:t>
      </w:r>
    </w:p>
    <w:p>
      <w:pPr>
        <w:pStyle w:val="BodyText"/>
        <w:spacing w:before="4"/>
        <w:rPr>
          <w:sz w:val="20"/>
        </w:rPr>
      </w:pPr>
    </w:p>
    <w:p>
      <w:pPr>
        <w:spacing w:before="0"/>
        <w:ind w:left="174" w:right="0" w:firstLine="0"/>
        <w:jc w:val="left"/>
        <w:rPr>
          <w:b/>
          <w:sz w:val="22"/>
        </w:rPr>
      </w:pPr>
      <w:r>
        <w:rPr>
          <w:b/>
          <w:color w:val="009391"/>
          <w:sz w:val="22"/>
        </w:rPr>
        <w:t>Demand and output</w:t>
      </w:r>
    </w:p>
    <w:p>
      <w:pPr>
        <w:pStyle w:val="ListParagraph"/>
        <w:numPr>
          <w:ilvl w:val="0"/>
          <w:numId w:val="51"/>
        </w:numPr>
        <w:tabs>
          <w:tab w:pos="654" w:val="left" w:leader="none"/>
          <w:tab w:pos="655" w:val="left" w:leader="none"/>
        </w:tabs>
        <w:spacing w:line="232" w:lineRule="auto" w:before="130" w:after="0"/>
        <w:ind w:left="174" w:right="202" w:firstLine="0"/>
        <w:jc w:val="left"/>
        <w:rPr>
          <w:sz w:val="18"/>
        </w:rPr>
      </w:pPr>
      <w:r>
        <w:rPr>
          <w:sz w:val="18"/>
        </w:rPr>
        <w:t>According to the latest estimate, GDP in Q2 had risen by 0.9% on the quarter, after increasing by 0.5% in Q1. Much of the pick-up reflected rapid growth in the primary sectors of the economy, such as mining and utilities output, following a fall in Q1; if these were excluded, growth in Q2 was at 0.7%, close to the average quarterly growth rate for GDP over the</w:t>
      </w:r>
      <w:r>
        <w:rPr>
          <w:spacing w:val="-22"/>
          <w:sz w:val="18"/>
        </w:rPr>
        <w:t> </w:t>
      </w:r>
      <w:r>
        <w:rPr>
          <w:sz w:val="18"/>
        </w:rPr>
        <w:t>past</w:t>
      </w:r>
    </w:p>
    <w:p>
      <w:pPr>
        <w:spacing w:line="232" w:lineRule="auto" w:before="0"/>
        <w:ind w:left="174" w:right="0" w:firstLine="0"/>
        <w:jc w:val="left"/>
        <w:rPr>
          <w:sz w:val="18"/>
        </w:rPr>
      </w:pPr>
      <w:r>
        <w:rPr>
          <w:sz w:val="18"/>
        </w:rPr>
        <w:t>eighteen months. The National Institute of Economic and Social Research projected GDP growth of 0.8% in the three months to August.</w:t>
      </w:r>
    </w:p>
    <w:p>
      <w:pPr>
        <w:pStyle w:val="BodyText"/>
        <w:spacing w:before="5"/>
        <w:rPr>
          <w:sz w:val="18"/>
        </w:rPr>
      </w:pPr>
    </w:p>
    <w:p>
      <w:pPr>
        <w:pStyle w:val="ListParagraph"/>
        <w:numPr>
          <w:ilvl w:val="0"/>
          <w:numId w:val="51"/>
        </w:numPr>
        <w:tabs>
          <w:tab w:pos="654" w:val="left" w:leader="none"/>
          <w:tab w:pos="655" w:val="left" w:leader="none"/>
        </w:tabs>
        <w:spacing w:line="232" w:lineRule="auto" w:before="1" w:after="0"/>
        <w:ind w:left="174" w:right="42" w:firstLine="0"/>
        <w:jc w:val="left"/>
        <w:rPr>
          <w:sz w:val="18"/>
        </w:rPr>
      </w:pPr>
      <w:r>
        <w:rPr>
          <w:sz w:val="18"/>
        </w:rPr>
        <w:t>The central projection in the August </w:t>
      </w:r>
      <w:r>
        <w:rPr>
          <w:i/>
          <w:sz w:val="18"/>
        </w:rPr>
        <w:t>Inflation Report </w:t>
      </w:r>
      <w:r>
        <w:rPr>
          <w:sz w:val="18"/>
        </w:rPr>
        <w:t>was for consumption growth to moderate from its recent rapid pace. In Q2 household consumption had grown by 0.8%, after an increase of 0.6% the previous quarter; this compared with an average quarterly growth rate of 1.2% during 1999. The question was whether consumption growth would continue to moderate over the forecast period to a little below its long-run average rate, in line with the </w:t>
      </w:r>
      <w:r>
        <w:rPr>
          <w:i/>
          <w:sz w:val="18"/>
        </w:rPr>
        <w:t>Inflation Report</w:t>
      </w:r>
      <w:r>
        <w:rPr>
          <w:i/>
          <w:spacing w:val="-1"/>
          <w:sz w:val="18"/>
        </w:rPr>
        <w:t> </w:t>
      </w:r>
      <w:r>
        <w:rPr>
          <w:sz w:val="18"/>
        </w:rPr>
        <w:t>projections.</w:t>
      </w:r>
    </w:p>
    <w:p>
      <w:pPr>
        <w:pStyle w:val="BodyText"/>
        <w:spacing w:before="6"/>
        <w:rPr>
          <w:sz w:val="18"/>
        </w:rPr>
      </w:pPr>
    </w:p>
    <w:p>
      <w:pPr>
        <w:pStyle w:val="ListParagraph"/>
        <w:numPr>
          <w:ilvl w:val="0"/>
          <w:numId w:val="51"/>
        </w:numPr>
        <w:tabs>
          <w:tab w:pos="654" w:val="left" w:leader="none"/>
          <w:tab w:pos="655" w:val="left" w:leader="none"/>
        </w:tabs>
        <w:spacing w:line="232" w:lineRule="auto" w:before="0" w:after="0"/>
        <w:ind w:left="174" w:right="172" w:firstLine="0"/>
        <w:jc w:val="left"/>
        <w:rPr>
          <w:sz w:val="18"/>
        </w:rPr>
      </w:pPr>
      <w:r>
        <w:rPr>
          <w:sz w:val="18"/>
        </w:rPr>
        <w:t>Retail sales had been flat in volume terms in July, which was consistent with some slowdown in consumption, although sales of clothing and footwear might have been affected by the weather. On a three-month basis volumes were around 4%</w:t>
      </w:r>
      <w:r>
        <w:rPr>
          <w:spacing w:val="-3"/>
          <w:sz w:val="18"/>
        </w:rPr>
        <w:t> </w:t>
      </w:r>
      <w:r>
        <w:rPr>
          <w:sz w:val="18"/>
        </w:rPr>
        <w:t>higher</w:t>
      </w:r>
    </w:p>
    <w:p>
      <w:pPr>
        <w:spacing w:line="232" w:lineRule="auto" w:before="0"/>
        <w:ind w:left="174" w:right="19" w:firstLine="0"/>
        <w:jc w:val="left"/>
        <w:rPr>
          <w:sz w:val="18"/>
        </w:rPr>
      </w:pPr>
      <w:r>
        <w:rPr>
          <w:sz w:val="18"/>
        </w:rPr>
        <w:t>than a year earlier, with growth rates having fallen steadily from the peak seen around the turn of the millennium. The CBI Distributive Trades Survey suggested a slowing in annual retail sales growth in August, and the three-month average balance had now fallen for the past four months, with a broadly similar picture shown by the British Retail Consortium retail sales monitor. But the Distributive Trades survey also reported a less negative balance for motor traders’ sales volumes (although the improvement here might</w:t>
      </w:r>
    </w:p>
    <w:p>
      <w:pPr>
        <w:spacing w:line="232" w:lineRule="auto" w:before="0"/>
        <w:ind w:left="174" w:right="364" w:firstLine="0"/>
        <w:jc w:val="left"/>
        <w:rPr>
          <w:sz w:val="18"/>
        </w:rPr>
      </w:pPr>
      <w:r>
        <w:rPr>
          <w:sz w:val="18"/>
        </w:rPr>
        <w:t>prove temporary) and wholesalers’ volumes were stronger than expected.</w:t>
      </w:r>
    </w:p>
    <w:p>
      <w:pPr>
        <w:pStyle w:val="BodyText"/>
        <w:spacing w:before="2"/>
        <w:rPr>
          <w:sz w:val="18"/>
        </w:rPr>
      </w:pPr>
    </w:p>
    <w:p>
      <w:pPr>
        <w:pStyle w:val="ListParagraph"/>
        <w:numPr>
          <w:ilvl w:val="0"/>
          <w:numId w:val="51"/>
        </w:numPr>
        <w:tabs>
          <w:tab w:pos="654" w:val="left" w:leader="none"/>
          <w:tab w:pos="655" w:val="left" w:leader="none"/>
        </w:tabs>
        <w:spacing w:line="232" w:lineRule="auto" w:before="1" w:after="0"/>
        <w:ind w:left="174" w:right="67" w:firstLine="0"/>
        <w:jc w:val="left"/>
        <w:rPr>
          <w:sz w:val="18"/>
        </w:rPr>
      </w:pPr>
      <w:r>
        <w:rPr>
          <w:sz w:val="18"/>
        </w:rPr>
        <w:t>Most indicators of housing market activity pointed to a moderation of growth in that sector in recent months. The number of particulars delivered and loan approvals had fallen in July, and the House Builders’ Federation net reservations balance had reached its lowest level for almost five years. Net secured lending had also fallen sharply in July, although the Bank’s first estimate of mortgage equity withdrawal in Q2 was for an increase</w:t>
      </w:r>
      <w:r>
        <w:rPr>
          <w:spacing w:val="-22"/>
          <w:sz w:val="18"/>
        </w:rPr>
        <w:t> </w:t>
      </w:r>
      <w:r>
        <w:rPr>
          <w:sz w:val="18"/>
        </w:rPr>
        <w:t>to</w:t>
      </w:r>
    </w:p>
    <w:p>
      <w:pPr>
        <w:spacing w:line="232" w:lineRule="auto" w:before="0"/>
        <w:ind w:left="174" w:right="102" w:firstLine="0"/>
        <w:jc w:val="left"/>
        <w:rPr>
          <w:sz w:val="18"/>
        </w:rPr>
      </w:pPr>
      <w:r>
        <w:rPr>
          <w:sz w:val="18"/>
        </w:rPr>
        <w:t>£3.3 billion, from £2.3 billion in the previous quarter. The latest Halifax and Nationwide house price indices, while continuing to show significant increases on a year earlier, were decelerating; indeed on these measures prices were virtually unchanged between April and August. The slowdown was sharper than had previously been expected, and was no longer confined to London and the South-East. Nevertheless, such a slowdown need not entail slower consumption growth in the near term, particularly if it were to take some time for past increases in housing wealth to feed through into household spending.</w:t>
      </w:r>
    </w:p>
    <w:p>
      <w:pPr>
        <w:pStyle w:val="BodyText"/>
        <w:spacing w:before="11"/>
        <w:rPr>
          <w:sz w:val="17"/>
        </w:rPr>
      </w:pPr>
    </w:p>
    <w:p>
      <w:pPr>
        <w:pStyle w:val="ListParagraph"/>
        <w:numPr>
          <w:ilvl w:val="0"/>
          <w:numId w:val="51"/>
        </w:numPr>
        <w:tabs>
          <w:tab w:pos="654" w:val="left" w:leader="none"/>
          <w:tab w:pos="655" w:val="left" w:leader="none"/>
        </w:tabs>
        <w:spacing w:line="232" w:lineRule="auto" w:before="0" w:after="0"/>
        <w:ind w:left="174" w:right="152" w:firstLine="0"/>
        <w:jc w:val="left"/>
        <w:rPr>
          <w:sz w:val="18"/>
        </w:rPr>
      </w:pPr>
      <w:r>
        <w:rPr>
          <w:sz w:val="18"/>
        </w:rPr>
        <w:t>In the services sector, evidence was more patchy, although services output had risen by 0.9% in Q2. Optimism in consumer services, as measured by the CBI/Deloitte and Touche survey, had fallen between May and August, but optimism in business and professional services had risen slightly; this was consistent with the continuing growth in business services reported by the Bank’s regional</w:t>
      </w:r>
      <w:r>
        <w:rPr>
          <w:spacing w:val="-2"/>
          <w:sz w:val="18"/>
        </w:rPr>
        <w:t> </w:t>
      </w:r>
      <w:r>
        <w:rPr>
          <w:sz w:val="18"/>
        </w:rPr>
        <w:t>Agents.</w:t>
      </w:r>
    </w:p>
    <w:p>
      <w:pPr>
        <w:pStyle w:val="ListParagraph"/>
        <w:numPr>
          <w:ilvl w:val="0"/>
          <w:numId w:val="51"/>
        </w:numPr>
        <w:tabs>
          <w:tab w:pos="654" w:val="left" w:leader="none"/>
          <w:tab w:pos="655" w:val="left" w:leader="none"/>
        </w:tabs>
        <w:spacing w:line="232" w:lineRule="auto" w:before="98" w:after="0"/>
        <w:ind w:left="174" w:right="193" w:firstLine="0"/>
        <w:jc w:val="left"/>
        <w:rPr>
          <w:sz w:val="18"/>
        </w:rPr>
      </w:pPr>
      <w:r>
        <w:rPr>
          <w:spacing w:val="-1"/>
          <w:sz w:val="18"/>
        </w:rPr>
        <w:br w:type="column"/>
      </w:r>
      <w:r>
        <w:rPr>
          <w:sz w:val="18"/>
        </w:rPr>
        <w:t>The underlying determinants of consumption seemed on balance to be a little less buoyant than at the start of the year. Taking the average earnings numbers at face value, labour incomes now appeared to be growing less fast, even though employment growth was somewhat stronger. Both the GfK and MORI consumer</w:t>
      </w:r>
      <w:r>
        <w:rPr>
          <w:spacing w:val="-6"/>
          <w:sz w:val="18"/>
        </w:rPr>
        <w:t> </w:t>
      </w:r>
      <w:r>
        <w:rPr>
          <w:sz w:val="18"/>
        </w:rPr>
        <w:t>confidence</w:t>
      </w:r>
      <w:r>
        <w:rPr>
          <w:spacing w:val="-5"/>
          <w:sz w:val="18"/>
        </w:rPr>
        <w:t> </w:t>
      </w:r>
      <w:r>
        <w:rPr>
          <w:sz w:val="18"/>
        </w:rPr>
        <w:t>measures</w:t>
      </w:r>
      <w:r>
        <w:rPr>
          <w:spacing w:val="-6"/>
          <w:sz w:val="18"/>
        </w:rPr>
        <w:t> </w:t>
      </w:r>
      <w:r>
        <w:rPr>
          <w:sz w:val="18"/>
        </w:rPr>
        <w:t>had</w:t>
      </w:r>
      <w:r>
        <w:rPr>
          <w:spacing w:val="-5"/>
          <w:sz w:val="18"/>
        </w:rPr>
        <w:t> </w:t>
      </w:r>
      <w:r>
        <w:rPr>
          <w:sz w:val="18"/>
        </w:rPr>
        <w:t>risen</w:t>
      </w:r>
      <w:r>
        <w:rPr>
          <w:spacing w:val="-6"/>
          <w:sz w:val="18"/>
        </w:rPr>
        <w:t> </w:t>
      </w:r>
      <w:r>
        <w:rPr>
          <w:sz w:val="18"/>
        </w:rPr>
        <w:t>in</w:t>
      </w:r>
      <w:r>
        <w:rPr>
          <w:spacing w:val="-5"/>
          <w:sz w:val="18"/>
        </w:rPr>
        <w:t> </w:t>
      </w:r>
      <w:r>
        <w:rPr>
          <w:sz w:val="18"/>
        </w:rPr>
        <w:t>August,</w:t>
      </w:r>
      <w:r>
        <w:rPr>
          <w:spacing w:val="-6"/>
          <w:sz w:val="18"/>
        </w:rPr>
        <w:t> </w:t>
      </w:r>
      <w:r>
        <w:rPr>
          <w:sz w:val="18"/>
        </w:rPr>
        <w:t>but</w:t>
      </w:r>
      <w:r>
        <w:rPr>
          <w:spacing w:val="-5"/>
          <w:sz w:val="18"/>
        </w:rPr>
        <w:t> </w:t>
      </w:r>
      <w:r>
        <w:rPr>
          <w:sz w:val="18"/>
        </w:rPr>
        <w:t>were</w:t>
      </w:r>
      <w:r>
        <w:rPr>
          <w:spacing w:val="-6"/>
          <w:sz w:val="18"/>
        </w:rPr>
        <w:t> </w:t>
      </w:r>
      <w:r>
        <w:rPr>
          <w:sz w:val="18"/>
        </w:rPr>
        <w:t>lower than at the start of the year.  Household borrowing was still growing rapidly, but a little less fast than in previous months, and while equity prices were higher than a month ago, the growth in housing wealth had</w:t>
      </w:r>
      <w:r>
        <w:rPr>
          <w:spacing w:val="-4"/>
          <w:sz w:val="18"/>
        </w:rPr>
        <w:t> </w:t>
      </w:r>
      <w:r>
        <w:rPr>
          <w:sz w:val="18"/>
        </w:rPr>
        <w:t>slowed.</w:t>
      </w:r>
    </w:p>
    <w:p>
      <w:pPr>
        <w:pStyle w:val="BodyText"/>
        <w:spacing w:before="5"/>
        <w:rPr>
          <w:sz w:val="18"/>
        </w:rPr>
      </w:pPr>
    </w:p>
    <w:p>
      <w:pPr>
        <w:pStyle w:val="ListParagraph"/>
        <w:numPr>
          <w:ilvl w:val="0"/>
          <w:numId w:val="51"/>
        </w:numPr>
        <w:tabs>
          <w:tab w:pos="654" w:val="left" w:leader="none"/>
          <w:tab w:pos="655" w:val="left" w:leader="none"/>
        </w:tabs>
        <w:spacing w:line="232" w:lineRule="auto" w:before="0" w:after="0"/>
        <w:ind w:left="174" w:right="173" w:firstLine="0"/>
        <w:jc w:val="left"/>
        <w:rPr>
          <w:sz w:val="18"/>
        </w:rPr>
      </w:pPr>
      <w:r>
        <w:rPr>
          <w:sz w:val="18"/>
        </w:rPr>
        <w:t>The other components of GDP in Q2 were rather mixed. Investment growth was relatively weak, after a fall in the previous quarter: while services investment had recovered a little and investment by general government had risen strongly, manufacturing investment had fallen back. Government consumption in Q2 had also grown rapidly, both in real and nominal terms, having earlier been surprisingly weak; such an acceleration</w:t>
      </w:r>
      <w:r>
        <w:rPr>
          <w:spacing w:val="-6"/>
          <w:sz w:val="18"/>
        </w:rPr>
        <w:t> </w:t>
      </w:r>
      <w:r>
        <w:rPr>
          <w:sz w:val="18"/>
        </w:rPr>
        <w:t>in</w:t>
      </w:r>
      <w:r>
        <w:rPr>
          <w:spacing w:val="-5"/>
          <w:sz w:val="18"/>
        </w:rPr>
        <w:t> </w:t>
      </w:r>
      <w:r>
        <w:rPr>
          <w:sz w:val="18"/>
        </w:rPr>
        <w:t>spending</w:t>
      </w:r>
      <w:r>
        <w:rPr>
          <w:spacing w:val="-5"/>
          <w:sz w:val="18"/>
        </w:rPr>
        <w:t> </w:t>
      </w:r>
      <w:r>
        <w:rPr>
          <w:sz w:val="18"/>
        </w:rPr>
        <w:t>had</w:t>
      </w:r>
      <w:r>
        <w:rPr>
          <w:spacing w:val="-5"/>
          <w:sz w:val="18"/>
        </w:rPr>
        <w:t> </w:t>
      </w:r>
      <w:r>
        <w:rPr>
          <w:sz w:val="18"/>
        </w:rPr>
        <w:t>been</w:t>
      </w:r>
      <w:r>
        <w:rPr>
          <w:spacing w:val="-5"/>
          <w:sz w:val="18"/>
        </w:rPr>
        <w:t> </w:t>
      </w:r>
      <w:r>
        <w:rPr>
          <w:sz w:val="18"/>
        </w:rPr>
        <w:t>foreshadowed</w:t>
      </w:r>
      <w:r>
        <w:rPr>
          <w:spacing w:val="-5"/>
          <w:sz w:val="18"/>
        </w:rPr>
        <w:t> </w:t>
      </w:r>
      <w:r>
        <w:rPr>
          <w:sz w:val="18"/>
        </w:rPr>
        <w:t>in</w:t>
      </w:r>
      <w:r>
        <w:rPr>
          <w:spacing w:val="-6"/>
          <w:sz w:val="18"/>
        </w:rPr>
        <w:t> </w:t>
      </w:r>
      <w:r>
        <w:rPr>
          <w:sz w:val="18"/>
        </w:rPr>
        <w:t>the</w:t>
      </w:r>
      <w:r>
        <w:rPr>
          <w:spacing w:val="-5"/>
          <w:sz w:val="18"/>
        </w:rPr>
        <w:t> </w:t>
      </w:r>
      <w:r>
        <w:rPr>
          <w:sz w:val="18"/>
        </w:rPr>
        <w:t>plans</w:t>
      </w:r>
      <w:r>
        <w:rPr>
          <w:spacing w:val="-5"/>
          <w:sz w:val="18"/>
        </w:rPr>
        <w:t> </w:t>
      </w:r>
      <w:r>
        <w:rPr>
          <w:sz w:val="18"/>
        </w:rPr>
        <w:t>set</w:t>
      </w:r>
      <w:r>
        <w:rPr>
          <w:spacing w:val="-5"/>
          <w:sz w:val="18"/>
        </w:rPr>
        <w:t> </w:t>
      </w:r>
      <w:r>
        <w:rPr>
          <w:sz w:val="18"/>
        </w:rPr>
        <w:t>out in the Budget, but the numbers were erratic and it was too soon to draw firm conclusions from them. The same applied to the estimates for stockbuilding, which included an alignment adjustment and which at present did not show any contribution to growth during the quarter. The net trade position was also little changed in Q2, with export volumes aided by the rapid growth in world</w:t>
      </w:r>
      <w:r>
        <w:rPr>
          <w:spacing w:val="-2"/>
          <w:sz w:val="18"/>
        </w:rPr>
        <w:t> </w:t>
      </w:r>
      <w:r>
        <w:rPr>
          <w:sz w:val="18"/>
        </w:rPr>
        <w:t>demand.</w:t>
      </w:r>
    </w:p>
    <w:p>
      <w:pPr>
        <w:pStyle w:val="BodyText"/>
        <w:spacing w:before="4"/>
        <w:rPr>
          <w:sz w:val="16"/>
        </w:rPr>
      </w:pPr>
    </w:p>
    <w:p>
      <w:pPr>
        <w:pStyle w:val="ListParagraph"/>
        <w:numPr>
          <w:ilvl w:val="0"/>
          <w:numId w:val="51"/>
        </w:numPr>
        <w:tabs>
          <w:tab w:pos="654" w:val="left" w:leader="none"/>
          <w:tab w:pos="655" w:val="left" w:leader="none"/>
        </w:tabs>
        <w:spacing w:line="232" w:lineRule="auto" w:before="0" w:after="0"/>
        <w:ind w:left="174" w:right="187" w:firstLine="0"/>
        <w:jc w:val="left"/>
        <w:rPr>
          <w:sz w:val="18"/>
        </w:rPr>
      </w:pPr>
      <w:r>
        <w:rPr>
          <w:sz w:val="18"/>
        </w:rPr>
        <w:t>Survey evidence from the Chartered Institute of Purchasing and</w:t>
      </w:r>
      <w:r>
        <w:rPr>
          <w:spacing w:val="-6"/>
          <w:sz w:val="18"/>
        </w:rPr>
        <w:t> </w:t>
      </w:r>
      <w:r>
        <w:rPr>
          <w:sz w:val="18"/>
        </w:rPr>
        <w:t>Supply</w:t>
      </w:r>
      <w:r>
        <w:rPr>
          <w:spacing w:val="-6"/>
          <w:sz w:val="18"/>
        </w:rPr>
        <w:t> </w:t>
      </w:r>
      <w:r>
        <w:rPr>
          <w:sz w:val="18"/>
        </w:rPr>
        <w:t>(CIPS)</w:t>
      </w:r>
      <w:r>
        <w:rPr>
          <w:spacing w:val="-5"/>
          <w:sz w:val="18"/>
        </w:rPr>
        <w:t> </w:t>
      </w:r>
      <w:r>
        <w:rPr>
          <w:sz w:val="18"/>
        </w:rPr>
        <w:t>was</w:t>
      </w:r>
      <w:r>
        <w:rPr>
          <w:spacing w:val="-6"/>
          <w:sz w:val="18"/>
        </w:rPr>
        <w:t> </w:t>
      </w:r>
      <w:r>
        <w:rPr>
          <w:sz w:val="18"/>
        </w:rPr>
        <w:t>consistent</w:t>
      </w:r>
      <w:r>
        <w:rPr>
          <w:spacing w:val="-5"/>
          <w:sz w:val="18"/>
        </w:rPr>
        <w:t> </w:t>
      </w:r>
      <w:r>
        <w:rPr>
          <w:sz w:val="18"/>
        </w:rPr>
        <w:t>with</w:t>
      </w:r>
      <w:r>
        <w:rPr>
          <w:spacing w:val="-6"/>
          <w:sz w:val="18"/>
        </w:rPr>
        <w:t> </w:t>
      </w:r>
      <w:r>
        <w:rPr>
          <w:sz w:val="18"/>
        </w:rPr>
        <w:t>steady</w:t>
      </w:r>
      <w:r>
        <w:rPr>
          <w:spacing w:val="-5"/>
          <w:sz w:val="18"/>
        </w:rPr>
        <w:t> </w:t>
      </w:r>
      <w:r>
        <w:rPr>
          <w:sz w:val="18"/>
        </w:rPr>
        <w:t>output</w:t>
      </w:r>
      <w:r>
        <w:rPr>
          <w:spacing w:val="-6"/>
          <w:sz w:val="18"/>
        </w:rPr>
        <w:t> </w:t>
      </w:r>
      <w:r>
        <w:rPr>
          <w:sz w:val="18"/>
        </w:rPr>
        <w:t>growth</w:t>
      </w:r>
      <w:r>
        <w:rPr>
          <w:spacing w:val="-6"/>
          <w:sz w:val="18"/>
        </w:rPr>
        <w:t> </w:t>
      </w:r>
      <w:r>
        <w:rPr>
          <w:sz w:val="18"/>
        </w:rPr>
        <w:t>across the economy. In manufacturing the output index was a little higher in August, and had remained above the ‘no change’ level of 50 for the seventeenth month in a row, while the business activity index for services was also stronger, at 58.4. There was little evidence from surveys that growth at this pace was leading to increasing pressure on prices. More generally, the buoyancy of government revenues suggested that activity remained quite</w:t>
      </w:r>
      <w:r>
        <w:rPr>
          <w:spacing w:val="-16"/>
          <w:sz w:val="18"/>
        </w:rPr>
        <w:t> </w:t>
      </w:r>
      <w:r>
        <w:rPr>
          <w:sz w:val="18"/>
        </w:rPr>
        <w:t>strong.</w:t>
      </w:r>
    </w:p>
    <w:p>
      <w:pPr>
        <w:pStyle w:val="BodyText"/>
        <w:spacing w:before="6"/>
        <w:rPr>
          <w:sz w:val="18"/>
        </w:rPr>
      </w:pPr>
    </w:p>
    <w:p>
      <w:pPr>
        <w:pStyle w:val="ListParagraph"/>
        <w:numPr>
          <w:ilvl w:val="0"/>
          <w:numId w:val="51"/>
        </w:numPr>
        <w:tabs>
          <w:tab w:pos="654" w:val="left" w:leader="none"/>
          <w:tab w:pos="655" w:val="left" w:leader="none"/>
        </w:tabs>
        <w:spacing w:line="232" w:lineRule="auto" w:before="0" w:after="0"/>
        <w:ind w:left="174" w:right="187" w:firstLine="0"/>
        <w:jc w:val="left"/>
        <w:rPr>
          <w:sz w:val="18"/>
        </w:rPr>
      </w:pPr>
      <w:r>
        <w:rPr>
          <w:sz w:val="18"/>
        </w:rPr>
        <w:t>Manufacturing output and industrial production were both slightly</w:t>
      </w:r>
      <w:r>
        <w:rPr>
          <w:spacing w:val="-6"/>
          <w:sz w:val="18"/>
        </w:rPr>
        <w:t> </w:t>
      </w:r>
      <w:r>
        <w:rPr>
          <w:sz w:val="18"/>
        </w:rPr>
        <w:t>lower</w:t>
      </w:r>
      <w:r>
        <w:rPr>
          <w:spacing w:val="-5"/>
          <w:sz w:val="18"/>
        </w:rPr>
        <w:t> </w:t>
      </w:r>
      <w:r>
        <w:rPr>
          <w:sz w:val="18"/>
        </w:rPr>
        <w:t>in</w:t>
      </w:r>
      <w:r>
        <w:rPr>
          <w:spacing w:val="-5"/>
          <w:sz w:val="18"/>
        </w:rPr>
        <w:t> </w:t>
      </w:r>
      <w:r>
        <w:rPr>
          <w:sz w:val="18"/>
        </w:rPr>
        <w:t>July,</w:t>
      </w:r>
      <w:r>
        <w:rPr>
          <w:spacing w:val="-5"/>
          <w:sz w:val="18"/>
        </w:rPr>
        <w:t> </w:t>
      </w:r>
      <w:r>
        <w:rPr>
          <w:sz w:val="18"/>
        </w:rPr>
        <w:t>although</w:t>
      </w:r>
      <w:r>
        <w:rPr>
          <w:spacing w:val="-5"/>
          <w:sz w:val="18"/>
        </w:rPr>
        <w:t> </w:t>
      </w:r>
      <w:r>
        <w:rPr>
          <w:sz w:val="18"/>
        </w:rPr>
        <w:t>on</w:t>
      </w:r>
      <w:r>
        <w:rPr>
          <w:spacing w:val="-5"/>
          <w:sz w:val="18"/>
        </w:rPr>
        <w:t> </w:t>
      </w:r>
      <w:r>
        <w:rPr>
          <w:sz w:val="18"/>
        </w:rPr>
        <w:t>a</w:t>
      </w:r>
      <w:r>
        <w:rPr>
          <w:spacing w:val="-6"/>
          <w:sz w:val="18"/>
        </w:rPr>
        <w:t> </w:t>
      </w:r>
      <w:r>
        <w:rPr>
          <w:sz w:val="18"/>
        </w:rPr>
        <w:t>three-month</w:t>
      </w:r>
      <w:r>
        <w:rPr>
          <w:spacing w:val="-5"/>
          <w:sz w:val="18"/>
        </w:rPr>
        <w:t> </w:t>
      </w:r>
      <w:r>
        <w:rPr>
          <w:sz w:val="18"/>
        </w:rPr>
        <w:t>basis</w:t>
      </w:r>
      <w:r>
        <w:rPr>
          <w:spacing w:val="-5"/>
          <w:sz w:val="18"/>
        </w:rPr>
        <w:t> </w:t>
      </w:r>
      <w:r>
        <w:rPr>
          <w:sz w:val="18"/>
        </w:rPr>
        <w:t>they</w:t>
      </w:r>
      <w:r>
        <w:rPr>
          <w:spacing w:val="-5"/>
          <w:sz w:val="18"/>
        </w:rPr>
        <w:t> </w:t>
      </w:r>
      <w:r>
        <w:rPr>
          <w:sz w:val="18"/>
        </w:rPr>
        <w:t>showed growth over the previous three months of 0.5% and 1.2% respectively. Comparing the past three months with a year earlier, manufacturing</w:t>
      </w:r>
      <w:r>
        <w:rPr>
          <w:spacing w:val="-6"/>
          <w:sz w:val="18"/>
        </w:rPr>
        <w:t> </w:t>
      </w:r>
      <w:r>
        <w:rPr>
          <w:sz w:val="18"/>
        </w:rPr>
        <w:t>production</w:t>
      </w:r>
      <w:r>
        <w:rPr>
          <w:spacing w:val="-6"/>
          <w:sz w:val="18"/>
        </w:rPr>
        <w:t> </w:t>
      </w:r>
      <w:r>
        <w:rPr>
          <w:sz w:val="18"/>
        </w:rPr>
        <w:t>was</w:t>
      </w:r>
      <w:r>
        <w:rPr>
          <w:spacing w:val="-5"/>
          <w:sz w:val="18"/>
        </w:rPr>
        <w:t> </w:t>
      </w:r>
      <w:r>
        <w:rPr>
          <w:sz w:val="18"/>
        </w:rPr>
        <w:t>up</w:t>
      </w:r>
      <w:r>
        <w:rPr>
          <w:spacing w:val="-6"/>
          <w:sz w:val="18"/>
        </w:rPr>
        <w:t> </w:t>
      </w:r>
      <w:r>
        <w:rPr>
          <w:sz w:val="18"/>
        </w:rPr>
        <w:t>by</w:t>
      </w:r>
      <w:r>
        <w:rPr>
          <w:spacing w:val="-5"/>
          <w:sz w:val="18"/>
        </w:rPr>
        <w:t> </w:t>
      </w:r>
      <w:r>
        <w:rPr>
          <w:sz w:val="18"/>
        </w:rPr>
        <w:t>1.5%,</w:t>
      </w:r>
      <w:r>
        <w:rPr>
          <w:spacing w:val="-6"/>
          <w:sz w:val="18"/>
        </w:rPr>
        <w:t> </w:t>
      </w:r>
      <w:r>
        <w:rPr>
          <w:sz w:val="18"/>
        </w:rPr>
        <w:t>and</w:t>
      </w:r>
      <w:r>
        <w:rPr>
          <w:spacing w:val="-5"/>
          <w:sz w:val="18"/>
        </w:rPr>
        <w:t> </w:t>
      </w:r>
      <w:r>
        <w:rPr>
          <w:sz w:val="18"/>
        </w:rPr>
        <w:t>industrial</w:t>
      </w:r>
      <w:r>
        <w:rPr>
          <w:spacing w:val="-6"/>
          <w:sz w:val="18"/>
        </w:rPr>
        <w:t> </w:t>
      </w:r>
      <w:r>
        <w:rPr>
          <w:sz w:val="18"/>
        </w:rPr>
        <w:t>output</w:t>
      </w:r>
      <w:r>
        <w:rPr>
          <w:spacing w:val="-5"/>
          <w:sz w:val="18"/>
        </w:rPr>
        <w:t> </w:t>
      </w:r>
      <w:r>
        <w:rPr>
          <w:sz w:val="18"/>
        </w:rPr>
        <w:t>by a little more, despite the lagged effects of sterling’s earlier appreciation. The Bank’s regional Agents had also reported</w:t>
      </w:r>
      <w:r>
        <w:rPr>
          <w:spacing w:val="-28"/>
          <w:sz w:val="18"/>
        </w:rPr>
        <w:t> </w:t>
      </w:r>
      <w:r>
        <w:rPr>
          <w:sz w:val="18"/>
        </w:rPr>
        <w:t>a</w:t>
      </w:r>
    </w:p>
    <w:p>
      <w:pPr>
        <w:spacing w:line="197" w:lineRule="exact" w:before="0"/>
        <w:ind w:left="174" w:right="0" w:firstLine="0"/>
        <w:jc w:val="left"/>
        <w:rPr>
          <w:sz w:val="18"/>
        </w:rPr>
      </w:pPr>
      <w:r>
        <w:rPr>
          <w:sz w:val="18"/>
        </w:rPr>
        <w:t>pick-up</w:t>
      </w:r>
      <w:r>
        <w:rPr>
          <w:spacing w:val="-8"/>
          <w:sz w:val="18"/>
        </w:rPr>
        <w:t> </w:t>
      </w:r>
      <w:r>
        <w:rPr>
          <w:sz w:val="18"/>
        </w:rPr>
        <w:t>in</w:t>
      </w:r>
      <w:r>
        <w:rPr>
          <w:spacing w:val="-7"/>
          <w:sz w:val="18"/>
        </w:rPr>
        <w:t> </w:t>
      </w:r>
      <w:r>
        <w:rPr>
          <w:sz w:val="18"/>
        </w:rPr>
        <w:t>manufacturing</w:t>
      </w:r>
      <w:r>
        <w:rPr>
          <w:spacing w:val="-8"/>
          <w:sz w:val="18"/>
        </w:rPr>
        <w:t> </w:t>
      </w:r>
      <w:r>
        <w:rPr>
          <w:sz w:val="18"/>
        </w:rPr>
        <w:t>in</w:t>
      </w:r>
      <w:r>
        <w:rPr>
          <w:spacing w:val="-7"/>
          <w:sz w:val="18"/>
        </w:rPr>
        <w:t> </w:t>
      </w:r>
      <w:r>
        <w:rPr>
          <w:sz w:val="18"/>
        </w:rPr>
        <w:t>recent</w:t>
      </w:r>
      <w:r>
        <w:rPr>
          <w:spacing w:val="-7"/>
          <w:sz w:val="18"/>
        </w:rPr>
        <w:t> </w:t>
      </w:r>
      <w:r>
        <w:rPr>
          <w:sz w:val="18"/>
        </w:rPr>
        <w:t>months.</w:t>
      </w:r>
    </w:p>
    <w:p>
      <w:pPr>
        <w:pStyle w:val="BodyText"/>
        <w:rPr>
          <w:sz w:val="19"/>
        </w:rPr>
      </w:pPr>
    </w:p>
    <w:p>
      <w:pPr>
        <w:pStyle w:val="ListParagraph"/>
        <w:numPr>
          <w:ilvl w:val="0"/>
          <w:numId w:val="51"/>
        </w:numPr>
        <w:tabs>
          <w:tab w:pos="654" w:val="left" w:leader="none"/>
          <w:tab w:pos="655" w:val="left" w:leader="none"/>
        </w:tabs>
        <w:spacing w:line="232" w:lineRule="auto" w:before="0" w:after="0"/>
        <w:ind w:left="174" w:right="288" w:firstLine="0"/>
        <w:jc w:val="left"/>
        <w:rPr>
          <w:sz w:val="18"/>
        </w:rPr>
      </w:pPr>
      <w:r>
        <w:rPr>
          <w:sz w:val="18"/>
        </w:rPr>
        <w:t>The Committee agreed that some of the uncertainties surrounding the path of output in general, and consumption in particular, had reduced over the past month. In the view of some members, this was particularly so with regard to the upside risks, and</w:t>
      </w:r>
      <w:r>
        <w:rPr>
          <w:spacing w:val="-6"/>
          <w:sz w:val="18"/>
        </w:rPr>
        <w:t> </w:t>
      </w:r>
      <w:r>
        <w:rPr>
          <w:sz w:val="18"/>
        </w:rPr>
        <w:t>in</w:t>
      </w:r>
      <w:r>
        <w:rPr>
          <w:spacing w:val="-5"/>
          <w:sz w:val="18"/>
        </w:rPr>
        <w:t> </w:t>
      </w:r>
      <w:r>
        <w:rPr>
          <w:sz w:val="18"/>
        </w:rPr>
        <w:t>consequence</w:t>
      </w:r>
      <w:r>
        <w:rPr>
          <w:spacing w:val="-6"/>
          <w:sz w:val="18"/>
        </w:rPr>
        <w:t> </w:t>
      </w:r>
      <w:r>
        <w:rPr>
          <w:sz w:val="18"/>
        </w:rPr>
        <w:t>these</w:t>
      </w:r>
      <w:r>
        <w:rPr>
          <w:spacing w:val="-5"/>
          <w:sz w:val="18"/>
        </w:rPr>
        <w:t> </w:t>
      </w:r>
      <w:r>
        <w:rPr>
          <w:sz w:val="18"/>
        </w:rPr>
        <w:t>members</w:t>
      </w:r>
      <w:r>
        <w:rPr>
          <w:spacing w:val="-5"/>
          <w:sz w:val="18"/>
        </w:rPr>
        <w:t> </w:t>
      </w:r>
      <w:r>
        <w:rPr>
          <w:sz w:val="18"/>
        </w:rPr>
        <w:t>now</w:t>
      </w:r>
      <w:r>
        <w:rPr>
          <w:spacing w:val="-6"/>
          <w:sz w:val="18"/>
        </w:rPr>
        <w:t> </w:t>
      </w:r>
      <w:r>
        <w:rPr>
          <w:sz w:val="18"/>
        </w:rPr>
        <w:t>felt</w:t>
      </w:r>
      <w:r>
        <w:rPr>
          <w:spacing w:val="-5"/>
          <w:sz w:val="18"/>
        </w:rPr>
        <w:t> </w:t>
      </w:r>
      <w:r>
        <w:rPr>
          <w:sz w:val="18"/>
        </w:rPr>
        <w:t>rather</w:t>
      </w:r>
      <w:r>
        <w:rPr>
          <w:spacing w:val="-6"/>
          <w:sz w:val="18"/>
        </w:rPr>
        <w:t> </w:t>
      </w:r>
      <w:r>
        <w:rPr>
          <w:sz w:val="18"/>
        </w:rPr>
        <w:t>more</w:t>
      </w:r>
      <w:r>
        <w:rPr>
          <w:spacing w:val="-5"/>
          <w:sz w:val="18"/>
        </w:rPr>
        <w:t> </w:t>
      </w:r>
      <w:r>
        <w:rPr>
          <w:sz w:val="18"/>
        </w:rPr>
        <w:t>confident that domestic demand growth would ease back in line with the projections in the August </w:t>
      </w:r>
      <w:r>
        <w:rPr>
          <w:i/>
          <w:sz w:val="18"/>
        </w:rPr>
        <w:t>Inflation</w:t>
      </w:r>
      <w:r>
        <w:rPr>
          <w:i/>
          <w:spacing w:val="-7"/>
          <w:sz w:val="18"/>
        </w:rPr>
        <w:t> </w:t>
      </w:r>
      <w:r>
        <w:rPr>
          <w:i/>
          <w:sz w:val="18"/>
        </w:rPr>
        <w:t>Report</w:t>
      </w:r>
      <w:r>
        <w:rPr>
          <w:sz w:val="18"/>
        </w:rPr>
        <w:t>.</w:t>
      </w:r>
    </w:p>
    <w:p>
      <w:pPr>
        <w:pStyle w:val="BodyText"/>
        <w:spacing w:before="11"/>
        <w:rPr>
          <w:sz w:val="21"/>
        </w:rPr>
      </w:pPr>
    </w:p>
    <w:p>
      <w:pPr>
        <w:spacing w:before="0"/>
        <w:ind w:left="174" w:right="0" w:firstLine="0"/>
        <w:jc w:val="left"/>
        <w:rPr>
          <w:b/>
          <w:sz w:val="22"/>
        </w:rPr>
      </w:pPr>
      <w:r>
        <w:rPr>
          <w:b/>
          <w:color w:val="009391"/>
          <w:sz w:val="22"/>
        </w:rPr>
        <w:t>The world economy</w:t>
      </w:r>
    </w:p>
    <w:p>
      <w:pPr>
        <w:pStyle w:val="ListParagraph"/>
        <w:numPr>
          <w:ilvl w:val="0"/>
          <w:numId w:val="51"/>
        </w:numPr>
        <w:tabs>
          <w:tab w:pos="654" w:val="left" w:leader="none"/>
          <w:tab w:pos="655" w:val="left" w:leader="none"/>
        </w:tabs>
        <w:spacing w:line="232" w:lineRule="auto" w:before="129" w:after="0"/>
        <w:ind w:left="174" w:right="178" w:firstLine="0"/>
        <w:jc w:val="left"/>
        <w:rPr>
          <w:sz w:val="18"/>
        </w:rPr>
      </w:pPr>
      <w:r>
        <w:rPr>
          <w:sz w:val="18"/>
        </w:rPr>
        <w:t>Activity in the world economy in Q2 now appeared to have been a little stronger than expected in the August </w:t>
      </w:r>
      <w:r>
        <w:rPr>
          <w:i/>
          <w:sz w:val="18"/>
        </w:rPr>
        <w:t>Inflation Report</w:t>
      </w:r>
      <w:r>
        <w:rPr>
          <w:sz w:val="18"/>
        </w:rPr>
        <w:t>, in part as a result of continued rapid growth in the United States. More recently there had been some rather weaker numbers for US non-farm payrolls, and in the National Association of Purchasing Managers survey. As a result, the probability of a ‘soft landing’ in the</w:t>
      </w:r>
      <w:r>
        <w:rPr>
          <w:spacing w:val="-5"/>
          <w:sz w:val="18"/>
        </w:rPr>
        <w:t> </w:t>
      </w:r>
      <w:r>
        <w:rPr>
          <w:sz w:val="18"/>
        </w:rPr>
        <w:t>United</w:t>
      </w:r>
      <w:r>
        <w:rPr>
          <w:spacing w:val="-4"/>
          <w:sz w:val="18"/>
        </w:rPr>
        <w:t> </w:t>
      </w:r>
      <w:r>
        <w:rPr>
          <w:sz w:val="18"/>
        </w:rPr>
        <w:t>States</w:t>
      </w:r>
      <w:r>
        <w:rPr>
          <w:spacing w:val="-4"/>
          <w:sz w:val="18"/>
        </w:rPr>
        <w:t> </w:t>
      </w:r>
      <w:r>
        <w:rPr>
          <w:sz w:val="18"/>
        </w:rPr>
        <w:t>seemed</w:t>
      </w:r>
      <w:r>
        <w:rPr>
          <w:spacing w:val="-5"/>
          <w:sz w:val="18"/>
        </w:rPr>
        <w:t> </w:t>
      </w:r>
      <w:r>
        <w:rPr>
          <w:sz w:val="18"/>
        </w:rPr>
        <w:t>to</w:t>
      </w:r>
      <w:r>
        <w:rPr>
          <w:spacing w:val="-4"/>
          <w:sz w:val="18"/>
        </w:rPr>
        <w:t> </w:t>
      </w:r>
      <w:r>
        <w:rPr>
          <w:sz w:val="18"/>
        </w:rPr>
        <w:t>have</w:t>
      </w:r>
      <w:r>
        <w:rPr>
          <w:spacing w:val="-4"/>
          <w:sz w:val="18"/>
        </w:rPr>
        <w:t> </w:t>
      </w:r>
      <w:r>
        <w:rPr>
          <w:sz w:val="18"/>
        </w:rPr>
        <w:t>increased,</w:t>
      </w:r>
      <w:r>
        <w:rPr>
          <w:spacing w:val="-5"/>
          <w:sz w:val="18"/>
        </w:rPr>
        <w:t> </w:t>
      </w:r>
      <w:r>
        <w:rPr>
          <w:sz w:val="18"/>
        </w:rPr>
        <w:t>with</w:t>
      </w:r>
      <w:r>
        <w:rPr>
          <w:spacing w:val="-4"/>
          <w:sz w:val="18"/>
        </w:rPr>
        <w:t> </w:t>
      </w:r>
      <w:r>
        <w:rPr>
          <w:sz w:val="18"/>
        </w:rPr>
        <w:t>less</w:t>
      </w:r>
      <w:r>
        <w:rPr>
          <w:spacing w:val="-4"/>
          <w:sz w:val="18"/>
        </w:rPr>
        <w:t> </w:t>
      </w:r>
      <w:r>
        <w:rPr>
          <w:sz w:val="18"/>
        </w:rPr>
        <w:t>risk</w:t>
      </w:r>
      <w:r>
        <w:rPr>
          <w:spacing w:val="-5"/>
          <w:sz w:val="18"/>
        </w:rPr>
        <w:t> </w:t>
      </w:r>
      <w:r>
        <w:rPr>
          <w:sz w:val="18"/>
        </w:rPr>
        <w:t>of</w:t>
      </w:r>
      <w:r>
        <w:rPr>
          <w:spacing w:val="-4"/>
          <w:sz w:val="18"/>
        </w:rPr>
        <w:t> </w:t>
      </w:r>
      <w:r>
        <w:rPr>
          <w:sz w:val="18"/>
        </w:rPr>
        <w:t>a</w:t>
      </w:r>
      <w:r>
        <w:rPr>
          <w:spacing w:val="-4"/>
          <w:sz w:val="18"/>
        </w:rPr>
        <w:t> </w:t>
      </w:r>
      <w:r>
        <w:rPr>
          <w:sz w:val="18"/>
        </w:rPr>
        <w:t>more precipitous adjustment to activity but with perhaps rather slower growth than previously expected in the United States in the coming year.</w:t>
      </w:r>
    </w:p>
    <w:p>
      <w:pPr>
        <w:spacing w:after="0" w:line="232" w:lineRule="auto"/>
        <w:jc w:val="left"/>
        <w:rPr>
          <w:sz w:val="18"/>
        </w:rPr>
        <w:sectPr>
          <w:type w:val="continuous"/>
          <w:pgSz w:w="11900" w:h="16840"/>
          <w:pgMar w:top="1260" w:bottom="280" w:left="640" w:right="640"/>
          <w:cols w:num="2" w:equalWidth="0">
            <w:col w:w="5112" w:space="271"/>
            <w:col w:w="5237"/>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pStyle w:val="ListParagraph"/>
        <w:numPr>
          <w:ilvl w:val="0"/>
          <w:numId w:val="51"/>
        </w:numPr>
        <w:tabs>
          <w:tab w:pos="665" w:val="left" w:leader="none"/>
          <w:tab w:pos="666" w:val="left" w:leader="none"/>
        </w:tabs>
        <w:spacing w:line="232" w:lineRule="auto" w:before="1" w:after="0"/>
        <w:ind w:left="185" w:right="57" w:firstLine="0"/>
        <w:jc w:val="left"/>
        <w:rPr>
          <w:sz w:val="18"/>
        </w:rPr>
      </w:pPr>
      <w:r>
        <w:rPr>
          <w:sz w:val="18"/>
        </w:rPr>
        <w:t>Elsewhere, the German IFO index had fallen for the second consecutive month, and was now 3% below its level in May, with the fall in the forward-looking element of the index particularly marked. In the past, falls of this magnitude in the overall index had presaged a slowdown in growth in Germany. Industrial production in Japan had declined, although it was still well above the levels of a year ago, and growth rates in the Asian emerging market economies had generally fallen back a little, after a very rapid recovery during</w:t>
      </w:r>
      <w:r>
        <w:rPr>
          <w:spacing w:val="-3"/>
          <w:sz w:val="18"/>
        </w:rPr>
        <w:t> </w:t>
      </w:r>
      <w:r>
        <w:rPr>
          <w:sz w:val="18"/>
        </w:rPr>
        <w:t>1999.</w:t>
      </w:r>
    </w:p>
    <w:p>
      <w:pPr>
        <w:pStyle w:val="BodyText"/>
        <w:spacing w:before="2"/>
        <w:rPr>
          <w:sz w:val="20"/>
        </w:rPr>
      </w:pPr>
    </w:p>
    <w:p>
      <w:pPr>
        <w:pStyle w:val="ListParagraph"/>
        <w:numPr>
          <w:ilvl w:val="0"/>
          <w:numId w:val="51"/>
        </w:numPr>
        <w:tabs>
          <w:tab w:pos="665" w:val="left" w:leader="none"/>
          <w:tab w:pos="666" w:val="left" w:leader="none"/>
        </w:tabs>
        <w:spacing w:line="232" w:lineRule="auto" w:before="1" w:after="0"/>
        <w:ind w:left="185" w:right="38" w:firstLine="0"/>
        <w:jc w:val="left"/>
        <w:rPr>
          <w:sz w:val="18"/>
        </w:rPr>
      </w:pPr>
      <w:r>
        <w:rPr>
          <w:sz w:val="18"/>
        </w:rPr>
        <w:t>Over the past month oil prices had risen sharply, with the Brent one month future more than $5 higher, at over $33 per barrel. This would have a direct short-term effect on retail prices.  Over the medium term, higher oil prices would tend to restrain demand, if it took the oil producers longer to spend their additional revenue than</w:t>
      </w:r>
      <w:r>
        <w:rPr>
          <w:spacing w:val="-5"/>
          <w:sz w:val="18"/>
        </w:rPr>
        <w:t> </w:t>
      </w:r>
      <w:r>
        <w:rPr>
          <w:sz w:val="18"/>
        </w:rPr>
        <w:t>it</w:t>
      </w:r>
      <w:r>
        <w:rPr>
          <w:spacing w:val="-5"/>
          <w:sz w:val="18"/>
        </w:rPr>
        <w:t> </w:t>
      </w:r>
      <w:r>
        <w:rPr>
          <w:sz w:val="18"/>
        </w:rPr>
        <w:t>took</w:t>
      </w:r>
      <w:r>
        <w:rPr>
          <w:spacing w:val="-4"/>
          <w:sz w:val="18"/>
        </w:rPr>
        <w:t> </w:t>
      </w:r>
      <w:r>
        <w:rPr>
          <w:sz w:val="18"/>
        </w:rPr>
        <w:t>those</w:t>
      </w:r>
      <w:r>
        <w:rPr>
          <w:spacing w:val="-5"/>
          <w:sz w:val="18"/>
        </w:rPr>
        <w:t> </w:t>
      </w:r>
      <w:r>
        <w:rPr>
          <w:sz w:val="18"/>
        </w:rPr>
        <w:t>whose</w:t>
      </w:r>
      <w:r>
        <w:rPr>
          <w:spacing w:val="-5"/>
          <w:sz w:val="18"/>
        </w:rPr>
        <w:t> </w:t>
      </w:r>
      <w:r>
        <w:rPr>
          <w:sz w:val="18"/>
        </w:rPr>
        <w:t>real</w:t>
      </w:r>
      <w:r>
        <w:rPr>
          <w:spacing w:val="-4"/>
          <w:sz w:val="18"/>
        </w:rPr>
        <w:t> </w:t>
      </w:r>
      <w:r>
        <w:rPr>
          <w:sz w:val="18"/>
        </w:rPr>
        <w:t>incomes</w:t>
      </w:r>
      <w:r>
        <w:rPr>
          <w:spacing w:val="-5"/>
          <w:sz w:val="18"/>
        </w:rPr>
        <w:t> </w:t>
      </w:r>
      <w:r>
        <w:rPr>
          <w:sz w:val="18"/>
        </w:rPr>
        <w:t>were</w:t>
      </w:r>
      <w:r>
        <w:rPr>
          <w:spacing w:val="-5"/>
          <w:sz w:val="18"/>
        </w:rPr>
        <w:t> </w:t>
      </w:r>
      <w:r>
        <w:rPr>
          <w:sz w:val="18"/>
        </w:rPr>
        <w:t>squeezed</w:t>
      </w:r>
      <w:r>
        <w:rPr>
          <w:spacing w:val="-4"/>
          <w:sz w:val="18"/>
        </w:rPr>
        <w:t> </w:t>
      </w:r>
      <w:r>
        <w:rPr>
          <w:sz w:val="18"/>
        </w:rPr>
        <w:t>to</w:t>
      </w:r>
      <w:r>
        <w:rPr>
          <w:spacing w:val="-5"/>
          <w:sz w:val="18"/>
        </w:rPr>
        <w:t> </w:t>
      </w:r>
      <w:r>
        <w:rPr>
          <w:sz w:val="18"/>
        </w:rPr>
        <w:t>reduce</w:t>
      </w:r>
      <w:r>
        <w:rPr>
          <w:spacing w:val="-5"/>
          <w:sz w:val="18"/>
        </w:rPr>
        <w:t> </w:t>
      </w:r>
      <w:r>
        <w:rPr>
          <w:sz w:val="18"/>
        </w:rPr>
        <w:t>their expenditure. However, the energy intensity of output was now much less than it had been twenty or thirty years ago, and as a result the effects both on inflation and output would be correspondingly less than in the 1970s.  To date, there was little sign in most countries of any effects on wage demands from higher oil</w:t>
      </w:r>
      <w:r>
        <w:rPr>
          <w:spacing w:val="-2"/>
          <w:sz w:val="18"/>
        </w:rPr>
        <w:t> </w:t>
      </w:r>
      <w:r>
        <w:rPr>
          <w:sz w:val="18"/>
        </w:rPr>
        <w:t>prices.</w:t>
      </w:r>
    </w:p>
    <w:p>
      <w:pPr>
        <w:pStyle w:val="BodyText"/>
        <w:rPr>
          <w:sz w:val="20"/>
        </w:rPr>
      </w:pPr>
    </w:p>
    <w:p>
      <w:pPr>
        <w:pStyle w:val="ListParagraph"/>
        <w:numPr>
          <w:ilvl w:val="0"/>
          <w:numId w:val="51"/>
        </w:numPr>
        <w:tabs>
          <w:tab w:pos="665" w:val="left" w:leader="none"/>
          <w:tab w:pos="666" w:val="left" w:leader="none"/>
        </w:tabs>
        <w:spacing w:line="232" w:lineRule="auto" w:before="0" w:after="0"/>
        <w:ind w:left="185" w:right="53" w:firstLine="0"/>
        <w:jc w:val="left"/>
        <w:rPr>
          <w:sz w:val="18"/>
        </w:rPr>
      </w:pPr>
      <w:r>
        <w:rPr>
          <w:sz w:val="18"/>
        </w:rPr>
        <w:t>The Committee noted that the prospects for the oil price might be rather clearer after the OPEC meeting on 10 September, but that demand for oil produced by OPEC was very sensitive to fluctuations in world activity, which had recently been growing faster than expected. If the oil price were no longer expected to fall back sharply, there might be an attempt to rebuild stocks, though this could put further upward pressure on prices in the short run. Over the longer term, if oil companies believed that prices would remain higher for longer, the production of oil from non-OPEC countries would also</w:t>
      </w:r>
      <w:r>
        <w:rPr>
          <w:spacing w:val="-5"/>
          <w:sz w:val="18"/>
        </w:rPr>
        <w:t> </w:t>
      </w:r>
      <w:r>
        <w:rPr>
          <w:sz w:val="18"/>
        </w:rPr>
        <w:t>increase.</w:t>
      </w:r>
    </w:p>
    <w:p>
      <w:pPr>
        <w:pStyle w:val="BodyText"/>
        <w:spacing w:before="6"/>
        <w:rPr>
          <w:sz w:val="23"/>
        </w:rPr>
      </w:pPr>
    </w:p>
    <w:p>
      <w:pPr>
        <w:spacing w:before="0"/>
        <w:ind w:left="185" w:right="0" w:firstLine="0"/>
        <w:jc w:val="left"/>
        <w:rPr>
          <w:b/>
          <w:sz w:val="22"/>
        </w:rPr>
      </w:pPr>
      <w:r>
        <w:rPr>
          <w:b/>
          <w:color w:val="009391"/>
          <w:sz w:val="22"/>
        </w:rPr>
        <w:t>Money, credit and asset prices</w:t>
      </w:r>
    </w:p>
    <w:p>
      <w:pPr>
        <w:pStyle w:val="ListParagraph"/>
        <w:numPr>
          <w:ilvl w:val="0"/>
          <w:numId w:val="51"/>
        </w:numPr>
        <w:tabs>
          <w:tab w:pos="665" w:val="left" w:leader="none"/>
          <w:tab w:pos="666" w:val="left" w:leader="none"/>
        </w:tabs>
        <w:spacing w:line="232" w:lineRule="auto" w:before="129" w:after="0"/>
        <w:ind w:left="185" w:right="77" w:firstLine="0"/>
        <w:jc w:val="left"/>
        <w:rPr>
          <w:sz w:val="18"/>
        </w:rPr>
      </w:pPr>
      <w:r>
        <w:rPr>
          <w:sz w:val="18"/>
        </w:rPr>
        <w:t>M4 lending to the household sector was still growing at an annual rate of 10%, although within this figure secured lending had fallen sharply in July. Meanwhile M4 lending to</w:t>
      </w:r>
      <w:r>
        <w:rPr>
          <w:spacing w:val="-21"/>
          <w:sz w:val="18"/>
        </w:rPr>
        <w:t> </w:t>
      </w:r>
      <w:r>
        <w:rPr>
          <w:sz w:val="18"/>
        </w:rPr>
        <w:t>private</w:t>
      </w:r>
    </w:p>
    <w:p>
      <w:pPr>
        <w:spacing w:line="232" w:lineRule="auto" w:before="0"/>
        <w:ind w:left="185" w:right="104" w:firstLine="0"/>
        <w:jc w:val="left"/>
        <w:rPr>
          <w:sz w:val="18"/>
        </w:rPr>
      </w:pPr>
      <w:r>
        <w:rPr>
          <w:sz w:val="18"/>
        </w:rPr>
        <w:t>non-financial companies (PNFCs) had accelerated dramatically, with the annual growth rate in July reaching 14</w:t>
      </w:r>
      <w:r>
        <w:rPr>
          <w:position w:val="6"/>
          <w:sz w:val="9"/>
        </w:rPr>
        <w:t>1</w:t>
      </w:r>
      <w:r>
        <w:rPr>
          <w:sz w:val="18"/>
        </w:rPr>
        <w:t>/</w:t>
      </w:r>
      <w:r>
        <w:rPr>
          <w:sz w:val="9"/>
        </w:rPr>
        <w:t>2</w:t>
      </w:r>
      <w:r>
        <w:rPr>
          <w:sz w:val="18"/>
        </w:rPr>
        <w:t>% compared with less than 6% in 1999 Q4, and with PNFC finance from other sources also growing quickly. Deposits made by PNFCs had risen rapidly earlier in the year, possibly related to tax changes which made it less attractive to hold surplus funds overseas, and this increase in corporate balance sheets was something of a puzzle.</w:t>
      </w:r>
    </w:p>
    <w:p>
      <w:pPr>
        <w:spacing w:line="232" w:lineRule="auto" w:before="0"/>
        <w:ind w:left="185" w:right="58" w:firstLine="0"/>
        <w:jc w:val="left"/>
        <w:rPr>
          <w:sz w:val="18"/>
        </w:rPr>
      </w:pPr>
      <w:r>
        <w:rPr>
          <w:sz w:val="18"/>
        </w:rPr>
        <w:t>Although net debt did not appear that high as a percentage of capital stock measured at market values, at replacement cost the net debt ratio was above that of the early</w:t>
      </w:r>
      <w:r>
        <w:rPr>
          <w:spacing w:val="-13"/>
          <w:sz w:val="18"/>
        </w:rPr>
        <w:t> </w:t>
      </w:r>
      <w:r>
        <w:rPr>
          <w:sz w:val="18"/>
        </w:rPr>
        <w:t>1990s.</w:t>
      </w:r>
    </w:p>
    <w:p>
      <w:pPr>
        <w:pStyle w:val="BodyText"/>
        <w:spacing w:before="1"/>
        <w:rPr>
          <w:sz w:val="19"/>
        </w:rPr>
      </w:pPr>
    </w:p>
    <w:p>
      <w:pPr>
        <w:pStyle w:val="ListParagraph"/>
        <w:numPr>
          <w:ilvl w:val="0"/>
          <w:numId w:val="51"/>
        </w:numPr>
        <w:tabs>
          <w:tab w:pos="665" w:val="left" w:leader="none"/>
          <w:tab w:pos="666" w:val="left" w:leader="none"/>
        </w:tabs>
        <w:spacing w:line="232" w:lineRule="auto" w:before="1" w:after="0"/>
        <w:ind w:left="185" w:right="42" w:firstLine="0"/>
        <w:jc w:val="left"/>
        <w:rPr>
          <w:sz w:val="18"/>
        </w:rPr>
      </w:pPr>
      <w:r>
        <w:rPr>
          <w:sz w:val="18"/>
        </w:rPr>
        <w:t>One possibility was that ‘distress’ borrowing was increasing, but there was little evidence for this from the deposit figures. Another was that investment was buoyant, but this seemed difficult to</w:t>
      </w:r>
      <w:r>
        <w:rPr>
          <w:spacing w:val="-5"/>
          <w:sz w:val="18"/>
        </w:rPr>
        <w:t> </w:t>
      </w:r>
      <w:r>
        <w:rPr>
          <w:sz w:val="18"/>
        </w:rPr>
        <w:t>square</w:t>
      </w:r>
      <w:r>
        <w:rPr>
          <w:spacing w:val="-5"/>
          <w:sz w:val="18"/>
        </w:rPr>
        <w:t> </w:t>
      </w:r>
      <w:r>
        <w:rPr>
          <w:sz w:val="18"/>
        </w:rPr>
        <w:t>with</w:t>
      </w:r>
      <w:r>
        <w:rPr>
          <w:spacing w:val="-5"/>
          <w:sz w:val="18"/>
        </w:rPr>
        <w:t> </w:t>
      </w:r>
      <w:r>
        <w:rPr>
          <w:sz w:val="18"/>
        </w:rPr>
        <w:t>the</w:t>
      </w:r>
      <w:r>
        <w:rPr>
          <w:spacing w:val="-5"/>
          <w:sz w:val="18"/>
        </w:rPr>
        <w:t> </w:t>
      </w:r>
      <w:r>
        <w:rPr>
          <w:sz w:val="18"/>
        </w:rPr>
        <w:t>latest</w:t>
      </w:r>
      <w:r>
        <w:rPr>
          <w:spacing w:val="-5"/>
          <w:sz w:val="18"/>
        </w:rPr>
        <w:t> </w:t>
      </w:r>
      <w:r>
        <w:rPr>
          <w:sz w:val="18"/>
        </w:rPr>
        <w:t>Q2</w:t>
      </w:r>
      <w:r>
        <w:rPr>
          <w:spacing w:val="-4"/>
          <w:sz w:val="18"/>
        </w:rPr>
        <w:t> </w:t>
      </w:r>
      <w:r>
        <w:rPr>
          <w:sz w:val="18"/>
        </w:rPr>
        <w:t>figures,</w:t>
      </w:r>
      <w:r>
        <w:rPr>
          <w:spacing w:val="-5"/>
          <w:sz w:val="18"/>
        </w:rPr>
        <w:t> </w:t>
      </w:r>
      <w:r>
        <w:rPr>
          <w:sz w:val="18"/>
        </w:rPr>
        <w:t>although</w:t>
      </w:r>
      <w:r>
        <w:rPr>
          <w:spacing w:val="-5"/>
          <w:sz w:val="18"/>
        </w:rPr>
        <w:t> </w:t>
      </w:r>
      <w:r>
        <w:rPr>
          <w:sz w:val="18"/>
        </w:rPr>
        <w:t>it</w:t>
      </w:r>
      <w:r>
        <w:rPr>
          <w:spacing w:val="-5"/>
          <w:sz w:val="18"/>
        </w:rPr>
        <w:t> </w:t>
      </w:r>
      <w:r>
        <w:rPr>
          <w:sz w:val="18"/>
        </w:rPr>
        <w:t>was</w:t>
      </w:r>
      <w:r>
        <w:rPr>
          <w:spacing w:val="-5"/>
          <w:sz w:val="18"/>
        </w:rPr>
        <w:t> </w:t>
      </w:r>
      <w:r>
        <w:rPr>
          <w:sz w:val="18"/>
        </w:rPr>
        <w:t>always</w:t>
      </w:r>
      <w:r>
        <w:rPr>
          <w:spacing w:val="-4"/>
          <w:sz w:val="18"/>
        </w:rPr>
        <w:t> </w:t>
      </w:r>
      <w:r>
        <w:rPr>
          <w:sz w:val="18"/>
        </w:rPr>
        <w:t>possible that the investment numbers would be revised up. A third possibility was that although growth in investment had been sluggish so far in 2000, the level of investment remained high by historic standards;  companies might have funded higher investment initially out of internal funds and later, as investment remained buoyant, by borrowing. However, when measured at current prices the share of investment in GDP was not as high as when measured at constant prices, and for these purposes the current-price measure was the more relevant. Finally, it might be that companies were borrowing in order to invest overseas, and that some of this borrowing was held on deposit in the UK ahead of a prospective acquisition. All in all, the continuing combination of heavy corporate borrowing and low reported investment remained a puzzle.</w:t>
      </w:r>
    </w:p>
    <w:p>
      <w:pPr>
        <w:pStyle w:val="BodyText"/>
        <w:spacing w:before="10"/>
        <w:rPr>
          <w:sz w:val="17"/>
        </w:rPr>
      </w:pPr>
    </w:p>
    <w:p>
      <w:pPr>
        <w:pStyle w:val="ListParagraph"/>
        <w:numPr>
          <w:ilvl w:val="0"/>
          <w:numId w:val="51"/>
        </w:numPr>
        <w:tabs>
          <w:tab w:pos="665" w:val="left" w:leader="none"/>
          <w:tab w:pos="666" w:val="left" w:leader="none"/>
        </w:tabs>
        <w:spacing w:line="232" w:lineRule="auto" w:before="0" w:after="0"/>
        <w:ind w:left="185" w:right="53" w:firstLine="0"/>
        <w:jc w:val="left"/>
        <w:rPr>
          <w:sz w:val="18"/>
        </w:rPr>
      </w:pPr>
      <w:r>
        <w:rPr>
          <w:sz w:val="18"/>
        </w:rPr>
        <w:t>While</w:t>
      </w:r>
      <w:r>
        <w:rPr>
          <w:spacing w:val="-6"/>
          <w:sz w:val="18"/>
        </w:rPr>
        <w:t> </w:t>
      </w:r>
      <w:r>
        <w:rPr>
          <w:sz w:val="18"/>
        </w:rPr>
        <w:t>sterling’s</w:t>
      </w:r>
      <w:r>
        <w:rPr>
          <w:spacing w:val="-6"/>
          <w:sz w:val="18"/>
        </w:rPr>
        <w:t> </w:t>
      </w:r>
      <w:r>
        <w:rPr>
          <w:sz w:val="18"/>
        </w:rPr>
        <w:t>exchange</w:t>
      </w:r>
      <w:r>
        <w:rPr>
          <w:spacing w:val="-6"/>
          <w:sz w:val="18"/>
        </w:rPr>
        <w:t> </w:t>
      </w:r>
      <w:r>
        <w:rPr>
          <w:sz w:val="18"/>
        </w:rPr>
        <w:t>rate</w:t>
      </w:r>
      <w:r>
        <w:rPr>
          <w:spacing w:val="-6"/>
          <w:sz w:val="18"/>
        </w:rPr>
        <w:t> </w:t>
      </w:r>
      <w:r>
        <w:rPr>
          <w:sz w:val="18"/>
        </w:rPr>
        <w:t>was</w:t>
      </w:r>
      <w:r>
        <w:rPr>
          <w:spacing w:val="-6"/>
          <w:sz w:val="18"/>
        </w:rPr>
        <w:t> </w:t>
      </w:r>
      <w:r>
        <w:rPr>
          <w:sz w:val="18"/>
        </w:rPr>
        <w:t>little</w:t>
      </w:r>
      <w:r>
        <w:rPr>
          <w:spacing w:val="-6"/>
          <w:sz w:val="18"/>
        </w:rPr>
        <w:t> </w:t>
      </w:r>
      <w:r>
        <w:rPr>
          <w:sz w:val="18"/>
        </w:rPr>
        <w:t>changed</w:t>
      </w:r>
      <w:r>
        <w:rPr>
          <w:spacing w:val="-6"/>
          <w:sz w:val="18"/>
        </w:rPr>
        <w:t> </w:t>
      </w:r>
      <w:r>
        <w:rPr>
          <w:sz w:val="18"/>
        </w:rPr>
        <w:t>in</w:t>
      </w:r>
      <w:r>
        <w:rPr>
          <w:spacing w:val="-6"/>
          <w:sz w:val="18"/>
        </w:rPr>
        <w:t> </w:t>
      </w:r>
      <w:r>
        <w:rPr>
          <w:sz w:val="18"/>
        </w:rPr>
        <w:t>effective terms</w:t>
      </w:r>
      <w:r>
        <w:rPr>
          <w:spacing w:val="-4"/>
          <w:sz w:val="18"/>
        </w:rPr>
        <w:t> </w:t>
      </w:r>
      <w:r>
        <w:rPr>
          <w:sz w:val="18"/>
        </w:rPr>
        <w:t>over</w:t>
      </w:r>
      <w:r>
        <w:rPr>
          <w:spacing w:val="-3"/>
          <w:sz w:val="18"/>
        </w:rPr>
        <w:t> </w:t>
      </w:r>
      <w:r>
        <w:rPr>
          <w:sz w:val="18"/>
        </w:rPr>
        <w:t>the</w:t>
      </w:r>
      <w:r>
        <w:rPr>
          <w:spacing w:val="-4"/>
          <w:sz w:val="18"/>
        </w:rPr>
        <w:t> </w:t>
      </w:r>
      <w:r>
        <w:rPr>
          <w:sz w:val="18"/>
        </w:rPr>
        <w:t>past</w:t>
      </w:r>
      <w:r>
        <w:rPr>
          <w:spacing w:val="-3"/>
          <w:sz w:val="18"/>
        </w:rPr>
        <w:t> </w:t>
      </w:r>
      <w:r>
        <w:rPr>
          <w:sz w:val="18"/>
        </w:rPr>
        <w:t>month,</w:t>
      </w:r>
      <w:r>
        <w:rPr>
          <w:spacing w:val="-4"/>
          <w:sz w:val="18"/>
        </w:rPr>
        <w:t> </w:t>
      </w:r>
      <w:r>
        <w:rPr>
          <w:sz w:val="18"/>
        </w:rPr>
        <w:t>there</w:t>
      </w:r>
      <w:r>
        <w:rPr>
          <w:spacing w:val="-3"/>
          <w:sz w:val="18"/>
        </w:rPr>
        <w:t> </w:t>
      </w:r>
      <w:r>
        <w:rPr>
          <w:sz w:val="18"/>
        </w:rPr>
        <w:t>had</w:t>
      </w:r>
      <w:r>
        <w:rPr>
          <w:spacing w:val="-3"/>
          <w:sz w:val="18"/>
        </w:rPr>
        <w:t> </w:t>
      </w:r>
      <w:r>
        <w:rPr>
          <w:sz w:val="18"/>
        </w:rPr>
        <w:t>been</w:t>
      </w:r>
      <w:r>
        <w:rPr>
          <w:spacing w:val="-4"/>
          <w:sz w:val="18"/>
        </w:rPr>
        <w:t> </w:t>
      </w:r>
      <w:r>
        <w:rPr>
          <w:sz w:val="18"/>
        </w:rPr>
        <w:t>some</w:t>
      </w:r>
      <w:r>
        <w:rPr>
          <w:spacing w:val="-3"/>
          <w:sz w:val="18"/>
        </w:rPr>
        <w:t> </w:t>
      </w:r>
      <w:r>
        <w:rPr>
          <w:sz w:val="18"/>
        </w:rPr>
        <w:t>movement</w:t>
      </w:r>
      <w:r>
        <w:rPr>
          <w:spacing w:val="-4"/>
          <w:sz w:val="18"/>
        </w:rPr>
        <w:t> </w:t>
      </w:r>
      <w:r>
        <w:rPr>
          <w:sz w:val="18"/>
        </w:rPr>
        <w:t>in</w:t>
      </w:r>
      <w:r>
        <w:rPr>
          <w:spacing w:val="-3"/>
          <w:sz w:val="18"/>
        </w:rPr>
        <w:t> </w:t>
      </w:r>
      <w:r>
        <w:rPr>
          <w:sz w:val="18"/>
        </w:rPr>
        <w:t>the</w:t>
      </w:r>
    </w:p>
    <w:p>
      <w:pPr>
        <w:pStyle w:val="BodyText"/>
        <w:spacing w:before="4"/>
        <w:rPr>
          <w:sz w:val="21"/>
        </w:rPr>
      </w:pPr>
      <w:r>
        <w:rPr/>
        <w:br w:type="column"/>
      </w:r>
      <w:r>
        <w:rPr>
          <w:sz w:val="21"/>
        </w:rPr>
      </w:r>
    </w:p>
    <w:p>
      <w:pPr>
        <w:spacing w:line="232" w:lineRule="auto" w:before="1"/>
        <w:ind w:left="185" w:right="227" w:firstLine="0"/>
        <w:jc w:val="left"/>
        <w:rPr>
          <w:sz w:val="18"/>
        </w:rPr>
      </w:pPr>
      <w:r>
        <w:rPr>
          <w:sz w:val="18"/>
        </w:rPr>
        <w:t>bilateral rates. In particular, sterling had fallen to a seven-year low against the US dollar, perhaps because the market was becoming increasingly convinced that the recent rapid productivity gains in the United States were sustainable, and that the US economy was now less likely to undergo a ‘hard landing’. The US dollar had been stronger against a wide range of currencies over the past month, so the weakness of sterling against the dollar was unlikely to have arisen for UK-specific reasons. Sterling had meanwhile appreciated a little against the euro, which had fallen to new lows against the dollar. While sterling had in general not moved with the dollar against the euro in recent weeks, the evidence of a more fundamental delinking of sterling and the dollar remained inconclusive.</w:t>
      </w:r>
    </w:p>
    <w:p>
      <w:pPr>
        <w:pStyle w:val="BodyText"/>
        <w:spacing w:before="5"/>
        <w:rPr>
          <w:sz w:val="16"/>
        </w:rPr>
      </w:pPr>
    </w:p>
    <w:p>
      <w:pPr>
        <w:pStyle w:val="ListParagraph"/>
        <w:numPr>
          <w:ilvl w:val="0"/>
          <w:numId w:val="51"/>
        </w:numPr>
        <w:tabs>
          <w:tab w:pos="665" w:val="left" w:leader="none"/>
          <w:tab w:pos="666" w:val="left" w:leader="none"/>
        </w:tabs>
        <w:spacing w:line="232" w:lineRule="auto" w:before="0" w:after="0"/>
        <w:ind w:left="185" w:right="215" w:firstLine="0"/>
        <w:jc w:val="left"/>
        <w:rPr>
          <w:sz w:val="18"/>
        </w:rPr>
      </w:pPr>
      <w:r>
        <w:rPr>
          <w:sz w:val="18"/>
        </w:rPr>
        <w:t>To the extent that sterling’s exchange rate index properly captured the relative importance of the United States and the euro area, the effects on trade flows of the recent movements in sterling (which</w:t>
      </w:r>
      <w:r>
        <w:rPr>
          <w:spacing w:val="-5"/>
          <w:sz w:val="18"/>
        </w:rPr>
        <w:t> </w:t>
      </w:r>
      <w:r>
        <w:rPr>
          <w:sz w:val="18"/>
        </w:rPr>
        <w:t>had</w:t>
      </w:r>
      <w:r>
        <w:rPr>
          <w:spacing w:val="-5"/>
          <w:sz w:val="18"/>
        </w:rPr>
        <w:t> </w:t>
      </w:r>
      <w:r>
        <w:rPr>
          <w:sz w:val="18"/>
        </w:rPr>
        <w:t>left</w:t>
      </w:r>
      <w:r>
        <w:rPr>
          <w:spacing w:val="-5"/>
          <w:sz w:val="18"/>
        </w:rPr>
        <w:t> </w:t>
      </w:r>
      <w:r>
        <w:rPr>
          <w:sz w:val="18"/>
        </w:rPr>
        <w:t>the</w:t>
      </w:r>
      <w:r>
        <w:rPr>
          <w:spacing w:val="-5"/>
          <w:sz w:val="18"/>
        </w:rPr>
        <w:t> </w:t>
      </w:r>
      <w:r>
        <w:rPr>
          <w:sz w:val="18"/>
        </w:rPr>
        <w:t>index</w:t>
      </w:r>
      <w:r>
        <w:rPr>
          <w:spacing w:val="-5"/>
          <w:sz w:val="18"/>
        </w:rPr>
        <w:t> </w:t>
      </w:r>
      <w:r>
        <w:rPr>
          <w:sz w:val="18"/>
        </w:rPr>
        <w:t>broadly</w:t>
      </w:r>
      <w:r>
        <w:rPr>
          <w:spacing w:val="-5"/>
          <w:sz w:val="18"/>
        </w:rPr>
        <w:t> </w:t>
      </w:r>
      <w:r>
        <w:rPr>
          <w:sz w:val="18"/>
        </w:rPr>
        <w:t>unchanged)</w:t>
      </w:r>
      <w:r>
        <w:rPr>
          <w:spacing w:val="-5"/>
          <w:sz w:val="18"/>
        </w:rPr>
        <w:t> </w:t>
      </w:r>
      <w:r>
        <w:rPr>
          <w:sz w:val="18"/>
        </w:rPr>
        <w:t>should</w:t>
      </w:r>
      <w:r>
        <w:rPr>
          <w:spacing w:val="-5"/>
          <w:sz w:val="18"/>
        </w:rPr>
        <w:t> </w:t>
      </w:r>
      <w:r>
        <w:rPr>
          <w:sz w:val="18"/>
        </w:rPr>
        <w:t>on</w:t>
      </w:r>
      <w:r>
        <w:rPr>
          <w:spacing w:val="-5"/>
          <w:sz w:val="18"/>
        </w:rPr>
        <w:t> </w:t>
      </w:r>
      <w:r>
        <w:rPr>
          <w:sz w:val="18"/>
        </w:rPr>
        <w:t>balance</w:t>
      </w:r>
      <w:r>
        <w:rPr>
          <w:spacing w:val="-5"/>
          <w:sz w:val="18"/>
        </w:rPr>
        <w:t> </w:t>
      </w:r>
      <w:r>
        <w:rPr>
          <w:sz w:val="18"/>
        </w:rPr>
        <w:t>be neutral. Firms which competed principally with US producers would benefit from the fall in sterling against the dollar, at the expense</w:t>
      </w:r>
      <w:r>
        <w:rPr>
          <w:spacing w:val="-5"/>
          <w:sz w:val="18"/>
        </w:rPr>
        <w:t> </w:t>
      </w:r>
      <w:r>
        <w:rPr>
          <w:sz w:val="18"/>
        </w:rPr>
        <w:t>of</w:t>
      </w:r>
      <w:r>
        <w:rPr>
          <w:spacing w:val="-5"/>
          <w:sz w:val="18"/>
        </w:rPr>
        <w:t> </w:t>
      </w:r>
      <w:r>
        <w:rPr>
          <w:sz w:val="18"/>
        </w:rPr>
        <w:t>those</w:t>
      </w:r>
      <w:r>
        <w:rPr>
          <w:spacing w:val="-5"/>
          <w:sz w:val="18"/>
        </w:rPr>
        <w:t> </w:t>
      </w:r>
      <w:r>
        <w:rPr>
          <w:sz w:val="18"/>
        </w:rPr>
        <w:t>whose</w:t>
      </w:r>
      <w:r>
        <w:rPr>
          <w:spacing w:val="-4"/>
          <w:sz w:val="18"/>
        </w:rPr>
        <w:t> </w:t>
      </w:r>
      <w:r>
        <w:rPr>
          <w:sz w:val="18"/>
        </w:rPr>
        <w:t>main</w:t>
      </w:r>
      <w:r>
        <w:rPr>
          <w:spacing w:val="-5"/>
          <w:sz w:val="18"/>
        </w:rPr>
        <w:t> </w:t>
      </w:r>
      <w:r>
        <w:rPr>
          <w:sz w:val="18"/>
        </w:rPr>
        <w:t>competitors</w:t>
      </w:r>
      <w:r>
        <w:rPr>
          <w:spacing w:val="-5"/>
          <w:sz w:val="18"/>
        </w:rPr>
        <w:t> </w:t>
      </w:r>
      <w:r>
        <w:rPr>
          <w:sz w:val="18"/>
        </w:rPr>
        <w:t>were</w:t>
      </w:r>
      <w:r>
        <w:rPr>
          <w:spacing w:val="-5"/>
          <w:sz w:val="18"/>
        </w:rPr>
        <w:t> </w:t>
      </w:r>
      <w:r>
        <w:rPr>
          <w:sz w:val="18"/>
        </w:rPr>
        <w:t>from</w:t>
      </w:r>
      <w:r>
        <w:rPr>
          <w:spacing w:val="-4"/>
          <w:sz w:val="18"/>
        </w:rPr>
        <w:t> </w:t>
      </w:r>
      <w:r>
        <w:rPr>
          <w:sz w:val="18"/>
        </w:rPr>
        <w:t>the</w:t>
      </w:r>
      <w:r>
        <w:rPr>
          <w:spacing w:val="-5"/>
          <w:sz w:val="18"/>
        </w:rPr>
        <w:t> </w:t>
      </w:r>
      <w:r>
        <w:rPr>
          <w:sz w:val="18"/>
        </w:rPr>
        <w:t>euro</w:t>
      </w:r>
      <w:r>
        <w:rPr>
          <w:spacing w:val="-5"/>
          <w:sz w:val="18"/>
        </w:rPr>
        <w:t> </w:t>
      </w:r>
      <w:r>
        <w:rPr>
          <w:sz w:val="18"/>
        </w:rPr>
        <w:t>area.</w:t>
      </w:r>
    </w:p>
    <w:p>
      <w:pPr>
        <w:pStyle w:val="BodyText"/>
        <w:spacing w:before="11"/>
        <w:rPr>
          <w:sz w:val="16"/>
        </w:rPr>
      </w:pPr>
    </w:p>
    <w:p>
      <w:pPr>
        <w:pStyle w:val="ListParagraph"/>
        <w:numPr>
          <w:ilvl w:val="0"/>
          <w:numId w:val="51"/>
        </w:numPr>
        <w:tabs>
          <w:tab w:pos="665" w:val="left" w:leader="none"/>
          <w:tab w:pos="666" w:val="left" w:leader="none"/>
        </w:tabs>
        <w:spacing w:line="232" w:lineRule="auto" w:before="0" w:after="0"/>
        <w:ind w:left="185" w:right="260" w:firstLine="0"/>
        <w:jc w:val="left"/>
        <w:rPr>
          <w:sz w:val="18"/>
        </w:rPr>
      </w:pPr>
      <w:r>
        <w:rPr>
          <w:sz w:val="18"/>
        </w:rPr>
        <w:t>Over the longer term, it was far from clear that an appreciation of the dollar against the euro would be sustained, given the size of the US current account deficit. But for as long as relative rates of return on capital in the United States appeared high, the United States would continue to attract capital from the rest of the world. In that sense the present position might be sustainable for some time to</w:t>
      </w:r>
      <w:r>
        <w:rPr>
          <w:spacing w:val="-8"/>
          <w:sz w:val="18"/>
        </w:rPr>
        <w:t> </w:t>
      </w:r>
      <w:r>
        <w:rPr>
          <w:sz w:val="18"/>
        </w:rPr>
        <w:t>come.</w:t>
      </w:r>
    </w:p>
    <w:p>
      <w:pPr>
        <w:pStyle w:val="BodyText"/>
        <w:spacing w:before="2"/>
        <w:rPr>
          <w:sz w:val="20"/>
        </w:rPr>
      </w:pPr>
    </w:p>
    <w:p>
      <w:pPr>
        <w:spacing w:before="0"/>
        <w:ind w:left="185" w:right="0" w:firstLine="0"/>
        <w:jc w:val="left"/>
        <w:rPr>
          <w:b/>
          <w:sz w:val="22"/>
        </w:rPr>
      </w:pPr>
      <w:r>
        <w:rPr>
          <w:b/>
          <w:color w:val="009391"/>
          <w:sz w:val="22"/>
        </w:rPr>
        <w:t>The labour market</w:t>
      </w:r>
    </w:p>
    <w:p>
      <w:pPr>
        <w:pStyle w:val="ListParagraph"/>
        <w:numPr>
          <w:ilvl w:val="0"/>
          <w:numId w:val="51"/>
        </w:numPr>
        <w:tabs>
          <w:tab w:pos="665" w:val="left" w:leader="none"/>
          <w:tab w:pos="666" w:val="left" w:leader="none"/>
        </w:tabs>
        <w:spacing w:line="232" w:lineRule="auto" w:before="130" w:after="0"/>
        <w:ind w:left="185" w:right="245" w:firstLine="0"/>
        <w:jc w:val="left"/>
        <w:rPr>
          <w:sz w:val="18"/>
        </w:rPr>
      </w:pPr>
      <w:r>
        <w:rPr>
          <w:sz w:val="18"/>
        </w:rPr>
        <w:t>Employment growth had picked up in Q2, with the Labour Force Survey (LFS) measure up by 0.4%, compared with 0.2% in Q1. The estimate of average hours worked was 0.6% higher in Q2 and so, on the basis of that measure, whole-economy productivity growth on an hourly basis would be close to zero in that quarter. The increase in hours worked was consistent with signs that the labour market was tightening further, although the series was volatile, with average hours still 0.9% below the levels of a year ago.</w:t>
      </w:r>
    </w:p>
    <w:p>
      <w:pPr>
        <w:pStyle w:val="BodyText"/>
        <w:spacing w:before="9"/>
        <w:rPr>
          <w:sz w:val="16"/>
        </w:rPr>
      </w:pPr>
    </w:p>
    <w:p>
      <w:pPr>
        <w:pStyle w:val="ListParagraph"/>
        <w:numPr>
          <w:ilvl w:val="0"/>
          <w:numId w:val="51"/>
        </w:numPr>
        <w:tabs>
          <w:tab w:pos="665" w:val="left" w:leader="none"/>
          <w:tab w:pos="666" w:val="left" w:leader="none"/>
        </w:tabs>
        <w:spacing w:line="232" w:lineRule="auto" w:before="0" w:after="0"/>
        <w:ind w:left="185" w:right="240" w:firstLine="0"/>
        <w:jc w:val="left"/>
        <w:rPr>
          <w:sz w:val="18"/>
        </w:rPr>
      </w:pPr>
      <w:r>
        <w:rPr>
          <w:sz w:val="18"/>
        </w:rPr>
        <w:t>Unemployment continued to fall rather steadily on the claimant count basis, but had fallen more rapidly on the LFS measure, from 5.8% of the labour force in Q1 to 5.5% in Q2. This partly</w:t>
      </w:r>
      <w:r>
        <w:rPr>
          <w:spacing w:val="-7"/>
          <w:sz w:val="18"/>
        </w:rPr>
        <w:t> </w:t>
      </w:r>
      <w:r>
        <w:rPr>
          <w:sz w:val="18"/>
        </w:rPr>
        <w:t>reflected—in</w:t>
      </w:r>
      <w:r>
        <w:rPr>
          <w:spacing w:val="-6"/>
          <w:sz w:val="18"/>
        </w:rPr>
        <w:t> </w:t>
      </w:r>
      <w:r>
        <w:rPr>
          <w:sz w:val="18"/>
        </w:rPr>
        <w:t>an</w:t>
      </w:r>
      <w:r>
        <w:rPr>
          <w:spacing w:val="-7"/>
          <w:sz w:val="18"/>
        </w:rPr>
        <w:t> </w:t>
      </w:r>
      <w:r>
        <w:rPr>
          <w:sz w:val="18"/>
        </w:rPr>
        <w:t>accounting</w:t>
      </w:r>
      <w:r>
        <w:rPr>
          <w:spacing w:val="-6"/>
          <w:sz w:val="18"/>
        </w:rPr>
        <w:t> </w:t>
      </w:r>
      <w:r>
        <w:rPr>
          <w:sz w:val="18"/>
        </w:rPr>
        <w:t>sense—a</w:t>
      </w:r>
      <w:r>
        <w:rPr>
          <w:spacing w:val="-6"/>
          <w:sz w:val="18"/>
        </w:rPr>
        <w:t> </w:t>
      </w:r>
      <w:r>
        <w:rPr>
          <w:sz w:val="18"/>
        </w:rPr>
        <w:t>rise</w:t>
      </w:r>
      <w:r>
        <w:rPr>
          <w:spacing w:val="-7"/>
          <w:sz w:val="18"/>
        </w:rPr>
        <w:t> </w:t>
      </w:r>
      <w:r>
        <w:rPr>
          <w:sz w:val="18"/>
        </w:rPr>
        <w:t>in</w:t>
      </w:r>
      <w:r>
        <w:rPr>
          <w:spacing w:val="-6"/>
          <w:sz w:val="18"/>
        </w:rPr>
        <w:t> </w:t>
      </w:r>
      <w:r>
        <w:rPr>
          <w:sz w:val="18"/>
        </w:rPr>
        <w:t>male</w:t>
      </w:r>
      <w:r>
        <w:rPr>
          <w:spacing w:val="-6"/>
          <w:sz w:val="18"/>
        </w:rPr>
        <w:t> </w:t>
      </w:r>
      <w:r>
        <w:rPr>
          <w:sz w:val="18"/>
        </w:rPr>
        <w:t>inactivity, but</w:t>
      </w:r>
      <w:r>
        <w:rPr>
          <w:spacing w:val="-5"/>
          <w:sz w:val="18"/>
        </w:rPr>
        <w:t> </w:t>
      </w:r>
      <w:r>
        <w:rPr>
          <w:sz w:val="18"/>
        </w:rPr>
        <w:t>it</w:t>
      </w:r>
      <w:r>
        <w:rPr>
          <w:spacing w:val="-4"/>
          <w:sz w:val="18"/>
        </w:rPr>
        <w:t> </w:t>
      </w:r>
      <w:r>
        <w:rPr>
          <w:sz w:val="18"/>
        </w:rPr>
        <w:t>was</w:t>
      </w:r>
      <w:r>
        <w:rPr>
          <w:spacing w:val="-4"/>
          <w:sz w:val="18"/>
        </w:rPr>
        <w:t> </w:t>
      </w:r>
      <w:r>
        <w:rPr>
          <w:sz w:val="18"/>
        </w:rPr>
        <w:t>probably</w:t>
      </w:r>
      <w:r>
        <w:rPr>
          <w:spacing w:val="-5"/>
          <w:sz w:val="18"/>
        </w:rPr>
        <w:t> </w:t>
      </w:r>
      <w:r>
        <w:rPr>
          <w:sz w:val="18"/>
        </w:rPr>
        <w:t>too</w:t>
      </w:r>
      <w:r>
        <w:rPr>
          <w:spacing w:val="-4"/>
          <w:sz w:val="18"/>
        </w:rPr>
        <w:t> </w:t>
      </w:r>
      <w:r>
        <w:rPr>
          <w:sz w:val="18"/>
        </w:rPr>
        <w:t>soon</w:t>
      </w:r>
      <w:r>
        <w:rPr>
          <w:spacing w:val="-4"/>
          <w:sz w:val="18"/>
        </w:rPr>
        <w:t> </w:t>
      </w:r>
      <w:r>
        <w:rPr>
          <w:sz w:val="18"/>
        </w:rPr>
        <w:t>to</w:t>
      </w:r>
      <w:r>
        <w:rPr>
          <w:spacing w:val="-4"/>
          <w:sz w:val="18"/>
        </w:rPr>
        <w:t> </w:t>
      </w:r>
      <w:r>
        <w:rPr>
          <w:sz w:val="18"/>
        </w:rPr>
        <w:t>read</w:t>
      </w:r>
      <w:r>
        <w:rPr>
          <w:spacing w:val="-5"/>
          <w:sz w:val="18"/>
        </w:rPr>
        <w:t> </w:t>
      </w:r>
      <w:r>
        <w:rPr>
          <w:sz w:val="18"/>
        </w:rPr>
        <w:t>anything</w:t>
      </w:r>
      <w:r>
        <w:rPr>
          <w:spacing w:val="-4"/>
          <w:sz w:val="18"/>
        </w:rPr>
        <w:t> </w:t>
      </w:r>
      <w:r>
        <w:rPr>
          <w:sz w:val="18"/>
        </w:rPr>
        <w:t>significant</w:t>
      </w:r>
      <w:r>
        <w:rPr>
          <w:spacing w:val="-4"/>
          <w:sz w:val="18"/>
        </w:rPr>
        <w:t> </w:t>
      </w:r>
      <w:r>
        <w:rPr>
          <w:sz w:val="18"/>
        </w:rPr>
        <w:t>into</w:t>
      </w:r>
      <w:r>
        <w:rPr>
          <w:spacing w:val="-5"/>
          <w:sz w:val="18"/>
        </w:rPr>
        <w:t> </w:t>
      </w:r>
      <w:r>
        <w:rPr>
          <w:sz w:val="18"/>
        </w:rPr>
        <w:t>this.</w:t>
      </w:r>
    </w:p>
    <w:p>
      <w:pPr>
        <w:pStyle w:val="BodyText"/>
        <w:rPr>
          <w:sz w:val="17"/>
        </w:rPr>
      </w:pPr>
    </w:p>
    <w:p>
      <w:pPr>
        <w:pStyle w:val="ListParagraph"/>
        <w:numPr>
          <w:ilvl w:val="0"/>
          <w:numId w:val="51"/>
        </w:numPr>
        <w:tabs>
          <w:tab w:pos="665" w:val="left" w:leader="none"/>
          <w:tab w:pos="666" w:val="left" w:leader="none"/>
        </w:tabs>
        <w:spacing w:line="232" w:lineRule="auto" w:before="0" w:after="0"/>
        <w:ind w:left="185" w:right="330" w:firstLine="0"/>
        <w:jc w:val="left"/>
        <w:rPr>
          <w:sz w:val="18"/>
        </w:rPr>
      </w:pPr>
      <w:r>
        <w:rPr>
          <w:sz w:val="18"/>
        </w:rPr>
        <w:t>CIPS survey data suggested a slower pace of decline in manufacturing employment, and steady growth in services employment, although in this case the balance was below that for business activity in services. The most recent Recruitment and Employment Confederation survey and reports from the Bank’s regional Agents both indicated widespread skill shortages, but it was</w:t>
      </w:r>
      <w:r>
        <w:rPr>
          <w:spacing w:val="-6"/>
          <w:sz w:val="18"/>
        </w:rPr>
        <w:t> </w:t>
      </w:r>
      <w:r>
        <w:rPr>
          <w:sz w:val="18"/>
        </w:rPr>
        <w:t>unclear</w:t>
      </w:r>
      <w:r>
        <w:rPr>
          <w:spacing w:val="-5"/>
          <w:sz w:val="18"/>
        </w:rPr>
        <w:t> </w:t>
      </w:r>
      <w:r>
        <w:rPr>
          <w:sz w:val="18"/>
        </w:rPr>
        <w:t>to</w:t>
      </w:r>
      <w:r>
        <w:rPr>
          <w:spacing w:val="-6"/>
          <w:sz w:val="18"/>
        </w:rPr>
        <w:t> </w:t>
      </w:r>
      <w:r>
        <w:rPr>
          <w:sz w:val="18"/>
        </w:rPr>
        <w:t>what</w:t>
      </w:r>
      <w:r>
        <w:rPr>
          <w:spacing w:val="-5"/>
          <w:sz w:val="18"/>
        </w:rPr>
        <w:t> </w:t>
      </w:r>
      <w:r>
        <w:rPr>
          <w:sz w:val="18"/>
        </w:rPr>
        <w:t>extent</w:t>
      </w:r>
      <w:r>
        <w:rPr>
          <w:spacing w:val="-6"/>
          <w:sz w:val="18"/>
        </w:rPr>
        <w:t> </w:t>
      </w:r>
      <w:r>
        <w:rPr>
          <w:sz w:val="18"/>
        </w:rPr>
        <w:t>these</w:t>
      </w:r>
      <w:r>
        <w:rPr>
          <w:spacing w:val="-5"/>
          <w:sz w:val="18"/>
        </w:rPr>
        <w:t> </w:t>
      </w:r>
      <w:r>
        <w:rPr>
          <w:sz w:val="18"/>
        </w:rPr>
        <w:t>problems</w:t>
      </w:r>
      <w:r>
        <w:rPr>
          <w:spacing w:val="-6"/>
          <w:sz w:val="18"/>
        </w:rPr>
        <w:t> </w:t>
      </w:r>
      <w:r>
        <w:rPr>
          <w:sz w:val="18"/>
        </w:rPr>
        <w:t>were</w:t>
      </w:r>
      <w:r>
        <w:rPr>
          <w:spacing w:val="-5"/>
          <w:sz w:val="18"/>
        </w:rPr>
        <w:t> </w:t>
      </w:r>
      <w:r>
        <w:rPr>
          <w:sz w:val="18"/>
        </w:rPr>
        <w:t>increasing</w:t>
      </w:r>
      <w:r>
        <w:rPr>
          <w:spacing w:val="-6"/>
          <w:sz w:val="18"/>
        </w:rPr>
        <w:t> </w:t>
      </w:r>
      <w:r>
        <w:rPr>
          <w:sz w:val="18"/>
        </w:rPr>
        <w:t>across the economy as a</w:t>
      </w:r>
      <w:r>
        <w:rPr>
          <w:spacing w:val="-5"/>
          <w:sz w:val="18"/>
        </w:rPr>
        <w:t> </w:t>
      </w:r>
      <w:r>
        <w:rPr>
          <w:sz w:val="18"/>
        </w:rPr>
        <w:t>whole.</w:t>
      </w:r>
    </w:p>
    <w:p>
      <w:pPr>
        <w:pStyle w:val="BodyText"/>
        <w:spacing w:before="10"/>
        <w:rPr>
          <w:sz w:val="16"/>
        </w:rPr>
      </w:pPr>
    </w:p>
    <w:p>
      <w:pPr>
        <w:pStyle w:val="ListParagraph"/>
        <w:numPr>
          <w:ilvl w:val="0"/>
          <w:numId w:val="51"/>
        </w:numPr>
        <w:tabs>
          <w:tab w:pos="665" w:val="left" w:leader="none"/>
          <w:tab w:pos="666" w:val="left" w:leader="none"/>
        </w:tabs>
        <w:spacing w:line="232" w:lineRule="auto" w:before="0" w:after="0"/>
        <w:ind w:left="185" w:right="174" w:firstLine="0"/>
        <w:jc w:val="left"/>
        <w:rPr>
          <w:sz w:val="18"/>
        </w:rPr>
      </w:pPr>
      <w:r>
        <w:rPr>
          <w:sz w:val="18"/>
        </w:rPr>
        <w:t>While the quantities data suggested that the labour market remained tight, and might be tightening further, there was little sign yet of this feeding through into higher nominal earnings. The Average Earnings Index (AEI) showed another fall in earnings growth, from 4.6% to 4.1% on the three-month headline basis, and from 4.0% in the year to May to 3.8% in the year to June. These figures were below those incorporated for Q2 in the August </w:t>
      </w:r>
      <w:r>
        <w:rPr>
          <w:i/>
          <w:sz w:val="18"/>
        </w:rPr>
        <w:t>Inflation Report</w:t>
      </w:r>
      <w:r>
        <w:rPr>
          <w:sz w:val="18"/>
        </w:rPr>
        <w:t>, but it remained to be seen how far they reflected one-off influences, and how far a continuing moderation in earnings</w:t>
      </w:r>
      <w:r>
        <w:rPr>
          <w:spacing w:val="-2"/>
          <w:sz w:val="18"/>
        </w:rPr>
        <w:t> </w:t>
      </w:r>
      <w:r>
        <w:rPr>
          <w:sz w:val="18"/>
        </w:rPr>
        <w:t>growth.</w:t>
      </w:r>
    </w:p>
    <w:p>
      <w:pPr>
        <w:pStyle w:val="ListParagraph"/>
        <w:numPr>
          <w:ilvl w:val="0"/>
          <w:numId w:val="51"/>
        </w:numPr>
        <w:tabs>
          <w:tab w:pos="665" w:val="left" w:leader="none"/>
          <w:tab w:pos="666" w:val="left" w:leader="none"/>
        </w:tabs>
        <w:spacing w:line="232" w:lineRule="auto" w:before="173" w:after="0"/>
        <w:ind w:left="185" w:right="265" w:firstLine="0"/>
        <w:jc w:val="left"/>
        <w:rPr>
          <w:sz w:val="18"/>
        </w:rPr>
      </w:pPr>
      <w:r>
        <w:rPr>
          <w:sz w:val="18"/>
        </w:rPr>
        <w:t>The recent slowdown in earnings growth was accounted for by a substantial negative contribution from bonuses, both in May and June, most notably in the private services sector, where earnings</w:t>
      </w:r>
      <w:r>
        <w:rPr>
          <w:spacing w:val="-5"/>
          <w:sz w:val="18"/>
        </w:rPr>
        <w:t> </w:t>
      </w:r>
      <w:r>
        <w:rPr>
          <w:sz w:val="18"/>
        </w:rPr>
        <w:t>in</w:t>
      </w:r>
      <w:r>
        <w:rPr>
          <w:spacing w:val="-4"/>
          <w:sz w:val="18"/>
        </w:rPr>
        <w:t> </w:t>
      </w:r>
      <w:r>
        <w:rPr>
          <w:sz w:val="18"/>
        </w:rPr>
        <w:t>June</w:t>
      </w:r>
      <w:r>
        <w:rPr>
          <w:spacing w:val="-4"/>
          <w:sz w:val="18"/>
        </w:rPr>
        <w:t> </w:t>
      </w:r>
      <w:r>
        <w:rPr>
          <w:sz w:val="18"/>
        </w:rPr>
        <w:t>were</w:t>
      </w:r>
      <w:r>
        <w:rPr>
          <w:spacing w:val="-4"/>
          <w:sz w:val="18"/>
        </w:rPr>
        <w:t> </w:t>
      </w:r>
      <w:r>
        <w:rPr>
          <w:sz w:val="18"/>
        </w:rPr>
        <w:t>only</w:t>
      </w:r>
      <w:r>
        <w:rPr>
          <w:spacing w:val="-4"/>
          <w:sz w:val="18"/>
        </w:rPr>
        <w:t> </w:t>
      </w:r>
      <w:r>
        <w:rPr>
          <w:sz w:val="18"/>
        </w:rPr>
        <w:t>3.3%</w:t>
      </w:r>
      <w:r>
        <w:rPr>
          <w:spacing w:val="-4"/>
          <w:sz w:val="18"/>
        </w:rPr>
        <w:t> </w:t>
      </w:r>
      <w:r>
        <w:rPr>
          <w:sz w:val="18"/>
        </w:rPr>
        <w:t>higher</w:t>
      </w:r>
      <w:r>
        <w:rPr>
          <w:spacing w:val="-5"/>
          <w:sz w:val="18"/>
        </w:rPr>
        <w:t> </w:t>
      </w:r>
      <w:r>
        <w:rPr>
          <w:sz w:val="18"/>
        </w:rPr>
        <w:t>than</w:t>
      </w:r>
      <w:r>
        <w:rPr>
          <w:spacing w:val="-4"/>
          <w:sz w:val="18"/>
        </w:rPr>
        <w:t> </w:t>
      </w:r>
      <w:r>
        <w:rPr>
          <w:sz w:val="18"/>
        </w:rPr>
        <w:t>a</w:t>
      </w:r>
      <w:r>
        <w:rPr>
          <w:spacing w:val="-4"/>
          <w:sz w:val="18"/>
        </w:rPr>
        <w:t> </w:t>
      </w:r>
      <w:r>
        <w:rPr>
          <w:sz w:val="18"/>
        </w:rPr>
        <w:t>year</w:t>
      </w:r>
      <w:r>
        <w:rPr>
          <w:spacing w:val="-4"/>
          <w:sz w:val="18"/>
        </w:rPr>
        <w:t> </w:t>
      </w:r>
      <w:r>
        <w:rPr>
          <w:sz w:val="18"/>
        </w:rPr>
        <w:t>ago,</w:t>
      </w:r>
      <w:r>
        <w:rPr>
          <w:spacing w:val="-4"/>
          <w:sz w:val="18"/>
        </w:rPr>
        <w:t> </w:t>
      </w:r>
      <w:r>
        <w:rPr>
          <w:sz w:val="18"/>
        </w:rPr>
        <w:t>as</w:t>
      </w:r>
      <w:r>
        <w:rPr>
          <w:spacing w:val="-4"/>
          <w:sz w:val="18"/>
        </w:rPr>
        <w:t> </w:t>
      </w:r>
      <w:r>
        <w:rPr>
          <w:sz w:val="18"/>
        </w:rPr>
        <w:t>against</w:t>
      </w:r>
    </w:p>
    <w:p>
      <w:pPr>
        <w:spacing w:after="0" w:line="232" w:lineRule="auto"/>
        <w:jc w:val="left"/>
        <w:rPr>
          <w:sz w:val="18"/>
        </w:rPr>
        <w:sectPr>
          <w:type w:val="continuous"/>
          <w:pgSz w:w="11900" w:h="16840"/>
          <w:pgMar w:top="1260" w:bottom="280" w:left="640" w:right="640"/>
          <w:cols w:num="2" w:equalWidth="0">
            <w:col w:w="5118" w:space="262"/>
            <w:col w:w="524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spacing w:line="232" w:lineRule="auto" w:before="1"/>
        <w:ind w:left="174" w:right="179" w:firstLine="0"/>
        <w:jc w:val="left"/>
        <w:rPr>
          <w:sz w:val="18"/>
        </w:rPr>
      </w:pPr>
      <w:r>
        <w:rPr>
          <w:sz w:val="18"/>
        </w:rPr>
        <w:t>4.4% in manufacturing. In as much as this deceleration reflected pressure on profits, this was consistent with the stock market underperformance of the retail sector and reports from the Bank’s regional Agents of subdued high street activity. Whole-economy regular pay, ie earnings excluding bonuses, had been growing at around 4</w:t>
      </w:r>
      <w:r>
        <w:rPr>
          <w:position w:val="6"/>
          <w:sz w:val="9"/>
        </w:rPr>
        <w:t>1</w:t>
      </w:r>
      <w:r>
        <w:rPr>
          <w:sz w:val="18"/>
        </w:rPr>
        <w:t>/</w:t>
      </w:r>
      <w:r>
        <w:rPr>
          <w:sz w:val="9"/>
        </w:rPr>
        <w:t>2</w:t>
      </w:r>
      <w:r>
        <w:rPr>
          <w:sz w:val="18"/>
        </w:rPr>
        <w:t>% a year since March.</w:t>
      </w:r>
    </w:p>
    <w:p>
      <w:pPr>
        <w:pStyle w:val="BodyText"/>
        <w:spacing w:before="11"/>
        <w:rPr>
          <w:sz w:val="16"/>
        </w:rPr>
      </w:pPr>
    </w:p>
    <w:p>
      <w:pPr>
        <w:pStyle w:val="ListParagraph"/>
        <w:numPr>
          <w:ilvl w:val="0"/>
          <w:numId w:val="51"/>
        </w:numPr>
        <w:tabs>
          <w:tab w:pos="654" w:val="left" w:leader="none"/>
          <w:tab w:pos="655" w:val="left" w:leader="none"/>
        </w:tabs>
        <w:spacing w:line="232" w:lineRule="auto" w:before="0" w:after="0"/>
        <w:ind w:left="174" w:right="212" w:firstLine="0"/>
        <w:jc w:val="left"/>
        <w:rPr>
          <w:sz w:val="18"/>
        </w:rPr>
      </w:pPr>
      <w:r>
        <w:rPr>
          <w:sz w:val="18"/>
        </w:rPr>
        <w:t>The Committee discussed the significance of these figures. Earlier in the year it had noted that millennium-related payments had pushed up earnings growth, and that as a result the figures needed to be interpreted with care. This was less of a problem now that the change of millennium was past, and in any case the main news was the surprisingly large fall in bonus payments; growth in regular pay was relatively stable. This could suggest welcome evidence of a more flexible wages structure. While some recovery in bonuses and thus AEI growth rates was quite likely, bonuses for many workers in 2000 Q4 and 2001 Q1 would not be as large as those paid around the turn of the millennium. This effect had been incorporated into the central projection of the August </w:t>
      </w:r>
      <w:r>
        <w:rPr>
          <w:i/>
          <w:sz w:val="18"/>
        </w:rPr>
        <w:t>Inflation Report</w:t>
      </w:r>
      <w:r>
        <w:rPr>
          <w:sz w:val="18"/>
        </w:rPr>
        <w:t>, but some members now thought it likely that over the next few quarters the AEI would grow more slowly than had been assumed in</w:t>
      </w:r>
      <w:r>
        <w:rPr>
          <w:spacing w:val="-20"/>
          <w:sz w:val="18"/>
        </w:rPr>
        <w:t> </w:t>
      </w:r>
      <w:r>
        <w:rPr>
          <w:sz w:val="18"/>
        </w:rPr>
        <w:t>the</w:t>
      </w:r>
    </w:p>
    <w:p>
      <w:pPr>
        <w:spacing w:line="190" w:lineRule="exact" w:before="0"/>
        <w:ind w:left="174" w:right="0" w:firstLine="0"/>
        <w:jc w:val="left"/>
        <w:rPr>
          <w:sz w:val="18"/>
        </w:rPr>
      </w:pPr>
      <w:r>
        <w:rPr>
          <w:sz w:val="18"/>
        </w:rPr>
        <w:t>forecast.</w:t>
      </w:r>
    </w:p>
    <w:p>
      <w:pPr>
        <w:pStyle w:val="BodyText"/>
        <w:spacing w:before="2"/>
        <w:rPr>
          <w:sz w:val="17"/>
        </w:rPr>
      </w:pPr>
    </w:p>
    <w:p>
      <w:pPr>
        <w:pStyle w:val="ListParagraph"/>
        <w:numPr>
          <w:ilvl w:val="0"/>
          <w:numId w:val="51"/>
        </w:numPr>
        <w:tabs>
          <w:tab w:pos="654" w:val="left" w:leader="none"/>
          <w:tab w:pos="655" w:val="left" w:leader="none"/>
        </w:tabs>
        <w:spacing w:line="232" w:lineRule="auto" w:before="1" w:after="0"/>
        <w:ind w:left="174" w:right="62" w:firstLine="0"/>
        <w:jc w:val="left"/>
        <w:rPr>
          <w:sz w:val="18"/>
        </w:rPr>
      </w:pPr>
      <w:r>
        <w:rPr>
          <w:sz w:val="18"/>
        </w:rPr>
        <w:t>Despite the tightness of the labour market, nominal wage settlements had fallen back from close to 4% two years ago to around 3% now, during a period in which inflation as measured by the RPI (which included mortgage interest payments) had generally been very low. More recently RPI inflation had risen, and there were signs of a small pick-up in settlements when measured on a three-month basis, although this figure was susceptible to distortions from compositional and timing effects. Most firms still seemed able to achieve relatively low nominal settlements, and in many there was now no such thing as an annual settlement, with pay depending instead on the performance of the individual or of the division in which they</w:t>
      </w:r>
      <w:r>
        <w:rPr>
          <w:spacing w:val="-8"/>
          <w:sz w:val="18"/>
        </w:rPr>
        <w:t> </w:t>
      </w:r>
      <w:r>
        <w:rPr>
          <w:sz w:val="18"/>
        </w:rPr>
        <w:t>worked.</w:t>
      </w:r>
    </w:p>
    <w:p>
      <w:pPr>
        <w:pStyle w:val="BodyText"/>
        <w:spacing w:before="6"/>
        <w:rPr>
          <w:sz w:val="16"/>
        </w:rPr>
      </w:pPr>
    </w:p>
    <w:p>
      <w:pPr>
        <w:pStyle w:val="ListParagraph"/>
        <w:numPr>
          <w:ilvl w:val="0"/>
          <w:numId w:val="51"/>
        </w:numPr>
        <w:tabs>
          <w:tab w:pos="654" w:val="left" w:leader="none"/>
          <w:tab w:pos="655" w:val="left" w:leader="none"/>
        </w:tabs>
        <w:spacing w:line="232" w:lineRule="auto" w:before="0" w:after="0"/>
        <w:ind w:left="174" w:right="112" w:firstLine="0"/>
        <w:jc w:val="left"/>
        <w:rPr>
          <w:sz w:val="18"/>
        </w:rPr>
      </w:pPr>
      <w:r>
        <w:rPr>
          <w:sz w:val="18"/>
        </w:rPr>
        <w:t>In real terms the position was more complex. The strength of the exchange rate and the weakness of most commodity prices during 1998 and 1999 had enabled the real consumption wage (deflated by the taxes and prices index) to rise by 4% in 1999, compared with less than 2</w:t>
      </w:r>
      <w:r>
        <w:rPr>
          <w:position w:val="6"/>
          <w:sz w:val="9"/>
        </w:rPr>
        <w:t>1</w:t>
      </w:r>
      <w:r>
        <w:rPr>
          <w:sz w:val="18"/>
        </w:rPr>
        <w:t>/</w:t>
      </w:r>
      <w:r>
        <w:rPr>
          <w:sz w:val="9"/>
        </w:rPr>
        <w:t>2</w:t>
      </w:r>
      <w:r>
        <w:rPr>
          <w:sz w:val="18"/>
        </w:rPr>
        <w:t>% for the real product wage (measured using the GDP deflator). This gap had begun to narrow recently, but as import prices began to rise and the growth in the real consumption wage fell back towards 3% it remained to be seen whether pressure for higher nominal wages would increase, and whether unit labour costs would continue to moderate as in the </w:t>
      </w:r>
      <w:r>
        <w:rPr>
          <w:i/>
          <w:sz w:val="18"/>
        </w:rPr>
        <w:t>Inflation Report</w:t>
      </w:r>
      <w:r>
        <w:rPr>
          <w:i/>
          <w:spacing w:val="-1"/>
          <w:sz w:val="18"/>
        </w:rPr>
        <w:t> </w:t>
      </w:r>
      <w:r>
        <w:rPr>
          <w:sz w:val="18"/>
        </w:rPr>
        <w:t>projections.</w:t>
      </w:r>
    </w:p>
    <w:p>
      <w:pPr>
        <w:pStyle w:val="BodyText"/>
        <w:spacing w:before="11"/>
        <w:rPr>
          <w:sz w:val="19"/>
        </w:rPr>
      </w:pPr>
    </w:p>
    <w:p>
      <w:pPr>
        <w:spacing w:before="0"/>
        <w:ind w:left="174" w:right="0" w:firstLine="0"/>
        <w:jc w:val="left"/>
        <w:rPr>
          <w:b/>
          <w:sz w:val="22"/>
        </w:rPr>
      </w:pPr>
      <w:r>
        <w:rPr>
          <w:b/>
          <w:color w:val="009391"/>
          <w:sz w:val="22"/>
        </w:rPr>
        <w:t>Prices and costs</w:t>
      </w:r>
    </w:p>
    <w:p>
      <w:pPr>
        <w:pStyle w:val="ListParagraph"/>
        <w:numPr>
          <w:ilvl w:val="0"/>
          <w:numId w:val="51"/>
        </w:numPr>
        <w:tabs>
          <w:tab w:pos="654" w:val="left" w:leader="none"/>
          <w:tab w:pos="655" w:val="left" w:leader="none"/>
        </w:tabs>
        <w:spacing w:line="232" w:lineRule="auto" w:before="129" w:after="0"/>
        <w:ind w:left="174" w:right="38" w:firstLine="0"/>
        <w:jc w:val="left"/>
        <w:rPr>
          <w:sz w:val="18"/>
        </w:rPr>
      </w:pPr>
      <w:r>
        <w:rPr>
          <w:sz w:val="18"/>
        </w:rPr>
        <w:t>RPIX inflation had remained at 2.2% in July, with increases in seasonal food prices offset by record monthly falls in the prices of</w:t>
      </w:r>
      <w:r>
        <w:rPr>
          <w:spacing w:val="-7"/>
          <w:sz w:val="18"/>
        </w:rPr>
        <w:t> </w:t>
      </w:r>
      <w:r>
        <w:rPr>
          <w:sz w:val="18"/>
        </w:rPr>
        <w:t>clothing</w:t>
      </w:r>
      <w:r>
        <w:rPr>
          <w:spacing w:val="-7"/>
          <w:sz w:val="18"/>
        </w:rPr>
        <w:t> </w:t>
      </w:r>
      <w:r>
        <w:rPr>
          <w:sz w:val="18"/>
        </w:rPr>
        <w:t>and</w:t>
      </w:r>
      <w:r>
        <w:rPr>
          <w:spacing w:val="-6"/>
          <w:sz w:val="18"/>
        </w:rPr>
        <w:t> </w:t>
      </w:r>
      <w:r>
        <w:rPr>
          <w:sz w:val="18"/>
        </w:rPr>
        <w:t>footwear,</w:t>
      </w:r>
      <w:r>
        <w:rPr>
          <w:spacing w:val="-7"/>
          <w:sz w:val="18"/>
        </w:rPr>
        <w:t> </w:t>
      </w:r>
      <w:r>
        <w:rPr>
          <w:sz w:val="18"/>
        </w:rPr>
        <w:t>reflecting</w:t>
      </w:r>
      <w:r>
        <w:rPr>
          <w:spacing w:val="-6"/>
          <w:sz w:val="18"/>
        </w:rPr>
        <w:t> </w:t>
      </w:r>
      <w:r>
        <w:rPr>
          <w:sz w:val="18"/>
        </w:rPr>
        <w:t>greater</w:t>
      </w:r>
      <w:r>
        <w:rPr>
          <w:spacing w:val="-7"/>
          <w:sz w:val="18"/>
        </w:rPr>
        <w:t> </w:t>
      </w:r>
      <w:r>
        <w:rPr>
          <w:sz w:val="18"/>
        </w:rPr>
        <w:t>discounting</w:t>
      </w:r>
      <w:r>
        <w:rPr>
          <w:spacing w:val="-6"/>
          <w:sz w:val="18"/>
        </w:rPr>
        <w:t> </w:t>
      </w:r>
      <w:r>
        <w:rPr>
          <w:sz w:val="18"/>
        </w:rPr>
        <w:t>than</w:t>
      </w:r>
      <w:r>
        <w:rPr>
          <w:spacing w:val="-7"/>
          <w:sz w:val="18"/>
        </w:rPr>
        <w:t> </w:t>
      </w:r>
      <w:r>
        <w:rPr>
          <w:sz w:val="18"/>
        </w:rPr>
        <w:t>normal in the July sales.  Looking forward, the latest ONS advance estimate of RPIX, which was on this occasion available for the Committee’s meeting, was for the inflation rate to fall in August. If so, this would be the seventeenth month in succession in which RPIX inflation had been below the 2.5% target. Petrol prices had fallen in August, partly as a result of greater retail competition, but it was unclear whether such falls would persist if the oil price itself remained</w:t>
      </w:r>
      <w:r>
        <w:rPr>
          <w:spacing w:val="-2"/>
          <w:sz w:val="18"/>
        </w:rPr>
        <w:t> </w:t>
      </w:r>
      <w:r>
        <w:rPr>
          <w:sz w:val="18"/>
        </w:rPr>
        <w:t>strong.</w:t>
      </w:r>
    </w:p>
    <w:p>
      <w:pPr>
        <w:pStyle w:val="BodyText"/>
        <w:spacing w:before="8"/>
        <w:rPr>
          <w:sz w:val="16"/>
        </w:rPr>
      </w:pPr>
    </w:p>
    <w:p>
      <w:pPr>
        <w:pStyle w:val="ListParagraph"/>
        <w:numPr>
          <w:ilvl w:val="0"/>
          <w:numId w:val="51"/>
        </w:numPr>
        <w:tabs>
          <w:tab w:pos="654" w:val="left" w:leader="none"/>
          <w:tab w:pos="655" w:val="left" w:leader="none"/>
        </w:tabs>
        <w:spacing w:line="232" w:lineRule="auto" w:before="0" w:after="0"/>
        <w:ind w:left="174" w:right="42" w:firstLine="0"/>
        <w:jc w:val="left"/>
        <w:rPr>
          <w:sz w:val="18"/>
        </w:rPr>
      </w:pPr>
      <w:r>
        <w:rPr>
          <w:sz w:val="18"/>
        </w:rPr>
        <w:t>Survey data were consistent with continuing subdued price pressures in the short term, despite the tightness of labour and product markets. The CBI Distributive Trades Survey showed a steep fall in the balance for average retail selling prices, from -6 in 2000 Q2 to -25 in Q3, and the ‘prices charged’ measure in the CIPS services survey had also fallen. Inflation as measured by the GDP deflator had declined sharply in Q2, to only 1.8%, but this was subject to revision when new estimates for the National Accounts were</w:t>
      </w:r>
      <w:r>
        <w:rPr>
          <w:spacing w:val="-2"/>
          <w:sz w:val="18"/>
        </w:rPr>
        <w:t> </w:t>
      </w:r>
      <w:r>
        <w:rPr>
          <w:sz w:val="18"/>
        </w:rPr>
        <w:t>produced.</w:t>
      </w:r>
    </w:p>
    <w:p>
      <w:pPr>
        <w:pStyle w:val="BodyText"/>
        <w:spacing w:before="7"/>
        <w:rPr>
          <w:sz w:val="19"/>
        </w:rPr>
      </w:pPr>
      <w:r>
        <w:rPr/>
        <w:br w:type="column"/>
      </w:r>
      <w:r>
        <w:rPr>
          <w:sz w:val="19"/>
        </w:rPr>
      </w:r>
    </w:p>
    <w:p>
      <w:pPr>
        <w:pStyle w:val="ListParagraph"/>
        <w:numPr>
          <w:ilvl w:val="0"/>
          <w:numId w:val="51"/>
        </w:numPr>
        <w:tabs>
          <w:tab w:pos="654" w:val="left" w:leader="none"/>
          <w:tab w:pos="655" w:val="left" w:leader="none"/>
        </w:tabs>
        <w:spacing w:line="232" w:lineRule="auto" w:before="1" w:after="0"/>
        <w:ind w:left="174" w:right="315" w:firstLine="0"/>
        <w:jc w:val="left"/>
        <w:rPr>
          <w:sz w:val="18"/>
        </w:rPr>
      </w:pPr>
      <w:r>
        <w:rPr>
          <w:sz w:val="18"/>
        </w:rPr>
        <w:t>Views differed on the significance of the persistent undershoot of the inflation target. By historic standards RPIX inflation had been extremely stable in recent years, and had remained close to its 2.5% target since the establishment of the Committee. It was in any case unrealistic to expect inflation outturns very near 2.5% month after month, not least because of external</w:t>
      </w:r>
      <w:r>
        <w:rPr>
          <w:spacing w:val="-5"/>
          <w:sz w:val="18"/>
        </w:rPr>
        <w:t> </w:t>
      </w:r>
      <w:r>
        <w:rPr>
          <w:sz w:val="18"/>
        </w:rPr>
        <w:t>shocks</w:t>
      </w:r>
      <w:r>
        <w:rPr>
          <w:spacing w:val="-5"/>
          <w:sz w:val="18"/>
        </w:rPr>
        <w:t> </w:t>
      </w:r>
      <w:r>
        <w:rPr>
          <w:sz w:val="18"/>
        </w:rPr>
        <w:t>such</w:t>
      </w:r>
      <w:r>
        <w:rPr>
          <w:spacing w:val="-5"/>
          <w:sz w:val="18"/>
        </w:rPr>
        <w:t> </w:t>
      </w:r>
      <w:r>
        <w:rPr>
          <w:sz w:val="18"/>
        </w:rPr>
        <w:t>as</w:t>
      </w:r>
      <w:r>
        <w:rPr>
          <w:spacing w:val="-5"/>
          <w:sz w:val="18"/>
        </w:rPr>
        <w:t> </w:t>
      </w:r>
      <w:r>
        <w:rPr>
          <w:sz w:val="18"/>
        </w:rPr>
        <w:t>movements</w:t>
      </w:r>
      <w:r>
        <w:rPr>
          <w:spacing w:val="-5"/>
          <w:sz w:val="18"/>
        </w:rPr>
        <w:t> </w:t>
      </w:r>
      <w:r>
        <w:rPr>
          <w:sz w:val="18"/>
        </w:rPr>
        <w:t>in</w:t>
      </w:r>
      <w:r>
        <w:rPr>
          <w:spacing w:val="-5"/>
          <w:sz w:val="18"/>
        </w:rPr>
        <w:t> </w:t>
      </w:r>
      <w:r>
        <w:rPr>
          <w:sz w:val="18"/>
        </w:rPr>
        <w:t>oil</w:t>
      </w:r>
      <w:r>
        <w:rPr>
          <w:spacing w:val="-5"/>
          <w:sz w:val="18"/>
        </w:rPr>
        <w:t> </w:t>
      </w:r>
      <w:r>
        <w:rPr>
          <w:sz w:val="18"/>
        </w:rPr>
        <w:t>and</w:t>
      </w:r>
      <w:r>
        <w:rPr>
          <w:spacing w:val="-5"/>
          <w:sz w:val="18"/>
        </w:rPr>
        <w:t> </w:t>
      </w:r>
      <w:r>
        <w:rPr>
          <w:sz w:val="18"/>
        </w:rPr>
        <w:t>other</w:t>
      </w:r>
      <w:r>
        <w:rPr>
          <w:spacing w:val="-5"/>
          <w:sz w:val="18"/>
        </w:rPr>
        <w:t> </w:t>
      </w:r>
      <w:r>
        <w:rPr>
          <w:sz w:val="18"/>
        </w:rPr>
        <w:t>import</w:t>
      </w:r>
      <w:r>
        <w:rPr>
          <w:spacing w:val="-5"/>
          <w:sz w:val="18"/>
        </w:rPr>
        <w:t> </w:t>
      </w:r>
      <w:r>
        <w:rPr>
          <w:sz w:val="18"/>
        </w:rPr>
        <w:t>prices.</w:t>
      </w:r>
    </w:p>
    <w:p>
      <w:pPr>
        <w:spacing w:line="193" w:lineRule="exact" w:before="0"/>
        <w:ind w:left="174" w:right="0" w:firstLine="0"/>
        <w:jc w:val="left"/>
        <w:rPr>
          <w:sz w:val="18"/>
        </w:rPr>
      </w:pPr>
      <w:r>
        <w:rPr>
          <w:sz w:val="18"/>
        </w:rPr>
        <w:t>Against this background the Committee should remain</w:t>
      </w:r>
    </w:p>
    <w:p>
      <w:pPr>
        <w:spacing w:line="232" w:lineRule="auto" w:before="1"/>
        <w:ind w:left="174" w:right="147" w:firstLine="0"/>
        <w:jc w:val="left"/>
        <w:rPr>
          <w:sz w:val="18"/>
        </w:rPr>
      </w:pPr>
      <w:r>
        <w:rPr>
          <w:sz w:val="18"/>
        </w:rPr>
        <w:t>forward-looking and symmetric in its actions, aiming equally to avoid both overshoots and undershoots of the target, while acknowledging that it could do little to affect inflation over the very short term.</w:t>
      </w:r>
    </w:p>
    <w:p>
      <w:pPr>
        <w:pStyle w:val="BodyText"/>
        <w:spacing w:before="1"/>
        <w:rPr>
          <w:sz w:val="17"/>
        </w:rPr>
      </w:pPr>
    </w:p>
    <w:p>
      <w:pPr>
        <w:pStyle w:val="ListParagraph"/>
        <w:numPr>
          <w:ilvl w:val="0"/>
          <w:numId w:val="51"/>
        </w:numPr>
        <w:tabs>
          <w:tab w:pos="654" w:val="left" w:leader="none"/>
          <w:tab w:pos="655" w:val="left" w:leader="none"/>
        </w:tabs>
        <w:spacing w:line="232" w:lineRule="auto" w:before="1" w:after="0"/>
        <w:ind w:left="174" w:right="155" w:firstLine="0"/>
        <w:jc w:val="left"/>
        <w:rPr>
          <w:sz w:val="18"/>
        </w:rPr>
      </w:pPr>
      <w:r>
        <w:rPr>
          <w:sz w:val="18"/>
        </w:rPr>
        <w:t>There were various possible explanations for inflation having recently been slightly below target.  Some members thought that the short-term relationship between growth and inflation had become more benign, for instance because of structural changes to the supply side of the economy. They pointed out that the Committee’s inflation forecasts of two years ago had been above the actual outturns while its forecasts for growth had been below. Other members thought that the recent inflation numbers might simply reflect continuing downward pressure</w:t>
      </w:r>
      <w:r>
        <w:rPr>
          <w:spacing w:val="-11"/>
          <w:sz w:val="18"/>
        </w:rPr>
        <w:t> </w:t>
      </w:r>
      <w:r>
        <w:rPr>
          <w:sz w:val="18"/>
        </w:rPr>
        <w:t>from</w:t>
      </w:r>
    </w:p>
    <w:p>
      <w:pPr>
        <w:spacing w:line="232" w:lineRule="auto" w:before="0"/>
        <w:ind w:left="174" w:right="467" w:firstLine="0"/>
        <w:jc w:val="left"/>
        <w:rPr>
          <w:sz w:val="18"/>
        </w:rPr>
      </w:pPr>
      <w:r>
        <w:rPr>
          <w:sz w:val="18"/>
        </w:rPr>
        <w:t>weaker-than-anticipated import prices, with the exchange rate remaining stronger for longer than had been projected in earlier forecasts. The Committee would continue to look at the information contained in the most recent inflation outturns, and compare this with its forecasts, to see how far the comparison cast any light on how much weight to put on each of these explanations.</w:t>
      </w:r>
    </w:p>
    <w:p>
      <w:pPr>
        <w:pStyle w:val="BodyText"/>
        <w:spacing w:before="3"/>
        <w:rPr>
          <w:sz w:val="16"/>
        </w:rPr>
      </w:pPr>
    </w:p>
    <w:p>
      <w:pPr>
        <w:pStyle w:val="ListParagraph"/>
        <w:numPr>
          <w:ilvl w:val="0"/>
          <w:numId w:val="51"/>
        </w:numPr>
        <w:tabs>
          <w:tab w:pos="654" w:val="left" w:leader="none"/>
          <w:tab w:pos="655" w:val="left" w:leader="none"/>
        </w:tabs>
        <w:spacing w:line="232" w:lineRule="auto" w:before="0" w:after="0"/>
        <w:ind w:left="174" w:right="196" w:firstLine="0"/>
        <w:jc w:val="left"/>
        <w:rPr>
          <w:sz w:val="18"/>
        </w:rPr>
      </w:pPr>
      <w:r>
        <w:rPr>
          <w:sz w:val="18"/>
        </w:rPr>
        <w:t>The Committee noted that while inflation continued to run slightly</w:t>
      </w:r>
      <w:r>
        <w:rPr>
          <w:spacing w:val="-7"/>
          <w:sz w:val="18"/>
        </w:rPr>
        <w:t> </w:t>
      </w:r>
      <w:r>
        <w:rPr>
          <w:sz w:val="18"/>
        </w:rPr>
        <w:t>below</w:t>
      </w:r>
      <w:r>
        <w:rPr>
          <w:spacing w:val="-7"/>
          <w:sz w:val="18"/>
        </w:rPr>
        <w:t> </w:t>
      </w:r>
      <w:r>
        <w:rPr>
          <w:sz w:val="18"/>
        </w:rPr>
        <w:t>target,</w:t>
      </w:r>
      <w:r>
        <w:rPr>
          <w:spacing w:val="-6"/>
          <w:sz w:val="18"/>
        </w:rPr>
        <w:t> </w:t>
      </w:r>
      <w:r>
        <w:rPr>
          <w:sz w:val="18"/>
        </w:rPr>
        <w:t>inflation</w:t>
      </w:r>
      <w:r>
        <w:rPr>
          <w:spacing w:val="-7"/>
          <w:sz w:val="18"/>
        </w:rPr>
        <w:t> </w:t>
      </w:r>
      <w:r>
        <w:rPr>
          <w:sz w:val="18"/>
        </w:rPr>
        <w:t>expectations</w:t>
      </w:r>
      <w:r>
        <w:rPr>
          <w:spacing w:val="-6"/>
          <w:sz w:val="18"/>
        </w:rPr>
        <w:t> </w:t>
      </w:r>
      <w:r>
        <w:rPr>
          <w:sz w:val="18"/>
        </w:rPr>
        <w:t>for</w:t>
      </w:r>
      <w:r>
        <w:rPr>
          <w:spacing w:val="-7"/>
          <w:sz w:val="18"/>
        </w:rPr>
        <w:t> </w:t>
      </w:r>
      <w:r>
        <w:rPr>
          <w:sz w:val="18"/>
        </w:rPr>
        <w:t>2001</w:t>
      </w:r>
      <w:r>
        <w:rPr>
          <w:spacing w:val="-6"/>
          <w:sz w:val="18"/>
        </w:rPr>
        <w:t> </w:t>
      </w:r>
      <w:r>
        <w:rPr>
          <w:sz w:val="18"/>
        </w:rPr>
        <w:t>remained</w:t>
      </w:r>
      <w:r>
        <w:rPr>
          <w:spacing w:val="-7"/>
          <w:sz w:val="18"/>
        </w:rPr>
        <w:t> </w:t>
      </w:r>
      <w:r>
        <w:rPr>
          <w:sz w:val="18"/>
        </w:rPr>
        <w:t>very stable, and appeared anchored close to the 2.5% target, despite the sharp movements in the oil price and the exchange rate in recent months.</w:t>
      </w:r>
    </w:p>
    <w:p>
      <w:pPr>
        <w:pStyle w:val="BodyText"/>
        <w:spacing w:before="1"/>
        <w:rPr>
          <w:sz w:val="17"/>
        </w:rPr>
      </w:pPr>
    </w:p>
    <w:p>
      <w:pPr>
        <w:pStyle w:val="ListParagraph"/>
        <w:numPr>
          <w:ilvl w:val="0"/>
          <w:numId w:val="51"/>
        </w:numPr>
        <w:tabs>
          <w:tab w:pos="654" w:val="left" w:leader="none"/>
          <w:tab w:pos="655" w:val="left" w:leader="none"/>
        </w:tabs>
        <w:spacing w:line="232" w:lineRule="auto" w:before="0" w:after="0"/>
        <w:ind w:left="174" w:right="160" w:firstLine="0"/>
        <w:jc w:val="left"/>
        <w:rPr>
          <w:sz w:val="18"/>
        </w:rPr>
      </w:pPr>
      <w:r>
        <w:rPr>
          <w:sz w:val="18"/>
        </w:rPr>
        <w:t>Surveys and reports from the Bank’s regional Agents suggested that downward competitive pressures on prices continued to intensify, for example in areas such as cars and petrol retailing. But stories of fierce competition in product markets were by no means new, and while the profit share in GDP had fallen back since 1997, it was still close to its long-run average. As such, official and company accounts data provided little hard evidence yet of a structural reduction in margins on an economy-wide basis, although there was more evidence of a decline from surveys. For some members, the relative stability of the profit share suggested that the pressures on prices were being translated into pressure on nominal earnings on account of accompanying changes in the labour market, rather than a margins squeeze: if so an intensification of competition would be difficult to discern in reported</w:t>
      </w:r>
      <w:r>
        <w:rPr>
          <w:spacing w:val="-25"/>
          <w:sz w:val="18"/>
        </w:rPr>
        <w:t> </w:t>
      </w:r>
      <w:r>
        <w:rPr>
          <w:sz w:val="18"/>
        </w:rPr>
        <w:t>profits.</w:t>
      </w:r>
    </w:p>
    <w:p>
      <w:pPr>
        <w:pStyle w:val="BodyText"/>
        <w:spacing w:before="8"/>
        <w:rPr>
          <w:sz w:val="19"/>
        </w:rPr>
      </w:pPr>
    </w:p>
    <w:p>
      <w:pPr>
        <w:spacing w:before="0"/>
        <w:ind w:left="174" w:right="0" w:firstLine="0"/>
        <w:jc w:val="left"/>
        <w:rPr>
          <w:b/>
          <w:sz w:val="22"/>
        </w:rPr>
      </w:pPr>
      <w:r>
        <w:rPr>
          <w:b/>
          <w:color w:val="009391"/>
          <w:sz w:val="22"/>
        </w:rPr>
        <w:t>The immediate policy decision</w:t>
      </w:r>
    </w:p>
    <w:p>
      <w:pPr>
        <w:pStyle w:val="ListParagraph"/>
        <w:numPr>
          <w:ilvl w:val="0"/>
          <w:numId w:val="51"/>
        </w:numPr>
        <w:tabs>
          <w:tab w:pos="654" w:val="left" w:leader="none"/>
          <w:tab w:pos="655" w:val="left" w:leader="none"/>
        </w:tabs>
        <w:spacing w:line="232" w:lineRule="auto" w:before="130" w:after="0"/>
        <w:ind w:left="174" w:right="201" w:firstLine="0"/>
        <w:jc w:val="left"/>
        <w:rPr>
          <w:sz w:val="18"/>
        </w:rPr>
      </w:pPr>
      <w:r>
        <w:rPr>
          <w:sz w:val="18"/>
        </w:rPr>
        <w:t>Most</w:t>
      </w:r>
      <w:r>
        <w:rPr>
          <w:spacing w:val="-5"/>
          <w:sz w:val="18"/>
        </w:rPr>
        <w:t> </w:t>
      </w:r>
      <w:r>
        <w:rPr>
          <w:sz w:val="18"/>
        </w:rPr>
        <w:t>members</w:t>
      </w:r>
      <w:r>
        <w:rPr>
          <w:spacing w:val="-5"/>
          <w:sz w:val="18"/>
        </w:rPr>
        <w:t> </w:t>
      </w:r>
      <w:r>
        <w:rPr>
          <w:sz w:val="18"/>
        </w:rPr>
        <w:t>felt</w:t>
      </w:r>
      <w:r>
        <w:rPr>
          <w:spacing w:val="-4"/>
          <w:sz w:val="18"/>
        </w:rPr>
        <w:t> </w:t>
      </w:r>
      <w:r>
        <w:rPr>
          <w:sz w:val="18"/>
        </w:rPr>
        <w:t>that</w:t>
      </w:r>
      <w:r>
        <w:rPr>
          <w:spacing w:val="-5"/>
          <w:sz w:val="18"/>
        </w:rPr>
        <w:t> </w:t>
      </w:r>
      <w:r>
        <w:rPr>
          <w:sz w:val="18"/>
        </w:rPr>
        <w:t>there</w:t>
      </w:r>
      <w:r>
        <w:rPr>
          <w:spacing w:val="-4"/>
          <w:sz w:val="18"/>
        </w:rPr>
        <w:t> </w:t>
      </w:r>
      <w:r>
        <w:rPr>
          <w:sz w:val="18"/>
        </w:rPr>
        <w:t>had</w:t>
      </w:r>
      <w:r>
        <w:rPr>
          <w:spacing w:val="-5"/>
          <w:sz w:val="18"/>
        </w:rPr>
        <w:t> </w:t>
      </w:r>
      <w:r>
        <w:rPr>
          <w:sz w:val="18"/>
        </w:rPr>
        <w:t>been</w:t>
      </w:r>
      <w:r>
        <w:rPr>
          <w:spacing w:val="-5"/>
          <w:sz w:val="18"/>
        </w:rPr>
        <w:t> </w:t>
      </w:r>
      <w:r>
        <w:rPr>
          <w:sz w:val="18"/>
        </w:rPr>
        <w:t>little</w:t>
      </w:r>
      <w:r>
        <w:rPr>
          <w:spacing w:val="-4"/>
          <w:sz w:val="18"/>
        </w:rPr>
        <w:t> </w:t>
      </w:r>
      <w:r>
        <w:rPr>
          <w:sz w:val="18"/>
        </w:rPr>
        <w:t>news</w:t>
      </w:r>
      <w:r>
        <w:rPr>
          <w:spacing w:val="-5"/>
          <w:sz w:val="18"/>
        </w:rPr>
        <w:t> </w:t>
      </w:r>
      <w:r>
        <w:rPr>
          <w:sz w:val="18"/>
        </w:rPr>
        <w:t>on</w:t>
      </w:r>
      <w:r>
        <w:rPr>
          <w:spacing w:val="-4"/>
          <w:sz w:val="18"/>
        </w:rPr>
        <w:t> </w:t>
      </w:r>
      <w:r>
        <w:rPr>
          <w:sz w:val="18"/>
        </w:rPr>
        <w:t>balance over the month. Oil prices were higher than expected, and the AEI lower, but it was possible that movements in both would prove to be erratic. For this reason, the considerations underlying the immediate policy decision were similar to those the previous month, and for some members the position remained finely balanced.</w:t>
      </w:r>
    </w:p>
    <w:p>
      <w:pPr>
        <w:pStyle w:val="BodyText"/>
        <w:spacing w:before="10"/>
        <w:rPr>
          <w:sz w:val="16"/>
        </w:rPr>
      </w:pPr>
    </w:p>
    <w:p>
      <w:pPr>
        <w:pStyle w:val="ListParagraph"/>
        <w:numPr>
          <w:ilvl w:val="0"/>
          <w:numId w:val="51"/>
        </w:numPr>
        <w:tabs>
          <w:tab w:pos="654" w:val="left" w:leader="none"/>
          <w:tab w:pos="655" w:val="left" w:leader="none"/>
        </w:tabs>
        <w:spacing w:line="232" w:lineRule="auto" w:before="0" w:after="0"/>
        <w:ind w:left="174" w:right="156" w:firstLine="0"/>
        <w:jc w:val="left"/>
        <w:rPr>
          <w:sz w:val="18"/>
        </w:rPr>
      </w:pPr>
      <w:r>
        <w:rPr>
          <w:sz w:val="18"/>
        </w:rPr>
        <w:t>On one view, the repo rate should be maintained at 6% this month. Various arguments were identified for so doing, to which different members attached different weights. First, there were now more signs that domestic demand growth in general, and consumption growth in particular, might indeed be moderating in line with the central projection in the August </w:t>
      </w:r>
      <w:r>
        <w:rPr>
          <w:i/>
          <w:sz w:val="18"/>
        </w:rPr>
        <w:t>Inflation Report</w:t>
      </w:r>
      <w:r>
        <w:rPr>
          <w:sz w:val="18"/>
        </w:rPr>
        <w:t>. Housing wealth and nominal earnings were both slowing rather faster than assumed there; most other housing market indicators (such as secured lending, net reservations and particulars delivered) were consistent with such a slowdown, as were retail sales, although the corporate borrowing figures were a puzzle.</w:t>
      </w:r>
      <w:r>
        <w:rPr>
          <w:spacing w:val="8"/>
          <w:sz w:val="18"/>
        </w:rPr>
        <w:t> </w:t>
      </w:r>
      <w:r>
        <w:rPr>
          <w:sz w:val="18"/>
        </w:rPr>
        <w:t>Second,</w:t>
      </w:r>
    </w:p>
    <w:p>
      <w:pPr>
        <w:spacing w:after="0" w:line="232" w:lineRule="auto"/>
        <w:jc w:val="left"/>
        <w:rPr>
          <w:sz w:val="18"/>
        </w:rPr>
        <w:sectPr>
          <w:type w:val="continuous"/>
          <w:pgSz w:w="11900" w:h="16840"/>
          <w:pgMar w:top="1260" w:bottom="280" w:left="640" w:right="640"/>
          <w:cols w:num="2" w:equalWidth="0">
            <w:col w:w="5107" w:space="278"/>
            <w:col w:w="5235"/>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spacing w:line="232" w:lineRule="auto" w:before="1"/>
        <w:ind w:left="180" w:right="83" w:firstLine="0"/>
        <w:jc w:val="left"/>
        <w:rPr>
          <w:sz w:val="18"/>
        </w:rPr>
      </w:pPr>
      <w:r>
        <w:rPr>
          <w:sz w:val="18"/>
        </w:rPr>
        <w:t>higher oil prices would tend to raise RPIX inflation in the short term, but it was questionable whether policy should react to any pick-up in inflation which was due solely to higher oil prices, particularly in the present conjuncture where this was likely to push RPIX inflation closer to target. In the longer term the oil price might fall back in line with market expectations, and if it did not it would tend to dampen domestic demand both here and abroad.</w:t>
      </w:r>
    </w:p>
    <w:p>
      <w:pPr>
        <w:spacing w:line="232" w:lineRule="auto" w:before="0"/>
        <w:ind w:left="180" w:right="72" w:firstLine="0"/>
        <w:jc w:val="left"/>
        <w:rPr>
          <w:sz w:val="18"/>
        </w:rPr>
      </w:pPr>
      <w:r>
        <w:rPr>
          <w:sz w:val="18"/>
        </w:rPr>
        <w:t>Third, the prospects for the world economy might now be a little less buoyant than had been the case a month ago. Fourth, the latest figures for quantities and prices in the labour market—while very far from conclusive—suggested to some members that the rate of unemployment at which inflation tended to increase might have fallen, or at any rate that this was sufficiently uncertain for rates to be left on hold while the recent pattern of continued employment growth and moderate wage pressure persisted. Fifth, not only had some measures of inflation come in lower than expected, but some survey-based measures of price pressures continued to fall. Sixth, a rise in rates now, at a time when the euro was weak, might strengthen the perceived link between sterling and the dollar in an unhelpful way. Seventh, for some there remained upside risks from higher import prices and buoyant growth in some parts of the economy. But given the present benign picture on earnings and retail price inflation there was still time to react to inflationary pressures later; the risks to waiting were not great.</w:t>
      </w:r>
    </w:p>
    <w:p>
      <w:pPr>
        <w:pStyle w:val="BodyText"/>
        <w:spacing w:before="8"/>
        <w:rPr>
          <w:sz w:val="15"/>
        </w:rPr>
      </w:pPr>
    </w:p>
    <w:p>
      <w:pPr>
        <w:pStyle w:val="ListParagraph"/>
        <w:numPr>
          <w:ilvl w:val="0"/>
          <w:numId w:val="51"/>
        </w:numPr>
        <w:tabs>
          <w:tab w:pos="659" w:val="left" w:leader="none"/>
          <w:tab w:pos="660" w:val="left" w:leader="none"/>
        </w:tabs>
        <w:spacing w:line="232" w:lineRule="auto" w:before="0" w:after="0"/>
        <w:ind w:left="179" w:right="38" w:firstLine="0"/>
        <w:jc w:val="left"/>
        <w:rPr>
          <w:sz w:val="18"/>
        </w:rPr>
      </w:pPr>
      <w:r>
        <w:rPr>
          <w:sz w:val="18"/>
        </w:rPr>
        <w:t>On a second view, the balance of risks pointed to the need for a further small increase in interest rates soon. Given that there were no pressing reasons to postpone such a move, an immediate increase of 25 basis points in the repo rate was warranted. On this view, while consumption growth had slowed from the rapid rates recorded during 1999, it was unclear whether it would moderate further, as was implied by the central projection in the August </w:t>
      </w:r>
      <w:r>
        <w:rPr>
          <w:i/>
          <w:sz w:val="18"/>
        </w:rPr>
        <w:t>Inflation Report</w:t>
      </w:r>
      <w:r>
        <w:rPr>
          <w:sz w:val="18"/>
        </w:rPr>
        <w:t>. The housing market had clearly slowed, but household borrowing remained buoyant, and borrowing</w:t>
      </w:r>
      <w:r>
        <w:rPr>
          <w:spacing w:val="-18"/>
          <w:sz w:val="18"/>
        </w:rPr>
        <w:t> </w:t>
      </w:r>
      <w:r>
        <w:rPr>
          <w:sz w:val="18"/>
        </w:rPr>
        <w:t>by</w:t>
      </w:r>
    </w:p>
    <w:p>
      <w:pPr>
        <w:spacing w:line="232" w:lineRule="auto" w:before="0"/>
        <w:ind w:left="179" w:right="60" w:firstLine="0"/>
        <w:jc w:val="left"/>
        <w:rPr>
          <w:sz w:val="18"/>
        </w:rPr>
      </w:pPr>
      <w:r>
        <w:rPr>
          <w:sz w:val="18"/>
        </w:rPr>
        <w:t>non-financial companies had risen rapidly, perhaps foreshadowing some recovery in business investment. Increases in public spending now seemed to be beginning to be reflected in the National Accounts data, and employment had risen rapidly in Q2, both in terms of heads and hours. There were therefore upside risks to output both in the short and medium term, even if net trade were to act as a drag on growth throughout the next two years, as had been forecast.  The labour market was tight.  Recent AEI figures had been lower than expected, but they perhaps reflected</w:t>
      </w:r>
      <w:r>
        <w:rPr>
          <w:spacing w:val="-29"/>
          <w:sz w:val="18"/>
        </w:rPr>
        <w:t> </w:t>
      </w:r>
      <w:r>
        <w:rPr>
          <w:sz w:val="18"/>
        </w:rPr>
        <w:t>transitory</w:t>
      </w:r>
    </w:p>
    <w:p>
      <w:pPr>
        <w:pStyle w:val="BodyText"/>
        <w:spacing w:before="4"/>
        <w:rPr>
          <w:sz w:val="21"/>
        </w:rPr>
      </w:pPr>
      <w:r>
        <w:rPr/>
        <w:br w:type="column"/>
      </w:r>
      <w:r>
        <w:rPr>
          <w:sz w:val="21"/>
        </w:rPr>
      </w:r>
    </w:p>
    <w:p>
      <w:pPr>
        <w:spacing w:line="232" w:lineRule="auto" w:before="0"/>
        <w:ind w:left="180" w:right="126" w:firstLine="0"/>
        <w:jc w:val="left"/>
        <w:rPr>
          <w:sz w:val="18"/>
        </w:rPr>
      </w:pPr>
      <w:r>
        <w:rPr>
          <w:sz w:val="18"/>
        </w:rPr>
        <w:t>movements in bonuses. Moreover, until recently real consumption wages had been growing at around 4% a year, and the August central projection in the </w:t>
      </w:r>
      <w:r>
        <w:rPr>
          <w:i/>
          <w:sz w:val="18"/>
        </w:rPr>
        <w:t>Inflation Report </w:t>
      </w:r>
      <w:r>
        <w:rPr>
          <w:sz w:val="18"/>
        </w:rPr>
        <w:t>already incorporated a substantial fall in the growth of unit labour costs. There was little evidence for a marked structural shift in economy-wide margins, and whole-economy productivity growth had yet to strengthen significantly. Although oil prices might well fall back, they had remained stronger for longer than had been expected, and with sterling’s exchange rate weaker since May, RPIX inflation would begin to rise above target unless domestically-generated inflation fell back to offset the effect of higher import prices. The risks were still that it might not do so sufficiently quickly to meet the inflation target in the medium term.</w:t>
      </w:r>
    </w:p>
    <w:p>
      <w:pPr>
        <w:pStyle w:val="BodyText"/>
        <w:spacing w:before="6"/>
        <w:rPr>
          <w:sz w:val="16"/>
        </w:rPr>
      </w:pPr>
    </w:p>
    <w:p>
      <w:pPr>
        <w:pStyle w:val="ListParagraph"/>
        <w:numPr>
          <w:ilvl w:val="0"/>
          <w:numId w:val="51"/>
        </w:numPr>
        <w:tabs>
          <w:tab w:pos="659" w:val="left" w:leader="none"/>
          <w:tab w:pos="660" w:val="left" w:leader="none"/>
        </w:tabs>
        <w:spacing w:line="232" w:lineRule="auto" w:before="0" w:after="0"/>
        <w:ind w:left="180" w:right="149" w:firstLine="0"/>
        <w:jc w:val="left"/>
        <w:rPr>
          <w:sz w:val="18"/>
        </w:rPr>
      </w:pPr>
      <w:r>
        <w:rPr>
          <w:sz w:val="18"/>
        </w:rPr>
        <w:t>The Governor invited members to vote on the proposition that the Bank’s repo rate be maintained at 6.0%. Five members of the</w:t>
      </w:r>
      <w:r>
        <w:rPr>
          <w:spacing w:val="-7"/>
          <w:sz w:val="18"/>
        </w:rPr>
        <w:t> </w:t>
      </w:r>
      <w:r>
        <w:rPr>
          <w:sz w:val="18"/>
        </w:rPr>
        <w:t>Committee</w:t>
      </w:r>
      <w:r>
        <w:rPr>
          <w:spacing w:val="-7"/>
          <w:sz w:val="18"/>
        </w:rPr>
        <w:t> </w:t>
      </w:r>
      <w:r>
        <w:rPr>
          <w:sz w:val="18"/>
        </w:rPr>
        <w:t>(the</w:t>
      </w:r>
      <w:r>
        <w:rPr>
          <w:spacing w:val="-7"/>
          <w:sz w:val="18"/>
        </w:rPr>
        <w:t> </w:t>
      </w:r>
      <w:r>
        <w:rPr>
          <w:sz w:val="18"/>
        </w:rPr>
        <w:t>Governor,</w:t>
      </w:r>
      <w:r>
        <w:rPr>
          <w:spacing w:val="-7"/>
          <w:sz w:val="18"/>
        </w:rPr>
        <w:t> </w:t>
      </w:r>
      <w:r>
        <w:rPr>
          <w:sz w:val="18"/>
        </w:rPr>
        <w:t>Christopher</w:t>
      </w:r>
      <w:r>
        <w:rPr>
          <w:spacing w:val="-7"/>
          <w:sz w:val="18"/>
        </w:rPr>
        <w:t> </w:t>
      </w:r>
      <w:r>
        <w:rPr>
          <w:sz w:val="18"/>
        </w:rPr>
        <w:t>Allsopp,</w:t>
      </w:r>
      <w:r>
        <w:rPr>
          <w:spacing w:val="-7"/>
          <w:sz w:val="18"/>
        </w:rPr>
        <w:t> </w:t>
      </w:r>
      <w:r>
        <w:rPr>
          <w:sz w:val="18"/>
        </w:rPr>
        <w:t>DeAnne</w:t>
      </w:r>
      <w:r>
        <w:rPr>
          <w:spacing w:val="-7"/>
          <w:sz w:val="18"/>
        </w:rPr>
        <w:t> </w:t>
      </w:r>
      <w:r>
        <w:rPr>
          <w:sz w:val="18"/>
        </w:rPr>
        <w:t>Julius, Ian Plenderleith and Sushil Wadhwani) voted for the proposition. Mervyn King, David Clementi, Stephen Nickell and John Vickers voted against, preferring a rise in rates of 25 basis</w:t>
      </w:r>
      <w:r>
        <w:rPr>
          <w:spacing w:val="-25"/>
          <w:sz w:val="18"/>
        </w:rPr>
        <w:t> </w:t>
      </w:r>
      <w:r>
        <w:rPr>
          <w:sz w:val="18"/>
        </w:rPr>
        <w:t>points.</w:t>
      </w:r>
    </w:p>
    <w:p>
      <w:pPr>
        <w:pStyle w:val="BodyText"/>
        <w:rPr>
          <w:sz w:val="17"/>
        </w:rPr>
      </w:pPr>
    </w:p>
    <w:p>
      <w:pPr>
        <w:pStyle w:val="ListParagraph"/>
        <w:numPr>
          <w:ilvl w:val="0"/>
          <w:numId w:val="51"/>
        </w:numPr>
        <w:tabs>
          <w:tab w:pos="659" w:val="left" w:leader="none"/>
          <w:tab w:pos="660" w:val="left" w:leader="none"/>
        </w:tabs>
        <w:spacing w:line="232" w:lineRule="auto" w:before="0" w:after="0"/>
        <w:ind w:left="180" w:right="125" w:firstLine="0"/>
        <w:jc w:val="left"/>
        <w:rPr>
          <w:sz w:val="18"/>
        </w:rPr>
      </w:pPr>
      <w:r>
        <w:rPr>
          <w:sz w:val="18"/>
        </w:rPr>
        <w:t>Finally,</w:t>
      </w:r>
      <w:r>
        <w:rPr>
          <w:spacing w:val="-6"/>
          <w:sz w:val="18"/>
        </w:rPr>
        <w:t> </w:t>
      </w:r>
      <w:r>
        <w:rPr>
          <w:sz w:val="18"/>
        </w:rPr>
        <w:t>the</w:t>
      </w:r>
      <w:r>
        <w:rPr>
          <w:spacing w:val="-6"/>
          <w:sz w:val="18"/>
        </w:rPr>
        <w:t> </w:t>
      </w:r>
      <w:r>
        <w:rPr>
          <w:sz w:val="18"/>
        </w:rPr>
        <w:t>Governor</w:t>
      </w:r>
      <w:r>
        <w:rPr>
          <w:spacing w:val="-6"/>
          <w:sz w:val="18"/>
        </w:rPr>
        <w:t> </w:t>
      </w:r>
      <w:r>
        <w:rPr>
          <w:sz w:val="18"/>
        </w:rPr>
        <w:t>expressed</w:t>
      </w:r>
      <w:r>
        <w:rPr>
          <w:spacing w:val="-6"/>
          <w:sz w:val="18"/>
        </w:rPr>
        <w:t> </w:t>
      </w:r>
      <w:r>
        <w:rPr>
          <w:sz w:val="18"/>
        </w:rPr>
        <w:t>his</w:t>
      </w:r>
      <w:r>
        <w:rPr>
          <w:spacing w:val="-6"/>
          <w:sz w:val="18"/>
        </w:rPr>
        <w:t> </w:t>
      </w:r>
      <w:r>
        <w:rPr>
          <w:sz w:val="18"/>
        </w:rPr>
        <w:t>gratitude</w:t>
      </w:r>
      <w:r>
        <w:rPr>
          <w:spacing w:val="-6"/>
          <w:sz w:val="18"/>
        </w:rPr>
        <w:t> </w:t>
      </w:r>
      <w:r>
        <w:rPr>
          <w:sz w:val="18"/>
        </w:rPr>
        <w:t>to</w:t>
      </w:r>
      <w:r>
        <w:rPr>
          <w:spacing w:val="-6"/>
          <w:sz w:val="18"/>
        </w:rPr>
        <w:t> </w:t>
      </w:r>
      <w:r>
        <w:rPr>
          <w:sz w:val="18"/>
        </w:rPr>
        <w:t>John</w:t>
      </w:r>
      <w:r>
        <w:rPr>
          <w:spacing w:val="-5"/>
          <w:sz w:val="18"/>
        </w:rPr>
        <w:t> </w:t>
      </w:r>
      <w:r>
        <w:rPr>
          <w:sz w:val="18"/>
        </w:rPr>
        <w:t>Vickers not only for his contribution to the Committee’s discussion and decisions, but also for all he had done as Chief Economist and Executive Director of the Bank. On behalf of the Chancellor of the Exchequer, the Treasury representative also expressed his thanks for the contribution John Vickers had made to enhancing the credibility of the Committee, and thereby the institutional framework of UK monetary</w:t>
      </w:r>
      <w:r>
        <w:rPr>
          <w:spacing w:val="-6"/>
          <w:sz w:val="18"/>
        </w:rPr>
        <w:t> </w:t>
      </w:r>
      <w:r>
        <w:rPr>
          <w:sz w:val="18"/>
        </w:rPr>
        <w:t>policy.</w:t>
      </w:r>
    </w:p>
    <w:p>
      <w:pPr>
        <w:pStyle w:val="ListParagraph"/>
        <w:numPr>
          <w:ilvl w:val="0"/>
          <w:numId w:val="51"/>
        </w:numPr>
        <w:tabs>
          <w:tab w:pos="659" w:val="left" w:leader="none"/>
          <w:tab w:pos="660" w:val="left" w:leader="none"/>
        </w:tabs>
        <w:spacing w:line="400" w:lineRule="exact" w:before="37" w:after="0"/>
        <w:ind w:left="180" w:right="505" w:firstLine="0"/>
        <w:jc w:val="left"/>
        <w:rPr>
          <w:sz w:val="18"/>
        </w:rPr>
      </w:pPr>
      <w:r>
        <w:rPr>
          <w:sz w:val="18"/>
        </w:rPr>
        <w:t>The following members of the Committee were present: Eddie George,</w:t>
      </w:r>
      <w:r>
        <w:rPr>
          <w:spacing w:val="-3"/>
          <w:sz w:val="18"/>
        </w:rPr>
        <w:t> </w:t>
      </w:r>
      <w:r>
        <w:rPr>
          <w:sz w:val="18"/>
        </w:rPr>
        <w:t>Governor</w:t>
      </w:r>
    </w:p>
    <w:p>
      <w:pPr>
        <w:spacing w:line="155" w:lineRule="exact" w:before="0"/>
        <w:ind w:left="180" w:right="0" w:firstLine="0"/>
        <w:jc w:val="left"/>
        <w:rPr>
          <w:sz w:val="18"/>
        </w:rPr>
      </w:pPr>
      <w:r>
        <w:rPr>
          <w:sz w:val="18"/>
        </w:rPr>
        <w:t>Mervyn King, Deputy Governor responsible for monetary policy</w:t>
      </w:r>
    </w:p>
    <w:p>
      <w:pPr>
        <w:spacing w:line="232" w:lineRule="auto" w:before="2"/>
        <w:ind w:left="180" w:right="91" w:firstLine="0"/>
        <w:jc w:val="left"/>
        <w:rPr>
          <w:sz w:val="18"/>
        </w:rPr>
      </w:pPr>
      <w:r>
        <w:rPr>
          <w:sz w:val="18"/>
        </w:rPr>
        <w:t>David Clementi, Deputy Governor responsible for financial stability Christopher Allsopp</w:t>
      </w:r>
    </w:p>
    <w:p>
      <w:pPr>
        <w:spacing w:line="232" w:lineRule="auto" w:before="0"/>
        <w:ind w:left="180" w:right="3735" w:firstLine="0"/>
        <w:jc w:val="left"/>
        <w:rPr>
          <w:sz w:val="18"/>
        </w:rPr>
      </w:pPr>
      <w:r>
        <w:rPr>
          <w:sz w:val="18"/>
        </w:rPr>
        <w:t>DeAnne Julius Stephen Nickell Ian Plenderleith John Vickers Sushil Wadhwani</w:t>
      </w:r>
    </w:p>
    <w:p>
      <w:pPr>
        <w:pStyle w:val="BodyText"/>
        <w:spacing w:before="5"/>
        <w:rPr>
          <w:sz w:val="16"/>
        </w:rPr>
      </w:pPr>
    </w:p>
    <w:p>
      <w:pPr>
        <w:pStyle w:val="ListParagraph"/>
        <w:numPr>
          <w:ilvl w:val="0"/>
          <w:numId w:val="51"/>
        </w:numPr>
        <w:tabs>
          <w:tab w:pos="659" w:val="left" w:leader="none"/>
          <w:tab w:pos="660" w:val="left" w:leader="none"/>
        </w:tabs>
        <w:spacing w:line="240" w:lineRule="auto" w:before="0" w:after="0"/>
        <w:ind w:left="659" w:right="0" w:hanging="480"/>
        <w:jc w:val="left"/>
        <w:rPr>
          <w:sz w:val="18"/>
        </w:rPr>
      </w:pPr>
      <w:r>
        <w:rPr>
          <w:sz w:val="18"/>
        </w:rPr>
        <w:t>Gus O’Donnell was present as the Treasury</w:t>
      </w:r>
      <w:r>
        <w:rPr>
          <w:spacing w:val="-27"/>
          <w:sz w:val="18"/>
        </w:rPr>
        <w:t> </w:t>
      </w:r>
      <w:r>
        <w:rPr>
          <w:sz w:val="18"/>
        </w:rPr>
        <w:t>representative.</w:t>
      </w:r>
    </w:p>
    <w:p>
      <w:pPr>
        <w:spacing w:after="0" w:line="240" w:lineRule="auto"/>
        <w:jc w:val="left"/>
        <w:rPr>
          <w:sz w:val="18"/>
        </w:rPr>
        <w:sectPr>
          <w:type w:val="continuous"/>
          <w:pgSz w:w="11900" w:h="16840"/>
          <w:pgMar w:top="1260" w:bottom="280" w:left="640" w:right="640"/>
          <w:cols w:num="2" w:equalWidth="0">
            <w:col w:w="5143" w:space="267"/>
            <w:col w:w="5210"/>
          </w:cols>
        </w:sectPr>
      </w:pPr>
    </w:p>
    <w:p>
      <w:pPr>
        <w:pStyle w:val="BodyText"/>
        <w:rPr>
          <w:sz w:val="20"/>
        </w:rPr>
      </w:pPr>
    </w:p>
    <w:p>
      <w:pPr>
        <w:pStyle w:val="BodyText"/>
        <w:rPr>
          <w:sz w:val="20"/>
        </w:rPr>
      </w:pPr>
    </w:p>
    <w:p>
      <w:pPr>
        <w:pStyle w:val="BodyText"/>
        <w:spacing w:before="1"/>
        <w:rPr>
          <w:sz w:val="16"/>
        </w:rPr>
      </w:pPr>
    </w:p>
    <w:p>
      <w:pPr>
        <w:pStyle w:val="Heading3"/>
        <w:ind w:left="179"/>
      </w:pPr>
      <w:r>
        <w:rPr>
          <w:color w:val="009391"/>
        </w:rPr>
        <w:t>Annex: Summary of data presented by Bank staff</w:t>
      </w:r>
    </w:p>
    <w:p>
      <w:pPr>
        <w:pStyle w:val="BodyText"/>
        <w:spacing w:before="9"/>
        <w:rPr>
          <w:b/>
          <w:sz w:val="27"/>
        </w:rPr>
      </w:pPr>
    </w:p>
    <w:p>
      <w:pPr>
        <w:spacing w:after="0"/>
        <w:rPr>
          <w:sz w:val="27"/>
        </w:rPr>
        <w:sectPr>
          <w:pgSz w:w="11900" w:h="16840"/>
          <w:pgMar w:header="566" w:footer="597" w:top="760" w:bottom="780" w:left="640" w:right="640"/>
        </w:sectPr>
      </w:pPr>
    </w:p>
    <w:p>
      <w:pPr>
        <w:pStyle w:val="ListParagraph"/>
        <w:numPr>
          <w:ilvl w:val="0"/>
          <w:numId w:val="52"/>
        </w:numPr>
        <w:tabs>
          <w:tab w:pos="654" w:val="left" w:leader="none"/>
          <w:tab w:pos="655" w:val="left" w:leader="none"/>
        </w:tabs>
        <w:spacing w:line="232" w:lineRule="auto" w:before="98" w:after="0"/>
        <w:ind w:left="174" w:right="62" w:firstLine="0"/>
        <w:jc w:val="left"/>
        <w:rPr>
          <w:sz w:val="18"/>
        </w:rPr>
      </w:pPr>
      <w:r>
        <w:rPr>
          <w:sz w:val="18"/>
        </w:rPr>
        <w:t>This Annex summarises the analysis presented by Bank staff to the Monetary Policy Committee on 1 September in advance of its meeting on 6–7 September 2000. At the start of the meeting itself, members were made aware of information that had subsequently become available, and that information is</w:t>
      </w:r>
      <w:r>
        <w:rPr>
          <w:spacing w:val="-33"/>
          <w:sz w:val="18"/>
        </w:rPr>
        <w:t> </w:t>
      </w:r>
      <w:r>
        <w:rPr>
          <w:sz w:val="18"/>
        </w:rPr>
        <w:t>included</w:t>
      </w:r>
    </w:p>
    <w:p>
      <w:pPr>
        <w:spacing w:line="198" w:lineRule="exact" w:before="0"/>
        <w:ind w:left="174" w:right="0" w:firstLine="0"/>
        <w:jc w:val="left"/>
        <w:rPr>
          <w:sz w:val="18"/>
        </w:rPr>
      </w:pPr>
      <w:r>
        <w:rPr>
          <w:sz w:val="18"/>
        </w:rPr>
        <w:t>in this Annex.</w:t>
      </w:r>
    </w:p>
    <w:p>
      <w:pPr>
        <w:pStyle w:val="BodyText"/>
        <w:spacing w:before="2"/>
        <w:rPr>
          <w:sz w:val="22"/>
        </w:rPr>
      </w:pPr>
    </w:p>
    <w:p>
      <w:pPr>
        <w:pStyle w:val="ListParagraph"/>
        <w:numPr>
          <w:ilvl w:val="0"/>
          <w:numId w:val="53"/>
        </w:numPr>
        <w:tabs>
          <w:tab w:pos="654" w:val="left" w:leader="none"/>
          <w:tab w:pos="655" w:val="left" w:leader="none"/>
        </w:tabs>
        <w:spacing w:line="240" w:lineRule="auto" w:before="0" w:after="0"/>
        <w:ind w:left="654" w:right="0" w:hanging="481"/>
        <w:jc w:val="left"/>
        <w:rPr>
          <w:b/>
          <w:sz w:val="22"/>
        </w:rPr>
      </w:pPr>
      <w:r>
        <w:rPr>
          <w:b/>
          <w:color w:val="009391"/>
          <w:sz w:val="22"/>
        </w:rPr>
        <w:t>The international</w:t>
      </w:r>
      <w:r>
        <w:rPr>
          <w:b/>
          <w:color w:val="009391"/>
          <w:spacing w:val="-5"/>
          <w:sz w:val="22"/>
        </w:rPr>
        <w:t> </w:t>
      </w:r>
      <w:r>
        <w:rPr>
          <w:b/>
          <w:color w:val="009391"/>
          <w:sz w:val="22"/>
        </w:rPr>
        <w:t>environment</w:t>
      </w:r>
    </w:p>
    <w:p>
      <w:pPr>
        <w:pStyle w:val="ListParagraph"/>
        <w:numPr>
          <w:ilvl w:val="0"/>
          <w:numId w:val="52"/>
        </w:numPr>
        <w:tabs>
          <w:tab w:pos="654" w:val="left" w:leader="none"/>
          <w:tab w:pos="655" w:val="left" w:leader="none"/>
        </w:tabs>
        <w:spacing w:line="232" w:lineRule="auto" w:before="130" w:after="0"/>
        <w:ind w:left="174" w:right="68" w:firstLine="0"/>
        <w:jc w:val="left"/>
        <w:rPr>
          <w:sz w:val="18"/>
        </w:rPr>
      </w:pPr>
      <w:r>
        <w:rPr>
          <w:sz w:val="18"/>
        </w:rPr>
        <w:t>The preliminary estimate of Q2 GDP growth in the United States had been 1.3%. Investment had remained strong, growing at 2.6% on the quarter, but quarterly consumption growth had slowed to 0.7%. Labour productivity had grown strongly in Q2, by 1.5%. The FOMC had noted that recent data indicated that more rapid advances in productivity had raised the US potential growth rate. Real personal consumption had strengthened in July, with the savings rate having fallen to its lowest recorded level. There had been signs of a slowdown in the labour market, where private payrolls growth had slowed further in August. Unemployment had risen to 4.1%. Furthermore, new orders had fallen sharply in July, albeit from a high level. The National Association of Purchasing Managers index had also declined further in August, and for the first time since January 1999 was below 50. But industrial production had risen in July, with high-tech sectors continuing to grow</w:t>
      </w:r>
      <w:r>
        <w:rPr>
          <w:spacing w:val="-2"/>
          <w:sz w:val="18"/>
        </w:rPr>
        <w:t> </w:t>
      </w:r>
      <w:r>
        <w:rPr>
          <w:sz w:val="18"/>
        </w:rPr>
        <w:t>strongly.</w:t>
      </w:r>
    </w:p>
    <w:p>
      <w:pPr>
        <w:pStyle w:val="BodyText"/>
        <w:rPr>
          <w:sz w:val="18"/>
        </w:rPr>
      </w:pPr>
    </w:p>
    <w:p>
      <w:pPr>
        <w:pStyle w:val="ListParagraph"/>
        <w:numPr>
          <w:ilvl w:val="0"/>
          <w:numId w:val="52"/>
        </w:numPr>
        <w:tabs>
          <w:tab w:pos="654" w:val="left" w:leader="none"/>
          <w:tab w:pos="655" w:val="left" w:leader="none"/>
        </w:tabs>
        <w:spacing w:line="232" w:lineRule="auto" w:before="0" w:after="0"/>
        <w:ind w:left="174" w:right="38" w:firstLine="0"/>
        <w:jc w:val="left"/>
        <w:rPr>
          <w:sz w:val="18"/>
        </w:rPr>
      </w:pPr>
      <w:r>
        <w:rPr>
          <w:sz w:val="18"/>
        </w:rPr>
        <w:t>GDP in Germany had grown strongly in Q2, by 1.1%, while French GDP had grown by 0.7%. In July, euro-area unemployment had remained unchanged on the month at 9.1%. German manufacturing orders had risen by 0.7% on a month earlier, but the German IFO index had fallen in July for the second consecutive month, with the fall in the forward-looking component of the index being more pronounced. Euro-area business confidence had fallen, but was still close to record high levels. Euro-area consumer confidence had risen in July, and was also close to its all-time high, with increases in both the French and Italian</w:t>
      </w:r>
      <w:r>
        <w:rPr>
          <w:spacing w:val="-17"/>
          <w:sz w:val="18"/>
        </w:rPr>
        <w:t> </w:t>
      </w:r>
      <w:r>
        <w:rPr>
          <w:sz w:val="18"/>
        </w:rPr>
        <w:t>indices.</w:t>
      </w:r>
    </w:p>
    <w:p>
      <w:pPr>
        <w:pStyle w:val="BodyText"/>
        <w:spacing w:before="5"/>
        <w:rPr>
          <w:sz w:val="18"/>
        </w:rPr>
      </w:pPr>
    </w:p>
    <w:p>
      <w:pPr>
        <w:pStyle w:val="ListParagraph"/>
        <w:numPr>
          <w:ilvl w:val="0"/>
          <w:numId w:val="52"/>
        </w:numPr>
        <w:tabs>
          <w:tab w:pos="654" w:val="left" w:leader="none"/>
          <w:tab w:pos="655" w:val="left" w:leader="none"/>
        </w:tabs>
        <w:spacing w:line="232" w:lineRule="auto" w:before="1" w:after="0"/>
        <w:ind w:left="174" w:right="38" w:firstLine="0"/>
        <w:jc w:val="left"/>
        <w:rPr>
          <w:sz w:val="18"/>
        </w:rPr>
      </w:pPr>
      <w:r>
        <w:rPr>
          <w:sz w:val="18"/>
        </w:rPr>
        <w:t>Japanese industrial production, seasonally adjusted, had declined by 0.7% in July, but had still risen by 5.7% on a year earlier. Investment indicators had remained robust; for example, machinery orders had risen in June by 23.5% on a year earlier. Nominal cash earnings had fallen in July, by 0.1% on a year earlier, following a rise of 1.8% in June, while contracted earnings and overtime payments had risen respectively by 0.9% and 3.9% on a year earlier. The unemployment rate had remained at 4.7% in July, and the ratio of new job offers to applicants had fallen back slightly to 1.08.</w:t>
      </w:r>
    </w:p>
    <w:p>
      <w:pPr>
        <w:pStyle w:val="BodyText"/>
        <w:spacing w:before="5"/>
        <w:rPr>
          <w:sz w:val="18"/>
        </w:rPr>
      </w:pPr>
    </w:p>
    <w:p>
      <w:pPr>
        <w:pStyle w:val="ListParagraph"/>
        <w:numPr>
          <w:ilvl w:val="0"/>
          <w:numId w:val="52"/>
        </w:numPr>
        <w:tabs>
          <w:tab w:pos="654" w:val="left" w:leader="none"/>
          <w:tab w:pos="655" w:val="left" w:leader="none"/>
        </w:tabs>
        <w:spacing w:line="232" w:lineRule="auto" w:before="0" w:after="0"/>
        <w:ind w:left="174" w:right="277" w:firstLine="0"/>
        <w:jc w:val="left"/>
        <w:rPr>
          <w:sz w:val="18"/>
        </w:rPr>
      </w:pPr>
      <w:r>
        <w:rPr>
          <w:sz w:val="18"/>
        </w:rPr>
        <w:t>The oil price rose during August following its fall in July, and one-month oil price futures averaged around $31 per barrel over the month. Prices for non-oil commodities fell in</w:t>
      </w:r>
      <w:r>
        <w:rPr>
          <w:spacing w:val="3"/>
          <w:sz w:val="18"/>
        </w:rPr>
        <w:t> </w:t>
      </w:r>
      <w:r>
        <w:rPr>
          <w:sz w:val="18"/>
        </w:rPr>
        <w:t>August.</w:t>
      </w:r>
    </w:p>
    <w:p>
      <w:pPr>
        <w:pStyle w:val="BodyText"/>
        <w:spacing w:before="10"/>
        <w:rPr>
          <w:sz w:val="18"/>
        </w:rPr>
      </w:pPr>
    </w:p>
    <w:p>
      <w:pPr>
        <w:pStyle w:val="ListParagraph"/>
        <w:numPr>
          <w:ilvl w:val="0"/>
          <w:numId w:val="52"/>
        </w:numPr>
        <w:tabs>
          <w:tab w:pos="654" w:val="left" w:leader="none"/>
          <w:tab w:pos="655" w:val="left" w:leader="none"/>
        </w:tabs>
        <w:spacing w:line="232" w:lineRule="auto" w:before="1" w:after="0"/>
        <w:ind w:left="174" w:right="123" w:firstLine="0"/>
        <w:jc w:val="left"/>
        <w:rPr>
          <w:sz w:val="18"/>
        </w:rPr>
      </w:pPr>
      <w:r>
        <w:rPr>
          <w:sz w:val="18"/>
        </w:rPr>
        <w:t>Hourly compensation growth in the United States had risen by 1.3% in Q2, but unit labour costs had fallen by 0.1% on the previous quarter. Core inflation had remained unchanged at 2.4%, while CPI inflation had fallen to 3.6% in July. Japanese consumer prices had fallen by 0.2% in</w:t>
      </w:r>
      <w:r>
        <w:rPr>
          <w:spacing w:val="-9"/>
          <w:sz w:val="18"/>
        </w:rPr>
        <w:t> </w:t>
      </w:r>
      <w:r>
        <w:rPr>
          <w:sz w:val="18"/>
        </w:rPr>
        <w:t>July.</w:t>
      </w:r>
    </w:p>
    <w:p>
      <w:pPr>
        <w:pStyle w:val="BodyText"/>
        <w:spacing w:before="6"/>
        <w:rPr>
          <w:sz w:val="20"/>
        </w:rPr>
      </w:pPr>
    </w:p>
    <w:p>
      <w:pPr>
        <w:pStyle w:val="ListParagraph"/>
        <w:numPr>
          <w:ilvl w:val="0"/>
          <w:numId w:val="52"/>
        </w:numPr>
        <w:tabs>
          <w:tab w:pos="654" w:val="left" w:leader="none"/>
          <w:tab w:pos="655" w:val="left" w:leader="none"/>
        </w:tabs>
        <w:spacing w:line="232" w:lineRule="auto" w:before="0" w:after="0"/>
        <w:ind w:left="174" w:right="53" w:firstLine="0"/>
        <w:jc w:val="left"/>
        <w:rPr>
          <w:sz w:val="18"/>
        </w:rPr>
      </w:pPr>
      <w:r>
        <w:rPr>
          <w:sz w:val="18"/>
        </w:rPr>
        <w:t>In July, euro-area producer price inflation had risen by 5.5% on a year earlier, in part due to strong growth in energy prices. The harmonised index of consumer prices for the euro area had remained unchanged at 2.4% in July. Euro-area M3 had grown by 5.3% on a year earlier in July, following growth of 5.4% in June. The European Central Bank raised the minimum bid rate on its main refinancing operations by 0.25 percentage points, to 4.50% in July.</w:t>
      </w:r>
    </w:p>
    <w:p>
      <w:pPr>
        <w:pStyle w:val="ListParagraph"/>
        <w:numPr>
          <w:ilvl w:val="0"/>
          <w:numId w:val="52"/>
        </w:numPr>
        <w:tabs>
          <w:tab w:pos="654" w:val="left" w:leader="none"/>
          <w:tab w:pos="655" w:val="left" w:leader="none"/>
        </w:tabs>
        <w:spacing w:line="232" w:lineRule="auto" w:before="98" w:after="0"/>
        <w:ind w:left="174" w:right="192" w:firstLine="0"/>
        <w:jc w:val="left"/>
        <w:rPr>
          <w:sz w:val="18"/>
        </w:rPr>
      </w:pPr>
      <w:r>
        <w:rPr>
          <w:spacing w:val="-1"/>
          <w:sz w:val="18"/>
        </w:rPr>
        <w:br w:type="column"/>
      </w:r>
      <w:r>
        <w:rPr>
          <w:sz w:val="18"/>
        </w:rPr>
        <w:t>Since 2 August, the euro exchange rate index had depreciated by around 2.5%, while the yen ERI had appreciated by around 5%. The dollar ERI was broadly flat on the month. Over the same period, the Wilshire 5000 index (a broad measure of the US stock market) had risen by around 5%, while the NASDAQ index,</w:t>
      </w:r>
      <w:r>
        <w:rPr>
          <w:spacing w:val="-6"/>
          <w:sz w:val="18"/>
        </w:rPr>
        <w:t> </w:t>
      </w:r>
      <w:r>
        <w:rPr>
          <w:sz w:val="18"/>
        </w:rPr>
        <w:t>with</w:t>
      </w:r>
      <w:r>
        <w:rPr>
          <w:spacing w:val="-5"/>
          <w:sz w:val="18"/>
        </w:rPr>
        <w:t> </w:t>
      </w:r>
      <w:r>
        <w:rPr>
          <w:sz w:val="18"/>
        </w:rPr>
        <w:t>a</w:t>
      </w:r>
      <w:r>
        <w:rPr>
          <w:spacing w:val="-5"/>
          <w:sz w:val="18"/>
        </w:rPr>
        <w:t> </w:t>
      </w:r>
      <w:r>
        <w:rPr>
          <w:sz w:val="18"/>
        </w:rPr>
        <w:t>higher</w:t>
      </w:r>
      <w:r>
        <w:rPr>
          <w:spacing w:val="-5"/>
          <w:sz w:val="18"/>
        </w:rPr>
        <w:t> </w:t>
      </w:r>
      <w:r>
        <w:rPr>
          <w:sz w:val="18"/>
        </w:rPr>
        <w:t>proportion</w:t>
      </w:r>
      <w:r>
        <w:rPr>
          <w:spacing w:val="-5"/>
          <w:sz w:val="18"/>
        </w:rPr>
        <w:t> </w:t>
      </w:r>
      <w:r>
        <w:rPr>
          <w:sz w:val="18"/>
        </w:rPr>
        <w:t>of</w:t>
      </w:r>
      <w:r>
        <w:rPr>
          <w:spacing w:val="-5"/>
          <w:sz w:val="18"/>
        </w:rPr>
        <w:t> </w:t>
      </w:r>
      <w:r>
        <w:rPr>
          <w:sz w:val="18"/>
        </w:rPr>
        <w:t>technology</w:t>
      </w:r>
      <w:r>
        <w:rPr>
          <w:spacing w:val="-5"/>
          <w:sz w:val="18"/>
        </w:rPr>
        <w:t> </w:t>
      </w:r>
      <w:r>
        <w:rPr>
          <w:sz w:val="18"/>
        </w:rPr>
        <w:t>stocks,</w:t>
      </w:r>
      <w:r>
        <w:rPr>
          <w:spacing w:val="-5"/>
          <w:sz w:val="18"/>
        </w:rPr>
        <w:t> </w:t>
      </w:r>
      <w:r>
        <w:rPr>
          <w:sz w:val="18"/>
        </w:rPr>
        <w:t>had</w:t>
      </w:r>
      <w:r>
        <w:rPr>
          <w:spacing w:val="-5"/>
          <w:sz w:val="18"/>
        </w:rPr>
        <w:t> </w:t>
      </w:r>
      <w:r>
        <w:rPr>
          <w:sz w:val="18"/>
        </w:rPr>
        <w:t>grown</w:t>
      </w:r>
      <w:r>
        <w:rPr>
          <w:spacing w:val="-5"/>
          <w:sz w:val="18"/>
        </w:rPr>
        <w:t> </w:t>
      </w:r>
      <w:r>
        <w:rPr>
          <w:sz w:val="18"/>
        </w:rPr>
        <w:t>by 10%. The Euro Stoxx index was up by around 4%, but the Japanese TOPIX index had remained broadly unchanged. Interest rates implied by futures contracts had fallen on the month for the United</w:t>
      </w:r>
      <w:r>
        <w:rPr>
          <w:spacing w:val="-5"/>
          <w:sz w:val="18"/>
        </w:rPr>
        <w:t> </w:t>
      </w:r>
      <w:r>
        <w:rPr>
          <w:sz w:val="18"/>
        </w:rPr>
        <w:t>States,</w:t>
      </w:r>
      <w:r>
        <w:rPr>
          <w:spacing w:val="-4"/>
          <w:sz w:val="18"/>
        </w:rPr>
        <w:t> </w:t>
      </w:r>
      <w:r>
        <w:rPr>
          <w:sz w:val="18"/>
        </w:rPr>
        <w:t>but</w:t>
      </w:r>
      <w:r>
        <w:rPr>
          <w:spacing w:val="-4"/>
          <w:sz w:val="18"/>
        </w:rPr>
        <w:t> </w:t>
      </w:r>
      <w:r>
        <w:rPr>
          <w:sz w:val="18"/>
        </w:rPr>
        <w:t>had</w:t>
      </w:r>
      <w:r>
        <w:rPr>
          <w:spacing w:val="-4"/>
          <w:sz w:val="18"/>
        </w:rPr>
        <w:t> </w:t>
      </w:r>
      <w:r>
        <w:rPr>
          <w:sz w:val="18"/>
        </w:rPr>
        <w:t>risen</w:t>
      </w:r>
      <w:r>
        <w:rPr>
          <w:spacing w:val="-4"/>
          <w:sz w:val="18"/>
        </w:rPr>
        <w:t> </w:t>
      </w:r>
      <w:r>
        <w:rPr>
          <w:sz w:val="18"/>
        </w:rPr>
        <w:t>somewhat</w:t>
      </w:r>
      <w:r>
        <w:rPr>
          <w:spacing w:val="-5"/>
          <w:sz w:val="18"/>
        </w:rPr>
        <w:t> </w:t>
      </w:r>
      <w:r>
        <w:rPr>
          <w:sz w:val="18"/>
        </w:rPr>
        <w:t>for</w:t>
      </w:r>
      <w:r>
        <w:rPr>
          <w:spacing w:val="-4"/>
          <w:sz w:val="18"/>
        </w:rPr>
        <w:t> </w:t>
      </w:r>
      <w:r>
        <w:rPr>
          <w:sz w:val="18"/>
        </w:rPr>
        <w:t>the</w:t>
      </w:r>
      <w:r>
        <w:rPr>
          <w:spacing w:val="-4"/>
          <w:sz w:val="18"/>
        </w:rPr>
        <w:t> </w:t>
      </w:r>
      <w:r>
        <w:rPr>
          <w:sz w:val="18"/>
        </w:rPr>
        <w:t>euro</w:t>
      </w:r>
      <w:r>
        <w:rPr>
          <w:spacing w:val="-4"/>
          <w:sz w:val="18"/>
        </w:rPr>
        <w:t> </w:t>
      </w:r>
      <w:r>
        <w:rPr>
          <w:sz w:val="18"/>
        </w:rPr>
        <w:t>area</w:t>
      </w:r>
      <w:r>
        <w:rPr>
          <w:spacing w:val="-4"/>
          <w:sz w:val="18"/>
        </w:rPr>
        <w:t> </w:t>
      </w:r>
      <w:r>
        <w:rPr>
          <w:sz w:val="18"/>
        </w:rPr>
        <w:t>and</w:t>
      </w:r>
      <w:r>
        <w:rPr>
          <w:spacing w:val="-5"/>
          <w:sz w:val="18"/>
        </w:rPr>
        <w:t> </w:t>
      </w:r>
      <w:r>
        <w:rPr>
          <w:sz w:val="18"/>
        </w:rPr>
        <w:t>Japan.</w:t>
      </w:r>
    </w:p>
    <w:p>
      <w:pPr>
        <w:pStyle w:val="BodyText"/>
        <w:spacing w:before="8"/>
        <w:rPr>
          <w:sz w:val="21"/>
        </w:rPr>
      </w:pPr>
    </w:p>
    <w:p>
      <w:pPr>
        <w:pStyle w:val="ListParagraph"/>
        <w:numPr>
          <w:ilvl w:val="0"/>
          <w:numId w:val="53"/>
        </w:numPr>
        <w:tabs>
          <w:tab w:pos="654" w:val="left" w:leader="none"/>
          <w:tab w:pos="655" w:val="left" w:leader="none"/>
        </w:tabs>
        <w:spacing w:line="240" w:lineRule="auto" w:before="0" w:after="0"/>
        <w:ind w:left="654" w:right="0" w:hanging="481"/>
        <w:jc w:val="left"/>
        <w:rPr>
          <w:b/>
          <w:sz w:val="22"/>
        </w:rPr>
      </w:pPr>
      <w:r>
        <w:rPr>
          <w:b/>
          <w:color w:val="009391"/>
          <w:sz w:val="22"/>
        </w:rPr>
        <w:t>Monetary and financial</w:t>
      </w:r>
      <w:r>
        <w:rPr>
          <w:b/>
          <w:color w:val="009391"/>
          <w:spacing w:val="-7"/>
          <w:sz w:val="22"/>
        </w:rPr>
        <w:t> </w:t>
      </w:r>
      <w:r>
        <w:rPr>
          <w:b/>
          <w:color w:val="009391"/>
          <w:sz w:val="22"/>
        </w:rPr>
        <w:t>conditions</w:t>
      </w:r>
    </w:p>
    <w:p>
      <w:pPr>
        <w:pStyle w:val="ListParagraph"/>
        <w:numPr>
          <w:ilvl w:val="0"/>
          <w:numId w:val="52"/>
        </w:numPr>
        <w:tabs>
          <w:tab w:pos="654" w:val="left" w:leader="none"/>
          <w:tab w:pos="655" w:val="left" w:leader="none"/>
        </w:tabs>
        <w:spacing w:line="232" w:lineRule="auto" w:before="129" w:after="0"/>
        <w:ind w:left="174" w:right="497" w:firstLine="0"/>
        <w:jc w:val="left"/>
        <w:rPr>
          <w:sz w:val="18"/>
        </w:rPr>
      </w:pPr>
      <w:r>
        <w:rPr>
          <w:sz w:val="18"/>
        </w:rPr>
        <w:t>The twelve-month growth rate of notes and coin had continued</w:t>
      </w:r>
      <w:r>
        <w:rPr>
          <w:spacing w:val="-5"/>
          <w:sz w:val="18"/>
        </w:rPr>
        <w:t> </w:t>
      </w:r>
      <w:r>
        <w:rPr>
          <w:sz w:val="18"/>
        </w:rPr>
        <w:t>to</w:t>
      </w:r>
      <w:r>
        <w:rPr>
          <w:spacing w:val="-4"/>
          <w:sz w:val="18"/>
        </w:rPr>
        <w:t> </w:t>
      </w:r>
      <w:r>
        <w:rPr>
          <w:sz w:val="18"/>
        </w:rPr>
        <w:t>fall</w:t>
      </w:r>
      <w:r>
        <w:rPr>
          <w:spacing w:val="-5"/>
          <w:sz w:val="18"/>
        </w:rPr>
        <w:t> </w:t>
      </w:r>
      <w:r>
        <w:rPr>
          <w:sz w:val="18"/>
        </w:rPr>
        <w:t>slightly,</w:t>
      </w:r>
      <w:r>
        <w:rPr>
          <w:spacing w:val="-4"/>
          <w:sz w:val="18"/>
        </w:rPr>
        <w:t> </w:t>
      </w:r>
      <w:r>
        <w:rPr>
          <w:sz w:val="18"/>
        </w:rPr>
        <w:t>from</w:t>
      </w:r>
      <w:r>
        <w:rPr>
          <w:spacing w:val="-5"/>
          <w:sz w:val="18"/>
        </w:rPr>
        <w:t> </w:t>
      </w:r>
      <w:r>
        <w:rPr>
          <w:sz w:val="18"/>
        </w:rPr>
        <w:t>7.1%</w:t>
      </w:r>
      <w:r>
        <w:rPr>
          <w:spacing w:val="-4"/>
          <w:sz w:val="18"/>
        </w:rPr>
        <w:t> </w:t>
      </w:r>
      <w:r>
        <w:rPr>
          <w:sz w:val="18"/>
        </w:rPr>
        <w:t>in</w:t>
      </w:r>
      <w:r>
        <w:rPr>
          <w:spacing w:val="-5"/>
          <w:sz w:val="18"/>
        </w:rPr>
        <w:t> </w:t>
      </w:r>
      <w:r>
        <w:rPr>
          <w:sz w:val="18"/>
        </w:rPr>
        <w:t>July</w:t>
      </w:r>
      <w:r>
        <w:rPr>
          <w:spacing w:val="-4"/>
          <w:sz w:val="18"/>
        </w:rPr>
        <w:t> </w:t>
      </w:r>
      <w:r>
        <w:rPr>
          <w:sz w:val="18"/>
        </w:rPr>
        <w:t>to</w:t>
      </w:r>
      <w:r>
        <w:rPr>
          <w:spacing w:val="-4"/>
          <w:sz w:val="18"/>
        </w:rPr>
        <w:t> </w:t>
      </w:r>
      <w:r>
        <w:rPr>
          <w:sz w:val="18"/>
        </w:rPr>
        <w:t>6.9%</w:t>
      </w:r>
      <w:r>
        <w:rPr>
          <w:spacing w:val="-5"/>
          <w:sz w:val="18"/>
        </w:rPr>
        <w:t> </w:t>
      </w:r>
      <w:r>
        <w:rPr>
          <w:sz w:val="18"/>
        </w:rPr>
        <w:t>in</w:t>
      </w:r>
      <w:r>
        <w:rPr>
          <w:spacing w:val="-4"/>
          <w:sz w:val="18"/>
        </w:rPr>
        <w:t> </w:t>
      </w:r>
      <w:r>
        <w:rPr>
          <w:sz w:val="18"/>
        </w:rPr>
        <w:t>August.</w:t>
      </w:r>
    </w:p>
    <w:p>
      <w:pPr>
        <w:pStyle w:val="BodyText"/>
        <w:rPr>
          <w:sz w:val="19"/>
        </w:rPr>
      </w:pPr>
    </w:p>
    <w:p>
      <w:pPr>
        <w:pStyle w:val="ListParagraph"/>
        <w:numPr>
          <w:ilvl w:val="0"/>
          <w:numId w:val="52"/>
        </w:numPr>
        <w:tabs>
          <w:tab w:pos="654" w:val="left" w:leader="none"/>
          <w:tab w:pos="655" w:val="left" w:leader="none"/>
        </w:tabs>
        <w:spacing w:line="232" w:lineRule="auto" w:before="0" w:after="0"/>
        <w:ind w:left="174" w:right="143" w:firstLine="0"/>
        <w:jc w:val="left"/>
        <w:rPr>
          <w:sz w:val="18"/>
        </w:rPr>
      </w:pPr>
      <w:r>
        <w:rPr>
          <w:sz w:val="18"/>
        </w:rPr>
        <w:t>M4 had been weak in July, rising by only £0.2 billion. The twelve-month growth rate had risen slightly to 6.7% as a weak outturn a year ago fell out of the calculation. But, excluding other financial corporations’ (OFCs) deposits, twelve-month M4 growth had fallen to 5.3% in July. Aggregate M4 lending (excluding the effects</w:t>
      </w:r>
      <w:r>
        <w:rPr>
          <w:spacing w:val="-6"/>
          <w:sz w:val="18"/>
        </w:rPr>
        <w:t> </w:t>
      </w:r>
      <w:r>
        <w:rPr>
          <w:sz w:val="18"/>
        </w:rPr>
        <w:t>of</w:t>
      </w:r>
      <w:r>
        <w:rPr>
          <w:spacing w:val="-6"/>
          <w:sz w:val="18"/>
        </w:rPr>
        <w:t> </w:t>
      </w:r>
      <w:r>
        <w:rPr>
          <w:sz w:val="18"/>
        </w:rPr>
        <w:t>securitisations)</w:t>
      </w:r>
      <w:r>
        <w:rPr>
          <w:spacing w:val="-6"/>
          <w:sz w:val="18"/>
        </w:rPr>
        <w:t> </w:t>
      </w:r>
      <w:r>
        <w:rPr>
          <w:sz w:val="18"/>
        </w:rPr>
        <w:t>had</w:t>
      </w:r>
      <w:r>
        <w:rPr>
          <w:spacing w:val="-6"/>
          <w:sz w:val="18"/>
        </w:rPr>
        <w:t> </w:t>
      </w:r>
      <w:r>
        <w:rPr>
          <w:sz w:val="18"/>
        </w:rPr>
        <w:t>remained</w:t>
      </w:r>
      <w:r>
        <w:rPr>
          <w:spacing w:val="-6"/>
          <w:sz w:val="18"/>
        </w:rPr>
        <w:t> </w:t>
      </w:r>
      <w:r>
        <w:rPr>
          <w:sz w:val="18"/>
        </w:rPr>
        <w:t>strong</w:t>
      </w:r>
      <w:r>
        <w:rPr>
          <w:spacing w:val="-6"/>
          <w:sz w:val="18"/>
        </w:rPr>
        <w:t> </w:t>
      </w:r>
      <w:r>
        <w:rPr>
          <w:sz w:val="18"/>
        </w:rPr>
        <w:t>in</w:t>
      </w:r>
      <w:r>
        <w:rPr>
          <w:spacing w:val="-6"/>
          <w:sz w:val="18"/>
        </w:rPr>
        <w:t> </w:t>
      </w:r>
      <w:r>
        <w:rPr>
          <w:sz w:val="18"/>
        </w:rPr>
        <w:t>July,</w:t>
      </w:r>
      <w:r>
        <w:rPr>
          <w:spacing w:val="-6"/>
          <w:sz w:val="18"/>
        </w:rPr>
        <w:t> </w:t>
      </w:r>
      <w:r>
        <w:rPr>
          <w:sz w:val="18"/>
        </w:rPr>
        <w:t>increasing</w:t>
      </w:r>
      <w:r>
        <w:rPr>
          <w:spacing w:val="-6"/>
          <w:sz w:val="18"/>
        </w:rPr>
        <w:t> </w:t>
      </w:r>
      <w:r>
        <w:rPr>
          <w:sz w:val="18"/>
        </w:rPr>
        <w:t>by</w:t>
      </w:r>
    </w:p>
    <w:p>
      <w:pPr>
        <w:spacing w:line="232" w:lineRule="auto" w:before="0"/>
        <w:ind w:left="174" w:right="187" w:firstLine="0"/>
        <w:jc w:val="left"/>
        <w:rPr>
          <w:sz w:val="18"/>
        </w:rPr>
      </w:pPr>
      <w:r>
        <w:rPr>
          <w:sz w:val="18"/>
        </w:rPr>
        <w:t>£7.9 billion on the month. The twelve-month growth rate had risen to 11.9%, still close to its highest value since 1991.</w:t>
      </w:r>
    </w:p>
    <w:p>
      <w:pPr>
        <w:pStyle w:val="BodyText"/>
        <w:spacing w:before="7"/>
        <w:rPr>
          <w:sz w:val="18"/>
        </w:rPr>
      </w:pPr>
    </w:p>
    <w:p>
      <w:pPr>
        <w:pStyle w:val="ListParagraph"/>
        <w:numPr>
          <w:ilvl w:val="0"/>
          <w:numId w:val="52"/>
        </w:numPr>
        <w:tabs>
          <w:tab w:pos="654" w:val="left" w:leader="none"/>
          <w:tab w:pos="655" w:val="left" w:leader="none"/>
        </w:tabs>
        <w:spacing w:line="232" w:lineRule="auto" w:before="0" w:after="0"/>
        <w:ind w:left="174" w:right="258" w:firstLine="0"/>
        <w:jc w:val="left"/>
        <w:rPr>
          <w:sz w:val="18"/>
        </w:rPr>
      </w:pPr>
      <w:r>
        <w:rPr>
          <w:sz w:val="18"/>
        </w:rPr>
        <w:t>Households’ M4 had been unchanged in July, and the twelve-month growth rate had fallen to a five-year low of 4.6%. Timing factors and self-assessment tax payments may have contributed</w:t>
      </w:r>
      <w:r>
        <w:rPr>
          <w:spacing w:val="-5"/>
          <w:sz w:val="18"/>
        </w:rPr>
        <w:t> </w:t>
      </w:r>
      <w:r>
        <w:rPr>
          <w:sz w:val="18"/>
        </w:rPr>
        <w:t>to</w:t>
      </w:r>
      <w:r>
        <w:rPr>
          <w:spacing w:val="-5"/>
          <w:sz w:val="18"/>
        </w:rPr>
        <w:t> </w:t>
      </w:r>
      <w:r>
        <w:rPr>
          <w:sz w:val="18"/>
        </w:rPr>
        <w:t>the</w:t>
      </w:r>
      <w:r>
        <w:rPr>
          <w:spacing w:val="-5"/>
          <w:sz w:val="18"/>
        </w:rPr>
        <w:t> </w:t>
      </w:r>
      <w:r>
        <w:rPr>
          <w:sz w:val="18"/>
        </w:rPr>
        <w:t>weakness</w:t>
      </w:r>
      <w:r>
        <w:rPr>
          <w:spacing w:val="-5"/>
          <w:sz w:val="18"/>
        </w:rPr>
        <w:t> </w:t>
      </w:r>
      <w:r>
        <w:rPr>
          <w:sz w:val="18"/>
        </w:rPr>
        <w:t>in</w:t>
      </w:r>
      <w:r>
        <w:rPr>
          <w:spacing w:val="-5"/>
          <w:sz w:val="18"/>
        </w:rPr>
        <w:t> </w:t>
      </w:r>
      <w:r>
        <w:rPr>
          <w:sz w:val="18"/>
        </w:rPr>
        <w:t>July,</w:t>
      </w:r>
      <w:r>
        <w:rPr>
          <w:spacing w:val="-5"/>
          <w:sz w:val="18"/>
        </w:rPr>
        <w:t> </w:t>
      </w:r>
      <w:r>
        <w:rPr>
          <w:sz w:val="18"/>
        </w:rPr>
        <w:t>but</w:t>
      </w:r>
      <w:r>
        <w:rPr>
          <w:spacing w:val="-5"/>
          <w:sz w:val="18"/>
        </w:rPr>
        <w:t> </w:t>
      </w:r>
      <w:r>
        <w:rPr>
          <w:sz w:val="18"/>
        </w:rPr>
        <w:t>a</w:t>
      </w:r>
      <w:r>
        <w:rPr>
          <w:spacing w:val="-5"/>
          <w:sz w:val="18"/>
        </w:rPr>
        <w:t> </w:t>
      </w:r>
      <w:r>
        <w:rPr>
          <w:sz w:val="18"/>
        </w:rPr>
        <w:t>more</w:t>
      </w:r>
      <w:r>
        <w:rPr>
          <w:spacing w:val="-5"/>
          <w:sz w:val="18"/>
        </w:rPr>
        <w:t> </w:t>
      </w:r>
      <w:r>
        <w:rPr>
          <w:sz w:val="18"/>
        </w:rPr>
        <w:t>general</w:t>
      </w:r>
      <w:r>
        <w:rPr>
          <w:spacing w:val="-5"/>
          <w:sz w:val="18"/>
        </w:rPr>
        <w:t> </w:t>
      </w:r>
      <w:r>
        <w:rPr>
          <w:sz w:val="18"/>
        </w:rPr>
        <w:t>weakening trend had been apparent for the past year or</w:t>
      </w:r>
      <w:r>
        <w:rPr>
          <w:spacing w:val="-16"/>
          <w:sz w:val="18"/>
        </w:rPr>
        <w:t> </w:t>
      </w:r>
      <w:r>
        <w:rPr>
          <w:sz w:val="18"/>
        </w:rPr>
        <w:t>so.</w:t>
      </w:r>
    </w:p>
    <w:p>
      <w:pPr>
        <w:pStyle w:val="BodyText"/>
        <w:spacing w:before="9"/>
        <w:rPr>
          <w:sz w:val="18"/>
        </w:rPr>
      </w:pPr>
    </w:p>
    <w:p>
      <w:pPr>
        <w:pStyle w:val="ListParagraph"/>
        <w:numPr>
          <w:ilvl w:val="0"/>
          <w:numId w:val="52"/>
        </w:numPr>
        <w:tabs>
          <w:tab w:pos="654" w:val="left" w:leader="none"/>
          <w:tab w:pos="655" w:val="left" w:leader="none"/>
        </w:tabs>
        <w:spacing w:line="232" w:lineRule="auto" w:before="0" w:after="0"/>
        <w:ind w:left="174" w:right="202" w:firstLine="0"/>
        <w:jc w:val="left"/>
        <w:rPr>
          <w:sz w:val="18"/>
        </w:rPr>
      </w:pPr>
      <w:r>
        <w:rPr>
          <w:sz w:val="18"/>
        </w:rPr>
        <w:t>The twelve-month growth rate in households’ M4 lending (excluding securitisations) had ticked down to 10.1% in July. Within total lending to individuals, net secured lending had been substantially weaker than in previous months, at £2.8 billion in July. The value of all loans approved in July had been £8.9 billion (down £0.9 billion from June), and the total number of approvals for house purchase had fallen by 8,000 to 93,000 in July, compared with an average of around 100,000 for the first half of this year. These latest falls had perhaps brought the monetary data more into line with other indicators suggesting that underlying housing activity would begin to fall in future</w:t>
      </w:r>
      <w:r>
        <w:rPr>
          <w:spacing w:val="-12"/>
          <w:sz w:val="18"/>
        </w:rPr>
        <w:t> </w:t>
      </w:r>
      <w:r>
        <w:rPr>
          <w:sz w:val="18"/>
        </w:rPr>
        <w:t>months.</w:t>
      </w:r>
    </w:p>
    <w:p>
      <w:pPr>
        <w:pStyle w:val="BodyText"/>
        <w:spacing w:before="5"/>
        <w:rPr>
          <w:sz w:val="18"/>
        </w:rPr>
      </w:pPr>
    </w:p>
    <w:p>
      <w:pPr>
        <w:pStyle w:val="ListParagraph"/>
        <w:numPr>
          <w:ilvl w:val="0"/>
          <w:numId w:val="52"/>
        </w:numPr>
        <w:tabs>
          <w:tab w:pos="654" w:val="left" w:leader="none"/>
          <w:tab w:pos="655" w:val="left" w:leader="none"/>
        </w:tabs>
        <w:spacing w:line="232" w:lineRule="auto" w:before="0" w:after="0"/>
        <w:ind w:left="174" w:right="227" w:firstLine="0"/>
        <w:jc w:val="left"/>
        <w:rPr>
          <w:sz w:val="18"/>
        </w:rPr>
      </w:pPr>
      <w:r>
        <w:rPr>
          <w:sz w:val="18"/>
        </w:rPr>
        <w:t>The Bank’s first estimate of mortgage equity withdrawal in Q2</w:t>
      </w:r>
      <w:r>
        <w:rPr>
          <w:spacing w:val="-5"/>
          <w:sz w:val="18"/>
        </w:rPr>
        <w:t> </w:t>
      </w:r>
      <w:r>
        <w:rPr>
          <w:sz w:val="18"/>
        </w:rPr>
        <w:t>was</w:t>
      </w:r>
      <w:r>
        <w:rPr>
          <w:spacing w:val="-4"/>
          <w:sz w:val="18"/>
        </w:rPr>
        <w:t> </w:t>
      </w:r>
      <w:r>
        <w:rPr>
          <w:sz w:val="18"/>
        </w:rPr>
        <w:t>£3.3</w:t>
      </w:r>
      <w:r>
        <w:rPr>
          <w:spacing w:val="-4"/>
          <w:sz w:val="18"/>
        </w:rPr>
        <w:t> </w:t>
      </w:r>
      <w:r>
        <w:rPr>
          <w:sz w:val="18"/>
        </w:rPr>
        <w:t>billion,</w:t>
      </w:r>
      <w:r>
        <w:rPr>
          <w:spacing w:val="-4"/>
          <w:sz w:val="18"/>
        </w:rPr>
        <w:t> </w:t>
      </w:r>
      <w:r>
        <w:rPr>
          <w:sz w:val="18"/>
        </w:rPr>
        <w:t>compared</w:t>
      </w:r>
      <w:r>
        <w:rPr>
          <w:spacing w:val="-4"/>
          <w:sz w:val="18"/>
        </w:rPr>
        <w:t> </w:t>
      </w:r>
      <w:r>
        <w:rPr>
          <w:sz w:val="18"/>
        </w:rPr>
        <w:t>with</w:t>
      </w:r>
      <w:r>
        <w:rPr>
          <w:spacing w:val="-4"/>
          <w:sz w:val="18"/>
        </w:rPr>
        <w:t> </w:t>
      </w:r>
      <w:r>
        <w:rPr>
          <w:sz w:val="18"/>
        </w:rPr>
        <w:t>£2.3</w:t>
      </w:r>
      <w:r>
        <w:rPr>
          <w:spacing w:val="-5"/>
          <w:sz w:val="18"/>
        </w:rPr>
        <w:t> </w:t>
      </w:r>
      <w:r>
        <w:rPr>
          <w:sz w:val="18"/>
        </w:rPr>
        <w:t>billion</w:t>
      </w:r>
      <w:r>
        <w:rPr>
          <w:spacing w:val="-4"/>
          <w:sz w:val="18"/>
        </w:rPr>
        <w:t> </w:t>
      </w:r>
      <w:r>
        <w:rPr>
          <w:sz w:val="18"/>
        </w:rPr>
        <w:t>in</w:t>
      </w:r>
      <w:r>
        <w:rPr>
          <w:spacing w:val="-4"/>
          <w:sz w:val="18"/>
        </w:rPr>
        <w:t> </w:t>
      </w:r>
      <w:r>
        <w:rPr>
          <w:sz w:val="18"/>
        </w:rPr>
        <w:t>Q1</w:t>
      </w:r>
      <w:r>
        <w:rPr>
          <w:spacing w:val="-4"/>
          <w:sz w:val="18"/>
        </w:rPr>
        <w:t> </w:t>
      </w:r>
      <w:r>
        <w:rPr>
          <w:sz w:val="18"/>
        </w:rPr>
        <w:t>and</w:t>
      </w:r>
      <w:r>
        <w:rPr>
          <w:spacing w:val="-4"/>
          <w:sz w:val="18"/>
        </w:rPr>
        <w:t> </w:t>
      </w:r>
      <w:r>
        <w:rPr>
          <w:sz w:val="18"/>
        </w:rPr>
        <w:t>a</w:t>
      </w:r>
      <w:r>
        <w:rPr>
          <w:spacing w:val="-4"/>
          <w:sz w:val="18"/>
        </w:rPr>
        <w:t> </w:t>
      </w:r>
      <w:r>
        <w:rPr>
          <w:sz w:val="18"/>
        </w:rPr>
        <w:t>recent peak of £3.4 billion in 1999 Q3. The latest estimate had suggested that the flow of real borrowing for consumption had remained broadly flat over the past three quarters or so, following the sharp pick-up around the middle of</w:t>
      </w:r>
      <w:r>
        <w:rPr>
          <w:spacing w:val="-8"/>
          <w:sz w:val="18"/>
        </w:rPr>
        <w:t> </w:t>
      </w:r>
      <w:r>
        <w:rPr>
          <w:sz w:val="18"/>
        </w:rPr>
        <w:t>1999.</w:t>
      </w:r>
    </w:p>
    <w:p>
      <w:pPr>
        <w:pStyle w:val="BodyText"/>
        <w:spacing w:before="8"/>
        <w:rPr>
          <w:sz w:val="18"/>
        </w:rPr>
      </w:pPr>
    </w:p>
    <w:p>
      <w:pPr>
        <w:pStyle w:val="ListParagraph"/>
        <w:numPr>
          <w:ilvl w:val="0"/>
          <w:numId w:val="52"/>
        </w:numPr>
        <w:tabs>
          <w:tab w:pos="654" w:val="left" w:leader="none"/>
          <w:tab w:pos="655" w:val="left" w:leader="none"/>
        </w:tabs>
        <w:spacing w:line="232" w:lineRule="auto" w:before="0" w:after="0"/>
        <w:ind w:left="174" w:right="252" w:firstLine="0"/>
        <w:jc w:val="left"/>
        <w:rPr>
          <w:sz w:val="18"/>
        </w:rPr>
      </w:pPr>
      <w:r>
        <w:rPr>
          <w:sz w:val="18"/>
        </w:rPr>
        <w:t>Private non-financial corporations’ (PNFCs) M4 had fallen by £0.1 billion in July after strong growth in earlier months, possibly related to tax changes in the Budget reducing the incentives to hold surplus funds overseas. The twelve-month growth rate in PNFCs’ M4 had declined to 7.9%. By contrast, M4 lending</w:t>
      </w:r>
      <w:r>
        <w:rPr>
          <w:spacing w:val="-7"/>
          <w:sz w:val="18"/>
        </w:rPr>
        <w:t> </w:t>
      </w:r>
      <w:r>
        <w:rPr>
          <w:sz w:val="18"/>
        </w:rPr>
        <w:t>to</w:t>
      </w:r>
      <w:r>
        <w:rPr>
          <w:spacing w:val="-6"/>
          <w:sz w:val="18"/>
        </w:rPr>
        <w:t> </w:t>
      </w:r>
      <w:r>
        <w:rPr>
          <w:sz w:val="18"/>
        </w:rPr>
        <w:t>PNFCs</w:t>
      </w:r>
      <w:r>
        <w:rPr>
          <w:spacing w:val="-7"/>
          <w:sz w:val="18"/>
        </w:rPr>
        <w:t> </w:t>
      </w:r>
      <w:r>
        <w:rPr>
          <w:sz w:val="18"/>
        </w:rPr>
        <w:t>(excluding</w:t>
      </w:r>
      <w:r>
        <w:rPr>
          <w:spacing w:val="-6"/>
          <w:sz w:val="18"/>
        </w:rPr>
        <w:t> </w:t>
      </w:r>
      <w:r>
        <w:rPr>
          <w:sz w:val="18"/>
        </w:rPr>
        <w:t>securitisations)</w:t>
      </w:r>
      <w:r>
        <w:rPr>
          <w:spacing w:val="-6"/>
          <w:sz w:val="18"/>
        </w:rPr>
        <w:t> </w:t>
      </w:r>
      <w:r>
        <w:rPr>
          <w:sz w:val="18"/>
        </w:rPr>
        <w:t>had</w:t>
      </w:r>
      <w:r>
        <w:rPr>
          <w:spacing w:val="-7"/>
          <w:sz w:val="18"/>
        </w:rPr>
        <w:t> </w:t>
      </w:r>
      <w:r>
        <w:rPr>
          <w:sz w:val="18"/>
        </w:rPr>
        <w:t>risen</w:t>
      </w:r>
      <w:r>
        <w:rPr>
          <w:spacing w:val="-6"/>
          <w:sz w:val="18"/>
        </w:rPr>
        <w:t> </w:t>
      </w:r>
      <w:r>
        <w:rPr>
          <w:sz w:val="18"/>
        </w:rPr>
        <w:t>strongly</w:t>
      </w:r>
      <w:r>
        <w:rPr>
          <w:spacing w:val="-6"/>
          <w:sz w:val="18"/>
        </w:rPr>
        <w:t> </w:t>
      </w:r>
      <w:r>
        <w:rPr>
          <w:sz w:val="18"/>
        </w:rPr>
        <w:t>by</w:t>
      </w:r>
    </w:p>
    <w:p>
      <w:pPr>
        <w:spacing w:line="232" w:lineRule="auto" w:before="0"/>
        <w:ind w:left="174" w:right="193" w:firstLine="0"/>
        <w:jc w:val="left"/>
        <w:rPr>
          <w:sz w:val="18"/>
        </w:rPr>
      </w:pPr>
      <w:r>
        <w:rPr>
          <w:sz w:val="18"/>
        </w:rPr>
        <w:t>£3.2 billion in July after falling in June. The twelve-month growth rate of PNFCs’ M4 lending had risen to 14.5%, continuing its recent strength. Total corporate financing had also been strong, at</w:t>
      </w:r>
    </w:p>
    <w:p>
      <w:pPr>
        <w:spacing w:line="232" w:lineRule="auto" w:before="0"/>
        <w:ind w:left="174" w:right="143" w:firstLine="0"/>
        <w:jc w:val="left"/>
        <w:rPr>
          <w:sz w:val="18"/>
        </w:rPr>
      </w:pPr>
      <w:r>
        <w:rPr>
          <w:sz w:val="18"/>
        </w:rPr>
        <w:t>£7.0 billion in July. In real terms the average monthly flow of financing raised by PNFCs was now at the highest level since 1989.</w:t>
      </w:r>
    </w:p>
    <w:p>
      <w:pPr>
        <w:pStyle w:val="BodyText"/>
        <w:spacing w:before="5"/>
        <w:rPr>
          <w:sz w:val="18"/>
        </w:rPr>
      </w:pPr>
    </w:p>
    <w:p>
      <w:pPr>
        <w:pStyle w:val="ListParagraph"/>
        <w:numPr>
          <w:ilvl w:val="0"/>
          <w:numId w:val="52"/>
        </w:numPr>
        <w:tabs>
          <w:tab w:pos="654" w:val="left" w:leader="none"/>
          <w:tab w:pos="655" w:val="left" w:leader="none"/>
        </w:tabs>
        <w:spacing w:line="232" w:lineRule="auto" w:before="0" w:after="0"/>
        <w:ind w:left="174" w:right="142" w:firstLine="0"/>
        <w:jc w:val="left"/>
        <w:rPr>
          <w:sz w:val="18"/>
        </w:rPr>
      </w:pPr>
      <w:r>
        <w:rPr>
          <w:sz w:val="18"/>
        </w:rPr>
        <w:t>Holdings of M4 by OFCs had increased by £0.3 billion (0.2%) in July. The twelve-month growth rate had been 11.8%. OFCs’</w:t>
      </w:r>
      <w:r>
        <w:rPr>
          <w:spacing w:val="-5"/>
          <w:sz w:val="18"/>
        </w:rPr>
        <w:t> </w:t>
      </w:r>
      <w:r>
        <w:rPr>
          <w:sz w:val="18"/>
        </w:rPr>
        <w:t>M4</w:t>
      </w:r>
      <w:r>
        <w:rPr>
          <w:spacing w:val="-5"/>
          <w:sz w:val="18"/>
        </w:rPr>
        <w:t> </w:t>
      </w:r>
      <w:r>
        <w:rPr>
          <w:sz w:val="18"/>
        </w:rPr>
        <w:t>lending</w:t>
      </w:r>
      <w:r>
        <w:rPr>
          <w:spacing w:val="-4"/>
          <w:sz w:val="18"/>
        </w:rPr>
        <w:t> </w:t>
      </w:r>
      <w:r>
        <w:rPr>
          <w:sz w:val="18"/>
        </w:rPr>
        <w:t>had</w:t>
      </w:r>
      <w:r>
        <w:rPr>
          <w:spacing w:val="-5"/>
          <w:sz w:val="18"/>
        </w:rPr>
        <w:t> </w:t>
      </w:r>
      <w:r>
        <w:rPr>
          <w:sz w:val="18"/>
        </w:rPr>
        <w:t>increased</w:t>
      </w:r>
      <w:r>
        <w:rPr>
          <w:spacing w:val="-4"/>
          <w:sz w:val="18"/>
        </w:rPr>
        <w:t> </w:t>
      </w:r>
      <w:r>
        <w:rPr>
          <w:sz w:val="18"/>
        </w:rPr>
        <w:t>by</w:t>
      </w:r>
      <w:r>
        <w:rPr>
          <w:spacing w:val="-5"/>
          <w:sz w:val="18"/>
        </w:rPr>
        <w:t> </w:t>
      </w:r>
      <w:r>
        <w:rPr>
          <w:sz w:val="18"/>
        </w:rPr>
        <w:t>£0.2</w:t>
      </w:r>
      <w:r>
        <w:rPr>
          <w:spacing w:val="-5"/>
          <w:sz w:val="18"/>
        </w:rPr>
        <w:t> </w:t>
      </w:r>
      <w:r>
        <w:rPr>
          <w:sz w:val="18"/>
        </w:rPr>
        <w:t>billion</w:t>
      </w:r>
      <w:r>
        <w:rPr>
          <w:spacing w:val="-4"/>
          <w:sz w:val="18"/>
        </w:rPr>
        <w:t> </w:t>
      </w:r>
      <w:r>
        <w:rPr>
          <w:sz w:val="18"/>
        </w:rPr>
        <w:t>(0.1%)</w:t>
      </w:r>
      <w:r>
        <w:rPr>
          <w:spacing w:val="-5"/>
          <w:sz w:val="18"/>
        </w:rPr>
        <w:t> </w:t>
      </w:r>
      <w:r>
        <w:rPr>
          <w:sz w:val="18"/>
        </w:rPr>
        <w:t>in</w:t>
      </w:r>
      <w:r>
        <w:rPr>
          <w:spacing w:val="-4"/>
          <w:sz w:val="18"/>
        </w:rPr>
        <w:t> </w:t>
      </w:r>
      <w:r>
        <w:rPr>
          <w:sz w:val="18"/>
        </w:rPr>
        <w:t>July,</w:t>
      </w:r>
      <w:r>
        <w:rPr>
          <w:spacing w:val="-5"/>
          <w:sz w:val="18"/>
        </w:rPr>
        <w:t> </w:t>
      </w:r>
      <w:r>
        <w:rPr>
          <w:sz w:val="18"/>
        </w:rPr>
        <w:t>and the twelve-month growth rate had been</w:t>
      </w:r>
      <w:r>
        <w:rPr>
          <w:spacing w:val="-11"/>
          <w:sz w:val="18"/>
        </w:rPr>
        <w:t> </w:t>
      </w:r>
      <w:r>
        <w:rPr>
          <w:sz w:val="18"/>
        </w:rPr>
        <w:t>14%.</w:t>
      </w:r>
    </w:p>
    <w:p>
      <w:pPr>
        <w:spacing w:after="0" w:line="232" w:lineRule="auto"/>
        <w:jc w:val="left"/>
        <w:rPr>
          <w:sz w:val="18"/>
        </w:rPr>
        <w:sectPr>
          <w:type w:val="continuous"/>
          <w:pgSz w:w="11900" w:h="16840"/>
          <w:pgMar w:top="1260" w:bottom="280" w:left="640" w:right="640"/>
          <w:cols w:num="2" w:equalWidth="0">
            <w:col w:w="5098" w:space="295"/>
            <w:col w:w="5227"/>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pStyle w:val="ListParagraph"/>
        <w:numPr>
          <w:ilvl w:val="0"/>
          <w:numId w:val="52"/>
        </w:numPr>
        <w:tabs>
          <w:tab w:pos="665" w:val="left" w:leader="none"/>
          <w:tab w:pos="666" w:val="left" w:leader="none"/>
        </w:tabs>
        <w:spacing w:line="232" w:lineRule="auto" w:before="1" w:after="0"/>
        <w:ind w:left="185" w:right="53" w:firstLine="0"/>
        <w:jc w:val="left"/>
        <w:rPr>
          <w:sz w:val="18"/>
        </w:rPr>
      </w:pPr>
      <w:r>
        <w:rPr>
          <w:sz w:val="18"/>
        </w:rPr>
        <w:t>Since the August MPC meeting, shorter-term interest rate expectations, as measured by the two-week gilt repo forward curve, had fallen slightly. Longer-term rates had changed little. But corporate bond yields had risen slightly since the August MPC meeting. With the flattening of the corporate term structure, the maturity of bond issuance in recent months had become more evenly spread across the yield curve, and less concentrated at the long end.</w:t>
      </w:r>
    </w:p>
    <w:p>
      <w:pPr>
        <w:pStyle w:val="BodyText"/>
        <w:spacing w:before="9"/>
        <w:rPr>
          <w:sz w:val="16"/>
        </w:rPr>
      </w:pPr>
    </w:p>
    <w:p>
      <w:pPr>
        <w:pStyle w:val="ListParagraph"/>
        <w:numPr>
          <w:ilvl w:val="0"/>
          <w:numId w:val="52"/>
        </w:numPr>
        <w:tabs>
          <w:tab w:pos="665" w:val="left" w:leader="none"/>
          <w:tab w:pos="666" w:val="left" w:leader="none"/>
        </w:tabs>
        <w:spacing w:line="232" w:lineRule="auto" w:before="0" w:after="0"/>
        <w:ind w:left="185" w:right="103" w:firstLine="0"/>
        <w:jc w:val="left"/>
        <w:rPr>
          <w:sz w:val="18"/>
        </w:rPr>
      </w:pPr>
      <w:r>
        <w:rPr>
          <w:sz w:val="18"/>
        </w:rPr>
        <w:t>Retail interest rates had been little changed since the August MPC meeting, and survey measures of inflation expectations were very close to the values reported at the time of the August MPC meeting.</w:t>
      </w:r>
    </w:p>
    <w:p>
      <w:pPr>
        <w:pStyle w:val="BodyText"/>
        <w:spacing w:before="2"/>
        <w:rPr>
          <w:sz w:val="17"/>
        </w:rPr>
      </w:pPr>
    </w:p>
    <w:p>
      <w:pPr>
        <w:pStyle w:val="ListParagraph"/>
        <w:numPr>
          <w:ilvl w:val="0"/>
          <w:numId w:val="52"/>
        </w:numPr>
        <w:tabs>
          <w:tab w:pos="665" w:val="left" w:leader="none"/>
          <w:tab w:pos="666" w:val="left" w:leader="none"/>
        </w:tabs>
        <w:spacing w:line="232" w:lineRule="auto" w:before="0" w:after="0"/>
        <w:ind w:left="185" w:right="57" w:firstLine="0"/>
        <w:jc w:val="left"/>
        <w:rPr>
          <w:sz w:val="18"/>
        </w:rPr>
      </w:pPr>
      <w:r>
        <w:rPr>
          <w:sz w:val="18"/>
        </w:rPr>
        <w:t>The FTSE 100, the FTSE All-Share, the FTSE 250, and the FTSE Small Cap indices had risen by between 3.9% and 6.8% since the August MPC meeting, broadly in line with international markets. The UK IT sector, as measured by the FTSE IT Sector index, had risen by 16.4% over the month, reflecting the continued global rebound of IT stocks. The FTSE 100 implied volatility level had fallen sharply in August towards levels last seen in</w:t>
      </w:r>
      <w:r>
        <w:rPr>
          <w:spacing w:val="-30"/>
          <w:sz w:val="18"/>
        </w:rPr>
        <w:t> </w:t>
      </w:r>
      <w:r>
        <w:rPr>
          <w:sz w:val="18"/>
        </w:rPr>
        <w:t>1997.</w:t>
      </w:r>
    </w:p>
    <w:p>
      <w:pPr>
        <w:pStyle w:val="BodyText"/>
        <w:spacing w:before="10"/>
        <w:rPr>
          <w:sz w:val="16"/>
        </w:rPr>
      </w:pPr>
    </w:p>
    <w:p>
      <w:pPr>
        <w:pStyle w:val="ListParagraph"/>
        <w:numPr>
          <w:ilvl w:val="0"/>
          <w:numId w:val="52"/>
        </w:numPr>
        <w:tabs>
          <w:tab w:pos="665" w:val="left" w:leader="none"/>
          <w:tab w:pos="666" w:val="left" w:leader="none"/>
        </w:tabs>
        <w:spacing w:line="232" w:lineRule="auto" w:before="0" w:after="0"/>
        <w:ind w:left="185" w:right="133" w:firstLine="0"/>
        <w:jc w:val="left"/>
        <w:rPr>
          <w:sz w:val="18"/>
        </w:rPr>
      </w:pPr>
      <w:r>
        <w:rPr>
          <w:sz w:val="18"/>
        </w:rPr>
        <w:t>Since the previous MPC meeting, the sterling exchange rate index had changed little, depreciating by 0.2%. Within the index, sterling had appreciated by 1.1% against the euro and depreciated by 2.9% against the US dollar. The $/£ rate had been at its lowest level in seven years. Changes in interest differentials could not explain sterling’s depreciation against the</w:t>
      </w:r>
      <w:r>
        <w:rPr>
          <w:spacing w:val="-11"/>
          <w:sz w:val="18"/>
        </w:rPr>
        <w:t> </w:t>
      </w:r>
      <w:r>
        <w:rPr>
          <w:sz w:val="18"/>
        </w:rPr>
        <w:t>dollar.</w:t>
      </w:r>
    </w:p>
    <w:p>
      <w:pPr>
        <w:pStyle w:val="BodyText"/>
        <w:spacing w:before="3"/>
        <w:rPr>
          <w:sz w:val="20"/>
        </w:rPr>
      </w:pPr>
    </w:p>
    <w:p>
      <w:pPr>
        <w:pStyle w:val="ListParagraph"/>
        <w:numPr>
          <w:ilvl w:val="0"/>
          <w:numId w:val="53"/>
        </w:numPr>
        <w:tabs>
          <w:tab w:pos="665" w:val="left" w:leader="none"/>
          <w:tab w:pos="666" w:val="left" w:leader="none"/>
        </w:tabs>
        <w:spacing w:line="240" w:lineRule="auto" w:before="0" w:after="0"/>
        <w:ind w:left="665" w:right="0" w:hanging="481"/>
        <w:jc w:val="left"/>
        <w:rPr>
          <w:b/>
          <w:sz w:val="22"/>
        </w:rPr>
      </w:pPr>
      <w:r>
        <w:rPr>
          <w:b/>
          <w:color w:val="009391"/>
          <w:sz w:val="22"/>
        </w:rPr>
        <w:t>Demand and</w:t>
      </w:r>
      <w:r>
        <w:rPr>
          <w:b/>
          <w:color w:val="009391"/>
          <w:spacing w:val="-3"/>
          <w:sz w:val="22"/>
        </w:rPr>
        <w:t> </w:t>
      </w:r>
      <w:r>
        <w:rPr>
          <w:b/>
          <w:color w:val="009391"/>
          <w:sz w:val="22"/>
        </w:rPr>
        <w:t>output</w:t>
      </w:r>
    </w:p>
    <w:p>
      <w:pPr>
        <w:pStyle w:val="ListParagraph"/>
        <w:numPr>
          <w:ilvl w:val="0"/>
          <w:numId w:val="52"/>
        </w:numPr>
        <w:tabs>
          <w:tab w:pos="665" w:val="left" w:leader="none"/>
          <w:tab w:pos="666" w:val="left" w:leader="none"/>
        </w:tabs>
        <w:spacing w:line="232" w:lineRule="auto" w:before="130" w:after="0"/>
        <w:ind w:left="185" w:right="43" w:firstLine="0"/>
        <w:jc w:val="left"/>
        <w:rPr>
          <w:sz w:val="18"/>
        </w:rPr>
      </w:pPr>
      <w:r>
        <w:rPr>
          <w:sz w:val="18"/>
        </w:rPr>
        <w:t>Quarterly GDP had risen by 0.9% in Q2, unrevised from the previous GDP release, with growth up from 0.5% in Q1. Service sector growth had been revised down to 0.9% from 1.0%, while manufacturing output had increased by 0.4% on the quarter. Construction output had fallen by 0.7% in Q2. The increase in quarterly GDP growth had been partly accounted for by a sharp rise in the growth of mining and utilities output, reported to have been due to adverse weather conditions, which had</w:t>
      </w:r>
      <w:r>
        <w:rPr>
          <w:spacing w:val="-19"/>
          <w:sz w:val="18"/>
        </w:rPr>
        <w:t> </w:t>
      </w:r>
      <w:r>
        <w:rPr>
          <w:sz w:val="18"/>
        </w:rPr>
        <w:t>contributed</w:t>
      </w:r>
    </w:p>
    <w:p>
      <w:pPr>
        <w:spacing w:line="232" w:lineRule="auto" w:before="0"/>
        <w:ind w:left="185" w:right="44" w:firstLine="0"/>
        <w:jc w:val="left"/>
        <w:rPr>
          <w:sz w:val="18"/>
        </w:rPr>
      </w:pPr>
      <w:r>
        <w:rPr>
          <w:sz w:val="18"/>
        </w:rPr>
        <w:t>0.3 percentage points to quarterly GDP growth in Q2. Excluding the primary sectors, GDP had risen by an estimated 0.7% on the quarter. Within manufacturing, the divergence between growth in the electrical/optical and chemical sectors and the rest of manufacturing had continued in Q2. Within services, business services at 1.5% had shown the strongest quarterly growth rate for two years. By contrast, growth in distribution output had weakened to 0.6% from 1.0% in</w:t>
      </w:r>
      <w:r>
        <w:rPr>
          <w:spacing w:val="-6"/>
          <w:sz w:val="18"/>
        </w:rPr>
        <w:t> </w:t>
      </w:r>
      <w:r>
        <w:rPr>
          <w:sz w:val="18"/>
        </w:rPr>
        <w:t>Q1.</w:t>
      </w:r>
    </w:p>
    <w:p>
      <w:pPr>
        <w:pStyle w:val="BodyText"/>
        <w:spacing w:before="3"/>
        <w:rPr>
          <w:sz w:val="16"/>
        </w:rPr>
      </w:pPr>
    </w:p>
    <w:p>
      <w:pPr>
        <w:pStyle w:val="ListParagraph"/>
        <w:numPr>
          <w:ilvl w:val="0"/>
          <w:numId w:val="52"/>
        </w:numPr>
        <w:tabs>
          <w:tab w:pos="665" w:val="left" w:leader="none"/>
          <w:tab w:pos="666" w:val="left" w:leader="none"/>
        </w:tabs>
        <w:spacing w:line="232" w:lineRule="auto" w:before="0" w:after="0"/>
        <w:ind w:left="185" w:right="48" w:firstLine="0"/>
        <w:jc w:val="left"/>
        <w:rPr>
          <w:sz w:val="18"/>
        </w:rPr>
      </w:pPr>
      <w:r>
        <w:rPr>
          <w:sz w:val="18"/>
        </w:rPr>
        <w:t>On the expenditure side, quarterly household consumption growth had been 0.8% in Q2. The ONS had reported strong increases in energy and communications, but a decline in sales of cars. Government consumption growth in Q2 had been strong at 1.9%. Investment had shown quarterly growth of just 0.2% in Q2 reflecting weak business investment growth of 0.4%. Manufacturing investment had fallen by 3.2%, but services investment had increased. Inventories had made no contribution to GDP growth in Q2. The ONS had said that the entire rise in stocks had been accounted for by the alignment adjustment; excluding the alignment adjustment, stocks were lower than in the previous quarter. Growth in both export and import volumes had picked up in Q2, to 2.6% and 2.3% on the quarter. Net trade had made no contribution to quarterly GDP</w:t>
      </w:r>
      <w:r>
        <w:rPr>
          <w:spacing w:val="-7"/>
          <w:sz w:val="18"/>
        </w:rPr>
        <w:t> </w:t>
      </w:r>
      <w:r>
        <w:rPr>
          <w:sz w:val="18"/>
        </w:rPr>
        <w:t>growth.</w:t>
      </w:r>
    </w:p>
    <w:p>
      <w:pPr>
        <w:pStyle w:val="ListParagraph"/>
        <w:numPr>
          <w:ilvl w:val="0"/>
          <w:numId w:val="52"/>
        </w:numPr>
        <w:tabs>
          <w:tab w:pos="665" w:val="left" w:leader="none"/>
          <w:tab w:pos="666" w:val="left" w:leader="none"/>
        </w:tabs>
        <w:spacing w:line="232" w:lineRule="auto" w:before="170" w:after="0"/>
        <w:ind w:left="185" w:right="43" w:firstLine="0"/>
        <w:jc w:val="left"/>
        <w:rPr>
          <w:sz w:val="18"/>
        </w:rPr>
      </w:pPr>
      <w:r>
        <w:rPr>
          <w:sz w:val="18"/>
        </w:rPr>
        <w:t>Retail sales volumes in July had been broadly unchanged. Sales of clothing and footwear and food had declined on the month. But growth in the three months to July compared with the previous three months had risen to 0.9%, from 0.4% in June, as the high January figure had dropped out of the calculation. The CBI Distributive Trades Survey reported that the retail sales balance had fallen to 18 in August from 24 in July. The British Retail Consortium had recorded a decline in annual growth of total sales values to 4.3% in August from 4.7% in July. By contrast, the</w:t>
      </w:r>
      <w:r>
        <w:rPr>
          <w:spacing w:val="1"/>
          <w:sz w:val="18"/>
        </w:rPr>
        <w:t> </w:t>
      </w:r>
      <w:r>
        <w:rPr>
          <w:sz w:val="18"/>
        </w:rPr>
        <w:t>GfK</w:t>
      </w:r>
    </w:p>
    <w:p>
      <w:pPr>
        <w:pStyle w:val="BodyText"/>
        <w:spacing w:before="4"/>
        <w:rPr>
          <w:sz w:val="21"/>
        </w:rPr>
      </w:pPr>
      <w:r>
        <w:rPr/>
        <w:br w:type="column"/>
      </w:r>
      <w:r>
        <w:rPr>
          <w:sz w:val="21"/>
        </w:rPr>
      </w:r>
    </w:p>
    <w:p>
      <w:pPr>
        <w:spacing w:line="232" w:lineRule="auto" w:before="1"/>
        <w:ind w:left="185" w:right="215" w:firstLine="0"/>
        <w:jc w:val="left"/>
        <w:rPr>
          <w:sz w:val="18"/>
        </w:rPr>
      </w:pPr>
      <w:r>
        <w:rPr>
          <w:sz w:val="18"/>
        </w:rPr>
        <w:t>consumer confidence balance had risen in August to 1.4 from -2.0 in July. Private car registrations in July at -15.4% had continued to be lower than the previous year. Housing market activity had generally eased. Particulars delivered had decreased by 7,000 to 119,000 in July, while the (seasonally adjusted) HBF net reservations balance had fallen to -28, its lowest level since 1995. The Halifax house price index had shown a fall from 8.0% in July to 7.4% in August. Similarly, the Nationwide house price index had been 11.2% higher in August than a year earlier, compared with 13.9% in</w:t>
      </w:r>
      <w:r>
        <w:rPr>
          <w:spacing w:val="-4"/>
          <w:sz w:val="18"/>
        </w:rPr>
        <w:t> </w:t>
      </w:r>
      <w:r>
        <w:rPr>
          <w:sz w:val="18"/>
        </w:rPr>
        <w:t>July.</w:t>
      </w:r>
    </w:p>
    <w:p>
      <w:pPr>
        <w:pStyle w:val="BodyText"/>
        <w:spacing w:before="3"/>
        <w:rPr>
          <w:sz w:val="16"/>
        </w:rPr>
      </w:pPr>
    </w:p>
    <w:p>
      <w:pPr>
        <w:pStyle w:val="ListParagraph"/>
        <w:numPr>
          <w:ilvl w:val="0"/>
          <w:numId w:val="52"/>
        </w:numPr>
        <w:tabs>
          <w:tab w:pos="665" w:val="left" w:leader="none"/>
          <w:tab w:pos="666" w:val="left" w:leader="none"/>
        </w:tabs>
        <w:spacing w:line="203" w:lineRule="exact" w:before="0" w:after="0"/>
        <w:ind w:left="665" w:right="0" w:hanging="481"/>
        <w:jc w:val="left"/>
        <w:rPr>
          <w:sz w:val="18"/>
        </w:rPr>
      </w:pPr>
      <w:r>
        <w:rPr>
          <w:sz w:val="18"/>
        </w:rPr>
        <w:t>The surplus on government net borrowing had</w:t>
      </w:r>
      <w:r>
        <w:rPr>
          <w:spacing w:val="-16"/>
          <w:sz w:val="18"/>
        </w:rPr>
        <w:t> </w:t>
      </w:r>
      <w:r>
        <w:rPr>
          <w:sz w:val="18"/>
        </w:rPr>
        <w:t>been</w:t>
      </w:r>
    </w:p>
    <w:p>
      <w:pPr>
        <w:spacing w:line="232" w:lineRule="auto" w:before="1"/>
        <w:ind w:left="185" w:right="0" w:firstLine="0"/>
        <w:jc w:val="left"/>
        <w:rPr>
          <w:sz w:val="18"/>
        </w:rPr>
      </w:pPr>
      <w:r>
        <w:rPr>
          <w:sz w:val="18"/>
        </w:rPr>
        <w:t>£6.6 billion in July, the largest July surplus since monthly figures started in 1993. This had reflected strong current receipts and weak current expenditure. The strength of current receipts had partly reflected special factors. The weakness of current expenditure had followed strong central government current expenditure in Q2, a pattern which may have reflected timing changes related to the introduction of end-year flexibility for departmental expenditure.</w:t>
      </w:r>
    </w:p>
    <w:p>
      <w:pPr>
        <w:pStyle w:val="BodyText"/>
        <w:spacing w:before="11"/>
        <w:rPr>
          <w:sz w:val="16"/>
        </w:rPr>
      </w:pPr>
    </w:p>
    <w:p>
      <w:pPr>
        <w:pStyle w:val="ListParagraph"/>
        <w:numPr>
          <w:ilvl w:val="0"/>
          <w:numId w:val="52"/>
        </w:numPr>
        <w:tabs>
          <w:tab w:pos="665" w:val="left" w:leader="none"/>
          <w:tab w:pos="666" w:val="left" w:leader="none"/>
        </w:tabs>
        <w:spacing w:line="232" w:lineRule="auto" w:before="0" w:after="0"/>
        <w:ind w:left="185" w:right="180" w:firstLine="0"/>
        <w:jc w:val="left"/>
        <w:rPr>
          <w:sz w:val="18"/>
        </w:rPr>
      </w:pPr>
      <w:r>
        <w:rPr>
          <w:sz w:val="18"/>
        </w:rPr>
        <w:t>The CBI Monthly Trends survey had reported a rise in the orders balance in August, from -20 to -17. The Chartered Institute of Purchasing Supply (CIPS) manufacturing survey total orders balance had fallen back slightly in August to 52.7 from 53.9 in the previous month, but had remained well above the no-growth reading of 50. The CIPS services activity index had increased</w:t>
      </w:r>
      <w:r>
        <w:rPr>
          <w:spacing w:val="-7"/>
          <w:sz w:val="18"/>
        </w:rPr>
        <w:t> </w:t>
      </w:r>
      <w:r>
        <w:rPr>
          <w:sz w:val="18"/>
        </w:rPr>
        <w:t>from</w:t>
      </w:r>
    </w:p>
    <w:p>
      <w:pPr>
        <w:spacing w:line="232" w:lineRule="auto" w:before="0"/>
        <w:ind w:left="185" w:right="0" w:firstLine="0"/>
        <w:jc w:val="left"/>
        <w:rPr>
          <w:sz w:val="18"/>
        </w:rPr>
      </w:pPr>
      <w:r>
        <w:rPr>
          <w:sz w:val="18"/>
        </w:rPr>
        <w:t>58.0 in July to 58.4 in August. But the CIPS construction activity index fell to 57.8 from 58.9 in July, indicating the slowest rate of monthly expansion since November 1999.</w:t>
      </w:r>
    </w:p>
    <w:p>
      <w:pPr>
        <w:pStyle w:val="BodyText"/>
        <w:rPr>
          <w:sz w:val="20"/>
        </w:rPr>
      </w:pPr>
    </w:p>
    <w:p>
      <w:pPr>
        <w:pStyle w:val="ListParagraph"/>
        <w:numPr>
          <w:ilvl w:val="0"/>
          <w:numId w:val="53"/>
        </w:numPr>
        <w:tabs>
          <w:tab w:pos="665" w:val="left" w:leader="none"/>
          <w:tab w:pos="666" w:val="left" w:leader="none"/>
        </w:tabs>
        <w:spacing w:line="240" w:lineRule="auto" w:before="1" w:after="0"/>
        <w:ind w:left="665" w:right="0" w:hanging="481"/>
        <w:jc w:val="left"/>
        <w:rPr>
          <w:b/>
          <w:sz w:val="22"/>
        </w:rPr>
      </w:pPr>
      <w:r>
        <w:rPr>
          <w:b/>
          <w:color w:val="009391"/>
          <w:sz w:val="22"/>
        </w:rPr>
        <w:t>The labour</w:t>
      </w:r>
      <w:r>
        <w:rPr>
          <w:b/>
          <w:color w:val="009391"/>
          <w:spacing w:val="-3"/>
          <w:sz w:val="22"/>
        </w:rPr>
        <w:t> </w:t>
      </w:r>
      <w:r>
        <w:rPr>
          <w:b/>
          <w:color w:val="009391"/>
          <w:sz w:val="22"/>
        </w:rPr>
        <w:t>market</w:t>
      </w:r>
    </w:p>
    <w:p>
      <w:pPr>
        <w:pStyle w:val="ListParagraph"/>
        <w:numPr>
          <w:ilvl w:val="0"/>
          <w:numId w:val="52"/>
        </w:numPr>
        <w:tabs>
          <w:tab w:pos="665" w:val="left" w:leader="none"/>
          <w:tab w:pos="666" w:val="left" w:leader="none"/>
        </w:tabs>
        <w:spacing w:line="232" w:lineRule="auto" w:before="129" w:after="0"/>
        <w:ind w:left="185" w:right="244" w:firstLine="0"/>
        <w:jc w:val="left"/>
        <w:rPr>
          <w:sz w:val="18"/>
        </w:rPr>
      </w:pPr>
      <w:r>
        <w:rPr>
          <w:sz w:val="18"/>
        </w:rPr>
        <w:t>Employment growth had remained firm. LFS employment had risen by 106,000 (0.4%) in Q2. This growth rate had been higher than growth in Q1 (0.2%), though a little weaker than growth in the three months to May (0.5%). Average hours worked had risen by 0.6% in Q2, which meant that total hours worked had risen by</w:t>
      </w:r>
      <w:r>
        <w:rPr>
          <w:spacing w:val="-3"/>
          <w:sz w:val="18"/>
        </w:rPr>
        <w:t> </w:t>
      </w:r>
      <w:r>
        <w:rPr>
          <w:sz w:val="18"/>
        </w:rPr>
        <w:t>0.9%.</w:t>
      </w:r>
    </w:p>
    <w:p>
      <w:pPr>
        <w:pStyle w:val="BodyText"/>
        <w:rPr>
          <w:sz w:val="17"/>
        </w:rPr>
      </w:pPr>
    </w:p>
    <w:p>
      <w:pPr>
        <w:pStyle w:val="ListParagraph"/>
        <w:numPr>
          <w:ilvl w:val="0"/>
          <w:numId w:val="52"/>
        </w:numPr>
        <w:tabs>
          <w:tab w:pos="665" w:val="left" w:leader="none"/>
          <w:tab w:pos="666" w:val="left" w:leader="none"/>
        </w:tabs>
        <w:spacing w:line="232" w:lineRule="auto" w:before="0" w:after="0"/>
        <w:ind w:left="185" w:right="259" w:firstLine="0"/>
        <w:jc w:val="left"/>
        <w:rPr>
          <w:sz w:val="18"/>
        </w:rPr>
      </w:pPr>
      <w:r>
        <w:rPr>
          <w:sz w:val="18"/>
        </w:rPr>
        <w:t>According to the CIPS survey, employment growth in the service sector had continued in August at rates broadly similar to those in the second quarter. Employment growth in construction had slowed but the index, at 60.6, had been significantly above the neutral level of 50. The reduction in manufacturing employment had been smaller than in recent</w:t>
      </w:r>
      <w:r>
        <w:rPr>
          <w:spacing w:val="-10"/>
          <w:sz w:val="18"/>
        </w:rPr>
        <w:t> </w:t>
      </w:r>
      <w:r>
        <w:rPr>
          <w:sz w:val="18"/>
        </w:rPr>
        <w:t>months.</w:t>
      </w:r>
    </w:p>
    <w:p>
      <w:pPr>
        <w:pStyle w:val="BodyText"/>
        <w:rPr>
          <w:sz w:val="17"/>
        </w:rPr>
      </w:pPr>
    </w:p>
    <w:p>
      <w:pPr>
        <w:pStyle w:val="ListParagraph"/>
        <w:numPr>
          <w:ilvl w:val="0"/>
          <w:numId w:val="52"/>
        </w:numPr>
        <w:tabs>
          <w:tab w:pos="665" w:val="left" w:leader="none"/>
          <w:tab w:pos="666" w:val="left" w:leader="none"/>
        </w:tabs>
        <w:spacing w:line="232" w:lineRule="auto" w:before="0" w:after="0"/>
        <w:ind w:left="185" w:right="189" w:firstLine="0"/>
        <w:jc w:val="left"/>
        <w:rPr>
          <w:sz w:val="18"/>
        </w:rPr>
      </w:pPr>
      <w:r>
        <w:rPr>
          <w:sz w:val="18"/>
        </w:rPr>
        <w:t>The Recruitment and Employment Confederation (REC) had reported a further deterioration in the availability of agency staff in August (notably for permanent rather than temporary staff). By contrast, the Bank’s regional Agents had reported that skill shortages, while still high, appeared to have</w:t>
      </w:r>
      <w:r>
        <w:rPr>
          <w:spacing w:val="-18"/>
          <w:sz w:val="18"/>
        </w:rPr>
        <w:t> </w:t>
      </w:r>
      <w:r>
        <w:rPr>
          <w:sz w:val="18"/>
        </w:rPr>
        <w:t>stabilised.</w:t>
      </w:r>
    </w:p>
    <w:p>
      <w:pPr>
        <w:pStyle w:val="BodyText"/>
        <w:rPr>
          <w:sz w:val="17"/>
        </w:rPr>
      </w:pPr>
    </w:p>
    <w:p>
      <w:pPr>
        <w:pStyle w:val="ListParagraph"/>
        <w:numPr>
          <w:ilvl w:val="0"/>
          <w:numId w:val="52"/>
        </w:numPr>
        <w:tabs>
          <w:tab w:pos="665" w:val="left" w:leader="none"/>
          <w:tab w:pos="666" w:val="left" w:leader="none"/>
        </w:tabs>
        <w:spacing w:line="232" w:lineRule="auto" w:before="0" w:after="0"/>
        <w:ind w:left="185" w:right="165" w:firstLine="0"/>
        <w:jc w:val="left"/>
        <w:rPr>
          <w:sz w:val="18"/>
        </w:rPr>
      </w:pPr>
      <w:r>
        <w:rPr>
          <w:sz w:val="18"/>
        </w:rPr>
        <w:t>LFS unemployment had fallen by 91,000 in Q2, which meant</w:t>
      </w:r>
      <w:r>
        <w:rPr>
          <w:spacing w:val="-5"/>
          <w:sz w:val="18"/>
        </w:rPr>
        <w:t> </w:t>
      </w:r>
      <w:r>
        <w:rPr>
          <w:sz w:val="18"/>
        </w:rPr>
        <w:t>that</w:t>
      </w:r>
      <w:r>
        <w:rPr>
          <w:spacing w:val="-5"/>
          <w:sz w:val="18"/>
        </w:rPr>
        <w:t> </w:t>
      </w:r>
      <w:r>
        <w:rPr>
          <w:sz w:val="18"/>
        </w:rPr>
        <w:t>the</w:t>
      </w:r>
      <w:r>
        <w:rPr>
          <w:spacing w:val="-5"/>
          <w:sz w:val="18"/>
        </w:rPr>
        <w:t> </w:t>
      </w:r>
      <w:r>
        <w:rPr>
          <w:sz w:val="18"/>
        </w:rPr>
        <w:t>LFS</w:t>
      </w:r>
      <w:r>
        <w:rPr>
          <w:spacing w:val="-5"/>
          <w:sz w:val="18"/>
        </w:rPr>
        <w:t> </w:t>
      </w:r>
      <w:r>
        <w:rPr>
          <w:sz w:val="18"/>
        </w:rPr>
        <w:t>unemployment</w:t>
      </w:r>
      <w:r>
        <w:rPr>
          <w:spacing w:val="-5"/>
          <w:sz w:val="18"/>
        </w:rPr>
        <w:t> </w:t>
      </w:r>
      <w:r>
        <w:rPr>
          <w:sz w:val="18"/>
        </w:rPr>
        <w:t>rate</w:t>
      </w:r>
      <w:r>
        <w:rPr>
          <w:spacing w:val="-5"/>
          <w:sz w:val="18"/>
        </w:rPr>
        <w:t> </w:t>
      </w:r>
      <w:r>
        <w:rPr>
          <w:sz w:val="18"/>
        </w:rPr>
        <w:t>had</w:t>
      </w:r>
      <w:r>
        <w:rPr>
          <w:spacing w:val="-5"/>
          <w:sz w:val="18"/>
        </w:rPr>
        <w:t> </w:t>
      </w:r>
      <w:r>
        <w:rPr>
          <w:sz w:val="18"/>
        </w:rPr>
        <w:t>fallen</w:t>
      </w:r>
      <w:r>
        <w:rPr>
          <w:spacing w:val="-5"/>
          <w:sz w:val="18"/>
        </w:rPr>
        <w:t> </w:t>
      </w:r>
      <w:r>
        <w:rPr>
          <w:sz w:val="18"/>
        </w:rPr>
        <w:t>by</w:t>
      </w:r>
      <w:r>
        <w:rPr>
          <w:spacing w:val="-5"/>
          <w:sz w:val="18"/>
        </w:rPr>
        <w:t> </w:t>
      </w:r>
      <w:r>
        <w:rPr>
          <w:sz w:val="18"/>
        </w:rPr>
        <w:t>0.3</w:t>
      </w:r>
      <w:r>
        <w:rPr>
          <w:spacing w:val="-5"/>
          <w:sz w:val="18"/>
        </w:rPr>
        <w:t> </w:t>
      </w:r>
      <w:r>
        <w:rPr>
          <w:sz w:val="18"/>
        </w:rPr>
        <w:t>percentage points to 5.5%.  That compared with an average reduction of 54,000 in the two most recent overlapping periods, and with a reduction of 20,000 in Q1. These movements had contrasted with the steadier reductions in the claimant count measure. Claimant count unemployment had fallen, on average, by 16,000 per month in Q2 and by a further 22,700 in</w:t>
      </w:r>
      <w:r>
        <w:rPr>
          <w:spacing w:val="-12"/>
          <w:sz w:val="18"/>
        </w:rPr>
        <w:t> </w:t>
      </w:r>
      <w:r>
        <w:rPr>
          <w:sz w:val="18"/>
        </w:rPr>
        <w:t>July.</w:t>
      </w:r>
    </w:p>
    <w:p>
      <w:pPr>
        <w:pStyle w:val="BodyText"/>
        <w:spacing w:before="10"/>
        <w:rPr>
          <w:sz w:val="16"/>
        </w:rPr>
      </w:pPr>
    </w:p>
    <w:p>
      <w:pPr>
        <w:pStyle w:val="ListParagraph"/>
        <w:numPr>
          <w:ilvl w:val="0"/>
          <w:numId w:val="52"/>
        </w:numPr>
        <w:tabs>
          <w:tab w:pos="665" w:val="left" w:leader="none"/>
          <w:tab w:pos="666" w:val="left" w:leader="none"/>
        </w:tabs>
        <w:spacing w:line="232" w:lineRule="auto" w:before="0" w:after="0"/>
        <w:ind w:left="185" w:right="460" w:firstLine="0"/>
        <w:jc w:val="left"/>
        <w:rPr>
          <w:sz w:val="18"/>
        </w:rPr>
      </w:pPr>
      <w:r>
        <w:rPr>
          <w:sz w:val="18"/>
        </w:rPr>
        <w:t>Inactivity had risen by 22,000 in Q2. This had been accounted</w:t>
      </w:r>
      <w:r>
        <w:rPr>
          <w:spacing w:val="-5"/>
          <w:sz w:val="18"/>
        </w:rPr>
        <w:t> </w:t>
      </w:r>
      <w:r>
        <w:rPr>
          <w:sz w:val="18"/>
        </w:rPr>
        <w:t>for</w:t>
      </w:r>
      <w:r>
        <w:rPr>
          <w:spacing w:val="-5"/>
          <w:sz w:val="18"/>
        </w:rPr>
        <w:t> </w:t>
      </w:r>
      <w:r>
        <w:rPr>
          <w:sz w:val="18"/>
        </w:rPr>
        <w:t>entirely</w:t>
      </w:r>
      <w:r>
        <w:rPr>
          <w:spacing w:val="-4"/>
          <w:sz w:val="18"/>
        </w:rPr>
        <w:t> </w:t>
      </w:r>
      <w:r>
        <w:rPr>
          <w:sz w:val="18"/>
        </w:rPr>
        <w:t>by</w:t>
      </w:r>
      <w:r>
        <w:rPr>
          <w:spacing w:val="-5"/>
          <w:sz w:val="18"/>
        </w:rPr>
        <w:t> </w:t>
      </w:r>
      <w:r>
        <w:rPr>
          <w:sz w:val="18"/>
        </w:rPr>
        <w:t>a</w:t>
      </w:r>
      <w:r>
        <w:rPr>
          <w:spacing w:val="-4"/>
          <w:sz w:val="18"/>
        </w:rPr>
        <w:t> </w:t>
      </w:r>
      <w:r>
        <w:rPr>
          <w:sz w:val="18"/>
        </w:rPr>
        <w:t>rise</w:t>
      </w:r>
      <w:r>
        <w:rPr>
          <w:spacing w:val="-5"/>
          <w:sz w:val="18"/>
        </w:rPr>
        <w:t> </w:t>
      </w:r>
      <w:r>
        <w:rPr>
          <w:sz w:val="18"/>
        </w:rPr>
        <w:t>in</w:t>
      </w:r>
      <w:r>
        <w:rPr>
          <w:spacing w:val="-4"/>
          <w:sz w:val="18"/>
        </w:rPr>
        <w:t> </w:t>
      </w:r>
      <w:r>
        <w:rPr>
          <w:sz w:val="18"/>
        </w:rPr>
        <w:t>the</w:t>
      </w:r>
      <w:r>
        <w:rPr>
          <w:spacing w:val="-5"/>
          <w:sz w:val="18"/>
        </w:rPr>
        <w:t> </w:t>
      </w:r>
      <w:r>
        <w:rPr>
          <w:sz w:val="18"/>
        </w:rPr>
        <w:t>number</w:t>
      </w:r>
      <w:r>
        <w:rPr>
          <w:spacing w:val="-4"/>
          <w:sz w:val="18"/>
        </w:rPr>
        <w:t> </w:t>
      </w:r>
      <w:r>
        <w:rPr>
          <w:sz w:val="18"/>
        </w:rPr>
        <w:t>of</w:t>
      </w:r>
      <w:r>
        <w:rPr>
          <w:spacing w:val="-5"/>
          <w:sz w:val="18"/>
        </w:rPr>
        <w:t> </w:t>
      </w:r>
      <w:r>
        <w:rPr>
          <w:sz w:val="18"/>
        </w:rPr>
        <w:t>inactive</w:t>
      </w:r>
      <w:r>
        <w:rPr>
          <w:spacing w:val="-4"/>
          <w:sz w:val="18"/>
        </w:rPr>
        <w:t> </w:t>
      </w:r>
      <w:r>
        <w:rPr>
          <w:sz w:val="18"/>
        </w:rPr>
        <w:t>males.</w:t>
      </w:r>
    </w:p>
    <w:p>
      <w:pPr>
        <w:pStyle w:val="BodyText"/>
        <w:spacing w:before="3"/>
        <w:rPr>
          <w:sz w:val="17"/>
        </w:rPr>
      </w:pPr>
    </w:p>
    <w:p>
      <w:pPr>
        <w:pStyle w:val="ListParagraph"/>
        <w:numPr>
          <w:ilvl w:val="0"/>
          <w:numId w:val="52"/>
        </w:numPr>
        <w:tabs>
          <w:tab w:pos="665" w:val="left" w:leader="none"/>
          <w:tab w:pos="666" w:val="left" w:leader="none"/>
        </w:tabs>
        <w:spacing w:line="232" w:lineRule="auto" w:before="0" w:after="0"/>
        <w:ind w:left="185" w:right="184" w:firstLine="0"/>
        <w:jc w:val="left"/>
        <w:rPr>
          <w:sz w:val="18"/>
        </w:rPr>
      </w:pPr>
      <w:r>
        <w:rPr>
          <w:sz w:val="18"/>
        </w:rPr>
        <w:t>Whole-economy productivity, based on LFS employment data and the first expenditure breakdown of GDP, was estimated to have risen by 1.9% in the year to Q2. This estimate was close to its long-run average growth</w:t>
      </w:r>
      <w:r>
        <w:rPr>
          <w:spacing w:val="-5"/>
          <w:sz w:val="18"/>
        </w:rPr>
        <w:t> </w:t>
      </w:r>
      <w:r>
        <w:rPr>
          <w:sz w:val="18"/>
        </w:rPr>
        <w:t>rate.</w:t>
      </w:r>
    </w:p>
    <w:p>
      <w:pPr>
        <w:pStyle w:val="ListParagraph"/>
        <w:numPr>
          <w:ilvl w:val="0"/>
          <w:numId w:val="52"/>
        </w:numPr>
        <w:tabs>
          <w:tab w:pos="665" w:val="left" w:leader="none"/>
          <w:tab w:pos="666" w:val="left" w:leader="none"/>
        </w:tabs>
        <w:spacing w:line="232" w:lineRule="auto" w:before="177" w:after="0"/>
        <w:ind w:left="185" w:right="419" w:firstLine="0"/>
        <w:jc w:val="left"/>
        <w:rPr>
          <w:sz w:val="18"/>
        </w:rPr>
      </w:pPr>
      <w:r>
        <w:rPr>
          <w:sz w:val="18"/>
        </w:rPr>
        <w:t>Whole-economy headline earnings growth, a three-month moving average of the annual monthly rates, had fallen</w:t>
      </w:r>
      <w:r>
        <w:rPr>
          <w:spacing w:val="-27"/>
          <w:sz w:val="18"/>
        </w:rPr>
        <w:t> </w:t>
      </w:r>
      <w:r>
        <w:rPr>
          <w:sz w:val="18"/>
        </w:rPr>
        <w:t>by</w:t>
      </w:r>
    </w:p>
    <w:p>
      <w:pPr>
        <w:spacing w:line="200" w:lineRule="exact" w:before="0"/>
        <w:ind w:left="185" w:right="0" w:firstLine="0"/>
        <w:jc w:val="left"/>
        <w:rPr>
          <w:sz w:val="18"/>
        </w:rPr>
      </w:pPr>
      <w:r>
        <w:rPr>
          <w:sz w:val="18"/>
        </w:rPr>
        <w:t>0.5 percentage points to 4.1% in June. Headline private sector</w:t>
      </w:r>
    </w:p>
    <w:p>
      <w:pPr>
        <w:spacing w:after="0" w:line="200" w:lineRule="exact"/>
        <w:jc w:val="left"/>
        <w:rPr>
          <w:sz w:val="18"/>
        </w:rPr>
        <w:sectPr>
          <w:type w:val="continuous"/>
          <w:pgSz w:w="11900" w:h="16840"/>
          <w:pgMar w:top="1260" w:bottom="280" w:left="640" w:right="640"/>
          <w:cols w:num="2" w:equalWidth="0">
            <w:col w:w="5114" w:space="261"/>
            <w:col w:w="5245"/>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spacing w:line="232" w:lineRule="auto" w:before="1"/>
        <w:ind w:left="160" w:right="49" w:firstLine="0"/>
        <w:jc w:val="left"/>
        <w:rPr>
          <w:sz w:val="18"/>
        </w:rPr>
      </w:pPr>
      <w:r>
        <w:rPr>
          <w:sz w:val="18"/>
        </w:rPr>
        <w:t>earnings growth had fallen by 0.6 percentage points to 4.2%, while headline public sector earnings growth had fallen by 0.1 percentage point to 3.7%. Headline earnings growth in the manufacturing sector had remained unchanged at 4.7%. For the first time in more than three years it was faster than headline earnings growth in the private services sector, which had fallen by 0.9 percentage points to 3.9%.</w:t>
      </w:r>
    </w:p>
    <w:p>
      <w:pPr>
        <w:pStyle w:val="ListParagraph"/>
        <w:numPr>
          <w:ilvl w:val="0"/>
          <w:numId w:val="52"/>
        </w:numPr>
        <w:tabs>
          <w:tab w:pos="639" w:val="left" w:leader="none"/>
          <w:tab w:pos="640" w:val="left" w:leader="none"/>
        </w:tabs>
        <w:spacing w:line="232" w:lineRule="auto" w:before="154" w:after="0"/>
        <w:ind w:left="160" w:right="142" w:firstLine="0"/>
        <w:jc w:val="left"/>
        <w:rPr>
          <w:sz w:val="18"/>
        </w:rPr>
      </w:pPr>
      <w:r>
        <w:rPr>
          <w:sz w:val="18"/>
        </w:rPr>
        <w:t>Annual whole-economy earnings growth had been 4.6% in April, 4.0% in May and 3.8% in June. During this period, regular pay growth had remained close to 4.5%. So the profile of annual earnings growth in the second quarter had reflected changes in the bonus contribution, which had fallen from 0.0 percentage points in April, to -0.7 percentage points in May and -0.8 percentage points in</w:t>
      </w:r>
      <w:r>
        <w:rPr>
          <w:spacing w:val="-2"/>
          <w:sz w:val="18"/>
        </w:rPr>
        <w:t> </w:t>
      </w:r>
      <w:r>
        <w:rPr>
          <w:sz w:val="18"/>
        </w:rPr>
        <w:t>June.</w:t>
      </w:r>
    </w:p>
    <w:p>
      <w:pPr>
        <w:pStyle w:val="ListParagraph"/>
        <w:numPr>
          <w:ilvl w:val="0"/>
          <w:numId w:val="52"/>
        </w:numPr>
        <w:tabs>
          <w:tab w:pos="639" w:val="left" w:leader="none"/>
          <w:tab w:pos="640" w:val="left" w:leader="none"/>
        </w:tabs>
        <w:spacing w:line="232" w:lineRule="auto" w:before="175" w:after="0"/>
        <w:ind w:left="160" w:right="38" w:firstLine="0"/>
        <w:jc w:val="left"/>
        <w:rPr>
          <w:sz w:val="18"/>
        </w:rPr>
      </w:pPr>
      <w:r>
        <w:rPr>
          <w:sz w:val="18"/>
        </w:rPr>
        <w:t>The Bank’s AEI-weighted twelve-month mean settlement measure had remained at 3.0% in July. Shorter-term measures from the</w:t>
      </w:r>
      <w:r>
        <w:rPr>
          <w:spacing w:val="-5"/>
          <w:sz w:val="18"/>
        </w:rPr>
        <w:t> </w:t>
      </w:r>
      <w:r>
        <w:rPr>
          <w:sz w:val="18"/>
        </w:rPr>
        <w:t>Bank’s</w:t>
      </w:r>
      <w:r>
        <w:rPr>
          <w:spacing w:val="-5"/>
          <w:sz w:val="18"/>
        </w:rPr>
        <w:t> </w:t>
      </w:r>
      <w:r>
        <w:rPr>
          <w:sz w:val="18"/>
        </w:rPr>
        <w:t>database</w:t>
      </w:r>
      <w:r>
        <w:rPr>
          <w:spacing w:val="-5"/>
          <w:sz w:val="18"/>
        </w:rPr>
        <w:t> </w:t>
      </w:r>
      <w:r>
        <w:rPr>
          <w:sz w:val="18"/>
        </w:rPr>
        <w:t>had</w:t>
      </w:r>
      <w:r>
        <w:rPr>
          <w:spacing w:val="-5"/>
          <w:sz w:val="18"/>
        </w:rPr>
        <w:t> </w:t>
      </w:r>
      <w:r>
        <w:rPr>
          <w:sz w:val="18"/>
        </w:rPr>
        <w:t>increased</w:t>
      </w:r>
      <w:r>
        <w:rPr>
          <w:spacing w:val="-5"/>
          <w:sz w:val="18"/>
        </w:rPr>
        <w:t> </w:t>
      </w:r>
      <w:r>
        <w:rPr>
          <w:sz w:val="18"/>
        </w:rPr>
        <w:t>since</w:t>
      </w:r>
      <w:r>
        <w:rPr>
          <w:spacing w:val="-4"/>
          <w:sz w:val="18"/>
        </w:rPr>
        <w:t> </w:t>
      </w:r>
      <w:r>
        <w:rPr>
          <w:sz w:val="18"/>
        </w:rPr>
        <w:t>the</w:t>
      </w:r>
      <w:r>
        <w:rPr>
          <w:spacing w:val="-5"/>
          <w:sz w:val="18"/>
        </w:rPr>
        <w:t> </w:t>
      </w:r>
      <w:r>
        <w:rPr>
          <w:sz w:val="18"/>
        </w:rPr>
        <w:t>start</w:t>
      </w:r>
      <w:r>
        <w:rPr>
          <w:spacing w:val="-5"/>
          <w:sz w:val="18"/>
        </w:rPr>
        <w:t> </w:t>
      </w:r>
      <w:r>
        <w:rPr>
          <w:sz w:val="18"/>
        </w:rPr>
        <w:t>of</w:t>
      </w:r>
      <w:r>
        <w:rPr>
          <w:spacing w:val="-5"/>
          <w:sz w:val="18"/>
        </w:rPr>
        <w:t> </w:t>
      </w:r>
      <w:r>
        <w:rPr>
          <w:sz w:val="18"/>
        </w:rPr>
        <w:t>the</w:t>
      </w:r>
      <w:r>
        <w:rPr>
          <w:spacing w:val="-5"/>
          <w:sz w:val="18"/>
        </w:rPr>
        <w:t> </w:t>
      </w:r>
      <w:r>
        <w:rPr>
          <w:sz w:val="18"/>
        </w:rPr>
        <w:t>year,</w:t>
      </w:r>
      <w:r>
        <w:rPr>
          <w:spacing w:val="-4"/>
          <w:sz w:val="18"/>
        </w:rPr>
        <w:t> </w:t>
      </w:r>
      <w:r>
        <w:rPr>
          <w:sz w:val="18"/>
        </w:rPr>
        <w:t>though by less than the increase in RPI</w:t>
      </w:r>
      <w:r>
        <w:rPr>
          <w:spacing w:val="-11"/>
          <w:sz w:val="18"/>
        </w:rPr>
        <w:t> </w:t>
      </w:r>
      <w:r>
        <w:rPr>
          <w:sz w:val="18"/>
        </w:rPr>
        <w:t>inflation.</w:t>
      </w:r>
    </w:p>
    <w:p>
      <w:pPr>
        <w:pStyle w:val="ListParagraph"/>
        <w:numPr>
          <w:ilvl w:val="0"/>
          <w:numId w:val="52"/>
        </w:numPr>
        <w:tabs>
          <w:tab w:pos="639" w:val="left" w:leader="none"/>
          <w:tab w:pos="640" w:val="left" w:leader="none"/>
        </w:tabs>
        <w:spacing w:line="232" w:lineRule="auto" w:before="177" w:after="0"/>
        <w:ind w:left="160" w:right="163" w:firstLine="0"/>
        <w:jc w:val="left"/>
        <w:rPr>
          <w:sz w:val="18"/>
        </w:rPr>
      </w:pPr>
      <w:r>
        <w:rPr>
          <w:sz w:val="18"/>
        </w:rPr>
        <w:t>A Bank estimate of the growth in unit wage costs, based on the AEI and the first expenditure breakdown of GDP, had fallen from 3.8% in the year to Q1 to 2.2% in the year to Q2. This fall reflected</w:t>
      </w:r>
      <w:r>
        <w:rPr>
          <w:spacing w:val="-8"/>
          <w:sz w:val="18"/>
        </w:rPr>
        <w:t> </w:t>
      </w:r>
      <w:r>
        <w:rPr>
          <w:sz w:val="18"/>
        </w:rPr>
        <w:t>weaker</w:t>
      </w:r>
      <w:r>
        <w:rPr>
          <w:spacing w:val="-7"/>
          <w:sz w:val="18"/>
        </w:rPr>
        <w:t> </w:t>
      </w:r>
      <w:r>
        <w:rPr>
          <w:sz w:val="18"/>
        </w:rPr>
        <w:t>earnings</w:t>
      </w:r>
      <w:r>
        <w:rPr>
          <w:spacing w:val="-7"/>
          <w:sz w:val="18"/>
        </w:rPr>
        <w:t> </w:t>
      </w:r>
      <w:r>
        <w:rPr>
          <w:sz w:val="18"/>
        </w:rPr>
        <w:t>growth</w:t>
      </w:r>
      <w:r>
        <w:rPr>
          <w:spacing w:val="-7"/>
          <w:sz w:val="18"/>
        </w:rPr>
        <w:t> </w:t>
      </w:r>
      <w:r>
        <w:rPr>
          <w:sz w:val="18"/>
        </w:rPr>
        <w:t>rather</w:t>
      </w:r>
      <w:r>
        <w:rPr>
          <w:spacing w:val="-8"/>
          <w:sz w:val="18"/>
        </w:rPr>
        <w:t> </w:t>
      </w:r>
      <w:r>
        <w:rPr>
          <w:sz w:val="18"/>
        </w:rPr>
        <w:t>than</w:t>
      </w:r>
      <w:r>
        <w:rPr>
          <w:spacing w:val="-7"/>
          <w:sz w:val="18"/>
        </w:rPr>
        <w:t> </w:t>
      </w:r>
      <w:r>
        <w:rPr>
          <w:sz w:val="18"/>
        </w:rPr>
        <w:t>stronger</w:t>
      </w:r>
      <w:r>
        <w:rPr>
          <w:spacing w:val="-7"/>
          <w:sz w:val="18"/>
        </w:rPr>
        <w:t> </w:t>
      </w:r>
      <w:r>
        <w:rPr>
          <w:sz w:val="18"/>
        </w:rPr>
        <w:t>productivity growth.</w:t>
      </w:r>
    </w:p>
    <w:p>
      <w:pPr>
        <w:pStyle w:val="BodyText"/>
        <w:spacing w:before="6"/>
        <w:rPr>
          <w:sz w:val="18"/>
        </w:rPr>
      </w:pPr>
    </w:p>
    <w:p>
      <w:pPr>
        <w:pStyle w:val="ListParagraph"/>
        <w:numPr>
          <w:ilvl w:val="0"/>
          <w:numId w:val="53"/>
        </w:numPr>
        <w:tabs>
          <w:tab w:pos="639" w:val="left" w:leader="none"/>
          <w:tab w:pos="641" w:val="left" w:leader="none"/>
        </w:tabs>
        <w:spacing w:line="240" w:lineRule="auto" w:before="0" w:after="0"/>
        <w:ind w:left="640" w:right="0" w:hanging="481"/>
        <w:jc w:val="left"/>
        <w:rPr>
          <w:b/>
          <w:sz w:val="22"/>
        </w:rPr>
      </w:pPr>
      <w:r>
        <w:rPr>
          <w:b/>
          <w:color w:val="009391"/>
          <w:sz w:val="22"/>
        </w:rPr>
        <w:t>Prices</w:t>
      </w:r>
    </w:p>
    <w:p>
      <w:pPr>
        <w:pStyle w:val="ListParagraph"/>
        <w:numPr>
          <w:ilvl w:val="0"/>
          <w:numId w:val="52"/>
        </w:numPr>
        <w:tabs>
          <w:tab w:pos="639" w:val="left" w:leader="none"/>
          <w:tab w:pos="640" w:val="left" w:leader="none"/>
        </w:tabs>
        <w:spacing w:line="232" w:lineRule="auto" w:before="130" w:after="0"/>
        <w:ind w:left="160" w:right="42" w:firstLine="0"/>
        <w:jc w:val="left"/>
        <w:rPr>
          <w:sz w:val="18"/>
        </w:rPr>
      </w:pPr>
      <w:r>
        <w:rPr>
          <w:sz w:val="18"/>
        </w:rPr>
        <w:t>The Bank’s oil-inclusive commodity price index had fallen by 0.4% in July, taking the annual inflation rate from 23.7% to 17.6%. The decline had mainly reflected a largely oil-related fall in the price of the fuels component of the index that more than offset a rise in the price of the domestic food component. The sterling price of oil had since risen by 6.3% in August and was therefore likely to affect commodity prices in August. The Bank’s oil-exclusive commodity</w:t>
      </w:r>
      <w:r>
        <w:rPr>
          <w:spacing w:val="-5"/>
          <w:sz w:val="18"/>
        </w:rPr>
        <w:t> </w:t>
      </w:r>
      <w:r>
        <w:rPr>
          <w:sz w:val="18"/>
        </w:rPr>
        <w:t>price</w:t>
      </w:r>
      <w:r>
        <w:rPr>
          <w:spacing w:val="-4"/>
          <w:sz w:val="18"/>
        </w:rPr>
        <w:t> </w:t>
      </w:r>
      <w:r>
        <w:rPr>
          <w:sz w:val="18"/>
        </w:rPr>
        <w:t>index</w:t>
      </w:r>
      <w:r>
        <w:rPr>
          <w:spacing w:val="-4"/>
          <w:sz w:val="18"/>
        </w:rPr>
        <w:t> </w:t>
      </w:r>
      <w:r>
        <w:rPr>
          <w:sz w:val="18"/>
        </w:rPr>
        <w:t>had</w:t>
      </w:r>
      <w:r>
        <w:rPr>
          <w:spacing w:val="-4"/>
          <w:sz w:val="18"/>
        </w:rPr>
        <w:t> </w:t>
      </w:r>
      <w:r>
        <w:rPr>
          <w:sz w:val="18"/>
        </w:rPr>
        <w:t>risen</w:t>
      </w:r>
      <w:r>
        <w:rPr>
          <w:spacing w:val="-4"/>
          <w:sz w:val="18"/>
        </w:rPr>
        <w:t> </w:t>
      </w:r>
      <w:r>
        <w:rPr>
          <w:sz w:val="18"/>
        </w:rPr>
        <w:t>by</w:t>
      </w:r>
      <w:r>
        <w:rPr>
          <w:spacing w:val="-4"/>
          <w:sz w:val="18"/>
        </w:rPr>
        <w:t> </w:t>
      </w:r>
      <w:r>
        <w:rPr>
          <w:sz w:val="18"/>
        </w:rPr>
        <w:t>0.5%</w:t>
      </w:r>
      <w:r>
        <w:rPr>
          <w:spacing w:val="-4"/>
          <w:sz w:val="18"/>
        </w:rPr>
        <w:t> </w:t>
      </w:r>
      <w:r>
        <w:rPr>
          <w:sz w:val="18"/>
        </w:rPr>
        <w:t>in</w:t>
      </w:r>
      <w:r>
        <w:rPr>
          <w:spacing w:val="-4"/>
          <w:sz w:val="18"/>
        </w:rPr>
        <w:t> </w:t>
      </w:r>
      <w:r>
        <w:rPr>
          <w:sz w:val="18"/>
        </w:rPr>
        <w:t>July,</w:t>
      </w:r>
      <w:r>
        <w:rPr>
          <w:spacing w:val="-4"/>
          <w:sz w:val="18"/>
        </w:rPr>
        <w:t> </w:t>
      </w:r>
      <w:r>
        <w:rPr>
          <w:sz w:val="18"/>
        </w:rPr>
        <w:t>and</w:t>
      </w:r>
      <w:r>
        <w:rPr>
          <w:spacing w:val="-4"/>
          <w:sz w:val="18"/>
        </w:rPr>
        <w:t> </w:t>
      </w:r>
      <w:r>
        <w:rPr>
          <w:sz w:val="18"/>
        </w:rPr>
        <w:t>by</w:t>
      </w:r>
      <w:r>
        <w:rPr>
          <w:spacing w:val="-5"/>
          <w:sz w:val="18"/>
        </w:rPr>
        <w:t> </w:t>
      </w:r>
      <w:r>
        <w:rPr>
          <w:sz w:val="18"/>
        </w:rPr>
        <w:t>5.1%</w:t>
      </w:r>
      <w:r>
        <w:rPr>
          <w:spacing w:val="-4"/>
          <w:sz w:val="18"/>
        </w:rPr>
        <w:t> </w:t>
      </w:r>
      <w:r>
        <w:rPr>
          <w:sz w:val="18"/>
        </w:rPr>
        <w:t>over the past</w:t>
      </w:r>
      <w:r>
        <w:rPr>
          <w:spacing w:val="-3"/>
          <w:sz w:val="18"/>
        </w:rPr>
        <w:t> </w:t>
      </w:r>
      <w:r>
        <w:rPr>
          <w:sz w:val="18"/>
        </w:rPr>
        <w:t>year.</w:t>
      </w:r>
    </w:p>
    <w:p>
      <w:pPr>
        <w:pStyle w:val="ListParagraph"/>
        <w:numPr>
          <w:ilvl w:val="0"/>
          <w:numId w:val="52"/>
        </w:numPr>
        <w:tabs>
          <w:tab w:pos="639" w:val="left" w:leader="none"/>
          <w:tab w:pos="640" w:val="left" w:leader="none"/>
        </w:tabs>
        <w:spacing w:line="232" w:lineRule="auto" w:before="173" w:after="0"/>
        <w:ind w:left="160" w:right="147" w:firstLine="0"/>
        <w:jc w:val="left"/>
        <w:rPr>
          <w:sz w:val="18"/>
        </w:rPr>
      </w:pPr>
      <w:r>
        <w:rPr>
          <w:sz w:val="18"/>
        </w:rPr>
        <w:t>Manufacturing input prices had risen by 0.4% in July, but due to base effects the annual inflation rate had fallen from 14.4% to 11.3%. The monthly increase had mainly reflected rises in the prices of domestic food and chemicals, which had been partially offset by the decline in the oil price. Input prices excluding food, drink, tobacco and petroleum had risen by 0.4% in July and the annual rate of inflation had fallen to 3.5% from 4.3% in June. The CIPS manufacturing survey input price index had fallen to 55.6 in August from 61.2 in the previous month. Output prices excluding excise duties (PPIY) had risen by 0.1% in July, and the annual inflation rate had fallen to 2.1% from 2.4% in June. The output price balance in the August CBI Industrial Trends survey had remained unchanged at</w:t>
      </w:r>
      <w:r>
        <w:rPr>
          <w:spacing w:val="-4"/>
          <w:sz w:val="18"/>
        </w:rPr>
        <w:t> </w:t>
      </w:r>
      <w:r>
        <w:rPr>
          <w:sz w:val="18"/>
        </w:rPr>
        <w:t>-15.</w:t>
      </w:r>
    </w:p>
    <w:p>
      <w:pPr>
        <w:pStyle w:val="ListParagraph"/>
        <w:numPr>
          <w:ilvl w:val="0"/>
          <w:numId w:val="52"/>
        </w:numPr>
        <w:tabs>
          <w:tab w:pos="639" w:val="left" w:leader="none"/>
          <w:tab w:pos="640" w:val="left" w:leader="none"/>
        </w:tabs>
        <w:spacing w:line="232" w:lineRule="auto" w:before="170" w:after="0"/>
        <w:ind w:left="160" w:right="117" w:firstLine="0"/>
        <w:jc w:val="left"/>
        <w:rPr>
          <w:sz w:val="18"/>
        </w:rPr>
      </w:pPr>
      <w:r>
        <w:rPr>
          <w:sz w:val="18"/>
        </w:rPr>
        <w:t>Prices of total imported goods had risen by 0.8% in June. Excluding oil and erratic items, prices of imported goods had risen by 0.6%. On the same basis, prices of exported goods had risen by 1.1% in</w:t>
      </w:r>
      <w:r>
        <w:rPr>
          <w:spacing w:val="-3"/>
          <w:sz w:val="18"/>
        </w:rPr>
        <w:t> </w:t>
      </w:r>
      <w:r>
        <w:rPr>
          <w:sz w:val="18"/>
        </w:rPr>
        <w:t>June.</w:t>
      </w:r>
    </w:p>
    <w:p>
      <w:pPr>
        <w:pStyle w:val="ListParagraph"/>
        <w:numPr>
          <w:ilvl w:val="0"/>
          <w:numId w:val="52"/>
        </w:numPr>
        <w:tabs>
          <w:tab w:pos="639" w:val="left" w:leader="none"/>
          <w:tab w:pos="640" w:val="left" w:leader="none"/>
        </w:tabs>
        <w:spacing w:line="232" w:lineRule="auto" w:before="177" w:after="0"/>
        <w:ind w:left="160" w:right="132" w:firstLine="0"/>
        <w:jc w:val="left"/>
        <w:rPr>
          <w:sz w:val="18"/>
        </w:rPr>
      </w:pPr>
      <w:r>
        <w:rPr>
          <w:sz w:val="18"/>
        </w:rPr>
        <w:t>Annual inflation as measured by the GDP deflator at market prices in 2000 Q2 had fallen to 1.8% from 2.7% in Q1. The domestic demand deflator had fallen to 1.5% from</w:t>
      </w:r>
      <w:r>
        <w:rPr>
          <w:spacing w:val="-20"/>
          <w:sz w:val="18"/>
        </w:rPr>
        <w:t> </w:t>
      </w:r>
      <w:r>
        <w:rPr>
          <w:sz w:val="18"/>
        </w:rPr>
        <w:t>2.3%.</w:t>
      </w:r>
    </w:p>
    <w:p>
      <w:pPr>
        <w:pStyle w:val="ListParagraph"/>
        <w:numPr>
          <w:ilvl w:val="0"/>
          <w:numId w:val="52"/>
        </w:numPr>
        <w:tabs>
          <w:tab w:pos="639" w:val="left" w:leader="none"/>
          <w:tab w:pos="640" w:val="left" w:leader="none"/>
        </w:tabs>
        <w:spacing w:line="232" w:lineRule="auto" w:before="177" w:after="0"/>
        <w:ind w:left="160" w:right="232" w:firstLine="0"/>
        <w:jc w:val="left"/>
        <w:rPr>
          <w:sz w:val="18"/>
        </w:rPr>
      </w:pPr>
      <w:r>
        <w:rPr>
          <w:sz w:val="18"/>
        </w:rPr>
        <w:t>RPIX inflation had been 2.2% in July, unchanged from the previous month. Increases in seasonal food prices were offset by falls in clothing and footwear prices. RPI inflation had also remained unchanged at 3.3% in July. RPIY inflation had eased slightly to 1.9% in July from 2.0% in June, while HICP inflation had risen from 0.8% to 1.0% in</w:t>
      </w:r>
      <w:r>
        <w:rPr>
          <w:spacing w:val="-10"/>
          <w:sz w:val="18"/>
        </w:rPr>
        <w:t> </w:t>
      </w:r>
      <w:r>
        <w:rPr>
          <w:sz w:val="18"/>
        </w:rPr>
        <w:t>July.</w:t>
      </w:r>
    </w:p>
    <w:p>
      <w:pPr>
        <w:pStyle w:val="BodyText"/>
        <w:spacing w:before="9"/>
        <w:rPr>
          <w:sz w:val="16"/>
        </w:rPr>
      </w:pPr>
    </w:p>
    <w:p>
      <w:pPr>
        <w:pStyle w:val="ListParagraph"/>
        <w:numPr>
          <w:ilvl w:val="0"/>
          <w:numId w:val="53"/>
        </w:numPr>
        <w:tabs>
          <w:tab w:pos="640" w:val="left" w:leader="none"/>
          <w:tab w:pos="641" w:val="left" w:leader="none"/>
        </w:tabs>
        <w:spacing w:line="240" w:lineRule="auto" w:before="0" w:after="0"/>
        <w:ind w:left="640" w:right="0" w:hanging="481"/>
        <w:jc w:val="left"/>
        <w:rPr>
          <w:b/>
          <w:sz w:val="22"/>
        </w:rPr>
      </w:pPr>
      <w:r>
        <w:rPr>
          <w:b/>
          <w:color w:val="009391"/>
          <w:sz w:val="22"/>
        </w:rPr>
        <w:t>Reports by the </w:t>
      </w:r>
      <w:r>
        <w:rPr>
          <w:b/>
          <w:color w:val="009391"/>
          <w:spacing w:val="-3"/>
          <w:sz w:val="22"/>
        </w:rPr>
        <w:t>Bank’s</w:t>
      </w:r>
      <w:r>
        <w:rPr>
          <w:b/>
          <w:color w:val="009391"/>
          <w:spacing w:val="-6"/>
          <w:sz w:val="22"/>
        </w:rPr>
        <w:t> </w:t>
      </w:r>
      <w:r>
        <w:rPr>
          <w:b/>
          <w:color w:val="009391"/>
          <w:sz w:val="22"/>
        </w:rPr>
        <w:t>Agents</w:t>
      </w:r>
    </w:p>
    <w:p>
      <w:pPr>
        <w:pStyle w:val="ListParagraph"/>
        <w:numPr>
          <w:ilvl w:val="0"/>
          <w:numId w:val="52"/>
        </w:numPr>
        <w:tabs>
          <w:tab w:pos="639" w:val="left" w:leader="none"/>
          <w:tab w:pos="640" w:val="left" w:leader="none"/>
        </w:tabs>
        <w:spacing w:line="232" w:lineRule="auto" w:before="130" w:after="0"/>
        <w:ind w:left="160" w:right="207" w:firstLine="0"/>
        <w:jc w:val="left"/>
        <w:rPr>
          <w:sz w:val="18"/>
        </w:rPr>
      </w:pPr>
      <w:r>
        <w:rPr>
          <w:sz w:val="18"/>
        </w:rPr>
        <w:t>The Agents reported that manufacturing output growth in both</w:t>
      </w:r>
      <w:r>
        <w:rPr>
          <w:spacing w:val="-5"/>
          <w:sz w:val="18"/>
        </w:rPr>
        <w:t> </w:t>
      </w:r>
      <w:r>
        <w:rPr>
          <w:sz w:val="18"/>
        </w:rPr>
        <w:t>domestic</w:t>
      </w:r>
      <w:r>
        <w:rPr>
          <w:spacing w:val="-5"/>
          <w:sz w:val="18"/>
        </w:rPr>
        <w:t> </w:t>
      </w:r>
      <w:r>
        <w:rPr>
          <w:sz w:val="18"/>
        </w:rPr>
        <w:t>and</w:t>
      </w:r>
      <w:r>
        <w:rPr>
          <w:spacing w:val="-5"/>
          <w:sz w:val="18"/>
        </w:rPr>
        <w:t> </w:t>
      </w:r>
      <w:r>
        <w:rPr>
          <w:sz w:val="18"/>
        </w:rPr>
        <w:t>export</w:t>
      </w:r>
      <w:r>
        <w:rPr>
          <w:spacing w:val="-5"/>
          <w:sz w:val="18"/>
        </w:rPr>
        <w:t> </w:t>
      </w:r>
      <w:r>
        <w:rPr>
          <w:sz w:val="18"/>
        </w:rPr>
        <w:t>markets</w:t>
      </w:r>
      <w:r>
        <w:rPr>
          <w:spacing w:val="-5"/>
          <w:sz w:val="18"/>
        </w:rPr>
        <w:t> </w:t>
      </w:r>
      <w:r>
        <w:rPr>
          <w:sz w:val="18"/>
        </w:rPr>
        <w:t>had</w:t>
      </w:r>
      <w:r>
        <w:rPr>
          <w:spacing w:val="-4"/>
          <w:sz w:val="18"/>
        </w:rPr>
        <w:t> </w:t>
      </w:r>
      <w:r>
        <w:rPr>
          <w:sz w:val="18"/>
        </w:rPr>
        <w:t>picked</w:t>
      </w:r>
      <w:r>
        <w:rPr>
          <w:spacing w:val="-5"/>
          <w:sz w:val="18"/>
        </w:rPr>
        <w:t> </w:t>
      </w:r>
      <w:r>
        <w:rPr>
          <w:sz w:val="18"/>
        </w:rPr>
        <w:t>up</w:t>
      </w:r>
      <w:r>
        <w:rPr>
          <w:spacing w:val="-5"/>
          <w:sz w:val="18"/>
        </w:rPr>
        <w:t> </w:t>
      </w:r>
      <w:r>
        <w:rPr>
          <w:sz w:val="18"/>
        </w:rPr>
        <w:t>in</w:t>
      </w:r>
      <w:r>
        <w:rPr>
          <w:spacing w:val="-5"/>
          <w:sz w:val="18"/>
        </w:rPr>
        <w:t> </w:t>
      </w:r>
      <w:r>
        <w:rPr>
          <w:sz w:val="18"/>
        </w:rPr>
        <w:t>recent</w:t>
      </w:r>
      <w:r>
        <w:rPr>
          <w:spacing w:val="-5"/>
          <w:sz w:val="18"/>
        </w:rPr>
        <w:t> </w:t>
      </w:r>
      <w:r>
        <w:rPr>
          <w:sz w:val="18"/>
        </w:rPr>
        <w:t>months</w:t>
      </w:r>
    </w:p>
    <w:p>
      <w:pPr>
        <w:pStyle w:val="BodyText"/>
        <w:spacing w:before="7"/>
        <w:rPr>
          <w:sz w:val="19"/>
        </w:rPr>
      </w:pPr>
      <w:r>
        <w:rPr/>
        <w:br w:type="column"/>
      </w:r>
      <w:r>
        <w:rPr>
          <w:sz w:val="19"/>
        </w:rPr>
      </w:r>
    </w:p>
    <w:p>
      <w:pPr>
        <w:spacing w:line="232" w:lineRule="auto" w:before="1"/>
        <w:ind w:left="160" w:right="715" w:firstLine="0"/>
        <w:jc w:val="both"/>
        <w:rPr>
          <w:sz w:val="18"/>
        </w:rPr>
      </w:pPr>
      <w:r>
        <w:rPr>
          <w:sz w:val="18"/>
        </w:rPr>
        <w:t>in many regions. However, it was stressed that the recovery had remained modest and had not been broadly based across sectors.</w:t>
      </w:r>
    </w:p>
    <w:p>
      <w:pPr>
        <w:pStyle w:val="BodyText"/>
        <w:spacing w:before="2"/>
        <w:rPr>
          <w:sz w:val="17"/>
        </w:rPr>
      </w:pPr>
    </w:p>
    <w:p>
      <w:pPr>
        <w:pStyle w:val="ListParagraph"/>
        <w:numPr>
          <w:ilvl w:val="0"/>
          <w:numId w:val="52"/>
        </w:numPr>
        <w:tabs>
          <w:tab w:pos="639" w:val="left" w:leader="none"/>
          <w:tab w:pos="640" w:val="left" w:leader="none"/>
        </w:tabs>
        <w:spacing w:line="232" w:lineRule="auto" w:before="0" w:after="0"/>
        <w:ind w:left="160" w:right="170" w:firstLine="0"/>
        <w:jc w:val="left"/>
        <w:rPr>
          <w:sz w:val="18"/>
        </w:rPr>
      </w:pPr>
      <w:r>
        <w:rPr>
          <w:sz w:val="18"/>
        </w:rPr>
        <w:t>Service sector growth was reported to have stabilised, following a reported easing in many regions last month. Most areas of business services continued to record strong growth, particularly IT and financial services. By contrast, there had been a noticeable downturn in domestic tourism, as well as in housing-related services such as real estate and</w:t>
      </w:r>
      <w:r>
        <w:rPr>
          <w:spacing w:val="-11"/>
          <w:sz w:val="18"/>
        </w:rPr>
        <w:t> </w:t>
      </w:r>
      <w:r>
        <w:rPr>
          <w:sz w:val="18"/>
        </w:rPr>
        <w:t>conveyancing.</w:t>
      </w:r>
    </w:p>
    <w:p>
      <w:pPr>
        <w:pStyle w:val="BodyText"/>
        <w:spacing w:before="11"/>
        <w:rPr>
          <w:sz w:val="16"/>
        </w:rPr>
      </w:pPr>
    </w:p>
    <w:p>
      <w:pPr>
        <w:pStyle w:val="ListParagraph"/>
        <w:numPr>
          <w:ilvl w:val="0"/>
          <w:numId w:val="52"/>
        </w:numPr>
        <w:tabs>
          <w:tab w:pos="639" w:val="left" w:leader="none"/>
          <w:tab w:pos="640" w:val="left" w:leader="none"/>
        </w:tabs>
        <w:spacing w:line="232" w:lineRule="auto" w:before="0" w:after="0"/>
        <w:ind w:left="160" w:right="175" w:firstLine="0"/>
        <w:jc w:val="left"/>
        <w:rPr>
          <w:sz w:val="18"/>
        </w:rPr>
      </w:pPr>
      <w:r>
        <w:rPr>
          <w:sz w:val="18"/>
        </w:rPr>
        <w:t>There had been evidence of a further slowing in residential construction in recent months. This was reported to have been the result</w:t>
      </w:r>
      <w:r>
        <w:rPr>
          <w:spacing w:val="-7"/>
          <w:sz w:val="18"/>
        </w:rPr>
        <w:t> </w:t>
      </w:r>
      <w:r>
        <w:rPr>
          <w:sz w:val="18"/>
        </w:rPr>
        <w:t>of</w:t>
      </w:r>
      <w:r>
        <w:rPr>
          <w:spacing w:val="-6"/>
          <w:sz w:val="18"/>
        </w:rPr>
        <w:t> </w:t>
      </w:r>
      <w:r>
        <w:rPr>
          <w:sz w:val="18"/>
        </w:rPr>
        <w:t>both</w:t>
      </w:r>
      <w:r>
        <w:rPr>
          <w:spacing w:val="-6"/>
          <w:sz w:val="18"/>
        </w:rPr>
        <w:t> </w:t>
      </w:r>
      <w:r>
        <w:rPr>
          <w:sz w:val="18"/>
        </w:rPr>
        <w:t>supply-side</w:t>
      </w:r>
      <w:r>
        <w:rPr>
          <w:spacing w:val="-6"/>
          <w:sz w:val="18"/>
        </w:rPr>
        <w:t> </w:t>
      </w:r>
      <w:r>
        <w:rPr>
          <w:sz w:val="18"/>
        </w:rPr>
        <w:t>constraints</w:t>
      </w:r>
      <w:r>
        <w:rPr>
          <w:spacing w:val="-6"/>
          <w:sz w:val="18"/>
        </w:rPr>
        <w:t> </w:t>
      </w:r>
      <w:r>
        <w:rPr>
          <w:sz w:val="18"/>
        </w:rPr>
        <w:t>(eg</w:t>
      </w:r>
      <w:r>
        <w:rPr>
          <w:spacing w:val="-6"/>
          <w:sz w:val="18"/>
        </w:rPr>
        <w:t> </w:t>
      </w:r>
      <w:r>
        <w:rPr>
          <w:sz w:val="18"/>
        </w:rPr>
        <w:t>limited</w:t>
      </w:r>
      <w:r>
        <w:rPr>
          <w:spacing w:val="-6"/>
          <w:sz w:val="18"/>
        </w:rPr>
        <w:t> </w:t>
      </w:r>
      <w:r>
        <w:rPr>
          <w:sz w:val="18"/>
        </w:rPr>
        <w:t>availability</w:t>
      </w:r>
      <w:r>
        <w:rPr>
          <w:spacing w:val="-6"/>
          <w:sz w:val="18"/>
        </w:rPr>
        <w:t> </w:t>
      </w:r>
      <w:r>
        <w:rPr>
          <w:sz w:val="18"/>
        </w:rPr>
        <w:t>of</w:t>
      </w:r>
      <w:r>
        <w:rPr>
          <w:spacing w:val="-6"/>
          <w:sz w:val="18"/>
        </w:rPr>
        <w:t> </w:t>
      </w:r>
      <w:r>
        <w:rPr>
          <w:sz w:val="18"/>
        </w:rPr>
        <w:t>land and planning delays) and an easing in demand. House price inflation appeared to have slowed further in most regions. By contrast, growth in commercial construction was said to have been maintained, and had been even stronger in some</w:t>
      </w:r>
      <w:r>
        <w:rPr>
          <w:spacing w:val="-20"/>
          <w:sz w:val="18"/>
        </w:rPr>
        <w:t> </w:t>
      </w:r>
      <w:r>
        <w:rPr>
          <w:sz w:val="18"/>
        </w:rPr>
        <w:t>regions.</w:t>
      </w:r>
    </w:p>
    <w:p>
      <w:pPr>
        <w:spacing w:line="232" w:lineRule="auto" w:before="0"/>
        <w:ind w:left="160" w:right="301" w:firstLine="0"/>
        <w:jc w:val="left"/>
        <w:rPr>
          <w:sz w:val="18"/>
        </w:rPr>
      </w:pPr>
      <w:r>
        <w:rPr>
          <w:sz w:val="18"/>
        </w:rPr>
        <w:t>Moreover, the outlook had been for commercial construction activity</w:t>
      </w:r>
      <w:r>
        <w:rPr>
          <w:spacing w:val="-6"/>
          <w:sz w:val="18"/>
        </w:rPr>
        <w:t> </w:t>
      </w:r>
      <w:r>
        <w:rPr>
          <w:sz w:val="18"/>
        </w:rPr>
        <w:t>to</w:t>
      </w:r>
      <w:r>
        <w:rPr>
          <w:spacing w:val="-5"/>
          <w:sz w:val="18"/>
        </w:rPr>
        <w:t> </w:t>
      </w:r>
      <w:r>
        <w:rPr>
          <w:sz w:val="18"/>
        </w:rPr>
        <w:t>remain</w:t>
      </w:r>
      <w:r>
        <w:rPr>
          <w:spacing w:val="-5"/>
          <w:sz w:val="18"/>
        </w:rPr>
        <w:t> </w:t>
      </w:r>
      <w:r>
        <w:rPr>
          <w:sz w:val="18"/>
        </w:rPr>
        <w:t>strong</w:t>
      </w:r>
      <w:r>
        <w:rPr>
          <w:spacing w:val="-5"/>
          <w:sz w:val="18"/>
        </w:rPr>
        <w:t> </w:t>
      </w:r>
      <w:r>
        <w:rPr>
          <w:sz w:val="18"/>
        </w:rPr>
        <w:t>in</w:t>
      </w:r>
      <w:r>
        <w:rPr>
          <w:spacing w:val="-6"/>
          <w:sz w:val="18"/>
        </w:rPr>
        <w:t> </w:t>
      </w:r>
      <w:r>
        <w:rPr>
          <w:sz w:val="18"/>
        </w:rPr>
        <w:t>coming</w:t>
      </w:r>
      <w:r>
        <w:rPr>
          <w:spacing w:val="-5"/>
          <w:sz w:val="18"/>
        </w:rPr>
        <w:t> </w:t>
      </w:r>
      <w:r>
        <w:rPr>
          <w:sz w:val="18"/>
        </w:rPr>
        <w:t>quarters,</w:t>
      </w:r>
      <w:r>
        <w:rPr>
          <w:spacing w:val="-5"/>
          <w:sz w:val="18"/>
        </w:rPr>
        <w:t> </w:t>
      </w:r>
      <w:r>
        <w:rPr>
          <w:sz w:val="18"/>
        </w:rPr>
        <w:t>reportedly</w:t>
      </w:r>
      <w:r>
        <w:rPr>
          <w:spacing w:val="-5"/>
          <w:sz w:val="18"/>
        </w:rPr>
        <w:t> </w:t>
      </w:r>
      <w:r>
        <w:rPr>
          <w:sz w:val="18"/>
        </w:rPr>
        <w:t>as</w:t>
      </w:r>
      <w:r>
        <w:rPr>
          <w:spacing w:val="-6"/>
          <w:sz w:val="18"/>
        </w:rPr>
        <w:t> </w:t>
      </w:r>
      <w:r>
        <w:rPr>
          <w:sz w:val="18"/>
        </w:rPr>
        <w:t>a</w:t>
      </w:r>
      <w:r>
        <w:rPr>
          <w:spacing w:val="-5"/>
          <w:sz w:val="18"/>
        </w:rPr>
        <w:t> </w:t>
      </w:r>
      <w:r>
        <w:rPr>
          <w:sz w:val="18"/>
        </w:rPr>
        <w:t>result of the Comprehensive Spending Review and an expected increase in PFI</w:t>
      </w:r>
      <w:r>
        <w:rPr>
          <w:spacing w:val="-3"/>
          <w:sz w:val="18"/>
        </w:rPr>
        <w:t> </w:t>
      </w:r>
      <w:r>
        <w:rPr>
          <w:sz w:val="18"/>
        </w:rPr>
        <w:t>projects.</w:t>
      </w:r>
    </w:p>
    <w:p>
      <w:pPr>
        <w:pStyle w:val="BodyText"/>
        <w:spacing w:before="7"/>
        <w:rPr>
          <w:sz w:val="16"/>
        </w:rPr>
      </w:pPr>
    </w:p>
    <w:p>
      <w:pPr>
        <w:pStyle w:val="ListParagraph"/>
        <w:numPr>
          <w:ilvl w:val="0"/>
          <w:numId w:val="52"/>
        </w:numPr>
        <w:tabs>
          <w:tab w:pos="640" w:val="left" w:leader="none"/>
        </w:tabs>
        <w:spacing w:line="232" w:lineRule="auto" w:before="1" w:after="0"/>
        <w:ind w:left="160" w:right="295" w:firstLine="0"/>
        <w:jc w:val="both"/>
        <w:rPr>
          <w:sz w:val="18"/>
        </w:rPr>
      </w:pPr>
      <w:r>
        <w:rPr>
          <w:sz w:val="18"/>
        </w:rPr>
        <w:t>Annual retail sales value growth continued to ease slightly, although discounting during the sales had reportedly strengthened volume growth. There had been little significant news about sales of motor</w:t>
      </w:r>
      <w:r>
        <w:rPr>
          <w:spacing w:val="-3"/>
          <w:sz w:val="18"/>
        </w:rPr>
        <w:t> </w:t>
      </w:r>
      <w:r>
        <w:rPr>
          <w:sz w:val="18"/>
        </w:rPr>
        <w:t>vehicles.</w:t>
      </w:r>
    </w:p>
    <w:p>
      <w:pPr>
        <w:pStyle w:val="BodyText"/>
        <w:spacing w:before="1"/>
        <w:rPr>
          <w:sz w:val="17"/>
        </w:rPr>
      </w:pPr>
    </w:p>
    <w:p>
      <w:pPr>
        <w:pStyle w:val="ListParagraph"/>
        <w:numPr>
          <w:ilvl w:val="0"/>
          <w:numId w:val="52"/>
        </w:numPr>
        <w:tabs>
          <w:tab w:pos="639" w:val="left" w:leader="none"/>
          <w:tab w:pos="640" w:val="left" w:leader="none"/>
        </w:tabs>
        <w:spacing w:line="232" w:lineRule="auto" w:before="0" w:after="0"/>
        <w:ind w:left="160" w:right="185" w:firstLine="0"/>
        <w:jc w:val="left"/>
        <w:rPr>
          <w:sz w:val="18"/>
        </w:rPr>
      </w:pPr>
      <w:r>
        <w:rPr>
          <w:sz w:val="18"/>
        </w:rPr>
        <w:t>The Agents had reported a stabilisation in input price inflation, although there had been offsetting influences. Contacts had reported that price increases in oil and related products had become more evident, as well as sharply higher gas prices. But these had been mitigated to some extent by increased importing, efficiency gains and more effective purchasing strategies. Competitive</w:t>
      </w:r>
      <w:r>
        <w:rPr>
          <w:spacing w:val="-8"/>
          <w:sz w:val="18"/>
        </w:rPr>
        <w:t> </w:t>
      </w:r>
      <w:r>
        <w:rPr>
          <w:sz w:val="18"/>
        </w:rPr>
        <w:t>pressures</w:t>
      </w:r>
      <w:r>
        <w:rPr>
          <w:spacing w:val="-7"/>
          <w:sz w:val="18"/>
        </w:rPr>
        <w:t> </w:t>
      </w:r>
      <w:r>
        <w:rPr>
          <w:sz w:val="18"/>
        </w:rPr>
        <w:t>on</w:t>
      </w:r>
      <w:r>
        <w:rPr>
          <w:spacing w:val="-7"/>
          <w:sz w:val="18"/>
        </w:rPr>
        <w:t> </w:t>
      </w:r>
      <w:r>
        <w:rPr>
          <w:sz w:val="18"/>
        </w:rPr>
        <w:t>manufacturers’</w:t>
      </w:r>
      <w:r>
        <w:rPr>
          <w:spacing w:val="-7"/>
          <w:sz w:val="18"/>
        </w:rPr>
        <w:t> </w:t>
      </w:r>
      <w:r>
        <w:rPr>
          <w:sz w:val="18"/>
        </w:rPr>
        <w:t>output</w:t>
      </w:r>
      <w:r>
        <w:rPr>
          <w:spacing w:val="-8"/>
          <w:sz w:val="18"/>
        </w:rPr>
        <w:t> </w:t>
      </w:r>
      <w:r>
        <w:rPr>
          <w:sz w:val="18"/>
        </w:rPr>
        <w:t>prices</w:t>
      </w:r>
      <w:r>
        <w:rPr>
          <w:spacing w:val="-7"/>
          <w:sz w:val="18"/>
        </w:rPr>
        <w:t> </w:t>
      </w:r>
      <w:r>
        <w:rPr>
          <w:sz w:val="18"/>
        </w:rPr>
        <w:t>continued</w:t>
      </w:r>
      <w:r>
        <w:rPr>
          <w:spacing w:val="-7"/>
          <w:sz w:val="18"/>
        </w:rPr>
        <w:t> </w:t>
      </w:r>
      <w:r>
        <w:rPr>
          <w:sz w:val="18"/>
        </w:rPr>
        <w:t>to be reported, although there had been a slightly greater degree of input cost pass-through</w:t>
      </w:r>
      <w:r>
        <w:rPr>
          <w:spacing w:val="-5"/>
          <w:sz w:val="18"/>
        </w:rPr>
        <w:t> </w:t>
      </w:r>
      <w:r>
        <w:rPr>
          <w:sz w:val="18"/>
        </w:rPr>
        <w:t>recently.</w:t>
      </w:r>
    </w:p>
    <w:p>
      <w:pPr>
        <w:pStyle w:val="BodyText"/>
        <w:spacing w:before="9"/>
        <w:rPr>
          <w:sz w:val="16"/>
        </w:rPr>
      </w:pPr>
    </w:p>
    <w:p>
      <w:pPr>
        <w:pStyle w:val="ListParagraph"/>
        <w:numPr>
          <w:ilvl w:val="0"/>
          <w:numId w:val="52"/>
        </w:numPr>
        <w:tabs>
          <w:tab w:pos="639" w:val="left" w:leader="none"/>
          <w:tab w:pos="640" w:val="left" w:leader="none"/>
        </w:tabs>
        <w:spacing w:line="232" w:lineRule="auto" w:before="0" w:after="0"/>
        <w:ind w:left="160" w:right="190" w:firstLine="0"/>
        <w:jc w:val="left"/>
        <w:rPr>
          <w:sz w:val="18"/>
        </w:rPr>
      </w:pPr>
      <w:r>
        <w:rPr>
          <w:sz w:val="18"/>
        </w:rPr>
        <w:t>The labour market picture had changed little from previous months. Skill shortages remained a serious concern to contacts, but most suggested that these were no worse than in recent months. Although little change to manufacturing settlements had been reported, there had been some increased difficulties during negotiations, perhaps an indication of rising future settlements. While there had been some moderation in service sector earnings growth recently because of relatively lower bonuses compared to last year, upward pressures remained in many</w:t>
      </w:r>
      <w:r>
        <w:rPr>
          <w:spacing w:val="-17"/>
          <w:sz w:val="18"/>
        </w:rPr>
        <w:t> </w:t>
      </w:r>
      <w:r>
        <w:rPr>
          <w:sz w:val="18"/>
        </w:rPr>
        <w:t>regions.</w:t>
      </w:r>
    </w:p>
    <w:p>
      <w:pPr>
        <w:pStyle w:val="BodyText"/>
        <w:spacing w:before="1"/>
        <w:rPr>
          <w:sz w:val="20"/>
        </w:rPr>
      </w:pPr>
    </w:p>
    <w:p>
      <w:pPr>
        <w:pStyle w:val="ListParagraph"/>
        <w:numPr>
          <w:ilvl w:val="0"/>
          <w:numId w:val="53"/>
        </w:numPr>
        <w:tabs>
          <w:tab w:pos="641" w:val="left" w:leader="none"/>
        </w:tabs>
        <w:spacing w:line="240" w:lineRule="auto" w:before="0" w:after="0"/>
        <w:ind w:left="640" w:right="0" w:hanging="481"/>
        <w:jc w:val="left"/>
        <w:rPr>
          <w:b/>
          <w:sz w:val="22"/>
        </w:rPr>
      </w:pPr>
      <w:r>
        <w:rPr>
          <w:b/>
          <w:color w:val="009391"/>
          <w:sz w:val="22"/>
        </w:rPr>
        <w:t>Market</w:t>
      </w:r>
      <w:r>
        <w:rPr>
          <w:b/>
          <w:color w:val="009391"/>
          <w:spacing w:val="-2"/>
          <w:sz w:val="22"/>
        </w:rPr>
        <w:t> </w:t>
      </w:r>
      <w:r>
        <w:rPr>
          <w:b/>
          <w:color w:val="009391"/>
          <w:sz w:val="22"/>
        </w:rPr>
        <w:t>intelligence</w:t>
      </w:r>
    </w:p>
    <w:p>
      <w:pPr>
        <w:pStyle w:val="ListParagraph"/>
        <w:numPr>
          <w:ilvl w:val="0"/>
          <w:numId w:val="52"/>
        </w:numPr>
        <w:tabs>
          <w:tab w:pos="639" w:val="left" w:leader="none"/>
          <w:tab w:pos="640" w:val="left" w:leader="none"/>
        </w:tabs>
        <w:spacing w:line="232" w:lineRule="auto" w:before="129" w:after="0"/>
        <w:ind w:left="160" w:right="306" w:firstLine="0"/>
        <w:jc w:val="left"/>
        <w:rPr>
          <w:sz w:val="18"/>
        </w:rPr>
      </w:pPr>
      <w:r>
        <w:rPr>
          <w:sz w:val="18"/>
        </w:rPr>
        <w:t>Expectations of interest rates, derived from both short sterling contracts and the gilt forward curve, had fallen over the month, and suggested that market participants were generally not anticipating a rise in the official interest rate in September. Nevertheless, the central expectation was for the MPC to raise the Bank repo rate to 6</w:t>
      </w:r>
      <w:r>
        <w:rPr>
          <w:position w:val="6"/>
          <w:sz w:val="9"/>
        </w:rPr>
        <w:t>1</w:t>
      </w:r>
      <w:r>
        <w:rPr>
          <w:sz w:val="18"/>
        </w:rPr>
        <w:t>/</w:t>
      </w:r>
      <w:r>
        <w:rPr>
          <w:sz w:val="9"/>
        </w:rPr>
        <w:t>4</w:t>
      </w:r>
      <w:r>
        <w:rPr>
          <w:sz w:val="18"/>
        </w:rPr>
        <w:t>% by the end of the year. In the most recent Reuters survey, 24 out of 31 economists had expected the MPC to leave</w:t>
      </w:r>
      <w:r>
        <w:rPr>
          <w:spacing w:val="-5"/>
          <w:sz w:val="18"/>
        </w:rPr>
        <w:t> </w:t>
      </w:r>
      <w:r>
        <w:rPr>
          <w:sz w:val="18"/>
        </w:rPr>
        <w:t>the</w:t>
      </w:r>
      <w:r>
        <w:rPr>
          <w:spacing w:val="-5"/>
          <w:sz w:val="18"/>
        </w:rPr>
        <w:t> </w:t>
      </w:r>
      <w:r>
        <w:rPr>
          <w:sz w:val="18"/>
        </w:rPr>
        <w:t>Bank</w:t>
      </w:r>
      <w:r>
        <w:rPr>
          <w:spacing w:val="-5"/>
          <w:sz w:val="18"/>
        </w:rPr>
        <w:t> </w:t>
      </w:r>
      <w:r>
        <w:rPr>
          <w:sz w:val="18"/>
        </w:rPr>
        <w:t>repo</w:t>
      </w:r>
      <w:r>
        <w:rPr>
          <w:spacing w:val="-5"/>
          <w:sz w:val="18"/>
        </w:rPr>
        <w:t> </w:t>
      </w:r>
      <w:r>
        <w:rPr>
          <w:sz w:val="18"/>
        </w:rPr>
        <w:t>rate</w:t>
      </w:r>
      <w:r>
        <w:rPr>
          <w:spacing w:val="-5"/>
          <w:sz w:val="18"/>
        </w:rPr>
        <w:t> </w:t>
      </w:r>
      <w:r>
        <w:rPr>
          <w:sz w:val="18"/>
        </w:rPr>
        <w:t>unchanged</w:t>
      </w:r>
      <w:r>
        <w:rPr>
          <w:spacing w:val="-5"/>
          <w:sz w:val="18"/>
        </w:rPr>
        <w:t> </w:t>
      </w:r>
      <w:r>
        <w:rPr>
          <w:sz w:val="18"/>
        </w:rPr>
        <w:t>in</w:t>
      </w:r>
      <w:r>
        <w:rPr>
          <w:spacing w:val="-5"/>
          <w:sz w:val="18"/>
        </w:rPr>
        <w:t> </w:t>
      </w:r>
      <w:r>
        <w:rPr>
          <w:sz w:val="18"/>
        </w:rPr>
        <w:t>September,</w:t>
      </w:r>
      <w:r>
        <w:rPr>
          <w:spacing w:val="-5"/>
          <w:sz w:val="18"/>
        </w:rPr>
        <w:t> </w:t>
      </w:r>
      <w:r>
        <w:rPr>
          <w:sz w:val="18"/>
        </w:rPr>
        <w:t>but</w:t>
      </w:r>
      <w:r>
        <w:rPr>
          <w:spacing w:val="-5"/>
          <w:sz w:val="18"/>
        </w:rPr>
        <w:t> </w:t>
      </w:r>
      <w:r>
        <w:rPr>
          <w:sz w:val="18"/>
        </w:rPr>
        <w:t>the</w:t>
      </w:r>
      <w:r>
        <w:rPr>
          <w:spacing w:val="-5"/>
          <w:sz w:val="18"/>
        </w:rPr>
        <w:t> </w:t>
      </w:r>
      <w:r>
        <w:rPr>
          <w:sz w:val="18"/>
        </w:rPr>
        <w:t>average probability attached to this outcome in the survey had been only 55%. Over the month as a whole, the major influences</w:t>
      </w:r>
      <w:r>
        <w:rPr>
          <w:spacing w:val="-26"/>
          <w:sz w:val="18"/>
        </w:rPr>
        <w:t> </w:t>
      </w:r>
      <w:r>
        <w:rPr>
          <w:sz w:val="18"/>
        </w:rPr>
        <w:t>on</w:t>
      </w:r>
    </w:p>
    <w:p>
      <w:pPr>
        <w:spacing w:line="232" w:lineRule="auto" w:before="0"/>
        <w:ind w:left="160" w:right="177" w:firstLine="0"/>
        <w:jc w:val="left"/>
        <w:rPr>
          <w:sz w:val="18"/>
        </w:rPr>
      </w:pPr>
      <w:r>
        <w:rPr>
          <w:sz w:val="18"/>
        </w:rPr>
        <w:t>short-term interest rate expectations had been policy-related announcements, although the impact of the publication of the minutes of the August MPC meeting might have been offset in part by the simultaneous publication of labour market data (in particular the weaker-than-expected average earnings figures). There had been little evidence from implied volatility data derived from options on short sterling contracts that market participants had become more uncertain about the interest rate outlook for the next three to six months. Those expecting ‘no change’ at the September meeting had cited signs of slower earnings and domestic demand growth as well as lower-than-expected RPIX data. Those expecting a</w:t>
      </w:r>
      <w:r>
        <w:rPr>
          <w:spacing w:val="-5"/>
          <w:sz w:val="18"/>
        </w:rPr>
        <w:t> </w:t>
      </w:r>
      <w:r>
        <w:rPr>
          <w:sz w:val="18"/>
        </w:rPr>
        <w:t>rise</w:t>
      </w:r>
      <w:r>
        <w:rPr>
          <w:spacing w:val="-4"/>
          <w:sz w:val="18"/>
        </w:rPr>
        <w:t> </w:t>
      </w:r>
      <w:r>
        <w:rPr>
          <w:sz w:val="18"/>
        </w:rPr>
        <w:t>had</w:t>
      </w:r>
      <w:r>
        <w:rPr>
          <w:spacing w:val="-5"/>
          <w:sz w:val="18"/>
        </w:rPr>
        <w:t> </w:t>
      </w:r>
      <w:r>
        <w:rPr>
          <w:sz w:val="18"/>
        </w:rPr>
        <w:t>noted</w:t>
      </w:r>
      <w:r>
        <w:rPr>
          <w:spacing w:val="-4"/>
          <w:sz w:val="18"/>
        </w:rPr>
        <w:t> </w:t>
      </w:r>
      <w:r>
        <w:rPr>
          <w:sz w:val="18"/>
        </w:rPr>
        <w:t>the</w:t>
      </w:r>
      <w:r>
        <w:rPr>
          <w:spacing w:val="-5"/>
          <w:sz w:val="18"/>
        </w:rPr>
        <w:t> </w:t>
      </w:r>
      <w:r>
        <w:rPr>
          <w:sz w:val="18"/>
        </w:rPr>
        <w:t>continuing</w:t>
      </w:r>
      <w:r>
        <w:rPr>
          <w:spacing w:val="-4"/>
          <w:sz w:val="18"/>
        </w:rPr>
        <w:t> </w:t>
      </w:r>
      <w:r>
        <w:rPr>
          <w:sz w:val="18"/>
        </w:rPr>
        <w:t>robustness</w:t>
      </w:r>
      <w:r>
        <w:rPr>
          <w:spacing w:val="-4"/>
          <w:sz w:val="18"/>
        </w:rPr>
        <w:t> </w:t>
      </w:r>
      <w:r>
        <w:rPr>
          <w:sz w:val="18"/>
        </w:rPr>
        <w:t>of</w:t>
      </w:r>
      <w:r>
        <w:rPr>
          <w:spacing w:val="-5"/>
          <w:sz w:val="18"/>
        </w:rPr>
        <w:t> </w:t>
      </w:r>
      <w:r>
        <w:rPr>
          <w:sz w:val="18"/>
        </w:rPr>
        <w:t>overseas</w:t>
      </w:r>
      <w:r>
        <w:rPr>
          <w:spacing w:val="-4"/>
          <w:sz w:val="18"/>
        </w:rPr>
        <w:t> </w:t>
      </w:r>
      <w:r>
        <w:rPr>
          <w:sz w:val="18"/>
        </w:rPr>
        <w:t>demand,</w:t>
      </w:r>
      <w:r>
        <w:rPr>
          <w:spacing w:val="-5"/>
          <w:sz w:val="18"/>
        </w:rPr>
        <w:t> </w:t>
      </w:r>
      <w:r>
        <w:rPr>
          <w:sz w:val="18"/>
        </w:rPr>
        <w:t>the</w:t>
      </w:r>
    </w:p>
    <w:p>
      <w:pPr>
        <w:spacing w:after="0" w:line="232" w:lineRule="auto"/>
        <w:jc w:val="left"/>
        <w:rPr>
          <w:sz w:val="18"/>
        </w:rPr>
        <w:sectPr>
          <w:type w:val="continuous"/>
          <w:pgSz w:w="11900" w:h="16840"/>
          <w:pgMar w:top="1260" w:bottom="280" w:left="640" w:right="640"/>
          <w:cols w:num="2" w:equalWidth="0">
            <w:col w:w="5108" w:space="282"/>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4"/>
        <w:rPr>
          <w:sz w:val="21"/>
        </w:rPr>
      </w:pPr>
    </w:p>
    <w:p>
      <w:pPr>
        <w:spacing w:line="232" w:lineRule="auto" w:before="1"/>
        <w:ind w:left="180" w:right="45" w:firstLine="0"/>
        <w:jc w:val="left"/>
        <w:rPr>
          <w:sz w:val="18"/>
        </w:rPr>
      </w:pPr>
      <w:r>
        <w:rPr>
          <w:sz w:val="18"/>
        </w:rPr>
        <w:t>increase in oil prices and the closeness of the Committee’s vote in August.</w:t>
      </w:r>
    </w:p>
    <w:p>
      <w:pPr>
        <w:pStyle w:val="BodyText"/>
        <w:spacing w:before="2"/>
        <w:rPr>
          <w:sz w:val="17"/>
        </w:rPr>
      </w:pPr>
    </w:p>
    <w:p>
      <w:pPr>
        <w:pStyle w:val="ListParagraph"/>
        <w:numPr>
          <w:ilvl w:val="0"/>
          <w:numId w:val="52"/>
        </w:numPr>
        <w:tabs>
          <w:tab w:pos="659" w:val="left" w:leader="none"/>
          <w:tab w:pos="660" w:val="left" w:leader="none"/>
        </w:tabs>
        <w:spacing w:line="232" w:lineRule="auto" w:before="1" w:after="0"/>
        <w:ind w:left="180" w:right="38" w:firstLine="0"/>
        <w:jc w:val="left"/>
        <w:rPr>
          <w:sz w:val="18"/>
        </w:rPr>
      </w:pPr>
      <w:r>
        <w:rPr>
          <w:sz w:val="18"/>
        </w:rPr>
        <w:t>The sterling exchange rate index had depreciated by 0.2% since</w:t>
      </w:r>
      <w:r>
        <w:rPr>
          <w:spacing w:val="-5"/>
          <w:sz w:val="18"/>
        </w:rPr>
        <w:t> </w:t>
      </w:r>
      <w:r>
        <w:rPr>
          <w:sz w:val="18"/>
        </w:rPr>
        <w:t>2</w:t>
      </w:r>
      <w:r>
        <w:rPr>
          <w:spacing w:val="-4"/>
          <w:sz w:val="18"/>
        </w:rPr>
        <w:t> </w:t>
      </w:r>
      <w:r>
        <w:rPr>
          <w:sz w:val="18"/>
        </w:rPr>
        <w:t>August</w:t>
      </w:r>
      <w:r>
        <w:rPr>
          <w:spacing w:val="-4"/>
          <w:sz w:val="18"/>
        </w:rPr>
        <w:t> </w:t>
      </w:r>
      <w:r>
        <w:rPr>
          <w:sz w:val="18"/>
        </w:rPr>
        <w:t>to</w:t>
      </w:r>
      <w:r>
        <w:rPr>
          <w:spacing w:val="-5"/>
          <w:sz w:val="18"/>
        </w:rPr>
        <w:t> </w:t>
      </w:r>
      <w:r>
        <w:rPr>
          <w:sz w:val="18"/>
        </w:rPr>
        <w:t>a</w:t>
      </w:r>
      <w:r>
        <w:rPr>
          <w:spacing w:val="-4"/>
          <w:sz w:val="18"/>
        </w:rPr>
        <w:t> </w:t>
      </w:r>
      <w:r>
        <w:rPr>
          <w:sz w:val="18"/>
        </w:rPr>
        <w:t>level</w:t>
      </w:r>
      <w:r>
        <w:rPr>
          <w:spacing w:val="-4"/>
          <w:sz w:val="18"/>
        </w:rPr>
        <w:t> </w:t>
      </w:r>
      <w:r>
        <w:rPr>
          <w:sz w:val="18"/>
        </w:rPr>
        <w:t>a</w:t>
      </w:r>
      <w:r>
        <w:rPr>
          <w:spacing w:val="-5"/>
          <w:sz w:val="18"/>
        </w:rPr>
        <w:t> </w:t>
      </w:r>
      <w:r>
        <w:rPr>
          <w:sz w:val="18"/>
        </w:rPr>
        <w:t>little</w:t>
      </w:r>
      <w:r>
        <w:rPr>
          <w:spacing w:val="-4"/>
          <w:sz w:val="18"/>
        </w:rPr>
        <w:t> </w:t>
      </w:r>
      <w:r>
        <w:rPr>
          <w:sz w:val="18"/>
        </w:rPr>
        <w:t>above</w:t>
      </w:r>
      <w:r>
        <w:rPr>
          <w:spacing w:val="-4"/>
          <w:sz w:val="18"/>
        </w:rPr>
        <w:t> </w:t>
      </w:r>
      <w:r>
        <w:rPr>
          <w:sz w:val="18"/>
        </w:rPr>
        <w:t>the</w:t>
      </w:r>
      <w:r>
        <w:rPr>
          <w:spacing w:val="-5"/>
          <w:sz w:val="18"/>
        </w:rPr>
        <w:t> </w:t>
      </w:r>
      <w:r>
        <w:rPr>
          <w:sz w:val="18"/>
        </w:rPr>
        <w:t>August</w:t>
      </w:r>
      <w:r>
        <w:rPr>
          <w:spacing w:val="-3"/>
          <w:sz w:val="18"/>
        </w:rPr>
        <w:t> </w:t>
      </w:r>
      <w:r>
        <w:rPr>
          <w:i/>
          <w:sz w:val="18"/>
        </w:rPr>
        <w:t>Inflation</w:t>
      </w:r>
      <w:r>
        <w:rPr>
          <w:i/>
          <w:spacing w:val="-4"/>
          <w:sz w:val="18"/>
        </w:rPr>
        <w:t> </w:t>
      </w:r>
      <w:r>
        <w:rPr>
          <w:i/>
          <w:sz w:val="18"/>
        </w:rPr>
        <w:t>Report </w:t>
      </w:r>
      <w:r>
        <w:rPr>
          <w:sz w:val="18"/>
        </w:rPr>
        <w:t>assumption. Sterling had reached seven-year lows against the dollar, but had appreciated by 1.1% against the euro. The general strength</w:t>
      </w:r>
      <w:r>
        <w:rPr>
          <w:spacing w:val="-5"/>
          <w:sz w:val="18"/>
        </w:rPr>
        <w:t> </w:t>
      </w:r>
      <w:r>
        <w:rPr>
          <w:sz w:val="18"/>
        </w:rPr>
        <w:t>of</w:t>
      </w:r>
      <w:r>
        <w:rPr>
          <w:spacing w:val="-4"/>
          <w:sz w:val="18"/>
        </w:rPr>
        <w:t> </w:t>
      </w:r>
      <w:r>
        <w:rPr>
          <w:sz w:val="18"/>
        </w:rPr>
        <w:t>the</w:t>
      </w:r>
      <w:r>
        <w:rPr>
          <w:spacing w:val="-4"/>
          <w:sz w:val="18"/>
        </w:rPr>
        <w:t> </w:t>
      </w:r>
      <w:r>
        <w:rPr>
          <w:sz w:val="18"/>
        </w:rPr>
        <w:t>US</w:t>
      </w:r>
      <w:r>
        <w:rPr>
          <w:spacing w:val="-4"/>
          <w:sz w:val="18"/>
        </w:rPr>
        <w:t> </w:t>
      </w:r>
      <w:r>
        <w:rPr>
          <w:sz w:val="18"/>
        </w:rPr>
        <w:t>dollar</w:t>
      </w:r>
      <w:r>
        <w:rPr>
          <w:spacing w:val="-4"/>
          <w:sz w:val="18"/>
        </w:rPr>
        <w:t> </w:t>
      </w:r>
      <w:r>
        <w:rPr>
          <w:sz w:val="18"/>
        </w:rPr>
        <w:t>in</w:t>
      </w:r>
      <w:r>
        <w:rPr>
          <w:spacing w:val="-4"/>
          <w:sz w:val="18"/>
        </w:rPr>
        <w:t> </w:t>
      </w:r>
      <w:r>
        <w:rPr>
          <w:sz w:val="18"/>
        </w:rPr>
        <w:t>part</w:t>
      </w:r>
      <w:r>
        <w:rPr>
          <w:spacing w:val="-4"/>
          <w:sz w:val="18"/>
        </w:rPr>
        <w:t> </w:t>
      </w:r>
      <w:r>
        <w:rPr>
          <w:sz w:val="18"/>
        </w:rPr>
        <w:t>reflected</w:t>
      </w:r>
      <w:r>
        <w:rPr>
          <w:spacing w:val="-4"/>
          <w:sz w:val="18"/>
        </w:rPr>
        <w:t> </w:t>
      </w:r>
      <w:r>
        <w:rPr>
          <w:sz w:val="18"/>
        </w:rPr>
        <w:t>expectations</w:t>
      </w:r>
      <w:r>
        <w:rPr>
          <w:spacing w:val="-4"/>
          <w:sz w:val="18"/>
        </w:rPr>
        <w:t> </w:t>
      </w:r>
      <w:r>
        <w:rPr>
          <w:sz w:val="18"/>
        </w:rPr>
        <w:t>about</w:t>
      </w:r>
      <w:r>
        <w:rPr>
          <w:spacing w:val="-4"/>
          <w:sz w:val="18"/>
        </w:rPr>
        <w:t> </w:t>
      </w:r>
      <w:r>
        <w:rPr>
          <w:sz w:val="18"/>
        </w:rPr>
        <w:t>the</w:t>
      </w:r>
    </w:p>
    <w:p>
      <w:pPr>
        <w:pStyle w:val="BodyText"/>
        <w:spacing w:before="4"/>
        <w:rPr>
          <w:sz w:val="21"/>
        </w:rPr>
      </w:pPr>
      <w:r>
        <w:rPr/>
        <w:br w:type="column"/>
      </w:r>
      <w:r>
        <w:rPr>
          <w:sz w:val="21"/>
        </w:rPr>
      </w:r>
    </w:p>
    <w:p>
      <w:pPr>
        <w:spacing w:line="232" w:lineRule="auto" w:before="1"/>
        <w:ind w:left="180" w:right="247" w:firstLine="0"/>
        <w:jc w:val="left"/>
        <w:rPr>
          <w:sz w:val="18"/>
        </w:rPr>
      </w:pPr>
      <w:r>
        <w:rPr>
          <w:sz w:val="18"/>
        </w:rPr>
        <w:t>likelihood of a ‘soft landing’ in the US economy and the release of stronger-than-expected productivity data. Expectations of future exchange rate volatility derived from options on foreign exchange suggested that, in the short run, expectations that sterling would follow movements in the dollar had fallen a little, but that in the longer term, the relationship was little changed. On that basis, evidence for a de-linking between sterling and the dollar was still somewhat limited.</w:t>
      </w:r>
    </w:p>
    <w:p>
      <w:pPr>
        <w:spacing w:after="0" w:line="232" w:lineRule="auto"/>
        <w:jc w:val="left"/>
        <w:rPr>
          <w:sz w:val="18"/>
        </w:rPr>
        <w:sectPr>
          <w:type w:val="continuous"/>
          <w:pgSz w:w="11900" w:h="16840"/>
          <w:pgMar w:top="1260" w:bottom="280" w:left="640" w:right="640"/>
          <w:cols w:num="2" w:equalWidth="0">
            <w:col w:w="4999" w:space="384"/>
            <w:col w:w="5237"/>
          </w:cols>
        </w:sectPr>
      </w:pPr>
    </w:p>
    <w:p>
      <w:pPr>
        <w:pStyle w:val="BodyText"/>
        <w:rPr>
          <w:sz w:val="20"/>
        </w:rPr>
      </w:pPr>
    </w:p>
    <w:p>
      <w:pPr>
        <w:pStyle w:val="Heading4"/>
        <w:spacing w:line="357" w:lineRule="auto" w:before="208"/>
        <w:ind w:left="170" w:right="3215"/>
      </w:pPr>
      <w:bookmarkStart w:name="September Press Notice" w:id="93"/>
      <w:bookmarkEnd w:id="93"/>
      <w:r>
        <w:rPr>
          <w:b w:val="0"/>
        </w:rPr>
      </w:r>
      <w:bookmarkStart w:name="_bookmark42" w:id="94"/>
      <w:bookmarkEnd w:id="94"/>
      <w:r>
        <w:rPr>
          <w:b w:val="0"/>
        </w:rPr>
      </w:r>
      <w:r>
        <w:rPr>
          <w:color w:val="009391"/>
        </w:rPr>
        <w:t>Text of Bank of England press notice of 7 September 2000 Bank of England maintains interest rates at 6.0%</w:t>
      </w:r>
    </w:p>
    <w:p>
      <w:pPr>
        <w:spacing w:line="463" w:lineRule="auto" w:before="244"/>
        <w:ind w:left="174" w:right="2767" w:firstLine="0"/>
        <w:jc w:val="left"/>
        <w:rPr>
          <w:sz w:val="18"/>
        </w:rPr>
      </w:pPr>
      <w:r>
        <w:rPr>
          <w:sz w:val="18"/>
        </w:rPr>
        <w:t>The Bank of England’s Monetary Policy Committee today voted to maintain the Bank’s repo rate at 6.0%. The minutes of the meeting will be published at 9.30 am on Wednesday 20 September.</w:t>
      </w:r>
    </w:p>
    <w:p>
      <w:pPr>
        <w:spacing w:after="0" w:line="463" w:lineRule="auto"/>
        <w:jc w:val="left"/>
        <w:rPr>
          <w:sz w:val="18"/>
        </w:rPr>
        <w:sectPr>
          <w:pgSz w:w="11900" w:h="16840"/>
          <w:pgMar w:header="566" w:footer="597" w:top="760" w:bottom="780" w:left="640" w:right="640"/>
        </w:sectPr>
      </w:pPr>
    </w:p>
    <w:p>
      <w:pPr>
        <w:pStyle w:val="BodyText"/>
        <w:rPr>
          <w:sz w:val="20"/>
        </w:rPr>
      </w:pPr>
    </w:p>
    <w:p>
      <w:pPr>
        <w:pStyle w:val="BodyText"/>
        <w:rPr>
          <w:sz w:val="20"/>
        </w:rPr>
      </w:pPr>
    </w:p>
    <w:p>
      <w:pPr>
        <w:pStyle w:val="BodyText"/>
        <w:spacing w:before="7"/>
        <w:rPr>
          <w:sz w:val="20"/>
        </w:rPr>
      </w:pPr>
    </w:p>
    <w:p>
      <w:pPr>
        <w:pStyle w:val="Heading3"/>
        <w:ind w:left="170"/>
      </w:pPr>
      <w:bookmarkStart w:name="October minutes" w:id="95"/>
      <w:bookmarkEnd w:id="95"/>
      <w:r>
        <w:rPr>
          <w:b w:val="0"/>
        </w:rPr>
      </w:r>
      <w:bookmarkStart w:name="_bookmark43" w:id="96"/>
      <w:bookmarkEnd w:id="96"/>
      <w:r>
        <w:rPr>
          <w:b w:val="0"/>
        </w:rPr>
      </w:r>
      <w:r>
        <w:rPr>
          <w:color w:val="009391"/>
        </w:rPr>
        <w:t>Minutes of the Monetary Policy Committee meeting on 4–5 October 2000</w:t>
      </w:r>
    </w:p>
    <w:p>
      <w:pPr>
        <w:pStyle w:val="BodyText"/>
        <w:spacing w:before="6"/>
        <w:rPr>
          <w:b/>
          <w:sz w:val="28"/>
        </w:rPr>
      </w:pPr>
    </w:p>
    <w:p>
      <w:pPr>
        <w:spacing w:after="0"/>
        <w:rPr>
          <w:sz w:val="28"/>
        </w:rPr>
        <w:sectPr>
          <w:pgSz w:w="11900" w:h="16840"/>
          <w:pgMar w:header="566" w:footer="597" w:top="760" w:bottom="780" w:left="640" w:right="640"/>
        </w:sectPr>
      </w:pPr>
    </w:p>
    <w:p>
      <w:pPr>
        <w:pStyle w:val="ListParagraph"/>
        <w:numPr>
          <w:ilvl w:val="0"/>
          <w:numId w:val="54"/>
        </w:numPr>
        <w:tabs>
          <w:tab w:pos="645" w:val="left" w:leader="none"/>
          <w:tab w:pos="646" w:val="left" w:leader="none"/>
        </w:tabs>
        <w:spacing w:line="232" w:lineRule="auto" w:before="97" w:after="0"/>
        <w:ind w:left="165" w:right="92" w:firstLine="0"/>
        <w:jc w:val="left"/>
        <w:rPr>
          <w:sz w:val="18"/>
        </w:rPr>
      </w:pPr>
      <w:r>
        <w:rPr>
          <w:sz w:val="18"/>
        </w:rPr>
        <w:t>Before turning to its immediate policy decision, the Committee discussed prices and costs;  the world economy; money, credit and asset prices; demand and output; and the labour market.</w:t>
      </w:r>
    </w:p>
    <w:p>
      <w:pPr>
        <w:pStyle w:val="BodyText"/>
        <w:spacing w:before="5"/>
        <w:rPr>
          <w:sz w:val="20"/>
        </w:rPr>
      </w:pPr>
    </w:p>
    <w:p>
      <w:pPr>
        <w:spacing w:before="0"/>
        <w:ind w:left="165" w:right="0" w:firstLine="0"/>
        <w:jc w:val="left"/>
        <w:rPr>
          <w:b/>
          <w:sz w:val="22"/>
        </w:rPr>
      </w:pPr>
      <w:r>
        <w:rPr>
          <w:b/>
          <w:color w:val="009391"/>
          <w:sz w:val="22"/>
        </w:rPr>
        <w:t>Prices and costs</w:t>
      </w:r>
    </w:p>
    <w:p>
      <w:pPr>
        <w:pStyle w:val="ListParagraph"/>
        <w:numPr>
          <w:ilvl w:val="0"/>
          <w:numId w:val="54"/>
        </w:numPr>
        <w:tabs>
          <w:tab w:pos="645" w:val="left" w:leader="none"/>
          <w:tab w:pos="646" w:val="left" w:leader="none"/>
        </w:tabs>
        <w:spacing w:line="232" w:lineRule="auto" w:before="109" w:after="0"/>
        <w:ind w:left="165" w:right="72" w:firstLine="0"/>
        <w:jc w:val="left"/>
        <w:rPr>
          <w:sz w:val="18"/>
        </w:rPr>
      </w:pPr>
      <w:r>
        <w:rPr>
          <w:sz w:val="18"/>
        </w:rPr>
        <w:t>RPIX inflation had fallen to 1.9% in August, largely reflecting falls in the contribution of petrol prices but also a fall in seasonal food prices: by contrast with recent years, such prices had risen in July but fallen back in August. The near-term outlook for petrol prices and for petrol retailers’ margins suggested a rather lower path for inflation over the next few months than had been expected at the time of the projections made for the August </w:t>
      </w:r>
      <w:r>
        <w:rPr>
          <w:i/>
          <w:sz w:val="18"/>
        </w:rPr>
        <w:t>Inflation Report</w:t>
      </w:r>
      <w:r>
        <w:rPr>
          <w:sz w:val="18"/>
        </w:rPr>
        <w:t>. Were margins to be restored, and the normal relationship between oil prices and petrol prices to apply, the recent fall in RPIX inflation might be reversed.  But the timing of any such restoration of margins was unclear. The latest ONS advance estimate of RPIX inflation, which was again available for the Committee’s meeting, suggested that August’s fall had been reversed, although no information was yet available on what accounted for</w:t>
      </w:r>
      <w:r>
        <w:rPr>
          <w:spacing w:val="-3"/>
          <w:sz w:val="18"/>
        </w:rPr>
        <w:t> </w:t>
      </w:r>
      <w:r>
        <w:rPr>
          <w:sz w:val="18"/>
        </w:rPr>
        <w:t>this.</w:t>
      </w:r>
    </w:p>
    <w:p>
      <w:pPr>
        <w:pStyle w:val="BodyText"/>
        <w:spacing w:before="4"/>
        <w:rPr>
          <w:sz w:val="16"/>
        </w:rPr>
      </w:pPr>
    </w:p>
    <w:p>
      <w:pPr>
        <w:pStyle w:val="ListParagraph"/>
        <w:numPr>
          <w:ilvl w:val="0"/>
          <w:numId w:val="54"/>
        </w:numPr>
        <w:tabs>
          <w:tab w:pos="645" w:val="left" w:leader="none"/>
          <w:tab w:pos="646" w:val="left" w:leader="none"/>
        </w:tabs>
        <w:spacing w:line="232" w:lineRule="auto" w:before="1" w:after="0"/>
        <w:ind w:left="165" w:right="42" w:firstLine="0"/>
        <w:jc w:val="left"/>
        <w:rPr>
          <w:sz w:val="18"/>
        </w:rPr>
      </w:pPr>
      <w:r>
        <w:rPr>
          <w:sz w:val="18"/>
        </w:rPr>
        <w:t>The range of measures of domestically generated inflation available to the Committee were for the first time all at or below the inflation target of 2.5%: RPIX inflation excluding import prices stood at 2.5%; the GDP deflator excluding export prices at 1.9%; and the growth of unit labour costs, adjusted for trend and using actual labour productivity growth, stood at 2.2% and 1.7% respectively—though both reflected lower bonuses, which might not persist. Contrary to expectations at the time of the previous meeting, the GDP deflator had not been revised</w:t>
      </w:r>
      <w:r>
        <w:rPr>
          <w:spacing w:val="-20"/>
          <w:sz w:val="18"/>
        </w:rPr>
        <w:t> </w:t>
      </w:r>
      <w:r>
        <w:rPr>
          <w:sz w:val="18"/>
        </w:rPr>
        <w:t>upwards.</w:t>
      </w:r>
    </w:p>
    <w:p>
      <w:pPr>
        <w:pStyle w:val="BodyText"/>
        <w:spacing w:before="8"/>
        <w:rPr>
          <w:sz w:val="16"/>
        </w:rPr>
      </w:pPr>
    </w:p>
    <w:p>
      <w:pPr>
        <w:pStyle w:val="ListParagraph"/>
        <w:numPr>
          <w:ilvl w:val="0"/>
          <w:numId w:val="54"/>
        </w:numPr>
        <w:tabs>
          <w:tab w:pos="645" w:val="left" w:leader="none"/>
          <w:tab w:pos="646" w:val="left" w:leader="none"/>
        </w:tabs>
        <w:spacing w:line="232" w:lineRule="auto" w:before="1" w:after="0"/>
        <w:ind w:left="165" w:right="53" w:firstLine="0"/>
        <w:jc w:val="left"/>
        <w:rPr>
          <w:sz w:val="18"/>
        </w:rPr>
      </w:pPr>
      <w:r>
        <w:rPr>
          <w:sz w:val="18"/>
        </w:rPr>
        <w:t>There were some indications however that inflation expectations had increased, notably in the results of the most recent Basix surveys of the general public and of trades unions whose expectations of inflation had increased by 30–40 basis points since the second quarter. Looking twelve months ahead, inflation expectations</w:t>
      </w:r>
      <w:r>
        <w:rPr>
          <w:spacing w:val="-6"/>
          <w:sz w:val="18"/>
        </w:rPr>
        <w:t> </w:t>
      </w:r>
      <w:r>
        <w:rPr>
          <w:sz w:val="18"/>
        </w:rPr>
        <w:t>of</w:t>
      </w:r>
      <w:r>
        <w:rPr>
          <w:spacing w:val="-6"/>
          <w:sz w:val="18"/>
        </w:rPr>
        <w:t> </w:t>
      </w:r>
      <w:r>
        <w:rPr>
          <w:sz w:val="18"/>
        </w:rPr>
        <w:t>the</w:t>
      </w:r>
      <w:r>
        <w:rPr>
          <w:spacing w:val="-5"/>
          <w:sz w:val="18"/>
        </w:rPr>
        <w:t> </w:t>
      </w:r>
      <w:r>
        <w:rPr>
          <w:sz w:val="18"/>
        </w:rPr>
        <w:t>general</w:t>
      </w:r>
      <w:r>
        <w:rPr>
          <w:spacing w:val="-6"/>
          <w:sz w:val="18"/>
        </w:rPr>
        <w:t> </w:t>
      </w:r>
      <w:r>
        <w:rPr>
          <w:sz w:val="18"/>
        </w:rPr>
        <w:t>public</w:t>
      </w:r>
      <w:r>
        <w:rPr>
          <w:spacing w:val="-6"/>
          <w:sz w:val="18"/>
        </w:rPr>
        <w:t> </w:t>
      </w:r>
      <w:r>
        <w:rPr>
          <w:sz w:val="18"/>
        </w:rPr>
        <w:t>(which</w:t>
      </w:r>
      <w:r>
        <w:rPr>
          <w:spacing w:val="-5"/>
          <w:sz w:val="18"/>
        </w:rPr>
        <w:t> </w:t>
      </w:r>
      <w:r>
        <w:rPr>
          <w:sz w:val="18"/>
        </w:rPr>
        <w:t>had</w:t>
      </w:r>
      <w:r>
        <w:rPr>
          <w:spacing w:val="-6"/>
          <w:sz w:val="18"/>
        </w:rPr>
        <w:t> </w:t>
      </w:r>
      <w:r>
        <w:rPr>
          <w:sz w:val="18"/>
        </w:rPr>
        <w:t>always</w:t>
      </w:r>
      <w:r>
        <w:rPr>
          <w:spacing w:val="-6"/>
          <w:sz w:val="18"/>
        </w:rPr>
        <w:t> </w:t>
      </w:r>
      <w:r>
        <w:rPr>
          <w:sz w:val="18"/>
        </w:rPr>
        <w:t>remained</w:t>
      </w:r>
      <w:r>
        <w:rPr>
          <w:spacing w:val="-5"/>
          <w:sz w:val="18"/>
        </w:rPr>
        <w:t> </w:t>
      </w:r>
      <w:r>
        <w:rPr>
          <w:sz w:val="18"/>
        </w:rPr>
        <w:t>well above the Government’s target of 2.5%) now stood at 4.2% and those of trades unions at 2.9%. The extent to which this was a temporary effect, reflecting a reaction to the disruption of petrol supplies in the first half of September, was unclear. Other surveys of inflation expectations suggested little change. But it would be worrying, particularly in the context of the apparent tightness in the labour market, if this increase in inflation expectations were to persist as it could then affect wage bargaining in the coming settlement</w:t>
      </w:r>
      <w:r>
        <w:rPr>
          <w:spacing w:val="-2"/>
          <w:sz w:val="18"/>
        </w:rPr>
        <w:t> </w:t>
      </w:r>
      <w:r>
        <w:rPr>
          <w:sz w:val="18"/>
        </w:rPr>
        <w:t>round.</w:t>
      </w:r>
    </w:p>
    <w:p>
      <w:pPr>
        <w:pStyle w:val="BodyText"/>
        <w:spacing w:before="7"/>
        <w:rPr>
          <w:sz w:val="19"/>
        </w:rPr>
      </w:pPr>
    </w:p>
    <w:p>
      <w:pPr>
        <w:spacing w:before="0"/>
        <w:ind w:left="165" w:right="0" w:firstLine="0"/>
        <w:jc w:val="left"/>
        <w:rPr>
          <w:b/>
          <w:sz w:val="22"/>
        </w:rPr>
      </w:pPr>
      <w:r>
        <w:rPr>
          <w:b/>
          <w:color w:val="009391"/>
          <w:sz w:val="22"/>
        </w:rPr>
        <w:t>The world economy</w:t>
      </w:r>
    </w:p>
    <w:p>
      <w:pPr>
        <w:pStyle w:val="ListParagraph"/>
        <w:numPr>
          <w:ilvl w:val="0"/>
          <w:numId w:val="54"/>
        </w:numPr>
        <w:tabs>
          <w:tab w:pos="645" w:val="left" w:leader="none"/>
          <w:tab w:pos="646" w:val="left" w:leader="none"/>
        </w:tabs>
        <w:spacing w:line="232" w:lineRule="auto" w:before="110" w:after="0"/>
        <w:ind w:left="165" w:right="38" w:firstLine="0"/>
        <w:jc w:val="left"/>
        <w:rPr>
          <w:sz w:val="18"/>
        </w:rPr>
      </w:pPr>
      <w:r>
        <w:rPr>
          <w:sz w:val="18"/>
        </w:rPr>
        <w:t>Oil prices had fallen $3 since the Committee’s previous meeting, with the Brent one month future now just above $30 per barrel. Oil price futures were indicating a fall in prices to about $25 per barrel by the end of 2002, substantially above the projection in the August </w:t>
      </w:r>
      <w:r>
        <w:rPr>
          <w:i/>
          <w:sz w:val="18"/>
        </w:rPr>
        <w:t>Inflation Report</w:t>
      </w:r>
      <w:r>
        <w:rPr>
          <w:sz w:val="18"/>
        </w:rPr>
        <w:t>. It was unclear whether the factors determining the long-run level of the oil price had changed significantly, but the futures curve did at least suggest that the market’s view of the horizon over which the price would return to more normal levels had lengthened in recent</w:t>
      </w:r>
      <w:r>
        <w:rPr>
          <w:spacing w:val="-15"/>
          <w:sz w:val="18"/>
        </w:rPr>
        <w:t> </w:t>
      </w:r>
      <w:r>
        <w:rPr>
          <w:sz w:val="18"/>
        </w:rPr>
        <w:t>months.</w:t>
      </w:r>
    </w:p>
    <w:p>
      <w:pPr>
        <w:pStyle w:val="BodyText"/>
        <w:spacing w:before="8"/>
        <w:rPr>
          <w:sz w:val="16"/>
        </w:rPr>
      </w:pPr>
    </w:p>
    <w:p>
      <w:pPr>
        <w:pStyle w:val="ListParagraph"/>
        <w:numPr>
          <w:ilvl w:val="0"/>
          <w:numId w:val="54"/>
        </w:numPr>
        <w:tabs>
          <w:tab w:pos="645" w:val="left" w:leader="none"/>
          <w:tab w:pos="646" w:val="left" w:leader="none"/>
        </w:tabs>
        <w:spacing w:line="232" w:lineRule="auto" w:before="1" w:after="0"/>
        <w:ind w:left="165" w:right="67" w:firstLine="0"/>
        <w:jc w:val="left"/>
        <w:rPr>
          <w:sz w:val="18"/>
        </w:rPr>
      </w:pPr>
      <w:r>
        <w:rPr>
          <w:sz w:val="18"/>
        </w:rPr>
        <w:t>Against this background, the Committee first reviewed the evidence on the likely source of the shock which had resulted in the sharp increase in the price of oil since the end of 1998. Most members felt that the initial shock could largely be attributed to the unexpectedly</w:t>
      </w:r>
      <w:r>
        <w:rPr>
          <w:spacing w:val="-6"/>
          <w:sz w:val="18"/>
        </w:rPr>
        <w:t> </w:t>
      </w:r>
      <w:r>
        <w:rPr>
          <w:sz w:val="18"/>
        </w:rPr>
        <w:t>strong</w:t>
      </w:r>
      <w:r>
        <w:rPr>
          <w:spacing w:val="-6"/>
          <w:sz w:val="18"/>
        </w:rPr>
        <w:t> </w:t>
      </w:r>
      <w:r>
        <w:rPr>
          <w:sz w:val="18"/>
        </w:rPr>
        <w:t>growth</w:t>
      </w:r>
      <w:r>
        <w:rPr>
          <w:spacing w:val="-5"/>
          <w:sz w:val="18"/>
        </w:rPr>
        <w:t> </w:t>
      </w:r>
      <w:r>
        <w:rPr>
          <w:sz w:val="18"/>
        </w:rPr>
        <w:t>of</w:t>
      </w:r>
      <w:r>
        <w:rPr>
          <w:spacing w:val="-6"/>
          <w:sz w:val="18"/>
        </w:rPr>
        <w:t> </w:t>
      </w:r>
      <w:r>
        <w:rPr>
          <w:sz w:val="18"/>
        </w:rPr>
        <w:t>the</w:t>
      </w:r>
      <w:r>
        <w:rPr>
          <w:spacing w:val="-5"/>
          <w:sz w:val="18"/>
        </w:rPr>
        <w:t> </w:t>
      </w:r>
      <w:r>
        <w:rPr>
          <w:sz w:val="18"/>
        </w:rPr>
        <w:t>world</w:t>
      </w:r>
      <w:r>
        <w:rPr>
          <w:spacing w:val="-6"/>
          <w:sz w:val="18"/>
        </w:rPr>
        <w:t> </w:t>
      </w:r>
      <w:r>
        <w:rPr>
          <w:sz w:val="18"/>
        </w:rPr>
        <w:t>economy,</w:t>
      </w:r>
      <w:r>
        <w:rPr>
          <w:spacing w:val="-5"/>
          <w:sz w:val="18"/>
        </w:rPr>
        <w:t> </w:t>
      </w:r>
      <w:r>
        <w:rPr>
          <w:sz w:val="18"/>
        </w:rPr>
        <w:t>in</w:t>
      </w:r>
      <w:r>
        <w:rPr>
          <w:spacing w:val="-6"/>
          <w:sz w:val="18"/>
        </w:rPr>
        <w:t> </w:t>
      </w:r>
      <w:r>
        <w:rPr>
          <w:sz w:val="18"/>
        </w:rPr>
        <w:t>particular</w:t>
      </w:r>
      <w:r>
        <w:rPr>
          <w:spacing w:val="-5"/>
          <w:sz w:val="18"/>
        </w:rPr>
        <w:t> </w:t>
      </w:r>
      <w:r>
        <w:rPr>
          <w:sz w:val="18"/>
        </w:rPr>
        <w:t>the</w:t>
      </w:r>
    </w:p>
    <w:p>
      <w:pPr>
        <w:spacing w:line="232" w:lineRule="auto" w:before="97"/>
        <w:ind w:left="165" w:right="211" w:firstLine="0"/>
        <w:jc w:val="left"/>
        <w:rPr>
          <w:sz w:val="18"/>
        </w:rPr>
      </w:pPr>
      <w:r>
        <w:rPr/>
        <w:br w:type="column"/>
      </w:r>
      <w:r>
        <w:rPr>
          <w:sz w:val="18"/>
        </w:rPr>
        <w:t>rapid recovery of the Asian economies from the difficulties they had experienced in the second half of 1998. This had subsequently been reinforced by OPEC restraint on supply. Other commodity prices had been slower to respond, but were now beginning to do so. The OPEC countries had recently shown themselves willing to increase their supply of oil, which—together with the release of oil from the US strategic stockpile—had helped to stabilise the market but at a relatively high nominal price level.</w:t>
      </w:r>
    </w:p>
    <w:p>
      <w:pPr>
        <w:pStyle w:val="BodyText"/>
        <w:spacing w:before="10"/>
        <w:rPr>
          <w:sz w:val="16"/>
        </w:rPr>
      </w:pPr>
    </w:p>
    <w:p>
      <w:pPr>
        <w:pStyle w:val="ListParagraph"/>
        <w:numPr>
          <w:ilvl w:val="0"/>
          <w:numId w:val="54"/>
        </w:numPr>
        <w:tabs>
          <w:tab w:pos="645" w:val="left" w:leader="none"/>
          <w:tab w:pos="646" w:val="left" w:leader="none"/>
        </w:tabs>
        <w:spacing w:line="232" w:lineRule="auto" w:before="0" w:after="0"/>
        <w:ind w:left="165" w:right="160" w:firstLine="0"/>
        <w:jc w:val="left"/>
        <w:rPr>
          <w:sz w:val="18"/>
        </w:rPr>
      </w:pPr>
      <w:r>
        <w:rPr>
          <w:sz w:val="18"/>
        </w:rPr>
        <w:t>Looking forward, the price path implied by the futures curve would reflect the market consensus on the outlook for demand, for non-OPEC supply and for the ability of the OPEC countries to sustain the cohesion which would be required to stabilise prices at around their chosen target range. It continued to represent a plausible central case. But it was recognised by the Committee that there were risks around this path. In particular, there was felt by some members to be an upside risk in the coming months as the Northern</w:t>
      </w:r>
      <w:r>
        <w:rPr>
          <w:spacing w:val="-7"/>
          <w:sz w:val="18"/>
        </w:rPr>
        <w:t> </w:t>
      </w:r>
      <w:r>
        <w:rPr>
          <w:sz w:val="18"/>
        </w:rPr>
        <w:t>Hemisphere</w:t>
      </w:r>
      <w:r>
        <w:rPr>
          <w:spacing w:val="-7"/>
          <w:sz w:val="18"/>
        </w:rPr>
        <w:t> </w:t>
      </w:r>
      <w:r>
        <w:rPr>
          <w:sz w:val="18"/>
        </w:rPr>
        <w:t>winter</w:t>
      </w:r>
      <w:r>
        <w:rPr>
          <w:spacing w:val="-7"/>
          <w:sz w:val="18"/>
        </w:rPr>
        <w:t> </w:t>
      </w:r>
      <w:r>
        <w:rPr>
          <w:sz w:val="18"/>
        </w:rPr>
        <w:t>approached</w:t>
      </w:r>
      <w:r>
        <w:rPr>
          <w:spacing w:val="-7"/>
          <w:sz w:val="18"/>
        </w:rPr>
        <w:t> </w:t>
      </w:r>
      <w:r>
        <w:rPr>
          <w:sz w:val="18"/>
        </w:rPr>
        <w:t>and</w:t>
      </w:r>
      <w:r>
        <w:rPr>
          <w:spacing w:val="-7"/>
          <w:sz w:val="18"/>
        </w:rPr>
        <w:t> </w:t>
      </w:r>
      <w:r>
        <w:rPr>
          <w:sz w:val="18"/>
        </w:rPr>
        <w:t>downside</w:t>
      </w:r>
      <w:r>
        <w:rPr>
          <w:spacing w:val="-7"/>
          <w:sz w:val="18"/>
        </w:rPr>
        <w:t> </w:t>
      </w:r>
      <w:r>
        <w:rPr>
          <w:sz w:val="18"/>
        </w:rPr>
        <w:t>risks</w:t>
      </w:r>
      <w:r>
        <w:rPr>
          <w:spacing w:val="-7"/>
          <w:sz w:val="18"/>
        </w:rPr>
        <w:t> </w:t>
      </w:r>
      <w:r>
        <w:rPr>
          <w:sz w:val="18"/>
        </w:rPr>
        <w:t>further out—associated either with the build-up of non-OPEC supply or with a more rapid slowdown in world demand than was currently foreseen.</w:t>
      </w:r>
    </w:p>
    <w:p>
      <w:pPr>
        <w:pStyle w:val="BodyText"/>
        <w:spacing w:before="6"/>
        <w:rPr>
          <w:sz w:val="16"/>
        </w:rPr>
      </w:pPr>
    </w:p>
    <w:p>
      <w:pPr>
        <w:pStyle w:val="ListParagraph"/>
        <w:numPr>
          <w:ilvl w:val="0"/>
          <w:numId w:val="54"/>
        </w:numPr>
        <w:tabs>
          <w:tab w:pos="645" w:val="left" w:leader="none"/>
          <w:tab w:pos="646" w:val="left" w:leader="none"/>
        </w:tabs>
        <w:spacing w:line="232" w:lineRule="auto" w:before="1" w:after="0"/>
        <w:ind w:left="165" w:right="165" w:firstLine="0"/>
        <w:jc w:val="left"/>
        <w:rPr>
          <w:sz w:val="18"/>
        </w:rPr>
      </w:pPr>
      <w:r>
        <w:rPr>
          <w:sz w:val="18"/>
        </w:rPr>
        <w:t>Though the experience of previous oil supply shocks was unlikely to be repeated, it was possible that further sharp movements in the price of oil could lie ahead.  On this view, it could be a year or more before the non-OPEC supply response would begin to have a marked effect in restoring oil prices to more normal levels. In the meantime, prices could fluctuate quite sharply and this volatility could dampen world activity by denting confidence.</w:t>
      </w:r>
    </w:p>
    <w:p>
      <w:pPr>
        <w:pStyle w:val="BodyText"/>
        <w:spacing w:before="9"/>
        <w:rPr>
          <w:sz w:val="16"/>
        </w:rPr>
      </w:pPr>
    </w:p>
    <w:p>
      <w:pPr>
        <w:pStyle w:val="ListParagraph"/>
        <w:numPr>
          <w:ilvl w:val="0"/>
          <w:numId w:val="54"/>
        </w:numPr>
        <w:tabs>
          <w:tab w:pos="645" w:val="left" w:leader="none"/>
          <w:tab w:pos="646" w:val="left" w:leader="none"/>
        </w:tabs>
        <w:spacing w:line="232" w:lineRule="auto" w:before="1" w:after="0"/>
        <w:ind w:left="165" w:right="175" w:firstLine="0"/>
        <w:jc w:val="left"/>
        <w:rPr>
          <w:sz w:val="18"/>
        </w:rPr>
      </w:pPr>
      <w:r>
        <w:rPr>
          <w:sz w:val="18"/>
        </w:rPr>
        <w:t>The Committee noted that the UK was better placed than some other countries to allow monetary policy to accommodate the first</w:t>
      </w:r>
      <w:r>
        <w:rPr>
          <w:spacing w:val="-5"/>
          <w:sz w:val="18"/>
        </w:rPr>
        <w:t> </w:t>
      </w:r>
      <w:r>
        <w:rPr>
          <w:sz w:val="18"/>
        </w:rPr>
        <w:t>round</w:t>
      </w:r>
      <w:r>
        <w:rPr>
          <w:spacing w:val="-5"/>
          <w:sz w:val="18"/>
        </w:rPr>
        <w:t> </w:t>
      </w:r>
      <w:r>
        <w:rPr>
          <w:sz w:val="18"/>
        </w:rPr>
        <w:t>effects</w:t>
      </w:r>
      <w:r>
        <w:rPr>
          <w:spacing w:val="-5"/>
          <w:sz w:val="18"/>
        </w:rPr>
        <w:t> </w:t>
      </w:r>
      <w:r>
        <w:rPr>
          <w:sz w:val="18"/>
        </w:rPr>
        <w:t>of</w:t>
      </w:r>
      <w:r>
        <w:rPr>
          <w:spacing w:val="-5"/>
          <w:sz w:val="18"/>
        </w:rPr>
        <w:t> </w:t>
      </w:r>
      <w:r>
        <w:rPr>
          <w:sz w:val="18"/>
        </w:rPr>
        <w:t>any</w:t>
      </w:r>
      <w:r>
        <w:rPr>
          <w:spacing w:val="-5"/>
          <w:sz w:val="18"/>
        </w:rPr>
        <w:t> </w:t>
      </w:r>
      <w:r>
        <w:rPr>
          <w:sz w:val="18"/>
        </w:rPr>
        <w:t>supply-related</w:t>
      </w:r>
      <w:r>
        <w:rPr>
          <w:spacing w:val="-5"/>
          <w:sz w:val="18"/>
        </w:rPr>
        <w:t> </w:t>
      </w:r>
      <w:r>
        <w:rPr>
          <w:sz w:val="18"/>
        </w:rPr>
        <w:t>shock</w:t>
      </w:r>
      <w:r>
        <w:rPr>
          <w:spacing w:val="-5"/>
          <w:sz w:val="18"/>
        </w:rPr>
        <w:t> </w:t>
      </w:r>
      <w:r>
        <w:rPr>
          <w:sz w:val="18"/>
        </w:rPr>
        <w:t>to</w:t>
      </w:r>
      <w:r>
        <w:rPr>
          <w:spacing w:val="-5"/>
          <w:sz w:val="18"/>
        </w:rPr>
        <w:t> </w:t>
      </w:r>
      <w:r>
        <w:rPr>
          <w:sz w:val="18"/>
        </w:rPr>
        <w:t>oil</w:t>
      </w:r>
      <w:r>
        <w:rPr>
          <w:spacing w:val="-5"/>
          <w:sz w:val="18"/>
        </w:rPr>
        <w:t> </w:t>
      </w:r>
      <w:r>
        <w:rPr>
          <w:sz w:val="18"/>
        </w:rPr>
        <w:t>prices,</w:t>
      </w:r>
      <w:r>
        <w:rPr>
          <w:spacing w:val="-5"/>
          <w:sz w:val="18"/>
        </w:rPr>
        <w:t> </w:t>
      </w:r>
      <w:r>
        <w:rPr>
          <w:sz w:val="18"/>
        </w:rPr>
        <w:t>with</w:t>
      </w:r>
      <w:r>
        <w:rPr>
          <w:spacing w:val="-5"/>
          <w:sz w:val="18"/>
        </w:rPr>
        <w:t> </w:t>
      </w:r>
      <w:r>
        <w:rPr>
          <w:sz w:val="18"/>
        </w:rPr>
        <w:t>the economy currently operating at close to capacity and with inflation somewhat below target. In addition, in contrast to most OECD countries, the UK’s position as a net oil exporter meant that the balance of payments and fiscal effects of an oil price rise were likely to be</w:t>
      </w:r>
      <w:r>
        <w:rPr>
          <w:spacing w:val="-4"/>
          <w:sz w:val="18"/>
        </w:rPr>
        <w:t> </w:t>
      </w:r>
      <w:r>
        <w:rPr>
          <w:sz w:val="18"/>
        </w:rPr>
        <w:t>positive.</w:t>
      </w:r>
    </w:p>
    <w:p>
      <w:pPr>
        <w:pStyle w:val="BodyText"/>
        <w:spacing w:before="9"/>
        <w:rPr>
          <w:sz w:val="16"/>
        </w:rPr>
      </w:pPr>
    </w:p>
    <w:p>
      <w:pPr>
        <w:pStyle w:val="ListParagraph"/>
        <w:numPr>
          <w:ilvl w:val="0"/>
          <w:numId w:val="54"/>
        </w:numPr>
        <w:tabs>
          <w:tab w:pos="645" w:val="left" w:leader="none"/>
          <w:tab w:pos="646" w:val="left" w:leader="none"/>
        </w:tabs>
        <w:spacing w:line="232" w:lineRule="auto" w:before="0" w:after="0"/>
        <w:ind w:left="165" w:right="195" w:firstLine="0"/>
        <w:jc w:val="left"/>
        <w:rPr>
          <w:sz w:val="18"/>
        </w:rPr>
      </w:pPr>
      <w:r>
        <w:rPr>
          <w:sz w:val="18"/>
        </w:rPr>
        <w:t>The consensus of outside forecasters was that the increases in the price of oil since the spring would reduce world activity by about half a per cent. This was a somewhat more muted effect than had followed similar price movements in the past, reflecting reductions in the intensity of oil use since earlier shocks and the fact that the real price of oil remained significantly below previous peaks. In any case, some slowing of the world economy had been expected, and indications that it was now occurring simply confirmed those expectations. In addition, it was possible now that the OPEC countries would spend more of the extra income generated by the higher oil prices, because of changes in their financial positions. This would provide a larger offsetting boost to world export growth than had previously been the</w:t>
      </w:r>
      <w:r>
        <w:rPr>
          <w:spacing w:val="-19"/>
          <w:sz w:val="18"/>
        </w:rPr>
        <w:t> </w:t>
      </w:r>
      <w:r>
        <w:rPr>
          <w:sz w:val="18"/>
        </w:rPr>
        <w:t>case.</w:t>
      </w:r>
    </w:p>
    <w:p>
      <w:pPr>
        <w:pStyle w:val="BodyText"/>
        <w:spacing w:before="6"/>
        <w:rPr>
          <w:sz w:val="16"/>
        </w:rPr>
      </w:pPr>
    </w:p>
    <w:p>
      <w:pPr>
        <w:pStyle w:val="ListParagraph"/>
        <w:numPr>
          <w:ilvl w:val="0"/>
          <w:numId w:val="54"/>
        </w:numPr>
        <w:tabs>
          <w:tab w:pos="645" w:val="left" w:leader="none"/>
          <w:tab w:pos="646" w:val="left" w:leader="none"/>
        </w:tabs>
        <w:spacing w:line="232" w:lineRule="auto" w:before="0" w:after="0"/>
        <w:ind w:left="165" w:right="184" w:firstLine="0"/>
        <w:jc w:val="left"/>
        <w:rPr>
          <w:sz w:val="18"/>
        </w:rPr>
      </w:pPr>
      <w:r>
        <w:rPr>
          <w:sz w:val="18"/>
        </w:rPr>
        <w:t>Some members of the Committee, however, assessed the recent news as pointing to a risk of a sharper slowdown in world growth than had seemed likely at the time of the previous meeting. Market expectations for interest rates in the G7 countries had fallen over the past month, and the OECD leading indicator had now been falling since January. Imbalances in the world economy persisted and might be increasing. The benign forecasts for the world outlook were predicated on a soft landing in the US together with stronger activity growth in Europe. There were some indications that that outturn might not be realised, with signs of slowdown in both the euro area and the United States. Second quarter growth in the</w:t>
      </w:r>
      <w:r>
        <w:rPr>
          <w:spacing w:val="-5"/>
          <w:sz w:val="18"/>
        </w:rPr>
        <w:t> </w:t>
      </w:r>
      <w:r>
        <w:rPr>
          <w:sz w:val="18"/>
        </w:rPr>
        <w:t>euro</w:t>
      </w:r>
      <w:r>
        <w:rPr>
          <w:spacing w:val="-4"/>
          <w:sz w:val="18"/>
        </w:rPr>
        <w:t> </w:t>
      </w:r>
      <w:r>
        <w:rPr>
          <w:sz w:val="18"/>
        </w:rPr>
        <w:t>area</w:t>
      </w:r>
      <w:r>
        <w:rPr>
          <w:spacing w:val="-4"/>
          <w:sz w:val="18"/>
        </w:rPr>
        <w:t> </w:t>
      </w:r>
      <w:r>
        <w:rPr>
          <w:sz w:val="18"/>
        </w:rPr>
        <w:t>had</w:t>
      </w:r>
      <w:r>
        <w:rPr>
          <w:spacing w:val="-4"/>
          <w:sz w:val="18"/>
        </w:rPr>
        <w:t> </w:t>
      </w:r>
      <w:r>
        <w:rPr>
          <w:sz w:val="18"/>
        </w:rPr>
        <w:t>been</w:t>
      </w:r>
      <w:r>
        <w:rPr>
          <w:spacing w:val="-4"/>
          <w:sz w:val="18"/>
        </w:rPr>
        <w:t> </w:t>
      </w:r>
      <w:r>
        <w:rPr>
          <w:sz w:val="18"/>
        </w:rPr>
        <w:t>0.9%,</w:t>
      </w:r>
      <w:r>
        <w:rPr>
          <w:spacing w:val="-4"/>
          <w:sz w:val="18"/>
        </w:rPr>
        <w:t> </w:t>
      </w:r>
      <w:r>
        <w:rPr>
          <w:sz w:val="18"/>
        </w:rPr>
        <w:t>rather</w:t>
      </w:r>
      <w:r>
        <w:rPr>
          <w:spacing w:val="-4"/>
          <w:sz w:val="18"/>
        </w:rPr>
        <w:t> </w:t>
      </w:r>
      <w:r>
        <w:rPr>
          <w:sz w:val="18"/>
        </w:rPr>
        <w:t>lower</w:t>
      </w:r>
      <w:r>
        <w:rPr>
          <w:spacing w:val="-4"/>
          <w:sz w:val="18"/>
        </w:rPr>
        <w:t> </w:t>
      </w:r>
      <w:r>
        <w:rPr>
          <w:sz w:val="18"/>
        </w:rPr>
        <w:t>than</w:t>
      </w:r>
      <w:r>
        <w:rPr>
          <w:spacing w:val="-4"/>
          <w:sz w:val="18"/>
        </w:rPr>
        <w:t> </w:t>
      </w:r>
      <w:r>
        <w:rPr>
          <w:sz w:val="18"/>
        </w:rPr>
        <w:t>was</w:t>
      </w:r>
      <w:r>
        <w:rPr>
          <w:spacing w:val="-4"/>
          <w:sz w:val="18"/>
        </w:rPr>
        <w:t> </w:t>
      </w:r>
      <w:r>
        <w:rPr>
          <w:sz w:val="18"/>
        </w:rPr>
        <w:t>projected</w:t>
      </w:r>
      <w:r>
        <w:rPr>
          <w:spacing w:val="-4"/>
          <w:sz w:val="18"/>
        </w:rPr>
        <w:t> </w:t>
      </w:r>
      <w:r>
        <w:rPr>
          <w:sz w:val="18"/>
        </w:rPr>
        <w:t>at</w:t>
      </w:r>
      <w:r>
        <w:rPr>
          <w:spacing w:val="-4"/>
          <w:sz w:val="18"/>
        </w:rPr>
        <w:t> </w:t>
      </w:r>
      <w:r>
        <w:rPr>
          <w:sz w:val="18"/>
        </w:rPr>
        <w:t>the</w:t>
      </w:r>
    </w:p>
    <w:p>
      <w:pPr>
        <w:spacing w:after="0" w:line="232" w:lineRule="auto"/>
        <w:jc w:val="left"/>
        <w:rPr>
          <w:sz w:val="18"/>
        </w:rPr>
        <w:sectPr>
          <w:type w:val="continuous"/>
          <w:pgSz w:w="11900" w:h="16840"/>
          <w:pgMar w:top="1260" w:bottom="280" w:left="640" w:right="640"/>
          <w:cols w:num="2" w:equalWidth="0">
            <w:col w:w="5113" w:space="277"/>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spacing w:line="232" w:lineRule="auto" w:before="1"/>
        <w:ind w:left="174" w:right="75" w:firstLine="0"/>
        <w:jc w:val="left"/>
        <w:rPr>
          <w:sz w:val="18"/>
        </w:rPr>
      </w:pPr>
      <w:r>
        <w:rPr>
          <w:sz w:val="18"/>
        </w:rPr>
        <w:t>time of the August </w:t>
      </w:r>
      <w:r>
        <w:rPr>
          <w:i/>
          <w:sz w:val="18"/>
        </w:rPr>
        <w:t>Inflation Report</w:t>
      </w:r>
      <w:r>
        <w:rPr>
          <w:sz w:val="18"/>
        </w:rPr>
        <w:t>. Retail sales data and confidence surveys suggested that growth in the euro area might have slowed significantly in the third quarter. In contrast, activity had been stronger in the United States. The risks to the world outlook might on balance therefore have increased. Higher oil prices might depress consumer and investment spending. The marked falls in equity prices over the month could be an early indication of further slowdown in prospect. The possibility of further sharp movements in oil prices suggested that confidence could weaken and could lead to delays in planned investment.</w:t>
      </w:r>
    </w:p>
    <w:p>
      <w:pPr>
        <w:spacing w:line="232" w:lineRule="auto" w:before="0"/>
        <w:ind w:left="174" w:right="599" w:firstLine="0"/>
        <w:jc w:val="left"/>
        <w:rPr>
          <w:sz w:val="18"/>
        </w:rPr>
      </w:pPr>
      <w:r>
        <w:rPr>
          <w:sz w:val="18"/>
        </w:rPr>
        <w:t>These risks would need to be examined in the context of the forecast for the November </w:t>
      </w:r>
      <w:r>
        <w:rPr>
          <w:i/>
          <w:sz w:val="18"/>
        </w:rPr>
        <w:t>Inflation Report</w:t>
      </w:r>
      <w:r>
        <w:rPr>
          <w:sz w:val="18"/>
        </w:rPr>
        <w:t>.</w:t>
      </w:r>
    </w:p>
    <w:p>
      <w:pPr>
        <w:pStyle w:val="BodyText"/>
        <w:spacing w:before="9"/>
        <w:rPr>
          <w:sz w:val="19"/>
        </w:rPr>
      </w:pPr>
    </w:p>
    <w:p>
      <w:pPr>
        <w:spacing w:before="0"/>
        <w:ind w:left="174" w:right="0" w:firstLine="0"/>
        <w:jc w:val="left"/>
        <w:rPr>
          <w:b/>
          <w:sz w:val="22"/>
        </w:rPr>
      </w:pPr>
      <w:r>
        <w:rPr>
          <w:b/>
          <w:color w:val="009391"/>
          <w:sz w:val="22"/>
        </w:rPr>
        <w:t>Monetary and financial conditions</w:t>
      </w:r>
    </w:p>
    <w:p>
      <w:pPr>
        <w:pStyle w:val="ListParagraph"/>
        <w:numPr>
          <w:ilvl w:val="0"/>
          <w:numId w:val="54"/>
        </w:numPr>
        <w:tabs>
          <w:tab w:pos="654" w:val="left" w:leader="none"/>
          <w:tab w:pos="655" w:val="left" w:leader="none"/>
        </w:tabs>
        <w:spacing w:line="232" w:lineRule="auto" w:before="110" w:after="0"/>
        <w:ind w:left="174" w:right="52" w:firstLine="0"/>
        <w:jc w:val="left"/>
        <w:rPr>
          <w:sz w:val="18"/>
        </w:rPr>
      </w:pPr>
      <w:r>
        <w:rPr>
          <w:sz w:val="18"/>
        </w:rPr>
        <w:t>Monetary data continued to show strong growth. Annual growth in notes and coin had increased by 1.8 percentage points to 8.7% in September, though perhaps a third of this increase reflected banks’ precautionary build-up of cash holdings at the time of the disruption to fuel supplies. M4 growth in August had increased to 8.8%, its highest rate for two years, affected in part by transactions related to 3G telecommunications licences and to Lloyds TSB’s takeover of Scottish Widows. Aggregate Divisia money growth was rising steadily and now stood at just under 6%. Total credit growth,</w:t>
      </w:r>
      <w:r>
        <w:rPr>
          <w:spacing w:val="-5"/>
          <w:sz w:val="18"/>
        </w:rPr>
        <w:t> </w:t>
      </w:r>
      <w:r>
        <w:rPr>
          <w:sz w:val="18"/>
        </w:rPr>
        <w:t>at</w:t>
      </w:r>
      <w:r>
        <w:rPr>
          <w:spacing w:val="-5"/>
          <w:sz w:val="18"/>
        </w:rPr>
        <w:t> </w:t>
      </w:r>
      <w:r>
        <w:rPr>
          <w:sz w:val="18"/>
        </w:rPr>
        <w:t>13%,</w:t>
      </w:r>
      <w:r>
        <w:rPr>
          <w:spacing w:val="-5"/>
          <w:sz w:val="18"/>
        </w:rPr>
        <w:t> </w:t>
      </w:r>
      <w:r>
        <w:rPr>
          <w:sz w:val="18"/>
        </w:rPr>
        <w:t>was</w:t>
      </w:r>
      <w:r>
        <w:rPr>
          <w:spacing w:val="-5"/>
          <w:sz w:val="18"/>
        </w:rPr>
        <w:t> </w:t>
      </w:r>
      <w:r>
        <w:rPr>
          <w:sz w:val="18"/>
        </w:rPr>
        <w:t>the</w:t>
      </w:r>
      <w:r>
        <w:rPr>
          <w:spacing w:val="-5"/>
          <w:sz w:val="18"/>
        </w:rPr>
        <w:t> </w:t>
      </w:r>
      <w:r>
        <w:rPr>
          <w:sz w:val="18"/>
        </w:rPr>
        <w:t>strongest</w:t>
      </w:r>
      <w:r>
        <w:rPr>
          <w:spacing w:val="-5"/>
          <w:sz w:val="18"/>
        </w:rPr>
        <w:t> </w:t>
      </w:r>
      <w:r>
        <w:rPr>
          <w:sz w:val="18"/>
        </w:rPr>
        <w:t>since</w:t>
      </w:r>
      <w:r>
        <w:rPr>
          <w:spacing w:val="-5"/>
          <w:sz w:val="18"/>
        </w:rPr>
        <w:t> </w:t>
      </w:r>
      <w:r>
        <w:rPr>
          <w:sz w:val="18"/>
        </w:rPr>
        <w:t>1991</w:t>
      </w:r>
      <w:r>
        <w:rPr>
          <w:spacing w:val="-5"/>
          <w:sz w:val="18"/>
        </w:rPr>
        <w:t> </w:t>
      </w:r>
      <w:r>
        <w:rPr>
          <w:sz w:val="18"/>
        </w:rPr>
        <w:t>and</w:t>
      </w:r>
      <w:r>
        <w:rPr>
          <w:spacing w:val="-5"/>
          <w:sz w:val="18"/>
        </w:rPr>
        <w:t> </w:t>
      </w:r>
      <w:r>
        <w:rPr>
          <w:sz w:val="18"/>
        </w:rPr>
        <w:t>though</w:t>
      </w:r>
      <w:r>
        <w:rPr>
          <w:spacing w:val="-5"/>
          <w:sz w:val="18"/>
        </w:rPr>
        <w:t> </w:t>
      </w:r>
      <w:r>
        <w:rPr>
          <w:sz w:val="18"/>
        </w:rPr>
        <w:t>household M4 growth had eased a little it remained at levels last seen a decade ago. Secured lending to households had returned to the level established in the middle of 1999, reversing the dip in July. Mortgage equity withdrawal had been positive for two quarters and was expected to continue to support consumption in the coming months. Recent rapid growth in the level of corporate borrowing seemed to be related principally to the financing of merger and acquisition activity and to the purchase of 3G telecommunications licences, so was not inconsistent with the rather weak outturns for business investment growth in recent quarters. The overall picture was therefore somewhat stronger than a month ago, but remained broadly consistent with expectations at the time of the August </w:t>
      </w:r>
      <w:r>
        <w:rPr>
          <w:i/>
          <w:sz w:val="18"/>
        </w:rPr>
        <w:t>Inflation</w:t>
      </w:r>
      <w:r>
        <w:rPr>
          <w:i/>
          <w:spacing w:val="-2"/>
          <w:sz w:val="18"/>
        </w:rPr>
        <w:t> </w:t>
      </w:r>
      <w:r>
        <w:rPr>
          <w:i/>
          <w:sz w:val="18"/>
        </w:rPr>
        <w:t>Report</w:t>
      </w:r>
      <w:r>
        <w:rPr>
          <w:sz w:val="18"/>
        </w:rPr>
        <w:t>.</w:t>
      </w:r>
    </w:p>
    <w:p>
      <w:pPr>
        <w:pStyle w:val="BodyText"/>
        <w:spacing w:before="9"/>
        <w:rPr>
          <w:sz w:val="15"/>
        </w:rPr>
      </w:pPr>
    </w:p>
    <w:p>
      <w:pPr>
        <w:pStyle w:val="ListParagraph"/>
        <w:numPr>
          <w:ilvl w:val="0"/>
          <w:numId w:val="54"/>
        </w:numPr>
        <w:tabs>
          <w:tab w:pos="654" w:val="left" w:leader="none"/>
          <w:tab w:pos="655" w:val="left" w:leader="none"/>
        </w:tabs>
        <w:spacing w:line="232" w:lineRule="auto" w:before="1" w:after="0"/>
        <w:ind w:left="174" w:right="68" w:firstLine="0"/>
        <w:jc w:val="left"/>
        <w:rPr>
          <w:sz w:val="18"/>
        </w:rPr>
      </w:pPr>
      <w:r>
        <w:rPr>
          <w:sz w:val="18"/>
        </w:rPr>
        <w:t>Equity prices had fallen by about 5% over the month, across a range of countries, but the reasons for this were not entirely clear. In the UK, it was possible that part of the fall was related to the increase in longer term interest rates. But that was not the case in other countries which had experienced a similar fall in equity prices. Profit warnings, especially in the high-technology sectors, had increased. To some, the common factor was the recognition by these markets of the possibility of a sharper slowdown in the world economy than had previously been expected. The interaction between the oil price and the equities market was important and the market could recover if the oil price remained stable. But any further rise in the price of oil could precipitate a loss of confidence and prompt a sharp fall in equity</w:t>
      </w:r>
      <w:r>
        <w:rPr>
          <w:spacing w:val="-11"/>
          <w:sz w:val="18"/>
        </w:rPr>
        <w:t> </w:t>
      </w:r>
      <w:r>
        <w:rPr>
          <w:sz w:val="18"/>
        </w:rPr>
        <w:t>prices.</w:t>
      </w:r>
    </w:p>
    <w:p>
      <w:pPr>
        <w:pStyle w:val="BodyText"/>
        <w:spacing w:before="5"/>
        <w:rPr>
          <w:sz w:val="16"/>
        </w:rPr>
      </w:pPr>
    </w:p>
    <w:p>
      <w:pPr>
        <w:pStyle w:val="ListParagraph"/>
        <w:numPr>
          <w:ilvl w:val="0"/>
          <w:numId w:val="54"/>
        </w:numPr>
        <w:tabs>
          <w:tab w:pos="654" w:val="left" w:leader="none"/>
          <w:tab w:pos="655" w:val="left" w:leader="none"/>
        </w:tabs>
        <w:spacing w:line="232" w:lineRule="auto" w:before="0" w:after="0"/>
        <w:ind w:left="174" w:right="73" w:firstLine="0"/>
        <w:jc w:val="left"/>
        <w:rPr>
          <w:sz w:val="18"/>
        </w:rPr>
      </w:pPr>
      <w:r>
        <w:rPr>
          <w:sz w:val="18"/>
        </w:rPr>
        <w:t>Sterling’s effective exchange rate was nearly 2% above the level assumed at the time of the August </w:t>
      </w:r>
      <w:r>
        <w:rPr>
          <w:i/>
          <w:sz w:val="18"/>
        </w:rPr>
        <w:t>Inflation Report </w:t>
      </w:r>
      <w:r>
        <w:rPr>
          <w:sz w:val="18"/>
        </w:rPr>
        <w:t>and a little over 1% above its level at the time of the Committee’s previous meeting. Against this background, the Committee discussed recent developments in the foreign exchange markets. One explanation of the strength of the US dollar was that it reflected the pressure of capital flows. These, it was argued, were taking place in response to beneficial supply side developments in the US economy and the profitable investment opportunities they had created. On this view, the strong dollar exchange rate and the US current account deficit were necessary counterparts of the capital inflows and could be sustained until those profitable opportunities were</w:t>
      </w:r>
      <w:r>
        <w:rPr>
          <w:spacing w:val="-23"/>
          <w:sz w:val="18"/>
        </w:rPr>
        <w:t> </w:t>
      </w:r>
      <w:r>
        <w:rPr>
          <w:sz w:val="18"/>
        </w:rPr>
        <w:t>exhausted.</w:t>
      </w:r>
    </w:p>
    <w:p>
      <w:pPr>
        <w:spacing w:line="232" w:lineRule="auto" w:before="0"/>
        <w:ind w:left="174" w:right="54" w:firstLine="0"/>
        <w:jc w:val="left"/>
        <w:rPr>
          <w:sz w:val="18"/>
        </w:rPr>
      </w:pPr>
      <w:r>
        <w:rPr>
          <w:sz w:val="18"/>
        </w:rPr>
        <w:t>There was as yet little evidence to suggest any slowing in this process</w:t>
      </w:r>
      <w:r>
        <w:rPr>
          <w:spacing w:val="-6"/>
          <w:sz w:val="18"/>
        </w:rPr>
        <w:t> </w:t>
      </w:r>
      <w:r>
        <w:rPr>
          <w:sz w:val="18"/>
        </w:rPr>
        <w:t>of</w:t>
      </w:r>
      <w:r>
        <w:rPr>
          <w:spacing w:val="-5"/>
          <w:sz w:val="18"/>
        </w:rPr>
        <w:t> </w:t>
      </w:r>
      <w:r>
        <w:rPr>
          <w:sz w:val="18"/>
        </w:rPr>
        <w:t>the</w:t>
      </w:r>
      <w:r>
        <w:rPr>
          <w:spacing w:val="-5"/>
          <w:sz w:val="18"/>
        </w:rPr>
        <w:t> </w:t>
      </w:r>
      <w:r>
        <w:rPr>
          <w:sz w:val="18"/>
        </w:rPr>
        <w:t>reallocation</w:t>
      </w:r>
      <w:r>
        <w:rPr>
          <w:spacing w:val="-5"/>
          <w:sz w:val="18"/>
        </w:rPr>
        <w:t> </w:t>
      </w:r>
      <w:r>
        <w:rPr>
          <w:sz w:val="18"/>
        </w:rPr>
        <w:t>of</w:t>
      </w:r>
      <w:r>
        <w:rPr>
          <w:spacing w:val="-5"/>
          <w:sz w:val="18"/>
        </w:rPr>
        <w:t> </w:t>
      </w:r>
      <w:r>
        <w:rPr>
          <w:sz w:val="18"/>
        </w:rPr>
        <w:t>capital,</w:t>
      </w:r>
      <w:r>
        <w:rPr>
          <w:spacing w:val="-5"/>
          <w:sz w:val="18"/>
        </w:rPr>
        <w:t> </w:t>
      </w:r>
      <w:r>
        <w:rPr>
          <w:sz w:val="18"/>
        </w:rPr>
        <w:t>which</w:t>
      </w:r>
      <w:r>
        <w:rPr>
          <w:spacing w:val="-6"/>
          <w:sz w:val="18"/>
        </w:rPr>
        <w:t> </w:t>
      </w:r>
      <w:r>
        <w:rPr>
          <w:sz w:val="18"/>
        </w:rPr>
        <w:t>some</w:t>
      </w:r>
      <w:r>
        <w:rPr>
          <w:spacing w:val="-5"/>
          <w:sz w:val="18"/>
        </w:rPr>
        <w:t> </w:t>
      </w:r>
      <w:r>
        <w:rPr>
          <w:sz w:val="18"/>
        </w:rPr>
        <w:t>on</w:t>
      </w:r>
      <w:r>
        <w:rPr>
          <w:spacing w:val="-5"/>
          <w:sz w:val="18"/>
        </w:rPr>
        <w:t> </w:t>
      </w:r>
      <w:r>
        <w:rPr>
          <w:sz w:val="18"/>
        </w:rPr>
        <w:t>the</w:t>
      </w:r>
      <w:r>
        <w:rPr>
          <w:spacing w:val="-5"/>
          <w:sz w:val="18"/>
        </w:rPr>
        <w:t> </w:t>
      </w:r>
      <w:r>
        <w:rPr>
          <w:sz w:val="18"/>
        </w:rPr>
        <w:t>Committee felt gave greater credence to the view that a sustained period of faster US growth could be expected.  Others however suggested that even quite small changes in expected productivity growth could have large effects both on equity prices and on capital flows, so were less confident that the dollar would remain strong.</w:t>
      </w:r>
      <w:r>
        <w:rPr>
          <w:spacing w:val="3"/>
          <w:sz w:val="18"/>
        </w:rPr>
        <w:t> </w:t>
      </w:r>
      <w:r>
        <w:rPr>
          <w:sz w:val="18"/>
        </w:rPr>
        <w:t>While</w:t>
      </w:r>
    </w:p>
    <w:p>
      <w:pPr>
        <w:pStyle w:val="BodyText"/>
        <w:spacing w:before="7"/>
        <w:rPr>
          <w:sz w:val="19"/>
        </w:rPr>
      </w:pPr>
      <w:r>
        <w:rPr/>
        <w:br w:type="column"/>
      </w:r>
      <w:r>
        <w:rPr>
          <w:sz w:val="19"/>
        </w:rPr>
      </w:r>
    </w:p>
    <w:p>
      <w:pPr>
        <w:spacing w:line="232" w:lineRule="auto" w:before="0"/>
        <w:ind w:left="174" w:right="187" w:firstLine="0"/>
        <w:jc w:val="left"/>
        <w:rPr>
          <w:sz w:val="18"/>
        </w:rPr>
      </w:pPr>
      <w:r>
        <w:rPr>
          <w:sz w:val="18"/>
        </w:rPr>
        <w:t>such effects might indeed account for the US dollar’s strength against the euro, they were less convincing as an explanation of the weakness of the euro against sterling or the yen. It therefore remained difficult to find a satisfactory explanation of the current constellation of exchange rates.</w:t>
      </w:r>
    </w:p>
    <w:p>
      <w:pPr>
        <w:pStyle w:val="BodyText"/>
        <w:spacing w:before="4"/>
        <w:rPr>
          <w:sz w:val="20"/>
        </w:rPr>
      </w:pPr>
    </w:p>
    <w:p>
      <w:pPr>
        <w:spacing w:before="0"/>
        <w:ind w:left="174" w:right="0" w:firstLine="0"/>
        <w:jc w:val="left"/>
        <w:rPr>
          <w:b/>
          <w:sz w:val="22"/>
        </w:rPr>
      </w:pPr>
      <w:r>
        <w:rPr>
          <w:b/>
          <w:color w:val="009391"/>
          <w:sz w:val="22"/>
        </w:rPr>
        <w:t>Demand and output</w:t>
      </w:r>
    </w:p>
    <w:p>
      <w:pPr>
        <w:pStyle w:val="ListParagraph"/>
        <w:numPr>
          <w:ilvl w:val="0"/>
          <w:numId w:val="54"/>
        </w:numPr>
        <w:tabs>
          <w:tab w:pos="654" w:val="left" w:leader="none"/>
          <w:tab w:pos="655" w:val="left" w:leader="none"/>
        </w:tabs>
        <w:spacing w:line="232" w:lineRule="auto" w:before="110" w:after="0"/>
        <w:ind w:left="174" w:right="176" w:firstLine="0"/>
        <w:jc w:val="left"/>
        <w:rPr>
          <w:sz w:val="18"/>
        </w:rPr>
      </w:pPr>
      <w:r>
        <w:rPr>
          <w:sz w:val="18"/>
        </w:rPr>
        <w:t>The Committee had assumed in its projections in the August </w:t>
      </w:r>
      <w:r>
        <w:rPr>
          <w:i/>
          <w:sz w:val="18"/>
        </w:rPr>
        <w:t>Inflation Report </w:t>
      </w:r>
      <w:r>
        <w:rPr>
          <w:sz w:val="18"/>
        </w:rPr>
        <w:t>that consumer spending growth would begin to slow, as households began to rebuild their balance sheets and savings returned to a more normal level in relation to income and wealth. This would be necessary if government expenditure was to increase</w:t>
      </w:r>
      <w:r>
        <w:rPr>
          <w:spacing w:val="-5"/>
          <w:sz w:val="18"/>
        </w:rPr>
        <w:t> </w:t>
      </w:r>
      <w:r>
        <w:rPr>
          <w:sz w:val="18"/>
        </w:rPr>
        <w:t>in</w:t>
      </w:r>
      <w:r>
        <w:rPr>
          <w:spacing w:val="-4"/>
          <w:sz w:val="18"/>
        </w:rPr>
        <w:t> </w:t>
      </w:r>
      <w:r>
        <w:rPr>
          <w:sz w:val="18"/>
        </w:rPr>
        <w:t>line</w:t>
      </w:r>
      <w:r>
        <w:rPr>
          <w:spacing w:val="-4"/>
          <w:sz w:val="18"/>
        </w:rPr>
        <w:t> </w:t>
      </w:r>
      <w:r>
        <w:rPr>
          <w:sz w:val="18"/>
        </w:rPr>
        <w:t>with</w:t>
      </w:r>
      <w:r>
        <w:rPr>
          <w:spacing w:val="-5"/>
          <w:sz w:val="18"/>
        </w:rPr>
        <w:t> </w:t>
      </w:r>
      <w:r>
        <w:rPr>
          <w:sz w:val="18"/>
        </w:rPr>
        <w:t>the</w:t>
      </w:r>
      <w:r>
        <w:rPr>
          <w:spacing w:val="-4"/>
          <w:sz w:val="18"/>
        </w:rPr>
        <w:t> </w:t>
      </w:r>
      <w:r>
        <w:rPr>
          <w:sz w:val="18"/>
        </w:rPr>
        <w:t>plans</w:t>
      </w:r>
      <w:r>
        <w:rPr>
          <w:spacing w:val="-4"/>
          <w:sz w:val="18"/>
        </w:rPr>
        <w:t> </w:t>
      </w:r>
      <w:r>
        <w:rPr>
          <w:sz w:val="18"/>
        </w:rPr>
        <w:t>outlined</w:t>
      </w:r>
      <w:r>
        <w:rPr>
          <w:spacing w:val="-5"/>
          <w:sz w:val="18"/>
        </w:rPr>
        <w:t> </w:t>
      </w:r>
      <w:r>
        <w:rPr>
          <w:sz w:val="18"/>
        </w:rPr>
        <w:t>in</w:t>
      </w:r>
      <w:r>
        <w:rPr>
          <w:spacing w:val="-4"/>
          <w:sz w:val="18"/>
        </w:rPr>
        <w:t> </w:t>
      </w:r>
      <w:r>
        <w:rPr>
          <w:sz w:val="18"/>
        </w:rPr>
        <w:t>the</w:t>
      </w:r>
      <w:r>
        <w:rPr>
          <w:spacing w:val="-4"/>
          <w:sz w:val="18"/>
        </w:rPr>
        <w:t> </w:t>
      </w:r>
      <w:r>
        <w:rPr>
          <w:sz w:val="18"/>
        </w:rPr>
        <w:t>March</w:t>
      </w:r>
      <w:r>
        <w:rPr>
          <w:spacing w:val="-5"/>
          <w:sz w:val="18"/>
        </w:rPr>
        <w:t> </w:t>
      </w:r>
      <w:r>
        <w:rPr>
          <w:sz w:val="18"/>
        </w:rPr>
        <w:t>Budget</w:t>
      </w:r>
      <w:r>
        <w:rPr>
          <w:spacing w:val="-4"/>
          <w:sz w:val="18"/>
        </w:rPr>
        <w:t> </w:t>
      </w:r>
      <w:r>
        <w:rPr>
          <w:sz w:val="18"/>
        </w:rPr>
        <w:t>and</w:t>
      </w:r>
      <w:r>
        <w:rPr>
          <w:spacing w:val="-4"/>
          <w:sz w:val="18"/>
        </w:rPr>
        <w:t> </w:t>
      </w:r>
      <w:r>
        <w:rPr>
          <w:sz w:val="18"/>
        </w:rPr>
        <w:t>the Chancellor’s subsequent Spending Review, without putting undue pressure on the supply capacity of the economy. So the evolution of the balance between private sector demand and government spending was a key issue for the inflationary</w:t>
      </w:r>
      <w:r>
        <w:rPr>
          <w:spacing w:val="-18"/>
          <w:sz w:val="18"/>
        </w:rPr>
        <w:t> </w:t>
      </w:r>
      <w:r>
        <w:rPr>
          <w:sz w:val="18"/>
        </w:rPr>
        <w:t>outlook.</w:t>
      </w:r>
    </w:p>
    <w:p>
      <w:pPr>
        <w:pStyle w:val="BodyText"/>
        <w:spacing w:before="8"/>
        <w:rPr>
          <w:sz w:val="16"/>
        </w:rPr>
      </w:pPr>
    </w:p>
    <w:p>
      <w:pPr>
        <w:pStyle w:val="ListParagraph"/>
        <w:numPr>
          <w:ilvl w:val="0"/>
          <w:numId w:val="54"/>
        </w:numPr>
        <w:tabs>
          <w:tab w:pos="654" w:val="left" w:leader="none"/>
          <w:tab w:pos="655" w:val="left" w:leader="none"/>
        </w:tabs>
        <w:spacing w:line="232" w:lineRule="auto" w:before="0" w:after="0"/>
        <w:ind w:left="174" w:right="271" w:firstLine="0"/>
        <w:jc w:val="left"/>
        <w:rPr>
          <w:sz w:val="18"/>
        </w:rPr>
      </w:pPr>
      <w:r>
        <w:rPr>
          <w:sz w:val="18"/>
        </w:rPr>
        <w:t>The news over the month suggested that the domestic demand picture remained broadly in line with this projection. The National Accounts data for the second quarter confirmed earlier estimates of quarterly GDP growth at 0.9%, though the level of GDP in 1999 had been revised up by 0.1 percentage point. Government spending in the second quarter was rather stronger than previously estimated, but fiscal outturns were so far in line with the Government’s budget projections. The net trade position was a little weaker. None of this represented a significant change to the overall</w:t>
      </w:r>
      <w:r>
        <w:rPr>
          <w:spacing w:val="-4"/>
          <w:sz w:val="18"/>
        </w:rPr>
        <w:t> </w:t>
      </w:r>
      <w:r>
        <w:rPr>
          <w:sz w:val="18"/>
        </w:rPr>
        <w:t>picture.</w:t>
      </w:r>
    </w:p>
    <w:p>
      <w:pPr>
        <w:pStyle w:val="BodyText"/>
        <w:spacing w:before="8"/>
        <w:rPr>
          <w:sz w:val="16"/>
        </w:rPr>
      </w:pPr>
    </w:p>
    <w:p>
      <w:pPr>
        <w:pStyle w:val="ListParagraph"/>
        <w:numPr>
          <w:ilvl w:val="0"/>
          <w:numId w:val="54"/>
        </w:numPr>
        <w:tabs>
          <w:tab w:pos="654" w:val="left" w:leader="none"/>
          <w:tab w:pos="655" w:val="left" w:leader="none"/>
        </w:tabs>
        <w:spacing w:line="232" w:lineRule="auto" w:before="0" w:after="0"/>
        <w:ind w:left="174" w:right="145" w:firstLine="0"/>
        <w:jc w:val="left"/>
        <w:rPr>
          <w:sz w:val="18"/>
        </w:rPr>
      </w:pPr>
      <w:r>
        <w:rPr>
          <w:sz w:val="18"/>
        </w:rPr>
        <w:t>More recent indicators were mixed. Equity prices in the UK had fallen by 5% on the month and there had been sharp falls in consumer confidence—probably associated with the disruption to petrol supplies. The MORI survey showed that consumer confidence had fallen by 10 points between August and September, which was consistent with the tick down shown by the most recent GfK survey. Retail sales volumes had grown 0.6% in August, somewhat faster than had been expected, but house prices had now been broadly flat for six months. Provisional results from the Royal Institution of Chartered Surveyors’ survey of estate agents in September indicated that there would be no change in the balance reporting house price increases over the previous three months, though the balance for London had recovered</w:t>
      </w:r>
      <w:r>
        <w:rPr>
          <w:spacing w:val="-16"/>
          <w:sz w:val="18"/>
        </w:rPr>
        <w:t> </w:t>
      </w:r>
      <w:r>
        <w:rPr>
          <w:sz w:val="18"/>
        </w:rPr>
        <w:t>sharply.</w:t>
      </w:r>
    </w:p>
    <w:p>
      <w:pPr>
        <w:pStyle w:val="BodyText"/>
        <w:spacing w:before="6"/>
        <w:rPr>
          <w:sz w:val="16"/>
        </w:rPr>
      </w:pPr>
    </w:p>
    <w:p>
      <w:pPr>
        <w:pStyle w:val="ListParagraph"/>
        <w:numPr>
          <w:ilvl w:val="0"/>
          <w:numId w:val="54"/>
        </w:numPr>
        <w:tabs>
          <w:tab w:pos="654" w:val="left" w:leader="none"/>
          <w:tab w:pos="655" w:val="left" w:leader="none"/>
        </w:tabs>
        <w:spacing w:line="232" w:lineRule="auto" w:before="0" w:after="0"/>
        <w:ind w:left="174" w:right="151" w:firstLine="0"/>
        <w:jc w:val="left"/>
        <w:rPr>
          <w:sz w:val="18"/>
        </w:rPr>
      </w:pPr>
      <w:r>
        <w:rPr>
          <w:sz w:val="18"/>
        </w:rPr>
        <w:t>The survey evidence on activity was generally weaker: the CBI Distributive Trades survey showed further weakness in motor traders’ reported sales in September (though wholesalers’ sales were the highest since February 1998); surveys from the Chartered Institute of Purchasing and Supply showed weaker output growth in manufacturing and in services, but stronger in construction; and the CBI/PricewaterhouseCoopers survey of financial services suggested that activity in that sector was growing at its slowest rate since December</w:t>
      </w:r>
      <w:r>
        <w:rPr>
          <w:spacing w:val="-3"/>
          <w:sz w:val="18"/>
        </w:rPr>
        <w:t> </w:t>
      </w:r>
      <w:r>
        <w:rPr>
          <w:sz w:val="18"/>
        </w:rPr>
        <w:t>1997.</w:t>
      </w:r>
    </w:p>
    <w:p>
      <w:pPr>
        <w:pStyle w:val="BodyText"/>
        <w:spacing w:before="9"/>
        <w:rPr>
          <w:sz w:val="16"/>
        </w:rPr>
      </w:pPr>
    </w:p>
    <w:p>
      <w:pPr>
        <w:pStyle w:val="ListParagraph"/>
        <w:numPr>
          <w:ilvl w:val="0"/>
          <w:numId w:val="54"/>
        </w:numPr>
        <w:tabs>
          <w:tab w:pos="654" w:val="left" w:leader="none"/>
          <w:tab w:pos="655" w:val="left" w:leader="none"/>
        </w:tabs>
        <w:spacing w:line="232" w:lineRule="auto" w:before="0" w:after="0"/>
        <w:ind w:left="174" w:right="150" w:firstLine="0"/>
        <w:jc w:val="left"/>
        <w:rPr>
          <w:sz w:val="18"/>
        </w:rPr>
      </w:pPr>
      <w:r>
        <w:rPr>
          <w:sz w:val="18"/>
        </w:rPr>
        <w:t>The disruption to petrol supplies had plainly affected the surveys and would also affect official statistics in both the third and fourth quarters. Its direct effects were, however, hard to gauge. Staff estimates suggested that output in the third quarter might be as much as 0.2 percentage points lower as a result of the disruption, but that the effect on the third and fourth quarters together was likely to be minimal. These estimates were essentially judgmental: there were as yet no hard data. Some of the demand effects—for example, journeys and leisure activities forgone—might represent a permanent loss of output in those sectors, but the expenditure might simply have been switched to other goods; and there would be offsets in stockbuilding. The Bank’s regional Agents reported that the disruption had had little impact on their manufacturing contacts, but that some retailers and leisure businesses had experienced a significant loss of trade which was unlikely to be</w:t>
      </w:r>
      <w:r>
        <w:rPr>
          <w:spacing w:val="-26"/>
          <w:sz w:val="18"/>
        </w:rPr>
        <w:t> </w:t>
      </w:r>
      <w:r>
        <w:rPr>
          <w:sz w:val="18"/>
        </w:rPr>
        <w:t>recovered.</w:t>
      </w:r>
    </w:p>
    <w:p>
      <w:pPr>
        <w:pStyle w:val="BodyText"/>
        <w:spacing w:before="4"/>
        <w:rPr>
          <w:sz w:val="16"/>
        </w:rPr>
      </w:pPr>
    </w:p>
    <w:p>
      <w:pPr>
        <w:pStyle w:val="ListParagraph"/>
        <w:numPr>
          <w:ilvl w:val="0"/>
          <w:numId w:val="54"/>
        </w:numPr>
        <w:tabs>
          <w:tab w:pos="654" w:val="left" w:leader="none"/>
          <w:tab w:pos="655" w:val="left" w:leader="none"/>
        </w:tabs>
        <w:spacing w:line="232" w:lineRule="auto" w:before="1" w:after="0"/>
        <w:ind w:left="174" w:right="480" w:firstLine="0"/>
        <w:jc w:val="left"/>
        <w:rPr>
          <w:sz w:val="18"/>
        </w:rPr>
      </w:pPr>
      <w:r>
        <w:rPr>
          <w:sz w:val="18"/>
        </w:rPr>
        <w:t>Looking further ahead, the disruption might nevertheless have more persistent effects on both business and</w:t>
      </w:r>
      <w:r>
        <w:rPr>
          <w:spacing w:val="-31"/>
          <w:sz w:val="18"/>
        </w:rPr>
        <w:t> </w:t>
      </w:r>
      <w:r>
        <w:rPr>
          <w:sz w:val="18"/>
        </w:rPr>
        <w:t>consumer</w:t>
      </w:r>
    </w:p>
    <w:p>
      <w:pPr>
        <w:spacing w:after="0" w:line="232" w:lineRule="auto"/>
        <w:jc w:val="left"/>
        <w:rPr>
          <w:sz w:val="18"/>
        </w:rPr>
        <w:sectPr>
          <w:type w:val="continuous"/>
          <w:pgSz w:w="11900" w:h="16840"/>
          <w:pgMar w:top="1260" w:bottom="280" w:left="640" w:right="640"/>
          <w:cols w:num="2" w:equalWidth="0">
            <w:col w:w="5117" w:space="273"/>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spacing w:line="232" w:lineRule="auto" w:before="1"/>
        <w:ind w:left="185" w:right="19" w:firstLine="0"/>
        <w:jc w:val="left"/>
        <w:rPr>
          <w:sz w:val="18"/>
        </w:rPr>
      </w:pPr>
      <w:r>
        <w:rPr>
          <w:sz w:val="18"/>
        </w:rPr>
        <w:t>confidence. It was possible for example that there might be permanent effects on stock-holding levels, if businesses were to review their delivery strategies in the light of the disruption that had occurred (or might have done, had the shortages of fuel continued). Firms might be less willing to rely on ‘just in time’ delivery arrangements, leading to increased stock holding throughout the supply chain, or might wish to maintain larger stocks of fuel. There was also anecdotal evidence pointing to hesitancy over investment plans. So while the data seemed a little weaker overall, it was difficult to separate the effects of the petrol supply disruption itself and its effects on confidence from the underlying trend.</w:t>
      </w:r>
    </w:p>
    <w:p>
      <w:pPr>
        <w:pStyle w:val="BodyText"/>
        <w:spacing w:before="7"/>
        <w:rPr>
          <w:sz w:val="16"/>
        </w:rPr>
      </w:pPr>
    </w:p>
    <w:p>
      <w:pPr>
        <w:pStyle w:val="ListParagraph"/>
        <w:numPr>
          <w:ilvl w:val="0"/>
          <w:numId w:val="54"/>
        </w:numPr>
        <w:tabs>
          <w:tab w:pos="665" w:val="left" w:leader="none"/>
          <w:tab w:pos="666" w:val="left" w:leader="none"/>
        </w:tabs>
        <w:spacing w:line="232" w:lineRule="auto" w:before="0" w:after="0"/>
        <w:ind w:left="185" w:right="78" w:firstLine="0"/>
        <w:jc w:val="left"/>
        <w:rPr>
          <w:sz w:val="18"/>
        </w:rPr>
      </w:pPr>
      <w:r>
        <w:rPr>
          <w:sz w:val="18"/>
        </w:rPr>
        <w:t>The</w:t>
      </w:r>
      <w:r>
        <w:rPr>
          <w:spacing w:val="-6"/>
          <w:sz w:val="18"/>
        </w:rPr>
        <w:t> </w:t>
      </w:r>
      <w:r>
        <w:rPr>
          <w:sz w:val="18"/>
        </w:rPr>
        <w:t>updated</w:t>
      </w:r>
      <w:r>
        <w:rPr>
          <w:spacing w:val="-6"/>
          <w:sz w:val="18"/>
        </w:rPr>
        <w:t> </w:t>
      </w:r>
      <w:r>
        <w:rPr>
          <w:sz w:val="18"/>
        </w:rPr>
        <w:t>staff</w:t>
      </w:r>
      <w:r>
        <w:rPr>
          <w:spacing w:val="-6"/>
          <w:sz w:val="18"/>
        </w:rPr>
        <w:t> </w:t>
      </w:r>
      <w:r>
        <w:rPr>
          <w:sz w:val="18"/>
        </w:rPr>
        <w:t>central</w:t>
      </w:r>
      <w:r>
        <w:rPr>
          <w:spacing w:val="-6"/>
          <w:sz w:val="18"/>
        </w:rPr>
        <w:t> </w:t>
      </w:r>
      <w:r>
        <w:rPr>
          <w:sz w:val="18"/>
        </w:rPr>
        <w:t>estimate,</w:t>
      </w:r>
      <w:r>
        <w:rPr>
          <w:spacing w:val="-5"/>
          <w:sz w:val="18"/>
        </w:rPr>
        <w:t> </w:t>
      </w:r>
      <w:r>
        <w:rPr>
          <w:sz w:val="18"/>
        </w:rPr>
        <w:t>ahead</w:t>
      </w:r>
      <w:r>
        <w:rPr>
          <w:spacing w:val="-6"/>
          <w:sz w:val="18"/>
        </w:rPr>
        <w:t> </w:t>
      </w:r>
      <w:r>
        <w:rPr>
          <w:sz w:val="18"/>
        </w:rPr>
        <w:t>of</w:t>
      </w:r>
      <w:r>
        <w:rPr>
          <w:spacing w:val="-6"/>
          <w:sz w:val="18"/>
        </w:rPr>
        <w:t> </w:t>
      </w:r>
      <w:r>
        <w:rPr>
          <w:sz w:val="18"/>
        </w:rPr>
        <w:t>the</w:t>
      </w:r>
      <w:r>
        <w:rPr>
          <w:spacing w:val="-6"/>
          <w:sz w:val="18"/>
        </w:rPr>
        <w:t> </w:t>
      </w:r>
      <w:r>
        <w:rPr>
          <w:sz w:val="18"/>
        </w:rPr>
        <w:t>Committee’s meeting, had been for output growth in the third quarter of around 0.6%, in line with the forecast in the August </w:t>
      </w:r>
      <w:r>
        <w:rPr>
          <w:i/>
          <w:sz w:val="18"/>
        </w:rPr>
        <w:t>Inflation Report</w:t>
      </w:r>
      <w:r>
        <w:rPr>
          <w:sz w:val="18"/>
        </w:rPr>
        <w:t>. The available information on expenditure suggested that the risks were on the downside. However, the Index of Production for August, which was available to the Committee, showed production growth of 0.6% in August and included upward revisions of 0.4 percentage points to the index for July. Manufacturing growth of 0.8% in August was also stronger than had been expected, with very strong growth in the output of electrical and optical equipment (which included output of mobile phones and related infrastructure goods). This</w:t>
      </w:r>
      <w:r>
        <w:rPr>
          <w:spacing w:val="-5"/>
          <w:sz w:val="18"/>
        </w:rPr>
        <w:t> </w:t>
      </w:r>
      <w:r>
        <w:rPr>
          <w:sz w:val="18"/>
        </w:rPr>
        <w:t>stronger</w:t>
      </w:r>
      <w:r>
        <w:rPr>
          <w:spacing w:val="-4"/>
          <w:sz w:val="18"/>
        </w:rPr>
        <w:t> </w:t>
      </w:r>
      <w:r>
        <w:rPr>
          <w:sz w:val="18"/>
        </w:rPr>
        <w:t>industrial</w:t>
      </w:r>
      <w:r>
        <w:rPr>
          <w:spacing w:val="-4"/>
          <w:sz w:val="18"/>
        </w:rPr>
        <w:t> </w:t>
      </w:r>
      <w:r>
        <w:rPr>
          <w:sz w:val="18"/>
        </w:rPr>
        <w:t>production</w:t>
      </w:r>
      <w:r>
        <w:rPr>
          <w:spacing w:val="-4"/>
          <w:sz w:val="18"/>
        </w:rPr>
        <w:t> </w:t>
      </w:r>
      <w:r>
        <w:rPr>
          <w:sz w:val="18"/>
        </w:rPr>
        <w:t>would</w:t>
      </w:r>
      <w:r>
        <w:rPr>
          <w:spacing w:val="-5"/>
          <w:sz w:val="18"/>
        </w:rPr>
        <w:t> </w:t>
      </w:r>
      <w:r>
        <w:rPr>
          <w:sz w:val="18"/>
        </w:rPr>
        <w:t>by</w:t>
      </w:r>
      <w:r>
        <w:rPr>
          <w:spacing w:val="-4"/>
          <w:sz w:val="18"/>
        </w:rPr>
        <w:t> </w:t>
      </w:r>
      <w:r>
        <w:rPr>
          <w:sz w:val="18"/>
        </w:rPr>
        <w:t>itself</w:t>
      </w:r>
      <w:r>
        <w:rPr>
          <w:spacing w:val="-4"/>
          <w:sz w:val="18"/>
        </w:rPr>
        <w:t> </w:t>
      </w:r>
      <w:r>
        <w:rPr>
          <w:sz w:val="18"/>
        </w:rPr>
        <w:t>probably</w:t>
      </w:r>
      <w:r>
        <w:rPr>
          <w:spacing w:val="-4"/>
          <w:sz w:val="18"/>
        </w:rPr>
        <w:t> </w:t>
      </w:r>
      <w:r>
        <w:rPr>
          <w:sz w:val="18"/>
        </w:rPr>
        <w:t>add</w:t>
      </w:r>
    </w:p>
    <w:p>
      <w:pPr>
        <w:spacing w:line="232" w:lineRule="auto" w:before="0"/>
        <w:ind w:left="185" w:right="134" w:firstLine="0"/>
        <w:jc w:val="left"/>
        <w:rPr>
          <w:sz w:val="18"/>
        </w:rPr>
      </w:pPr>
      <w:r>
        <w:rPr>
          <w:sz w:val="18"/>
        </w:rPr>
        <w:t>0.1 percentage points to the estimate for output growth in the third quarter, putting it somewhat above the </w:t>
      </w:r>
      <w:r>
        <w:rPr>
          <w:i/>
          <w:sz w:val="18"/>
        </w:rPr>
        <w:t>Inflation Report </w:t>
      </w:r>
      <w:r>
        <w:rPr>
          <w:sz w:val="18"/>
        </w:rPr>
        <w:t>projection, though the effects of the disruption to petrol supplies could more than offset this.</w:t>
      </w:r>
    </w:p>
    <w:p>
      <w:pPr>
        <w:pStyle w:val="BodyText"/>
        <w:spacing w:before="7"/>
        <w:rPr>
          <w:sz w:val="19"/>
        </w:rPr>
      </w:pPr>
    </w:p>
    <w:p>
      <w:pPr>
        <w:spacing w:before="0"/>
        <w:ind w:left="185" w:right="0" w:firstLine="0"/>
        <w:jc w:val="left"/>
        <w:rPr>
          <w:b/>
          <w:sz w:val="22"/>
        </w:rPr>
      </w:pPr>
      <w:r>
        <w:rPr>
          <w:b/>
          <w:color w:val="009391"/>
          <w:sz w:val="22"/>
        </w:rPr>
        <w:t>The labour market</w:t>
      </w:r>
    </w:p>
    <w:p>
      <w:pPr>
        <w:pStyle w:val="ListParagraph"/>
        <w:numPr>
          <w:ilvl w:val="0"/>
          <w:numId w:val="54"/>
        </w:numPr>
        <w:tabs>
          <w:tab w:pos="665" w:val="left" w:leader="none"/>
          <w:tab w:pos="666" w:val="left" w:leader="none"/>
        </w:tabs>
        <w:spacing w:line="232" w:lineRule="auto" w:before="109" w:after="0"/>
        <w:ind w:left="185" w:right="38" w:firstLine="0"/>
        <w:jc w:val="left"/>
        <w:rPr>
          <w:sz w:val="18"/>
        </w:rPr>
      </w:pPr>
      <w:r>
        <w:rPr>
          <w:sz w:val="18"/>
        </w:rPr>
        <w:t>Particular uncertainties surrounded the current conjuncture in the labour market. The continuing steady growth in employment, together</w:t>
      </w:r>
      <w:r>
        <w:rPr>
          <w:spacing w:val="-6"/>
          <w:sz w:val="18"/>
        </w:rPr>
        <w:t> </w:t>
      </w:r>
      <w:r>
        <w:rPr>
          <w:sz w:val="18"/>
        </w:rPr>
        <w:t>with</w:t>
      </w:r>
      <w:r>
        <w:rPr>
          <w:spacing w:val="-6"/>
          <w:sz w:val="18"/>
        </w:rPr>
        <w:t> </w:t>
      </w:r>
      <w:r>
        <w:rPr>
          <w:sz w:val="18"/>
        </w:rPr>
        <w:t>lower</w:t>
      </w:r>
      <w:r>
        <w:rPr>
          <w:spacing w:val="-5"/>
          <w:sz w:val="18"/>
        </w:rPr>
        <w:t> </w:t>
      </w:r>
      <w:r>
        <w:rPr>
          <w:sz w:val="18"/>
        </w:rPr>
        <w:t>levels</w:t>
      </w:r>
      <w:r>
        <w:rPr>
          <w:spacing w:val="-6"/>
          <w:sz w:val="18"/>
        </w:rPr>
        <w:t> </w:t>
      </w:r>
      <w:r>
        <w:rPr>
          <w:sz w:val="18"/>
        </w:rPr>
        <w:t>of</w:t>
      </w:r>
      <w:r>
        <w:rPr>
          <w:spacing w:val="-5"/>
          <w:sz w:val="18"/>
        </w:rPr>
        <w:t> </w:t>
      </w:r>
      <w:r>
        <w:rPr>
          <w:sz w:val="18"/>
        </w:rPr>
        <w:t>claimant</w:t>
      </w:r>
      <w:r>
        <w:rPr>
          <w:spacing w:val="-6"/>
          <w:sz w:val="18"/>
        </w:rPr>
        <w:t> </w:t>
      </w:r>
      <w:r>
        <w:rPr>
          <w:sz w:val="18"/>
        </w:rPr>
        <w:t>unemployment</w:t>
      </w:r>
      <w:r>
        <w:rPr>
          <w:spacing w:val="-5"/>
          <w:sz w:val="18"/>
        </w:rPr>
        <w:t> </w:t>
      </w:r>
      <w:r>
        <w:rPr>
          <w:sz w:val="18"/>
        </w:rPr>
        <w:t>than</w:t>
      </w:r>
      <w:r>
        <w:rPr>
          <w:spacing w:val="-6"/>
          <w:sz w:val="18"/>
        </w:rPr>
        <w:t> </w:t>
      </w:r>
      <w:r>
        <w:rPr>
          <w:sz w:val="18"/>
        </w:rPr>
        <w:t>had</w:t>
      </w:r>
      <w:r>
        <w:rPr>
          <w:spacing w:val="-6"/>
          <w:sz w:val="18"/>
        </w:rPr>
        <w:t> </w:t>
      </w:r>
      <w:r>
        <w:rPr>
          <w:sz w:val="18"/>
        </w:rPr>
        <w:t>been seen since the 1970s, suggested that the market remained tight. Earnings growth on the other hand had fallen back sharply from its peak early in the year. It was unclear how long this benign conjunction of strong quantities and modest earnings growth could continue.</w:t>
      </w:r>
    </w:p>
    <w:p>
      <w:pPr>
        <w:pStyle w:val="BodyText"/>
        <w:spacing w:before="10"/>
        <w:rPr>
          <w:sz w:val="16"/>
        </w:rPr>
      </w:pPr>
    </w:p>
    <w:p>
      <w:pPr>
        <w:pStyle w:val="ListParagraph"/>
        <w:numPr>
          <w:ilvl w:val="0"/>
          <w:numId w:val="54"/>
        </w:numPr>
        <w:tabs>
          <w:tab w:pos="665" w:val="left" w:leader="none"/>
          <w:tab w:pos="666" w:val="left" w:leader="none"/>
        </w:tabs>
        <w:spacing w:line="232" w:lineRule="auto" w:before="0" w:after="0"/>
        <w:ind w:left="185" w:right="87" w:firstLine="0"/>
        <w:jc w:val="left"/>
        <w:rPr>
          <w:sz w:val="18"/>
        </w:rPr>
      </w:pPr>
      <w:r>
        <w:rPr>
          <w:sz w:val="18"/>
        </w:rPr>
        <w:t>Employment growth had slowed a little in the three months to July, with the Labour Force Survey (LFS) measure up 0.3% compared with 0.4% in the three months to April. Average hours worked had increased by 0.1% over the same period. But LFS unemployment was down sharply, and by more than the increase in employment, lowering the unemployment rate by 0.3 percentage points to 5.3%. Inactivity had increased somewhat in each of the last two LFS data releases. Reports from the Bank’s regional Agents did not suggest that there had been any further tightening in the market, though shortages persisted and the recent fall in unemployment had drawn particularly on the pool of short-term unemployed. It was noted that the Workforce Jobs measure of employment suggested rather slower employment growth over the first half of the year than the LFS measure along with more rapid growth in</w:t>
      </w:r>
      <w:r>
        <w:rPr>
          <w:spacing w:val="-3"/>
          <w:sz w:val="18"/>
        </w:rPr>
        <w:t> </w:t>
      </w:r>
      <w:r>
        <w:rPr>
          <w:sz w:val="18"/>
        </w:rPr>
        <w:t>inactivity.</w:t>
      </w:r>
    </w:p>
    <w:p>
      <w:pPr>
        <w:pStyle w:val="BodyText"/>
        <w:spacing w:before="4"/>
        <w:rPr>
          <w:sz w:val="16"/>
        </w:rPr>
      </w:pPr>
    </w:p>
    <w:p>
      <w:pPr>
        <w:pStyle w:val="ListParagraph"/>
        <w:numPr>
          <w:ilvl w:val="0"/>
          <w:numId w:val="54"/>
        </w:numPr>
        <w:tabs>
          <w:tab w:pos="665" w:val="left" w:leader="none"/>
          <w:tab w:pos="666" w:val="left" w:leader="none"/>
        </w:tabs>
        <w:spacing w:line="232" w:lineRule="auto" w:before="0" w:after="0"/>
        <w:ind w:left="185" w:right="52" w:firstLine="0"/>
        <w:jc w:val="left"/>
        <w:rPr>
          <w:sz w:val="18"/>
        </w:rPr>
      </w:pPr>
      <w:r>
        <w:rPr>
          <w:sz w:val="18"/>
        </w:rPr>
        <w:t>While quantities remained tight, the rate of growth of pay continued to be slower than expected. The Average Earnings Index (AEI) again showed a fall in the annual growth of earnings on the three-month headline basis, from 4.1% to 3.9%, while annual growth was unchanged on the month at 3.8% in July. Earnings growth in each of the last three months had included a substantial negative contribution from bonuses. These AEI data contrasted to some extent with those on rates of pay for agency staff, with Recruitment and Employment Confederation data for September showing further sharp increases in permanent salaries and rates for temporary staff, though they were now consistent with the rate of pay growth as measured by the Reward index. The Bank’s regional Agents reported little evidence of increasing pay pressures and suggested that signs earlier in the year of imminent difficulties in pay negotiations had not materialised. So the dichotomy between strong quantities and weak prices</w:t>
      </w:r>
      <w:r>
        <w:rPr>
          <w:spacing w:val="-9"/>
          <w:sz w:val="18"/>
        </w:rPr>
        <w:t> </w:t>
      </w:r>
      <w:r>
        <w:rPr>
          <w:sz w:val="18"/>
        </w:rPr>
        <w:t>persisted.</w:t>
      </w:r>
    </w:p>
    <w:p>
      <w:pPr>
        <w:pStyle w:val="BodyText"/>
        <w:spacing w:before="7"/>
        <w:rPr>
          <w:sz w:val="19"/>
        </w:rPr>
      </w:pPr>
      <w:r>
        <w:rPr/>
        <w:br w:type="column"/>
      </w:r>
      <w:r>
        <w:rPr>
          <w:sz w:val="19"/>
        </w:rPr>
      </w:r>
    </w:p>
    <w:p>
      <w:pPr>
        <w:pStyle w:val="ListParagraph"/>
        <w:numPr>
          <w:ilvl w:val="0"/>
          <w:numId w:val="54"/>
        </w:numPr>
        <w:tabs>
          <w:tab w:pos="665" w:val="left" w:leader="none"/>
          <w:tab w:pos="666" w:val="left" w:leader="none"/>
        </w:tabs>
        <w:spacing w:line="232" w:lineRule="auto" w:before="1" w:after="0"/>
        <w:ind w:left="185" w:right="157" w:firstLine="0"/>
        <w:jc w:val="left"/>
        <w:rPr>
          <w:sz w:val="18"/>
        </w:rPr>
      </w:pPr>
      <w:r>
        <w:rPr>
          <w:sz w:val="18"/>
        </w:rPr>
        <w:t>The Committee discussed how long this benign combination of steady and quite rapid employment growth with subdued earnings growth could continue. Some members felt that this welcome development could persist. Overall earnings growth as measured by the AEI had been slowing for five months, regular pay was growing at a steady rate and settlements were steady or falling over the past year taken as a whole. The recent negative contributions from bonuses were not surprising. In financial services, tougher performance targets were likely to have been set for this year than for 1999, when the outlook had seemed less promising; and recent bonus outturns were consistent with the weak performance of the retail sector. To the extent that millennium-related payments had contributed to the sharp movements in earnings growth at the start of this year, temporarily inflating the level of pay, earnings growth in the coming months would be correspondingly reduced. Labour productivity per head was growing at around trend rates, and productivity per hour comfortably above it. The rate of growth of unit labour costs was slower than for several years. It was noted that the projection in the August </w:t>
      </w:r>
      <w:r>
        <w:rPr>
          <w:i/>
          <w:sz w:val="18"/>
        </w:rPr>
        <w:t>Inflation Report </w:t>
      </w:r>
      <w:r>
        <w:rPr>
          <w:sz w:val="18"/>
        </w:rPr>
        <w:t>envisaged higher levels of earnings growth in the coming months, which now seemed less</w:t>
      </w:r>
      <w:r>
        <w:rPr>
          <w:spacing w:val="-17"/>
          <w:sz w:val="18"/>
        </w:rPr>
        <w:t> </w:t>
      </w:r>
      <w:r>
        <w:rPr>
          <w:sz w:val="18"/>
        </w:rPr>
        <w:t>likely.</w:t>
      </w:r>
    </w:p>
    <w:p>
      <w:pPr>
        <w:pStyle w:val="BodyText"/>
        <w:spacing w:before="11"/>
        <w:rPr>
          <w:sz w:val="15"/>
        </w:rPr>
      </w:pPr>
    </w:p>
    <w:p>
      <w:pPr>
        <w:pStyle w:val="ListParagraph"/>
        <w:numPr>
          <w:ilvl w:val="0"/>
          <w:numId w:val="54"/>
        </w:numPr>
        <w:tabs>
          <w:tab w:pos="665" w:val="left" w:leader="none"/>
          <w:tab w:pos="666" w:val="left" w:leader="none"/>
        </w:tabs>
        <w:spacing w:line="232" w:lineRule="auto" w:before="0" w:after="0"/>
        <w:ind w:left="185" w:right="177" w:firstLine="0"/>
        <w:jc w:val="left"/>
        <w:rPr>
          <w:sz w:val="18"/>
        </w:rPr>
      </w:pPr>
      <w:r>
        <w:rPr>
          <w:sz w:val="18"/>
        </w:rPr>
        <w:t>Other members were less sanguine, finding it harder to reconcile the earnings data with other information on the labour market which to them pointed to the possibility of intensifying pay pressures in the months ahead. It was suggested that the low pay settlements earlier in the year had reflected the very low outturns for the RPI in the months leading up to this year’s main settlement round and that, since then, the average level of settlements had climbed steadily month by month. The short-term outlook for the RPI suggested that circumstances would be rather different for next year’s main pay round. The slowing in the growth of unit labour costs was substantially driven by recent weak bonus outturns, which were unlikely to persist. It was important to remain alert for the first signs of emerging wage pressures and it was in this context that the recent uptick in inflation expectations would—if it was confirmed as more than a temporary reaction to the uncertainties surrounding fuel supplies—be a particular cause for</w:t>
      </w:r>
      <w:r>
        <w:rPr>
          <w:spacing w:val="-24"/>
          <w:sz w:val="18"/>
        </w:rPr>
        <w:t> </w:t>
      </w:r>
      <w:r>
        <w:rPr>
          <w:sz w:val="18"/>
        </w:rPr>
        <w:t>concern.</w:t>
      </w:r>
    </w:p>
    <w:p>
      <w:pPr>
        <w:pStyle w:val="BodyText"/>
        <w:spacing w:before="6"/>
        <w:rPr>
          <w:sz w:val="19"/>
        </w:rPr>
      </w:pPr>
    </w:p>
    <w:p>
      <w:pPr>
        <w:spacing w:before="1"/>
        <w:ind w:left="185" w:right="0" w:firstLine="0"/>
        <w:jc w:val="left"/>
        <w:rPr>
          <w:b/>
          <w:sz w:val="22"/>
        </w:rPr>
      </w:pPr>
      <w:r>
        <w:rPr>
          <w:b/>
          <w:color w:val="009391"/>
          <w:sz w:val="22"/>
        </w:rPr>
        <w:t>The immediate policy decision</w:t>
      </w:r>
    </w:p>
    <w:p>
      <w:pPr>
        <w:pStyle w:val="ListParagraph"/>
        <w:numPr>
          <w:ilvl w:val="0"/>
          <w:numId w:val="54"/>
        </w:numPr>
        <w:tabs>
          <w:tab w:pos="665" w:val="left" w:leader="none"/>
          <w:tab w:pos="666" w:val="left" w:leader="none"/>
        </w:tabs>
        <w:spacing w:line="232" w:lineRule="auto" w:before="109" w:after="0"/>
        <w:ind w:left="185" w:right="208" w:firstLine="0"/>
        <w:jc w:val="left"/>
        <w:rPr>
          <w:sz w:val="18"/>
        </w:rPr>
      </w:pPr>
      <w:r>
        <w:rPr>
          <w:sz w:val="18"/>
        </w:rPr>
        <w:t>Once again, there had been little decisive news over the month to alter the Committee’s view on the underlying path of the UK economy. The projections in the August </w:t>
      </w:r>
      <w:r>
        <w:rPr>
          <w:i/>
          <w:sz w:val="18"/>
        </w:rPr>
        <w:t>Inflation Report </w:t>
      </w:r>
      <w:r>
        <w:rPr>
          <w:sz w:val="18"/>
        </w:rPr>
        <w:t>remained broadly intact, though the pace of earnings growth continued to be surprisingly modest given the rate of growth of employment and the pace at which unemployment was falling. Oil prices had eased in the past month and sterling had strengthened somewhat, but both were higher than expected at the time of the August projections. Nonetheless, the news on the month was on balance a little weaker. Despite the slightly stronger monetary, retail</w:t>
      </w:r>
      <w:r>
        <w:rPr>
          <w:spacing w:val="-5"/>
          <w:sz w:val="18"/>
        </w:rPr>
        <w:t> </w:t>
      </w:r>
      <w:r>
        <w:rPr>
          <w:sz w:val="18"/>
        </w:rPr>
        <w:t>sales</w:t>
      </w:r>
      <w:r>
        <w:rPr>
          <w:spacing w:val="-4"/>
          <w:sz w:val="18"/>
        </w:rPr>
        <w:t> </w:t>
      </w:r>
      <w:r>
        <w:rPr>
          <w:sz w:val="18"/>
        </w:rPr>
        <w:t>and</w:t>
      </w:r>
      <w:r>
        <w:rPr>
          <w:spacing w:val="-4"/>
          <w:sz w:val="18"/>
        </w:rPr>
        <w:t> </w:t>
      </w:r>
      <w:r>
        <w:rPr>
          <w:sz w:val="18"/>
        </w:rPr>
        <w:t>index</w:t>
      </w:r>
      <w:r>
        <w:rPr>
          <w:spacing w:val="-4"/>
          <w:sz w:val="18"/>
        </w:rPr>
        <w:t> </w:t>
      </w:r>
      <w:r>
        <w:rPr>
          <w:sz w:val="18"/>
        </w:rPr>
        <w:t>of</w:t>
      </w:r>
      <w:r>
        <w:rPr>
          <w:spacing w:val="-4"/>
          <w:sz w:val="18"/>
        </w:rPr>
        <w:t> </w:t>
      </w:r>
      <w:r>
        <w:rPr>
          <w:sz w:val="18"/>
        </w:rPr>
        <w:t>production</w:t>
      </w:r>
      <w:r>
        <w:rPr>
          <w:spacing w:val="-4"/>
          <w:sz w:val="18"/>
        </w:rPr>
        <w:t> </w:t>
      </w:r>
      <w:r>
        <w:rPr>
          <w:sz w:val="18"/>
        </w:rPr>
        <w:t>data,</w:t>
      </w:r>
      <w:r>
        <w:rPr>
          <w:spacing w:val="-4"/>
          <w:sz w:val="18"/>
        </w:rPr>
        <w:t> </w:t>
      </w:r>
      <w:r>
        <w:rPr>
          <w:sz w:val="18"/>
        </w:rPr>
        <w:t>as</w:t>
      </w:r>
      <w:r>
        <w:rPr>
          <w:spacing w:val="-5"/>
          <w:sz w:val="18"/>
        </w:rPr>
        <w:t> </w:t>
      </w:r>
      <w:r>
        <w:rPr>
          <w:sz w:val="18"/>
        </w:rPr>
        <w:t>well</w:t>
      </w:r>
      <w:r>
        <w:rPr>
          <w:spacing w:val="-4"/>
          <w:sz w:val="18"/>
        </w:rPr>
        <w:t> </w:t>
      </w:r>
      <w:r>
        <w:rPr>
          <w:sz w:val="18"/>
        </w:rPr>
        <w:t>as</w:t>
      </w:r>
      <w:r>
        <w:rPr>
          <w:spacing w:val="-4"/>
          <w:sz w:val="18"/>
        </w:rPr>
        <w:t> </w:t>
      </w:r>
      <w:r>
        <w:rPr>
          <w:sz w:val="18"/>
        </w:rPr>
        <w:t>the</w:t>
      </w:r>
      <w:r>
        <w:rPr>
          <w:spacing w:val="-4"/>
          <w:sz w:val="18"/>
        </w:rPr>
        <w:t> </w:t>
      </w:r>
      <w:r>
        <w:rPr>
          <w:sz w:val="18"/>
        </w:rPr>
        <w:t>sharp</w:t>
      </w:r>
      <w:r>
        <w:rPr>
          <w:spacing w:val="-4"/>
          <w:sz w:val="18"/>
        </w:rPr>
        <w:t> </w:t>
      </w:r>
      <w:r>
        <w:rPr>
          <w:sz w:val="18"/>
        </w:rPr>
        <w:t>fall</w:t>
      </w:r>
      <w:r>
        <w:rPr>
          <w:spacing w:val="-4"/>
          <w:sz w:val="18"/>
        </w:rPr>
        <w:t> </w:t>
      </w:r>
      <w:r>
        <w:rPr>
          <w:sz w:val="18"/>
        </w:rPr>
        <w:t>in unemployment and the tick up in inflation expectations, equity prices had fallen significantly, earnings growth remained subdued, the survey evidence (including evidence on confidence) was on balance weaker and the RPIX inflation outturn was lower than had been expected at the time of the previous</w:t>
      </w:r>
      <w:r>
        <w:rPr>
          <w:spacing w:val="-16"/>
          <w:sz w:val="18"/>
        </w:rPr>
        <w:t> </w:t>
      </w:r>
      <w:r>
        <w:rPr>
          <w:sz w:val="18"/>
        </w:rPr>
        <w:t>meeting.</w:t>
      </w:r>
    </w:p>
    <w:p>
      <w:pPr>
        <w:pStyle w:val="BodyText"/>
        <w:spacing w:before="3"/>
        <w:rPr>
          <w:sz w:val="16"/>
        </w:rPr>
      </w:pPr>
    </w:p>
    <w:p>
      <w:pPr>
        <w:pStyle w:val="ListParagraph"/>
        <w:numPr>
          <w:ilvl w:val="0"/>
          <w:numId w:val="54"/>
        </w:numPr>
        <w:tabs>
          <w:tab w:pos="665" w:val="left" w:leader="none"/>
          <w:tab w:pos="666" w:val="left" w:leader="none"/>
        </w:tabs>
        <w:spacing w:line="232" w:lineRule="auto" w:before="1" w:after="0"/>
        <w:ind w:left="185" w:right="238" w:firstLine="0"/>
        <w:jc w:val="left"/>
        <w:rPr>
          <w:sz w:val="18"/>
        </w:rPr>
      </w:pPr>
      <w:r>
        <w:rPr>
          <w:sz w:val="18"/>
        </w:rPr>
        <w:t>On one view, while there remained arguments for an increase in the repo rate at some point these were not decisive. GDP was if anything growing a little more strongly than had been expected, though there were some signs that the growth of private demand was beginning to ease. This was necessary if the announced plans to increase government consumption and investment were not to place undue pressure on the productive capacity of the economy. Exports were remarkably buoyant, reflecting the strength of the world economy. Measures of domestically generated inflation were easing, but the downward external influences on UK inflation were now almost exhausted. The</w:t>
      </w:r>
      <w:r>
        <w:rPr>
          <w:spacing w:val="-5"/>
          <w:sz w:val="18"/>
        </w:rPr>
        <w:t> </w:t>
      </w:r>
      <w:r>
        <w:rPr>
          <w:sz w:val="18"/>
        </w:rPr>
        <w:t>external</w:t>
      </w:r>
      <w:r>
        <w:rPr>
          <w:spacing w:val="-5"/>
          <w:sz w:val="18"/>
        </w:rPr>
        <w:t> </w:t>
      </w:r>
      <w:r>
        <w:rPr>
          <w:sz w:val="18"/>
        </w:rPr>
        <w:t>factors</w:t>
      </w:r>
      <w:r>
        <w:rPr>
          <w:spacing w:val="-5"/>
          <w:sz w:val="18"/>
        </w:rPr>
        <w:t> </w:t>
      </w:r>
      <w:r>
        <w:rPr>
          <w:sz w:val="18"/>
        </w:rPr>
        <w:t>which</w:t>
      </w:r>
      <w:r>
        <w:rPr>
          <w:spacing w:val="-5"/>
          <w:sz w:val="18"/>
        </w:rPr>
        <w:t> </w:t>
      </w:r>
      <w:r>
        <w:rPr>
          <w:sz w:val="18"/>
        </w:rPr>
        <w:t>had</w:t>
      </w:r>
      <w:r>
        <w:rPr>
          <w:spacing w:val="-5"/>
          <w:sz w:val="18"/>
        </w:rPr>
        <w:t> </w:t>
      </w:r>
      <w:r>
        <w:rPr>
          <w:sz w:val="18"/>
        </w:rPr>
        <w:t>allowed</w:t>
      </w:r>
      <w:r>
        <w:rPr>
          <w:spacing w:val="-5"/>
          <w:sz w:val="18"/>
        </w:rPr>
        <w:t> </w:t>
      </w:r>
      <w:r>
        <w:rPr>
          <w:sz w:val="18"/>
        </w:rPr>
        <w:t>real</w:t>
      </w:r>
      <w:r>
        <w:rPr>
          <w:spacing w:val="-5"/>
          <w:sz w:val="18"/>
        </w:rPr>
        <w:t> </w:t>
      </w:r>
      <w:r>
        <w:rPr>
          <w:sz w:val="18"/>
        </w:rPr>
        <w:t>wages</w:t>
      </w:r>
      <w:r>
        <w:rPr>
          <w:spacing w:val="-5"/>
          <w:sz w:val="18"/>
        </w:rPr>
        <w:t> </w:t>
      </w:r>
      <w:r>
        <w:rPr>
          <w:sz w:val="18"/>
        </w:rPr>
        <w:t>to</w:t>
      </w:r>
      <w:r>
        <w:rPr>
          <w:spacing w:val="-5"/>
          <w:sz w:val="18"/>
        </w:rPr>
        <w:t> </w:t>
      </w:r>
      <w:r>
        <w:rPr>
          <w:sz w:val="18"/>
        </w:rPr>
        <w:t>grow</w:t>
      </w:r>
      <w:r>
        <w:rPr>
          <w:spacing w:val="-5"/>
          <w:sz w:val="18"/>
        </w:rPr>
        <w:t> </w:t>
      </w:r>
      <w:r>
        <w:rPr>
          <w:sz w:val="18"/>
        </w:rPr>
        <w:t>rapidly at a time of moderate growth in nominal earnings could not continue indefinitely. The evidence on labour shortages</w:t>
      </w:r>
      <w:r>
        <w:rPr>
          <w:spacing w:val="-26"/>
          <w:sz w:val="18"/>
        </w:rPr>
        <w:t> </w:t>
      </w:r>
      <w:r>
        <w:rPr>
          <w:sz w:val="18"/>
        </w:rPr>
        <w:t>was</w:t>
      </w:r>
    </w:p>
    <w:p>
      <w:pPr>
        <w:spacing w:after="0" w:line="232" w:lineRule="auto"/>
        <w:jc w:val="left"/>
        <w:rPr>
          <w:sz w:val="18"/>
        </w:rPr>
        <w:sectPr>
          <w:type w:val="continuous"/>
          <w:pgSz w:w="11900" w:h="16840"/>
          <w:pgMar w:top="1260" w:bottom="280" w:left="640" w:right="640"/>
          <w:cols w:num="2" w:equalWidth="0">
            <w:col w:w="5128" w:space="259"/>
            <w:col w:w="5233"/>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spacing w:line="232" w:lineRule="auto" w:before="1"/>
        <w:ind w:left="180" w:right="39" w:firstLine="0"/>
        <w:jc w:val="left"/>
        <w:rPr>
          <w:sz w:val="18"/>
        </w:rPr>
      </w:pPr>
      <w:r>
        <w:rPr>
          <w:sz w:val="18"/>
        </w:rPr>
        <w:t>mixed, but the market remained tight and it was unclear how long the benign outturns on earnings growth could continue. While the Bank’s regional Agents reported few signs of increasing pay pressure and previous indications that wage negotiations might be becoming more difficult had not materialised, wage settlements had picked up in recent months. Unemployment was falling sharply, particularly amongst the short-term unemployed, and this could not persist without putting upward pressure on wages. Signs that inflation expectations amongst the general public and wage negotiators had increased were worrying and reinforced the view that</w:t>
      </w:r>
      <w:r>
        <w:rPr>
          <w:spacing w:val="-5"/>
          <w:sz w:val="18"/>
        </w:rPr>
        <w:t> </w:t>
      </w:r>
      <w:r>
        <w:rPr>
          <w:sz w:val="18"/>
        </w:rPr>
        <w:t>upward</w:t>
      </w:r>
      <w:r>
        <w:rPr>
          <w:spacing w:val="-5"/>
          <w:sz w:val="18"/>
        </w:rPr>
        <w:t> </w:t>
      </w:r>
      <w:r>
        <w:rPr>
          <w:sz w:val="18"/>
        </w:rPr>
        <w:t>pressure</w:t>
      </w:r>
      <w:r>
        <w:rPr>
          <w:spacing w:val="-5"/>
          <w:sz w:val="18"/>
        </w:rPr>
        <w:t> </w:t>
      </w:r>
      <w:r>
        <w:rPr>
          <w:sz w:val="18"/>
        </w:rPr>
        <w:t>on</w:t>
      </w:r>
      <w:r>
        <w:rPr>
          <w:spacing w:val="-5"/>
          <w:sz w:val="18"/>
        </w:rPr>
        <w:t> </w:t>
      </w:r>
      <w:r>
        <w:rPr>
          <w:sz w:val="18"/>
        </w:rPr>
        <w:t>wages</w:t>
      </w:r>
      <w:r>
        <w:rPr>
          <w:spacing w:val="-5"/>
          <w:sz w:val="18"/>
        </w:rPr>
        <w:t> </w:t>
      </w:r>
      <w:r>
        <w:rPr>
          <w:sz w:val="18"/>
        </w:rPr>
        <w:t>was</w:t>
      </w:r>
      <w:r>
        <w:rPr>
          <w:spacing w:val="-4"/>
          <w:sz w:val="18"/>
        </w:rPr>
        <w:t> </w:t>
      </w:r>
      <w:r>
        <w:rPr>
          <w:sz w:val="18"/>
        </w:rPr>
        <w:t>a</w:t>
      </w:r>
      <w:r>
        <w:rPr>
          <w:spacing w:val="-5"/>
          <w:sz w:val="18"/>
        </w:rPr>
        <w:t> </w:t>
      </w:r>
      <w:r>
        <w:rPr>
          <w:sz w:val="18"/>
        </w:rPr>
        <w:t>substantial</w:t>
      </w:r>
      <w:r>
        <w:rPr>
          <w:spacing w:val="-5"/>
          <w:sz w:val="18"/>
        </w:rPr>
        <w:t> </w:t>
      </w:r>
      <w:r>
        <w:rPr>
          <w:sz w:val="18"/>
        </w:rPr>
        <w:t>risk</w:t>
      </w:r>
      <w:r>
        <w:rPr>
          <w:spacing w:val="-5"/>
          <w:sz w:val="18"/>
        </w:rPr>
        <w:t> </w:t>
      </w:r>
      <w:r>
        <w:rPr>
          <w:sz w:val="18"/>
        </w:rPr>
        <w:t>to</w:t>
      </w:r>
      <w:r>
        <w:rPr>
          <w:spacing w:val="-5"/>
          <w:sz w:val="18"/>
        </w:rPr>
        <w:t> </w:t>
      </w:r>
      <w:r>
        <w:rPr>
          <w:sz w:val="18"/>
        </w:rPr>
        <w:t>the</w:t>
      </w:r>
      <w:r>
        <w:rPr>
          <w:spacing w:val="-4"/>
          <w:sz w:val="18"/>
        </w:rPr>
        <w:t> </w:t>
      </w:r>
      <w:r>
        <w:rPr>
          <w:sz w:val="18"/>
        </w:rPr>
        <w:t>inflation outlook. Labour market conditions would need to be monitored very carefully for early signs of inflationary</w:t>
      </w:r>
      <w:r>
        <w:rPr>
          <w:spacing w:val="-17"/>
          <w:sz w:val="18"/>
        </w:rPr>
        <w:t> </w:t>
      </w:r>
      <w:r>
        <w:rPr>
          <w:sz w:val="18"/>
        </w:rPr>
        <w:t>pressure.</w:t>
      </w:r>
    </w:p>
    <w:p>
      <w:pPr>
        <w:spacing w:line="232" w:lineRule="auto" w:before="0"/>
        <w:ind w:left="180" w:right="54" w:firstLine="0"/>
        <w:jc w:val="left"/>
        <w:rPr>
          <w:sz w:val="18"/>
        </w:rPr>
      </w:pPr>
      <w:r>
        <w:rPr>
          <w:sz w:val="18"/>
        </w:rPr>
        <w:t>Nevertheless, the weaker indicators in the past month were perhaps more forward-looking than the stronger. It remained to be seen whether the weakness in the activity surveys and the tick up in inflation expectations simply reflected a temporary lowering of confidence</w:t>
      </w:r>
      <w:r>
        <w:rPr>
          <w:spacing w:val="-6"/>
          <w:sz w:val="18"/>
        </w:rPr>
        <w:t> </w:t>
      </w:r>
      <w:r>
        <w:rPr>
          <w:sz w:val="18"/>
        </w:rPr>
        <w:t>associated</w:t>
      </w:r>
      <w:r>
        <w:rPr>
          <w:spacing w:val="-6"/>
          <w:sz w:val="18"/>
        </w:rPr>
        <w:t> </w:t>
      </w:r>
      <w:r>
        <w:rPr>
          <w:sz w:val="18"/>
        </w:rPr>
        <w:t>with</w:t>
      </w:r>
      <w:r>
        <w:rPr>
          <w:spacing w:val="-6"/>
          <w:sz w:val="18"/>
        </w:rPr>
        <w:t> </w:t>
      </w:r>
      <w:r>
        <w:rPr>
          <w:sz w:val="18"/>
        </w:rPr>
        <w:t>the</w:t>
      </w:r>
      <w:r>
        <w:rPr>
          <w:spacing w:val="-6"/>
          <w:sz w:val="18"/>
        </w:rPr>
        <w:t> </w:t>
      </w:r>
      <w:r>
        <w:rPr>
          <w:sz w:val="18"/>
        </w:rPr>
        <w:t>disruption</w:t>
      </w:r>
      <w:r>
        <w:rPr>
          <w:spacing w:val="-6"/>
          <w:sz w:val="18"/>
        </w:rPr>
        <w:t> </w:t>
      </w:r>
      <w:r>
        <w:rPr>
          <w:sz w:val="18"/>
        </w:rPr>
        <w:t>to</w:t>
      </w:r>
      <w:r>
        <w:rPr>
          <w:spacing w:val="-6"/>
          <w:sz w:val="18"/>
        </w:rPr>
        <w:t> </w:t>
      </w:r>
      <w:r>
        <w:rPr>
          <w:sz w:val="18"/>
        </w:rPr>
        <w:t>petrol</w:t>
      </w:r>
      <w:r>
        <w:rPr>
          <w:spacing w:val="-6"/>
          <w:sz w:val="18"/>
        </w:rPr>
        <w:t> </w:t>
      </w:r>
      <w:r>
        <w:rPr>
          <w:sz w:val="18"/>
        </w:rPr>
        <w:t>supplies,</w:t>
      </w:r>
      <w:r>
        <w:rPr>
          <w:spacing w:val="-6"/>
          <w:sz w:val="18"/>
        </w:rPr>
        <w:t> </w:t>
      </w:r>
      <w:r>
        <w:rPr>
          <w:sz w:val="18"/>
        </w:rPr>
        <w:t>or</w:t>
      </w:r>
      <w:r>
        <w:rPr>
          <w:spacing w:val="-6"/>
          <w:sz w:val="18"/>
        </w:rPr>
        <w:t> </w:t>
      </w:r>
      <w:r>
        <w:rPr>
          <w:sz w:val="18"/>
        </w:rPr>
        <w:t>were indicative of an underlying weakening in sentiment which would persist. Another month’s data would help to resolve this issue, and would cast further light on the puzzling behaviour of the labour market. Further information on the Government’s fiscal plans would</w:t>
      </w:r>
      <w:r>
        <w:rPr>
          <w:spacing w:val="-5"/>
          <w:sz w:val="18"/>
        </w:rPr>
        <w:t> </w:t>
      </w:r>
      <w:r>
        <w:rPr>
          <w:sz w:val="18"/>
        </w:rPr>
        <w:t>also</w:t>
      </w:r>
      <w:r>
        <w:rPr>
          <w:spacing w:val="-4"/>
          <w:sz w:val="18"/>
        </w:rPr>
        <w:t> </w:t>
      </w:r>
      <w:r>
        <w:rPr>
          <w:sz w:val="18"/>
        </w:rPr>
        <w:t>probably</w:t>
      </w:r>
      <w:r>
        <w:rPr>
          <w:spacing w:val="-4"/>
          <w:sz w:val="18"/>
        </w:rPr>
        <w:t> </w:t>
      </w:r>
      <w:r>
        <w:rPr>
          <w:sz w:val="18"/>
        </w:rPr>
        <w:t>become</w:t>
      </w:r>
      <w:r>
        <w:rPr>
          <w:spacing w:val="-4"/>
          <w:sz w:val="18"/>
        </w:rPr>
        <w:t> </w:t>
      </w:r>
      <w:r>
        <w:rPr>
          <w:sz w:val="18"/>
        </w:rPr>
        <w:t>available</w:t>
      </w:r>
      <w:r>
        <w:rPr>
          <w:spacing w:val="-4"/>
          <w:sz w:val="18"/>
        </w:rPr>
        <w:t> </w:t>
      </w:r>
      <w:r>
        <w:rPr>
          <w:sz w:val="18"/>
        </w:rPr>
        <w:t>in</w:t>
      </w:r>
      <w:r>
        <w:rPr>
          <w:spacing w:val="-4"/>
          <w:sz w:val="18"/>
        </w:rPr>
        <w:t> </w:t>
      </w:r>
      <w:r>
        <w:rPr>
          <w:sz w:val="18"/>
        </w:rPr>
        <w:t>the</w:t>
      </w:r>
      <w:r>
        <w:rPr>
          <w:spacing w:val="-4"/>
          <w:sz w:val="18"/>
        </w:rPr>
        <w:t> </w:t>
      </w:r>
      <w:r>
        <w:rPr>
          <w:sz w:val="18"/>
        </w:rPr>
        <w:t>pre-Budget</w:t>
      </w:r>
      <w:r>
        <w:rPr>
          <w:spacing w:val="-4"/>
          <w:sz w:val="18"/>
        </w:rPr>
        <w:t> </w:t>
      </w:r>
      <w:r>
        <w:rPr>
          <w:sz w:val="18"/>
        </w:rPr>
        <w:t>Report.</w:t>
      </w:r>
    </w:p>
    <w:p>
      <w:pPr>
        <w:spacing w:line="232" w:lineRule="auto" w:before="0"/>
        <w:ind w:left="180" w:right="135" w:firstLine="0"/>
        <w:jc w:val="left"/>
        <w:rPr>
          <w:sz w:val="18"/>
        </w:rPr>
      </w:pPr>
      <w:r>
        <w:rPr>
          <w:sz w:val="18"/>
        </w:rPr>
        <w:t>On balance therefore, and given also that any change in the repo rate this month would surprise the markets and put further upward pressure on a sterling exchange rate already nearly 2% higher than in the August </w:t>
      </w:r>
      <w:r>
        <w:rPr>
          <w:i/>
          <w:sz w:val="18"/>
        </w:rPr>
        <w:t>Inflation Report </w:t>
      </w:r>
      <w:r>
        <w:rPr>
          <w:sz w:val="18"/>
        </w:rPr>
        <w:t>projection, it was right to wait for some of these uncertainties to be resolved.</w:t>
      </w:r>
    </w:p>
    <w:p>
      <w:pPr>
        <w:pStyle w:val="ListParagraph"/>
        <w:numPr>
          <w:ilvl w:val="0"/>
          <w:numId w:val="54"/>
        </w:numPr>
        <w:tabs>
          <w:tab w:pos="659" w:val="left" w:leader="none"/>
          <w:tab w:pos="660" w:val="left" w:leader="none"/>
        </w:tabs>
        <w:spacing w:line="232" w:lineRule="auto" w:before="178" w:after="0"/>
        <w:ind w:left="180" w:right="42" w:firstLine="0"/>
        <w:jc w:val="left"/>
        <w:rPr>
          <w:sz w:val="18"/>
        </w:rPr>
      </w:pPr>
      <w:r>
        <w:rPr>
          <w:sz w:val="18"/>
        </w:rPr>
        <w:t>On another view, there was felt to be no case for a rise in interest rates now. The labour market picture was more encouraging, even though the recent negative contribution from bonuses was not expected to persist. More significant was the rate of growth of regular pay, which was not on this view inconsistent with current levels of tightness and with continued steady growth of employment. Recent outturns in earnings growth had been well below the projection in the August </w:t>
      </w:r>
      <w:r>
        <w:rPr>
          <w:i/>
          <w:sz w:val="18"/>
        </w:rPr>
        <w:t>Inflation Report </w:t>
      </w:r>
      <w:r>
        <w:rPr>
          <w:sz w:val="18"/>
        </w:rPr>
        <w:t>and the surge in pay growth associated with the millennium would not be repeated. The labour market did of course represent a risk to the outlook, but it had been tight—without generating inflationary pressures—for sufficiently long that it was better to react when there was clear evidence</w:t>
      </w:r>
      <w:r>
        <w:rPr>
          <w:spacing w:val="-5"/>
          <w:sz w:val="18"/>
        </w:rPr>
        <w:t> </w:t>
      </w:r>
      <w:r>
        <w:rPr>
          <w:sz w:val="18"/>
        </w:rPr>
        <w:t>that</w:t>
      </w:r>
      <w:r>
        <w:rPr>
          <w:spacing w:val="-4"/>
          <w:sz w:val="18"/>
        </w:rPr>
        <w:t> </w:t>
      </w:r>
      <w:r>
        <w:rPr>
          <w:sz w:val="18"/>
        </w:rPr>
        <w:t>those</w:t>
      </w:r>
      <w:r>
        <w:rPr>
          <w:spacing w:val="-4"/>
          <w:sz w:val="18"/>
        </w:rPr>
        <w:t> </w:t>
      </w:r>
      <w:r>
        <w:rPr>
          <w:sz w:val="18"/>
        </w:rPr>
        <w:t>risks</w:t>
      </w:r>
      <w:r>
        <w:rPr>
          <w:spacing w:val="-4"/>
          <w:sz w:val="18"/>
        </w:rPr>
        <w:t> </w:t>
      </w:r>
      <w:r>
        <w:rPr>
          <w:sz w:val="18"/>
        </w:rPr>
        <w:t>were</w:t>
      </w:r>
      <w:r>
        <w:rPr>
          <w:spacing w:val="-4"/>
          <w:sz w:val="18"/>
        </w:rPr>
        <w:t> </w:t>
      </w:r>
      <w:r>
        <w:rPr>
          <w:sz w:val="18"/>
        </w:rPr>
        <w:t>beginning</w:t>
      </w:r>
      <w:r>
        <w:rPr>
          <w:spacing w:val="-4"/>
          <w:sz w:val="18"/>
        </w:rPr>
        <w:t> </w:t>
      </w:r>
      <w:r>
        <w:rPr>
          <w:sz w:val="18"/>
        </w:rPr>
        <w:t>to</w:t>
      </w:r>
      <w:r>
        <w:rPr>
          <w:spacing w:val="-4"/>
          <w:sz w:val="18"/>
        </w:rPr>
        <w:t> </w:t>
      </w:r>
      <w:r>
        <w:rPr>
          <w:sz w:val="18"/>
        </w:rPr>
        <w:t>materialise</w:t>
      </w:r>
      <w:r>
        <w:rPr>
          <w:spacing w:val="-5"/>
          <w:sz w:val="18"/>
        </w:rPr>
        <w:t> </w:t>
      </w:r>
      <w:r>
        <w:rPr>
          <w:sz w:val="18"/>
        </w:rPr>
        <w:t>than</w:t>
      </w:r>
      <w:r>
        <w:rPr>
          <w:spacing w:val="-4"/>
          <w:sz w:val="18"/>
        </w:rPr>
        <w:t> </w:t>
      </w:r>
      <w:r>
        <w:rPr>
          <w:sz w:val="18"/>
        </w:rPr>
        <w:t>to</w:t>
      </w:r>
      <w:r>
        <w:rPr>
          <w:spacing w:val="-4"/>
          <w:sz w:val="18"/>
        </w:rPr>
        <w:t> </w:t>
      </w:r>
      <w:r>
        <w:rPr>
          <w:sz w:val="18"/>
        </w:rPr>
        <w:t>act</w:t>
      </w:r>
    </w:p>
    <w:p>
      <w:pPr>
        <w:pStyle w:val="BodyText"/>
        <w:spacing w:before="7"/>
        <w:rPr>
          <w:sz w:val="19"/>
        </w:rPr>
      </w:pPr>
      <w:r>
        <w:rPr/>
        <w:br w:type="column"/>
      </w:r>
      <w:r>
        <w:rPr>
          <w:sz w:val="19"/>
        </w:rPr>
      </w:r>
    </w:p>
    <w:p>
      <w:pPr>
        <w:spacing w:line="232" w:lineRule="auto" w:before="0"/>
        <w:ind w:left="180" w:right="155" w:firstLine="0"/>
        <w:jc w:val="left"/>
        <w:rPr>
          <w:sz w:val="18"/>
        </w:rPr>
      </w:pPr>
      <w:r>
        <w:rPr>
          <w:sz w:val="18"/>
        </w:rPr>
        <w:t>against them on the basis only of a forecast. More important, on this view, was whether the pace of productivity growth would remain above its historical trend.  The fact that the various measures of domestically generated inflation were at or below the inflation target was also helpful as it suggested less risk of breaching the target if the exchange rate were to fall. In addition, the current stance of policy was already slightly contractionary on the basis of estimates of the neutral level of interest rates. Dynamic monetary</w:t>
      </w:r>
      <w:r>
        <w:rPr>
          <w:spacing w:val="-6"/>
          <w:sz w:val="18"/>
        </w:rPr>
        <w:t> </w:t>
      </w:r>
      <w:r>
        <w:rPr>
          <w:sz w:val="18"/>
        </w:rPr>
        <w:t>conditions</w:t>
      </w:r>
      <w:r>
        <w:rPr>
          <w:spacing w:val="-6"/>
          <w:sz w:val="18"/>
        </w:rPr>
        <w:t> </w:t>
      </w:r>
      <w:r>
        <w:rPr>
          <w:sz w:val="18"/>
        </w:rPr>
        <w:t>indices</w:t>
      </w:r>
      <w:r>
        <w:rPr>
          <w:spacing w:val="-6"/>
          <w:sz w:val="18"/>
        </w:rPr>
        <w:t> </w:t>
      </w:r>
      <w:r>
        <w:rPr>
          <w:sz w:val="18"/>
        </w:rPr>
        <w:t>suggested</w:t>
      </w:r>
      <w:r>
        <w:rPr>
          <w:spacing w:val="-6"/>
          <w:sz w:val="18"/>
        </w:rPr>
        <w:t> </w:t>
      </w:r>
      <w:r>
        <w:rPr>
          <w:sz w:val="18"/>
        </w:rPr>
        <w:t>also</w:t>
      </w:r>
      <w:r>
        <w:rPr>
          <w:spacing w:val="-6"/>
          <w:sz w:val="18"/>
        </w:rPr>
        <w:t> </w:t>
      </w:r>
      <w:r>
        <w:rPr>
          <w:sz w:val="18"/>
        </w:rPr>
        <w:t>that</w:t>
      </w:r>
      <w:r>
        <w:rPr>
          <w:spacing w:val="-5"/>
          <w:sz w:val="18"/>
        </w:rPr>
        <w:t> </w:t>
      </w:r>
      <w:r>
        <w:rPr>
          <w:sz w:val="18"/>
        </w:rPr>
        <w:t>the</w:t>
      </w:r>
      <w:r>
        <w:rPr>
          <w:spacing w:val="-6"/>
          <w:sz w:val="18"/>
        </w:rPr>
        <w:t> </w:t>
      </w:r>
      <w:r>
        <w:rPr>
          <w:sz w:val="18"/>
        </w:rPr>
        <w:t>past</w:t>
      </w:r>
      <w:r>
        <w:rPr>
          <w:spacing w:val="-6"/>
          <w:sz w:val="18"/>
        </w:rPr>
        <w:t> </w:t>
      </w:r>
      <w:r>
        <w:rPr>
          <w:sz w:val="18"/>
        </w:rPr>
        <w:t>and</w:t>
      </w:r>
      <w:r>
        <w:rPr>
          <w:spacing w:val="-6"/>
          <w:sz w:val="18"/>
        </w:rPr>
        <w:t> </w:t>
      </w:r>
      <w:r>
        <w:rPr>
          <w:sz w:val="18"/>
        </w:rPr>
        <w:t>current levels of sterling and of interest rates would continue to provide tightening monetary conditions for up to two years. A more substantial uncertainty on this second view was the outlook for the oil market and for the world economy. The prospects for a soft landing in the US and for stronger growth in the euro area, the basis for the projected gentle slowdown in world growth, had reduced and were the main risks to the UK inflation outlook. It seemed more likely that instability in the oil market could persist and could be associated with equity market weakness.  The euro area remained vulnerable to a further oil shock, with more fragile demand and greater current inflationary pressures than were faced in the UK. Though the UK economy was well-placed to weather a further shock, confidence had already been shaken here too. So the downside risk was larger than it had been a month</w:t>
      </w:r>
      <w:r>
        <w:rPr>
          <w:spacing w:val="-21"/>
          <w:sz w:val="18"/>
        </w:rPr>
        <w:t> </w:t>
      </w:r>
      <w:r>
        <w:rPr>
          <w:sz w:val="18"/>
        </w:rPr>
        <w:t>ago.</w:t>
      </w:r>
    </w:p>
    <w:p>
      <w:pPr>
        <w:pStyle w:val="BodyText"/>
        <w:spacing w:before="10"/>
        <w:rPr>
          <w:sz w:val="15"/>
        </w:rPr>
      </w:pPr>
    </w:p>
    <w:p>
      <w:pPr>
        <w:pStyle w:val="ListParagraph"/>
        <w:numPr>
          <w:ilvl w:val="0"/>
          <w:numId w:val="54"/>
        </w:numPr>
        <w:tabs>
          <w:tab w:pos="660" w:val="left" w:leader="none"/>
        </w:tabs>
        <w:spacing w:line="232" w:lineRule="auto" w:before="0" w:after="0"/>
        <w:ind w:left="180" w:right="365" w:firstLine="0"/>
        <w:jc w:val="both"/>
        <w:rPr>
          <w:sz w:val="18"/>
        </w:rPr>
      </w:pPr>
      <w:r>
        <w:rPr>
          <w:sz w:val="18"/>
        </w:rPr>
        <w:t>The Governor invited members to vote on the proposition that the Bank’s repo rate be maintained at 6.0%. The Committee voted unanimously in favour of the</w:t>
      </w:r>
      <w:r>
        <w:rPr>
          <w:spacing w:val="-12"/>
          <w:sz w:val="18"/>
        </w:rPr>
        <w:t> </w:t>
      </w:r>
      <w:r>
        <w:rPr>
          <w:sz w:val="18"/>
        </w:rPr>
        <w:t>proposition.</w:t>
      </w:r>
    </w:p>
    <w:p>
      <w:pPr>
        <w:pStyle w:val="ListParagraph"/>
        <w:numPr>
          <w:ilvl w:val="0"/>
          <w:numId w:val="54"/>
        </w:numPr>
        <w:tabs>
          <w:tab w:pos="660" w:val="left" w:leader="none"/>
        </w:tabs>
        <w:spacing w:line="400" w:lineRule="exact" w:before="41" w:after="0"/>
        <w:ind w:left="180" w:right="525" w:firstLine="0"/>
        <w:jc w:val="both"/>
        <w:rPr>
          <w:sz w:val="18"/>
        </w:rPr>
      </w:pPr>
      <w:r>
        <w:rPr>
          <w:sz w:val="18"/>
        </w:rPr>
        <w:t>The following members of the Committee were present: Eddie George,</w:t>
      </w:r>
      <w:r>
        <w:rPr>
          <w:spacing w:val="-3"/>
          <w:sz w:val="18"/>
        </w:rPr>
        <w:t> </w:t>
      </w:r>
      <w:r>
        <w:rPr>
          <w:sz w:val="18"/>
        </w:rPr>
        <w:t>Governor</w:t>
      </w:r>
    </w:p>
    <w:p>
      <w:pPr>
        <w:spacing w:line="155" w:lineRule="exact" w:before="0"/>
        <w:ind w:left="180" w:right="0" w:firstLine="0"/>
        <w:jc w:val="left"/>
        <w:rPr>
          <w:sz w:val="18"/>
        </w:rPr>
      </w:pPr>
      <w:r>
        <w:rPr>
          <w:sz w:val="18"/>
        </w:rPr>
        <w:t>Mervyn King, Deputy Governor responsible for monetary policy</w:t>
      </w:r>
    </w:p>
    <w:p>
      <w:pPr>
        <w:spacing w:line="232" w:lineRule="auto" w:before="1"/>
        <w:ind w:left="180" w:right="736" w:firstLine="0"/>
        <w:jc w:val="left"/>
        <w:rPr>
          <w:sz w:val="18"/>
        </w:rPr>
      </w:pPr>
      <w:r>
        <w:rPr>
          <w:sz w:val="18"/>
        </w:rPr>
        <w:t>David Clementi, Deputy Governor responsible for financial stability</w:t>
      </w:r>
    </w:p>
    <w:p>
      <w:pPr>
        <w:spacing w:line="232" w:lineRule="auto" w:before="0"/>
        <w:ind w:left="180" w:right="3565" w:firstLine="0"/>
        <w:jc w:val="left"/>
        <w:rPr>
          <w:sz w:val="18"/>
        </w:rPr>
      </w:pPr>
      <w:r>
        <w:rPr>
          <w:sz w:val="18"/>
        </w:rPr>
        <w:t>Christopher Allsopp Charles Bean DeAnne Julius Stephen Nickell</w:t>
      </w:r>
    </w:p>
    <w:p>
      <w:pPr>
        <w:spacing w:line="232" w:lineRule="auto" w:before="0"/>
        <w:ind w:left="180" w:right="3755" w:firstLine="0"/>
        <w:jc w:val="left"/>
        <w:rPr>
          <w:sz w:val="18"/>
        </w:rPr>
      </w:pPr>
      <w:r>
        <w:rPr>
          <w:sz w:val="18"/>
        </w:rPr>
        <w:t>Ian Plenderleith Sushil Wadhwani</w:t>
      </w:r>
    </w:p>
    <w:p>
      <w:pPr>
        <w:pStyle w:val="BodyText"/>
        <w:spacing w:before="5"/>
        <w:rPr>
          <w:sz w:val="16"/>
        </w:rPr>
      </w:pPr>
    </w:p>
    <w:p>
      <w:pPr>
        <w:pStyle w:val="ListParagraph"/>
        <w:numPr>
          <w:ilvl w:val="0"/>
          <w:numId w:val="54"/>
        </w:numPr>
        <w:tabs>
          <w:tab w:pos="660" w:val="left" w:leader="none"/>
        </w:tabs>
        <w:spacing w:line="240" w:lineRule="auto" w:before="0" w:after="0"/>
        <w:ind w:left="659" w:right="0" w:hanging="480"/>
        <w:jc w:val="both"/>
        <w:rPr>
          <w:sz w:val="18"/>
        </w:rPr>
      </w:pPr>
      <w:r>
        <w:rPr>
          <w:sz w:val="18"/>
        </w:rPr>
        <w:t>Gus O’Donnell was present as the Treasury</w:t>
      </w:r>
      <w:r>
        <w:rPr>
          <w:spacing w:val="-27"/>
          <w:sz w:val="18"/>
        </w:rPr>
        <w:t> </w:t>
      </w:r>
      <w:r>
        <w:rPr>
          <w:sz w:val="18"/>
        </w:rPr>
        <w:t>representative.</w:t>
      </w:r>
    </w:p>
    <w:p>
      <w:pPr>
        <w:spacing w:after="0" w:line="240" w:lineRule="auto"/>
        <w:jc w:val="both"/>
        <w:rPr>
          <w:sz w:val="18"/>
        </w:rPr>
        <w:sectPr>
          <w:type w:val="continuous"/>
          <w:pgSz w:w="11900" w:h="16840"/>
          <w:pgMar w:top="1260" w:bottom="280" w:left="640" w:right="640"/>
          <w:cols w:num="2" w:equalWidth="0">
            <w:col w:w="5123" w:space="267"/>
            <w:col w:w="5230"/>
          </w:cols>
        </w:sectPr>
      </w:pPr>
    </w:p>
    <w:p>
      <w:pPr>
        <w:pStyle w:val="BodyText"/>
        <w:rPr>
          <w:sz w:val="20"/>
        </w:rPr>
      </w:pPr>
    </w:p>
    <w:p>
      <w:pPr>
        <w:pStyle w:val="BodyText"/>
        <w:rPr>
          <w:sz w:val="20"/>
        </w:rPr>
      </w:pPr>
    </w:p>
    <w:p>
      <w:pPr>
        <w:pStyle w:val="BodyText"/>
        <w:spacing w:before="1"/>
        <w:rPr>
          <w:sz w:val="16"/>
        </w:rPr>
      </w:pPr>
    </w:p>
    <w:p>
      <w:pPr>
        <w:pStyle w:val="Heading3"/>
        <w:ind w:left="185"/>
      </w:pPr>
      <w:r>
        <w:rPr>
          <w:color w:val="009391"/>
        </w:rPr>
        <w:t>Annex: Summary of data presented by Bank staff</w:t>
      </w:r>
    </w:p>
    <w:p>
      <w:pPr>
        <w:pStyle w:val="BodyText"/>
        <w:rPr>
          <w:b/>
          <w:sz w:val="20"/>
        </w:rPr>
      </w:pPr>
    </w:p>
    <w:p>
      <w:pPr>
        <w:spacing w:after="0"/>
        <w:rPr>
          <w:sz w:val="20"/>
        </w:rPr>
        <w:sectPr>
          <w:pgSz w:w="11900" w:h="16840"/>
          <w:pgMar w:header="566" w:footer="597" w:top="760" w:bottom="780" w:left="640" w:right="640"/>
        </w:sectPr>
      </w:pPr>
    </w:p>
    <w:p>
      <w:pPr>
        <w:pStyle w:val="BodyText"/>
        <w:spacing w:before="1"/>
        <w:rPr>
          <w:b/>
        </w:rPr>
      </w:pPr>
    </w:p>
    <w:p>
      <w:pPr>
        <w:pStyle w:val="ListParagraph"/>
        <w:numPr>
          <w:ilvl w:val="0"/>
          <w:numId w:val="55"/>
        </w:numPr>
        <w:tabs>
          <w:tab w:pos="669" w:val="left" w:leader="none"/>
          <w:tab w:pos="670" w:val="left" w:leader="none"/>
        </w:tabs>
        <w:spacing w:line="232" w:lineRule="auto" w:before="0" w:after="0"/>
        <w:ind w:left="190" w:right="82" w:firstLine="0"/>
        <w:jc w:val="left"/>
        <w:rPr>
          <w:sz w:val="18"/>
        </w:rPr>
      </w:pPr>
      <w:r>
        <w:rPr>
          <w:sz w:val="18"/>
        </w:rPr>
        <w:t>This</w:t>
      </w:r>
      <w:r>
        <w:rPr>
          <w:spacing w:val="-6"/>
          <w:sz w:val="18"/>
        </w:rPr>
        <w:t> </w:t>
      </w:r>
      <w:r>
        <w:rPr>
          <w:sz w:val="18"/>
        </w:rPr>
        <w:t>Annex</w:t>
      </w:r>
      <w:r>
        <w:rPr>
          <w:spacing w:val="-6"/>
          <w:sz w:val="18"/>
        </w:rPr>
        <w:t> </w:t>
      </w:r>
      <w:r>
        <w:rPr>
          <w:sz w:val="18"/>
        </w:rPr>
        <w:t>summarises</w:t>
      </w:r>
      <w:r>
        <w:rPr>
          <w:spacing w:val="-5"/>
          <w:sz w:val="18"/>
        </w:rPr>
        <w:t> </w:t>
      </w:r>
      <w:r>
        <w:rPr>
          <w:sz w:val="18"/>
        </w:rPr>
        <w:t>the</w:t>
      </w:r>
      <w:r>
        <w:rPr>
          <w:spacing w:val="-6"/>
          <w:sz w:val="18"/>
        </w:rPr>
        <w:t> </w:t>
      </w:r>
      <w:r>
        <w:rPr>
          <w:sz w:val="18"/>
        </w:rPr>
        <w:t>analysis</w:t>
      </w:r>
      <w:r>
        <w:rPr>
          <w:spacing w:val="-5"/>
          <w:sz w:val="18"/>
        </w:rPr>
        <w:t> </w:t>
      </w:r>
      <w:r>
        <w:rPr>
          <w:sz w:val="18"/>
        </w:rPr>
        <w:t>presented</w:t>
      </w:r>
      <w:r>
        <w:rPr>
          <w:spacing w:val="-6"/>
          <w:sz w:val="18"/>
        </w:rPr>
        <w:t> </w:t>
      </w:r>
      <w:r>
        <w:rPr>
          <w:sz w:val="18"/>
        </w:rPr>
        <w:t>by</w:t>
      </w:r>
      <w:r>
        <w:rPr>
          <w:spacing w:val="-6"/>
          <w:sz w:val="18"/>
        </w:rPr>
        <w:t> </w:t>
      </w:r>
      <w:r>
        <w:rPr>
          <w:sz w:val="18"/>
        </w:rPr>
        <w:t>Bank</w:t>
      </w:r>
      <w:r>
        <w:rPr>
          <w:spacing w:val="-5"/>
          <w:sz w:val="18"/>
        </w:rPr>
        <w:t> </w:t>
      </w:r>
      <w:r>
        <w:rPr>
          <w:sz w:val="18"/>
        </w:rPr>
        <w:t>staff to the Monetary Policy Committee on 29 September in advance of its meeting on 4–5 October 2000. At the start of the meeting itself, members were made aware of information that had subsequently become</w:t>
      </w:r>
      <w:r>
        <w:rPr>
          <w:spacing w:val="-5"/>
          <w:sz w:val="18"/>
        </w:rPr>
        <w:t> </w:t>
      </w:r>
      <w:r>
        <w:rPr>
          <w:sz w:val="18"/>
        </w:rPr>
        <w:t>available,</w:t>
      </w:r>
      <w:r>
        <w:rPr>
          <w:spacing w:val="-4"/>
          <w:sz w:val="18"/>
        </w:rPr>
        <w:t> </w:t>
      </w:r>
      <w:r>
        <w:rPr>
          <w:sz w:val="18"/>
        </w:rPr>
        <w:t>and</w:t>
      </w:r>
      <w:r>
        <w:rPr>
          <w:spacing w:val="-5"/>
          <w:sz w:val="18"/>
        </w:rPr>
        <w:t> </w:t>
      </w:r>
      <w:r>
        <w:rPr>
          <w:sz w:val="18"/>
        </w:rPr>
        <w:t>that</w:t>
      </w:r>
      <w:r>
        <w:rPr>
          <w:spacing w:val="-4"/>
          <w:sz w:val="18"/>
        </w:rPr>
        <w:t> </w:t>
      </w:r>
      <w:r>
        <w:rPr>
          <w:sz w:val="18"/>
        </w:rPr>
        <w:t>information</w:t>
      </w:r>
      <w:r>
        <w:rPr>
          <w:spacing w:val="-4"/>
          <w:sz w:val="18"/>
        </w:rPr>
        <w:t> </w:t>
      </w:r>
      <w:r>
        <w:rPr>
          <w:sz w:val="18"/>
        </w:rPr>
        <w:t>is</w:t>
      </w:r>
      <w:r>
        <w:rPr>
          <w:spacing w:val="-5"/>
          <w:sz w:val="18"/>
        </w:rPr>
        <w:t> </w:t>
      </w:r>
      <w:r>
        <w:rPr>
          <w:sz w:val="18"/>
        </w:rPr>
        <w:t>included</w:t>
      </w:r>
      <w:r>
        <w:rPr>
          <w:spacing w:val="-4"/>
          <w:sz w:val="18"/>
        </w:rPr>
        <w:t> </w:t>
      </w:r>
      <w:r>
        <w:rPr>
          <w:sz w:val="18"/>
        </w:rPr>
        <w:t>in</w:t>
      </w:r>
      <w:r>
        <w:rPr>
          <w:spacing w:val="-5"/>
          <w:sz w:val="18"/>
        </w:rPr>
        <w:t> </w:t>
      </w:r>
      <w:r>
        <w:rPr>
          <w:sz w:val="18"/>
        </w:rPr>
        <w:t>this</w:t>
      </w:r>
      <w:r>
        <w:rPr>
          <w:spacing w:val="-4"/>
          <w:sz w:val="18"/>
        </w:rPr>
        <w:t> </w:t>
      </w:r>
      <w:r>
        <w:rPr>
          <w:sz w:val="18"/>
        </w:rPr>
        <w:t>Annex.</w:t>
      </w:r>
    </w:p>
    <w:p>
      <w:pPr>
        <w:pStyle w:val="BodyText"/>
        <w:spacing w:before="4"/>
        <w:rPr>
          <w:sz w:val="20"/>
        </w:rPr>
      </w:pPr>
    </w:p>
    <w:p>
      <w:pPr>
        <w:pStyle w:val="ListParagraph"/>
        <w:numPr>
          <w:ilvl w:val="0"/>
          <w:numId w:val="56"/>
        </w:numPr>
        <w:tabs>
          <w:tab w:pos="669" w:val="left" w:leader="none"/>
          <w:tab w:pos="671" w:val="left" w:leader="none"/>
        </w:tabs>
        <w:spacing w:line="240" w:lineRule="auto" w:before="0" w:after="0"/>
        <w:ind w:left="670" w:right="0" w:hanging="481"/>
        <w:jc w:val="left"/>
        <w:rPr>
          <w:b/>
          <w:sz w:val="22"/>
        </w:rPr>
      </w:pPr>
      <w:r>
        <w:rPr>
          <w:b/>
          <w:color w:val="009391"/>
          <w:sz w:val="22"/>
        </w:rPr>
        <w:t>The international</w:t>
      </w:r>
      <w:r>
        <w:rPr>
          <w:b/>
          <w:color w:val="009391"/>
          <w:spacing w:val="-5"/>
          <w:sz w:val="22"/>
        </w:rPr>
        <w:t> </w:t>
      </w:r>
      <w:r>
        <w:rPr>
          <w:b/>
          <w:color w:val="009391"/>
          <w:sz w:val="22"/>
        </w:rPr>
        <w:t>environment</w:t>
      </w:r>
    </w:p>
    <w:p>
      <w:pPr>
        <w:pStyle w:val="ListParagraph"/>
        <w:numPr>
          <w:ilvl w:val="0"/>
          <w:numId w:val="55"/>
        </w:numPr>
        <w:tabs>
          <w:tab w:pos="669" w:val="left" w:leader="none"/>
          <w:tab w:pos="670" w:val="left" w:leader="none"/>
        </w:tabs>
        <w:spacing w:line="232" w:lineRule="auto" w:before="109" w:after="0"/>
        <w:ind w:left="190" w:right="38" w:firstLine="0"/>
        <w:jc w:val="left"/>
        <w:rPr>
          <w:sz w:val="18"/>
        </w:rPr>
      </w:pPr>
      <w:r>
        <w:rPr>
          <w:sz w:val="18"/>
        </w:rPr>
        <w:t>Q2 GDP growth in the United States had been revised up slightly to 1.4% on the quarter (from 1.3%). Consensus forecasts for US growth in 2000 and 2001 had also been revised upwards (to 5.2% for 2000, and 3.7% for 2001). Industrial production had been 0.3% higher on the month in August, but the three-month growth rate had slowed from its peak in Q2. Quarterly US consumption growth in Q2 had been revised up to 0.8%. Monthly consumption data</w:t>
      </w:r>
      <w:r>
        <w:rPr>
          <w:spacing w:val="-4"/>
          <w:sz w:val="18"/>
        </w:rPr>
        <w:t> </w:t>
      </w:r>
      <w:r>
        <w:rPr>
          <w:sz w:val="18"/>
        </w:rPr>
        <w:t>for</w:t>
      </w:r>
      <w:r>
        <w:rPr>
          <w:spacing w:val="-5"/>
          <w:sz w:val="18"/>
        </w:rPr>
        <w:t> </w:t>
      </w:r>
      <w:r>
        <w:rPr>
          <w:sz w:val="18"/>
        </w:rPr>
        <w:t>July</w:t>
      </w:r>
      <w:r>
        <w:rPr>
          <w:spacing w:val="-4"/>
          <w:sz w:val="18"/>
        </w:rPr>
        <w:t> </w:t>
      </w:r>
      <w:r>
        <w:rPr>
          <w:sz w:val="18"/>
        </w:rPr>
        <w:t>and</w:t>
      </w:r>
      <w:r>
        <w:rPr>
          <w:spacing w:val="-4"/>
          <w:sz w:val="18"/>
        </w:rPr>
        <w:t> </w:t>
      </w:r>
      <w:r>
        <w:rPr>
          <w:sz w:val="18"/>
        </w:rPr>
        <w:t>August</w:t>
      </w:r>
      <w:r>
        <w:rPr>
          <w:spacing w:val="-4"/>
          <w:sz w:val="18"/>
        </w:rPr>
        <w:t> </w:t>
      </w:r>
      <w:r>
        <w:rPr>
          <w:sz w:val="18"/>
        </w:rPr>
        <w:t>had</w:t>
      </w:r>
      <w:r>
        <w:rPr>
          <w:spacing w:val="-4"/>
          <w:sz w:val="18"/>
        </w:rPr>
        <w:t> </w:t>
      </w:r>
      <w:r>
        <w:rPr>
          <w:sz w:val="18"/>
        </w:rPr>
        <w:t>ticked</w:t>
      </w:r>
      <w:r>
        <w:rPr>
          <w:spacing w:val="-4"/>
          <w:sz w:val="18"/>
        </w:rPr>
        <w:t> </w:t>
      </w:r>
      <w:r>
        <w:rPr>
          <w:sz w:val="18"/>
        </w:rPr>
        <w:t>up</w:t>
      </w:r>
      <w:r>
        <w:rPr>
          <w:spacing w:val="-4"/>
          <w:sz w:val="18"/>
        </w:rPr>
        <w:t> </w:t>
      </w:r>
      <w:r>
        <w:rPr>
          <w:sz w:val="18"/>
        </w:rPr>
        <w:t>slightly</w:t>
      </w:r>
      <w:r>
        <w:rPr>
          <w:spacing w:val="-4"/>
          <w:sz w:val="18"/>
        </w:rPr>
        <w:t> </w:t>
      </w:r>
      <w:r>
        <w:rPr>
          <w:sz w:val="18"/>
        </w:rPr>
        <w:t>to</w:t>
      </w:r>
      <w:r>
        <w:rPr>
          <w:spacing w:val="-4"/>
          <w:sz w:val="18"/>
        </w:rPr>
        <w:t> </w:t>
      </w:r>
      <w:r>
        <w:rPr>
          <w:sz w:val="18"/>
        </w:rPr>
        <w:t>give</w:t>
      </w:r>
      <w:r>
        <w:rPr>
          <w:spacing w:val="-4"/>
          <w:sz w:val="18"/>
        </w:rPr>
        <w:t> </w:t>
      </w:r>
      <w:r>
        <w:rPr>
          <w:sz w:val="18"/>
        </w:rPr>
        <w:t>a</w:t>
      </w:r>
      <w:r>
        <w:rPr>
          <w:spacing w:val="-4"/>
          <w:sz w:val="18"/>
        </w:rPr>
        <w:t> </w:t>
      </w:r>
      <w:r>
        <w:rPr>
          <w:sz w:val="18"/>
        </w:rPr>
        <w:t>growth</w:t>
      </w:r>
      <w:r>
        <w:rPr>
          <w:spacing w:val="-4"/>
          <w:sz w:val="18"/>
        </w:rPr>
        <w:t> </w:t>
      </w:r>
      <w:r>
        <w:rPr>
          <w:sz w:val="18"/>
        </w:rPr>
        <w:t>rate of 0.9% in the three months to August, and this was consistent with the recent pick-up in the US consumer confidence survey. Investment had risen by 2.7% in Q2, making a strong contribution to GDP, and recent new orders data for the United States, while somewhat weaker, supported the view that this could continue into Q3. The National Association of Purchasing Managers index had risen marginally in September to 49.9. Export volumes had fallen sharply by 2.4% on the month in July, with import volumes up by 0.1%.</w:t>
      </w:r>
    </w:p>
    <w:p>
      <w:pPr>
        <w:pStyle w:val="BodyText"/>
        <w:spacing w:before="3"/>
        <w:rPr>
          <w:sz w:val="16"/>
        </w:rPr>
      </w:pPr>
    </w:p>
    <w:p>
      <w:pPr>
        <w:pStyle w:val="ListParagraph"/>
        <w:numPr>
          <w:ilvl w:val="0"/>
          <w:numId w:val="55"/>
        </w:numPr>
        <w:tabs>
          <w:tab w:pos="669" w:val="left" w:leader="none"/>
          <w:tab w:pos="670" w:val="left" w:leader="none"/>
        </w:tabs>
        <w:spacing w:line="232" w:lineRule="auto" w:before="0" w:after="0"/>
        <w:ind w:left="190" w:right="82" w:firstLine="0"/>
        <w:jc w:val="left"/>
        <w:rPr>
          <w:sz w:val="18"/>
        </w:rPr>
      </w:pPr>
      <w:r>
        <w:rPr>
          <w:sz w:val="18"/>
        </w:rPr>
        <w:t>Euro-area GDP had grown by 0.9% in Q2. Consumption had remained strong, contributing 0.6 percentage points to growth. Investment in Q2 had been flat, and net trade had made a negative contribution. As reported in the previous month, German GDP had grown strongly in Q2 at 1.1% on the quarter. But the German IFO index had fallen for a third consecutive month in August, albeit only moderately, and in contrast with continued positive German orders data. The French economy had grown at 0.7% on the quarter, and Italian growth in Q2 had been 0.3%. The euro-area unemployment rate had remained unchanged at 9.0% in</w:t>
      </w:r>
      <w:r>
        <w:rPr>
          <w:spacing w:val="-32"/>
          <w:sz w:val="18"/>
        </w:rPr>
        <w:t> </w:t>
      </w:r>
      <w:r>
        <w:rPr>
          <w:sz w:val="18"/>
        </w:rPr>
        <w:t>August.</w:t>
      </w:r>
    </w:p>
    <w:p>
      <w:pPr>
        <w:pStyle w:val="BodyText"/>
        <w:spacing w:before="8"/>
        <w:rPr>
          <w:sz w:val="16"/>
        </w:rPr>
      </w:pPr>
    </w:p>
    <w:p>
      <w:pPr>
        <w:pStyle w:val="ListParagraph"/>
        <w:numPr>
          <w:ilvl w:val="0"/>
          <w:numId w:val="55"/>
        </w:numPr>
        <w:tabs>
          <w:tab w:pos="669" w:val="left" w:leader="none"/>
          <w:tab w:pos="670" w:val="left" w:leader="none"/>
        </w:tabs>
        <w:spacing w:line="232" w:lineRule="auto" w:before="0" w:after="0"/>
        <w:ind w:left="190" w:right="352" w:firstLine="0"/>
        <w:jc w:val="left"/>
        <w:rPr>
          <w:sz w:val="18"/>
        </w:rPr>
      </w:pPr>
      <w:r>
        <w:rPr>
          <w:sz w:val="18"/>
        </w:rPr>
        <w:t>Japanese</w:t>
      </w:r>
      <w:r>
        <w:rPr>
          <w:spacing w:val="-5"/>
          <w:sz w:val="18"/>
        </w:rPr>
        <w:t> </w:t>
      </w:r>
      <w:r>
        <w:rPr>
          <w:sz w:val="18"/>
        </w:rPr>
        <w:t>GDP</w:t>
      </w:r>
      <w:r>
        <w:rPr>
          <w:spacing w:val="-4"/>
          <w:sz w:val="18"/>
        </w:rPr>
        <w:t> </w:t>
      </w:r>
      <w:r>
        <w:rPr>
          <w:sz w:val="18"/>
        </w:rPr>
        <w:t>had</w:t>
      </w:r>
      <w:r>
        <w:rPr>
          <w:spacing w:val="-5"/>
          <w:sz w:val="18"/>
        </w:rPr>
        <w:t> </w:t>
      </w:r>
      <w:r>
        <w:rPr>
          <w:sz w:val="18"/>
        </w:rPr>
        <w:t>grown</w:t>
      </w:r>
      <w:r>
        <w:rPr>
          <w:spacing w:val="-4"/>
          <w:sz w:val="18"/>
        </w:rPr>
        <w:t> </w:t>
      </w:r>
      <w:r>
        <w:rPr>
          <w:sz w:val="18"/>
        </w:rPr>
        <w:t>by</w:t>
      </w:r>
      <w:r>
        <w:rPr>
          <w:spacing w:val="-4"/>
          <w:sz w:val="18"/>
        </w:rPr>
        <w:t> </w:t>
      </w:r>
      <w:r>
        <w:rPr>
          <w:sz w:val="18"/>
        </w:rPr>
        <w:t>1%</w:t>
      </w:r>
      <w:r>
        <w:rPr>
          <w:spacing w:val="-5"/>
          <w:sz w:val="18"/>
        </w:rPr>
        <w:t> </w:t>
      </w:r>
      <w:r>
        <w:rPr>
          <w:sz w:val="18"/>
        </w:rPr>
        <w:t>in</w:t>
      </w:r>
      <w:r>
        <w:rPr>
          <w:spacing w:val="-4"/>
          <w:sz w:val="18"/>
        </w:rPr>
        <w:t> </w:t>
      </w:r>
      <w:r>
        <w:rPr>
          <w:sz w:val="18"/>
        </w:rPr>
        <w:t>Q2,</w:t>
      </w:r>
      <w:r>
        <w:rPr>
          <w:spacing w:val="-5"/>
          <w:sz w:val="18"/>
        </w:rPr>
        <w:t> </w:t>
      </w:r>
      <w:r>
        <w:rPr>
          <w:sz w:val="18"/>
        </w:rPr>
        <w:t>having</w:t>
      </w:r>
      <w:r>
        <w:rPr>
          <w:spacing w:val="-4"/>
          <w:sz w:val="18"/>
        </w:rPr>
        <w:t> </w:t>
      </w:r>
      <w:r>
        <w:rPr>
          <w:sz w:val="18"/>
        </w:rPr>
        <w:t>benefited from a strong contribution from public expenditure</w:t>
      </w:r>
      <w:r>
        <w:rPr>
          <w:spacing w:val="-19"/>
          <w:sz w:val="18"/>
        </w:rPr>
        <w:t> </w:t>
      </w:r>
      <w:r>
        <w:rPr>
          <w:sz w:val="18"/>
        </w:rPr>
        <w:t>of</w:t>
      </w:r>
    </w:p>
    <w:p>
      <w:pPr>
        <w:spacing w:line="197" w:lineRule="exact" w:before="0"/>
        <w:ind w:left="190" w:right="0" w:firstLine="0"/>
        <w:jc w:val="left"/>
        <w:rPr>
          <w:sz w:val="18"/>
        </w:rPr>
      </w:pPr>
      <w:r>
        <w:rPr>
          <w:sz w:val="18"/>
        </w:rPr>
        <w:t>0.9 percentage points. Private consumption had made a</w:t>
      </w:r>
    </w:p>
    <w:p>
      <w:pPr>
        <w:spacing w:line="232" w:lineRule="auto" w:before="2"/>
        <w:ind w:left="190" w:right="58" w:firstLine="0"/>
        <w:jc w:val="left"/>
        <w:rPr>
          <w:sz w:val="18"/>
        </w:rPr>
      </w:pPr>
      <w:r>
        <w:rPr>
          <w:sz w:val="18"/>
        </w:rPr>
        <w:t>0.6 percentage point contribution to GDP growth. In contrast, investment had made an equivalent negative contribution, though this was not in line with either the monthly indicators or strong corporate</w:t>
      </w:r>
      <w:r>
        <w:rPr>
          <w:spacing w:val="-5"/>
          <w:sz w:val="18"/>
        </w:rPr>
        <w:t> </w:t>
      </w:r>
      <w:r>
        <w:rPr>
          <w:sz w:val="18"/>
        </w:rPr>
        <w:t>profit</w:t>
      </w:r>
      <w:r>
        <w:rPr>
          <w:spacing w:val="-5"/>
          <w:sz w:val="18"/>
        </w:rPr>
        <w:t> </w:t>
      </w:r>
      <w:r>
        <w:rPr>
          <w:sz w:val="18"/>
        </w:rPr>
        <w:t>growth,</w:t>
      </w:r>
      <w:r>
        <w:rPr>
          <w:spacing w:val="-4"/>
          <w:sz w:val="18"/>
        </w:rPr>
        <w:t> </w:t>
      </w:r>
      <w:r>
        <w:rPr>
          <w:sz w:val="18"/>
        </w:rPr>
        <w:t>both</w:t>
      </w:r>
      <w:r>
        <w:rPr>
          <w:spacing w:val="-5"/>
          <w:sz w:val="18"/>
        </w:rPr>
        <w:t> </w:t>
      </w:r>
      <w:r>
        <w:rPr>
          <w:sz w:val="18"/>
        </w:rPr>
        <w:t>of</w:t>
      </w:r>
      <w:r>
        <w:rPr>
          <w:spacing w:val="-4"/>
          <w:sz w:val="18"/>
        </w:rPr>
        <w:t> </w:t>
      </w:r>
      <w:r>
        <w:rPr>
          <w:sz w:val="18"/>
        </w:rPr>
        <w:t>which</w:t>
      </w:r>
      <w:r>
        <w:rPr>
          <w:spacing w:val="-5"/>
          <w:sz w:val="18"/>
        </w:rPr>
        <w:t> </w:t>
      </w:r>
      <w:r>
        <w:rPr>
          <w:sz w:val="18"/>
        </w:rPr>
        <w:t>had</w:t>
      </w:r>
      <w:r>
        <w:rPr>
          <w:spacing w:val="-5"/>
          <w:sz w:val="18"/>
        </w:rPr>
        <w:t> </w:t>
      </w:r>
      <w:r>
        <w:rPr>
          <w:sz w:val="18"/>
        </w:rPr>
        <w:t>been</w:t>
      </w:r>
      <w:r>
        <w:rPr>
          <w:spacing w:val="-4"/>
          <w:sz w:val="18"/>
        </w:rPr>
        <w:t> </w:t>
      </w:r>
      <w:r>
        <w:rPr>
          <w:sz w:val="18"/>
        </w:rPr>
        <w:t>on</w:t>
      </w:r>
      <w:r>
        <w:rPr>
          <w:spacing w:val="-5"/>
          <w:sz w:val="18"/>
        </w:rPr>
        <w:t> </w:t>
      </w:r>
      <w:r>
        <w:rPr>
          <w:sz w:val="18"/>
        </w:rPr>
        <w:t>an</w:t>
      </w:r>
      <w:r>
        <w:rPr>
          <w:spacing w:val="-4"/>
          <w:sz w:val="18"/>
        </w:rPr>
        <w:t> </w:t>
      </w:r>
      <w:r>
        <w:rPr>
          <w:sz w:val="18"/>
        </w:rPr>
        <w:t>upward</w:t>
      </w:r>
      <w:r>
        <w:rPr>
          <w:spacing w:val="-5"/>
          <w:sz w:val="18"/>
        </w:rPr>
        <w:t> </w:t>
      </w:r>
      <w:r>
        <w:rPr>
          <w:sz w:val="18"/>
        </w:rPr>
        <w:t>trend since mid-1999.  The Tankan survey had shown business conditions improving for the seventh consecutive</w:t>
      </w:r>
      <w:r>
        <w:rPr>
          <w:spacing w:val="-18"/>
          <w:sz w:val="18"/>
        </w:rPr>
        <w:t> </w:t>
      </w:r>
      <w:r>
        <w:rPr>
          <w:sz w:val="18"/>
        </w:rPr>
        <w:t>quarter.</w:t>
      </w:r>
    </w:p>
    <w:p>
      <w:pPr>
        <w:spacing w:line="232" w:lineRule="auto" w:before="0"/>
        <w:ind w:left="190" w:right="318" w:firstLine="0"/>
        <w:jc w:val="left"/>
        <w:rPr>
          <w:sz w:val="18"/>
        </w:rPr>
      </w:pPr>
      <w:r>
        <w:rPr>
          <w:sz w:val="18"/>
        </w:rPr>
        <w:t>Industrial production had risen by 3.3% on the month in August and by 8.3% on a year earlier.</w:t>
      </w:r>
    </w:p>
    <w:p>
      <w:pPr>
        <w:pStyle w:val="BodyText"/>
        <w:spacing w:before="10"/>
        <w:rPr>
          <w:sz w:val="16"/>
        </w:rPr>
      </w:pPr>
    </w:p>
    <w:p>
      <w:pPr>
        <w:pStyle w:val="ListParagraph"/>
        <w:numPr>
          <w:ilvl w:val="0"/>
          <w:numId w:val="55"/>
        </w:numPr>
        <w:tabs>
          <w:tab w:pos="669" w:val="left" w:leader="none"/>
          <w:tab w:pos="670" w:val="left" w:leader="none"/>
        </w:tabs>
        <w:spacing w:line="232" w:lineRule="auto" w:before="0" w:after="0"/>
        <w:ind w:left="190" w:right="63" w:firstLine="0"/>
        <w:jc w:val="left"/>
        <w:rPr>
          <w:sz w:val="18"/>
        </w:rPr>
      </w:pPr>
      <w:r>
        <w:rPr>
          <w:sz w:val="18"/>
        </w:rPr>
        <w:t>In</w:t>
      </w:r>
      <w:r>
        <w:rPr>
          <w:spacing w:val="-7"/>
          <w:sz w:val="18"/>
        </w:rPr>
        <w:t> </w:t>
      </w:r>
      <w:r>
        <w:rPr>
          <w:sz w:val="18"/>
        </w:rPr>
        <w:t>the</w:t>
      </w:r>
      <w:r>
        <w:rPr>
          <w:spacing w:val="-6"/>
          <w:sz w:val="18"/>
        </w:rPr>
        <w:t> </w:t>
      </w:r>
      <w:r>
        <w:rPr>
          <w:sz w:val="18"/>
        </w:rPr>
        <w:t>emerging</w:t>
      </w:r>
      <w:r>
        <w:rPr>
          <w:spacing w:val="-7"/>
          <w:sz w:val="18"/>
        </w:rPr>
        <w:t> </w:t>
      </w:r>
      <w:r>
        <w:rPr>
          <w:sz w:val="18"/>
        </w:rPr>
        <w:t>market</w:t>
      </w:r>
      <w:r>
        <w:rPr>
          <w:spacing w:val="-6"/>
          <w:sz w:val="18"/>
        </w:rPr>
        <w:t> </w:t>
      </w:r>
      <w:r>
        <w:rPr>
          <w:sz w:val="18"/>
        </w:rPr>
        <w:t>economies,</w:t>
      </w:r>
      <w:r>
        <w:rPr>
          <w:spacing w:val="-7"/>
          <w:sz w:val="18"/>
        </w:rPr>
        <w:t> </w:t>
      </w:r>
      <w:r>
        <w:rPr>
          <w:sz w:val="18"/>
        </w:rPr>
        <w:t>industrial</w:t>
      </w:r>
      <w:r>
        <w:rPr>
          <w:spacing w:val="-6"/>
          <w:sz w:val="18"/>
        </w:rPr>
        <w:t> </w:t>
      </w:r>
      <w:r>
        <w:rPr>
          <w:sz w:val="18"/>
        </w:rPr>
        <w:t>production</w:t>
      </w:r>
      <w:r>
        <w:rPr>
          <w:spacing w:val="-7"/>
          <w:sz w:val="18"/>
        </w:rPr>
        <w:t> </w:t>
      </w:r>
      <w:r>
        <w:rPr>
          <w:sz w:val="18"/>
        </w:rPr>
        <w:t>had been rising at an annual rate of about 8% since the start of the year. But equity indices in emerging markets had recently fallen back, particularly in</w:t>
      </w:r>
      <w:r>
        <w:rPr>
          <w:spacing w:val="-3"/>
          <w:sz w:val="18"/>
        </w:rPr>
        <w:t> </w:t>
      </w:r>
      <w:r>
        <w:rPr>
          <w:sz w:val="18"/>
        </w:rPr>
        <w:t>Asia.</w:t>
      </w:r>
    </w:p>
    <w:p>
      <w:pPr>
        <w:pStyle w:val="BodyText"/>
        <w:spacing w:before="1"/>
        <w:rPr>
          <w:sz w:val="17"/>
        </w:rPr>
      </w:pPr>
    </w:p>
    <w:p>
      <w:pPr>
        <w:pStyle w:val="ListParagraph"/>
        <w:numPr>
          <w:ilvl w:val="0"/>
          <w:numId w:val="55"/>
        </w:numPr>
        <w:tabs>
          <w:tab w:pos="669" w:val="left" w:leader="none"/>
          <w:tab w:pos="670" w:val="left" w:leader="none"/>
        </w:tabs>
        <w:spacing w:line="232" w:lineRule="auto" w:before="0" w:after="0"/>
        <w:ind w:left="190" w:right="38" w:firstLine="0"/>
        <w:jc w:val="left"/>
        <w:rPr>
          <w:sz w:val="18"/>
        </w:rPr>
      </w:pPr>
      <w:r>
        <w:rPr>
          <w:sz w:val="18"/>
        </w:rPr>
        <w:t>Futures</w:t>
      </w:r>
      <w:r>
        <w:rPr>
          <w:spacing w:val="-5"/>
          <w:sz w:val="18"/>
        </w:rPr>
        <w:t> </w:t>
      </w:r>
      <w:r>
        <w:rPr>
          <w:sz w:val="18"/>
        </w:rPr>
        <w:t>prices</w:t>
      </w:r>
      <w:r>
        <w:rPr>
          <w:spacing w:val="-4"/>
          <w:sz w:val="18"/>
        </w:rPr>
        <w:t> </w:t>
      </w:r>
      <w:r>
        <w:rPr>
          <w:sz w:val="18"/>
        </w:rPr>
        <w:t>were</w:t>
      </w:r>
      <w:r>
        <w:rPr>
          <w:spacing w:val="-5"/>
          <w:sz w:val="18"/>
        </w:rPr>
        <w:t> </w:t>
      </w:r>
      <w:r>
        <w:rPr>
          <w:sz w:val="18"/>
        </w:rPr>
        <w:t>indicating</w:t>
      </w:r>
      <w:r>
        <w:rPr>
          <w:spacing w:val="-4"/>
          <w:sz w:val="18"/>
        </w:rPr>
        <w:t> </w:t>
      </w:r>
      <w:r>
        <w:rPr>
          <w:sz w:val="18"/>
        </w:rPr>
        <w:t>a</w:t>
      </w:r>
      <w:r>
        <w:rPr>
          <w:spacing w:val="-5"/>
          <w:sz w:val="18"/>
        </w:rPr>
        <w:t> </w:t>
      </w:r>
      <w:r>
        <w:rPr>
          <w:sz w:val="18"/>
        </w:rPr>
        <w:t>fall</w:t>
      </w:r>
      <w:r>
        <w:rPr>
          <w:spacing w:val="-4"/>
          <w:sz w:val="18"/>
        </w:rPr>
        <w:t> </w:t>
      </w:r>
      <w:r>
        <w:rPr>
          <w:sz w:val="18"/>
        </w:rPr>
        <w:t>in</w:t>
      </w:r>
      <w:r>
        <w:rPr>
          <w:spacing w:val="-5"/>
          <w:sz w:val="18"/>
        </w:rPr>
        <w:t> </w:t>
      </w:r>
      <w:r>
        <w:rPr>
          <w:sz w:val="18"/>
        </w:rPr>
        <w:t>oil</w:t>
      </w:r>
      <w:r>
        <w:rPr>
          <w:spacing w:val="-4"/>
          <w:sz w:val="18"/>
        </w:rPr>
        <w:t> </w:t>
      </w:r>
      <w:r>
        <w:rPr>
          <w:sz w:val="18"/>
        </w:rPr>
        <w:t>prices</w:t>
      </w:r>
      <w:r>
        <w:rPr>
          <w:spacing w:val="-4"/>
          <w:sz w:val="18"/>
        </w:rPr>
        <w:t> </w:t>
      </w:r>
      <w:r>
        <w:rPr>
          <w:sz w:val="18"/>
        </w:rPr>
        <w:t>to</w:t>
      </w:r>
      <w:r>
        <w:rPr>
          <w:spacing w:val="-5"/>
          <w:sz w:val="18"/>
        </w:rPr>
        <w:t> </w:t>
      </w:r>
      <w:r>
        <w:rPr>
          <w:sz w:val="18"/>
        </w:rPr>
        <w:t>about</w:t>
      </w:r>
      <w:r>
        <w:rPr>
          <w:spacing w:val="-4"/>
          <w:sz w:val="18"/>
        </w:rPr>
        <w:t> </w:t>
      </w:r>
      <w:r>
        <w:rPr>
          <w:sz w:val="18"/>
        </w:rPr>
        <w:t>$25 per barrel in two years’ time. OPEC production was now back at levels seen in 1998, though world demand had risen since then. Bank analysis of options price data had suggested that one outcome of the US government’s announced release of part of its strategic oil reserves was to have reduced noticeably the probability the market attached to a rise in the oil price above $40 per barrel in the coming</w:t>
      </w:r>
      <w:r>
        <w:rPr>
          <w:spacing w:val="-2"/>
          <w:sz w:val="18"/>
        </w:rPr>
        <w:t> </w:t>
      </w:r>
      <w:r>
        <w:rPr>
          <w:sz w:val="18"/>
        </w:rPr>
        <w:t>months.</w:t>
      </w:r>
    </w:p>
    <w:p>
      <w:pPr>
        <w:pStyle w:val="BodyText"/>
        <w:spacing w:before="10"/>
        <w:rPr>
          <w:sz w:val="16"/>
        </w:rPr>
      </w:pPr>
    </w:p>
    <w:p>
      <w:pPr>
        <w:pStyle w:val="ListParagraph"/>
        <w:numPr>
          <w:ilvl w:val="0"/>
          <w:numId w:val="55"/>
        </w:numPr>
        <w:tabs>
          <w:tab w:pos="669" w:val="left" w:leader="none"/>
          <w:tab w:pos="670" w:val="left" w:leader="none"/>
        </w:tabs>
        <w:spacing w:line="232" w:lineRule="auto" w:before="0" w:after="0"/>
        <w:ind w:left="190" w:right="267" w:firstLine="0"/>
        <w:jc w:val="left"/>
        <w:rPr>
          <w:sz w:val="18"/>
        </w:rPr>
      </w:pPr>
      <w:r>
        <w:rPr>
          <w:sz w:val="18"/>
        </w:rPr>
        <w:t>US import price inflation was below the rate at the start of 2000. US consumer prices had fallen by 0.1% on the month in August,</w:t>
      </w:r>
      <w:r>
        <w:rPr>
          <w:spacing w:val="-5"/>
          <w:sz w:val="18"/>
        </w:rPr>
        <w:t> </w:t>
      </w:r>
      <w:r>
        <w:rPr>
          <w:sz w:val="18"/>
        </w:rPr>
        <w:t>probably</w:t>
      </w:r>
      <w:r>
        <w:rPr>
          <w:spacing w:val="-4"/>
          <w:sz w:val="18"/>
        </w:rPr>
        <w:t> </w:t>
      </w:r>
      <w:r>
        <w:rPr>
          <w:sz w:val="18"/>
        </w:rPr>
        <w:t>reflecting</w:t>
      </w:r>
      <w:r>
        <w:rPr>
          <w:spacing w:val="-4"/>
          <w:sz w:val="18"/>
        </w:rPr>
        <w:t> </w:t>
      </w:r>
      <w:r>
        <w:rPr>
          <w:sz w:val="18"/>
        </w:rPr>
        <w:t>a</w:t>
      </w:r>
      <w:r>
        <w:rPr>
          <w:spacing w:val="-4"/>
          <w:sz w:val="18"/>
        </w:rPr>
        <w:t> </w:t>
      </w:r>
      <w:r>
        <w:rPr>
          <w:sz w:val="18"/>
        </w:rPr>
        <w:t>temporary</w:t>
      </w:r>
      <w:r>
        <w:rPr>
          <w:spacing w:val="-4"/>
          <w:sz w:val="18"/>
        </w:rPr>
        <w:t> </w:t>
      </w:r>
      <w:r>
        <w:rPr>
          <w:sz w:val="18"/>
        </w:rPr>
        <w:t>dip</w:t>
      </w:r>
      <w:r>
        <w:rPr>
          <w:spacing w:val="-5"/>
          <w:sz w:val="18"/>
        </w:rPr>
        <w:t> </w:t>
      </w:r>
      <w:r>
        <w:rPr>
          <w:sz w:val="18"/>
        </w:rPr>
        <w:t>in</w:t>
      </w:r>
      <w:r>
        <w:rPr>
          <w:spacing w:val="-4"/>
          <w:sz w:val="18"/>
        </w:rPr>
        <w:t> </w:t>
      </w:r>
      <w:r>
        <w:rPr>
          <w:sz w:val="18"/>
        </w:rPr>
        <w:t>the</w:t>
      </w:r>
      <w:r>
        <w:rPr>
          <w:spacing w:val="-4"/>
          <w:sz w:val="18"/>
        </w:rPr>
        <w:t> </w:t>
      </w:r>
      <w:r>
        <w:rPr>
          <w:sz w:val="18"/>
        </w:rPr>
        <w:t>oil</w:t>
      </w:r>
      <w:r>
        <w:rPr>
          <w:spacing w:val="-4"/>
          <w:sz w:val="18"/>
        </w:rPr>
        <w:t> </w:t>
      </w:r>
      <w:r>
        <w:rPr>
          <w:sz w:val="18"/>
        </w:rPr>
        <w:t>price</w:t>
      </w:r>
      <w:r>
        <w:rPr>
          <w:spacing w:val="-4"/>
          <w:sz w:val="18"/>
        </w:rPr>
        <w:t> </w:t>
      </w:r>
      <w:r>
        <w:rPr>
          <w:sz w:val="18"/>
        </w:rPr>
        <w:t>and</w:t>
      </w:r>
    </w:p>
    <w:p>
      <w:pPr>
        <w:pStyle w:val="BodyText"/>
        <w:spacing w:before="1"/>
      </w:pPr>
      <w:r>
        <w:rPr/>
        <w:br w:type="column"/>
      </w:r>
      <w:r>
        <w:rPr/>
      </w:r>
    </w:p>
    <w:p>
      <w:pPr>
        <w:spacing w:line="232" w:lineRule="auto" w:before="0"/>
        <w:ind w:left="190" w:right="220" w:firstLine="0"/>
        <w:jc w:val="left"/>
        <w:rPr>
          <w:sz w:val="18"/>
        </w:rPr>
      </w:pPr>
      <w:r>
        <w:rPr>
          <w:sz w:val="18"/>
        </w:rPr>
        <w:t>associated effects on petrol prices. Core inflation had risen by 0.2%</w:t>
      </w:r>
      <w:r>
        <w:rPr>
          <w:spacing w:val="-5"/>
          <w:sz w:val="18"/>
        </w:rPr>
        <w:t> </w:t>
      </w:r>
      <w:r>
        <w:rPr>
          <w:sz w:val="18"/>
        </w:rPr>
        <w:t>on</w:t>
      </w:r>
      <w:r>
        <w:rPr>
          <w:spacing w:val="-5"/>
          <w:sz w:val="18"/>
        </w:rPr>
        <w:t> </w:t>
      </w:r>
      <w:r>
        <w:rPr>
          <w:sz w:val="18"/>
        </w:rPr>
        <w:t>the</w:t>
      </w:r>
      <w:r>
        <w:rPr>
          <w:spacing w:val="-4"/>
          <w:sz w:val="18"/>
        </w:rPr>
        <w:t> </w:t>
      </w:r>
      <w:r>
        <w:rPr>
          <w:sz w:val="18"/>
        </w:rPr>
        <w:t>month,</w:t>
      </w:r>
      <w:r>
        <w:rPr>
          <w:spacing w:val="-5"/>
          <w:sz w:val="18"/>
        </w:rPr>
        <w:t> </w:t>
      </w:r>
      <w:r>
        <w:rPr>
          <w:sz w:val="18"/>
        </w:rPr>
        <w:t>leaving</w:t>
      </w:r>
      <w:r>
        <w:rPr>
          <w:spacing w:val="-5"/>
          <w:sz w:val="18"/>
        </w:rPr>
        <w:t> </w:t>
      </w:r>
      <w:r>
        <w:rPr>
          <w:sz w:val="18"/>
        </w:rPr>
        <w:t>the</w:t>
      </w:r>
      <w:r>
        <w:rPr>
          <w:spacing w:val="-4"/>
          <w:sz w:val="18"/>
        </w:rPr>
        <w:t> </w:t>
      </w:r>
      <w:r>
        <w:rPr>
          <w:sz w:val="18"/>
        </w:rPr>
        <w:t>annual</w:t>
      </w:r>
      <w:r>
        <w:rPr>
          <w:spacing w:val="-5"/>
          <w:sz w:val="18"/>
        </w:rPr>
        <w:t> </w:t>
      </w:r>
      <w:r>
        <w:rPr>
          <w:sz w:val="18"/>
        </w:rPr>
        <w:t>rate</w:t>
      </w:r>
      <w:r>
        <w:rPr>
          <w:spacing w:val="-5"/>
          <w:sz w:val="18"/>
        </w:rPr>
        <w:t> </w:t>
      </w:r>
      <w:r>
        <w:rPr>
          <w:sz w:val="18"/>
        </w:rPr>
        <w:t>slightly</w:t>
      </w:r>
      <w:r>
        <w:rPr>
          <w:spacing w:val="-4"/>
          <w:sz w:val="18"/>
        </w:rPr>
        <w:t> </w:t>
      </w:r>
      <w:r>
        <w:rPr>
          <w:sz w:val="18"/>
        </w:rPr>
        <w:t>higher</w:t>
      </w:r>
      <w:r>
        <w:rPr>
          <w:spacing w:val="-5"/>
          <w:sz w:val="18"/>
        </w:rPr>
        <w:t> </w:t>
      </w:r>
      <w:r>
        <w:rPr>
          <w:sz w:val="18"/>
        </w:rPr>
        <w:t>at</w:t>
      </w:r>
      <w:r>
        <w:rPr>
          <w:spacing w:val="-5"/>
          <w:sz w:val="18"/>
        </w:rPr>
        <w:t> </w:t>
      </w:r>
      <w:r>
        <w:rPr>
          <w:sz w:val="18"/>
        </w:rPr>
        <w:t>2.5%. Nevertheless, inflation expectations for the United States remained steady. Unit labour costs had eased, falling by 0.5% on a year earlier in</w:t>
      </w:r>
      <w:r>
        <w:rPr>
          <w:spacing w:val="-3"/>
          <w:sz w:val="18"/>
        </w:rPr>
        <w:t> </w:t>
      </w:r>
      <w:r>
        <w:rPr>
          <w:sz w:val="18"/>
        </w:rPr>
        <w:t>Q2.</w:t>
      </w:r>
    </w:p>
    <w:p>
      <w:pPr>
        <w:pStyle w:val="BodyText"/>
        <w:rPr>
          <w:sz w:val="17"/>
        </w:rPr>
      </w:pPr>
    </w:p>
    <w:p>
      <w:pPr>
        <w:pStyle w:val="ListParagraph"/>
        <w:numPr>
          <w:ilvl w:val="0"/>
          <w:numId w:val="55"/>
        </w:numPr>
        <w:tabs>
          <w:tab w:pos="669" w:val="left" w:leader="none"/>
          <w:tab w:pos="670" w:val="left" w:leader="none"/>
        </w:tabs>
        <w:spacing w:line="232" w:lineRule="auto" w:before="1" w:after="0"/>
        <w:ind w:left="190" w:right="244" w:firstLine="0"/>
        <w:jc w:val="left"/>
        <w:rPr>
          <w:sz w:val="18"/>
        </w:rPr>
      </w:pPr>
      <w:r>
        <w:rPr>
          <w:sz w:val="18"/>
        </w:rPr>
        <w:t>HICP</w:t>
      </w:r>
      <w:r>
        <w:rPr>
          <w:spacing w:val="-5"/>
          <w:sz w:val="18"/>
        </w:rPr>
        <w:t> </w:t>
      </w:r>
      <w:r>
        <w:rPr>
          <w:sz w:val="18"/>
        </w:rPr>
        <w:t>inflation</w:t>
      </w:r>
      <w:r>
        <w:rPr>
          <w:spacing w:val="-5"/>
          <w:sz w:val="18"/>
        </w:rPr>
        <w:t> </w:t>
      </w:r>
      <w:r>
        <w:rPr>
          <w:sz w:val="18"/>
        </w:rPr>
        <w:t>in</w:t>
      </w:r>
      <w:r>
        <w:rPr>
          <w:spacing w:val="-4"/>
          <w:sz w:val="18"/>
        </w:rPr>
        <w:t> </w:t>
      </w:r>
      <w:r>
        <w:rPr>
          <w:sz w:val="18"/>
        </w:rPr>
        <w:t>the</w:t>
      </w:r>
      <w:r>
        <w:rPr>
          <w:spacing w:val="-5"/>
          <w:sz w:val="18"/>
        </w:rPr>
        <w:t> </w:t>
      </w:r>
      <w:r>
        <w:rPr>
          <w:sz w:val="18"/>
        </w:rPr>
        <w:t>euro</w:t>
      </w:r>
      <w:r>
        <w:rPr>
          <w:spacing w:val="-5"/>
          <w:sz w:val="18"/>
        </w:rPr>
        <w:t> </w:t>
      </w:r>
      <w:r>
        <w:rPr>
          <w:sz w:val="18"/>
        </w:rPr>
        <w:t>area</w:t>
      </w:r>
      <w:r>
        <w:rPr>
          <w:spacing w:val="-4"/>
          <w:sz w:val="18"/>
        </w:rPr>
        <w:t> </w:t>
      </w:r>
      <w:r>
        <w:rPr>
          <w:sz w:val="18"/>
        </w:rPr>
        <w:t>had</w:t>
      </w:r>
      <w:r>
        <w:rPr>
          <w:spacing w:val="-5"/>
          <w:sz w:val="18"/>
        </w:rPr>
        <w:t> </w:t>
      </w:r>
      <w:r>
        <w:rPr>
          <w:sz w:val="18"/>
        </w:rPr>
        <w:t>fallen</w:t>
      </w:r>
      <w:r>
        <w:rPr>
          <w:spacing w:val="-5"/>
          <w:sz w:val="18"/>
        </w:rPr>
        <w:t> </w:t>
      </w:r>
      <w:r>
        <w:rPr>
          <w:sz w:val="18"/>
        </w:rPr>
        <w:t>slightly</w:t>
      </w:r>
      <w:r>
        <w:rPr>
          <w:spacing w:val="-4"/>
          <w:sz w:val="18"/>
        </w:rPr>
        <w:t> </w:t>
      </w:r>
      <w:r>
        <w:rPr>
          <w:sz w:val="18"/>
        </w:rPr>
        <w:t>in</w:t>
      </w:r>
      <w:r>
        <w:rPr>
          <w:spacing w:val="-5"/>
          <w:sz w:val="18"/>
        </w:rPr>
        <w:t> </w:t>
      </w:r>
      <w:r>
        <w:rPr>
          <w:sz w:val="18"/>
        </w:rPr>
        <w:t>August to 2.3%, while core inflation had remained at an annual rate of 1.3%. The September release of German annual CPI inflation at 2.4% (compared with 1.8% in August) implied that a pick-up would probably be evident in the September euro-area inflation rate.</w:t>
      </w:r>
    </w:p>
    <w:p>
      <w:pPr>
        <w:pStyle w:val="BodyText"/>
        <w:spacing w:before="11"/>
        <w:rPr>
          <w:sz w:val="16"/>
        </w:rPr>
      </w:pPr>
    </w:p>
    <w:p>
      <w:pPr>
        <w:pStyle w:val="ListParagraph"/>
        <w:numPr>
          <w:ilvl w:val="0"/>
          <w:numId w:val="55"/>
        </w:numPr>
        <w:tabs>
          <w:tab w:pos="669" w:val="left" w:leader="none"/>
          <w:tab w:pos="670" w:val="left" w:leader="none"/>
        </w:tabs>
        <w:spacing w:line="232" w:lineRule="auto" w:before="0" w:after="0"/>
        <w:ind w:left="190" w:right="286" w:firstLine="0"/>
        <w:jc w:val="left"/>
        <w:rPr>
          <w:sz w:val="18"/>
        </w:rPr>
      </w:pPr>
      <w:r>
        <w:rPr>
          <w:sz w:val="18"/>
        </w:rPr>
        <w:t>The path of interest rates implied by futures contracts had moderated for the euro area, and in the case of the United States had</w:t>
      </w:r>
      <w:r>
        <w:rPr>
          <w:spacing w:val="-5"/>
          <w:sz w:val="18"/>
        </w:rPr>
        <w:t> </w:t>
      </w:r>
      <w:r>
        <w:rPr>
          <w:sz w:val="18"/>
        </w:rPr>
        <w:t>converged</w:t>
      </w:r>
      <w:r>
        <w:rPr>
          <w:spacing w:val="-5"/>
          <w:sz w:val="18"/>
        </w:rPr>
        <w:t> </w:t>
      </w:r>
      <w:r>
        <w:rPr>
          <w:sz w:val="18"/>
        </w:rPr>
        <w:t>to</w:t>
      </w:r>
      <w:r>
        <w:rPr>
          <w:spacing w:val="-5"/>
          <w:sz w:val="18"/>
        </w:rPr>
        <w:t> </w:t>
      </w:r>
      <w:r>
        <w:rPr>
          <w:sz w:val="18"/>
        </w:rPr>
        <w:t>the</w:t>
      </w:r>
      <w:r>
        <w:rPr>
          <w:spacing w:val="-4"/>
          <w:sz w:val="18"/>
        </w:rPr>
        <w:t> </w:t>
      </w:r>
      <w:r>
        <w:rPr>
          <w:sz w:val="18"/>
        </w:rPr>
        <w:t>current</w:t>
      </w:r>
      <w:r>
        <w:rPr>
          <w:spacing w:val="-5"/>
          <w:sz w:val="18"/>
        </w:rPr>
        <w:t> </w:t>
      </w:r>
      <w:r>
        <w:rPr>
          <w:sz w:val="18"/>
        </w:rPr>
        <w:t>level</w:t>
      </w:r>
      <w:r>
        <w:rPr>
          <w:spacing w:val="-5"/>
          <w:sz w:val="18"/>
        </w:rPr>
        <w:t> </w:t>
      </w:r>
      <w:r>
        <w:rPr>
          <w:sz w:val="18"/>
        </w:rPr>
        <w:t>of</w:t>
      </w:r>
      <w:r>
        <w:rPr>
          <w:spacing w:val="-5"/>
          <w:sz w:val="18"/>
        </w:rPr>
        <w:t> </w:t>
      </w:r>
      <w:r>
        <w:rPr>
          <w:sz w:val="18"/>
        </w:rPr>
        <w:t>the</w:t>
      </w:r>
      <w:r>
        <w:rPr>
          <w:spacing w:val="-4"/>
          <w:sz w:val="18"/>
        </w:rPr>
        <w:t> </w:t>
      </w:r>
      <w:r>
        <w:rPr>
          <w:sz w:val="18"/>
        </w:rPr>
        <w:t>Federal</w:t>
      </w:r>
      <w:r>
        <w:rPr>
          <w:spacing w:val="-5"/>
          <w:sz w:val="18"/>
        </w:rPr>
        <w:t> </w:t>
      </w:r>
      <w:r>
        <w:rPr>
          <w:sz w:val="18"/>
        </w:rPr>
        <w:t>funds</w:t>
      </w:r>
      <w:r>
        <w:rPr>
          <w:spacing w:val="-5"/>
          <w:sz w:val="18"/>
        </w:rPr>
        <w:t> </w:t>
      </w:r>
      <w:r>
        <w:rPr>
          <w:sz w:val="18"/>
        </w:rPr>
        <w:t>target</w:t>
      </w:r>
      <w:r>
        <w:rPr>
          <w:spacing w:val="-5"/>
          <w:sz w:val="18"/>
        </w:rPr>
        <w:t> </w:t>
      </w:r>
      <w:r>
        <w:rPr>
          <w:sz w:val="18"/>
        </w:rPr>
        <w:t>rate. The euro-area current account was in deficit so far this year, and consistent with this the scale of combined net direct and portfolio capital outflows had fallen over the course of this</w:t>
      </w:r>
      <w:r>
        <w:rPr>
          <w:spacing w:val="-22"/>
          <w:sz w:val="18"/>
        </w:rPr>
        <w:t> </w:t>
      </w:r>
      <w:r>
        <w:rPr>
          <w:sz w:val="18"/>
        </w:rPr>
        <w:t>year.</w:t>
      </w:r>
    </w:p>
    <w:p>
      <w:pPr>
        <w:pStyle w:val="BodyText"/>
        <w:spacing w:before="3"/>
        <w:rPr>
          <w:sz w:val="20"/>
        </w:rPr>
      </w:pPr>
    </w:p>
    <w:p>
      <w:pPr>
        <w:pStyle w:val="ListParagraph"/>
        <w:numPr>
          <w:ilvl w:val="0"/>
          <w:numId w:val="56"/>
        </w:numPr>
        <w:tabs>
          <w:tab w:pos="669" w:val="left" w:leader="none"/>
          <w:tab w:pos="671" w:val="left" w:leader="none"/>
        </w:tabs>
        <w:spacing w:line="240" w:lineRule="auto" w:before="0" w:after="0"/>
        <w:ind w:left="670" w:right="0" w:hanging="481"/>
        <w:jc w:val="left"/>
        <w:rPr>
          <w:b/>
          <w:sz w:val="22"/>
        </w:rPr>
      </w:pPr>
      <w:r>
        <w:rPr>
          <w:b/>
          <w:color w:val="009391"/>
          <w:sz w:val="22"/>
        </w:rPr>
        <w:t>Monetary and financial</w:t>
      </w:r>
      <w:r>
        <w:rPr>
          <w:b/>
          <w:color w:val="009391"/>
          <w:spacing w:val="-7"/>
          <w:sz w:val="22"/>
        </w:rPr>
        <w:t> </w:t>
      </w:r>
      <w:r>
        <w:rPr>
          <w:b/>
          <w:color w:val="009391"/>
          <w:sz w:val="22"/>
        </w:rPr>
        <w:t>conditions</w:t>
      </w:r>
    </w:p>
    <w:p>
      <w:pPr>
        <w:pStyle w:val="ListParagraph"/>
        <w:numPr>
          <w:ilvl w:val="0"/>
          <w:numId w:val="55"/>
        </w:numPr>
        <w:tabs>
          <w:tab w:pos="669" w:val="left" w:leader="none"/>
          <w:tab w:pos="670" w:val="left" w:leader="none"/>
        </w:tabs>
        <w:spacing w:line="232" w:lineRule="auto" w:before="110" w:after="0"/>
        <w:ind w:left="190" w:right="390" w:firstLine="0"/>
        <w:jc w:val="left"/>
        <w:rPr>
          <w:sz w:val="18"/>
        </w:rPr>
      </w:pPr>
      <w:r>
        <w:rPr>
          <w:sz w:val="18"/>
        </w:rPr>
        <w:t>The twelve-month growth rate of notes and coin had risen strongly, from 6.9% in August to 8.7% in September.</w:t>
      </w:r>
      <w:r>
        <w:rPr>
          <w:spacing w:val="9"/>
          <w:sz w:val="18"/>
        </w:rPr>
        <w:t> </w:t>
      </w:r>
      <w:r>
        <w:rPr>
          <w:sz w:val="18"/>
        </w:rPr>
        <w:t>Around</w:t>
      </w:r>
    </w:p>
    <w:p>
      <w:pPr>
        <w:spacing w:line="232" w:lineRule="auto" w:before="0"/>
        <w:ind w:left="190" w:right="551" w:firstLine="0"/>
        <w:jc w:val="left"/>
        <w:rPr>
          <w:sz w:val="18"/>
        </w:rPr>
      </w:pPr>
      <w:r>
        <w:rPr>
          <w:sz w:val="18"/>
        </w:rPr>
        <w:t>0.5 percentage points of this pick-up could be attributed to the petrol supply disruption, which had led banks to build up precautionary cash holdings.</w:t>
      </w:r>
    </w:p>
    <w:p>
      <w:pPr>
        <w:pStyle w:val="BodyText"/>
        <w:rPr>
          <w:sz w:val="17"/>
        </w:rPr>
      </w:pPr>
    </w:p>
    <w:p>
      <w:pPr>
        <w:pStyle w:val="ListParagraph"/>
        <w:numPr>
          <w:ilvl w:val="0"/>
          <w:numId w:val="55"/>
        </w:numPr>
        <w:tabs>
          <w:tab w:pos="669" w:val="left" w:leader="none"/>
          <w:tab w:pos="670" w:val="left" w:leader="none"/>
        </w:tabs>
        <w:spacing w:line="232" w:lineRule="auto" w:before="0" w:after="0"/>
        <w:ind w:left="190" w:right="140" w:firstLine="0"/>
        <w:jc w:val="left"/>
        <w:rPr>
          <w:sz w:val="18"/>
        </w:rPr>
      </w:pPr>
      <w:r>
        <w:rPr>
          <w:sz w:val="18"/>
        </w:rPr>
        <w:t>M4 and M4 lending had both been stronger. August M4 had increased by £18.2 billion and the twelve-month growth rate of M4 had risen to 8.8%. Some of the strength of M4 had been due to other financial corporations’ (OFCs) deposits. Three special factors had appeared to increase OFCs’ M4: a large 3G licence-related transaction;  financing transactions related to Lloyds TSB’s takeover of Scottish Widows;  and swings in the repo position of the OFC sector. Excluding OFCs, twelve-month M4 growth had been 7.5%. M4 lending excluding securitisations had remained strong in August and had increased by £19.4 billion.</w:t>
      </w:r>
      <w:r>
        <w:rPr>
          <w:spacing w:val="22"/>
          <w:sz w:val="18"/>
        </w:rPr>
        <w:t> </w:t>
      </w:r>
      <w:r>
        <w:rPr>
          <w:sz w:val="18"/>
        </w:rPr>
        <w:t>The</w:t>
      </w:r>
    </w:p>
    <w:p>
      <w:pPr>
        <w:spacing w:line="232" w:lineRule="auto" w:before="0"/>
        <w:ind w:left="190" w:right="140" w:firstLine="0"/>
        <w:jc w:val="left"/>
        <w:rPr>
          <w:sz w:val="18"/>
        </w:rPr>
      </w:pPr>
      <w:r>
        <w:rPr>
          <w:sz w:val="18"/>
        </w:rPr>
        <w:t>twelve-month growth rate of M4 lending had risen to 13%. M4 lending excluding OFCs had increased by 11.5%, though OFCs had accounted for almost all of the pick-up in the growth of M4 on the month.</w:t>
      </w:r>
    </w:p>
    <w:p>
      <w:pPr>
        <w:pStyle w:val="BodyText"/>
        <w:spacing w:before="5"/>
        <w:rPr>
          <w:sz w:val="16"/>
        </w:rPr>
      </w:pPr>
    </w:p>
    <w:p>
      <w:pPr>
        <w:pStyle w:val="ListParagraph"/>
        <w:numPr>
          <w:ilvl w:val="0"/>
          <w:numId w:val="55"/>
        </w:numPr>
        <w:tabs>
          <w:tab w:pos="669" w:val="left" w:leader="none"/>
          <w:tab w:pos="670" w:val="left" w:leader="none"/>
        </w:tabs>
        <w:spacing w:line="232" w:lineRule="auto" w:before="0" w:after="0"/>
        <w:ind w:left="190" w:right="240" w:firstLine="0"/>
        <w:jc w:val="left"/>
        <w:rPr>
          <w:sz w:val="18"/>
        </w:rPr>
      </w:pPr>
      <w:r>
        <w:rPr>
          <w:sz w:val="18"/>
        </w:rPr>
        <w:t>Households’ M4 had risen by £4.4 billion, raising the twelve-month growth rate to 5.6%. Households’ M4 lending excluding securitisations had been £4.1 billion; the twelve-month growth rate had fallen to 10%. Within total lending to individuals, net secured lending had recovered to more than £3.5 billion, and unsecured lending had fallen sharply to around £0.6</w:t>
      </w:r>
      <w:r>
        <w:rPr>
          <w:spacing w:val="-25"/>
          <w:sz w:val="18"/>
        </w:rPr>
        <w:t> </w:t>
      </w:r>
      <w:r>
        <w:rPr>
          <w:sz w:val="18"/>
        </w:rPr>
        <w:t>billion.</w:t>
      </w:r>
    </w:p>
    <w:p>
      <w:pPr>
        <w:pStyle w:val="BodyText"/>
        <w:rPr>
          <w:sz w:val="17"/>
        </w:rPr>
      </w:pPr>
    </w:p>
    <w:p>
      <w:pPr>
        <w:pStyle w:val="ListParagraph"/>
        <w:numPr>
          <w:ilvl w:val="0"/>
          <w:numId w:val="55"/>
        </w:numPr>
        <w:tabs>
          <w:tab w:pos="669" w:val="left" w:leader="none"/>
          <w:tab w:pos="670" w:val="left" w:leader="none"/>
        </w:tabs>
        <w:spacing w:line="232" w:lineRule="auto" w:before="0" w:after="0"/>
        <w:ind w:left="190" w:right="299" w:firstLine="0"/>
        <w:jc w:val="left"/>
        <w:rPr>
          <w:sz w:val="18"/>
        </w:rPr>
      </w:pPr>
      <w:r>
        <w:rPr>
          <w:sz w:val="18"/>
        </w:rPr>
        <w:t>Compared with the windfalls in 1997, the Scottish Widows windfall had been relatively small, but with a much higher proportion in cash. It was not possible, however, to quantify precisely the impact on the monetary data, and in particular the extent to which households’ M4 may have been</w:t>
      </w:r>
      <w:r>
        <w:rPr>
          <w:spacing w:val="-21"/>
          <w:sz w:val="18"/>
        </w:rPr>
        <w:t> </w:t>
      </w:r>
      <w:r>
        <w:rPr>
          <w:sz w:val="18"/>
        </w:rPr>
        <w:t>boosted.</w:t>
      </w:r>
    </w:p>
    <w:p>
      <w:pPr>
        <w:pStyle w:val="BodyText"/>
        <w:spacing w:before="1"/>
        <w:rPr>
          <w:sz w:val="17"/>
        </w:rPr>
      </w:pPr>
    </w:p>
    <w:p>
      <w:pPr>
        <w:pStyle w:val="ListParagraph"/>
        <w:numPr>
          <w:ilvl w:val="0"/>
          <w:numId w:val="55"/>
        </w:numPr>
        <w:tabs>
          <w:tab w:pos="669" w:val="left" w:leader="none"/>
          <w:tab w:pos="670" w:val="left" w:leader="none"/>
        </w:tabs>
        <w:spacing w:line="232" w:lineRule="auto" w:before="0" w:after="0"/>
        <w:ind w:left="190" w:right="175" w:firstLine="0"/>
        <w:jc w:val="left"/>
        <w:rPr>
          <w:sz w:val="18"/>
        </w:rPr>
      </w:pPr>
      <w:r>
        <w:rPr>
          <w:sz w:val="18"/>
        </w:rPr>
        <w:t>Particulars delivered and the number of mortgage approvals had both recovered from weaker July figures, consistent with evidence that housing market activity had stabilised. Following the National Accounts release, the Bank estimate of mortgage equity withdrawal in Q2 had been revised to £3.3 billion, or 2.1% of disposable</w:t>
      </w:r>
      <w:r>
        <w:rPr>
          <w:spacing w:val="-2"/>
          <w:sz w:val="18"/>
        </w:rPr>
        <w:t> </w:t>
      </w:r>
      <w:r>
        <w:rPr>
          <w:sz w:val="18"/>
        </w:rPr>
        <w:t>income.</w:t>
      </w:r>
    </w:p>
    <w:p>
      <w:pPr>
        <w:pStyle w:val="BodyText"/>
        <w:rPr>
          <w:sz w:val="17"/>
        </w:rPr>
      </w:pPr>
    </w:p>
    <w:p>
      <w:pPr>
        <w:pStyle w:val="ListParagraph"/>
        <w:numPr>
          <w:ilvl w:val="0"/>
          <w:numId w:val="55"/>
        </w:numPr>
        <w:tabs>
          <w:tab w:pos="669" w:val="left" w:leader="none"/>
          <w:tab w:pos="670" w:val="left" w:leader="none"/>
        </w:tabs>
        <w:spacing w:line="232" w:lineRule="auto" w:before="0" w:after="0"/>
        <w:ind w:left="190" w:right="235" w:firstLine="0"/>
        <w:jc w:val="left"/>
        <w:rPr>
          <w:sz w:val="18"/>
        </w:rPr>
      </w:pPr>
      <w:r>
        <w:rPr>
          <w:sz w:val="18"/>
        </w:rPr>
        <w:t>Private</w:t>
      </w:r>
      <w:r>
        <w:rPr>
          <w:spacing w:val="-8"/>
          <w:sz w:val="18"/>
        </w:rPr>
        <w:t> </w:t>
      </w:r>
      <w:r>
        <w:rPr>
          <w:sz w:val="18"/>
        </w:rPr>
        <w:t>non-financial</w:t>
      </w:r>
      <w:r>
        <w:rPr>
          <w:spacing w:val="-7"/>
          <w:sz w:val="18"/>
        </w:rPr>
        <w:t> </w:t>
      </w:r>
      <w:r>
        <w:rPr>
          <w:sz w:val="18"/>
        </w:rPr>
        <w:t>corporations’</w:t>
      </w:r>
      <w:r>
        <w:rPr>
          <w:spacing w:val="-7"/>
          <w:sz w:val="18"/>
        </w:rPr>
        <w:t> </w:t>
      </w:r>
      <w:r>
        <w:rPr>
          <w:sz w:val="18"/>
        </w:rPr>
        <w:t>(PNFCs)</w:t>
      </w:r>
      <w:r>
        <w:rPr>
          <w:spacing w:val="-7"/>
          <w:sz w:val="18"/>
        </w:rPr>
        <w:t> </w:t>
      </w:r>
      <w:r>
        <w:rPr>
          <w:sz w:val="18"/>
        </w:rPr>
        <w:t>M4</w:t>
      </w:r>
      <w:r>
        <w:rPr>
          <w:spacing w:val="-8"/>
          <w:sz w:val="18"/>
        </w:rPr>
        <w:t> </w:t>
      </w:r>
      <w:r>
        <w:rPr>
          <w:sz w:val="18"/>
        </w:rPr>
        <w:t>had</w:t>
      </w:r>
      <w:r>
        <w:rPr>
          <w:spacing w:val="-7"/>
          <w:sz w:val="18"/>
        </w:rPr>
        <w:t> </w:t>
      </w:r>
      <w:r>
        <w:rPr>
          <w:sz w:val="18"/>
        </w:rPr>
        <w:t>picked up strongly in August (by £5.5 billion), raising the twelve-month growth rate to 15.3%. M4 lending to PNFCs</w:t>
      </w:r>
      <w:r>
        <w:rPr>
          <w:spacing w:val="-20"/>
          <w:sz w:val="18"/>
        </w:rPr>
        <w:t> </w:t>
      </w:r>
      <w:r>
        <w:rPr>
          <w:sz w:val="18"/>
        </w:rPr>
        <w:t>(excluding</w:t>
      </w:r>
    </w:p>
    <w:p>
      <w:pPr>
        <w:spacing w:after="0" w:line="232" w:lineRule="auto"/>
        <w:jc w:val="left"/>
        <w:rPr>
          <w:sz w:val="18"/>
        </w:rPr>
        <w:sectPr>
          <w:type w:val="continuous"/>
          <w:pgSz w:w="11900" w:h="16840"/>
          <w:pgMar w:top="1260" w:bottom="280" w:left="640" w:right="640"/>
          <w:cols w:num="2" w:equalWidth="0">
            <w:col w:w="5133" w:space="252"/>
            <w:col w:w="5235"/>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spacing w:line="232" w:lineRule="auto" w:before="1"/>
        <w:ind w:left="160" w:right="188" w:firstLine="0"/>
        <w:jc w:val="left"/>
        <w:rPr>
          <w:sz w:val="18"/>
        </w:rPr>
      </w:pPr>
      <w:r>
        <w:rPr>
          <w:sz w:val="18"/>
        </w:rPr>
        <w:t>securitisations) had also increased, by £3.4 billion, with the twelve-month growth rate at 16%. The flow of external corporate finance had also remained strong in July/August, whereas investment by PNFCs had been largely flat. Comparing the</w:t>
      </w:r>
    </w:p>
    <w:p>
      <w:pPr>
        <w:spacing w:line="232" w:lineRule="auto" w:before="0"/>
        <w:ind w:left="160" w:right="84" w:firstLine="0"/>
        <w:jc w:val="left"/>
        <w:rPr>
          <w:sz w:val="18"/>
        </w:rPr>
      </w:pPr>
      <w:r>
        <w:rPr>
          <w:sz w:val="18"/>
        </w:rPr>
        <w:t>changes in the full range of PNFCs’ sources and uses of funds over the previous two years suggested that much of their increased borrowing had been used for mergers and acquisitions and the acquisition of 3G licences.</w:t>
      </w:r>
    </w:p>
    <w:p>
      <w:pPr>
        <w:pStyle w:val="BodyText"/>
        <w:spacing w:before="9"/>
        <w:rPr>
          <w:sz w:val="16"/>
        </w:rPr>
      </w:pPr>
    </w:p>
    <w:p>
      <w:pPr>
        <w:pStyle w:val="ListParagraph"/>
        <w:numPr>
          <w:ilvl w:val="0"/>
          <w:numId w:val="55"/>
        </w:numPr>
        <w:tabs>
          <w:tab w:pos="639" w:val="left" w:leader="none"/>
          <w:tab w:pos="640" w:val="left" w:leader="none"/>
        </w:tabs>
        <w:spacing w:line="232" w:lineRule="auto" w:before="0" w:after="0"/>
        <w:ind w:left="160" w:right="70" w:firstLine="0"/>
        <w:jc w:val="left"/>
        <w:rPr>
          <w:sz w:val="18"/>
        </w:rPr>
      </w:pPr>
      <w:r>
        <w:rPr>
          <w:sz w:val="18"/>
        </w:rPr>
        <w:t>Since the September MPC meeting, short-term interest rate expectations,</w:t>
      </w:r>
      <w:r>
        <w:rPr>
          <w:spacing w:val="-6"/>
          <w:sz w:val="18"/>
        </w:rPr>
        <w:t> </w:t>
      </w:r>
      <w:r>
        <w:rPr>
          <w:sz w:val="18"/>
        </w:rPr>
        <w:t>as</w:t>
      </w:r>
      <w:r>
        <w:rPr>
          <w:spacing w:val="-6"/>
          <w:sz w:val="18"/>
        </w:rPr>
        <w:t> </w:t>
      </w:r>
      <w:r>
        <w:rPr>
          <w:sz w:val="18"/>
        </w:rPr>
        <w:t>measured</w:t>
      </w:r>
      <w:r>
        <w:rPr>
          <w:spacing w:val="-5"/>
          <w:sz w:val="18"/>
        </w:rPr>
        <w:t> </w:t>
      </w:r>
      <w:r>
        <w:rPr>
          <w:sz w:val="18"/>
        </w:rPr>
        <w:t>by</w:t>
      </w:r>
      <w:r>
        <w:rPr>
          <w:spacing w:val="-6"/>
          <w:sz w:val="18"/>
        </w:rPr>
        <w:t> </w:t>
      </w:r>
      <w:r>
        <w:rPr>
          <w:sz w:val="18"/>
        </w:rPr>
        <w:t>the</w:t>
      </w:r>
      <w:r>
        <w:rPr>
          <w:spacing w:val="-6"/>
          <w:sz w:val="18"/>
        </w:rPr>
        <w:t> </w:t>
      </w:r>
      <w:r>
        <w:rPr>
          <w:sz w:val="18"/>
        </w:rPr>
        <w:t>two-week</w:t>
      </w:r>
      <w:r>
        <w:rPr>
          <w:spacing w:val="-5"/>
          <w:sz w:val="18"/>
        </w:rPr>
        <w:t> </w:t>
      </w:r>
      <w:r>
        <w:rPr>
          <w:sz w:val="18"/>
        </w:rPr>
        <w:t>gilt</w:t>
      </w:r>
      <w:r>
        <w:rPr>
          <w:spacing w:val="-6"/>
          <w:sz w:val="18"/>
        </w:rPr>
        <w:t> </w:t>
      </w:r>
      <w:r>
        <w:rPr>
          <w:sz w:val="18"/>
        </w:rPr>
        <w:t>repo</w:t>
      </w:r>
      <w:r>
        <w:rPr>
          <w:spacing w:val="-6"/>
          <w:sz w:val="18"/>
        </w:rPr>
        <w:t> </w:t>
      </w:r>
      <w:r>
        <w:rPr>
          <w:sz w:val="18"/>
        </w:rPr>
        <w:t>forward</w:t>
      </w:r>
      <w:r>
        <w:rPr>
          <w:spacing w:val="-5"/>
          <w:sz w:val="18"/>
        </w:rPr>
        <w:t> </w:t>
      </w:r>
      <w:r>
        <w:rPr>
          <w:sz w:val="18"/>
        </w:rPr>
        <w:t>curve, had fallen slightly with an expected peak in base rates of just above 6%. The yield curve had disinverted somewhat:  yields at maturities beyond five years had increased, with yields</w:t>
      </w:r>
      <w:r>
        <w:rPr>
          <w:spacing w:val="-29"/>
          <w:sz w:val="18"/>
        </w:rPr>
        <w:t> </w:t>
      </w:r>
      <w:r>
        <w:rPr>
          <w:sz w:val="18"/>
        </w:rPr>
        <w:t>around</w:t>
      </w:r>
    </w:p>
    <w:p>
      <w:pPr>
        <w:spacing w:line="232" w:lineRule="auto" w:before="0"/>
        <w:ind w:left="160" w:right="313" w:firstLine="0"/>
        <w:jc w:val="both"/>
        <w:rPr>
          <w:sz w:val="18"/>
        </w:rPr>
      </w:pPr>
      <w:r>
        <w:rPr>
          <w:sz w:val="18"/>
        </w:rPr>
        <w:t>25 years 14 basis points higher. However, long corporate yields had fallen slightly more than those of short corporate yields.</w:t>
      </w:r>
    </w:p>
    <w:p>
      <w:pPr>
        <w:spacing w:line="232" w:lineRule="auto" w:before="0"/>
        <w:ind w:left="160" w:right="323" w:firstLine="0"/>
        <w:jc w:val="both"/>
        <w:rPr>
          <w:sz w:val="18"/>
        </w:rPr>
      </w:pPr>
      <w:r>
        <w:rPr>
          <w:sz w:val="18"/>
        </w:rPr>
        <w:t>Sterling corporate bond issuance had been strong in Q3 and was more evenly spread across maturities than in the first half of the year.</w:t>
      </w:r>
    </w:p>
    <w:p>
      <w:pPr>
        <w:pStyle w:val="BodyText"/>
        <w:spacing w:before="8"/>
        <w:rPr>
          <w:sz w:val="16"/>
        </w:rPr>
      </w:pPr>
    </w:p>
    <w:p>
      <w:pPr>
        <w:pStyle w:val="ListParagraph"/>
        <w:numPr>
          <w:ilvl w:val="0"/>
          <w:numId w:val="57"/>
        </w:numPr>
        <w:tabs>
          <w:tab w:pos="639" w:val="left" w:leader="none"/>
          <w:tab w:pos="640" w:val="left" w:leader="none"/>
        </w:tabs>
        <w:spacing w:line="232" w:lineRule="auto" w:before="1" w:after="0"/>
        <w:ind w:left="160" w:right="38" w:firstLine="0"/>
        <w:jc w:val="left"/>
        <w:rPr>
          <w:sz w:val="18"/>
        </w:rPr>
      </w:pPr>
      <w:r>
        <w:rPr>
          <w:sz w:val="18"/>
        </w:rPr>
        <w:t>Survey measures of inflation expectations had shown a dichotomy between economist and finance professionals relative to the Basix survey of the general public and trade union secretaries. The former group’s expectations remained largely unchanged, whereas the latter had shown a pick-up in expectations of inflation a year ahead of 40–50 basis points since a month ago. The general public survey had been carried out around the time of the petrol supply disruption. Retail interest rates had been little changed since the September MPC</w:t>
      </w:r>
      <w:r>
        <w:rPr>
          <w:spacing w:val="-4"/>
          <w:sz w:val="18"/>
        </w:rPr>
        <w:t> </w:t>
      </w:r>
      <w:r>
        <w:rPr>
          <w:sz w:val="18"/>
        </w:rPr>
        <w:t>meeting.</w:t>
      </w:r>
    </w:p>
    <w:p>
      <w:pPr>
        <w:pStyle w:val="BodyText"/>
        <w:spacing w:before="9"/>
        <w:rPr>
          <w:sz w:val="16"/>
        </w:rPr>
      </w:pPr>
    </w:p>
    <w:p>
      <w:pPr>
        <w:pStyle w:val="ListParagraph"/>
        <w:numPr>
          <w:ilvl w:val="0"/>
          <w:numId w:val="57"/>
        </w:numPr>
        <w:tabs>
          <w:tab w:pos="639" w:val="left" w:leader="none"/>
          <w:tab w:pos="640" w:val="left" w:leader="none"/>
        </w:tabs>
        <w:spacing w:line="232" w:lineRule="auto" w:before="0" w:after="0"/>
        <w:ind w:left="160" w:right="267" w:firstLine="0"/>
        <w:jc w:val="left"/>
        <w:rPr>
          <w:sz w:val="18"/>
        </w:rPr>
      </w:pPr>
      <w:r>
        <w:rPr>
          <w:sz w:val="18"/>
        </w:rPr>
        <w:t>UK equity market indices had fallen by between 5% and 6</w:t>
      </w:r>
      <w:r>
        <w:rPr>
          <w:position w:val="6"/>
          <w:sz w:val="9"/>
        </w:rPr>
        <w:t>1</w:t>
      </w:r>
      <w:r>
        <w:rPr>
          <w:sz w:val="18"/>
        </w:rPr>
        <w:t>/</w:t>
      </w:r>
      <w:r>
        <w:rPr>
          <w:sz w:val="9"/>
        </w:rPr>
        <w:t>2</w:t>
      </w:r>
      <w:r>
        <w:rPr>
          <w:sz w:val="18"/>
        </w:rPr>
        <w:t>% since the September MPC meeting, broadly in line with international markets. Profit warnings issued by UK firms in Q3 had been close to 1999 levels; earlier in the year, they had been substantially lower than twelve months</w:t>
      </w:r>
      <w:r>
        <w:rPr>
          <w:spacing w:val="-11"/>
          <w:sz w:val="18"/>
        </w:rPr>
        <w:t> </w:t>
      </w:r>
      <w:r>
        <w:rPr>
          <w:sz w:val="18"/>
        </w:rPr>
        <w:t>before.</w:t>
      </w:r>
    </w:p>
    <w:p>
      <w:pPr>
        <w:pStyle w:val="BodyText"/>
        <w:rPr>
          <w:sz w:val="17"/>
        </w:rPr>
      </w:pPr>
    </w:p>
    <w:p>
      <w:pPr>
        <w:pStyle w:val="ListParagraph"/>
        <w:numPr>
          <w:ilvl w:val="0"/>
          <w:numId w:val="57"/>
        </w:numPr>
        <w:tabs>
          <w:tab w:pos="639" w:val="left" w:leader="none"/>
          <w:tab w:pos="640" w:val="left" w:leader="none"/>
        </w:tabs>
        <w:spacing w:line="232" w:lineRule="auto" w:before="0" w:after="0"/>
        <w:ind w:left="160" w:right="148" w:firstLine="0"/>
        <w:jc w:val="left"/>
        <w:rPr>
          <w:sz w:val="18"/>
        </w:rPr>
      </w:pPr>
      <w:r>
        <w:rPr>
          <w:sz w:val="18"/>
        </w:rPr>
        <w:t>Since the previous MPC meeting, the sterling exchange rate index (ERI) had increased by 1.2% to 108.0. Sterling had appreciated against all major currencies; changes in interest rate differentials could have contributed to these movements.</w:t>
      </w:r>
      <w:r>
        <w:rPr>
          <w:spacing w:val="16"/>
          <w:sz w:val="18"/>
        </w:rPr>
        <w:t> </w:t>
      </w:r>
      <w:r>
        <w:rPr>
          <w:sz w:val="18"/>
        </w:rPr>
        <w:t>The</w:t>
      </w:r>
    </w:p>
    <w:p>
      <w:pPr>
        <w:spacing w:line="232" w:lineRule="auto" w:before="0"/>
        <w:ind w:left="160" w:right="173" w:firstLine="0"/>
        <w:jc w:val="left"/>
        <w:rPr>
          <w:sz w:val="18"/>
        </w:rPr>
      </w:pPr>
      <w:r>
        <w:rPr>
          <w:sz w:val="18"/>
        </w:rPr>
        <w:t>risk premium on sterling, calculated using Consensus Economics’ measure of expected nominal rates, had risen against the dollar, fallen against the euro and had remained little changed for the ERI.</w:t>
      </w:r>
    </w:p>
    <w:p>
      <w:pPr>
        <w:pStyle w:val="BodyText"/>
        <w:spacing w:before="2"/>
        <w:rPr>
          <w:sz w:val="20"/>
        </w:rPr>
      </w:pPr>
    </w:p>
    <w:p>
      <w:pPr>
        <w:pStyle w:val="ListParagraph"/>
        <w:numPr>
          <w:ilvl w:val="0"/>
          <w:numId w:val="56"/>
        </w:numPr>
        <w:tabs>
          <w:tab w:pos="641" w:val="left" w:leader="none"/>
        </w:tabs>
        <w:spacing w:line="240" w:lineRule="auto" w:before="0" w:after="0"/>
        <w:ind w:left="640" w:right="0" w:hanging="481"/>
        <w:jc w:val="both"/>
        <w:rPr>
          <w:b/>
          <w:sz w:val="22"/>
        </w:rPr>
      </w:pPr>
      <w:r>
        <w:rPr>
          <w:b/>
          <w:color w:val="009391"/>
          <w:sz w:val="22"/>
        </w:rPr>
        <w:t>Demand and</w:t>
      </w:r>
      <w:r>
        <w:rPr>
          <w:b/>
          <w:color w:val="009391"/>
          <w:spacing w:val="-3"/>
          <w:sz w:val="22"/>
        </w:rPr>
        <w:t> </w:t>
      </w:r>
      <w:r>
        <w:rPr>
          <w:b/>
          <w:color w:val="009391"/>
          <w:sz w:val="22"/>
        </w:rPr>
        <w:t>output</w:t>
      </w:r>
    </w:p>
    <w:p>
      <w:pPr>
        <w:pStyle w:val="ListParagraph"/>
        <w:numPr>
          <w:ilvl w:val="0"/>
          <w:numId w:val="57"/>
        </w:numPr>
        <w:tabs>
          <w:tab w:pos="639" w:val="left" w:leader="none"/>
          <w:tab w:pos="640" w:val="left" w:leader="none"/>
        </w:tabs>
        <w:spacing w:line="232" w:lineRule="auto" w:before="109" w:after="0"/>
        <w:ind w:left="160" w:right="262" w:firstLine="0"/>
        <w:jc w:val="left"/>
        <w:rPr>
          <w:sz w:val="18"/>
        </w:rPr>
      </w:pPr>
      <w:r>
        <w:rPr>
          <w:sz w:val="18"/>
        </w:rPr>
        <w:t>In the National Accounts, quarterly GDP growth had been unrevised at 0.9% in Q2. The level of GDP had been revised up slightly</w:t>
      </w:r>
      <w:r>
        <w:rPr>
          <w:spacing w:val="-7"/>
          <w:sz w:val="18"/>
        </w:rPr>
        <w:t> </w:t>
      </w:r>
      <w:r>
        <w:rPr>
          <w:sz w:val="18"/>
        </w:rPr>
        <w:t>by</w:t>
      </w:r>
      <w:r>
        <w:rPr>
          <w:spacing w:val="-6"/>
          <w:sz w:val="18"/>
        </w:rPr>
        <w:t> </w:t>
      </w:r>
      <w:r>
        <w:rPr>
          <w:sz w:val="18"/>
        </w:rPr>
        <w:t>0.1%,</w:t>
      </w:r>
      <w:r>
        <w:rPr>
          <w:spacing w:val="-6"/>
          <w:sz w:val="18"/>
        </w:rPr>
        <w:t> </w:t>
      </w:r>
      <w:r>
        <w:rPr>
          <w:sz w:val="18"/>
        </w:rPr>
        <w:t>with</w:t>
      </w:r>
      <w:r>
        <w:rPr>
          <w:spacing w:val="-6"/>
          <w:sz w:val="18"/>
        </w:rPr>
        <w:t> </w:t>
      </w:r>
      <w:r>
        <w:rPr>
          <w:sz w:val="18"/>
        </w:rPr>
        <w:t>annual</w:t>
      </w:r>
      <w:r>
        <w:rPr>
          <w:spacing w:val="-6"/>
          <w:sz w:val="18"/>
        </w:rPr>
        <w:t> </w:t>
      </w:r>
      <w:r>
        <w:rPr>
          <w:sz w:val="18"/>
        </w:rPr>
        <w:t>growth</w:t>
      </w:r>
      <w:r>
        <w:rPr>
          <w:spacing w:val="-6"/>
          <w:sz w:val="18"/>
        </w:rPr>
        <w:t> </w:t>
      </w:r>
      <w:r>
        <w:rPr>
          <w:sz w:val="18"/>
        </w:rPr>
        <w:t>correspondingly</w:t>
      </w:r>
      <w:r>
        <w:rPr>
          <w:spacing w:val="-6"/>
          <w:sz w:val="18"/>
        </w:rPr>
        <w:t> </w:t>
      </w:r>
      <w:r>
        <w:rPr>
          <w:sz w:val="18"/>
        </w:rPr>
        <w:t>revised</w:t>
      </w:r>
      <w:r>
        <w:rPr>
          <w:spacing w:val="-6"/>
          <w:sz w:val="18"/>
        </w:rPr>
        <w:t> </w:t>
      </w:r>
      <w:r>
        <w:rPr>
          <w:sz w:val="18"/>
        </w:rPr>
        <w:t>up from 3.1% to 3.2%. Revisions had brought the output-based measure of Q2 growth into line with the expenditure</w:t>
      </w:r>
      <w:r>
        <w:rPr>
          <w:spacing w:val="-24"/>
          <w:sz w:val="18"/>
        </w:rPr>
        <w:t> </w:t>
      </w:r>
      <w:r>
        <w:rPr>
          <w:sz w:val="18"/>
        </w:rPr>
        <w:t>and</w:t>
      </w:r>
    </w:p>
    <w:p>
      <w:pPr>
        <w:spacing w:line="232" w:lineRule="auto" w:before="0"/>
        <w:ind w:left="160" w:right="68" w:firstLine="0"/>
        <w:jc w:val="left"/>
        <w:rPr>
          <w:sz w:val="18"/>
        </w:rPr>
      </w:pPr>
      <w:r>
        <w:rPr>
          <w:sz w:val="18"/>
        </w:rPr>
        <w:t>income-based measures. Quarterly final domestic demand growth had been unrevised at 0.9% in Q2. The contribution of stockbuilding had been revised up slightly, to 0.1 percentage points in Q2, compared with zero in the previous GDP release.</w:t>
      </w:r>
    </w:p>
    <w:p>
      <w:pPr>
        <w:pStyle w:val="BodyText"/>
        <w:spacing w:before="9"/>
        <w:rPr>
          <w:sz w:val="16"/>
        </w:rPr>
      </w:pPr>
    </w:p>
    <w:p>
      <w:pPr>
        <w:pStyle w:val="ListParagraph"/>
        <w:numPr>
          <w:ilvl w:val="0"/>
          <w:numId w:val="57"/>
        </w:numPr>
        <w:tabs>
          <w:tab w:pos="639" w:val="left" w:leader="none"/>
          <w:tab w:pos="640" w:val="left" w:leader="none"/>
        </w:tabs>
        <w:spacing w:line="232" w:lineRule="auto" w:before="0" w:after="0"/>
        <w:ind w:left="160" w:right="38" w:firstLine="0"/>
        <w:jc w:val="left"/>
        <w:rPr>
          <w:sz w:val="18"/>
        </w:rPr>
      </w:pPr>
      <w:r>
        <w:rPr>
          <w:sz w:val="18"/>
        </w:rPr>
        <w:t>Quarterly household consumption growth had been unrevised at 0.8% in Q2. Within that, non-durable goods consumption had grown by 1.1%. Durables consumption had fallen by 0.1% in Q2, partly depressed by continued weak vehicle expenditure, which had fallen by 1.1% in Q2. Spending on services had increased by 0.7% in Q2, compared with 0.3% in</w:t>
      </w:r>
      <w:r>
        <w:rPr>
          <w:spacing w:val="-23"/>
          <w:sz w:val="18"/>
        </w:rPr>
        <w:t> </w:t>
      </w:r>
      <w:r>
        <w:rPr>
          <w:sz w:val="18"/>
        </w:rPr>
        <w:t>Q1.</w:t>
      </w:r>
    </w:p>
    <w:p>
      <w:pPr>
        <w:pStyle w:val="BodyText"/>
        <w:rPr>
          <w:sz w:val="17"/>
        </w:rPr>
      </w:pPr>
    </w:p>
    <w:p>
      <w:pPr>
        <w:pStyle w:val="ListParagraph"/>
        <w:numPr>
          <w:ilvl w:val="0"/>
          <w:numId w:val="57"/>
        </w:numPr>
        <w:tabs>
          <w:tab w:pos="639" w:val="left" w:leader="none"/>
          <w:tab w:pos="640" w:val="left" w:leader="none"/>
        </w:tabs>
        <w:spacing w:line="232" w:lineRule="auto" w:before="0" w:after="0"/>
        <w:ind w:left="160" w:right="58" w:firstLine="0"/>
        <w:jc w:val="left"/>
        <w:rPr>
          <w:sz w:val="18"/>
        </w:rPr>
      </w:pPr>
      <w:r>
        <w:rPr>
          <w:sz w:val="18"/>
        </w:rPr>
        <w:t>Government consumption growth in Q2 had been revised up to 2.1% from 1.9%. Whole-economy investment growth in Q2 had been revised up from 0.2% to 0.4%. Excluding net acquisition of valuables, total investment growth had been revised up from 0.2% to 0.9%. Business, general government and dwellings investment had all risen on the quarter. Business investment in the service sector</w:t>
      </w:r>
      <w:r>
        <w:rPr>
          <w:spacing w:val="-4"/>
          <w:sz w:val="18"/>
        </w:rPr>
        <w:t> </w:t>
      </w:r>
      <w:r>
        <w:rPr>
          <w:sz w:val="18"/>
        </w:rPr>
        <w:t>had</w:t>
      </w:r>
      <w:r>
        <w:rPr>
          <w:spacing w:val="-4"/>
          <w:sz w:val="18"/>
        </w:rPr>
        <w:t> </w:t>
      </w:r>
      <w:r>
        <w:rPr>
          <w:sz w:val="18"/>
        </w:rPr>
        <w:t>grown</w:t>
      </w:r>
      <w:r>
        <w:rPr>
          <w:spacing w:val="-3"/>
          <w:sz w:val="18"/>
        </w:rPr>
        <w:t> </w:t>
      </w:r>
      <w:r>
        <w:rPr>
          <w:sz w:val="18"/>
        </w:rPr>
        <w:t>by</w:t>
      </w:r>
      <w:r>
        <w:rPr>
          <w:spacing w:val="-4"/>
          <w:sz w:val="18"/>
        </w:rPr>
        <w:t> </w:t>
      </w:r>
      <w:r>
        <w:rPr>
          <w:sz w:val="18"/>
        </w:rPr>
        <w:t>2.2%</w:t>
      </w:r>
      <w:r>
        <w:rPr>
          <w:spacing w:val="-4"/>
          <w:sz w:val="18"/>
        </w:rPr>
        <w:t> </w:t>
      </w:r>
      <w:r>
        <w:rPr>
          <w:sz w:val="18"/>
        </w:rPr>
        <w:t>in</w:t>
      </w:r>
      <w:r>
        <w:rPr>
          <w:spacing w:val="-3"/>
          <w:sz w:val="18"/>
        </w:rPr>
        <w:t> </w:t>
      </w:r>
      <w:r>
        <w:rPr>
          <w:sz w:val="18"/>
        </w:rPr>
        <w:t>Q2</w:t>
      </w:r>
      <w:r>
        <w:rPr>
          <w:spacing w:val="-4"/>
          <w:sz w:val="18"/>
        </w:rPr>
        <w:t> </w:t>
      </w:r>
      <w:r>
        <w:rPr>
          <w:sz w:val="18"/>
        </w:rPr>
        <w:t>and</w:t>
      </w:r>
      <w:r>
        <w:rPr>
          <w:spacing w:val="-3"/>
          <w:sz w:val="18"/>
        </w:rPr>
        <w:t> </w:t>
      </w:r>
      <w:r>
        <w:rPr>
          <w:sz w:val="18"/>
        </w:rPr>
        <w:t>by</w:t>
      </w:r>
      <w:r>
        <w:rPr>
          <w:spacing w:val="-4"/>
          <w:sz w:val="18"/>
        </w:rPr>
        <w:t> </w:t>
      </w:r>
      <w:r>
        <w:rPr>
          <w:sz w:val="18"/>
        </w:rPr>
        <w:t>3.0%</w:t>
      </w:r>
      <w:r>
        <w:rPr>
          <w:spacing w:val="-4"/>
          <w:sz w:val="18"/>
        </w:rPr>
        <w:t> </w:t>
      </w:r>
      <w:r>
        <w:rPr>
          <w:sz w:val="18"/>
        </w:rPr>
        <w:t>compared</w:t>
      </w:r>
      <w:r>
        <w:rPr>
          <w:spacing w:val="-3"/>
          <w:sz w:val="18"/>
        </w:rPr>
        <w:t> </w:t>
      </w:r>
      <w:r>
        <w:rPr>
          <w:sz w:val="18"/>
        </w:rPr>
        <w:t>with</w:t>
      </w:r>
      <w:r>
        <w:rPr>
          <w:spacing w:val="-4"/>
          <w:sz w:val="18"/>
        </w:rPr>
        <w:t> </w:t>
      </w:r>
      <w:r>
        <w:rPr>
          <w:sz w:val="18"/>
        </w:rPr>
        <w:t>a</w:t>
      </w:r>
      <w:r>
        <w:rPr>
          <w:spacing w:val="-3"/>
          <w:sz w:val="18"/>
        </w:rPr>
        <w:t> </w:t>
      </w:r>
      <w:r>
        <w:rPr>
          <w:sz w:val="18"/>
        </w:rPr>
        <w:t>year earlier.</w:t>
      </w:r>
    </w:p>
    <w:p>
      <w:pPr>
        <w:pStyle w:val="BodyText"/>
        <w:spacing w:before="7"/>
        <w:rPr>
          <w:sz w:val="19"/>
        </w:rPr>
      </w:pPr>
      <w:r>
        <w:rPr/>
        <w:br w:type="column"/>
      </w:r>
      <w:r>
        <w:rPr>
          <w:sz w:val="19"/>
        </w:rPr>
      </w:r>
    </w:p>
    <w:p>
      <w:pPr>
        <w:pStyle w:val="ListParagraph"/>
        <w:numPr>
          <w:ilvl w:val="0"/>
          <w:numId w:val="57"/>
        </w:numPr>
        <w:tabs>
          <w:tab w:pos="639" w:val="left" w:leader="none"/>
          <w:tab w:pos="640" w:val="left" w:leader="none"/>
        </w:tabs>
        <w:spacing w:line="232" w:lineRule="auto" w:before="1" w:after="0"/>
        <w:ind w:left="160" w:right="210" w:firstLine="0"/>
        <w:jc w:val="left"/>
        <w:rPr>
          <w:sz w:val="18"/>
        </w:rPr>
      </w:pPr>
      <w:r>
        <w:rPr>
          <w:sz w:val="18"/>
        </w:rPr>
        <w:t>Export growth in Q2 had been revised down from 2.6% to 2.0% and import growth from 2.3% to 2.2%. Accordingly, the net trade contribution to quarterly GDP growth had been revised down from zero to -0.2 percentage points in Q2. The current account deficit had been broadly unchanged in Q2 at £3.3 billion. Direct and</w:t>
      </w:r>
      <w:r>
        <w:rPr>
          <w:spacing w:val="-6"/>
          <w:sz w:val="18"/>
        </w:rPr>
        <w:t> </w:t>
      </w:r>
      <w:r>
        <w:rPr>
          <w:sz w:val="18"/>
        </w:rPr>
        <w:t>portfolio</w:t>
      </w:r>
      <w:r>
        <w:rPr>
          <w:spacing w:val="-5"/>
          <w:sz w:val="18"/>
        </w:rPr>
        <w:t> </w:t>
      </w:r>
      <w:r>
        <w:rPr>
          <w:sz w:val="18"/>
        </w:rPr>
        <w:t>investment</w:t>
      </w:r>
      <w:r>
        <w:rPr>
          <w:spacing w:val="-5"/>
          <w:sz w:val="18"/>
        </w:rPr>
        <w:t> </w:t>
      </w:r>
      <w:r>
        <w:rPr>
          <w:sz w:val="18"/>
        </w:rPr>
        <w:t>outflows</w:t>
      </w:r>
      <w:r>
        <w:rPr>
          <w:spacing w:val="-5"/>
          <w:sz w:val="18"/>
        </w:rPr>
        <w:t> </w:t>
      </w:r>
      <w:r>
        <w:rPr>
          <w:sz w:val="18"/>
        </w:rPr>
        <w:t>in</w:t>
      </w:r>
      <w:r>
        <w:rPr>
          <w:spacing w:val="-5"/>
          <w:sz w:val="18"/>
        </w:rPr>
        <w:t> </w:t>
      </w:r>
      <w:r>
        <w:rPr>
          <w:sz w:val="18"/>
        </w:rPr>
        <w:t>Q2</w:t>
      </w:r>
      <w:r>
        <w:rPr>
          <w:spacing w:val="-5"/>
          <w:sz w:val="18"/>
        </w:rPr>
        <w:t> </w:t>
      </w:r>
      <w:r>
        <w:rPr>
          <w:sz w:val="18"/>
        </w:rPr>
        <w:t>had</w:t>
      </w:r>
      <w:r>
        <w:rPr>
          <w:spacing w:val="-5"/>
          <w:sz w:val="18"/>
        </w:rPr>
        <w:t> </w:t>
      </w:r>
      <w:r>
        <w:rPr>
          <w:sz w:val="18"/>
        </w:rPr>
        <w:t>been</w:t>
      </w:r>
      <w:r>
        <w:rPr>
          <w:spacing w:val="-5"/>
          <w:sz w:val="18"/>
        </w:rPr>
        <w:t> </w:t>
      </w:r>
      <w:r>
        <w:rPr>
          <w:sz w:val="18"/>
        </w:rPr>
        <w:t>broadly</w:t>
      </w:r>
      <w:r>
        <w:rPr>
          <w:spacing w:val="-5"/>
          <w:sz w:val="18"/>
        </w:rPr>
        <w:t> </w:t>
      </w:r>
      <w:r>
        <w:rPr>
          <w:sz w:val="18"/>
        </w:rPr>
        <w:t>offset</w:t>
      </w:r>
      <w:r>
        <w:rPr>
          <w:spacing w:val="-5"/>
          <w:sz w:val="18"/>
        </w:rPr>
        <w:t> </w:t>
      </w:r>
      <w:r>
        <w:rPr>
          <w:sz w:val="18"/>
        </w:rPr>
        <w:t>by an inflow of other investments, mostly accounted for by changes in bank deposits and</w:t>
      </w:r>
      <w:r>
        <w:rPr>
          <w:spacing w:val="-4"/>
          <w:sz w:val="18"/>
        </w:rPr>
        <w:t> </w:t>
      </w:r>
      <w:r>
        <w:rPr>
          <w:sz w:val="18"/>
        </w:rPr>
        <w:t>lending.</w:t>
      </w:r>
    </w:p>
    <w:p>
      <w:pPr>
        <w:pStyle w:val="BodyText"/>
        <w:spacing w:before="3"/>
        <w:rPr>
          <w:sz w:val="20"/>
        </w:rPr>
      </w:pPr>
    </w:p>
    <w:p>
      <w:pPr>
        <w:pStyle w:val="ListParagraph"/>
        <w:numPr>
          <w:ilvl w:val="0"/>
          <w:numId w:val="57"/>
        </w:numPr>
        <w:tabs>
          <w:tab w:pos="639" w:val="left" w:leader="none"/>
          <w:tab w:pos="640" w:val="left" w:leader="none"/>
        </w:tabs>
        <w:spacing w:line="232" w:lineRule="auto" w:before="0" w:after="0"/>
        <w:ind w:left="160" w:right="165" w:firstLine="0"/>
        <w:jc w:val="left"/>
        <w:rPr>
          <w:sz w:val="18"/>
        </w:rPr>
      </w:pPr>
      <w:r>
        <w:rPr>
          <w:sz w:val="18"/>
        </w:rPr>
        <w:t>Employees’ compensation growth had been weak in Q2: the 0.1% increase on the quarter had been the smallest since 1967. The saving ratio had fallen to 3.0% in Q2, similar to its trough in 1988, though it had remained somewhat higher than its 1988 low on an inflation-adjusted basis. Private non-financial corporations’ gross operating surplus had risen by 3.3% in Q2. But their financial deficit</w:t>
      </w:r>
      <w:r>
        <w:rPr>
          <w:spacing w:val="-6"/>
          <w:sz w:val="18"/>
        </w:rPr>
        <w:t> </w:t>
      </w:r>
      <w:r>
        <w:rPr>
          <w:sz w:val="18"/>
        </w:rPr>
        <w:t>had</w:t>
      </w:r>
      <w:r>
        <w:rPr>
          <w:spacing w:val="-5"/>
          <w:sz w:val="18"/>
        </w:rPr>
        <w:t> </w:t>
      </w:r>
      <w:r>
        <w:rPr>
          <w:sz w:val="18"/>
        </w:rPr>
        <w:t>been</w:t>
      </w:r>
      <w:r>
        <w:rPr>
          <w:spacing w:val="-6"/>
          <w:sz w:val="18"/>
        </w:rPr>
        <w:t> </w:t>
      </w:r>
      <w:r>
        <w:rPr>
          <w:sz w:val="18"/>
        </w:rPr>
        <w:t>little</w:t>
      </w:r>
      <w:r>
        <w:rPr>
          <w:spacing w:val="-5"/>
          <w:sz w:val="18"/>
        </w:rPr>
        <w:t> </w:t>
      </w:r>
      <w:r>
        <w:rPr>
          <w:sz w:val="18"/>
        </w:rPr>
        <w:t>changed</w:t>
      </w:r>
      <w:r>
        <w:rPr>
          <w:spacing w:val="-6"/>
          <w:sz w:val="18"/>
        </w:rPr>
        <w:t> </w:t>
      </w:r>
      <w:r>
        <w:rPr>
          <w:sz w:val="18"/>
        </w:rPr>
        <w:t>at</w:t>
      </w:r>
      <w:r>
        <w:rPr>
          <w:spacing w:val="-5"/>
          <w:sz w:val="18"/>
        </w:rPr>
        <w:t> </w:t>
      </w:r>
      <w:r>
        <w:rPr>
          <w:sz w:val="18"/>
        </w:rPr>
        <w:t>£3.6</w:t>
      </w:r>
      <w:r>
        <w:rPr>
          <w:spacing w:val="-6"/>
          <w:sz w:val="18"/>
        </w:rPr>
        <w:t> </w:t>
      </w:r>
      <w:r>
        <w:rPr>
          <w:sz w:val="18"/>
        </w:rPr>
        <w:t>billion,</w:t>
      </w:r>
      <w:r>
        <w:rPr>
          <w:spacing w:val="-5"/>
          <w:sz w:val="18"/>
        </w:rPr>
        <w:t> </w:t>
      </w:r>
      <w:r>
        <w:rPr>
          <w:sz w:val="18"/>
        </w:rPr>
        <w:t>as</w:t>
      </w:r>
      <w:r>
        <w:rPr>
          <w:spacing w:val="-6"/>
          <w:sz w:val="18"/>
        </w:rPr>
        <w:t> </w:t>
      </w:r>
      <w:r>
        <w:rPr>
          <w:sz w:val="18"/>
        </w:rPr>
        <w:t>increased</w:t>
      </w:r>
      <w:r>
        <w:rPr>
          <w:spacing w:val="-5"/>
          <w:sz w:val="18"/>
        </w:rPr>
        <w:t> </w:t>
      </w:r>
      <w:r>
        <w:rPr>
          <w:sz w:val="18"/>
        </w:rPr>
        <w:t>dividend, interest and tax payments had offset the increase in profits and the moderate reduction in</w:t>
      </w:r>
      <w:r>
        <w:rPr>
          <w:spacing w:val="-5"/>
          <w:sz w:val="18"/>
        </w:rPr>
        <w:t> </w:t>
      </w:r>
      <w:r>
        <w:rPr>
          <w:sz w:val="18"/>
        </w:rPr>
        <w:t>investment.</w:t>
      </w:r>
    </w:p>
    <w:p>
      <w:pPr>
        <w:pStyle w:val="BodyText"/>
        <w:spacing w:before="3"/>
        <w:rPr>
          <w:sz w:val="20"/>
        </w:rPr>
      </w:pPr>
    </w:p>
    <w:p>
      <w:pPr>
        <w:pStyle w:val="ListParagraph"/>
        <w:numPr>
          <w:ilvl w:val="0"/>
          <w:numId w:val="57"/>
        </w:numPr>
        <w:tabs>
          <w:tab w:pos="639" w:val="left" w:leader="none"/>
          <w:tab w:pos="640" w:val="left" w:leader="none"/>
        </w:tabs>
        <w:spacing w:line="232" w:lineRule="auto" w:before="0" w:after="0"/>
        <w:ind w:left="160" w:right="165" w:firstLine="0"/>
        <w:jc w:val="left"/>
        <w:rPr>
          <w:sz w:val="18"/>
        </w:rPr>
      </w:pPr>
      <w:r>
        <w:rPr>
          <w:sz w:val="18"/>
        </w:rPr>
        <w:t>Turning to Q3, analysis by Bank staff had estimated that the negative effect of the petrol supply disruption on GDP growth in Q3</w:t>
      </w:r>
      <w:r>
        <w:rPr>
          <w:spacing w:val="-5"/>
          <w:sz w:val="18"/>
        </w:rPr>
        <w:t> </w:t>
      </w:r>
      <w:r>
        <w:rPr>
          <w:sz w:val="18"/>
        </w:rPr>
        <w:t>would</w:t>
      </w:r>
      <w:r>
        <w:rPr>
          <w:spacing w:val="-4"/>
          <w:sz w:val="18"/>
        </w:rPr>
        <w:t> </w:t>
      </w:r>
      <w:r>
        <w:rPr>
          <w:sz w:val="18"/>
        </w:rPr>
        <w:t>be</w:t>
      </w:r>
      <w:r>
        <w:rPr>
          <w:spacing w:val="-4"/>
          <w:sz w:val="18"/>
        </w:rPr>
        <w:t> </w:t>
      </w:r>
      <w:r>
        <w:rPr>
          <w:sz w:val="18"/>
        </w:rPr>
        <w:t>relatively</w:t>
      </w:r>
      <w:r>
        <w:rPr>
          <w:spacing w:val="-4"/>
          <w:sz w:val="18"/>
        </w:rPr>
        <w:t> </w:t>
      </w:r>
      <w:r>
        <w:rPr>
          <w:sz w:val="18"/>
        </w:rPr>
        <w:t>small,</w:t>
      </w:r>
      <w:r>
        <w:rPr>
          <w:spacing w:val="-5"/>
          <w:sz w:val="18"/>
        </w:rPr>
        <w:t> </w:t>
      </w:r>
      <w:r>
        <w:rPr>
          <w:sz w:val="18"/>
        </w:rPr>
        <w:t>and</w:t>
      </w:r>
      <w:r>
        <w:rPr>
          <w:spacing w:val="-4"/>
          <w:sz w:val="18"/>
        </w:rPr>
        <w:t> </w:t>
      </w:r>
      <w:r>
        <w:rPr>
          <w:sz w:val="18"/>
        </w:rPr>
        <w:t>would</w:t>
      </w:r>
      <w:r>
        <w:rPr>
          <w:spacing w:val="-4"/>
          <w:sz w:val="18"/>
        </w:rPr>
        <w:t> </w:t>
      </w:r>
      <w:r>
        <w:rPr>
          <w:sz w:val="18"/>
        </w:rPr>
        <w:t>to</w:t>
      </w:r>
      <w:r>
        <w:rPr>
          <w:spacing w:val="-4"/>
          <w:sz w:val="18"/>
        </w:rPr>
        <w:t> </w:t>
      </w:r>
      <w:r>
        <w:rPr>
          <w:sz w:val="18"/>
        </w:rPr>
        <w:t>a</w:t>
      </w:r>
      <w:r>
        <w:rPr>
          <w:spacing w:val="-5"/>
          <w:sz w:val="18"/>
        </w:rPr>
        <w:t> </w:t>
      </w:r>
      <w:r>
        <w:rPr>
          <w:sz w:val="18"/>
        </w:rPr>
        <w:t>large</w:t>
      </w:r>
      <w:r>
        <w:rPr>
          <w:spacing w:val="-4"/>
          <w:sz w:val="18"/>
        </w:rPr>
        <w:t> </w:t>
      </w:r>
      <w:r>
        <w:rPr>
          <w:sz w:val="18"/>
        </w:rPr>
        <w:t>extent</w:t>
      </w:r>
      <w:r>
        <w:rPr>
          <w:spacing w:val="-4"/>
          <w:sz w:val="18"/>
        </w:rPr>
        <w:t> </w:t>
      </w:r>
      <w:r>
        <w:rPr>
          <w:sz w:val="18"/>
        </w:rPr>
        <w:t>unwind</w:t>
      </w:r>
      <w:r>
        <w:rPr>
          <w:spacing w:val="-4"/>
          <w:sz w:val="18"/>
        </w:rPr>
        <w:t> </w:t>
      </w:r>
      <w:r>
        <w:rPr>
          <w:sz w:val="18"/>
        </w:rPr>
        <w:t>in Q4. On the output side, leisure services, distribution and government output were identified as the sectors likely to be most significantly affected.  On the expenditure side, any negative impact on consumption could be partly offset by higher stockbuilding.</w:t>
      </w:r>
    </w:p>
    <w:p>
      <w:pPr>
        <w:pStyle w:val="BodyText"/>
        <w:spacing w:before="4"/>
        <w:rPr>
          <w:sz w:val="20"/>
        </w:rPr>
      </w:pPr>
    </w:p>
    <w:p>
      <w:pPr>
        <w:pStyle w:val="ListParagraph"/>
        <w:numPr>
          <w:ilvl w:val="0"/>
          <w:numId w:val="57"/>
        </w:numPr>
        <w:tabs>
          <w:tab w:pos="639" w:val="left" w:leader="none"/>
          <w:tab w:pos="640" w:val="left" w:leader="none"/>
        </w:tabs>
        <w:spacing w:line="232" w:lineRule="auto" w:before="0" w:after="0"/>
        <w:ind w:left="160" w:right="174" w:firstLine="0"/>
        <w:jc w:val="left"/>
        <w:rPr>
          <w:sz w:val="18"/>
        </w:rPr>
      </w:pPr>
      <w:r>
        <w:rPr>
          <w:sz w:val="18"/>
        </w:rPr>
        <w:t>Retail sales had grown by 0.6% in August following zero growth in July. The BRC weekly data had pointed to strong growth in early September but growth had subsequently been heavily affected by the petrol dispute. The CBI Distributive Trades survey had indicated that retail sales had been less buoyant than expected in September, with the net balance of respondents reporting an annual increase in sales falling to +14 from +18 in August. The aggregate GfK measure of consumer confidence had fallen to -5 in September, though this had also been negatively affected by the petrol supply disruption. The MORI measure of consumer confidence had weakened similarly, from -7 to -17 in September. Total new car registrations had weakened further, with registrations in July and August 5.8% lower than a year</w:t>
      </w:r>
      <w:r>
        <w:rPr>
          <w:spacing w:val="-17"/>
          <w:sz w:val="18"/>
        </w:rPr>
        <w:t> </w:t>
      </w:r>
      <w:r>
        <w:rPr>
          <w:sz w:val="18"/>
        </w:rPr>
        <w:t>earlier.</w:t>
      </w:r>
    </w:p>
    <w:p>
      <w:pPr>
        <w:pStyle w:val="BodyText"/>
        <w:spacing w:before="3"/>
        <w:rPr>
          <w:sz w:val="18"/>
        </w:rPr>
      </w:pPr>
    </w:p>
    <w:p>
      <w:pPr>
        <w:pStyle w:val="ListParagraph"/>
        <w:numPr>
          <w:ilvl w:val="0"/>
          <w:numId w:val="57"/>
        </w:numPr>
        <w:tabs>
          <w:tab w:pos="639" w:val="left" w:leader="none"/>
          <w:tab w:pos="640" w:val="left" w:leader="none"/>
        </w:tabs>
        <w:spacing w:line="232" w:lineRule="auto" w:before="0" w:after="0"/>
        <w:ind w:left="160" w:right="160" w:firstLine="0"/>
        <w:jc w:val="left"/>
        <w:rPr>
          <w:sz w:val="18"/>
        </w:rPr>
      </w:pPr>
      <w:r>
        <w:rPr>
          <w:sz w:val="18"/>
        </w:rPr>
        <w:t>House prices had been broadly flat over the previous six months.  Despite a 0.4% rise in September, the annual growth of the</w:t>
      </w:r>
      <w:r>
        <w:rPr>
          <w:spacing w:val="-5"/>
          <w:sz w:val="18"/>
        </w:rPr>
        <w:t> </w:t>
      </w:r>
      <w:r>
        <w:rPr>
          <w:sz w:val="18"/>
        </w:rPr>
        <w:t>Nationwide</w:t>
      </w:r>
      <w:r>
        <w:rPr>
          <w:spacing w:val="-5"/>
          <w:sz w:val="18"/>
        </w:rPr>
        <w:t> </w:t>
      </w:r>
      <w:r>
        <w:rPr>
          <w:sz w:val="18"/>
        </w:rPr>
        <w:t>house</w:t>
      </w:r>
      <w:r>
        <w:rPr>
          <w:spacing w:val="-5"/>
          <w:sz w:val="18"/>
        </w:rPr>
        <w:t> </w:t>
      </w:r>
      <w:r>
        <w:rPr>
          <w:sz w:val="18"/>
        </w:rPr>
        <w:t>price</w:t>
      </w:r>
      <w:r>
        <w:rPr>
          <w:spacing w:val="-5"/>
          <w:sz w:val="18"/>
        </w:rPr>
        <w:t> </w:t>
      </w:r>
      <w:r>
        <w:rPr>
          <w:sz w:val="18"/>
        </w:rPr>
        <w:t>index</w:t>
      </w:r>
      <w:r>
        <w:rPr>
          <w:spacing w:val="-5"/>
          <w:sz w:val="18"/>
        </w:rPr>
        <w:t> </w:t>
      </w:r>
      <w:r>
        <w:rPr>
          <w:sz w:val="18"/>
        </w:rPr>
        <w:t>had</w:t>
      </w:r>
      <w:r>
        <w:rPr>
          <w:spacing w:val="-5"/>
          <w:sz w:val="18"/>
        </w:rPr>
        <w:t> </w:t>
      </w:r>
      <w:r>
        <w:rPr>
          <w:sz w:val="18"/>
        </w:rPr>
        <w:t>eased</w:t>
      </w:r>
      <w:r>
        <w:rPr>
          <w:spacing w:val="-5"/>
          <w:sz w:val="18"/>
        </w:rPr>
        <w:t> </w:t>
      </w:r>
      <w:r>
        <w:rPr>
          <w:sz w:val="18"/>
        </w:rPr>
        <w:t>to</w:t>
      </w:r>
      <w:r>
        <w:rPr>
          <w:spacing w:val="-5"/>
          <w:sz w:val="18"/>
        </w:rPr>
        <w:t> </w:t>
      </w:r>
      <w:r>
        <w:rPr>
          <w:sz w:val="18"/>
        </w:rPr>
        <w:t>10.2%</w:t>
      </w:r>
      <w:r>
        <w:rPr>
          <w:spacing w:val="-5"/>
          <w:sz w:val="18"/>
        </w:rPr>
        <w:t> </w:t>
      </w:r>
      <w:r>
        <w:rPr>
          <w:sz w:val="18"/>
        </w:rPr>
        <w:t>in</w:t>
      </w:r>
      <w:r>
        <w:rPr>
          <w:spacing w:val="-5"/>
          <w:sz w:val="18"/>
        </w:rPr>
        <w:t> </w:t>
      </w:r>
      <w:r>
        <w:rPr>
          <w:sz w:val="18"/>
        </w:rPr>
        <w:t>September, from 11.2% in August. The Halifax index had risen by 1.6% in September, after a 0.5% rise in August, increasing the annual growth rate by 1.8 percentage points to 9.2% in September. Particulars delivered had risen slightly to 121,000 in August, slightly below the level a year earlier. The House Builders Federation (HBF) survey balances for the annual change in site visits and net reservations had remained strongly negative. But the Royal Institution of Chartered Surveyors (RICS) survey had reported an increase in the average number of sales per estate agent to 29 in August from 25 in</w:t>
      </w:r>
      <w:r>
        <w:rPr>
          <w:spacing w:val="-9"/>
          <w:sz w:val="18"/>
        </w:rPr>
        <w:t> </w:t>
      </w:r>
      <w:r>
        <w:rPr>
          <w:sz w:val="18"/>
        </w:rPr>
        <w:t>July.</w:t>
      </w:r>
    </w:p>
    <w:p>
      <w:pPr>
        <w:pStyle w:val="BodyText"/>
        <w:spacing w:before="3"/>
        <w:rPr>
          <w:sz w:val="18"/>
        </w:rPr>
      </w:pPr>
    </w:p>
    <w:p>
      <w:pPr>
        <w:pStyle w:val="ListParagraph"/>
        <w:numPr>
          <w:ilvl w:val="0"/>
          <w:numId w:val="57"/>
        </w:numPr>
        <w:tabs>
          <w:tab w:pos="639" w:val="left" w:leader="none"/>
          <w:tab w:pos="640" w:val="left" w:leader="none"/>
        </w:tabs>
        <w:spacing w:line="232" w:lineRule="auto" w:before="0" w:after="0"/>
        <w:ind w:left="160" w:right="180" w:firstLine="0"/>
        <w:jc w:val="left"/>
        <w:rPr>
          <w:sz w:val="18"/>
        </w:rPr>
      </w:pPr>
      <w:r>
        <w:rPr>
          <w:sz w:val="18"/>
        </w:rPr>
        <w:t>‘Other’ central government current expenditure in July and August</w:t>
      </w:r>
      <w:r>
        <w:rPr>
          <w:spacing w:val="-6"/>
          <w:sz w:val="18"/>
        </w:rPr>
        <w:t> </w:t>
      </w:r>
      <w:r>
        <w:rPr>
          <w:sz w:val="18"/>
        </w:rPr>
        <w:t>had</w:t>
      </w:r>
      <w:r>
        <w:rPr>
          <w:spacing w:val="-5"/>
          <w:sz w:val="18"/>
        </w:rPr>
        <w:t> </w:t>
      </w:r>
      <w:r>
        <w:rPr>
          <w:sz w:val="18"/>
        </w:rPr>
        <w:t>averaged</w:t>
      </w:r>
      <w:r>
        <w:rPr>
          <w:spacing w:val="-6"/>
          <w:sz w:val="18"/>
        </w:rPr>
        <w:t> </w:t>
      </w:r>
      <w:r>
        <w:rPr>
          <w:sz w:val="18"/>
        </w:rPr>
        <w:t>£16</w:t>
      </w:r>
      <w:r>
        <w:rPr>
          <w:spacing w:val="-4"/>
          <w:sz w:val="18"/>
        </w:rPr>
        <w:t> </w:t>
      </w:r>
      <w:r>
        <w:rPr>
          <w:sz w:val="18"/>
        </w:rPr>
        <w:t>billion,</w:t>
      </w:r>
      <w:r>
        <w:rPr>
          <w:spacing w:val="-6"/>
          <w:sz w:val="18"/>
        </w:rPr>
        <w:t> </w:t>
      </w:r>
      <w:r>
        <w:rPr>
          <w:sz w:val="18"/>
        </w:rPr>
        <w:t>compared</w:t>
      </w:r>
      <w:r>
        <w:rPr>
          <w:spacing w:val="-5"/>
          <w:sz w:val="18"/>
        </w:rPr>
        <w:t> </w:t>
      </w:r>
      <w:r>
        <w:rPr>
          <w:sz w:val="18"/>
        </w:rPr>
        <w:t>with</w:t>
      </w:r>
      <w:r>
        <w:rPr>
          <w:spacing w:val="-6"/>
          <w:sz w:val="18"/>
        </w:rPr>
        <w:t> </w:t>
      </w:r>
      <w:r>
        <w:rPr>
          <w:sz w:val="18"/>
        </w:rPr>
        <w:t>a</w:t>
      </w:r>
      <w:r>
        <w:rPr>
          <w:spacing w:val="-5"/>
          <w:sz w:val="18"/>
        </w:rPr>
        <w:t> </w:t>
      </w:r>
      <w:r>
        <w:rPr>
          <w:sz w:val="18"/>
        </w:rPr>
        <w:t>monthly</w:t>
      </w:r>
      <w:r>
        <w:rPr>
          <w:spacing w:val="-6"/>
          <w:sz w:val="18"/>
        </w:rPr>
        <w:t> </w:t>
      </w:r>
      <w:r>
        <w:rPr>
          <w:sz w:val="18"/>
        </w:rPr>
        <w:t>average of £16.7 billion in Q2 (not seasonally</w:t>
      </w:r>
      <w:r>
        <w:rPr>
          <w:spacing w:val="-13"/>
          <w:sz w:val="18"/>
        </w:rPr>
        <w:t> </w:t>
      </w:r>
      <w:r>
        <w:rPr>
          <w:sz w:val="18"/>
        </w:rPr>
        <w:t>adjusted).</w:t>
      </w:r>
    </w:p>
    <w:p>
      <w:pPr>
        <w:pStyle w:val="BodyText"/>
        <w:spacing w:before="11"/>
        <w:rPr>
          <w:sz w:val="18"/>
        </w:rPr>
      </w:pPr>
    </w:p>
    <w:p>
      <w:pPr>
        <w:pStyle w:val="ListParagraph"/>
        <w:numPr>
          <w:ilvl w:val="0"/>
          <w:numId w:val="57"/>
        </w:numPr>
        <w:tabs>
          <w:tab w:pos="639" w:val="left" w:leader="none"/>
          <w:tab w:pos="640" w:val="left" w:leader="none"/>
        </w:tabs>
        <w:spacing w:line="232" w:lineRule="auto" w:before="0" w:after="0"/>
        <w:ind w:left="160" w:right="340" w:firstLine="0"/>
        <w:jc w:val="left"/>
        <w:rPr>
          <w:sz w:val="18"/>
        </w:rPr>
      </w:pPr>
      <w:r>
        <w:rPr>
          <w:sz w:val="18"/>
        </w:rPr>
        <w:t>The volume of goods imported in the three months to July had risen by 3.5% compared with three months earlier and had increased by 2.3% in July alone. The volume of goods exported had grown more slowly: it had fallen by 1.1% in July, leaving three-month growth at 2.6%. But data for August showed a 7.9% increase in exports to the non-EU area. The CIPS manufacturing survey balance for export orders was 50.6 in</w:t>
      </w:r>
      <w:r>
        <w:rPr>
          <w:spacing w:val="-21"/>
          <w:sz w:val="18"/>
        </w:rPr>
        <w:t> </w:t>
      </w:r>
      <w:r>
        <w:rPr>
          <w:sz w:val="18"/>
        </w:rPr>
        <w:t>September.</w:t>
      </w:r>
    </w:p>
    <w:p>
      <w:pPr>
        <w:pStyle w:val="BodyText"/>
        <w:spacing w:before="7"/>
        <w:rPr>
          <w:sz w:val="18"/>
        </w:rPr>
      </w:pPr>
    </w:p>
    <w:p>
      <w:pPr>
        <w:pStyle w:val="ListParagraph"/>
        <w:numPr>
          <w:ilvl w:val="0"/>
          <w:numId w:val="57"/>
        </w:numPr>
        <w:tabs>
          <w:tab w:pos="640" w:val="left" w:leader="none"/>
        </w:tabs>
        <w:spacing w:line="232" w:lineRule="auto" w:before="0" w:after="0"/>
        <w:ind w:left="160" w:right="385" w:firstLine="0"/>
        <w:jc w:val="both"/>
        <w:rPr>
          <w:sz w:val="18"/>
        </w:rPr>
      </w:pPr>
      <w:r>
        <w:rPr>
          <w:sz w:val="18"/>
        </w:rPr>
        <w:t>Total industrial production had grown by 0.6% in August. Within</w:t>
      </w:r>
      <w:r>
        <w:rPr>
          <w:spacing w:val="-7"/>
          <w:sz w:val="18"/>
        </w:rPr>
        <w:t> </w:t>
      </w:r>
      <w:r>
        <w:rPr>
          <w:sz w:val="18"/>
        </w:rPr>
        <w:t>this,</w:t>
      </w:r>
      <w:r>
        <w:rPr>
          <w:spacing w:val="-6"/>
          <w:sz w:val="18"/>
        </w:rPr>
        <w:t> </w:t>
      </w:r>
      <w:r>
        <w:rPr>
          <w:sz w:val="18"/>
        </w:rPr>
        <w:t>manufacturing</w:t>
      </w:r>
      <w:r>
        <w:rPr>
          <w:spacing w:val="-6"/>
          <w:sz w:val="18"/>
        </w:rPr>
        <w:t> </w:t>
      </w:r>
      <w:r>
        <w:rPr>
          <w:sz w:val="18"/>
        </w:rPr>
        <w:t>output</w:t>
      </w:r>
      <w:r>
        <w:rPr>
          <w:spacing w:val="-6"/>
          <w:sz w:val="18"/>
        </w:rPr>
        <w:t> </w:t>
      </w:r>
      <w:r>
        <w:rPr>
          <w:sz w:val="18"/>
        </w:rPr>
        <w:t>had</w:t>
      </w:r>
      <w:r>
        <w:rPr>
          <w:spacing w:val="-6"/>
          <w:sz w:val="18"/>
        </w:rPr>
        <w:t> </w:t>
      </w:r>
      <w:r>
        <w:rPr>
          <w:sz w:val="18"/>
        </w:rPr>
        <w:t>grown</w:t>
      </w:r>
      <w:r>
        <w:rPr>
          <w:spacing w:val="-6"/>
          <w:sz w:val="18"/>
        </w:rPr>
        <w:t> </w:t>
      </w:r>
      <w:r>
        <w:rPr>
          <w:sz w:val="18"/>
        </w:rPr>
        <w:t>by</w:t>
      </w:r>
      <w:r>
        <w:rPr>
          <w:spacing w:val="-6"/>
          <w:sz w:val="18"/>
        </w:rPr>
        <w:t> </w:t>
      </w:r>
      <w:r>
        <w:rPr>
          <w:sz w:val="18"/>
        </w:rPr>
        <w:t>0.8%,</w:t>
      </w:r>
      <w:r>
        <w:rPr>
          <w:spacing w:val="-6"/>
          <w:sz w:val="18"/>
        </w:rPr>
        <w:t> </w:t>
      </w:r>
      <w:r>
        <w:rPr>
          <w:sz w:val="18"/>
        </w:rPr>
        <w:t>reflecting particularly</w:t>
      </w:r>
      <w:r>
        <w:rPr>
          <w:spacing w:val="-5"/>
          <w:sz w:val="18"/>
        </w:rPr>
        <w:t> </w:t>
      </w:r>
      <w:r>
        <w:rPr>
          <w:sz w:val="18"/>
        </w:rPr>
        <w:t>strong</w:t>
      </w:r>
      <w:r>
        <w:rPr>
          <w:spacing w:val="-5"/>
          <w:sz w:val="18"/>
        </w:rPr>
        <w:t> </w:t>
      </w:r>
      <w:r>
        <w:rPr>
          <w:sz w:val="18"/>
        </w:rPr>
        <w:t>growth</w:t>
      </w:r>
      <w:r>
        <w:rPr>
          <w:spacing w:val="-4"/>
          <w:sz w:val="18"/>
        </w:rPr>
        <w:t> </w:t>
      </w:r>
      <w:r>
        <w:rPr>
          <w:sz w:val="18"/>
        </w:rPr>
        <w:t>in</w:t>
      </w:r>
      <w:r>
        <w:rPr>
          <w:spacing w:val="-5"/>
          <w:sz w:val="18"/>
        </w:rPr>
        <w:t> </w:t>
      </w:r>
      <w:r>
        <w:rPr>
          <w:sz w:val="18"/>
        </w:rPr>
        <w:t>the</w:t>
      </w:r>
      <w:r>
        <w:rPr>
          <w:spacing w:val="-4"/>
          <w:sz w:val="18"/>
        </w:rPr>
        <w:t> </w:t>
      </w:r>
      <w:r>
        <w:rPr>
          <w:sz w:val="18"/>
        </w:rPr>
        <w:t>electrical</w:t>
      </w:r>
      <w:r>
        <w:rPr>
          <w:spacing w:val="-5"/>
          <w:sz w:val="18"/>
        </w:rPr>
        <w:t> </w:t>
      </w:r>
      <w:r>
        <w:rPr>
          <w:sz w:val="18"/>
        </w:rPr>
        <w:t>and</w:t>
      </w:r>
      <w:r>
        <w:rPr>
          <w:spacing w:val="-4"/>
          <w:sz w:val="18"/>
        </w:rPr>
        <w:t> </w:t>
      </w:r>
      <w:r>
        <w:rPr>
          <w:sz w:val="18"/>
        </w:rPr>
        <w:t>optical</w:t>
      </w:r>
      <w:r>
        <w:rPr>
          <w:spacing w:val="-5"/>
          <w:sz w:val="18"/>
        </w:rPr>
        <w:t> </w:t>
      </w:r>
      <w:r>
        <w:rPr>
          <w:sz w:val="18"/>
        </w:rPr>
        <w:t>sector</w:t>
      </w:r>
      <w:r>
        <w:rPr>
          <w:spacing w:val="-4"/>
          <w:sz w:val="18"/>
        </w:rPr>
        <w:t> </w:t>
      </w:r>
      <w:r>
        <w:rPr>
          <w:sz w:val="18"/>
        </w:rPr>
        <w:t>of</w:t>
      </w:r>
    </w:p>
    <w:p>
      <w:pPr>
        <w:spacing w:after="0" w:line="232" w:lineRule="auto"/>
        <w:jc w:val="both"/>
        <w:rPr>
          <w:sz w:val="18"/>
        </w:rPr>
        <w:sectPr>
          <w:type w:val="continuous"/>
          <w:pgSz w:w="11900" w:h="16840"/>
          <w:pgMar w:top="1260" w:bottom="280" w:left="640" w:right="640"/>
          <w:cols w:num="2" w:equalWidth="0">
            <w:col w:w="5103" w:space="287"/>
            <w:col w:w="5230"/>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spacing w:line="232" w:lineRule="auto" w:before="1"/>
        <w:ind w:left="170" w:right="52" w:firstLine="0"/>
        <w:jc w:val="left"/>
        <w:rPr>
          <w:sz w:val="18"/>
        </w:rPr>
      </w:pPr>
      <w:r>
        <w:rPr>
          <w:sz w:val="18"/>
        </w:rPr>
        <w:t>engineering, which had grown by 4.1% on the month. Upward revisions to energy sector output in July had increased total industrial production growth in that month to +0.4% from -0.1%. The CIPS manufacturing survey activity balance had been 51.6 in September and had remained broadly stable since July, despite the impact of the disruption to petrol supply. In contrast, the CIPS services activity balance had fallen back to 55 in September after having risen slightly in August. The CIPS construction activity index had fallen to 58 in August but had picked up to 60 in September. And construction new orders in the three months to August had risen by 22% on the previous three months (compared with quarterly growth of 11.2% in Q2). In the CBI Monthly Trends Survey, output expectations had picked up to +5 in September from</w:t>
      </w:r>
    </w:p>
    <w:p>
      <w:pPr>
        <w:spacing w:line="232" w:lineRule="auto" w:before="0"/>
        <w:ind w:left="170" w:right="158" w:firstLine="0"/>
        <w:jc w:val="left"/>
        <w:rPr>
          <w:sz w:val="18"/>
        </w:rPr>
      </w:pPr>
      <w:r>
        <w:rPr>
          <w:sz w:val="18"/>
        </w:rPr>
        <w:t>+2 in August. The National Institute of Economic and Social Research’s estimate of GDP growth in the three months to August had been 0.8%.</w:t>
      </w:r>
    </w:p>
    <w:p>
      <w:pPr>
        <w:pStyle w:val="BodyText"/>
        <w:rPr>
          <w:sz w:val="23"/>
        </w:rPr>
      </w:pPr>
    </w:p>
    <w:p>
      <w:pPr>
        <w:pStyle w:val="ListParagraph"/>
        <w:numPr>
          <w:ilvl w:val="0"/>
          <w:numId w:val="56"/>
        </w:numPr>
        <w:tabs>
          <w:tab w:pos="649" w:val="left" w:leader="none"/>
          <w:tab w:pos="651" w:val="left" w:leader="none"/>
        </w:tabs>
        <w:spacing w:line="240" w:lineRule="auto" w:before="0" w:after="0"/>
        <w:ind w:left="650" w:right="0" w:hanging="481"/>
        <w:jc w:val="left"/>
        <w:rPr>
          <w:b/>
          <w:sz w:val="22"/>
        </w:rPr>
      </w:pPr>
      <w:r>
        <w:rPr>
          <w:b/>
          <w:color w:val="009391"/>
          <w:sz w:val="22"/>
        </w:rPr>
        <w:t>The labour</w:t>
      </w:r>
      <w:r>
        <w:rPr>
          <w:b/>
          <w:color w:val="009391"/>
          <w:spacing w:val="-3"/>
          <w:sz w:val="22"/>
        </w:rPr>
        <w:t> </w:t>
      </w:r>
      <w:r>
        <w:rPr>
          <w:b/>
          <w:color w:val="009391"/>
          <w:sz w:val="22"/>
        </w:rPr>
        <w:t>market</w:t>
      </w:r>
    </w:p>
    <w:p>
      <w:pPr>
        <w:pStyle w:val="ListParagraph"/>
        <w:numPr>
          <w:ilvl w:val="0"/>
          <w:numId w:val="57"/>
        </w:numPr>
        <w:tabs>
          <w:tab w:pos="649" w:val="left" w:leader="none"/>
          <w:tab w:pos="650" w:val="left" w:leader="none"/>
        </w:tabs>
        <w:spacing w:line="232" w:lineRule="auto" w:before="110" w:after="0"/>
        <w:ind w:left="170" w:right="38" w:firstLine="0"/>
        <w:jc w:val="left"/>
        <w:rPr>
          <w:sz w:val="18"/>
        </w:rPr>
      </w:pPr>
      <w:r>
        <w:rPr>
          <w:sz w:val="18"/>
        </w:rPr>
        <w:t>The Labour Force Survey (LFS) measure of employment had risen by 93,000 (0.3%) in the three months to July compared with the previous three months, slightly weaker growth than in the three months to April (0.4%) and in Q2 (0.4%). The rise in LFS employment had mainly reflected an increase in part-time employment (57,000), which had raised the part-time share slightly to 25.0%. Workforce Jobs (a more volatile series, which is sampled on a single day in each quarter) had increased by 59,000 in Q2, compared with a fall of 10,000 in</w:t>
      </w:r>
      <w:r>
        <w:rPr>
          <w:spacing w:val="-10"/>
          <w:sz w:val="18"/>
        </w:rPr>
        <w:t> </w:t>
      </w:r>
      <w:r>
        <w:rPr>
          <w:sz w:val="18"/>
        </w:rPr>
        <w:t>Q1.</w:t>
      </w:r>
    </w:p>
    <w:p>
      <w:pPr>
        <w:pStyle w:val="BodyText"/>
        <w:spacing w:before="3"/>
        <w:rPr>
          <w:sz w:val="20"/>
        </w:rPr>
      </w:pPr>
    </w:p>
    <w:p>
      <w:pPr>
        <w:pStyle w:val="ListParagraph"/>
        <w:numPr>
          <w:ilvl w:val="0"/>
          <w:numId w:val="57"/>
        </w:numPr>
        <w:tabs>
          <w:tab w:pos="649" w:val="left" w:leader="none"/>
          <w:tab w:pos="650" w:val="left" w:leader="none"/>
        </w:tabs>
        <w:spacing w:line="232" w:lineRule="auto" w:before="0" w:after="0"/>
        <w:ind w:left="170" w:right="188" w:firstLine="0"/>
        <w:jc w:val="left"/>
        <w:rPr>
          <w:sz w:val="18"/>
        </w:rPr>
      </w:pPr>
      <w:r>
        <w:rPr>
          <w:sz w:val="18"/>
        </w:rPr>
        <w:t>Average hours worked had increased by 0.1% in the three months to July. Both full-time and part-time average hours had increased,</w:t>
      </w:r>
      <w:r>
        <w:rPr>
          <w:spacing w:val="-5"/>
          <w:sz w:val="18"/>
        </w:rPr>
        <w:t> </w:t>
      </w:r>
      <w:r>
        <w:rPr>
          <w:sz w:val="18"/>
        </w:rPr>
        <w:t>but</w:t>
      </w:r>
      <w:r>
        <w:rPr>
          <w:spacing w:val="-5"/>
          <w:sz w:val="18"/>
        </w:rPr>
        <w:t> </w:t>
      </w:r>
      <w:r>
        <w:rPr>
          <w:sz w:val="18"/>
        </w:rPr>
        <w:t>there</w:t>
      </w:r>
      <w:r>
        <w:rPr>
          <w:spacing w:val="-4"/>
          <w:sz w:val="18"/>
        </w:rPr>
        <w:t> </w:t>
      </w:r>
      <w:r>
        <w:rPr>
          <w:sz w:val="18"/>
        </w:rPr>
        <w:t>had</w:t>
      </w:r>
      <w:r>
        <w:rPr>
          <w:spacing w:val="-5"/>
          <w:sz w:val="18"/>
        </w:rPr>
        <w:t> </w:t>
      </w:r>
      <w:r>
        <w:rPr>
          <w:sz w:val="18"/>
        </w:rPr>
        <w:t>been</w:t>
      </w:r>
      <w:r>
        <w:rPr>
          <w:spacing w:val="-4"/>
          <w:sz w:val="18"/>
        </w:rPr>
        <w:t> </w:t>
      </w:r>
      <w:r>
        <w:rPr>
          <w:sz w:val="18"/>
        </w:rPr>
        <w:t>a</w:t>
      </w:r>
      <w:r>
        <w:rPr>
          <w:spacing w:val="-5"/>
          <w:sz w:val="18"/>
        </w:rPr>
        <w:t> </w:t>
      </w:r>
      <w:r>
        <w:rPr>
          <w:sz w:val="18"/>
        </w:rPr>
        <w:t>decline</w:t>
      </w:r>
      <w:r>
        <w:rPr>
          <w:spacing w:val="-5"/>
          <w:sz w:val="18"/>
        </w:rPr>
        <w:t> </w:t>
      </w:r>
      <w:r>
        <w:rPr>
          <w:sz w:val="18"/>
        </w:rPr>
        <w:t>in</w:t>
      </w:r>
      <w:r>
        <w:rPr>
          <w:spacing w:val="-4"/>
          <w:sz w:val="18"/>
        </w:rPr>
        <w:t> </w:t>
      </w:r>
      <w:r>
        <w:rPr>
          <w:sz w:val="18"/>
        </w:rPr>
        <w:t>hours</w:t>
      </w:r>
      <w:r>
        <w:rPr>
          <w:spacing w:val="-5"/>
          <w:sz w:val="18"/>
        </w:rPr>
        <w:t> </w:t>
      </w:r>
      <w:r>
        <w:rPr>
          <w:sz w:val="18"/>
        </w:rPr>
        <w:t>devoted</w:t>
      </w:r>
      <w:r>
        <w:rPr>
          <w:spacing w:val="-4"/>
          <w:sz w:val="18"/>
        </w:rPr>
        <w:t> </w:t>
      </w:r>
      <w:r>
        <w:rPr>
          <w:sz w:val="18"/>
        </w:rPr>
        <w:t>to</w:t>
      </w:r>
      <w:r>
        <w:rPr>
          <w:spacing w:val="-5"/>
          <w:sz w:val="18"/>
        </w:rPr>
        <w:t> </w:t>
      </w:r>
      <w:r>
        <w:rPr>
          <w:sz w:val="18"/>
        </w:rPr>
        <w:t>second jobs. Total hours worked had increased by 0.4% in the three months to</w:t>
      </w:r>
      <w:r>
        <w:rPr>
          <w:spacing w:val="-3"/>
          <w:sz w:val="18"/>
        </w:rPr>
        <w:t> </w:t>
      </w:r>
      <w:r>
        <w:rPr>
          <w:sz w:val="18"/>
        </w:rPr>
        <w:t>July.</w:t>
      </w:r>
    </w:p>
    <w:p>
      <w:pPr>
        <w:pStyle w:val="BodyText"/>
        <w:spacing w:before="6"/>
        <w:rPr>
          <w:sz w:val="20"/>
        </w:rPr>
      </w:pPr>
    </w:p>
    <w:p>
      <w:pPr>
        <w:pStyle w:val="ListParagraph"/>
        <w:numPr>
          <w:ilvl w:val="0"/>
          <w:numId w:val="57"/>
        </w:numPr>
        <w:tabs>
          <w:tab w:pos="649" w:val="left" w:leader="none"/>
          <w:tab w:pos="650" w:val="left" w:leader="none"/>
        </w:tabs>
        <w:spacing w:line="232" w:lineRule="auto" w:before="0" w:after="0"/>
        <w:ind w:left="170" w:right="219" w:firstLine="0"/>
        <w:jc w:val="left"/>
        <w:rPr>
          <w:sz w:val="18"/>
        </w:rPr>
      </w:pPr>
      <w:r>
        <w:rPr>
          <w:sz w:val="18"/>
        </w:rPr>
        <w:t>The CIPS construction and services employment growth balances had both suggested continued employment growth in September, though at a reduced rate for construction with a sharp drop in the index on the month, while the balance for manufacturing</w:t>
      </w:r>
      <w:r>
        <w:rPr>
          <w:spacing w:val="-7"/>
          <w:sz w:val="18"/>
        </w:rPr>
        <w:t> </w:t>
      </w:r>
      <w:r>
        <w:rPr>
          <w:sz w:val="18"/>
        </w:rPr>
        <w:t>had</w:t>
      </w:r>
      <w:r>
        <w:rPr>
          <w:spacing w:val="-7"/>
          <w:sz w:val="18"/>
        </w:rPr>
        <w:t> </w:t>
      </w:r>
      <w:r>
        <w:rPr>
          <w:sz w:val="18"/>
        </w:rPr>
        <w:t>suggested</w:t>
      </w:r>
      <w:r>
        <w:rPr>
          <w:spacing w:val="-7"/>
          <w:sz w:val="18"/>
        </w:rPr>
        <w:t> </w:t>
      </w:r>
      <w:r>
        <w:rPr>
          <w:sz w:val="18"/>
        </w:rPr>
        <w:t>a</w:t>
      </w:r>
      <w:r>
        <w:rPr>
          <w:spacing w:val="-7"/>
          <w:sz w:val="18"/>
        </w:rPr>
        <w:t> </w:t>
      </w:r>
      <w:r>
        <w:rPr>
          <w:sz w:val="18"/>
        </w:rPr>
        <w:t>continued</w:t>
      </w:r>
      <w:r>
        <w:rPr>
          <w:spacing w:val="-7"/>
          <w:sz w:val="18"/>
        </w:rPr>
        <w:t> </w:t>
      </w:r>
      <w:r>
        <w:rPr>
          <w:sz w:val="18"/>
        </w:rPr>
        <w:t>decline</w:t>
      </w:r>
      <w:r>
        <w:rPr>
          <w:spacing w:val="-6"/>
          <w:sz w:val="18"/>
        </w:rPr>
        <w:t> </w:t>
      </w:r>
      <w:r>
        <w:rPr>
          <w:sz w:val="18"/>
        </w:rPr>
        <w:t>in</w:t>
      </w:r>
      <w:r>
        <w:rPr>
          <w:spacing w:val="-7"/>
          <w:sz w:val="18"/>
        </w:rPr>
        <w:t> </w:t>
      </w:r>
      <w:r>
        <w:rPr>
          <w:sz w:val="18"/>
        </w:rPr>
        <w:t>employment. The Recruitment and Employment Confederation (REC) had reported a fall in the availability of temporary staff in September. The CBI/Deloitte &amp; Touche service sector survey had suggested slightly greater recruiting difficulties in the business and professional services category. By contrast, the Bank’s regional Agents had reported that skill shortages had not deteriorated further.</w:t>
      </w:r>
    </w:p>
    <w:p>
      <w:pPr>
        <w:pStyle w:val="BodyText"/>
        <w:rPr>
          <w:sz w:val="20"/>
        </w:rPr>
      </w:pPr>
    </w:p>
    <w:p>
      <w:pPr>
        <w:pStyle w:val="ListParagraph"/>
        <w:numPr>
          <w:ilvl w:val="0"/>
          <w:numId w:val="57"/>
        </w:numPr>
        <w:tabs>
          <w:tab w:pos="649" w:val="left" w:leader="none"/>
          <w:tab w:pos="650" w:val="left" w:leader="none"/>
        </w:tabs>
        <w:spacing w:line="232" w:lineRule="auto" w:before="1" w:after="0"/>
        <w:ind w:left="170" w:right="143" w:firstLine="0"/>
        <w:jc w:val="left"/>
        <w:rPr>
          <w:sz w:val="18"/>
        </w:rPr>
      </w:pPr>
      <w:r>
        <w:rPr>
          <w:sz w:val="18"/>
        </w:rPr>
        <w:t>LFS unemployment had fallen by 104,000 in the three months to July compared with the previous three months, slightly greater than the fall of 91,000 in Q2. The LFS unemployment rate had fallen by 0.3 percentage points to 5.3%. The claimant count had</w:t>
      </w:r>
      <w:r>
        <w:rPr>
          <w:spacing w:val="-5"/>
          <w:sz w:val="18"/>
        </w:rPr>
        <w:t> </w:t>
      </w:r>
      <w:r>
        <w:rPr>
          <w:sz w:val="18"/>
        </w:rPr>
        <w:t>fallen</w:t>
      </w:r>
      <w:r>
        <w:rPr>
          <w:spacing w:val="-4"/>
          <w:sz w:val="18"/>
        </w:rPr>
        <w:t> </w:t>
      </w:r>
      <w:r>
        <w:rPr>
          <w:sz w:val="18"/>
        </w:rPr>
        <w:t>by</w:t>
      </w:r>
      <w:r>
        <w:rPr>
          <w:spacing w:val="-4"/>
          <w:sz w:val="18"/>
        </w:rPr>
        <w:t> </w:t>
      </w:r>
      <w:r>
        <w:rPr>
          <w:sz w:val="18"/>
        </w:rPr>
        <w:t>48,300</w:t>
      </w:r>
      <w:r>
        <w:rPr>
          <w:spacing w:val="-4"/>
          <w:sz w:val="18"/>
        </w:rPr>
        <w:t> </w:t>
      </w:r>
      <w:r>
        <w:rPr>
          <w:sz w:val="18"/>
        </w:rPr>
        <w:t>over</w:t>
      </w:r>
      <w:r>
        <w:rPr>
          <w:spacing w:val="-4"/>
          <w:sz w:val="18"/>
        </w:rPr>
        <w:t> </w:t>
      </w:r>
      <w:r>
        <w:rPr>
          <w:sz w:val="18"/>
        </w:rPr>
        <w:t>the</w:t>
      </w:r>
      <w:r>
        <w:rPr>
          <w:spacing w:val="-4"/>
          <w:sz w:val="18"/>
        </w:rPr>
        <w:t> </w:t>
      </w:r>
      <w:r>
        <w:rPr>
          <w:sz w:val="18"/>
        </w:rPr>
        <w:t>same</w:t>
      </w:r>
      <w:r>
        <w:rPr>
          <w:spacing w:val="-5"/>
          <w:sz w:val="18"/>
        </w:rPr>
        <w:t> </w:t>
      </w:r>
      <w:r>
        <w:rPr>
          <w:sz w:val="18"/>
        </w:rPr>
        <w:t>period,</w:t>
      </w:r>
      <w:r>
        <w:rPr>
          <w:spacing w:val="-4"/>
          <w:sz w:val="18"/>
        </w:rPr>
        <w:t> </w:t>
      </w:r>
      <w:r>
        <w:rPr>
          <w:sz w:val="18"/>
        </w:rPr>
        <w:t>and</w:t>
      </w:r>
      <w:r>
        <w:rPr>
          <w:spacing w:val="-4"/>
          <w:sz w:val="18"/>
        </w:rPr>
        <w:t> </w:t>
      </w:r>
      <w:r>
        <w:rPr>
          <w:sz w:val="18"/>
        </w:rPr>
        <w:t>by</w:t>
      </w:r>
      <w:r>
        <w:rPr>
          <w:spacing w:val="-4"/>
          <w:sz w:val="18"/>
        </w:rPr>
        <w:t> </w:t>
      </w:r>
      <w:r>
        <w:rPr>
          <w:sz w:val="18"/>
        </w:rPr>
        <w:t>a</w:t>
      </w:r>
      <w:r>
        <w:rPr>
          <w:spacing w:val="-4"/>
          <w:sz w:val="18"/>
        </w:rPr>
        <w:t> </w:t>
      </w:r>
      <w:r>
        <w:rPr>
          <w:sz w:val="18"/>
        </w:rPr>
        <w:t>further</w:t>
      </w:r>
      <w:r>
        <w:rPr>
          <w:spacing w:val="-4"/>
          <w:sz w:val="18"/>
        </w:rPr>
        <w:t> </w:t>
      </w:r>
      <w:r>
        <w:rPr>
          <w:sz w:val="18"/>
        </w:rPr>
        <w:t>18,000 in August. As in Q2, the fall in LFS unemployment had largely been accounted for by a decline in short-term</w:t>
      </w:r>
      <w:r>
        <w:rPr>
          <w:spacing w:val="-28"/>
          <w:sz w:val="18"/>
        </w:rPr>
        <w:t> </w:t>
      </w:r>
      <w:r>
        <w:rPr>
          <w:sz w:val="18"/>
        </w:rPr>
        <w:t>unemployment.</w:t>
      </w:r>
    </w:p>
    <w:p>
      <w:pPr>
        <w:pStyle w:val="BodyText"/>
        <w:spacing w:before="4"/>
        <w:rPr>
          <w:sz w:val="20"/>
        </w:rPr>
      </w:pPr>
    </w:p>
    <w:p>
      <w:pPr>
        <w:pStyle w:val="ListParagraph"/>
        <w:numPr>
          <w:ilvl w:val="0"/>
          <w:numId w:val="57"/>
        </w:numPr>
        <w:tabs>
          <w:tab w:pos="649" w:val="left" w:leader="none"/>
          <w:tab w:pos="650" w:val="left" w:leader="none"/>
        </w:tabs>
        <w:spacing w:line="232" w:lineRule="auto" w:before="0" w:after="0"/>
        <w:ind w:left="170" w:right="203" w:firstLine="0"/>
        <w:jc w:val="left"/>
        <w:rPr>
          <w:sz w:val="18"/>
        </w:rPr>
      </w:pPr>
      <w:r>
        <w:rPr>
          <w:sz w:val="18"/>
        </w:rPr>
        <w:t>Inactivity had risen by 46,000 in the three months to July compared with the previous three months, reflecting a 87,000 rise in male inactivity. The inactivity rate had remained at 21% of the population of working</w:t>
      </w:r>
      <w:r>
        <w:rPr>
          <w:spacing w:val="-4"/>
          <w:sz w:val="18"/>
        </w:rPr>
        <w:t> </w:t>
      </w:r>
      <w:r>
        <w:rPr>
          <w:sz w:val="18"/>
        </w:rPr>
        <w:t>age.</w:t>
      </w:r>
    </w:p>
    <w:p>
      <w:pPr>
        <w:pStyle w:val="BodyText"/>
        <w:spacing w:before="7"/>
        <w:rPr>
          <w:sz w:val="20"/>
        </w:rPr>
      </w:pPr>
    </w:p>
    <w:p>
      <w:pPr>
        <w:pStyle w:val="ListParagraph"/>
        <w:numPr>
          <w:ilvl w:val="0"/>
          <w:numId w:val="57"/>
        </w:numPr>
        <w:tabs>
          <w:tab w:pos="649" w:val="left" w:leader="none"/>
          <w:tab w:pos="650" w:val="left" w:leader="none"/>
        </w:tabs>
        <w:spacing w:line="232" w:lineRule="auto" w:before="0" w:after="0"/>
        <w:ind w:left="170" w:right="72" w:firstLine="0"/>
        <w:jc w:val="left"/>
        <w:rPr>
          <w:sz w:val="18"/>
        </w:rPr>
      </w:pPr>
      <w:r>
        <w:rPr>
          <w:sz w:val="18"/>
        </w:rPr>
        <w:t>The official National Statistics measure of productivity, based on Workforce Jobs, had increased by 2.5% in the year to Q2, compared with an increase of 2.1% in Q1. An alternative measure based on LFS employment had increased by 1.7%, unchanged from Q1. Productivity per hour had increased by 2.5% in the year to Q2, falling from 3.1% in</w:t>
      </w:r>
      <w:r>
        <w:rPr>
          <w:spacing w:val="-5"/>
          <w:sz w:val="18"/>
        </w:rPr>
        <w:t> </w:t>
      </w:r>
      <w:r>
        <w:rPr>
          <w:sz w:val="18"/>
        </w:rPr>
        <w:t>Q1.</w:t>
      </w:r>
    </w:p>
    <w:p>
      <w:pPr>
        <w:pStyle w:val="BodyText"/>
        <w:rPr>
          <w:sz w:val="17"/>
        </w:rPr>
      </w:pPr>
    </w:p>
    <w:p>
      <w:pPr>
        <w:pStyle w:val="ListParagraph"/>
        <w:numPr>
          <w:ilvl w:val="0"/>
          <w:numId w:val="57"/>
        </w:numPr>
        <w:tabs>
          <w:tab w:pos="649" w:val="left" w:leader="none"/>
          <w:tab w:pos="650" w:val="left" w:leader="none"/>
        </w:tabs>
        <w:spacing w:line="232" w:lineRule="auto" w:before="0" w:after="0"/>
        <w:ind w:left="170" w:right="48" w:firstLine="0"/>
        <w:jc w:val="left"/>
        <w:rPr>
          <w:sz w:val="18"/>
        </w:rPr>
      </w:pPr>
      <w:r>
        <w:rPr>
          <w:sz w:val="18"/>
        </w:rPr>
        <w:t>Headline earnings growth, a three-month moving average of the</w:t>
      </w:r>
      <w:r>
        <w:rPr>
          <w:spacing w:val="-5"/>
          <w:sz w:val="18"/>
        </w:rPr>
        <w:t> </w:t>
      </w:r>
      <w:r>
        <w:rPr>
          <w:sz w:val="18"/>
        </w:rPr>
        <w:t>annual</w:t>
      </w:r>
      <w:r>
        <w:rPr>
          <w:spacing w:val="-5"/>
          <w:sz w:val="18"/>
        </w:rPr>
        <w:t> </w:t>
      </w:r>
      <w:r>
        <w:rPr>
          <w:sz w:val="18"/>
        </w:rPr>
        <w:t>growth</w:t>
      </w:r>
      <w:r>
        <w:rPr>
          <w:spacing w:val="-5"/>
          <w:sz w:val="18"/>
        </w:rPr>
        <w:t> </w:t>
      </w:r>
      <w:r>
        <w:rPr>
          <w:sz w:val="18"/>
        </w:rPr>
        <w:t>rates,</w:t>
      </w:r>
      <w:r>
        <w:rPr>
          <w:spacing w:val="-4"/>
          <w:sz w:val="18"/>
        </w:rPr>
        <w:t> </w:t>
      </w:r>
      <w:r>
        <w:rPr>
          <w:sz w:val="18"/>
        </w:rPr>
        <w:t>had</w:t>
      </w:r>
      <w:r>
        <w:rPr>
          <w:spacing w:val="-5"/>
          <w:sz w:val="18"/>
        </w:rPr>
        <w:t> </w:t>
      </w:r>
      <w:r>
        <w:rPr>
          <w:sz w:val="18"/>
        </w:rPr>
        <w:t>fallen</w:t>
      </w:r>
      <w:r>
        <w:rPr>
          <w:spacing w:val="-5"/>
          <w:sz w:val="18"/>
        </w:rPr>
        <w:t> </w:t>
      </w:r>
      <w:r>
        <w:rPr>
          <w:sz w:val="18"/>
        </w:rPr>
        <w:t>by</w:t>
      </w:r>
      <w:r>
        <w:rPr>
          <w:spacing w:val="-5"/>
          <w:sz w:val="18"/>
        </w:rPr>
        <w:t> </w:t>
      </w:r>
      <w:r>
        <w:rPr>
          <w:sz w:val="18"/>
        </w:rPr>
        <w:t>0.2</w:t>
      </w:r>
      <w:r>
        <w:rPr>
          <w:spacing w:val="-4"/>
          <w:sz w:val="18"/>
        </w:rPr>
        <w:t> </w:t>
      </w:r>
      <w:r>
        <w:rPr>
          <w:sz w:val="18"/>
        </w:rPr>
        <w:t>percentage</w:t>
      </w:r>
      <w:r>
        <w:rPr>
          <w:spacing w:val="-5"/>
          <w:sz w:val="18"/>
        </w:rPr>
        <w:t> </w:t>
      </w:r>
      <w:r>
        <w:rPr>
          <w:sz w:val="18"/>
        </w:rPr>
        <w:t>points</w:t>
      </w:r>
      <w:r>
        <w:rPr>
          <w:spacing w:val="-5"/>
          <w:sz w:val="18"/>
        </w:rPr>
        <w:t> </w:t>
      </w:r>
      <w:r>
        <w:rPr>
          <w:sz w:val="18"/>
        </w:rPr>
        <w:t>to</w:t>
      </w:r>
      <w:r>
        <w:rPr>
          <w:spacing w:val="-5"/>
          <w:sz w:val="18"/>
        </w:rPr>
        <w:t> </w:t>
      </w:r>
      <w:r>
        <w:rPr>
          <w:sz w:val="18"/>
        </w:rPr>
        <w:t>3.9% in July. Headline private sector earnings growth had fallen</w:t>
      </w:r>
      <w:r>
        <w:rPr>
          <w:spacing w:val="-31"/>
          <w:sz w:val="18"/>
        </w:rPr>
        <w:t> </w:t>
      </w:r>
      <w:r>
        <w:rPr>
          <w:sz w:val="18"/>
        </w:rPr>
        <w:t>by</w:t>
      </w:r>
    </w:p>
    <w:p>
      <w:pPr>
        <w:pStyle w:val="BodyText"/>
        <w:spacing w:before="7"/>
        <w:rPr>
          <w:sz w:val="19"/>
        </w:rPr>
      </w:pPr>
      <w:r>
        <w:rPr/>
        <w:br w:type="column"/>
      </w:r>
      <w:r>
        <w:rPr>
          <w:sz w:val="19"/>
        </w:rPr>
      </w:r>
    </w:p>
    <w:p>
      <w:pPr>
        <w:spacing w:line="232" w:lineRule="auto" w:before="0"/>
        <w:ind w:left="170" w:right="126" w:firstLine="0"/>
        <w:jc w:val="left"/>
        <w:rPr>
          <w:sz w:val="18"/>
        </w:rPr>
      </w:pPr>
      <w:r>
        <w:rPr>
          <w:sz w:val="18"/>
        </w:rPr>
        <w:t>0.2 percentage points to 4.0%, while headline public sector earnings growth had fallen by 0.3 percentage points to 3.4%. Headline earnings growth in the manufacturing sector had remained unchanged at 4.7% for the third consecutive month. Headline earnings growth in private sector services had fallen by</w:t>
      </w:r>
    </w:p>
    <w:p>
      <w:pPr>
        <w:spacing w:line="198" w:lineRule="exact" w:before="0"/>
        <w:ind w:left="170" w:right="0" w:firstLine="0"/>
        <w:jc w:val="left"/>
        <w:rPr>
          <w:sz w:val="18"/>
        </w:rPr>
      </w:pPr>
      <w:r>
        <w:rPr>
          <w:sz w:val="18"/>
        </w:rPr>
        <w:t>0.4 percentage points to 3.5%.</w:t>
      </w:r>
    </w:p>
    <w:p>
      <w:pPr>
        <w:pStyle w:val="BodyText"/>
        <w:spacing w:before="8"/>
        <w:rPr>
          <w:sz w:val="20"/>
        </w:rPr>
      </w:pPr>
    </w:p>
    <w:p>
      <w:pPr>
        <w:pStyle w:val="ListParagraph"/>
        <w:numPr>
          <w:ilvl w:val="0"/>
          <w:numId w:val="57"/>
        </w:numPr>
        <w:tabs>
          <w:tab w:pos="649" w:val="left" w:leader="none"/>
          <w:tab w:pos="650" w:val="left" w:leader="none"/>
        </w:tabs>
        <w:spacing w:line="232" w:lineRule="auto" w:before="1" w:after="0"/>
        <w:ind w:left="170" w:right="315" w:firstLine="0"/>
        <w:jc w:val="left"/>
        <w:rPr>
          <w:sz w:val="18"/>
        </w:rPr>
      </w:pPr>
      <w:r>
        <w:rPr>
          <w:sz w:val="18"/>
        </w:rPr>
        <w:t>Actual earnings growth had been 3.8% in July, unchanged from June. Growth in regular pay, ie excluding bonuses, had also remained unchanged at 4.4% (not seasonally adjusted). Bonuses had reduced earnings growth by 0.8 percentage points (not seasonally adjusted), the third successive negative</w:t>
      </w:r>
      <w:r>
        <w:rPr>
          <w:spacing w:val="-32"/>
          <w:sz w:val="18"/>
        </w:rPr>
        <w:t> </w:t>
      </w:r>
      <w:r>
        <w:rPr>
          <w:sz w:val="18"/>
        </w:rPr>
        <w:t>contribution</w:t>
      </w:r>
    </w:p>
    <w:p>
      <w:pPr>
        <w:spacing w:line="232" w:lineRule="auto" w:before="0"/>
        <w:ind w:left="170" w:right="251" w:firstLine="0"/>
        <w:jc w:val="left"/>
        <w:rPr>
          <w:sz w:val="18"/>
        </w:rPr>
      </w:pPr>
      <w:r>
        <w:rPr>
          <w:sz w:val="18"/>
        </w:rPr>
        <w:t>to actual earnings growth. The Bank’s estimate of growth in earnings per hour, based on a smoothed hours series, had fallen by</w:t>
      </w:r>
    </w:p>
    <w:p>
      <w:pPr>
        <w:spacing w:line="200" w:lineRule="exact" w:before="0"/>
        <w:ind w:left="170" w:right="0" w:firstLine="0"/>
        <w:jc w:val="left"/>
        <w:rPr>
          <w:sz w:val="18"/>
        </w:rPr>
      </w:pPr>
      <w:r>
        <w:rPr>
          <w:sz w:val="18"/>
        </w:rPr>
        <w:t>0.3 percentage points to 4.8% in July.</w:t>
      </w:r>
    </w:p>
    <w:p>
      <w:pPr>
        <w:pStyle w:val="BodyText"/>
        <w:spacing w:before="4"/>
        <w:rPr>
          <w:sz w:val="20"/>
        </w:rPr>
      </w:pPr>
    </w:p>
    <w:p>
      <w:pPr>
        <w:pStyle w:val="ListParagraph"/>
        <w:numPr>
          <w:ilvl w:val="0"/>
          <w:numId w:val="57"/>
        </w:numPr>
        <w:tabs>
          <w:tab w:pos="649" w:val="left" w:leader="none"/>
          <w:tab w:pos="650" w:val="left" w:leader="none"/>
        </w:tabs>
        <w:spacing w:line="232" w:lineRule="auto" w:before="0" w:after="0"/>
        <w:ind w:left="170" w:right="156" w:firstLine="0"/>
        <w:jc w:val="left"/>
        <w:rPr>
          <w:sz w:val="18"/>
        </w:rPr>
      </w:pPr>
      <w:r>
        <w:rPr>
          <w:sz w:val="18"/>
        </w:rPr>
        <w:t>The</w:t>
      </w:r>
      <w:r>
        <w:rPr>
          <w:spacing w:val="-6"/>
          <w:sz w:val="18"/>
        </w:rPr>
        <w:t> </w:t>
      </w:r>
      <w:r>
        <w:rPr>
          <w:sz w:val="18"/>
        </w:rPr>
        <w:t>annual</w:t>
      </w:r>
      <w:r>
        <w:rPr>
          <w:spacing w:val="-5"/>
          <w:sz w:val="18"/>
        </w:rPr>
        <w:t> </w:t>
      </w:r>
      <w:r>
        <w:rPr>
          <w:sz w:val="18"/>
        </w:rPr>
        <w:t>growth</w:t>
      </w:r>
      <w:r>
        <w:rPr>
          <w:spacing w:val="-5"/>
          <w:sz w:val="18"/>
        </w:rPr>
        <w:t> </w:t>
      </w:r>
      <w:r>
        <w:rPr>
          <w:sz w:val="18"/>
        </w:rPr>
        <w:t>of</w:t>
      </w:r>
      <w:r>
        <w:rPr>
          <w:spacing w:val="-5"/>
          <w:sz w:val="18"/>
        </w:rPr>
        <w:t> </w:t>
      </w:r>
      <w:r>
        <w:rPr>
          <w:sz w:val="18"/>
        </w:rPr>
        <w:t>wages</w:t>
      </w:r>
      <w:r>
        <w:rPr>
          <w:spacing w:val="-5"/>
          <w:sz w:val="18"/>
        </w:rPr>
        <w:t> </w:t>
      </w:r>
      <w:r>
        <w:rPr>
          <w:sz w:val="18"/>
        </w:rPr>
        <w:t>and</w:t>
      </w:r>
      <w:r>
        <w:rPr>
          <w:spacing w:val="-5"/>
          <w:sz w:val="18"/>
        </w:rPr>
        <w:t> </w:t>
      </w:r>
      <w:r>
        <w:rPr>
          <w:sz w:val="18"/>
        </w:rPr>
        <w:t>salaries</w:t>
      </w:r>
      <w:r>
        <w:rPr>
          <w:spacing w:val="-5"/>
          <w:sz w:val="18"/>
        </w:rPr>
        <w:t> </w:t>
      </w:r>
      <w:r>
        <w:rPr>
          <w:sz w:val="18"/>
        </w:rPr>
        <w:t>per</w:t>
      </w:r>
      <w:r>
        <w:rPr>
          <w:spacing w:val="-5"/>
          <w:sz w:val="18"/>
        </w:rPr>
        <w:t> </w:t>
      </w:r>
      <w:r>
        <w:rPr>
          <w:sz w:val="18"/>
        </w:rPr>
        <w:t>head,</w:t>
      </w:r>
      <w:r>
        <w:rPr>
          <w:spacing w:val="-6"/>
          <w:sz w:val="18"/>
        </w:rPr>
        <w:t> </w:t>
      </w:r>
      <w:r>
        <w:rPr>
          <w:sz w:val="18"/>
        </w:rPr>
        <w:t>calculated from the National Accounts, had fallen from 4.8% in Q1 to 3.6% in Q2, broadly in line with movements in the AEI over this period. Annual growth of the real product wage had exceeded that of the real consumption wage in Q2 for the first time since 1999 Q1. Largely reflecting the fall in the growth of wages and salaries, the annual growth rate of whole-economy unit labour costs had fallen to 1.1% in Q2 from 2.7% in</w:t>
      </w:r>
      <w:r>
        <w:rPr>
          <w:spacing w:val="-9"/>
          <w:sz w:val="18"/>
        </w:rPr>
        <w:t> </w:t>
      </w:r>
      <w:r>
        <w:rPr>
          <w:sz w:val="18"/>
        </w:rPr>
        <w:t>Q1.</w:t>
      </w:r>
    </w:p>
    <w:p>
      <w:pPr>
        <w:pStyle w:val="BodyText"/>
        <w:spacing w:before="3"/>
        <w:rPr>
          <w:sz w:val="20"/>
        </w:rPr>
      </w:pPr>
    </w:p>
    <w:p>
      <w:pPr>
        <w:pStyle w:val="ListParagraph"/>
        <w:numPr>
          <w:ilvl w:val="0"/>
          <w:numId w:val="57"/>
        </w:numPr>
        <w:tabs>
          <w:tab w:pos="649" w:val="left" w:leader="none"/>
          <w:tab w:pos="650" w:val="left" w:leader="none"/>
        </w:tabs>
        <w:spacing w:line="232" w:lineRule="auto" w:before="1" w:after="0"/>
        <w:ind w:left="170" w:right="285" w:firstLine="0"/>
        <w:jc w:val="left"/>
        <w:rPr>
          <w:sz w:val="18"/>
        </w:rPr>
      </w:pPr>
      <w:r>
        <w:rPr>
          <w:sz w:val="18"/>
        </w:rPr>
        <w:t>As was usual for this time of year, there had been relatively little new information on settlements. The Bank’s AEI-weighted twelve-month mean settlement had remained unchanged</w:t>
      </w:r>
      <w:r>
        <w:rPr>
          <w:spacing w:val="-20"/>
          <w:sz w:val="18"/>
        </w:rPr>
        <w:t> </w:t>
      </w:r>
      <w:r>
        <w:rPr>
          <w:sz w:val="18"/>
        </w:rPr>
        <w:t>at</w:t>
      </w:r>
    </w:p>
    <w:p>
      <w:pPr>
        <w:spacing w:line="232" w:lineRule="auto" w:before="0"/>
        <w:ind w:left="170" w:right="355" w:firstLine="0"/>
        <w:jc w:val="left"/>
        <w:rPr>
          <w:sz w:val="18"/>
        </w:rPr>
      </w:pPr>
      <w:r>
        <w:rPr>
          <w:sz w:val="18"/>
        </w:rPr>
        <w:t>3.0% in August. Most of the settlement data in August had related to workers in the public sector. The whole-economy</w:t>
      </w:r>
    </w:p>
    <w:p>
      <w:pPr>
        <w:spacing w:line="232" w:lineRule="auto" w:before="0"/>
        <w:ind w:left="170" w:right="186" w:firstLine="0"/>
        <w:jc w:val="left"/>
        <w:rPr>
          <w:sz w:val="18"/>
        </w:rPr>
      </w:pPr>
      <w:r>
        <w:rPr>
          <w:sz w:val="18"/>
        </w:rPr>
        <w:t>three-month mean settlement had fallen by 0.1 percentage points to 3.2%, reflecting a 0.5 percentage point fall in the public sector mean.</w:t>
      </w:r>
    </w:p>
    <w:p>
      <w:pPr>
        <w:pStyle w:val="BodyText"/>
        <w:spacing w:before="6"/>
        <w:rPr>
          <w:sz w:val="23"/>
        </w:rPr>
      </w:pPr>
    </w:p>
    <w:p>
      <w:pPr>
        <w:pStyle w:val="ListParagraph"/>
        <w:numPr>
          <w:ilvl w:val="0"/>
          <w:numId w:val="56"/>
        </w:numPr>
        <w:tabs>
          <w:tab w:pos="649" w:val="left" w:leader="none"/>
          <w:tab w:pos="651" w:val="left" w:leader="none"/>
        </w:tabs>
        <w:spacing w:line="240" w:lineRule="auto" w:before="1" w:after="0"/>
        <w:ind w:left="650" w:right="0" w:hanging="481"/>
        <w:jc w:val="left"/>
        <w:rPr>
          <w:b/>
          <w:sz w:val="22"/>
        </w:rPr>
      </w:pPr>
      <w:r>
        <w:rPr>
          <w:b/>
          <w:color w:val="009391"/>
          <w:sz w:val="22"/>
        </w:rPr>
        <w:t>Prices</w:t>
      </w:r>
    </w:p>
    <w:p>
      <w:pPr>
        <w:pStyle w:val="ListParagraph"/>
        <w:numPr>
          <w:ilvl w:val="0"/>
          <w:numId w:val="57"/>
        </w:numPr>
        <w:tabs>
          <w:tab w:pos="649" w:val="left" w:leader="none"/>
          <w:tab w:pos="650" w:val="left" w:leader="none"/>
        </w:tabs>
        <w:spacing w:line="232" w:lineRule="auto" w:before="109" w:after="0"/>
        <w:ind w:left="170" w:right="142" w:firstLine="0"/>
        <w:jc w:val="left"/>
        <w:rPr>
          <w:sz w:val="18"/>
        </w:rPr>
      </w:pPr>
      <w:r>
        <w:rPr>
          <w:sz w:val="18"/>
        </w:rPr>
        <w:t>The Bank’s oil-inclusive commodity price index had risen by 0.5% in August, which, due to base effects, had taken the annual inflation rate down to 15.3% from 16.8% in July. The small monthly</w:t>
      </w:r>
      <w:r>
        <w:rPr>
          <w:spacing w:val="-5"/>
          <w:sz w:val="18"/>
        </w:rPr>
        <w:t> </w:t>
      </w:r>
      <w:r>
        <w:rPr>
          <w:sz w:val="18"/>
        </w:rPr>
        <w:t>increase</w:t>
      </w:r>
      <w:r>
        <w:rPr>
          <w:spacing w:val="-5"/>
          <w:sz w:val="18"/>
        </w:rPr>
        <w:t> </w:t>
      </w:r>
      <w:r>
        <w:rPr>
          <w:sz w:val="18"/>
        </w:rPr>
        <w:t>had</w:t>
      </w:r>
      <w:r>
        <w:rPr>
          <w:spacing w:val="-5"/>
          <w:sz w:val="18"/>
        </w:rPr>
        <w:t> </w:t>
      </w:r>
      <w:r>
        <w:rPr>
          <w:sz w:val="18"/>
        </w:rPr>
        <w:t>mainly</w:t>
      </w:r>
      <w:r>
        <w:rPr>
          <w:spacing w:val="-5"/>
          <w:sz w:val="18"/>
        </w:rPr>
        <w:t> </w:t>
      </w:r>
      <w:r>
        <w:rPr>
          <w:sz w:val="18"/>
        </w:rPr>
        <w:t>reflected</w:t>
      </w:r>
      <w:r>
        <w:rPr>
          <w:spacing w:val="-5"/>
          <w:sz w:val="18"/>
        </w:rPr>
        <w:t> </w:t>
      </w:r>
      <w:r>
        <w:rPr>
          <w:sz w:val="18"/>
        </w:rPr>
        <w:t>rises</w:t>
      </w:r>
      <w:r>
        <w:rPr>
          <w:spacing w:val="-5"/>
          <w:sz w:val="18"/>
        </w:rPr>
        <w:t> </w:t>
      </w:r>
      <w:r>
        <w:rPr>
          <w:sz w:val="18"/>
        </w:rPr>
        <w:t>in</w:t>
      </w:r>
      <w:r>
        <w:rPr>
          <w:spacing w:val="-5"/>
          <w:sz w:val="18"/>
        </w:rPr>
        <w:t> </w:t>
      </w:r>
      <w:r>
        <w:rPr>
          <w:sz w:val="18"/>
        </w:rPr>
        <w:t>the</w:t>
      </w:r>
      <w:r>
        <w:rPr>
          <w:spacing w:val="-5"/>
          <w:sz w:val="18"/>
        </w:rPr>
        <w:t> </w:t>
      </w:r>
      <w:r>
        <w:rPr>
          <w:sz w:val="18"/>
        </w:rPr>
        <w:t>prices</w:t>
      </w:r>
      <w:r>
        <w:rPr>
          <w:spacing w:val="-5"/>
          <w:sz w:val="18"/>
        </w:rPr>
        <w:t> </w:t>
      </w:r>
      <w:r>
        <w:rPr>
          <w:sz w:val="18"/>
        </w:rPr>
        <w:t>of</w:t>
      </w:r>
      <w:r>
        <w:rPr>
          <w:spacing w:val="-4"/>
          <w:sz w:val="18"/>
        </w:rPr>
        <w:t> </w:t>
      </w:r>
      <w:r>
        <w:rPr>
          <w:sz w:val="18"/>
        </w:rPr>
        <w:t>the</w:t>
      </w:r>
      <w:r>
        <w:rPr>
          <w:spacing w:val="-5"/>
          <w:sz w:val="18"/>
        </w:rPr>
        <w:t> </w:t>
      </w:r>
      <w:r>
        <w:rPr>
          <w:sz w:val="18"/>
        </w:rPr>
        <w:t>fuels and metals components of the index more than offsetting a fall in the price of domestic food. The rise of around 6% in the sterling oil price had largely accounted for the increase in fuels prices. The Bank’s oil-exclusive commodity price index had fallen by 0.5% in August, mainly reflecting the fall in domestic food prices.  This took the annual inflation rate down to 3.6% from 4.1% in the previous</w:t>
      </w:r>
      <w:r>
        <w:rPr>
          <w:spacing w:val="-2"/>
          <w:sz w:val="18"/>
        </w:rPr>
        <w:t> </w:t>
      </w:r>
      <w:r>
        <w:rPr>
          <w:sz w:val="18"/>
        </w:rPr>
        <w:t>month.</w:t>
      </w:r>
    </w:p>
    <w:p>
      <w:pPr>
        <w:pStyle w:val="BodyText"/>
        <w:spacing w:before="1"/>
        <w:rPr>
          <w:sz w:val="20"/>
        </w:rPr>
      </w:pPr>
    </w:p>
    <w:p>
      <w:pPr>
        <w:pStyle w:val="ListParagraph"/>
        <w:numPr>
          <w:ilvl w:val="0"/>
          <w:numId w:val="57"/>
        </w:numPr>
        <w:tabs>
          <w:tab w:pos="649" w:val="left" w:leader="none"/>
          <w:tab w:pos="650" w:val="left" w:leader="none"/>
        </w:tabs>
        <w:spacing w:line="232" w:lineRule="auto" w:before="1" w:after="0"/>
        <w:ind w:left="170" w:right="155" w:firstLine="0"/>
        <w:jc w:val="left"/>
        <w:rPr>
          <w:sz w:val="18"/>
        </w:rPr>
      </w:pPr>
      <w:r>
        <w:rPr>
          <w:sz w:val="18"/>
        </w:rPr>
        <w:t>Manufacturing input prices had risen by 0.6% in August, but the annual inflation rate had eased slightly to 10.7% from 10.8% in July. The monthly rise had mainly reflected rises in the prices of oil, chemicals and metals. These were partially offset, however, by a fall in domestic food prices. Input prices excluding oil (not seasonally adjusted) had fallen by 0.1% in August, but were 3.8% higher than a year earlier. The CIPS manufacturing survey input price index was broadly unchanged at 56.5 in September. Output prices</w:t>
      </w:r>
      <w:r>
        <w:rPr>
          <w:spacing w:val="-6"/>
          <w:sz w:val="18"/>
        </w:rPr>
        <w:t> </w:t>
      </w:r>
      <w:r>
        <w:rPr>
          <w:sz w:val="18"/>
        </w:rPr>
        <w:t>excluding</w:t>
      </w:r>
      <w:r>
        <w:rPr>
          <w:spacing w:val="-5"/>
          <w:sz w:val="18"/>
        </w:rPr>
        <w:t> </w:t>
      </w:r>
      <w:r>
        <w:rPr>
          <w:sz w:val="18"/>
        </w:rPr>
        <w:t>excise</w:t>
      </w:r>
      <w:r>
        <w:rPr>
          <w:spacing w:val="-5"/>
          <w:sz w:val="18"/>
        </w:rPr>
        <w:t> </w:t>
      </w:r>
      <w:r>
        <w:rPr>
          <w:sz w:val="18"/>
        </w:rPr>
        <w:t>duties</w:t>
      </w:r>
      <w:r>
        <w:rPr>
          <w:spacing w:val="-5"/>
          <w:sz w:val="18"/>
        </w:rPr>
        <w:t> </w:t>
      </w:r>
      <w:r>
        <w:rPr>
          <w:sz w:val="18"/>
        </w:rPr>
        <w:t>had</w:t>
      </w:r>
      <w:r>
        <w:rPr>
          <w:spacing w:val="-6"/>
          <w:sz w:val="18"/>
        </w:rPr>
        <w:t> </w:t>
      </w:r>
      <w:r>
        <w:rPr>
          <w:sz w:val="18"/>
        </w:rPr>
        <w:t>fallen</w:t>
      </w:r>
      <w:r>
        <w:rPr>
          <w:spacing w:val="-5"/>
          <w:sz w:val="18"/>
        </w:rPr>
        <w:t> </w:t>
      </w:r>
      <w:r>
        <w:rPr>
          <w:sz w:val="18"/>
        </w:rPr>
        <w:t>by</w:t>
      </w:r>
      <w:r>
        <w:rPr>
          <w:spacing w:val="-5"/>
          <w:sz w:val="18"/>
        </w:rPr>
        <w:t> </w:t>
      </w:r>
      <w:r>
        <w:rPr>
          <w:sz w:val="18"/>
        </w:rPr>
        <w:t>0.2%</w:t>
      </w:r>
      <w:r>
        <w:rPr>
          <w:spacing w:val="-5"/>
          <w:sz w:val="18"/>
        </w:rPr>
        <w:t> </w:t>
      </w:r>
      <w:r>
        <w:rPr>
          <w:sz w:val="18"/>
        </w:rPr>
        <w:t>in</w:t>
      </w:r>
      <w:r>
        <w:rPr>
          <w:spacing w:val="-6"/>
          <w:sz w:val="18"/>
        </w:rPr>
        <w:t> </w:t>
      </w:r>
      <w:r>
        <w:rPr>
          <w:sz w:val="18"/>
        </w:rPr>
        <w:t>August,</w:t>
      </w:r>
      <w:r>
        <w:rPr>
          <w:spacing w:val="-5"/>
          <w:sz w:val="18"/>
        </w:rPr>
        <w:t> </w:t>
      </w:r>
      <w:r>
        <w:rPr>
          <w:sz w:val="18"/>
        </w:rPr>
        <w:t>largely driven by a fall in petroleum product prices. This had taken the annual inflation rate down to 1.7% from 2.1% in July. The output price balance in the September CBI Industrial Trends survey had fallen to -20, from -15 in the previous</w:t>
      </w:r>
      <w:r>
        <w:rPr>
          <w:spacing w:val="-14"/>
          <w:sz w:val="18"/>
        </w:rPr>
        <w:t> </w:t>
      </w:r>
      <w:r>
        <w:rPr>
          <w:sz w:val="18"/>
        </w:rPr>
        <w:t>month.</w:t>
      </w:r>
    </w:p>
    <w:p>
      <w:pPr>
        <w:pStyle w:val="BodyText"/>
        <w:spacing w:before="11"/>
        <w:rPr>
          <w:sz w:val="19"/>
        </w:rPr>
      </w:pPr>
    </w:p>
    <w:p>
      <w:pPr>
        <w:pStyle w:val="ListParagraph"/>
        <w:numPr>
          <w:ilvl w:val="0"/>
          <w:numId w:val="57"/>
        </w:numPr>
        <w:tabs>
          <w:tab w:pos="649" w:val="left" w:leader="none"/>
          <w:tab w:pos="650" w:val="left" w:leader="none"/>
        </w:tabs>
        <w:spacing w:line="232" w:lineRule="auto" w:before="0" w:after="0"/>
        <w:ind w:left="170" w:right="300" w:firstLine="0"/>
        <w:jc w:val="left"/>
        <w:rPr>
          <w:sz w:val="18"/>
        </w:rPr>
      </w:pPr>
      <w:r>
        <w:rPr>
          <w:sz w:val="18"/>
        </w:rPr>
        <w:t>Prices of imported goods had risen by 2.1% overall in the three months to July compared with the previous three months. Excluding oil and erratics, prices of imported goods had risen by 1.4% over the same period. On the same basis, prices of exported goods had risen by 2.5% overall, while those excluding oil and erratics had risen by</w:t>
      </w:r>
      <w:r>
        <w:rPr>
          <w:spacing w:val="-6"/>
          <w:sz w:val="18"/>
        </w:rPr>
        <w:t> </w:t>
      </w:r>
      <w:r>
        <w:rPr>
          <w:sz w:val="18"/>
        </w:rPr>
        <w:t>1.5%.</w:t>
      </w:r>
    </w:p>
    <w:p>
      <w:pPr>
        <w:pStyle w:val="BodyText"/>
        <w:rPr>
          <w:sz w:val="17"/>
        </w:rPr>
      </w:pPr>
    </w:p>
    <w:p>
      <w:pPr>
        <w:pStyle w:val="ListParagraph"/>
        <w:numPr>
          <w:ilvl w:val="0"/>
          <w:numId w:val="57"/>
        </w:numPr>
        <w:tabs>
          <w:tab w:pos="649" w:val="left" w:leader="none"/>
          <w:tab w:pos="650" w:val="left" w:leader="none"/>
        </w:tabs>
        <w:spacing w:line="232" w:lineRule="auto" w:before="0" w:after="0"/>
        <w:ind w:left="170" w:right="550" w:firstLine="0"/>
        <w:jc w:val="left"/>
        <w:rPr>
          <w:sz w:val="18"/>
        </w:rPr>
      </w:pPr>
      <w:r>
        <w:rPr>
          <w:sz w:val="18"/>
        </w:rPr>
        <w:t>Annual inflation in the GDP deflator at market prices in 2000 Q2 had been unrevised at</w:t>
      </w:r>
      <w:r>
        <w:rPr>
          <w:spacing w:val="-9"/>
          <w:sz w:val="18"/>
        </w:rPr>
        <w:t> </w:t>
      </w:r>
      <w:r>
        <w:rPr>
          <w:sz w:val="18"/>
        </w:rPr>
        <w:t>1.8%.</w:t>
      </w:r>
    </w:p>
    <w:p>
      <w:pPr>
        <w:spacing w:after="0" w:line="232" w:lineRule="auto"/>
        <w:jc w:val="left"/>
        <w:rPr>
          <w:sz w:val="18"/>
        </w:rPr>
        <w:sectPr>
          <w:type w:val="continuous"/>
          <w:pgSz w:w="11900" w:h="16840"/>
          <w:pgMar w:top="1260" w:bottom="280" w:left="640" w:right="640"/>
          <w:cols w:num="2" w:equalWidth="0">
            <w:col w:w="5118" w:space="277"/>
            <w:col w:w="5225"/>
          </w:cols>
        </w:sectPr>
      </w:pPr>
    </w:p>
    <w:p>
      <w:pPr>
        <w:pStyle w:val="BodyText"/>
        <w:rPr>
          <w:sz w:val="20"/>
        </w:rPr>
      </w:pPr>
    </w:p>
    <w:p>
      <w:pPr>
        <w:spacing w:after="0"/>
        <w:rPr>
          <w:sz w:val="20"/>
        </w:rPr>
        <w:sectPr>
          <w:pgSz w:w="11900" w:h="16840"/>
          <w:pgMar w:header="566" w:footer="597" w:top="760" w:bottom="780" w:left="640" w:right="640"/>
        </w:sectPr>
      </w:pPr>
    </w:p>
    <w:p>
      <w:pPr>
        <w:pStyle w:val="BodyText"/>
        <w:spacing w:before="7"/>
        <w:rPr>
          <w:sz w:val="19"/>
        </w:rPr>
      </w:pPr>
    </w:p>
    <w:p>
      <w:pPr>
        <w:pStyle w:val="ListParagraph"/>
        <w:numPr>
          <w:ilvl w:val="0"/>
          <w:numId w:val="57"/>
        </w:numPr>
        <w:tabs>
          <w:tab w:pos="639" w:val="left" w:leader="none"/>
          <w:tab w:pos="640" w:val="left" w:leader="none"/>
        </w:tabs>
        <w:spacing w:line="232" w:lineRule="auto" w:before="1" w:after="0"/>
        <w:ind w:left="160" w:right="72" w:firstLine="0"/>
        <w:jc w:val="left"/>
        <w:rPr>
          <w:sz w:val="18"/>
        </w:rPr>
      </w:pPr>
      <w:r>
        <w:rPr>
          <w:sz w:val="18"/>
        </w:rPr>
        <w:t>Annual RPIX inflation had fallen by 0.3 percentage points to 1.9% in August. This fall had mainly reflected falls in the contributions of petrol and, to a lesser extent, seasonal food prices. RPI inflation had also fallen by 0.3 percentage points to 3.0% in August. RPIY inflation had fallen to 1.5% in August from 1.9% in the previous month, while HICP inflation had fallen to 0.6% from 1.0% in</w:t>
      </w:r>
      <w:r>
        <w:rPr>
          <w:spacing w:val="-3"/>
          <w:sz w:val="18"/>
        </w:rPr>
        <w:t> </w:t>
      </w:r>
      <w:r>
        <w:rPr>
          <w:sz w:val="18"/>
        </w:rPr>
        <w:t>July.</w:t>
      </w:r>
    </w:p>
    <w:p>
      <w:pPr>
        <w:pStyle w:val="BodyText"/>
        <w:spacing w:before="2"/>
        <w:rPr>
          <w:sz w:val="20"/>
        </w:rPr>
      </w:pPr>
    </w:p>
    <w:p>
      <w:pPr>
        <w:pStyle w:val="ListParagraph"/>
        <w:numPr>
          <w:ilvl w:val="0"/>
          <w:numId w:val="56"/>
        </w:numPr>
        <w:tabs>
          <w:tab w:pos="640" w:val="left" w:leader="none"/>
          <w:tab w:pos="641" w:val="left" w:leader="none"/>
        </w:tabs>
        <w:spacing w:line="240" w:lineRule="auto" w:before="0" w:after="0"/>
        <w:ind w:left="640" w:right="0" w:hanging="481"/>
        <w:jc w:val="left"/>
        <w:rPr>
          <w:b/>
          <w:sz w:val="22"/>
        </w:rPr>
      </w:pPr>
      <w:r>
        <w:rPr>
          <w:b/>
          <w:color w:val="009391"/>
          <w:sz w:val="22"/>
        </w:rPr>
        <w:t>Reports by the </w:t>
      </w:r>
      <w:r>
        <w:rPr>
          <w:b/>
          <w:color w:val="009391"/>
          <w:spacing w:val="-3"/>
          <w:sz w:val="22"/>
        </w:rPr>
        <w:t>Bank’s</w:t>
      </w:r>
      <w:r>
        <w:rPr>
          <w:b/>
          <w:color w:val="009391"/>
          <w:spacing w:val="-6"/>
          <w:sz w:val="22"/>
        </w:rPr>
        <w:t> </w:t>
      </w:r>
      <w:r>
        <w:rPr>
          <w:b/>
          <w:color w:val="009391"/>
          <w:sz w:val="22"/>
        </w:rPr>
        <w:t>Agents</w:t>
      </w:r>
    </w:p>
    <w:p>
      <w:pPr>
        <w:pStyle w:val="ListParagraph"/>
        <w:numPr>
          <w:ilvl w:val="0"/>
          <w:numId w:val="57"/>
        </w:numPr>
        <w:tabs>
          <w:tab w:pos="639" w:val="left" w:leader="none"/>
          <w:tab w:pos="640" w:val="left" w:leader="none"/>
        </w:tabs>
        <w:spacing w:line="232" w:lineRule="auto" w:before="109" w:after="0"/>
        <w:ind w:left="160" w:right="38" w:firstLine="0"/>
        <w:jc w:val="left"/>
        <w:rPr>
          <w:sz w:val="18"/>
        </w:rPr>
      </w:pPr>
      <w:r>
        <w:rPr>
          <w:sz w:val="18"/>
        </w:rPr>
        <w:t>The Agents suggested that the overall impact of the recent fuel supply disruption had been relatively small, but that a significant impact had been noted in certain sectors. Food sales during September had reportedly been unaffected, with panic buying in the week of the disruption offset by lower sales in the following week. But non-food sales had been heavily affected in some cases. While some of these lost sales were expected to be recovered in coming months, others were likely to represent a permanent loss of business. The effect on industrial production was reported to have been small and most losses were likely to have already been recovered. Oil refinery production had been unaffected. But the Agents had suggested that the level of precautionary stocks of fuel and other components held by firms may rise in the future. Within services, the most significant impact was reported for leisure sector activities, most of which was unlikely to be recovered. Most contacts had felt that if the disruption had lasted another 48 hours its effects would have been far more</w:t>
      </w:r>
      <w:r>
        <w:rPr>
          <w:spacing w:val="-3"/>
          <w:sz w:val="18"/>
        </w:rPr>
        <w:t> </w:t>
      </w:r>
      <w:r>
        <w:rPr>
          <w:sz w:val="18"/>
        </w:rPr>
        <w:t>serious.</w:t>
      </w:r>
    </w:p>
    <w:p>
      <w:pPr>
        <w:pStyle w:val="BodyText"/>
        <w:spacing w:before="2"/>
        <w:rPr>
          <w:sz w:val="16"/>
        </w:rPr>
      </w:pPr>
    </w:p>
    <w:p>
      <w:pPr>
        <w:pStyle w:val="ListParagraph"/>
        <w:numPr>
          <w:ilvl w:val="0"/>
          <w:numId w:val="57"/>
        </w:numPr>
        <w:tabs>
          <w:tab w:pos="639" w:val="left" w:leader="none"/>
          <w:tab w:pos="640" w:val="left" w:leader="none"/>
        </w:tabs>
        <w:spacing w:line="232" w:lineRule="auto" w:before="0" w:after="0"/>
        <w:ind w:left="160" w:right="198" w:firstLine="0"/>
        <w:jc w:val="left"/>
        <w:rPr>
          <w:sz w:val="18"/>
        </w:rPr>
      </w:pPr>
      <w:r>
        <w:rPr>
          <w:sz w:val="18"/>
        </w:rPr>
        <w:t>More generally, the Agents had reported a continuing recovery in manufacturing output growth, though the majority of this remained export-led. Many regions continued to report little improvement in domestic orders. While reports of manufacturing firms locating new capacity overseas continued, there had been announcements of substantial new investment plans in the energy sector, reflecting the higher oil</w:t>
      </w:r>
      <w:r>
        <w:rPr>
          <w:spacing w:val="-8"/>
          <w:sz w:val="18"/>
        </w:rPr>
        <w:t> </w:t>
      </w:r>
      <w:r>
        <w:rPr>
          <w:sz w:val="18"/>
        </w:rPr>
        <w:t>price.</w:t>
      </w:r>
    </w:p>
    <w:p>
      <w:pPr>
        <w:pStyle w:val="BodyText"/>
        <w:spacing w:before="11"/>
        <w:rPr>
          <w:sz w:val="16"/>
        </w:rPr>
      </w:pPr>
    </w:p>
    <w:p>
      <w:pPr>
        <w:pStyle w:val="ListParagraph"/>
        <w:numPr>
          <w:ilvl w:val="0"/>
          <w:numId w:val="57"/>
        </w:numPr>
        <w:tabs>
          <w:tab w:pos="639" w:val="left" w:leader="none"/>
          <w:tab w:pos="640" w:val="left" w:leader="none"/>
        </w:tabs>
        <w:spacing w:line="232" w:lineRule="auto" w:before="0" w:after="0"/>
        <w:ind w:left="160" w:right="222" w:firstLine="0"/>
        <w:jc w:val="left"/>
        <w:rPr>
          <w:sz w:val="18"/>
        </w:rPr>
      </w:pPr>
      <w:r>
        <w:rPr>
          <w:sz w:val="18"/>
        </w:rPr>
        <w:t>Annual retail sales value growth had continued to ease slightly</w:t>
      </w:r>
      <w:r>
        <w:rPr>
          <w:spacing w:val="-6"/>
          <w:sz w:val="18"/>
        </w:rPr>
        <w:t> </w:t>
      </w:r>
      <w:r>
        <w:rPr>
          <w:sz w:val="18"/>
        </w:rPr>
        <w:t>according</w:t>
      </w:r>
      <w:r>
        <w:rPr>
          <w:spacing w:val="-5"/>
          <w:sz w:val="18"/>
        </w:rPr>
        <w:t> </w:t>
      </w:r>
      <w:r>
        <w:rPr>
          <w:sz w:val="18"/>
        </w:rPr>
        <w:t>to</w:t>
      </w:r>
      <w:r>
        <w:rPr>
          <w:spacing w:val="-6"/>
          <w:sz w:val="18"/>
        </w:rPr>
        <w:t> </w:t>
      </w:r>
      <w:r>
        <w:rPr>
          <w:sz w:val="18"/>
        </w:rPr>
        <w:t>the</w:t>
      </w:r>
      <w:r>
        <w:rPr>
          <w:spacing w:val="-5"/>
          <w:sz w:val="18"/>
        </w:rPr>
        <w:t> </w:t>
      </w:r>
      <w:r>
        <w:rPr>
          <w:sz w:val="18"/>
        </w:rPr>
        <w:t>Agents,</w:t>
      </w:r>
      <w:r>
        <w:rPr>
          <w:spacing w:val="-5"/>
          <w:sz w:val="18"/>
        </w:rPr>
        <w:t> </w:t>
      </w:r>
      <w:r>
        <w:rPr>
          <w:sz w:val="18"/>
        </w:rPr>
        <w:t>though</w:t>
      </w:r>
      <w:r>
        <w:rPr>
          <w:spacing w:val="-6"/>
          <w:sz w:val="18"/>
        </w:rPr>
        <w:t> </w:t>
      </w:r>
      <w:r>
        <w:rPr>
          <w:sz w:val="18"/>
        </w:rPr>
        <w:t>volume</w:t>
      </w:r>
      <w:r>
        <w:rPr>
          <w:spacing w:val="-5"/>
          <w:sz w:val="18"/>
        </w:rPr>
        <w:t> </w:t>
      </w:r>
      <w:r>
        <w:rPr>
          <w:sz w:val="18"/>
        </w:rPr>
        <w:t>growth</w:t>
      </w:r>
      <w:r>
        <w:rPr>
          <w:spacing w:val="-6"/>
          <w:sz w:val="18"/>
        </w:rPr>
        <w:t> </w:t>
      </w:r>
      <w:r>
        <w:rPr>
          <w:sz w:val="18"/>
        </w:rPr>
        <w:t>had</w:t>
      </w:r>
      <w:r>
        <w:rPr>
          <w:spacing w:val="-5"/>
          <w:sz w:val="18"/>
        </w:rPr>
        <w:t> </w:t>
      </w:r>
      <w:r>
        <w:rPr>
          <w:sz w:val="18"/>
        </w:rPr>
        <w:t>been maintained. Contrary to the expectations of some contacts, there had been little improvement in motor vehicle sales during September.</w:t>
      </w:r>
    </w:p>
    <w:p>
      <w:pPr>
        <w:pStyle w:val="BodyText"/>
        <w:rPr>
          <w:sz w:val="17"/>
        </w:rPr>
      </w:pPr>
    </w:p>
    <w:p>
      <w:pPr>
        <w:pStyle w:val="ListParagraph"/>
        <w:numPr>
          <w:ilvl w:val="0"/>
          <w:numId w:val="57"/>
        </w:numPr>
        <w:tabs>
          <w:tab w:pos="639" w:val="left" w:leader="none"/>
          <w:tab w:pos="640" w:val="left" w:leader="none"/>
        </w:tabs>
        <w:spacing w:line="232" w:lineRule="auto" w:before="1" w:after="0"/>
        <w:ind w:left="160" w:right="58" w:firstLine="0"/>
        <w:jc w:val="left"/>
        <w:rPr>
          <w:sz w:val="18"/>
        </w:rPr>
      </w:pPr>
      <w:r>
        <w:rPr>
          <w:sz w:val="18"/>
        </w:rPr>
        <w:t>The Agents continued to report that the most significant input price increases had been for oil and gas. But most price rises continued to be mitigated to some extent by increased importing, efficiency gains and more effective purchasing strategies. Competitive</w:t>
      </w:r>
      <w:r>
        <w:rPr>
          <w:spacing w:val="-8"/>
          <w:sz w:val="18"/>
        </w:rPr>
        <w:t> </w:t>
      </w:r>
      <w:r>
        <w:rPr>
          <w:sz w:val="18"/>
        </w:rPr>
        <w:t>pressures</w:t>
      </w:r>
      <w:r>
        <w:rPr>
          <w:spacing w:val="-7"/>
          <w:sz w:val="18"/>
        </w:rPr>
        <w:t> </w:t>
      </w:r>
      <w:r>
        <w:rPr>
          <w:sz w:val="18"/>
        </w:rPr>
        <w:t>on</w:t>
      </w:r>
      <w:r>
        <w:rPr>
          <w:spacing w:val="-7"/>
          <w:sz w:val="18"/>
        </w:rPr>
        <w:t> </w:t>
      </w:r>
      <w:r>
        <w:rPr>
          <w:sz w:val="18"/>
        </w:rPr>
        <w:t>manufacturers’</w:t>
      </w:r>
      <w:r>
        <w:rPr>
          <w:spacing w:val="-7"/>
          <w:sz w:val="18"/>
        </w:rPr>
        <w:t> </w:t>
      </w:r>
      <w:r>
        <w:rPr>
          <w:sz w:val="18"/>
        </w:rPr>
        <w:t>output</w:t>
      </w:r>
      <w:r>
        <w:rPr>
          <w:spacing w:val="-8"/>
          <w:sz w:val="18"/>
        </w:rPr>
        <w:t> </w:t>
      </w:r>
      <w:r>
        <w:rPr>
          <w:sz w:val="18"/>
        </w:rPr>
        <w:t>prices</w:t>
      </w:r>
      <w:r>
        <w:rPr>
          <w:spacing w:val="-7"/>
          <w:sz w:val="18"/>
        </w:rPr>
        <w:t> </w:t>
      </w:r>
      <w:r>
        <w:rPr>
          <w:sz w:val="18"/>
        </w:rPr>
        <w:t>continued</w:t>
      </w:r>
      <w:r>
        <w:rPr>
          <w:spacing w:val="-7"/>
          <w:sz w:val="18"/>
        </w:rPr>
        <w:t> </w:t>
      </w:r>
      <w:r>
        <w:rPr>
          <w:sz w:val="18"/>
        </w:rPr>
        <w:t>to be</w:t>
      </w:r>
      <w:r>
        <w:rPr>
          <w:spacing w:val="-2"/>
          <w:sz w:val="18"/>
        </w:rPr>
        <w:t> </w:t>
      </w:r>
      <w:r>
        <w:rPr>
          <w:sz w:val="18"/>
        </w:rPr>
        <w:t>reported.</w:t>
      </w:r>
    </w:p>
    <w:p>
      <w:pPr>
        <w:pStyle w:val="BodyText"/>
        <w:spacing w:before="11"/>
        <w:rPr>
          <w:sz w:val="16"/>
        </w:rPr>
      </w:pPr>
    </w:p>
    <w:p>
      <w:pPr>
        <w:pStyle w:val="ListParagraph"/>
        <w:numPr>
          <w:ilvl w:val="0"/>
          <w:numId w:val="57"/>
        </w:numPr>
        <w:tabs>
          <w:tab w:pos="639" w:val="left" w:leader="none"/>
          <w:tab w:pos="640" w:val="left" w:leader="none"/>
        </w:tabs>
        <w:spacing w:line="232" w:lineRule="auto" w:before="0" w:after="0"/>
        <w:ind w:left="160" w:right="207" w:firstLine="0"/>
        <w:jc w:val="left"/>
        <w:rPr>
          <w:sz w:val="18"/>
        </w:rPr>
      </w:pPr>
      <w:r>
        <w:rPr>
          <w:sz w:val="18"/>
        </w:rPr>
        <w:t>The labour market picture had remained similar to recent months. Skill shortages remained an important concern, but most contacts suggested that they had been no worse than in recent months. Pay growth in manufacturing was reported to have remained broadly unchanged, despite earlier concerns of rising pressures. Upward pay pressure on service sector pay growth remained, although annual growth had been restrained by lower bonus payments than last</w:t>
      </w:r>
      <w:r>
        <w:rPr>
          <w:spacing w:val="-6"/>
          <w:sz w:val="18"/>
        </w:rPr>
        <w:t> </w:t>
      </w:r>
      <w:r>
        <w:rPr>
          <w:sz w:val="18"/>
        </w:rPr>
        <w:t>year.</w:t>
      </w:r>
    </w:p>
    <w:p>
      <w:pPr>
        <w:pStyle w:val="BodyText"/>
        <w:spacing w:before="7"/>
        <w:rPr>
          <w:sz w:val="19"/>
        </w:rPr>
      </w:pPr>
      <w:r>
        <w:rPr/>
        <w:br w:type="column"/>
      </w:r>
      <w:r>
        <w:rPr>
          <w:sz w:val="19"/>
        </w:rPr>
      </w:r>
    </w:p>
    <w:p>
      <w:pPr>
        <w:pStyle w:val="ListParagraph"/>
        <w:numPr>
          <w:ilvl w:val="0"/>
          <w:numId w:val="57"/>
        </w:numPr>
        <w:tabs>
          <w:tab w:pos="639" w:val="left" w:leader="none"/>
          <w:tab w:pos="640" w:val="left" w:leader="none"/>
        </w:tabs>
        <w:spacing w:line="232" w:lineRule="auto" w:before="0" w:after="0"/>
        <w:ind w:left="160" w:right="220" w:firstLine="0"/>
        <w:jc w:val="left"/>
        <w:rPr>
          <w:sz w:val="18"/>
        </w:rPr>
      </w:pPr>
      <w:r>
        <w:rPr>
          <w:sz w:val="18"/>
        </w:rPr>
        <w:t>The Agents had undertaken a survey of around 200 firms regarding their use of full-time labour, to try to explain the gradual decline</w:t>
      </w:r>
      <w:r>
        <w:rPr>
          <w:spacing w:val="-6"/>
          <w:sz w:val="18"/>
        </w:rPr>
        <w:t> </w:t>
      </w:r>
      <w:r>
        <w:rPr>
          <w:sz w:val="18"/>
        </w:rPr>
        <w:t>in</w:t>
      </w:r>
      <w:r>
        <w:rPr>
          <w:spacing w:val="-5"/>
          <w:sz w:val="18"/>
        </w:rPr>
        <w:t> </w:t>
      </w:r>
      <w:r>
        <w:rPr>
          <w:sz w:val="18"/>
        </w:rPr>
        <w:t>full-time</w:t>
      </w:r>
      <w:r>
        <w:rPr>
          <w:spacing w:val="-5"/>
          <w:sz w:val="18"/>
        </w:rPr>
        <w:t> </w:t>
      </w:r>
      <w:r>
        <w:rPr>
          <w:sz w:val="18"/>
        </w:rPr>
        <w:t>average</w:t>
      </w:r>
      <w:r>
        <w:rPr>
          <w:spacing w:val="-5"/>
          <w:sz w:val="18"/>
        </w:rPr>
        <w:t> </w:t>
      </w:r>
      <w:r>
        <w:rPr>
          <w:sz w:val="18"/>
        </w:rPr>
        <w:t>working</w:t>
      </w:r>
      <w:r>
        <w:rPr>
          <w:spacing w:val="-5"/>
          <w:sz w:val="18"/>
        </w:rPr>
        <w:t> </w:t>
      </w:r>
      <w:r>
        <w:rPr>
          <w:sz w:val="18"/>
        </w:rPr>
        <w:t>hours</w:t>
      </w:r>
      <w:r>
        <w:rPr>
          <w:spacing w:val="-5"/>
          <w:sz w:val="18"/>
        </w:rPr>
        <w:t> </w:t>
      </w:r>
      <w:r>
        <w:rPr>
          <w:sz w:val="18"/>
        </w:rPr>
        <w:t>seen</w:t>
      </w:r>
      <w:r>
        <w:rPr>
          <w:spacing w:val="-6"/>
          <w:sz w:val="18"/>
        </w:rPr>
        <w:t> </w:t>
      </w:r>
      <w:r>
        <w:rPr>
          <w:sz w:val="18"/>
        </w:rPr>
        <w:t>since</w:t>
      </w:r>
      <w:r>
        <w:rPr>
          <w:spacing w:val="-5"/>
          <w:sz w:val="18"/>
        </w:rPr>
        <w:t> </w:t>
      </w:r>
      <w:r>
        <w:rPr>
          <w:sz w:val="18"/>
        </w:rPr>
        <w:t>early</w:t>
      </w:r>
      <w:r>
        <w:rPr>
          <w:spacing w:val="-5"/>
          <w:sz w:val="18"/>
        </w:rPr>
        <w:t> </w:t>
      </w:r>
      <w:r>
        <w:rPr>
          <w:sz w:val="18"/>
        </w:rPr>
        <w:t>1998</w:t>
      </w:r>
      <w:r>
        <w:rPr>
          <w:spacing w:val="-5"/>
          <w:sz w:val="18"/>
        </w:rPr>
        <w:t> </w:t>
      </w:r>
      <w:r>
        <w:rPr>
          <w:sz w:val="18"/>
        </w:rPr>
        <w:t>in the official statistics. The majority of respondents suggested that the average working hours of their full-time staff had been broadly unchanged compared with a year earlier and there had been little evidence of any significant sectoral differences. Moreover, most companies had expected average hours to remain unchanged over the remainder of the year. With regard to the management</w:t>
      </w:r>
      <w:r>
        <w:rPr>
          <w:spacing w:val="-30"/>
          <w:sz w:val="18"/>
        </w:rPr>
        <w:t> </w:t>
      </w:r>
      <w:r>
        <w:rPr>
          <w:sz w:val="18"/>
        </w:rPr>
        <w:t>of</w:t>
      </w:r>
    </w:p>
    <w:p>
      <w:pPr>
        <w:spacing w:line="232" w:lineRule="auto" w:before="0"/>
        <w:ind w:left="160" w:right="216" w:firstLine="0"/>
        <w:jc w:val="left"/>
        <w:rPr>
          <w:sz w:val="18"/>
        </w:rPr>
      </w:pPr>
      <w:r>
        <w:rPr>
          <w:sz w:val="18"/>
        </w:rPr>
        <w:t>short-term fluctuations in labour requirements, widespread use of overtime had continued, particularly for small firms. Around a third of firms reported greater use of temporary and part-time labour, while around a quarter had made more use of flexible working hours. These trends were said to be particularly evident in the service sector, where labour market pressures had been relatively tight. Though only around 10% of firms reported an increase in the use of contracts based on annualised hours, many contacts suggested that the introduction of these types of contract was planned for the</w:t>
      </w:r>
      <w:r>
        <w:rPr>
          <w:spacing w:val="-6"/>
          <w:sz w:val="18"/>
        </w:rPr>
        <w:t> </w:t>
      </w:r>
      <w:r>
        <w:rPr>
          <w:sz w:val="18"/>
        </w:rPr>
        <w:t>future.</w:t>
      </w:r>
    </w:p>
    <w:p>
      <w:pPr>
        <w:pStyle w:val="BodyText"/>
        <w:spacing w:before="5"/>
        <w:rPr>
          <w:sz w:val="19"/>
        </w:rPr>
      </w:pPr>
    </w:p>
    <w:p>
      <w:pPr>
        <w:pStyle w:val="ListParagraph"/>
        <w:numPr>
          <w:ilvl w:val="0"/>
          <w:numId w:val="56"/>
        </w:numPr>
        <w:tabs>
          <w:tab w:pos="641" w:val="left" w:leader="none"/>
        </w:tabs>
        <w:spacing w:line="240" w:lineRule="auto" w:before="0" w:after="0"/>
        <w:ind w:left="640" w:right="0" w:hanging="481"/>
        <w:jc w:val="left"/>
        <w:rPr>
          <w:b/>
          <w:sz w:val="22"/>
        </w:rPr>
      </w:pPr>
      <w:r>
        <w:rPr>
          <w:b/>
          <w:color w:val="009391"/>
          <w:sz w:val="22"/>
        </w:rPr>
        <w:t>Market</w:t>
      </w:r>
      <w:r>
        <w:rPr>
          <w:b/>
          <w:color w:val="009391"/>
          <w:spacing w:val="-2"/>
          <w:sz w:val="22"/>
        </w:rPr>
        <w:t> </w:t>
      </w:r>
      <w:r>
        <w:rPr>
          <w:b/>
          <w:color w:val="009391"/>
          <w:sz w:val="22"/>
        </w:rPr>
        <w:t>intelligence</w:t>
      </w:r>
    </w:p>
    <w:p>
      <w:pPr>
        <w:pStyle w:val="ListParagraph"/>
        <w:numPr>
          <w:ilvl w:val="0"/>
          <w:numId w:val="57"/>
        </w:numPr>
        <w:tabs>
          <w:tab w:pos="639" w:val="left" w:leader="none"/>
          <w:tab w:pos="640" w:val="left" w:leader="none"/>
        </w:tabs>
        <w:spacing w:line="232" w:lineRule="auto" w:before="109" w:after="0"/>
        <w:ind w:left="160" w:right="265" w:firstLine="0"/>
        <w:jc w:val="left"/>
        <w:rPr>
          <w:sz w:val="18"/>
        </w:rPr>
      </w:pPr>
      <w:r>
        <w:rPr>
          <w:sz w:val="18"/>
        </w:rPr>
        <w:t>Short-term interest rate expectations had fallen further since the previous meeting of the Committee. Rates implied by short sterling futures contracts, for example, had decreased</w:t>
      </w:r>
      <w:r>
        <w:rPr>
          <w:spacing w:val="-20"/>
          <w:sz w:val="18"/>
        </w:rPr>
        <w:t> </w:t>
      </w:r>
      <w:r>
        <w:rPr>
          <w:sz w:val="18"/>
        </w:rPr>
        <w:t>by</w:t>
      </w:r>
    </w:p>
    <w:p>
      <w:pPr>
        <w:spacing w:line="232" w:lineRule="auto" w:before="0"/>
        <w:ind w:left="160" w:right="260" w:firstLine="0"/>
        <w:jc w:val="left"/>
        <w:rPr>
          <w:sz w:val="18"/>
        </w:rPr>
      </w:pPr>
      <w:r>
        <w:rPr>
          <w:sz w:val="18"/>
        </w:rPr>
        <w:t>10–17 basis points for contracts maturing in 2000–02. The main factors</w:t>
      </w:r>
      <w:r>
        <w:rPr>
          <w:spacing w:val="-6"/>
          <w:sz w:val="18"/>
        </w:rPr>
        <w:t> </w:t>
      </w:r>
      <w:r>
        <w:rPr>
          <w:sz w:val="18"/>
        </w:rPr>
        <w:t>leading</w:t>
      </w:r>
      <w:r>
        <w:rPr>
          <w:spacing w:val="-6"/>
          <w:sz w:val="18"/>
        </w:rPr>
        <w:t> </w:t>
      </w:r>
      <w:r>
        <w:rPr>
          <w:sz w:val="18"/>
        </w:rPr>
        <w:t>to</w:t>
      </w:r>
      <w:r>
        <w:rPr>
          <w:spacing w:val="-6"/>
          <w:sz w:val="18"/>
        </w:rPr>
        <w:t> </w:t>
      </w:r>
      <w:r>
        <w:rPr>
          <w:sz w:val="18"/>
        </w:rPr>
        <w:t>lower</w:t>
      </w:r>
      <w:r>
        <w:rPr>
          <w:spacing w:val="-6"/>
          <w:sz w:val="18"/>
        </w:rPr>
        <w:t> </w:t>
      </w:r>
      <w:r>
        <w:rPr>
          <w:sz w:val="18"/>
        </w:rPr>
        <w:t>interest</w:t>
      </w:r>
      <w:r>
        <w:rPr>
          <w:spacing w:val="-6"/>
          <w:sz w:val="18"/>
        </w:rPr>
        <w:t> </w:t>
      </w:r>
      <w:r>
        <w:rPr>
          <w:sz w:val="18"/>
        </w:rPr>
        <w:t>rate</w:t>
      </w:r>
      <w:r>
        <w:rPr>
          <w:spacing w:val="-6"/>
          <w:sz w:val="18"/>
        </w:rPr>
        <w:t> </w:t>
      </w:r>
      <w:r>
        <w:rPr>
          <w:sz w:val="18"/>
        </w:rPr>
        <w:t>expectations</w:t>
      </w:r>
      <w:r>
        <w:rPr>
          <w:spacing w:val="-6"/>
          <w:sz w:val="18"/>
        </w:rPr>
        <w:t> </w:t>
      </w:r>
      <w:r>
        <w:rPr>
          <w:sz w:val="18"/>
        </w:rPr>
        <w:t>during</w:t>
      </w:r>
      <w:r>
        <w:rPr>
          <w:spacing w:val="-6"/>
          <w:sz w:val="18"/>
        </w:rPr>
        <w:t> </w:t>
      </w:r>
      <w:r>
        <w:rPr>
          <w:sz w:val="18"/>
        </w:rPr>
        <w:t>the</w:t>
      </w:r>
      <w:r>
        <w:rPr>
          <w:spacing w:val="-6"/>
          <w:sz w:val="18"/>
        </w:rPr>
        <w:t> </w:t>
      </w:r>
      <w:r>
        <w:rPr>
          <w:sz w:val="18"/>
        </w:rPr>
        <w:t>period included September’s announcement of an unchanged Bank repo rate, and data on average earnings, industrial production and the CBI Distributive Trades survey, which were all weaker than the market had expected. Most market participants expected the MPC to leave the repo rate unchanged in October; economists in a Reuters poll had attached a 70% probability, on average, to such an outcome. In reaching these views, market participants had referred to the more benign price and earnings data, the expected slowdown in domestic activity (partly arising from oil price increases) and lower equity prices. Others believed that the economy was still growing robustly and that the arguments were finely</w:t>
      </w:r>
      <w:r>
        <w:rPr>
          <w:spacing w:val="-2"/>
          <w:sz w:val="18"/>
        </w:rPr>
        <w:t> </w:t>
      </w:r>
      <w:r>
        <w:rPr>
          <w:sz w:val="18"/>
        </w:rPr>
        <w:t>balanced.</w:t>
      </w:r>
    </w:p>
    <w:p>
      <w:pPr>
        <w:pStyle w:val="BodyText"/>
        <w:spacing w:before="3"/>
        <w:rPr>
          <w:sz w:val="16"/>
        </w:rPr>
      </w:pPr>
    </w:p>
    <w:p>
      <w:pPr>
        <w:pStyle w:val="ListParagraph"/>
        <w:numPr>
          <w:ilvl w:val="0"/>
          <w:numId w:val="57"/>
        </w:numPr>
        <w:tabs>
          <w:tab w:pos="639" w:val="left" w:leader="none"/>
          <w:tab w:pos="640" w:val="left" w:leader="none"/>
        </w:tabs>
        <w:spacing w:line="232" w:lineRule="auto" w:before="0" w:after="0"/>
        <w:ind w:left="160" w:right="166" w:firstLine="0"/>
        <w:jc w:val="left"/>
        <w:rPr>
          <w:sz w:val="18"/>
        </w:rPr>
      </w:pPr>
      <w:r>
        <w:rPr>
          <w:sz w:val="18"/>
        </w:rPr>
        <w:t>The sterling exchange rate index (ERI) had fallen in the first half of the period and then appreciated in the second half, to finish 1.2% higher at 108.0. The strength of the dollar against most other currencies in the first half of the month was a major factor in explaining sterling’s initial depreciation. Sterling reached a 14-year low against the dollar, leading some market participants to question whether the recent strong correlation with the dollar had weakened, though neither short-term nor long-term implied correlations (derived from foreign exchange options contracts) had suggested this. The sterling ERI had more than reversed its fall in the second half of September, mainly reflecting an appreciation against the euro. This movement was related, at least in part, to actual and expected merger and acquisition activity. Coordinated G7 intervention on 22 September had supported the euro. Following the intervention, prices of euro call options had become more expensive relative to euro put options, suggesting that market participants had become more confident that the euro would appreciate rather than depreciate against the</w:t>
      </w:r>
      <w:r>
        <w:rPr>
          <w:spacing w:val="-14"/>
          <w:sz w:val="18"/>
        </w:rPr>
        <w:t> </w:t>
      </w:r>
      <w:r>
        <w:rPr>
          <w:sz w:val="18"/>
        </w:rPr>
        <w:t>dollar.</w:t>
      </w:r>
    </w:p>
    <w:p>
      <w:pPr>
        <w:spacing w:after="0" w:line="232" w:lineRule="auto"/>
        <w:jc w:val="left"/>
        <w:rPr>
          <w:sz w:val="18"/>
        </w:rPr>
        <w:sectPr>
          <w:type w:val="continuous"/>
          <w:pgSz w:w="11900" w:h="16840"/>
          <w:pgMar w:top="1260" w:bottom="280" w:left="640" w:right="640"/>
          <w:cols w:num="2" w:equalWidth="0">
            <w:col w:w="5103" w:space="287"/>
            <w:col w:w="5230"/>
          </w:cols>
        </w:sectPr>
      </w:pPr>
    </w:p>
    <w:p>
      <w:pPr>
        <w:pStyle w:val="BodyText"/>
        <w:rPr>
          <w:sz w:val="20"/>
        </w:rPr>
      </w:pPr>
    </w:p>
    <w:p>
      <w:pPr>
        <w:pStyle w:val="Heading4"/>
        <w:spacing w:line="357" w:lineRule="auto" w:before="218"/>
        <w:ind w:left="175" w:right="3215"/>
      </w:pPr>
      <w:bookmarkStart w:name="October Press Notice" w:id="97"/>
      <w:bookmarkEnd w:id="97"/>
      <w:r>
        <w:rPr>
          <w:b w:val="0"/>
        </w:rPr>
      </w:r>
      <w:bookmarkStart w:name="November Press Notice" w:id="98"/>
      <w:bookmarkEnd w:id="98"/>
      <w:r>
        <w:rPr>
          <w:b w:val="0"/>
        </w:rPr>
      </w:r>
      <w:bookmarkStart w:name="_bookmark44" w:id="99"/>
      <w:bookmarkEnd w:id="99"/>
      <w:r>
        <w:rPr>
          <w:b w:val="0"/>
        </w:rPr>
      </w:r>
      <w:r>
        <w:rPr>
          <w:color w:val="009391"/>
        </w:rPr>
        <w:t>Text of Bank of England press notice of 5 October 2000 Bank of England maintains interest rates at 6.0%</w:t>
      </w:r>
    </w:p>
    <w:p>
      <w:pPr>
        <w:spacing w:line="463" w:lineRule="auto" w:before="244"/>
        <w:ind w:left="180" w:right="2761" w:firstLine="0"/>
        <w:jc w:val="left"/>
        <w:rPr>
          <w:sz w:val="18"/>
        </w:rPr>
      </w:pPr>
      <w:r>
        <w:rPr>
          <w:sz w:val="18"/>
        </w:rPr>
        <w:t>The Bank of England’s Monetary Policy Committee today voted to maintain the Bank’s repo rate at 6.0%. The minutes of the meeting will be published at 9.30 am on Wednesday 18 October 2000.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6"/>
        </w:rPr>
      </w:pPr>
    </w:p>
    <w:p>
      <w:pPr>
        <w:pStyle w:val="Heading4"/>
        <w:spacing w:line="357" w:lineRule="auto" w:before="89"/>
        <w:ind w:left="160" w:right="3215"/>
      </w:pPr>
      <w:r>
        <w:rPr>
          <w:color w:val="009391"/>
        </w:rPr>
        <w:t>Text of Bank of England press notice of 9 November 2000 Bank of England maintains interest rates at 6.0%</w:t>
      </w:r>
    </w:p>
    <w:p>
      <w:pPr>
        <w:pStyle w:val="BodyText"/>
        <w:rPr>
          <w:b/>
          <w:sz w:val="14"/>
        </w:rPr>
      </w:pPr>
    </w:p>
    <w:p>
      <w:pPr>
        <w:spacing w:line="463" w:lineRule="auto" w:before="93"/>
        <w:ind w:left="165" w:right="2776" w:firstLine="0"/>
        <w:jc w:val="left"/>
        <w:rPr>
          <w:sz w:val="18"/>
        </w:rPr>
      </w:pPr>
      <w:r>
        <w:rPr>
          <w:sz w:val="18"/>
        </w:rPr>
        <w:t>The Bank of England’s Monetary Policy Committee today voted to maintain the Bank’s repo rate at 6.0%. The </w:t>
      </w:r>
      <w:r>
        <w:rPr>
          <w:i/>
          <w:sz w:val="18"/>
        </w:rPr>
        <w:t>Inflation Report </w:t>
      </w:r>
      <w:r>
        <w:rPr>
          <w:sz w:val="18"/>
        </w:rPr>
        <w:t>will be published on Thursday 16 November 2000.</w:t>
      </w:r>
    </w:p>
    <w:p>
      <w:pPr>
        <w:spacing w:before="1"/>
        <w:ind w:left="165" w:right="0" w:firstLine="0"/>
        <w:jc w:val="left"/>
        <w:rPr>
          <w:sz w:val="18"/>
        </w:rPr>
      </w:pPr>
      <w:r>
        <w:rPr>
          <w:sz w:val="18"/>
        </w:rPr>
        <w:t>The minutes of the meeting will be published at 9.30 am on Wednesday 22 November 2000.</w:t>
      </w:r>
    </w:p>
    <w:p>
      <w:pPr>
        <w:spacing w:after="0"/>
        <w:jc w:val="left"/>
        <w:rPr>
          <w:sz w:val="18"/>
        </w:rPr>
        <w:sectPr>
          <w:pgSz w:w="11900" w:h="16840"/>
          <w:pgMar w:header="566" w:footer="597" w:top="760" w:bottom="780" w:left="640" w:right="640"/>
        </w:sectPr>
      </w:pPr>
    </w:p>
    <w:p>
      <w:pPr>
        <w:pStyle w:val="Heading4"/>
        <w:spacing w:before="62"/>
        <w:ind w:left="580"/>
      </w:pPr>
      <w:bookmarkStart w:name="Glossary" w:id="100"/>
      <w:bookmarkEnd w:id="100"/>
      <w:r>
        <w:rPr>
          <w:b w:val="0"/>
        </w:rPr>
      </w:r>
      <w:bookmarkStart w:name="_bookmark45" w:id="101"/>
      <w:bookmarkEnd w:id="101"/>
      <w:r>
        <w:rPr>
          <w:b w:val="0"/>
        </w:rPr>
      </w:r>
      <w:r>
        <w:rPr>
          <w:color w:val="009391"/>
        </w:rPr>
        <w:t>Glossary and other information</w:t>
      </w:r>
    </w:p>
    <w:p>
      <w:pPr>
        <w:pStyle w:val="BodyText"/>
        <w:spacing w:before="7"/>
        <w:rPr>
          <w:b/>
          <w:sz w:val="25"/>
        </w:rPr>
      </w:pPr>
    </w:p>
    <w:p>
      <w:pPr>
        <w:pStyle w:val="Heading6"/>
        <w:ind w:left="580"/>
      </w:pPr>
      <w:r>
        <w:rPr>
          <w:color w:val="0092C7"/>
        </w:rPr>
        <w:t>Glossary of selected data</w:t>
      </w:r>
    </w:p>
    <w:p>
      <w:pPr>
        <w:spacing w:before="121"/>
        <w:ind w:left="580" w:right="0" w:firstLine="0"/>
        <w:jc w:val="left"/>
        <w:rPr>
          <w:sz w:val="19"/>
        </w:rPr>
      </w:pPr>
      <w:r>
        <w:rPr>
          <w:b/>
          <w:sz w:val="19"/>
        </w:rPr>
        <w:t>AEI: </w:t>
      </w:r>
      <w:r>
        <w:rPr>
          <w:sz w:val="19"/>
        </w:rPr>
        <w:t>Average Earnings Index.</w:t>
      </w:r>
    </w:p>
    <w:p>
      <w:pPr>
        <w:spacing w:before="12"/>
        <w:ind w:left="580" w:right="0" w:firstLine="0"/>
        <w:jc w:val="left"/>
        <w:rPr>
          <w:sz w:val="19"/>
        </w:rPr>
      </w:pPr>
      <w:r>
        <w:rPr>
          <w:b/>
          <w:sz w:val="19"/>
        </w:rPr>
        <w:t>CSPI: </w:t>
      </w:r>
      <w:r>
        <w:rPr>
          <w:sz w:val="19"/>
        </w:rPr>
        <w:t>corporate services price index.</w:t>
      </w:r>
    </w:p>
    <w:p>
      <w:pPr>
        <w:spacing w:before="11"/>
        <w:ind w:left="580" w:right="0" w:firstLine="0"/>
        <w:jc w:val="left"/>
        <w:rPr>
          <w:sz w:val="19"/>
        </w:rPr>
      </w:pPr>
      <w:r>
        <w:rPr>
          <w:b/>
          <w:sz w:val="19"/>
        </w:rPr>
        <w:t>DGI: </w:t>
      </w:r>
      <w:r>
        <w:rPr>
          <w:sz w:val="19"/>
        </w:rPr>
        <w:t>domestically generated inflation.</w:t>
      </w:r>
    </w:p>
    <w:p>
      <w:pPr>
        <w:spacing w:line="252" w:lineRule="auto" w:before="12"/>
        <w:ind w:left="800" w:right="341" w:hanging="220"/>
        <w:jc w:val="left"/>
        <w:rPr>
          <w:sz w:val="19"/>
        </w:rPr>
      </w:pPr>
      <w:r>
        <w:rPr>
          <w:b/>
          <w:sz w:val="19"/>
        </w:rPr>
        <w:t>Divisia money: </w:t>
      </w:r>
      <w:r>
        <w:rPr>
          <w:sz w:val="19"/>
        </w:rPr>
        <w:t>a measure of the money stock in which each component is weighted according to an estimate of its likely use for transactions.</w:t>
      </w:r>
    </w:p>
    <w:p>
      <w:pPr>
        <w:spacing w:before="1"/>
        <w:ind w:left="580" w:right="0" w:firstLine="0"/>
        <w:jc w:val="left"/>
        <w:rPr>
          <w:sz w:val="19"/>
        </w:rPr>
      </w:pPr>
      <w:r>
        <w:rPr>
          <w:b/>
          <w:sz w:val="19"/>
        </w:rPr>
        <w:t>ERI: </w:t>
      </w:r>
      <w:r>
        <w:rPr>
          <w:sz w:val="19"/>
        </w:rPr>
        <w:t>exchange rate index.</w:t>
      </w:r>
    </w:p>
    <w:p>
      <w:pPr>
        <w:spacing w:before="11"/>
        <w:ind w:left="580" w:right="0" w:firstLine="0"/>
        <w:jc w:val="left"/>
        <w:rPr>
          <w:sz w:val="19"/>
        </w:rPr>
      </w:pPr>
      <w:r>
        <w:rPr>
          <w:b/>
          <w:sz w:val="19"/>
        </w:rPr>
        <w:t>FEPI: </w:t>
      </w:r>
      <w:r>
        <w:rPr>
          <w:sz w:val="19"/>
        </w:rPr>
        <w:t>final expenditure price index.</w:t>
      </w:r>
    </w:p>
    <w:p>
      <w:pPr>
        <w:spacing w:before="12"/>
        <w:ind w:left="580" w:right="0" w:firstLine="0"/>
        <w:jc w:val="left"/>
        <w:rPr>
          <w:sz w:val="19"/>
        </w:rPr>
      </w:pPr>
      <w:r>
        <w:rPr>
          <w:b/>
          <w:sz w:val="19"/>
        </w:rPr>
        <w:t>HICP: </w:t>
      </w:r>
      <w:r>
        <w:rPr>
          <w:sz w:val="19"/>
        </w:rPr>
        <w:t>Harmonised Index of Consumer Prices.</w:t>
      </w:r>
    </w:p>
    <w:p>
      <w:pPr>
        <w:spacing w:before="11"/>
        <w:ind w:left="580" w:right="0" w:firstLine="0"/>
        <w:jc w:val="left"/>
        <w:rPr>
          <w:sz w:val="19"/>
        </w:rPr>
      </w:pPr>
      <w:r>
        <w:rPr>
          <w:b/>
          <w:sz w:val="19"/>
        </w:rPr>
        <w:t>M0: </w:t>
      </w:r>
      <w:r>
        <w:rPr>
          <w:sz w:val="19"/>
        </w:rPr>
        <w:t>notes and coin in circulation outside the Bank of England and bankers’ operational deposits at the Bank.</w:t>
      </w:r>
    </w:p>
    <w:p>
      <w:pPr>
        <w:spacing w:line="252" w:lineRule="auto" w:before="12"/>
        <w:ind w:left="800" w:right="215" w:hanging="220"/>
        <w:jc w:val="left"/>
        <w:rPr>
          <w:sz w:val="19"/>
        </w:rPr>
      </w:pPr>
      <w:r>
        <w:rPr>
          <w:b/>
          <w:sz w:val="19"/>
        </w:rPr>
        <w:t>M4: </w:t>
      </w:r>
      <w:r>
        <w:rPr>
          <w:sz w:val="19"/>
        </w:rPr>
        <w:t>UK non-bank, non building society private sector’s holdings of notes and coin, plus all sterling deposits (including certificates of deposit) held at UK banks and building societies by the non-bank, non building society private sector.</w:t>
      </w:r>
    </w:p>
    <w:p>
      <w:pPr>
        <w:spacing w:before="1"/>
        <w:ind w:left="580" w:right="0" w:firstLine="0"/>
        <w:jc w:val="left"/>
        <w:rPr>
          <w:sz w:val="19"/>
        </w:rPr>
      </w:pPr>
      <w:r>
        <w:rPr>
          <w:b/>
          <w:sz w:val="19"/>
        </w:rPr>
        <w:t>M4 lending: </w:t>
      </w:r>
      <w:r>
        <w:rPr>
          <w:sz w:val="19"/>
        </w:rPr>
        <w:t>sterling lending by UK monetary institutions (MFIs) to all UK residents other than the public sector and MFIs.</w:t>
      </w:r>
    </w:p>
    <w:p>
      <w:pPr>
        <w:spacing w:before="12"/>
        <w:ind w:left="800" w:right="0" w:firstLine="0"/>
        <w:jc w:val="left"/>
        <w:rPr>
          <w:sz w:val="19"/>
        </w:rPr>
      </w:pPr>
      <w:r>
        <w:rPr>
          <w:sz w:val="19"/>
        </w:rPr>
        <w:t>M4 lending includes loans and advances as well as investments, acceptances and reverse repo transactions.</w:t>
      </w:r>
    </w:p>
    <w:p>
      <w:pPr>
        <w:spacing w:before="11"/>
        <w:ind w:left="580" w:right="0" w:firstLine="0"/>
        <w:jc w:val="left"/>
        <w:rPr>
          <w:sz w:val="19"/>
        </w:rPr>
      </w:pPr>
      <w:r>
        <w:rPr>
          <w:b/>
          <w:sz w:val="19"/>
        </w:rPr>
        <w:t>RPI inflation: </w:t>
      </w:r>
      <w:r>
        <w:rPr>
          <w:sz w:val="19"/>
        </w:rPr>
        <w:t>inflation measured by the retail price index.</w:t>
      </w:r>
    </w:p>
    <w:p>
      <w:pPr>
        <w:spacing w:before="12"/>
        <w:ind w:left="580" w:right="0" w:firstLine="0"/>
        <w:jc w:val="left"/>
        <w:rPr>
          <w:sz w:val="19"/>
        </w:rPr>
      </w:pPr>
      <w:r>
        <w:rPr>
          <w:b/>
          <w:sz w:val="19"/>
        </w:rPr>
        <w:t>RPIX inflation: </w:t>
      </w:r>
      <w:r>
        <w:rPr>
          <w:sz w:val="19"/>
        </w:rPr>
        <w:t>inflation measured by the RPI excluding mortgage interest payments.</w:t>
      </w:r>
    </w:p>
    <w:p>
      <w:pPr>
        <w:spacing w:line="252" w:lineRule="auto" w:before="11"/>
        <w:ind w:left="800" w:right="748" w:hanging="220"/>
        <w:jc w:val="left"/>
        <w:rPr>
          <w:sz w:val="19"/>
        </w:rPr>
      </w:pPr>
      <w:r>
        <w:rPr>
          <w:b/>
          <w:sz w:val="19"/>
        </w:rPr>
        <w:t>RPIY inflation: </w:t>
      </w:r>
      <w:r>
        <w:rPr>
          <w:sz w:val="19"/>
        </w:rPr>
        <w:t>inflation measured by the RPI excluding mortgage interest payments and the following indirect taxes: council tax, VAT, duties, car purchase tax and vehicle excise duty, insurance tax and airport tax.</w:t>
      </w:r>
    </w:p>
    <w:p>
      <w:pPr>
        <w:spacing w:before="1"/>
        <w:ind w:left="580" w:right="0" w:firstLine="0"/>
        <w:jc w:val="left"/>
        <w:rPr>
          <w:sz w:val="19"/>
        </w:rPr>
      </w:pPr>
      <w:r>
        <w:rPr>
          <w:b/>
          <w:sz w:val="19"/>
        </w:rPr>
        <w:t>TPI: </w:t>
      </w:r>
      <w:r>
        <w:rPr>
          <w:sz w:val="19"/>
        </w:rPr>
        <w:t>tax and price index.</w:t>
      </w:r>
    </w:p>
    <w:p>
      <w:pPr>
        <w:pStyle w:val="BodyText"/>
        <w:rPr>
          <w:sz w:val="20"/>
        </w:rPr>
      </w:pPr>
    </w:p>
    <w:p>
      <w:pPr>
        <w:pStyle w:val="BodyText"/>
        <w:rPr>
          <w:sz w:val="17"/>
        </w:rPr>
      </w:pPr>
    </w:p>
    <w:p>
      <w:pPr>
        <w:spacing w:after="0"/>
        <w:rPr>
          <w:sz w:val="17"/>
        </w:rPr>
        <w:sectPr>
          <w:headerReference w:type="default" r:id="rId225"/>
          <w:footerReference w:type="default" r:id="rId226"/>
          <w:pgSz w:w="11900" w:h="16840"/>
          <w:pgMar w:header="0" w:footer="0" w:top="820" w:bottom="280" w:left="640" w:right="640"/>
        </w:sectPr>
      </w:pPr>
    </w:p>
    <w:p>
      <w:pPr>
        <w:pStyle w:val="Heading6"/>
        <w:spacing w:before="90"/>
        <w:ind w:left="580"/>
      </w:pPr>
      <w:r>
        <w:rPr>
          <w:color w:val="0092C7"/>
        </w:rPr>
        <w:t>Abbreviations</w:t>
      </w:r>
    </w:p>
    <w:p>
      <w:pPr>
        <w:spacing w:line="252" w:lineRule="auto" w:before="190"/>
        <w:ind w:left="599" w:right="1268" w:firstLine="0"/>
        <w:jc w:val="left"/>
        <w:rPr>
          <w:sz w:val="19"/>
        </w:rPr>
      </w:pPr>
      <w:r>
        <w:rPr>
          <w:b/>
          <w:spacing w:val="-6"/>
          <w:sz w:val="19"/>
        </w:rPr>
        <w:t>ATM:  </w:t>
      </w:r>
      <w:r>
        <w:rPr>
          <w:sz w:val="19"/>
        </w:rPr>
        <w:t>automated teller machine. </w:t>
      </w:r>
      <w:r>
        <w:rPr>
          <w:b/>
          <w:sz w:val="19"/>
        </w:rPr>
        <w:t>BCC: </w:t>
      </w:r>
      <w:r>
        <w:rPr>
          <w:sz w:val="19"/>
        </w:rPr>
        <w:t>British Chambers of Commerce. </w:t>
      </w:r>
      <w:r>
        <w:rPr>
          <w:b/>
          <w:sz w:val="19"/>
        </w:rPr>
        <w:t>BRC: </w:t>
      </w:r>
      <w:r>
        <w:rPr>
          <w:sz w:val="19"/>
        </w:rPr>
        <w:t>British Retail</w:t>
      </w:r>
      <w:r>
        <w:rPr>
          <w:spacing w:val="-10"/>
          <w:sz w:val="19"/>
        </w:rPr>
        <w:t> </w:t>
      </w:r>
      <w:r>
        <w:rPr>
          <w:sz w:val="19"/>
        </w:rPr>
        <w:t>Consortium.</w:t>
      </w:r>
    </w:p>
    <w:p>
      <w:pPr>
        <w:spacing w:before="2"/>
        <w:ind w:left="599" w:right="0" w:firstLine="0"/>
        <w:jc w:val="left"/>
        <w:rPr>
          <w:sz w:val="19"/>
        </w:rPr>
      </w:pPr>
      <w:r>
        <w:rPr>
          <w:b/>
          <w:sz w:val="19"/>
        </w:rPr>
        <w:t>CBI: </w:t>
      </w:r>
      <w:r>
        <w:rPr>
          <w:sz w:val="19"/>
        </w:rPr>
        <w:t>Confederation of British Industry.</w:t>
      </w:r>
    </w:p>
    <w:p>
      <w:pPr>
        <w:spacing w:before="11"/>
        <w:ind w:left="599" w:right="0" w:firstLine="0"/>
        <w:jc w:val="left"/>
        <w:rPr>
          <w:sz w:val="19"/>
        </w:rPr>
      </w:pPr>
      <w:r>
        <w:rPr>
          <w:b/>
          <w:sz w:val="19"/>
        </w:rPr>
        <w:t>CIPS: </w:t>
      </w:r>
      <w:r>
        <w:rPr>
          <w:sz w:val="19"/>
        </w:rPr>
        <w:t>Chartered Institute of Purchasing and Supply.</w:t>
      </w:r>
    </w:p>
    <w:p>
      <w:pPr>
        <w:spacing w:before="12"/>
        <w:ind w:left="599" w:right="0" w:firstLine="0"/>
        <w:jc w:val="left"/>
        <w:rPr>
          <w:sz w:val="19"/>
        </w:rPr>
      </w:pPr>
      <w:r>
        <w:rPr>
          <w:b/>
          <w:sz w:val="19"/>
        </w:rPr>
        <w:t>CML: </w:t>
      </w:r>
      <w:r>
        <w:rPr>
          <w:sz w:val="19"/>
        </w:rPr>
        <w:t>Council of Mortgage Lenders.</w:t>
      </w:r>
    </w:p>
    <w:p>
      <w:pPr>
        <w:spacing w:before="11"/>
        <w:ind w:left="599" w:right="0" w:firstLine="0"/>
        <w:jc w:val="left"/>
        <w:rPr>
          <w:sz w:val="19"/>
        </w:rPr>
      </w:pPr>
      <w:r>
        <w:rPr>
          <w:b/>
          <w:sz w:val="19"/>
        </w:rPr>
        <w:t>cob: </w:t>
      </w:r>
      <w:r>
        <w:rPr>
          <w:sz w:val="19"/>
        </w:rPr>
        <w:t>close of business.</w:t>
      </w:r>
    </w:p>
    <w:p>
      <w:pPr>
        <w:spacing w:line="252" w:lineRule="auto" w:before="12"/>
        <w:ind w:left="819" w:right="0" w:hanging="220"/>
        <w:jc w:val="left"/>
        <w:rPr>
          <w:sz w:val="19"/>
        </w:rPr>
      </w:pPr>
      <w:r>
        <w:rPr>
          <w:b/>
          <w:sz w:val="19"/>
        </w:rPr>
        <w:t>DETR: </w:t>
      </w:r>
      <w:r>
        <w:rPr>
          <w:sz w:val="19"/>
        </w:rPr>
        <w:t>Department of the Environment, Transport and the Regions.</w:t>
      </w:r>
    </w:p>
    <w:p>
      <w:pPr>
        <w:spacing w:before="1"/>
        <w:ind w:left="599" w:right="0" w:firstLine="0"/>
        <w:jc w:val="left"/>
        <w:rPr>
          <w:sz w:val="19"/>
        </w:rPr>
      </w:pPr>
      <w:r>
        <w:rPr>
          <w:b/>
          <w:sz w:val="19"/>
        </w:rPr>
        <w:t>DHL: </w:t>
      </w:r>
      <w:r>
        <w:rPr>
          <w:sz w:val="19"/>
        </w:rPr>
        <w:t>DHL International (UK) Ltd.</w:t>
      </w:r>
    </w:p>
    <w:p>
      <w:pPr>
        <w:spacing w:before="11"/>
        <w:ind w:left="599" w:right="0" w:firstLine="0"/>
        <w:jc w:val="left"/>
        <w:rPr>
          <w:sz w:val="19"/>
        </w:rPr>
      </w:pPr>
      <w:r>
        <w:rPr>
          <w:b/>
          <w:sz w:val="19"/>
        </w:rPr>
        <w:t>ECB: </w:t>
      </w:r>
      <w:r>
        <w:rPr>
          <w:sz w:val="19"/>
        </w:rPr>
        <w:t>European Central Bank.</w:t>
      </w:r>
    </w:p>
    <w:p>
      <w:pPr>
        <w:spacing w:before="12"/>
        <w:ind w:left="599" w:right="0" w:firstLine="0"/>
        <w:jc w:val="left"/>
        <w:rPr>
          <w:sz w:val="19"/>
        </w:rPr>
      </w:pPr>
      <w:r>
        <w:rPr>
          <w:b/>
          <w:sz w:val="19"/>
        </w:rPr>
        <w:t>EEF: </w:t>
      </w:r>
      <w:r>
        <w:rPr>
          <w:sz w:val="19"/>
        </w:rPr>
        <w:t>Engineering Employers’ Federation.</w:t>
      </w:r>
    </w:p>
    <w:p>
      <w:pPr>
        <w:spacing w:before="12"/>
        <w:ind w:left="599" w:right="0" w:firstLine="0"/>
        <w:jc w:val="left"/>
        <w:rPr>
          <w:sz w:val="19"/>
        </w:rPr>
      </w:pPr>
      <w:r>
        <w:rPr>
          <w:b/>
          <w:sz w:val="19"/>
        </w:rPr>
        <w:t>EU: </w:t>
      </w:r>
      <w:r>
        <w:rPr>
          <w:sz w:val="19"/>
        </w:rPr>
        <w:t>European Union.</w:t>
      </w:r>
    </w:p>
    <w:p>
      <w:pPr>
        <w:spacing w:line="252" w:lineRule="auto" w:before="11"/>
        <w:ind w:left="599" w:right="818" w:firstLine="0"/>
        <w:jc w:val="left"/>
        <w:rPr>
          <w:sz w:val="19"/>
        </w:rPr>
      </w:pPr>
      <w:r>
        <w:rPr>
          <w:b/>
          <w:sz w:val="19"/>
        </w:rPr>
        <w:t>FOMC: </w:t>
      </w:r>
      <w:r>
        <w:rPr>
          <w:sz w:val="19"/>
        </w:rPr>
        <w:t>Federal Open Market Committee. </w:t>
      </w:r>
      <w:r>
        <w:rPr>
          <w:b/>
          <w:sz w:val="19"/>
        </w:rPr>
        <w:t>FTSE: </w:t>
      </w:r>
      <w:r>
        <w:rPr>
          <w:sz w:val="19"/>
        </w:rPr>
        <w:t>Financial Times Stock Exchange. </w:t>
      </w:r>
      <w:r>
        <w:rPr>
          <w:b/>
          <w:sz w:val="19"/>
        </w:rPr>
        <w:t>GC: </w:t>
      </w:r>
      <w:r>
        <w:rPr>
          <w:sz w:val="19"/>
        </w:rPr>
        <w:t>generalised collateral.</w:t>
      </w:r>
    </w:p>
    <w:p>
      <w:pPr>
        <w:spacing w:before="2"/>
        <w:ind w:left="599" w:right="0" w:firstLine="0"/>
        <w:jc w:val="left"/>
        <w:rPr>
          <w:sz w:val="19"/>
        </w:rPr>
      </w:pPr>
      <w:r>
        <w:rPr>
          <w:b/>
          <w:sz w:val="19"/>
        </w:rPr>
        <w:t>GDP: </w:t>
      </w:r>
      <w:r>
        <w:rPr>
          <w:sz w:val="19"/>
        </w:rPr>
        <w:t>Gross domestic product.</w:t>
      </w:r>
    </w:p>
    <w:p>
      <w:pPr>
        <w:spacing w:before="11"/>
        <w:ind w:left="599" w:right="0" w:firstLine="0"/>
        <w:jc w:val="left"/>
        <w:rPr>
          <w:sz w:val="19"/>
        </w:rPr>
      </w:pPr>
      <w:r>
        <w:rPr>
          <w:b/>
          <w:sz w:val="19"/>
        </w:rPr>
        <w:t>GfK: </w:t>
      </w:r>
      <w:r>
        <w:rPr>
          <w:sz w:val="19"/>
        </w:rPr>
        <w:t>Gesellschaft für Konsum, Great Britain Ltd.</w:t>
      </w:r>
    </w:p>
    <w:p>
      <w:pPr>
        <w:spacing w:before="12"/>
        <w:ind w:left="599" w:right="0" w:firstLine="0"/>
        <w:jc w:val="left"/>
        <w:rPr>
          <w:sz w:val="19"/>
        </w:rPr>
      </w:pPr>
      <w:r>
        <w:rPr>
          <w:b/>
          <w:sz w:val="19"/>
        </w:rPr>
        <w:t>HMT: </w:t>
      </w:r>
      <w:r>
        <w:rPr>
          <w:sz w:val="19"/>
        </w:rPr>
        <w:t>Her Majesty’s Treasury.</w:t>
      </w:r>
    </w:p>
    <w:p>
      <w:pPr>
        <w:spacing w:line="252" w:lineRule="auto" w:before="11"/>
        <w:ind w:left="599" w:right="211" w:firstLine="0"/>
        <w:jc w:val="left"/>
        <w:rPr>
          <w:sz w:val="19"/>
        </w:rPr>
      </w:pPr>
      <w:r>
        <w:rPr>
          <w:b/>
          <w:sz w:val="19"/>
        </w:rPr>
        <w:t>ICPFs: </w:t>
      </w:r>
      <w:r>
        <w:rPr>
          <w:sz w:val="19"/>
        </w:rPr>
        <w:t>insurance companies and pension funds. </w:t>
      </w:r>
      <w:r>
        <w:rPr>
          <w:b/>
          <w:sz w:val="19"/>
        </w:rPr>
        <w:t>ICT: </w:t>
      </w:r>
      <w:r>
        <w:rPr>
          <w:sz w:val="19"/>
        </w:rPr>
        <w:t>information and communication technology. </w:t>
      </w:r>
      <w:r>
        <w:rPr>
          <w:b/>
          <w:sz w:val="19"/>
        </w:rPr>
        <w:t>IDS: </w:t>
      </w:r>
      <w:r>
        <w:rPr>
          <w:sz w:val="19"/>
        </w:rPr>
        <w:t>Incomes Data Services.</w:t>
      </w:r>
    </w:p>
    <w:p>
      <w:pPr>
        <w:spacing w:before="2"/>
        <w:ind w:left="599" w:right="0" w:firstLine="0"/>
        <w:jc w:val="left"/>
        <w:rPr>
          <w:sz w:val="19"/>
        </w:rPr>
      </w:pPr>
      <w:r>
        <w:rPr>
          <w:b/>
          <w:sz w:val="19"/>
        </w:rPr>
        <w:t>IMF: </w:t>
      </w:r>
      <w:r>
        <w:rPr>
          <w:sz w:val="19"/>
        </w:rPr>
        <w:t>International Monetary Fund.</w:t>
      </w:r>
    </w:p>
    <w:p>
      <w:pPr>
        <w:spacing w:before="12"/>
        <w:ind w:left="599" w:right="0" w:firstLine="0"/>
        <w:jc w:val="left"/>
        <w:rPr>
          <w:sz w:val="19"/>
        </w:rPr>
      </w:pPr>
      <w:r>
        <w:rPr>
          <w:b/>
          <w:sz w:val="19"/>
        </w:rPr>
        <w:t>IT: </w:t>
      </w:r>
      <w:r>
        <w:rPr>
          <w:sz w:val="19"/>
        </w:rPr>
        <w:t>information technology.</w:t>
      </w:r>
    </w:p>
    <w:p>
      <w:pPr>
        <w:spacing w:before="11"/>
        <w:ind w:left="599" w:right="0" w:firstLine="0"/>
        <w:jc w:val="left"/>
        <w:rPr>
          <w:sz w:val="19"/>
        </w:rPr>
      </w:pPr>
      <w:r>
        <w:rPr>
          <w:b/>
          <w:sz w:val="19"/>
        </w:rPr>
        <w:t>LAPFs: </w:t>
      </w:r>
      <w:r>
        <w:rPr>
          <w:sz w:val="19"/>
        </w:rPr>
        <w:t>life assurance and pension funds.</w:t>
      </w:r>
    </w:p>
    <w:p>
      <w:pPr>
        <w:spacing w:before="12"/>
        <w:ind w:left="599" w:right="0" w:firstLine="0"/>
        <w:jc w:val="left"/>
        <w:rPr>
          <w:sz w:val="19"/>
        </w:rPr>
      </w:pPr>
      <w:r>
        <w:rPr>
          <w:b/>
          <w:sz w:val="19"/>
        </w:rPr>
        <w:t>LFS: </w:t>
      </w:r>
      <w:r>
        <w:rPr>
          <w:sz w:val="19"/>
        </w:rPr>
        <w:t>Labour Force Survey.</w:t>
      </w:r>
    </w:p>
    <w:p>
      <w:pPr>
        <w:pStyle w:val="BodyText"/>
        <w:rPr>
          <w:sz w:val="20"/>
        </w:rPr>
      </w:pPr>
      <w:r>
        <w:rPr/>
        <w:br w:type="column"/>
      </w:r>
      <w:r>
        <w:rPr>
          <w:sz w:val="20"/>
        </w:rPr>
      </w:r>
    </w:p>
    <w:p>
      <w:pPr>
        <w:pStyle w:val="BodyText"/>
        <w:spacing w:before="4"/>
        <w:rPr>
          <w:sz w:val="28"/>
        </w:rPr>
      </w:pPr>
    </w:p>
    <w:p>
      <w:pPr>
        <w:spacing w:line="252" w:lineRule="auto" w:before="0"/>
        <w:ind w:left="800" w:right="331" w:hanging="220"/>
        <w:jc w:val="left"/>
        <w:rPr>
          <w:sz w:val="19"/>
        </w:rPr>
      </w:pPr>
      <w:r>
        <w:rPr>
          <w:b/>
          <w:sz w:val="19"/>
        </w:rPr>
        <w:t>LIFFE: </w:t>
      </w:r>
      <w:r>
        <w:rPr>
          <w:sz w:val="19"/>
        </w:rPr>
        <w:t>London International Financial Futures and Options Exchange.</w:t>
      </w:r>
    </w:p>
    <w:p>
      <w:pPr>
        <w:spacing w:before="1"/>
        <w:ind w:left="580" w:right="0" w:firstLine="0"/>
        <w:jc w:val="left"/>
        <w:rPr>
          <w:sz w:val="19"/>
        </w:rPr>
      </w:pPr>
      <w:r>
        <w:rPr>
          <w:b/>
          <w:sz w:val="19"/>
        </w:rPr>
        <w:t>M&amp;A: </w:t>
      </w:r>
      <w:r>
        <w:rPr>
          <w:sz w:val="19"/>
        </w:rPr>
        <w:t>mergers and aquisitions.</w:t>
      </w:r>
    </w:p>
    <w:p>
      <w:pPr>
        <w:spacing w:before="12"/>
        <w:ind w:left="580" w:right="0" w:firstLine="0"/>
        <w:jc w:val="left"/>
        <w:rPr>
          <w:sz w:val="19"/>
        </w:rPr>
      </w:pPr>
      <w:r>
        <w:rPr>
          <w:b/>
          <w:sz w:val="19"/>
        </w:rPr>
        <w:t>MEW: </w:t>
      </w:r>
      <w:r>
        <w:rPr>
          <w:sz w:val="19"/>
        </w:rPr>
        <w:t>mortgage equity withdrawal.</w:t>
      </w:r>
    </w:p>
    <w:p>
      <w:pPr>
        <w:spacing w:before="11"/>
        <w:ind w:left="580" w:right="0" w:firstLine="0"/>
        <w:jc w:val="left"/>
        <w:rPr>
          <w:sz w:val="19"/>
        </w:rPr>
      </w:pPr>
      <w:r>
        <w:rPr>
          <w:b/>
          <w:sz w:val="19"/>
        </w:rPr>
        <w:t>MFR: </w:t>
      </w:r>
      <w:r>
        <w:rPr>
          <w:sz w:val="19"/>
        </w:rPr>
        <w:t>Minimum Funding Requirement.</w:t>
      </w:r>
    </w:p>
    <w:p>
      <w:pPr>
        <w:spacing w:before="12"/>
        <w:ind w:left="580" w:right="0" w:firstLine="0"/>
        <w:jc w:val="left"/>
        <w:rPr>
          <w:sz w:val="19"/>
        </w:rPr>
      </w:pPr>
      <w:r>
        <w:rPr>
          <w:b/>
          <w:sz w:val="19"/>
        </w:rPr>
        <w:t>MORI: </w:t>
      </w:r>
      <w:r>
        <w:rPr>
          <w:sz w:val="19"/>
        </w:rPr>
        <w:t>Market and Opinion Research International.</w:t>
      </w:r>
    </w:p>
    <w:p>
      <w:pPr>
        <w:spacing w:before="11"/>
        <w:ind w:left="580" w:right="0" w:firstLine="0"/>
        <w:jc w:val="left"/>
        <w:rPr>
          <w:sz w:val="19"/>
        </w:rPr>
      </w:pPr>
      <w:r>
        <w:rPr>
          <w:b/>
          <w:sz w:val="19"/>
        </w:rPr>
        <w:t>MPC: </w:t>
      </w:r>
      <w:r>
        <w:rPr>
          <w:sz w:val="19"/>
        </w:rPr>
        <w:t>Monetary Policy Committee.</w:t>
      </w:r>
    </w:p>
    <w:p>
      <w:pPr>
        <w:spacing w:line="252" w:lineRule="auto" w:before="12"/>
        <w:ind w:left="800" w:right="331" w:hanging="220"/>
        <w:jc w:val="left"/>
        <w:rPr>
          <w:sz w:val="19"/>
        </w:rPr>
      </w:pPr>
      <w:r>
        <w:rPr>
          <w:b/>
          <w:sz w:val="19"/>
        </w:rPr>
        <w:t>NIESR: </w:t>
      </w:r>
      <w:r>
        <w:rPr>
          <w:sz w:val="19"/>
        </w:rPr>
        <w:t>National Institute of Economic and Social Research.</w:t>
      </w:r>
    </w:p>
    <w:p>
      <w:pPr>
        <w:spacing w:before="1"/>
        <w:ind w:left="580" w:right="0" w:firstLine="0"/>
        <w:jc w:val="left"/>
        <w:rPr>
          <w:sz w:val="19"/>
        </w:rPr>
      </w:pPr>
      <w:r>
        <w:rPr>
          <w:b/>
          <w:sz w:val="19"/>
        </w:rPr>
        <w:t>NYMEX: </w:t>
      </w:r>
      <w:r>
        <w:rPr>
          <w:sz w:val="19"/>
        </w:rPr>
        <w:t>New York Mercantile Exchange.</w:t>
      </w:r>
    </w:p>
    <w:p>
      <w:pPr>
        <w:spacing w:line="252" w:lineRule="auto" w:before="11"/>
        <w:ind w:left="800" w:right="331" w:hanging="220"/>
        <w:jc w:val="left"/>
        <w:rPr>
          <w:sz w:val="19"/>
        </w:rPr>
      </w:pPr>
      <w:r>
        <w:rPr>
          <w:b/>
          <w:sz w:val="19"/>
        </w:rPr>
        <w:t>OECD: </w:t>
      </w:r>
      <w:r>
        <w:rPr>
          <w:sz w:val="19"/>
        </w:rPr>
        <w:t>Organisation for Economic Co-operation and Development.</w:t>
      </w:r>
    </w:p>
    <w:p>
      <w:pPr>
        <w:spacing w:before="1"/>
        <w:ind w:left="580" w:right="0" w:firstLine="0"/>
        <w:jc w:val="left"/>
        <w:rPr>
          <w:sz w:val="19"/>
        </w:rPr>
      </w:pPr>
      <w:r>
        <w:rPr>
          <w:b/>
          <w:sz w:val="19"/>
        </w:rPr>
        <w:t>OFCs:  </w:t>
      </w:r>
      <w:r>
        <w:rPr>
          <w:sz w:val="19"/>
        </w:rPr>
        <w:t>other financial</w:t>
      </w:r>
      <w:r>
        <w:rPr>
          <w:spacing w:val="-34"/>
          <w:sz w:val="19"/>
        </w:rPr>
        <w:t> </w:t>
      </w:r>
      <w:r>
        <w:rPr>
          <w:sz w:val="19"/>
        </w:rPr>
        <w:t>corporations.</w:t>
      </w:r>
    </w:p>
    <w:p>
      <w:pPr>
        <w:spacing w:before="12"/>
        <w:ind w:left="580" w:right="0" w:firstLine="0"/>
        <w:jc w:val="left"/>
        <w:rPr>
          <w:sz w:val="19"/>
        </w:rPr>
      </w:pPr>
      <w:r>
        <w:rPr>
          <w:b/>
          <w:sz w:val="19"/>
        </w:rPr>
        <w:t>ONS: </w:t>
      </w:r>
      <w:r>
        <w:rPr>
          <w:sz w:val="19"/>
        </w:rPr>
        <w:t>Office for National</w:t>
      </w:r>
      <w:r>
        <w:rPr>
          <w:spacing w:val="8"/>
          <w:sz w:val="19"/>
        </w:rPr>
        <w:t> </w:t>
      </w:r>
      <w:r>
        <w:rPr>
          <w:sz w:val="19"/>
        </w:rPr>
        <w:t>Statistics.</w:t>
      </w:r>
    </w:p>
    <w:p>
      <w:pPr>
        <w:spacing w:before="12"/>
        <w:ind w:left="580" w:right="0" w:firstLine="0"/>
        <w:jc w:val="left"/>
        <w:rPr>
          <w:sz w:val="19"/>
        </w:rPr>
      </w:pPr>
      <w:r>
        <w:rPr>
          <w:b/>
          <w:sz w:val="19"/>
        </w:rPr>
        <w:t>OPEC: </w:t>
      </w:r>
      <w:r>
        <w:rPr>
          <w:sz w:val="19"/>
        </w:rPr>
        <w:t>Organisation of Petroleum Exporting Countries.</w:t>
      </w:r>
    </w:p>
    <w:p>
      <w:pPr>
        <w:spacing w:before="11"/>
        <w:ind w:left="580" w:right="0" w:firstLine="0"/>
        <w:jc w:val="left"/>
        <w:rPr>
          <w:sz w:val="19"/>
        </w:rPr>
      </w:pPr>
      <w:r>
        <w:rPr>
          <w:b/>
          <w:sz w:val="19"/>
        </w:rPr>
        <w:t>PBR: </w:t>
      </w:r>
      <w:r>
        <w:rPr>
          <w:sz w:val="19"/>
        </w:rPr>
        <w:t>Pre-Budget Report.</w:t>
      </w:r>
    </w:p>
    <w:p>
      <w:pPr>
        <w:spacing w:before="12"/>
        <w:ind w:left="580" w:right="0" w:firstLine="0"/>
        <w:jc w:val="left"/>
        <w:rPr>
          <w:sz w:val="19"/>
        </w:rPr>
      </w:pPr>
      <w:r>
        <w:rPr>
          <w:b/>
          <w:sz w:val="19"/>
        </w:rPr>
        <w:t>PNFCs: </w:t>
      </w:r>
      <w:r>
        <w:rPr>
          <w:sz w:val="19"/>
        </w:rPr>
        <w:t>private non-financial corporations.</w:t>
      </w:r>
    </w:p>
    <w:p>
      <w:pPr>
        <w:spacing w:before="11"/>
        <w:ind w:left="580" w:right="0" w:firstLine="0"/>
        <w:jc w:val="left"/>
        <w:rPr>
          <w:sz w:val="19"/>
        </w:rPr>
      </w:pPr>
      <w:r>
        <w:rPr>
          <w:b/>
          <w:sz w:val="19"/>
        </w:rPr>
        <w:t>PSNB: </w:t>
      </w:r>
      <w:r>
        <w:rPr>
          <w:sz w:val="19"/>
        </w:rPr>
        <w:t>public sector net borrowing.</w:t>
      </w:r>
    </w:p>
    <w:p>
      <w:pPr>
        <w:spacing w:before="12"/>
        <w:ind w:left="580" w:right="0" w:firstLine="0"/>
        <w:jc w:val="left"/>
        <w:rPr>
          <w:sz w:val="19"/>
        </w:rPr>
      </w:pPr>
      <w:r>
        <w:rPr>
          <w:b/>
          <w:sz w:val="19"/>
        </w:rPr>
        <w:t>PSNCR: </w:t>
      </w:r>
      <w:r>
        <w:rPr>
          <w:sz w:val="19"/>
        </w:rPr>
        <w:t>public sector net cash requirement.</w:t>
      </w:r>
    </w:p>
    <w:p>
      <w:pPr>
        <w:spacing w:before="11"/>
        <w:ind w:left="580" w:right="0" w:firstLine="0"/>
        <w:jc w:val="left"/>
        <w:rPr>
          <w:sz w:val="19"/>
        </w:rPr>
      </w:pPr>
      <w:r>
        <w:rPr>
          <w:b/>
          <w:sz w:val="19"/>
        </w:rPr>
        <w:t>REC: </w:t>
      </w:r>
      <w:r>
        <w:rPr>
          <w:sz w:val="19"/>
        </w:rPr>
        <w:t>Recruitment and Employment Confederation.</w:t>
      </w:r>
    </w:p>
    <w:p>
      <w:pPr>
        <w:spacing w:before="12"/>
        <w:ind w:left="580" w:right="0" w:firstLine="0"/>
        <w:jc w:val="left"/>
        <w:rPr>
          <w:sz w:val="19"/>
        </w:rPr>
      </w:pPr>
      <w:r>
        <w:rPr>
          <w:b/>
          <w:sz w:val="19"/>
        </w:rPr>
        <w:t>RICS: </w:t>
      </w:r>
      <w:r>
        <w:rPr>
          <w:sz w:val="19"/>
        </w:rPr>
        <w:t>Royal Institute of Chartered Surveyors.</w:t>
      </w:r>
    </w:p>
    <w:p>
      <w:pPr>
        <w:spacing w:before="11"/>
        <w:ind w:left="580" w:right="0" w:firstLine="0"/>
        <w:jc w:val="left"/>
        <w:rPr>
          <w:sz w:val="19"/>
        </w:rPr>
      </w:pPr>
      <w:r>
        <w:rPr>
          <w:b/>
          <w:sz w:val="19"/>
        </w:rPr>
        <w:t>S&amp;P: </w:t>
      </w:r>
      <w:r>
        <w:rPr>
          <w:sz w:val="19"/>
        </w:rPr>
        <w:t>Standard and Poor’s.</w:t>
      </w:r>
    </w:p>
    <w:p>
      <w:pPr>
        <w:spacing w:line="252" w:lineRule="auto" w:before="12"/>
        <w:ind w:left="580" w:right="1659" w:firstLine="0"/>
        <w:jc w:val="left"/>
        <w:rPr>
          <w:sz w:val="19"/>
        </w:rPr>
      </w:pPr>
      <w:r>
        <w:rPr>
          <w:b/>
          <w:sz w:val="19"/>
        </w:rPr>
        <w:t>UIP: </w:t>
      </w:r>
      <w:r>
        <w:rPr>
          <w:sz w:val="19"/>
        </w:rPr>
        <w:t>uncovered interest parity. </w:t>
      </w:r>
      <w:r>
        <w:rPr>
          <w:b/>
          <w:sz w:val="19"/>
        </w:rPr>
        <w:t>WFTC: </w:t>
      </w:r>
      <w:r>
        <w:rPr>
          <w:sz w:val="19"/>
        </w:rPr>
        <w:t>Working Families Tax Credit. </w:t>
      </w:r>
      <w:r>
        <w:rPr>
          <w:b/>
          <w:sz w:val="19"/>
        </w:rPr>
        <w:t>WTD: </w:t>
      </w:r>
      <w:r>
        <w:rPr>
          <w:sz w:val="19"/>
        </w:rPr>
        <w:t>Working Time Directive.</w:t>
      </w:r>
    </w:p>
    <w:p>
      <w:pPr>
        <w:spacing w:before="1"/>
        <w:ind w:left="580" w:right="0" w:firstLine="0"/>
        <w:jc w:val="left"/>
        <w:rPr>
          <w:sz w:val="19"/>
        </w:rPr>
      </w:pPr>
      <w:r>
        <w:rPr>
          <w:b/>
          <w:sz w:val="19"/>
        </w:rPr>
        <w:t>WTI: </w:t>
      </w:r>
      <w:r>
        <w:rPr>
          <w:sz w:val="19"/>
        </w:rPr>
        <w:t>West Texas Intermediate crude oil.</w:t>
      </w:r>
    </w:p>
    <w:p>
      <w:pPr>
        <w:spacing w:after="0"/>
        <w:jc w:val="left"/>
        <w:rPr>
          <w:sz w:val="19"/>
        </w:rPr>
        <w:sectPr>
          <w:type w:val="continuous"/>
          <w:pgSz w:w="11900" w:h="16840"/>
          <w:pgMar w:top="1260" w:bottom="280" w:left="640" w:right="640"/>
          <w:cols w:num="2" w:equalWidth="0">
            <w:col w:w="4885" w:space="505"/>
            <w:col w:w="5230"/>
          </w:cols>
        </w:sectPr>
      </w:pPr>
    </w:p>
    <w:p>
      <w:pPr>
        <w:pStyle w:val="BodyText"/>
        <w:rPr>
          <w:sz w:val="20"/>
        </w:rPr>
      </w:pPr>
    </w:p>
    <w:p>
      <w:pPr>
        <w:pStyle w:val="BodyText"/>
        <w:rPr>
          <w:sz w:val="20"/>
        </w:rPr>
      </w:pPr>
    </w:p>
    <w:p>
      <w:pPr>
        <w:pStyle w:val="BodyText"/>
        <w:spacing w:before="1"/>
        <w:rPr>
          <w:sz w:val="23"/>
        </w:rPr>
      </w:pPr>
    </w:p>
    <w:p>
      <w:pPr>
        <w:pStyle w:val="Heading6"/>
        <w:ind w:left="580"/>
      </w:pPr>
      <w:r>
        <w:rPr>
          <w:color w:val="0092C7"/>
        </w:rPr>
        <w:t>Symbols and conventions</w:t>
      </w:r>
    </w:p>
    <w:p>
      <w:pPr>
        <w:spacing w:before="80"/>
        <w:ind w:left="580" w:right="0" w:firstLine="0"/>
        <w:jc w:val="left"/>
        <w:rPr>
          <w:sz w:val="19"/>
        </w:rPr>
      </w:pPr>
      <w:r>
        <w:rPr>
          <w:sz w:val="19"/>
        </w:rPr>
        <w:t>Except where otherwise stated, the source of the data used in charts and tables is the Office for National Statistics (ONS).</w:t>
      </w:r>
    </w:p>
    <w:p>
      <w:pPr>
        <w:spacing w:before="12"/>
        <w:ind w:left="580" w:right="0" w:firstLine="0"/>
        <w:jc w:val="left"/>
        <w:rPr>
          <w:sz w:val="19"/>
        </w:rPr>
      </w:pPr>
      <w:r>
        <w:rPr>
          <w:sz w:val="19"/>
        </w:rPr>
        <w:t>n.a. = not available.</w:t>
      </w:r>
    </w:p>
    <w:p>
      <w:pPr>
        <w:spacing w:before="11"/>
        <w:ind w:left="580" w:right="0" w:firstLine="0"/>
        <w:jc w:val="left"/>
        <w:rPr>
          <w:sz w:val="19"/>
        </w:rPr>
      </w:pPr>
      <w:r>
        <w:rPr>
          <w:sz w:val="19"/>
        </w:rPr>
        <w:t>Because of rounding, the sum of the separate items may sometimes differ from the total shown.</w:t>
      </w:r>
    </w:p>
    <w:p>
      <w:pPr>
        <w:spacing w:line="252" w:lineRule="auto" w:before="12"/>
        <w:ind w:left="580" w:right="2288" w:firstLine="0"/>
        <w:jc w:val="left"/>
        <w:rPr>
          <w:sz w:val="19"/>
        </w:rPr>
      </w:pPr>
      <w:r>
        <w:rPr>
          <w:sz w:val="19"/>
        </w:rPr>
        <w:t>On the horizontal axes of graphs, larger ticks denote the first observation within the relevant period, eg data for the first quarter of the year.</w:t>
      </w:r>
    </w:p>
    <w:sectPr>
      <w:type w:val="continuous"/>
      <w:pgSz w:w="11900" w:h="16840"/>
      <w:pgMar w:top="126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45.234009pt;margin-top:800.396667pt;width:12.7pt;height:10.9pt;mso-position-horizontal-relative:page;mso-position-vertical-relative:page;z-index:-22924288"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3pt;height:10.9pt;mso-position-horizontal-relative:page;mso-position-vertical-relative:page;z-index:-2291456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8.177002pt;margin-top:800.396667pt;width:10pt;height:10.9pt;mso-position-horizontal-relative:page;mso-position-vertical-relative:page;z-index:-229140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9</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291353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56pt;margin-top:801.396667pt;width:14pt;height:10.9pt;mso-position-horizontal-relative:page;mso-position-vertical-relative:page;z-index:-2291302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291148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15</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56pt;margin-top:801.396667pt;width:14pt;height:10.9pt;mso-position-horizontal-relative:page;mso-position-vertical-relative:page;z-index:-2291097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16</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290892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17</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56pt;margin-top:801.396667pt;width:14pt;height:10.9pt;mso-position-horizontal-relative:page;mso-position-vertical-relative:page;z-index:-229084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18</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56pt;margin-top:801.396667pt;width:14pt;height:10.9pt;mso-position-horizontal-relative:page;mso-position-vertical-relative:page;z-index:-2290790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22</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290739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56pt;margin-top:801.396667pt;width:12.25pt;height:10.9pt;mso-position-horizontal-relative:page;mso-position-vertical-relative:page;z-index:-22923776"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3pt;height:10.9pt;mso-position-horizontal-relative:page;mso-position-vertical-relative:page;z-index:-22905344" type="#_x0000_t202" filled="false" stroked="false">
          <v:textbox inset="0,0,0,0">
            <w:txbxContent>
              <w:p>
                <w:pPr>
                  <w:spacing w:before="13"/>
                  <w:ind w:left="65" w:right="0" w:firstLine="0"/>
                  <w:jc w:val="left"/>
                  <w:rPr>
                    <w:sz w:val="16"/>
                  </w:rPr>
                </w:pPr>
                <w:r>
                  <w:rPr/>
                  <w:fldChar w:fldCharType="begin"/>
                </w:r>
                <w:r>
                  <w:rPr>
                    <w:sz w:val="16"/>
                  </w:rPr>
                  <w:instrText> PAGE </w:instrText>
                </w:r>
                <w:r>
                  <w:rPr/>
                  <w:fldChar w:fldCharType="separate"/>
                </w:r>
                <w:r>
                  <w:rPr/>
                  <w:t>24</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290483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25</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290278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26</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290227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27</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290176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37</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56pt;margin-top:801.396667pt;width:14pt;height:10.9pt;mso-position-horizontal-relative:page;mso-position-vertical-relative:page;z-index:-2290124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38</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289920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39</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56pt;margin-top:801.396667pt;width:14pt;height:10.9pt;mso-position-horizontal-relative:page;mso-position-vertical-relative:page;z-index:-2289868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40</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3pt;height:10.9pt;mso-position-horizontal-relative:page;mso-position-vertical-relative:page;z-index:-2289817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45</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289766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46</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56pt;margin-top:801.396667pt;width:12.25pt;height:10.9pt;mso-position-horizontal-relative:page;mso-position-vertical-relative:page;z-index:-22922240" type="#_x0000_t202" filled="false" stroked="false">
          <v:textbox inset="0,0,0,0">
            <w:txbxContent>
              <w:p>
                <w:pPr>
                  <w:spacing w:before="13"/>
                  <w:ind w:left="60" w:right="0" w:firstLine="0"/>
                  <w:jc w:val="left"/>
                  <w:rPr>
                    <w:sz w:val="16"/>
                  </w:rPr>
                </w:pPr>
                <w:r>
                  <w:rPr/>
                  <w:fldChar w:fldCharType="begin"/>
                </w:r>
                <w:r>
                  <w:rPr>
                    <w:sz w:val="16"/>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289612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48</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pt;height:10.9pt;mso-position-horizontal-relative:page;mso-position-vertical-relative:page;z-index:-228956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49</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289356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50</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28930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51</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288998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64</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288947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65</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288691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66</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288640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67</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2883840"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68</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288332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69</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3.901978pt;margin-top:800.396667pt;width:14.3pt;height:11.6pt;mso-position-horizontal-relative:page;mso-position-vertical-relative:page;z-index:-228828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71</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2882304"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72</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4pt;height:10.9pt;mso-position-horizontal-relative:page;mso-position-vertical-relative:page;z-index:-2288076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74</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pt;margin-top:801.136719pt;width:14pt;height:10.9pt;mso-position-horizontal-relative:page;mso-position-vertical-relative:page;z-index:-228802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75</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0.276001pt;margin-top:801.136719pt;width:18pt;height:10.9pt;mso-position-horizontal-relative:page;mso-position-vertical-relative:page;z-index:-2287820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101</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136719pt;width:18pt;height:10.9pt;mso-position-horizontal-relative:page;mso-position-vertical-relative:page;z-index:-2287769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100</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7.901978pt;margin-top:800.396667pt;width:10pt;height:10.9pt;mso-position-horizontal-relative:page;mso-position-vertical-relative:page;z-index:-2292172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0pt;height:10.9pt;mso-position-horizontal-relative:page;mso-position-vertical-relative:page;z-index:-2292121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4</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4.177002pt;margin-top:800.396667pt;width:14pt;height:10.9pt;mso-position-horizontal-relative:page;mso-position-vertical-relative:page;z-index:-22919168"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11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801.396667pt;width:10pt;height:10.9pt;mso-position-horizontal-relative:page;mso-position-vertical-relative:page;z-index:-22918656"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6</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9999pt;margin-top:29.463093pt;width:520pt;height:10.9pt;mso-position-horizontal-relative:page;mso-position-vertical-relative:page;z-index:-22923264" type="#_x0000_t202" filled="false" stroked="false">
          <v:textbox inset="0,0,0,0">
            <w:txbxContent>
              <w:p>
                <w:pPr>
                  <w:tabs>
                    <w:tab w:pos="10379" w:val="left" w:leader="none"/>
                  </w:tabs>
                  <w:spacing w:before="13"/>
                  <w:ind w:left="20" w:right="0" w:firstLine="0"/>
                  <w:jc w:val="left"/>
                  <w:rPr>
                    <w:sz w:val="16"/>
                  </w:rPr>
                </w:pPr>
                <w:r>
                  <w:rPr>
                    <w:spacing w:val="-21"/>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917120" from="39.279999pt,40pt" to="556.779999pt,40pt" stroked="true" strokeweight=".125pt" strokecolor="#000000">
          <v:stroke dashstyle="solid"/>
          <w10:wrap type="none"/>
        </v:line>
      </w:pict>
    </w:r>
    <w:r>
      <w:rPr/>
      <w:pict>
        <v:shape style="position:absolute;margin-left:461.993011pt;margin-top:29.462093pt;width:95.05pt;height:10.9pt;mso-position-horizontal-relative:page;mso-position-vertical-relative:page;z-index:-22916608"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916096"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915584" from="39.279999pt,40pt" to="556.779999pt,40pt" stroked="true" strokeweight=".125pt" strokecolor="#000000">
          <v:stroke dashstyle="solid"/>
          <w10:wrap type="none"/>
        </v:line>
      </w:pict>
    </w:r>
    <w:r>
      <w:rPr/>
      <w:pict>
        <v:shape style="position:absolute;margin-left:461.993011pt;margin-top:29.462093pt;width:95.05pt;height:10.9pt;mso-position-horizontal-relative:page;mso-position-vertical-relative:page;z-index:-22915072"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9999pt;margin-top:29.463093pt;width:520pt;height:10.9pt;mso-position-horizontal-relative:page;mso-position-vertical-relative:page;z-index:-22912512" type="#_x0000_t202" filled="false" stroked="false">
          <v:textbox inset="0,0,0,0">
            <w:txbxContent>
              <w:p>
                <w:pPr>
                  <w:tabs>
                    <w:tab w:pos="10379" w:val="left" w:leader="none"/>
                  </w:tabs>
                  <w:spacing w:before="13"/>
                  <w:ind w:left="20" w:right="0" w:firstLine="0"/>
                  <w:jc w:val="left"/>
                  <w:rPr>
                    <w:sz w:val="16"/>
                  </w:rPr>
                </w:pPr>
                <w:r>
                  <w:rPr>
                    <w:spacing w:val="-21"/>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1.222992pt;margin-top:29.462093pt;width:65.6pt;height:10.9pt;mso-position-horizontal-relative:page;mso-position-vertical-relative:page;z-index:-22912000"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910464" from="39pt,40pt" to="556.5pt,40pt" stroked="true" strokeweight=".125pt" strokecolor="#000000">
          <v:stroke dashstyle="solid"/>
          <w10:wrap type="none"/>
        </v:line>
      </w:pict>
    </w:r>
    <w:r>
      <w:rPr/>
      <w:pict>
        <v:shape style="position:absolute;margin-left:491.222992pt;margin-top:29.462093pt;width:65.6pt;height:10.9pt;mso-position-horizontal-relative:page;mso-position-vertical-relative:page;z-index:-22909952"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9999pt;margin-top:29.463093pt;width:520pt;height:10.9pt;mso-position-horizontal-relative:page;mso-position-vertical-relative:page;z-index:-22909440" type="#_x0000_t202" filled="false" stroked="false">
          <v:textbox inset="0,0,0,0">
            <w:txbxContent>
              <w:p>
                <w:pPr>
                  <w:tabs>
                    <w:tab w:pos="10379" w:val="left" w:leader="none"/>
                  </w:tabs>
                  <w:spacing w:before="13"/>
                  <w:ind w:left="20" w:right="0" w:firstLine="0"/>
                  <w:jc w:val="left"/>
                  <w:rPr>
                    <w:sz w:val="16"/>
                  </w:rPr>
                </w:pPr>
                <w:r>
                  <w:rPr>
                    <w:spacing w:val="-21"/>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906880" from="39pt,40pt" to="556.5pt,40pt" stroked="true" strokeweight=".125pt" strokecolor="#000000">
          <v:stroke dashstyle="solid"/>
          <w10:wrap type="none"/>
        </v:line>
      </w:pict>
    </w:r>
    <w:r>
      <w:rPr/>
      <w:pict>
        <v:shape style="position:absolute;margin-left:491.222992pt;margin-top:29.462093pt;width:65.6pt;height:10.9pt;mso-position-horizontal-relative:page;mso-position-vertical-relative:page;z-index:-22906368" type="#_x0000_t202" filled="false" stroked="false">
          <v:textbox inset="0,0,0,0">
            <w:txbxContent>
              <w:p>
                <w:pPr>
                  <w:spacing w:before="13"/>
                  <w:ind w:left="20" w:right="0" w:firstLine="0"/>
                  <w:jc w:val="left"/>
                  <w:rPr>
                    <w:i/>
                    <w:sz w:val="16"/>
                  </w:rPr>
                </w:pPr>
                <w:r>
                  <w:rPr>
                    <w:i/>
                    <w:sz w:val="16"/>
                  </w:rPr>
                  <w:t>Demand and output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9999pt;margin-top:29.463093pt;width:520pt;height:10.9pt;mso-position-horizontal-relative:page;mso-position-vertical-relative:page;z-index:-22905856" type="#_x0000_t202" filled="false" stroked="false">
          <v:textbox inset="0,0,0,0">
            <w:txbxContent>
              <w:p>
                <w:pPr>
                  <w:tabs>
                    <w:tab w:pos="10379" w:val="left" w:leader="none"/>
                  </w:tabs>
                  <w:spacing w:before="13"/>
                  <w:ind w:left="20" w:right="0" w:firstLine="0"/>
                  <w:jc w:val="left"/>
                  <w:rPr>
                    <w:sz w:val="16"/>
                  </w:rPr>
                </w:pPr>
                <w:r>
                  <w:rPr>
                    <w:spacing w:val="-21"/>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904320"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903808" from="39.279999pt,40pt" to="556.779999pt,40pt" stroked="true" strokeweight=".125pt" strokecolor="#000000">
          <v:stroke dashstyle="solid"/>
          <w10:wrap type="none"/>
        </v:line>
      </w:pict>
    </w:r>
    <w:r>
      <w:rPr/>
      <w:pict>
        <v:shape style="position:absolute;margin-left:495.580994pt;margin-top:29.462093pt;width:61.5pt;height:10.9pt;mso-position-horizontal-relative:page;mso-position-vertical-relative:page;z-index:-22903296" type="#_x0000_t202" filled="false" stroked="false">
          <v:textbox inset="0,0,0,0">
            <w:txbxContent>
              <w:p>
                <w:pPr>
                  <w:spacing w:before="13"/>
                  <w:ind w:left="20" w:right="0" w:firstLine="0"/>
                  <w:jc w:val="left"/>
                  <w:rPr>
                    <w:i/>
                    <w:sz w:val="16"/>
                  </w:rPr>
                </w:pPr>
                <w:r>
                  <w:rPr>
                    <w:i/>
                    <w:sz w:val="16"/>
                  </w:rPr>
                  <w:t>The labour market</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9999pt;margin-top:29.463093pt;width:520pt;height:10.9pt;mso-position-horizontal-relative:page;mso-position-vertical-relative:page;z-index:-22900736" type="#_x0000_t202" filled="false" stroked="false">
          <v:textbox inset="0,0,0,0">
            <w:txbxContent>
              <w:p>
                <w:pPr>
                  <w:tabs>
                    <w:tab w:pos="10379" w:val="left" w:leader="none"/>
                  </w:tabs>
                  <w:spacing w:before="13"/>
                  <w:ind w:left="20" w:right="0" w:firstLine="0"/>
                  <w:jc w:val="left"/>
                  <w:rPr>
                    <w:sz w:val="16"/>
                  </w:rPr>
                </w:pPr>
                <w:r>
                  <w:rPr>
                    <w:spacing w:val="-21"/>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900224" from="39pt,40pt" to="556.5pt,40pt" stroked="true" strokeweight=".125pt" strokecolor="#000000">
          <v:stroke dashstyle="solid"/>
          <w10:wrap type="none"/>
        </v:line>
      </w:pict>
    </w:r>
    <w:r>
      <w:rPr/>
      <w:pict>
        <v:shape style="position:absolute;margin-left:501.441986pt;margin-top:29.462093pt;width:55.35pt;height:10.9pt;mso-position-horizontal-relative:page;mso-position-vertical-relative:page;z-index:-22899712" type="#_x0000_t202" filled="false" stroked="false">
          <v:textbox inset="0,0,0,0">
            <w:txbxContent>
              <w:p>
                <w:pPr>
                  <w:spacing w:before="13"/>
                  <w:ind w:left="20" w:right="0" w:firstLine="0"/>
                  <w:jc w:val="left"/>
                  <w:rPr>
                    <w:i/>
                    <w:sz w:val="16"/>
                  </w:rPr>
                </w:pPr>
                <w:r>
                  <w:rPr>
                    <w:i/>
                    <w:sz w:val="16"/>
                  </w:rPr>
                  <w:t>Costs and prices</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897152"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279999pt;margin-top:29.463093pt;width:520pt;height:10.9pt;mso-position-horizontal-relative:page;mso-position-vertical-relative:page;z-index:-22922752" type="#_x0000_t202" filled="false" stroked="false">
          <v:textbox inset="0,0,0,0">
            <w:txbxContent>
              <w:p>
                <w:pPr>
                  <w:tabs>
                    <w:tab w:pos="10379" w:val="left" w:leader="none"/>
                  </w:tabs>
                  <w:spacing w:before="13"/>
                  <w:ind w:left="20" w:right="0" w:firstLine="0"/>
                  <w:jc w:val="left"/>
                  <w:rPr>
                    <w:sz w:val="16"/>
                  </w:rPr>
                </w:pPr>
                <w:r>
                  <w:rPr>
                    <w:spacing w:val="-21"/>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896640"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895104"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94592" from="39.279999pt,40pt" to="556.779999pt,40pt" stroked="true" strokeweight=".125pt" strokecolor="#000000">
          <v:stroke dashstyle="solid"/>
          <w10:wrap type="none"/>
        </v:line>
      </w:pict>
    </w:r>
    <w:r>
      <w:rPr/>
      <w:pict>
        <v:shape style="position:absolute;margin-left:483.412994pt;margin-top:29.462093pt;width:73.650pt;height:10.9pt;mso-position-horizontal-relative:page;mso-position-vertical-relative:page;z-index:-22894080" type="#_x0000_t202" filled="false" stroked="false">
          <v:textbox inset="0,0,0,0">
            <w:txbxContent>
              <w:p>
                <w:pPr>
                  <w:spacing w:before="13"/>
                  <w:ind w:left="20" w:right="0" w:firstLine="0"/>
                  <w:jc w:val="left"/>
                  <w:rPr>
                    <w:i/>
                    <w:sz w:val="16"/>
                  </w:rPr>
                </w:pPr>
                <w:r>
                  <w:rPr>
                    <w:i/>
                    <w:sz w:val="16"/>
                  </w:rPr>
                  <w:t>Prospects for inflation</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892544"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r>
      <w:rPr/>
      <w:pict>
        <v:shape style="position:absolute;margin-left:40.2057pt;margin-top:62.823868pt;width:44.55pt;height:13.1pt;mso-position-horizontal-relative:page;mso-position-vertical-relative:page;z-index:-22892032" type="#_x0000_t202" filled="false" stroked="false">
          <v:textbox inset="0,0,0,0">
            <w:txbxContent>
              <w:p>
                <w:pPr>
                  <w:spacing w:before="11"/>
                  <w:ind w:left="20" w:right="0" w:firstLine="0"/>
                  <w:jc w:val="left"/>
                  <w:rPr>
                    <w:b/>
                    <w:sz w:val="20"/>
                  </w:rPr>
                </w:pPr>
                <w:r>
                  <w:rPr>
                    <w:b/>
                    <w:color w:val="0092C7"/>
                    <w:sz w:val="20"/>
                  </w:rPr>
                  <w:t>Chart 6.</w:t>
                </w:r>
                <w:r>
                  <w:rPr/>
                  <w:fldChar w:fldCharType="begin"/>
                </w:r>
                <w:r>
                  <w:rPr>
                    <w:b/>
                    <w:color w:val="0092C7"/>
                    <w:sz w:val="20"/>
                  </w:rPr>
                  <w:instrText> PAGE </w:instrText>
                </w:r>
                <w:r>
                  <w:rPr/>
                  <w:fldChar w:fldCharType="separate"/>
                </w:r>
                <w:r>
                  <w:rPr/>
                  <w:t>2</w:t>
                </w:r>
                <w:r>
                  <w:rPr/>
                  <w:fldChar w:fldCharType="end"/>
                </w:r>
              </w:p>
            </w:txbxContent>
          </v:textbox>
          <w10:wrap type="none"/>
        </v:shape>
      </w:pict>
    </w:r>
    <w:r>
      <w:rPr/>
      <w:pict>
        <v:shape style="position:absolute;margin-left:280.203003pt;margin-top:62.826866pt;width:42.55pt;height:13.1pt;mso-position-horizontal-relative:page;mso-position-vertical-relative:page;z-index:-22891520" type="#_x0000_t202" filled="false" stroked="false">
          <v:textbox inset="0,0,0,0">
            <w:txbxContent>
              <w:p>
                <w:pPr>
                  <w:spacing w:before="11"/>
                  <w:ind w:left="20" w:right="0" w:firstLine="0"/>
                  <w:jc w:val="left"/>
                  <w:rPr>
                    <w:b/>
                    <w:sz w:val="20"/>
                  </w:rPr>
                </w:pPr>
                <w:r>
                  <w:rPr>
                    <w:b/>
                    <w:color w:val="0092C7"/>
                    <w:sz w:val="20"/>
                  </w:rPr>
                  <w:t>Chart 6.3</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91008" from="39.279999pt,40pt" to="556.779999pt,40pt" stroked="true" strokeweight=".125pt" strokecolor="#000000">
          <v:stroke dashstyle="solid"/>
          <w10:wrap type="none"/>
        </v:line>
      </w:pict>
    </w:r>
    <w:r>
      <w:rPr/>
      <w:pict>
        <v:shape style="position:absolute;margin-left:483.412994pt;margin-top:29.462093pt;width:73.650pt;height:10.9pt;mso-position-horizontal-relative:page;mso-position-vertical-relative:page;z-index:-22890496" type="#_x0000_t202" filled="false" stroked="false">
          <v:textbox inset="0,0,0,0">
            <w:txbxContent>
              <w:p>
                <w:pPr>
                  <w:spacing w:before="13"/>
                  <w:ind w:left="20" w:right="0" w:firstLine="0"/>
                  <w:jc w:val="left"/>
                  <w:rPr>
                    <w:i/>
                    <w:sz w:val="16"/>
                  </w:rPr>
                </w:pPr>
                <w:r>
                  <w:rPr>
                    <w:i/>
                    <w:sz w:val="16"/>
                  </w:rPr>
                  <w:t>Prospects for inflation</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888960"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r>
      <w:rPr/>
      <w:pict>
        <v:shape style="position:absolute;margin-left:40.2061pt;margin-top:62.577866pt;width:44.55pt;height:13.1pt;mso-position-horizontal-relative:page;mso-position-vertical-relative:page;z-index:-22888448" type="#_x0000_t202" filled="false" stroked="false">
          <v:textbox inset="0,0,0,0">
            <w:txbxContent>
              <w:p>
                <w:pPr>
                  <w:spacing w:before="11"/>
                  <w:ind w:left="20" w:right="0" w:firstLine="0"/>
                  <w:jc w:val="left"/>
                  <w:rPr>
                    <w:b/>
                    <w:sz w:val="20"/>
                  </w:rPr>
                </w:pPr>
                <w:r>
                  <w:rPr>
                    <w:b/>
                    <w:color w:val="0092C7"/>
                    <w:sz w:val="20"/>
                  </w:rPr>
                  <w:t>Chart 6.</w:t>
                </w:r>
                <w:r>
                  <w:rPr/>
                  <w:fldChar w:fldCharType="begin"/>
                </w:r>
                <w:r>
                  <w:rPr>
                    <w:b/>
                    <w:color w:val="0092C7"/>
                    <w:sz w:val="20"/>
                  </w:rPr>
                  <w:instrText> PAGE </w:instrText>
                </w:r>
                <w:r>
                  <w:rPr/>
                  <w:fldChar w:fldCharType="separate"/>
                </w:r>
                <w:r>
                  <w:rPr/>
                  <w:t>4</w:t>
                </w:r>
                <w:r>
                  <w:rPr/>
                  <w:fldChar w:fldCharType="end"/>
                </w:r>
              </w:p>
            </w:txbxContent>
          </v:textbox>
          <w10:wrap type="none"/>
        </v:shape>
      </w:pict>
    </w:r>
    <w:r>
      <w:rPr/>
      <w:pict>
        <v:shape style="position:absolute;margin-left:280.223999pt;margin-top:62.577866pt;width:42.55pt;height:13.1pt;mso-position-horizontal-relative:page;mso-position-vertical-relative:page;z-index:-22887936" type="#_x0000_t202" filled="false" stroked="false">
          <v:textbox inset="0,0,0,0">
            <w:txbxContent>
              <w:p>
                <w:pPr>
                  <w:spacing w:before="11"/>
                  <w:ind w:left="20" w:right="0" w:firstLine="0"/>
                  <w:jc w:val="left"/>
                  <w:rPr>
                    <w:b/>
                    <w:sz w:val="20"/>
                  </w:rPr>
                </w:pPr>
                <w:r>
                  <w:rPr>
                    <w:b/>
                    <w:color w:val="0092C7"/>
                    <w:sz w:val="20"/>
                  </w:rPr>
                  <w:t>Chart 6.5</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3.412994pt;margin-top:29.462093pt;width:73.650pt;height:10.9pt;mso-position-horizontal-relative:page;mso-position-vertical-relative:page;z-index:-22887424" type="#_x0000_t202" filled="false" stroked="false">
          <v:textbox inset="0,0,0,0">
            <w:txbxContent>
              <w:p>
                <w:pPr>
                  <w:spacing w:before="13"/>
                  <w:ind w:left="20" w:right="0" w:firstLine="0"/>
                  <w:jc w:val="left"/>
                  <w:rPr>
                    <w:i/>
                    <w:sz w:val="16"/>
                  </w:rPr>
                </w:pPr>
                <w:r>
                  <w:rPr>
                    <w:i/>
                    <w:sz w:val="16"/>
                  </w:rPr>
                  <w:t>Prospects for inflation</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885888"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r>
      <w:rPr/>
      <w:pict>
        <v:shape style="position:absolute;margin-left:39.7244pt;margin-top:62.582867pt;width:42.55pt;height:13.1pt;mso-position-horizontal-relative:page;mso-position-vertical-relative:page;z-index:-22885376" type="#_x0000_t202" filled="false" stroked="false">
          <v:textbox inset="0,0,0,0">
            <w:txbxContent>
              <w:p>
                <w:pPr>
                  <w:spacing w:before="11"/>
                  <w:ind w:left="20" w:right="0" w:firstLine="0"/>
                  <w:jc w:val="left"/>
                  <w:rPr>
                    <w:b/>
                    <w:sz w:val="20"/>
                  </w:rPr>
                </w:pPr>
                <w:r>
                  <w:rPr>
                    <w:b/>
                    <w:color w:val="0092C7"/>
                    <w:sz w:val="20"/>
                  </w:rPr>
                  <w:t>Chart 6.6</w:t>
                </w:r>
              </w:p>
            </w:txbxContent>
          </v:textbox>
          <w10:wrap type="none"/>
        </v:shape>
      </w:pict>
    </w:r>
    <w:r>
      <w:rPr/>
      <w:pict>
        <v:shape style="position:absolute;margin-left:279.727997pt;margin-top:62.582867pt;width:42.55pt;height:13.1pt;mso-position-horizontal-relative:page;mso-position-vertical-relative:page;z-index:-22884864" type="#_x0000_t202" filled="false" stroked="false">
          <v:textbox inset="0,0,0,0">
            <w:txbxContent>
              <w:p>
                <w:pPr>
                  <w:spacing w:before="11"/>
                  <w:ind w:left="20" w:right="0" w:firstLine="0"/>
                  <w:jc w:val="left"/>
                  <w:rPr>
                    <w:b/>
                    <w:sz w:val="20"/>
                  </w:rPr>
                </w:pPr>
                <w:r>
                  <w:rPr>
                    <w:b/>
                    <w:color w:val="0092C7"/>
                    <w:sz w:val="20"/>
                  </w:rPr>
                  <w:t>Chart 6.7</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3.412994pt;margin-top:29.462093pt;width:73.650pt;height:10.9pt;mso-position-horizontal-relative:page;mso-position-vertical-relative:page;z-index:-22884352" type="#_x0000_t202" filled="false" stroked="false">
          <v:textbox inset="0,0,0,0">
            <w:txbxContent>
              <w:p>
                <w:pPr>
                  <w:spacing w:before="13"/>
                  <w:ind w:left="20" w:right="0" w:firstLine="0"/>
                  <w:jc w:val="left"/>
                  <w:rPr>
                    <w:i/>
                    <w:sz w:val="16"/>
                  </w:rPr>
                </w:pPr>
                <w:r>
                  <w:rPr>
                    <w:i/>
                    <w:sz w:val="16"/>
                  </w:rPr>
                  <w:t>Prospects for inflation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881792"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881280"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879744" from="39.279999pt,38pt" to="556.279999pt,38pt" stroked="true" strokeweight=".125pt" strokecolor="#000000">
          <v:stroke dashstyle="solid"/>
          <w10:wrap type="none"/>
        </v:line>
      </w:pict>
    </w:r>
    <w:r>
      <w:rPr/>
      <w:pict>
        <v:shape style="position:absolute;margin-left:464.088013pt;margin-top:28.463093pt;width:92.2pt;height:10.9pt;mso-position-horizontal-relative:page;mso-position-vertical-relative:page;z-index:-22879232" type="#_x0000_t202" filled="false" stroked="false">
          <v:textbox inset="0,0,0,0">
            <w:txbxContent>
              <w:p>
                <w:pPr>
                  <w:spacing w:before="13"/>
                  <w:ind w:left="20" w:right="0" w:firstLine="0"/>
                  <w:jc w:val="left"/>
                  <w:rPr>
                    <w:i/>
                    <w:sz w:val="16"/>
                  </w:rPr>
                </w:pPr>
                <w:r>
                  <w:rPr>
                    <w:i/>
                    <w:sz w:val="16"/>
                  </w:rPr>
                  <w:t>Monetary Policy Committee</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8.463093pt;width:519pt;height:10.9pt;mso-position-horizontal-relative:page;mso-position-vertical-relative:page;z-index:-22878720" type="#_x0000_t202" filled="false" stroked="false">
          <v:textbox inset="0,0,0,0">
            <w:txbxContent>
              <w:p>
                <w:pPr>
                  <w:tabs>
                    <w:tab w:pos="10359" w:val="left" w:leader="none"/>
                  </w:tabs>
                  <w:spacing w:before="13"/>
                  <w:ind w:left="20" w:right="0" w:firstLine="0"/>
                  <w:jc w:val="left"/>
                  <w:rPr>
                    <w:sz w:val="16"/>
                  </w:rPr>
                </w:pPr>
                <w:r>
                  <w:rPr>
                    <w:spacing w:val="-20"/>
                    <w:sz w:val="16"/>
                    <w:u w:val="single"/>
                  </w:rPr>
                  <w:t> </w:t>
                </w:r>
                <w:r>
                  <w:rPr>
                    <w:sz w:val="16"/>
                    <w:u w:val="single"/>
                  </w:rPr>
                  <w:t>Inflation Report:  November</w:t>
                </w:r>
                <w:r>
                  <w:rPr>
                    <w:spacing w:val="-27"/>
                    <w:sz w:val="16"/>
                    <w:u w:val="single"/>
                  </w:rPr>
                  <w:t> </w:t>
                </w:r>
                <w:r>
                  <w:rPr>
                    <w:sz w:val="16"/>
                    <w:u w:val="single"/>
                  </w:rPr>
                  <w:t>2000</w:t>
                  <w:tab/>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8pt;margin-top:29.463093pt;width:520pt;height:10.9pt;mso-position-horizontal-relative:page;mso-position-vertical-relative:page;z-index:-22920704"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920192" from="39.279999pt,40pt" to="556.779999pt,40pt" stroked="true" strokeweight=".125pt" strokecolor="#000000">
          <v:stroke dashstyle="solid"/>
          <w10:wrap type="none"/>
        </v:line>
      </w:pict>
    </w:r>
    <w:r>
      <w:rPr/>
      <w:pict>
        <v:shape style="position:absolute;margin-left:461.993011pt;margin-top:29.462093pt;width:95.05pt;height:10.9pt;mso-position-horizontal-relative:page;mso-position-vertical-relative:page;z-index:-22919680" type="#_x0000_t202" filled="false" stroked="false">
          <v:textbox inset="0,0,0,0">
            <w:txbxContent>
              <w:p>
                <w:pPr>
                  <w:spacing w:before="13"/>
                  <w:ind w:left="20" w:right="0" w:firstLine="0"/>
                  <w:jc w:val="left"/>
                  <w:rPr>
                    <w:i/>
                    <w:sz w:val="16"/>
                  </w:rPr>
                </w:pPr>
                <w:r>
                  <w:rPr>
                    <w:i/>
                    <w:sz w:val="16"/>
                  </w:rPr>
                  <w:t>Money and financial markets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2918144" from="194.001007pt,100.834pt" to="198.333007pt,100.834pt" stroked="true" strokeweight=".5pt" strokecolor="#000000">
          <v:stroke dashstyle="solid"/>
          <w10:wrap type="none"/>
        </v:line>
      </w:pict>
    </w:r>
    <w:r>
      <w:rPr/>
      <w:pict>
        <v:shape style="position:absolute;margin-left:38pt;margin-top:29.463093pt;width:520pt;height:10.9pt;mso-position-horizontal-relative:page;mso-position-vertical-relative:page;z-index:-22917632" type="#_x0000_t202" filled="false" stroked="false">
          <v:textbox inset="0,0,0,0">
            <w:txbxContent>
              <w:p>
                <w:pPr>
                  <w:tabs>
                    <w:tab w:pos="10379" w:val="left" w:leader="none"/>
                  </w:tabs>
                  <w:spacing w:before="13"/>
                  <w:ind w:left="20" w:right="0" w:firstLine="0"/>
                  <w:jc w:val="left"/>
                  <w:rPr>
                    <w:sz w:val="16"/>
                  </w:rPr>
                </w:pPr>
                <w:r>
                  <w:rPr>
                    <w:spacing w:val="-20"/>
                    <w:sz w:val="16"/>
                    <w:u w:val="single"/>
                  </w:rPr>
                  <w:t> </w:t>
                </w:r>
                <w:r>
                  <w:rPr>
                    <w:sz w:val="16"/>
                    <w:u w:val="single"/>
                  </w:rPr>
                  <w:t>Inflation Report:  November</w:t>
                </w:r>
                <w:r>
                  <w:rPr>
                    <w:spacing w:val="-30"/>
                    <w:sz w:val="16"/>
                    <w:u w:val="single"/>
                  </w:rPr>
                  <w:t> </w:t>
                </w:r>
                <w:r>
                  <w:rPr>
                    <w:sz w:val="16"/>
                    <w:u w:val="single"/>
                  </w:rPr>
                  <w:t>2000</w:t>
                  <w:tab/>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lowerLetter"/>
      <w:lvlText w:val="(%1)"/>
      <w:lvlJc w:val="left"/>
      <w:pPr>
        <w:ind w:left="680"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680" w:hanging="241"/>
        <w:jc w:val="left"/>
      </w:pPr>
      <w:rPr>
        <w:rFonts w:hint="default" w:ascii="Times New Roman" w:hAnsi="Times New Roman" w:eastAsia="Times New Roman" w:cs="Times New Roman"/>
        <w:spacing w:val="-7"/>
        <w:w w:val="100"/>
        <w:sz w:val="12"/>
        <w:szCs w:val="12"/>
        <w:lang w:val="en-US" w:eastAsia="en-US" w:bidi="ar-SA"/>
      </w:rPr>
    </w:lvl>
    <w:lvl w:ilvl="2">
      <w:start w:val="0"/>
      <w:numFmt w:val="bullet"/>
      <w:lvlText w:val="•"/>
      <w:lvlJc w:val="left"/>
      <w:pPr>
        <w:ind w:left="1155" w:hanging="241"/>
      </w:pPr>
      <w:rPr>
        <w:rFonts w:hint="default"/>
        <w:lang w:val="en-US" w:eastAsia="en-US" w:bidi="ar-SA"/>
      </w:rPr>
    </w:lvl>
    <w:lvl w:ilvl="3">
      <w:start w:val="0"/>
      <w:numFmt w:val="bullet"/>
      <w:lvlText w:val="•"/>
      <w:lvlJc w:val="left"/>
      <w:pPr>
        <w:ind w:left="1393" w:hanging="241"/>
      </w:pPr>
      <w:rPr>
        <w:rFonts w:hint="default"/>
        <w:lang w:val="en-US" w:eastAsia="en-US" w:bidi="ar-SA"/>
      </w:rPr>
    </w:lvl>
    <w:lvl w:ilvl="4">
      <w:start w:val="0"/>
      <w:numFmt w:val="bullet"/>
      <w:lvlText w:val="•"/>
      <w:lvlJc w:val="left"/>
      <w:pPr>
        <w:ind w:left="1631" w:hanging="241"/>
      </w:pPr>
      <w:rPr>
        <w:rFonts w:hint="default"/>
        <w:lang w:val="en-US" w:eastAsia="en-US" w:bidi="ar-SA"/>
      </w:rPr>
    </w:lvl>
    <w:lvl w:ilvl="5">
      <w:start w:val="0"/>
      <w:numFmt w:val="bullet"/>
      <w:lvlText w:val="•"/>
      <w:lvlJc w:val="left"/>
      <w:pPr>
        <w:ind w:left="1869" w:hanging="241"/>
      </w:pPr>
      <w:rPr>
        <w:rFonts w:hint="default"/>
        <w:lang w:val="en-US" w:eastAsia="en-US" w:bidi="ar-SA"/>
      </w:rPr>
    </w:lvl>
    <w:lvl w:ilvl="6">
      <w:start w:val="0"/>
      <w:numFmt w:val="bullet"/>
      <w:lvlText w:val="•"/>
      <w:lvlJc w:val="left"/>
      <w:pPr>
        <w:ind w:left="2107" w:hanging="241"/>
      </w:pPr>
      <w:rPr>
        <w:rFonts w:hint="default"/>
        <w:lang w:val="en-US" w:eastAsia="en-US" w:bidi="ar-SA"/>
      </w:rPr>
    </w:lvl>
    <w:lvl w:ilvl="7">
      <w:start w:val="0"/>
      <w:numFmt w:val="bullet"/>
      <w:lvlText w:val="•"/>
      <w:lvlJc w:val="left"/>
      <w:pPr>
        <w:ind w:left="2345" w:hanging="241"/>
      </w:pPr>
      <w:rPr>
        <w:rFonts w:hint="default"/>
        <w:lang w:val="en-US" w:eastAsia="en-US" w:bidi="ar-SA"/>
      </w:rPr>
    </w:lvl>
    <w:lvl w:ilvl="8">
      <w:start w:val="0"/>
      <w:numFmt w:val="bullet"/>
      <w:lvlText w:val="•"/>
      <w:lvlJc w:val="left"/>
      <w:pPr>
        <w:ind w:left="2582" w:hanging="241"/>
      </w:pPr>
      <w:rPr>
        <w:rFonts w:hint="default"/>
        <w:lang w:val="en-US" w:eastAsia="en-US" w:bidi="ar-SA"/>
      </w:rPr>
    </w:lvl>
  </w:abstractNum>
  <w:abstractNum w:abstractNumId="56">
    <w:multiLevelType w:val="hybridMultilevel"/>
    <w:lvl w:ilvl="0">
      <w:start w:val="17"/>
      <w:numFmt w:val="decimal"/>
      <w:lvlText w:val="%1"/>
      <w:lvlJc w:val="left"/>
      <w:pPr>
        <w:ind w:left="16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54" w:hanging="480"/>
      </w:pPr>
      <w:rPr>
        <w:rFonts w:hint="default"/>
        <w:lang w:val="en-US" w:eastAsia="en-US" w:bidi="ar-SA"/>
      </w:rPr>
    </w:lvl>
    <w:lvl w:ilvl="2">
      <w:start w:val="0"/>
      <w:numFmt w:val="bullet"/>
      <w:lvlText w:val="•"/>
      <w:lvlJc w:val="left"/>
      <w:pPr>
        <w:ind w:left="1148" w:hanging="480"/>
      </w:pPr>
      <w:rPr>
        <w:rFonts w:hint="default"/>
        <w:lang w:val="en-US" w:eastAsia="en-US" w:bidi="ar-SA"/>
      </w:rPr>
    </w:lvl>
    <w:lvl w:ilvl="3">
      <w:start w:val="0"/>
      <w:numFmt w:val="bullet"/>
      <w:lvlText w:val="•"/>
      <w:lvlJc w:val="left"/>
      <w:pPr>
        <w:ind w:left="1642" w:hanging="480"/>
      </w:pPr>
      <w:rPr>
        <w:rFonts w:hint="default"/>
        <w:lang w:val="en-US" w:eastAsia="en-US" w:bidi="ar-SA"/>
      </w:rPr>
    </w:lvl>
    <w:lvl w:ilvl="4">
      <w:start w:val="0"/>
      <w:numFmt w:val="bullet"/>
      <w:lvlText w:val="•"/>
      <w:lvlJc w:val="left"/>
      <w:pPr>
        <w:ind w:left="2137" w:hanging="480"/>
      </w:pPr>
      <w:rPr>
        <w:rFonts w:hint="default"/>
        <w:lang w:val="en-US" w:eastAsia="en-US" w:bidi="ar-SA"/>
      </w:rPr>
    </w:lvl>
    <w:lvl w:ilvl="5">
      <w:start w:val="0"/>
      <w:numFmt w:val="bullet"/>
      <w:lvlText w:val="•"/>
      <w:lvlJc w:val="left"/>
      <w:pPr>
        <w:ind w:left="2631" w:hanging="480"/>
      </w:pPr>
      <w:rPr>
        <w:rFonts w:hint="default"/>
        <w:lang w:val="en-US" w:eastAsia="en-US" w:bidi="ar-SA"/>
      </w:rPr>
    </w:lvl>
    <w:lvl w:ilvl="6">
      <w:start w:val="0"/>
      <w:numFmt w:val="bullet"/>
      <w:lvlText w:val="•"/>
      <w:lvlJc w:val="left"/>
      <w:pPr>
        <w:ind w:left="3125" w:hanging="480"/>
      </w:pPr>
      <w:rPr>
        <w:rFonts w:hint="default"/>
        <w:lang w:val="en-US" w:eastAsia="en-US" w:bidi="ar-SA"/>
      </w:rPr>
    </w:lvl>
    <w:lvl w:ilvl="7">
      <w:start w:val="0"/>
      <w:numFmt w:val="bullet"/>
      <w:lvlText w:val="•"/>
      <w:lvlJc w:val="left"/>
      <w:pPr>
        <w:ind w:left="3620" w:hanging="480"/>
      </w:pPr>
      <w:rPr>
        <w:rFonts w:hint="default"/>
        <w:lang w:val="en-US" w:eastAsia="en-US" w:bidi="ar-SA"/>
      </w:rPr>
    </w:lvl>
    <w:lvl w:ilvl="8">
      <w:start w:val="0"/>
      <w:numFmt w:val="bullet"/>
      <w:lvlText w:val="•"/>
      <w:lvlJc w:val="left"/>
      <w:pPr>
        <w:ind w:left="4114" w:hanging="480"/>
      </w:pPr>
      <w:rPr>
        <w:rFonts w:hint="default"/>
        <w:lang w:val="en-US" w:eastAsia="en-US" w:bidi="ar-SA"/>
      </w:rPr>
    </w:lvl>
  </w:abstractNum>
  <w:abstractNum w:abstractNumId="55">
    <w:multiLevelType w:val="hybridMultilevel"/>
    <w:lvl w:ilvl="0">
      <w:start w:val="1"/>
      <w:numFmt w:val="upperRoman"/>
      <w:lvlText w:val="%1"/>
      <w:lvlJc w:val="left"/>
      <w:pPr>
        <w:ind w:left="670"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25" w:hanging="481"/>
      </w:pPr>
      <w:rPr>
        <w:rFonts w:hint="default"/>
        <w:lang w:val="en-US" w:eastAsia="en-US" w:bidi="ar-SA"/>
      </w:rPr>
    </w:lvl>
    <w:lvl w:ilvl="2">
      <w:start w:val="0"/>
      <w:numFmt w:val="bullet"/>
      <w:lvlText w:val="•"/>
      <w:lvlJc w:val="left"/>
      <w:pPr>
        <w:ind w:left="1570" w:hanging="481"/>
      </w:pPr>
      <w:rPr>
        <w:rFonts w:hint="default"/>
        <w:lang w:val="en-US" w:eastAsia="en-US" w:bidi="ar-SA"/>
      </w:rPr>
    </w:lvl>
    <w:lvl w:ilvl="3">
      <w:start w:val="0"/>
      <w:numFmt w:val="bullet"/>
      <w:lvlText w:val="•"/>
      <w:lvlJc w:val="left"/>
      <w:pPr>
        <w:ind w:left="2015" w:hanging="481"/>
      </w:pPr>
      <w:rPr>
        <w:rFonts w:hint="default"/>
        <w:lang w:val="en-US" w:eastAsia="en-US" w:bidi="ar-SA"/>
      </w:rPr>
    </w:lvl>
    <w:lvl w:ilvl="4">
      <w:start w:val="0"/>
      <w:numFmt w:val="bullet"/>
      <w:lvlText w:val="•"/>
      <w:lvlJc w:val="left"/>
      <w:pPr>
        <w:ind w:left="2461" w:hanging="481"/>
      </w:pPr>
      <w:rPr>
        <w:rFonts w:hint="default"/>
        <w:lang w:val="en-US" w:eastAsia="en-US" w:bidi="ar-SA"/>
      </w:rPr>
    </w:lvl>
    <w:lvl w:ilvl="5">
      <w:start w:val="0"/>
      <w:numFmt w:val="bullet"/>
      <w:lvlText w:val="•"/>
      <w:lvlJc w:val="left"/>
      <w:pPr>
        <w:ind w:left="2906" w:hanging="481"/>
      </w:pPr>
      <w:rPr>
        <w:rFonts w:hint="default"/>
        <w:lang w:val="en-US" w:eastAsia="en-US" w:bidi="ar-SA"/>
      </w:rPr>
    </w:lvl>
    <w:lvl w:ilvl="6">
      <w:start w:val="0"/>
      <w:numFmt w:val="bullet"/>
      <w:lvlText w:val="•"/>
      <w:lvlJc w:val="left"/>
      <w:pPr>
        <w:ind w:left="3351" w:hanging="481"/>
      </w:pPr>
      <w:rPr>
        <w:rFonts w:hint="default"/>
        <w:lang w:val="en-US" w:eastAsia="en-US" w:bidi="ar-SA"/>
      </w:rPr>
    </w:lvl>
    <w:lvl w:ilvl="7">
      <w:start w:val="0"/>
      <w:numFmt w:val="bullet"/>
      <w:lvlText w:val="•"/>
      <w:lvlJc w:val="left"/>
      <w:pPr>
        <w:ind w:left="3796" w:hanging="481"/>
      </w:pPr>
      <w:rPr>
        <w:rFonts w:hint="default"/>
        <w:lang w:val="en-US" w:eastAsia="en-US" w:bidi="ar-SA"/>
      </w:rPr>
    </w:lvl>
    <w:lvl w:ilvl="8">
      <w:start w:val="0"/>
      <w:numFmt w:val="bullet"/>
      <w:lvlText w:val="•"/>
      <w:lvlJc w:val="left"/>
      <w:pPr>
        <w:ind w:left="4242" w:hanging="481"/>
      </w:pPr>
      <w:rPr>
        <w:rFonts w:hint="default"/>
        <w:lang w:val="en-US" w:eastAsia="en-US" w:bidi="ar-SA"/>
      </w:rPr>
    </w:lvl>
  </w:abstractNum>
  <w:abstractNum w:abstractNumId="54">
    <w:multiLevelType w:val="hybridMultilevel"/>
    <w:lvl w:ilvl="0">
      <w:start w:val="1"/>
      <w:numFmt w:val="decimal"/>
      <w:lvlText w:val="%1"/>
      <w:lvlJc w:val="left"/>
      <w:pPr>
        <w:ind w:left="190"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93" w:hanging="480"/>
      </w:pPr>
      <w:rPr>
        <w:rFonts w:hint="default"/>
        <w:lang w:val="en-US" w:eastAsia="en-US" w:bidi="ar-SA"/>
      </w:rPr>
    </w:lvl>
    <w:lvl w:ilvl="2">
      <w:start w:val="0"/>
      <w:numFmt w:val="bullet"/>
      <w:lvlText w:val="•"/>
      <w:lvlJc w:val="left"/>
      <w:pPr>
        <w:ind w:left="1186" w:hanging="480"/>
      </w:pPr>
      <w:rPr>
        <w:rFonts w:hint="default"/>
        <w:lang w:val="en-US" w:eastAsia="en-US" w:bidi="ar-SA"/>
      </w:rPr>
    </w:lvl>
    <w:lvl w:ilvl="3">
      <w:start w:val="0"/>
      <w:numFmt w:val="bullet"/>
      <w:lvlText w:val="•"/>
      <w:lvlJc w:val="left"/>
      <w:pPr>
        <w:ind w:left="1679" w:hanging="480"/>
      </w:pPr>
      <w:rPr>
        <w:rFonts w:hint="default"/>
        <w:lang w:val="en-US" w:eastAsia="en-US" w:bidi="ar-SA"/>
      </w:rPr>
    </w:lvl>
    <w:lvl w:ilvl="4">
      <w:start w:val="0"/>
      <w:numFmt w:val="bullet"/>
      <w:lvlText w:val="•"/>
      <w:lvlJc w:val="left"/>
      <w:pPr>
        <w:ind w:left="2173" w:hanging="480"/>
      </w:pPr>
      <w:rPr>
        <w:rFonts w:hint="default"/>
        <w:lang w:val="en-US" w:eastAsia="en-US" w:bidi="ar-SA"/>
      </w:rPr>
    </w:lvl>
    <w:lvl w:ilvl="5">
      <w:start w:val="0"/>
      <w:numFmt w:val="bullet"/>
      <w:lvlText w:val="•"/>
      <w:lvlJc w:val="left"/>
      <w:pPr>
        <w:ind w:left="2666" w:hanging="480"/>
      </w:pPr>
      <w:rPr>
        <w:rFonts w:hint="default"/>
        <w:lang w:val="en-US" w:eastAsia="en-US" w:bidi="ar-SA"/>
      </w:rPr>
    </w:lvl>
    <w:lvl w:ilvl="6">
      <w:start w:val="0"/>
      <w:numFmt w:val="bullet"/>
      <w:lvlText w:val="•"/>
      <w:lvlJc w:val="left"/>
      <w:pPr>
        <w:ind w:left="3159" w:hanging="480"/>
      </w:pPr>
      <w:rPr>
        <w:rFonts w:hint="default"/>
        <w:lang w:val="en-US" w:eastAsia="en-US" w:bidi="ar-SA"/>
      </w:rPr>
    </w:lvl>
    <w:lvl w:ilvl="7">
      <w:start w:val="0"/>
      <w:numFmt w:val="bullet"/>
      <w:lvlText w:val="•"/>
      <w:lvlJc w:val="left"/>
      <w:pPr>
        <w:ind w:left="3652" w:hanging="480"/>
      </w:pPr>
      <w:rPr>
        <w:rFonts w:hint="default"/>
        <w:lang w:val="en-US" w:eastAsia="en-US" w:bidi="ar-SA"/>
      </w:rPr>
    </w:lvl>
    <w:lvl w:ilvl="8">
      <w:start w:val="0"/>
      <w:numFmt w:val="bullet"/>
      <w:lvlText w:val="•"/>
      <w:lvlJc w:val="left"/>
      <w:pPr>
        <w:ind w:left="4146" w:hanging="480"/>
      </w:pPr>
      <w:rPr>
        <w:rFonts w:hint="default"/>
        <w:lang w:val="en-US" w:eastAsia="en-US" w:bidi="ar-SA"/>
      </w:rPr>
    </w:lvl>
  </w:abstractNum>
  <w:abstractNum w:abstractNumId="53">
    <w:multiLevelType w:val="hybridMultilevel"/>
    <w:lvl w:ilvl="0">
      <w:start w:val="1"/>
      <w:numFmt w:val="decimal"/>
      <w:lvlText w:val="%1"/>
      <w:lvlJc w:val="left"/>
      <w:pPr>
        <w:ind w:left="165"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55" w:hanging="480"/>
      </w:pPr>
      <w:rPr>
        <w:rFonts w:hint="default"/>
        <w:lang w:val="en-US" w:eastAsia="en-US" w:bidi="ar-SA"/>
      </w:rPr>
    </w:lvl>
    <w:lvl w:ilvl="2">
      <w:start w:val="0"/>
      <w:numFmt w:val="bullet"/>
      <w:lvlText w:val="•"/>
      <w:lvlJc w:val="left"/>
      <w:pPr>
        <w:ind w:left="1150" w:hanging="480"/>
      </w:pPr>
      <w:rPr>
        <w:rFonts w:hint="default"/>
        <w:lang w:val="en-US" w:eastAsia="en-US" w:bidi="ar-SA"/>
      </w:rPr>
    </w:lvl>
    <w:lvl w:ilvl="3">
      <w:start w:val="0"/>
      <w:numFmt w:val="bullet"/>
      <w:lvlText w:val="•"/>
      <w:lvlJc w:val="left"/>
      <w:pPr>
        <w:ind w:left="1645" w:hanging="480"/>
      </w:pPr>
      <w:rPr>
        <w:rFonts w:hint="default"/>
        <w:lang w:val="en-US" w:eastAsia="en-US" w:bidi="ar-SA"/>
      </w:rPr>
    </w:lvl>
    <w:lvl w:ilvl="4">
      <w:start w:val="0"/>
      <w:numFmt w:val="bullet"/>
      <w:lvlText w:val="•"/>
      <w:lvlJc w:val="left"/>
      <w:pPr>
        <w:ind w:left="2140" w:hanging="480"/>
      </w:pPr>
      <w:rPr>
        <w:rFonts w:hint="default"/>
        <w:lang w:val="en-US" w:eastAsia="en-US" w:bidi="ar-SA"/>
      </w:rPr>
    </w:lvl>
    <w:lvl w:ilvl="5">
      <w:start w:val="0"/>
      <w:numFmt w:val="bullet"/>
      <w:lvlText w:val="•"/>
      <w:lvlJc w:val="left"/>
      <w:pPr>
        <w:ind w:left="2636" w:hanging="480"/>
      </w:pPr>
      <w:rPr>
        <w:rFonts w:hint="default"/>
        <w:lang w:val="en-US" w:eastAsia="en-US" w:bidi="ar-SA"/>
      </w:rPr>
    </w:lvl>
    <w:lvl w:ilvl="6">
      <w:start w:val="0"/>
      <w:numFmt w:val="bullet"/>
      <w:lvlText w:val="•"/>
      <w:lvlJc w:val="left"/>
      <w:pPr>
        <w:ind w:left="3131" w:hanging="480"/>
      </w:pPr>
      <w:rPr>
        <w:rFonts w:hint="default"/>
        <w:lang w:val="en-US" w:eastAsia="en-US" w:bidi="ar-SA"/>
      </w:rPr>
    </w:lvl>
    <w:lvl w:ilvl="7">
      <w:start w:val="0"/>
      <w:numFmt w:val="bullet"/>
      <w:lvlText w:val="•"/>
      <w:lvlJc w:val="left"/>
      <w:pPr>
        <w:ind w:left="3626" w:hanging="480"/>
      </w:pPr>
      <w:rPr>
        <w:rFonts w:hint="default"/>
        <w:lang w:val="en-US" w:eastAsia="en-US" w:bidi="ar-SA"/>
      </w:rPr>
    </w:lvl>
    <w:lvl w:ilvl="8">
      <w:start w:val="0"/>
      <w:numFmt w:val="bullet"/>
      <w:lvlText w:val="•"/>
      <w:lvlJc w:val="left"/>
      <w:pPr>
        <w:ind w:left="4121" w:hanging="480"/>
      </w:pPr>
      <w:rPr>
        <w:rFonts w:hint="default"/>
        <w:lang w:val="en-US" w:eastAsia="en-US" w:bidi="ar-SA"/>
      </w:rPr>
    </w:lvl>
  </w:abstractNum>
  <w:abstractNum w:abstractNumId="52">
    <w:multiLevelType w:val="hybridMultilevel"/>
    <w:lvl w:ilvl="0">
      <w:start w:val="1"/>
      <w:numFmt w:val="upperRoman"/>
      <w:lvlText w:val="%1"/>
      <w:lvlJc w:val="left"/>
      <w:pPr>
        <w:ind w:left="654"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1">
      <w:start w:val="0"/>
      <w:numFmt w:val="bullet"/>
      <w:lvlText w:val="•"/>
      <w:lvlJc w:val="left"/>
      <w:pPr>
        <w:ind w:left="1103" w:hanging="481"/>
      </w:pPr>
      <w:rPr>
        <w:rFonts w:hint="default"/>
        <w:lang w:val="en-US" w:eastAsia="en-US" w:bidi="ar-SA"/>
      </w:rPr>
    </w:lvl>
    <w:lvl w:ilvl="2">
      <w:start w:val="0"/>
      <w:numFmt w:val="bullet"/>
      <w:lvlText w:val="•"/>
      <w:lvlJc w:val="left"/>
      <w:pPr>
        <w:ind w:left="1547" w:hanging="481"/>
      </w:pPr>
      <w:rPr>
        <w:rFonts w:hint="default"/>
        <w:lang w:val="en-US" w:eastAsia="en-US" w:bidi="ar-SA"/>
      </w:rPr>
    </w:lvl>
    <w:lvl w:ilvl="3">
      <w:start w:val="0"/>
      <w:numFmt w:val="bullet"/>
      <w:lvlText w:val="•"/>
      <w:lvlJc w:val="left"/>
      <w:pPr>
        <w:ind w:left="1991" w:hanging="481"/>
      </w:pPr>
      <w:rPr>
        <w:rFonts w:hint="default"/>
        <w:lang w:val="en-US" w:eastAsia="en-US" w:bidi="ar-SA"/>
      </w:rPr>
    </w:lvl>
    <w:lvl w:ilvl="4">
      <w:start w:val="0"/>
      <w:numFmt w:val="bullet"/>
      <w:lvlText w:val="•"/>
      <w:lvlJc w:val="left"/>
      <w:pPr>
        <w:ind w:left="2434" w:hanging="481"/>
      </w:pPr>
      <w:rPr>
        <w:rFonts w:hint="default"/>
        <w:lang w:val="en-US" w:eastAsia="en-US" w:bidi="ar-SA"/>
      </w:rPr>
    </w:lvl>
    <w:lvl w:ilvl="5">
      <w:start w:val="0"/>
      <w:numFmt w:val="bullet"/>
      <w:lvlText w:val="•"/>
      <w:lvlJc w:val="left"/>
      <w:pPr>
        <w:ind w:left="2878" w:hanging="481"/>
      </w:pPr>
      <w:rPr>
        <w:rFonts w:hint="default"/>
        <w:lang w:val="en-US" w:eastAsia="en-US" w:bidi="ar-SA"/>
      </w:rPr>
    </w:lvl>
    <w:lvl w:ilvl="6">
      <w:start w:val="0"/>
      <w:numFmt w:val="bullet"/>
      <w:lvlText w:val="•"/>
      <w:lvlJc w:val="left"/>
      <w:pPr>
        <w:ind w:left="3322" w:hanging="481"/>
      </w:pPr>
      <w:rPr>
        <w:rFonts w:hint="default"/>
        <w:lang w:val="en-US" w:eastAsia="en-US" w:bidi="ar-SA"/>
      </w:rPr>
    </w:lvl>
    <w:lvl w:ilvl="7">
      <w:start w:val="0"/>
      <w:numFmt w:val="bullet"/>
      <w:lvlText w:val="•"/>
      <w:lvlJc w:val="left"/>
      <w:pPr>
        <w:ind w:left="3766" w:hanging="481"/>
      </w:pPr>
      <w:rPr>
        <w:rFonts w:hint="default"/>
        <w:lang w:val="en-US" w:eastAsia="en-US" w:bidi="ar-SA"/>
      </w:rPr>
    </w:lvl>
    <w:lvl w:ilvl="8">
      <w:start w:val="0"/>
      <w:numFmt w:val="bullet"/>
      <w:lvlText w:val="•"/>
      <w:lvlJc w:val="left"/>
      <w:pPr>
        <w:ind w:left="4209" w:hanging="481"/>
      </w:pPr>
      <w:rPr>
        <w:rFonts w:hint="default"/>
        <w:lang w:val="en-US" w:eastAsia="en-US" w:bidi="ar-SA"/>
      </w:rPr>
    </w:lvl>
  </w:abstractNum>
  <w:abstractNum w:abstractNumId="51">
    <w:multiLevelType w:val="hybridMultilevel"/>
    <w:lvl w:ilvl="0">
      <w:start w:val="1"/>
      <w:numFmt w:val="decimal"/>
      <w:lvlText w:val="%1"/>
      <w:lvlJc w:val="left"/>
      <w:pPr>
        <w:ind w:left="174"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1" w:hanging="480"/>
      </w:pPr>
      <w:rPr>
        <w:rFonts w:hint="default"/>
        <w:lang w:val="en-US" w:eastAsia="en-US" w:bidi="ar-SA"/>
      </w:rPr>
    </w:lvl>
    <w:lvl w:ilvl="2">
      <w:start w:val="0"/>
      <w:numFmt w:val="bullet"/>
      <w:lvlText w:val="•"/>
      <w:lvlJc w:val="left"/>
      <w:pPr>
        <w:ind w:left="1163" w:hanging="480"/>
      </w:pPr>
      <w:rPr>
        <w:rFonts w:hint="default"/>
        <w:lang w:val="en-US" w:eastAsia="en-US" w:bidi="ar-SA"/>
      </w:rPr>
    </w:lvl>
    <w:lvl w:ilvl="3">
      <w:start w:val="0"/>
      <w:numFmt w:val="bullet"/>
      <w:lvlText w:val="•"/>
      <w:lvlJc w:val="left"/>
      <w:pPr>
        <w:ind w:left="1655" w:hanging="480"/>
      </w:pPr>
      <w:rPr>
        <w:rFonts w:hint="default"/>
        <w:lang w:val="en-US" w:eastAsia="en-US" w:bidi="ar-SA"/>
      </w:rPr>
    </w:lvl>
    <w:lvl w:ilvl="4">
      <w:start w:val="0"/>
      <w:numFmt w:val="bullet"/>
      <w:lvlText w:val="•"/>
      <w:lvlJc w:val="left"/>
      <w:pPr>
        <w:ind w:left="2146" w:hanging="480"/>
      </w:pPr>
      <w:rPr>
        <w:rFonts w:hint="default"/>
        <w:lang w:val="en-US" w:eastAsia="en-US" w:bidi="ar-SA"/>
      </w:rPr>
    </w:lvl>
    <w:lvl w:ilvl="5">
      <w:start w:val="0"/>
      <w:numFmt w:val="bullet"/>
      <w:lvlText w:val="•"/>
      <w:lvlJc w:val="left"/>
      <w:pPr>
        <w:ind w:left="2638" w:hanging="480"/>
      </w:pPr>
      <w:rPr>
        <w:rFonts w:hint="default"/>
        <w:lang w:val="en-US" w:eastAsia="en-US" w:bidi="ar-SA"/>
      </w:rPr>
    </w:lvl>
    <w:lvl w:ilvl="6">
      <w:start w:val="0"/>
      <w:numFmt w:val="bullet"/>
      <w:lvlText w:val="•"/>
      <w:lvlJc w:val="left"/>
      <w:pPr>
        <w:ind w:left="3130" w:hanging="480"/>
      </w:pPr>
      <w:rPr>
        <w:rFonts w:hint="default"/>
        <w:lang w:val="en-US" w:eastAsia="en-US" w:bidi="ar-SA"/>
      </w:rPr>
    </w:lvl>
    <w:lvl w:ilvl="7">
      <w:start w:val="0"/>
      <w:numFmt w:val="bullet"/>
      <w:lvlText w:val="•"/>
      <w:lvlJc w:val="left"/>
      <w:pPr>
        <w:ind w:left="3622" w:hanging="480"/>
      </w:pPr>
      <w:rPr>
        <w:rFonts w:hint="default"/>
        <w:lang w:val="en-US" w:eastAsia="en-US" w:bidi="ar-SA"/>
      </w:rPr>
    </w:lvl>
    <w:lvl w:ilvl="8">
      <w:start w:val="0"/>
      <w:numFmt w:val="bullet"/>
      <w:lvlText w:val="•"/>
      <w:lvlJc w:val="left"/>
      <w:pPr>
        <w:ind w:left="4113" w:hanging="480"/>
      </w:pPr>
      <w:rPr>
        <w:rFonts w:hint="default"/>
        <w:lang w:val="en-US" w:eastAsia="en-US" w:bidi="ar-SA"/>
      </w:rPr>
    </w:lvl>
  </w:abstractNum>
  <w:abstractNum w:abstractNumId="50">
    <w:multiLevelType w:val="hybridMultilevel"/>
    <w:lvl w:ilvl="0">
      <w:start w:val="1"/>
      <w:numFmt w:val="decimal"/>
      <w:lvlText w:val="%1"/>
      <w:lvlJc w:val="left"/>
      <w:pPr>
        <w:ind w:left="174"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3" w:hanging="480"/>
      </w:pPr>
      <w:rPr>
        <w:rFonts w:hint="default"/>
        <w:lang w:val="en-US" w:eastAsia="en-US" w:bidi="ar-SA"/>
      </w:rPr>
    </w:lvl>
    <w:lvl w:ilvl="2">
      <w:start w:val="0"/>
      <w:numFmt w:val="bullet"/>
      <w:lvlText w:val="•"/>
      <w:lvlJc w:val="left"/>
      <w:pPr>
        <w:ind w:left="1166" w:hanging="480"/>
      </w:pPr>
      <w:rPr>
        <w:rFonts w:hint="default"/>
        <w:lang w:val="en-US" w:eastAsia="en-US" w:bidi="ar-SA"/>
      </w:rPr>
    </w:lvl>
    <w:lvl w:ilvl="3">
      <w:start w:val="0"/>
      <w:numFmt w:val="bullet"/>
      <w:lvlText w:val="•"/>
      <w:lvlJc w:val="left"/>
      <w:pPr>
        <w:ind w:left="1659" w:hanging="480"/>
      </w:pPr>
      <w:rPr>
        <w:rFonts w:hint="default"/>
        <w:lang w:val="en-US" w:eastAsia="en-US" w:bidi="ar-SA"/>
      </w:rPr>
    </w:lvl>
    <w:lvl w:ilvl="4">
      <w:start w:val="0"/>
      <w:numFmt w:val="bullet"/>
      <w:lvlText w:val="•"/>
      <w:lvlJc w:val="left"/>
      <w:pPr>
        <w:ind w:left="2152" w:hanging="480"/>
      </w:pPr>
      <w:rPr>
        <w:rFonts w:hint="default"/>
        <w:lang w:val="en-US" w:eastAsia="en-US" w:bidi="ar-SA"/>
      </w:rPr>
    </w:lvl>
    <w:lvl w:ilvl="5">
      <w:start w:val="0"/>
      <w:numFmt w:val="bullet"/>
      <w:lvlText w:val="•"/>
      <w:lvlJc w:val="left"/>
      <w:pPr>
        <w:ind w:left="2645" w:hanging="480"/>
      </w:pPr>
      <w:rPr>
        <w:rFonts w:hint="default"/>
        <w:lang w:val="en-US" w:eastAsia="en-US" w:bidi="ar-SA"/>
      </w:rPr>
    </w:lvl>
    <w:lvl w:ilvl="6">
      <w:start w:val="0"/>
      <w:numFmt w:val="bullet"/>
      <w:lvlText w:val="•"/>
      <w:lvlJc w:val="left"/>
      <w:pPr>
        <w:ind w:left="3138" w:hanging="480"/>
      </w:pPr>
      <w:rPr>
        <w:rFonts w:hint="default"/>
        <w:lang w:val="en-US" w:eastAsia="en-US" w:bidi="ar-SA"/>
      </w:rPr>
    </w:lvl>
    <w:lvl w:ilvl="7">
      <w:start w:val="0"/>
      <w:numFmt w:val="bullet"/>
      <w:lvlText w:val="•"/>
      <w:lvlJc w:val="left"/>
      <w:pPr>
        <w:ind w:left="3631" w:hanging="480"/>
      </w:pPr>
      <w:rPr>
        <w:rFonts w:hint="default"/>
        <w:lang w:val="en-US" w:eastAsia="en-US" w:bidi="ar-SA"/>
      </w:rPr>
    </w:lvl>
    <w:lvl w:ilvl="8">
      <w:start w:val="0"/>
      <w:numFmt w:val="bullet"/>
      <w:lvlText w:val="•"/>
      <w:lvlJc w:val="left"/>
      <w:pPr>
        <w:ind w:left="4125" w:hanging="480"/>
      </w:pPr>
      <w:rPr>
        <w:rFonts w:hint="default"/>
        <w:lang w:val="en-US" w:eastAsia="en-US" w:bidi="ar-SA"/>
      </w:rPr>
    </w:lvl>
  </w:abstractNum>
  <w:abstractNum w:abstractNumId="49">
    <w:multiLevelType w:val="hybridMultilevel"/>
    <w:lvl w:ilvl="0">
      <w:start w:val="0"/>
      <w:numFmt w:val="decimal"/>
      <w:lvlText w:val="%1"/>
      <w:lvlJc w:val="left"/>
      <w:pPr>
        <w:ind w:left="169" w:hanging="270"/>
        <w:jc w:val="left"/>
      </w:pPr>
      <w:rPr>
        <w:rFonts w:hint="default"/>
        <w:lang w:val="en-US" w:eastAsia="en-US" w:bidi="ar-SA"/>
      </w:rPr>
    </w:lvl>
    <w:lvl w:ilvl="1">
      <w:start w:val="5"/>
      <w:numFmt w:val="decimal"/>
      <w:lvlText w:val="%1.%2"/>
      <w:lvlJc w:val="left"/>
      <w:pPr>
        <w:ind w:left="169" w:hanging="270"/>
        <w:jc w:val="left"/>
      </w:pPr>
      <w:rPr>
        <w:rFonts w:hint="default" w:ascii="Times New Roman" w:hAnsi="Times New Roman" w:eastAsia="Times New Roman" w:cs="Times New Roman"/>
        <w:spacing w:val="-1"/>
        <w:w w:val="100"/>
        <w:sz w:val="18"/>
        <w:szCs w:val="18"/>
        <w:lang w:val="en-US" w:eastAsia="en-US" w:bidi="ar-SA"/>
      </w:rPr>
    </w:lvl>
    <w:lvl w:ilvl="2">
      <w:start w:val="0"/>
      <w:numFmt w:val="bullet"/>
      <w:lvlText w:val="•"/>
      <w:lvlJc w:val="left"/>
      <w:pPr>
        <w:ind w:left="1175" w:hanging="270"/>
      </w:pPr>
      <w:rPr>
        <w:rFonts w:hint="default"/>
        <w:lang w:val="en-US" w:eastAsia="en-US" w:bidi="ar-SA"/>
      </w:rPr>
    </w:lvl>
    <w:lvl w:ilvl="3">
      <w:start w:val="0"/>
      <w:numFmt w:val="bullet"/>
      <w:lvlText w:val="•"/>
      <w:lvlJc w:val="left"/>
      <w:pPr>
        <w:ind w:left="1682" w:hanging="270"/>
      </w:pPr>
      <w:rPr>
        <w:rFonts w:hint="default"/>
        <w:lang w:val="en-US" w:eastAsia="en-US" w:bidi="ar-SA"/>
      </w:rPr>
    </w:lvl>
    <w:lvl w:ilvl="4">
      <w:start w:val="0"/>
      <w:numFmt w:val="bullet"/>
      <w:lvlText w:val="•"/>
      <w:lvlJc w:val="left"/>
      <w:pPr>
        <w:ind w:left="2190" w:hanging="270"/>
      </w:pPr>
      <w:rPr>
        <w:rFonts w:hint="default"/>
        <w:lang w:val="en-US" w:eastAsia="en-US" w:bidi="ar-SA"/>
      </w:rPr>
    </w:lvl>
    <w:lvl w:ilvl="5">
      <w:start w:val="0"/>
      <w:numFmt w:val="bullet"/>
      <w:lvlText w:val="•"/>
      <w:lvlJc w:val="left"/>
      <w:pPr>
        <w:ind w:left="2697" w:hanging="270"/>
      </w:pPr>
      <w:rPr>
        <w:rFonts w:hint="default"/>
        <w:lang w:val="en-US" w:eastAsia="en-US" w:bidi="ar-SA"/>
      </w:rPr>
    </w:lvl>
    <w:lvl w:ilvl="6">
      <w:start w:val="0"/>
      <w:numFmt w:val="bullet"/>
      <w:lvlText w:val="•"/>
      <w:lvlJc w:val="left"/>
      <w:pPr>
        <w:ind w:left="3205" w:hanging="270"/>
      </w:pPr>
      <w:rPr>
        <w:rFonts w:hint="default"/>
        <w:lang w:val="en-US" w:eastAsia="en-US" w:bidi="ar-SA"/>
      </w:rPr>
    </w:lvl>
    <w:lvl w:ilvl="7">
      <w:start w:val="0"/>
      <w:numFmt w:val="bullet"/>
      <w:lvlText w:val="•"/>
      <w:lvlJc w:val="left"/>
      <w:pPr>
        <w:ind w:left="3712" w:hanging="270"/>
      </w:pPr>
      <w:rPr>
        <w:rFonts w:hint="default"/>
        <w:lang w:val="en-US" w:eastAsia="en-US" w:bidi="ar-SA"/>
      </w:rPr>
    </w:lvl>
    <w:lvl w:ilvl="8">
      <w:start w:val="0"/>
      <w:numFmt w:val="bullet"/>
      <w:lvlText w:val="•"/>
      <w:lvlJc w:val="left"/>
      <w:pPr>
        <w:ind w:left="4220" w:hanging="270"/>
      </w:pPr>
      <w:rPr>
        <w:rFonts w:hint="default"/>
        <w:lang w:val="en-US" w:eastAsia="en-US" w:bidi="ar-SA"/>
      </w:rPr>
    </w:lvl>
  </w:abstractNum>
  <w:abstractNum w:abstractNumId="48">
    <w:multiLevelType w:val="hybridMultilevel"/>
    <w:lvl w:ilvl="0">
      <w:start w:val="1"/>
      <w:numFmt w:val="decimal"/>
      <w:lvlText w:val="%1"/>
      <w:lvlJc w:val="left"/>
      <w:pPr>
        <w:ind w:left="175" w:hanging="480"/>
        <w:jc w:val="left"/>
      </w:pPr>
      <w:rPr>
        <w:rFonts w:hint="default" w:ascii="Times New Roman" w:hAnsi="Times New Roman" w:eastAsia="Times New Roman" w:cs="Times New Roman"/>
        <w:spacing w:val="-1"/>
        <w:w w:val="100"/>
        <w:sz w:val="18"/>
        <w:szCs w:val="18"/>
        <w:lang w:val="en-US" w:eastAsia="en-US" w:bidi="ar-SA"/>
      </w:rPr>
    </w:lvl>
    <w:lvl w:ilvl="1">
      <w:start w:val="0"/>
      <w:numFmt w:val="bullet"/>
      <w:lvlText w:val="•"/>
      <w:lvlJc w:val="left"/>
      <w:pPr>
        <w:ind w:left="673" w:hanging="480"/>
      </w:pPr>
      <w:rPr>
        <w:rFonts w:hint="default"/>
        <w:lang w:val="en-US" w:eastAsia="en-US" w:bidi="ar-SA"/>
      </w:rPr>
    </w:lvl>
    <w:lvl w:ilvl="2">
      <w:start w:val="0"/>
      <w:numFmt w:val="bullet"/>
      <w:lvlText w:val="•"/>
      <w:lvlJc w:val="left"/>
      <w:pPr>
        <w:ind w:left="1166" w:hanging="480"/>
      </w:pPr>
      <w:rPr>
        <w:rFonts w:hint="default"/>
        <w:lang w:val="en-US" w:eastAsia="en-US" w:bidi="ar-SA"/>
      </w:rPr>
    </w:lvl>
    <w:lvl w:ilvl="3">
      <w:start w:val="0"/>
      <w:numFmt w:val="bullet"/>
      <w:lvlText w:val="•"/>
      <w:lvlJc w:val="left"/>
      <w:pPr>
        <w:ind w:left="1660" w:hanging="480"/>
      </w:pPr>
      <w:rPr>
        <w:rFonts w:hint="default"/>
        <w:lang w:val="en-US" w:eastAsia="en-US" w:bidi="ar-SA"/>
      </w:rPr>
    </w:lvl>
    <w:lvl w:ilvl="4">
      <w:start w:val="0"/>
      <w:numFmt w:val="bullet"/>
      <w:lvlText w:val="•"/>
      <w:lvlJc w:val="left"/>
      <w:pPr>
        <w:ind w:left="2153" w:hanging="480"/>
      </w:pPr>
      <w:rPr>
        <w:rFonts w:hint="default"/>
        <w:lang w:val="en-US" w:eastAsia="en-US" w:bidi="ar-SA"/>
      </w:rPr>
    </w:lvl>
    <w:lvl w:ilvl="5">
      <w:start w:val="0"/>
      <w:numFmt w:val="bullet"/>
      <w:lvlText w:val="•"/>
      <w:lvlJc w:val="left"/>
      <w:pPr>
        <w:ind w:left="2646" w:hanging="480"/>
      </w:pPr>
      <w:rPr>
        <w:rFonts w:hint="default"/>
        <w:lang w:val="en-US" w:eastAsia="en-US" w:bidi="ar-SA"/>
      </w:rPr>
    </w:lvl>
    <w:lvl w:ilvl="6">
      <w:start w:val="0"/>
      <w:numFmt w:val="bullet"/>
      <w:lvlText w:val="•"/>
      <w:lvlJc w:val="left"/>
      <w:pPr>
        <w:ind w:left="3140" w:hanging="480"/>
      </w:pPr>
      <w:rPr>
        <w:rFonts w:hint="default"/>
        <w:lang w:val="en-US" w:eastAsia="en-US" w:bidi="ar-SA"/>
      </w:rPr>
    </w:lvl>
    <w:lvl w:ilvl="7">
      <w:start w:val="0"/>
      <w:numFmt w:val="bullet"/>
      <w:lvlText w:val="•"/>
      <w:lvlJc w:val="left"/>
      <w:pPr>
        <w:ind w:left="3633" w:hanging="480"/>
      </w:pPr>
      <w:rPr>
        <w:rFonts w:hint="default"/>
        <w:lang w:val="en-US" w:eastAsia="en-US" w:bidi="ar-SA"/>
      </w:rPr>
    </w:lvl>
    <w:lvl w:ilvl="8">
      <w:start w:val="0"/>
      <w:numFmt w:val="bullet"/>
      <w:lvlText w:val="•"/>
      <w:lvlJc w:val="left"/>
      <w:pPr>
        <w:ind w:left="4127" w:hanging="480"/>
      </w:pPr>
      <w:rPr>
        <w:rFonts w:hint="default"/>
        <w:lang w:val="en-US" w:eastAsia="en-US" w:bidi="ar-SA"/>
      </w:rPr>
    </w:lvl>
  </w:abstractNum>
  <w:abstractNum w:abstractNumId="47">
    <w:multiLevelType w:val="hybridMultilevel"/>
    <w:lvl w:ilvl="0">
      <w:start w:val="1"/>
      <w:numFmt w:val="decimal"/>
      <w:lvlText w:val="%1"/>
      <w:lvlJc w:val="left"/>
      <w:pPr>
        <w:ind w:left="165" w:hanging="480"/>
        <w:jc w:val="left"/>
      </w:pPr>
      <w:rPr>
        <w:rFonts w:hint="default" w:ascii="Times New Roman" w:hAnsi="Times New Roman" w:eastAsia="Times New Roman" w:cs="Times New Roman"/>
        <w:spacing w:val="-1"/>
        <w:w w:val="100"/>
        <w:sz w:val="18"/>
        <w:szCs w:val="18"/>
        <w:lang w:val="en-US" w:eastAsia="en-US" w:bidi="ar-SA"/>
      </w:rPr>
    </w:lvl>
    <w:lvl w:ilvl="1">
      <w:start w:val="1"/>
      <w:numFmt w:val="upperRoman"/>
      <w:lvlText w:val="%2"/>
      <w:lvlJc w:val="left"/>
      <w:pPr>
        <w:ind w:left="655" w:hanging="481"/>
        <w:jc w:val="left"/>
      </w:pPr>
      <w:rPr>
        <w:rFonts w:hint="default" w:ascii="Times New Roman" w:hAnsi="Times New Roman" w:eastAsia="Times New Roman" w:cs="Times New Roman"/>
        <w:b/>
        <w:bCs/>
        <w:color w:val="009391"/>
        <w:spacing w:val="-9"/>
        <w:w w:val="100"/>
        <w:sz w:val="22"/>
        <w:szCs w:val="22"/>
        <w:lang w:val="en-US" w:eastAsia="en-US" w:bidi="ar-SA"/>
      </w:rPr>
    </w:lvl>
    <w:lvl w:ilvl="2">
      <w:start w:val="0"/>
      <w:numFmt w:val="bullet"/>
      <w:lvlText w:val="•"/>
      <w:lvlJc w:val="left"/>
      <w:pPr>
        <w:ind w:left="1151" w:hanging="481"/>
      </w:pPr>
      <w:rPr>
        <w:rFonts w:hint="default"/>
        <w:lang w:val="en-US" w:eastAsia="en-US" w:bidi="ar-SA"/>
      </w:rPr>
    </w:lvl>
    <w:lvl w:ilvl="3">
      <w:start w:val="0"/>
      <w:numFmt w:val="bullet"/>
      <w:lvlText w:val="•"/>
      <w:lvlJc w:val="left"/>
      <w:pPr>
        <w:ind w:left="1643" w:hanging="481"/>
      </w:pPr>
      <w:rPr>
        <w:rFonts w:hint="default"/>
        <w:lang w:val="en-US" w:eastAsia="en-US" w:bidi="ar-SA"/>
      </w:rPr>
    </w:lvl>
    <w:lvl w:ilvl="4">
      <w:start w:val="0"/>
      <w:numFmt w:val="bullet"/>
      <w:lvlText w:val="•"/>
      <w:lvlJc w:val="left"/>
      <w:pPr>
        <w:ind w:left="2135" w:hanging="481"/>
      </w:pPr>
      <w:rPr>
        <w:rFonts w:hint="default"/>
        <w:lang w:val="en-US" w:eastAsia="en-US" w:bidi="ar-SA"/>
      </w:rPr>
    </w:lvl>
    <w:lvl w:ilvl="5">
      <w:start w:val="0"/>
      <w:numFmt w:val="bullet"/>
      <w:lvlText w:val="•"/>
      <w:lvlJc w:val="left"/>
      <w:pPr>
        <w:ind w:left="2627" w:hanging="481"/>
      </w:pPr>
      <w:rPr>
        <w:rFonts w:hint="default"/>
        <w:lang w:val="en-US" w:eastAsia="en-US" w:bidi="ar-SA"/>
      </w:rPr>
    </w:lvl>
    <w:lvl w:ilvl="6">
      <w:start w:val="0"/>
      <w:numFmt w:val="bullet"/>
      <w:lvlText w:val="•"/>
      <w:lvlJc w:val="left"/>
      <w:pPr>
        <w:ind w:left="3119" w:hanging="481"/>
      </w:pPr>
      <w:rPr>
        <w:rFonts w:hint="default"/>
        <w:lang w:val="en-US" w:eastAsia="en-US" w:bidi="ar-SA"/>
      </w:rPr>
    </w:lvl>
    <w:lvl w:ilvl="7">
      <w:start w:val="0"/>
      <w:numFmt w:val="bullet"/>
      <w:lvlText w:val="•"/>
      <w:lvlJc w:val="left"/>
      <w:pPr>
        <w:ind w:left="3611" w:hanging="481"/>
      </w:pPr>
      <w:rPr>
        <w:rFonts w:hint="default"/>
        <w:lang w:val="en-US" w:eastAsia="en-US" w:bidi="ar-SA"/>
      </w:rPr>
    </w:lvl>
    <w:lvl w:ilvl="8">
      <w:start w:val="0"/>
      <w:numFmt w:val="bullet"/>
      <w:lvlText w:val="•"/>
      <w:lvlJc w:val="left"/>
      <w:pPr>
        <w:ind w:left="4103" w:hanging="481"/>
      </w:pPr>
      <w:rPr>
        <w:rFonts w:hint="default"/>
        <w:lang w:val="en-US" w:eastAsia="en-US" w:bidi="ar-SA"/>
      </w:rPr>
    </w:lvl>
  </w:abstractNum>
  <w:abstractNum w:abstractNumId="46">
    <w:multiLevelType w:val="hybridMultilevel"/>
    <w:lvl w:ilvl="0">
      <w:start w:val="0"/>
      <w:numFmt w:val="bullet"/>
      <w:lvlText w:val=""/>
      <w:lvlJc w:val="left"/>
      <w:pPr>
        <w:ind w:left="645" w:hanging="480"/>
      </w:pPr>
      <w:rPr>
        <w:rFonts w:hint="default" w:ascii="Wingdings" w:hAnsi="Wingdings" w:eastAsia="Wingdings" w:cs="Wingdings"/>
        <w:color w:val="006CB4"/>
        <w:sz w:val="20"/>
        <w:szCs w:val="20"/>
        <w:lang w:val="en-US" w:eastAsia="en-US" w:bidi="ar-SA"/>
      </w:rPr>
    </w:lvl>
    <w:lvl w:ilvl="1">
      <w:start w:val="0"/>
      <w:numFmt w:val="bullet"/>
      <w:lvlText w:val="•"/>
      <w:lvlJc w:val="left"/>
      <w:pPr>
        <w:ind w:left="1638" w:hanging="480"/>
      </w:pPr>
      <w:rPr>
        <w:rFonts w:hint="default"/>
        <w:lang w:val="en-US" w:eastAsia="en-US" w:bidi="ar-SA"/>
      </w:rPr>
    </w:lvl>
    <w:lvl w:ilvl="2">
      <w:start w:val="0"/>
      <w:numFmt w:val="bullet"/>
      <w:lvlText w:val="•"/>
      <w:lvlJc w:val="left"/>
      <w:pPr>
        <w:ind w:left="2636" w:hanging="480"/>
      </w:pPr>
      <w:rPr>
        <w:rFonts w:hint="default"/>
        <w:lang w:val="en-US" w:eastAsia="en-US" w:bidi="ar-SA"/>
      </w:rPr>
    </w:lvl>
    <w:lvl w:ilvl="3">
      <w:start w:val="0"/>
      <w:numFmt w:val="bullet"/>
      <w:lvlText w:val="•"/>
      <w:lvlJc w:val="left"/>
      <w:pPr>
        <w:ind w:left="3634" w:hanging="480"/>
      </w:pPr>
      <w:rPr>
        <w:rFonts w:hint="default"/>
        <w:lang w:val="en-US" w:eastAsia="en-US" w:bidi="ar-SA"/>
      </w:rPr>
    </w:lvl>
    <w:lvl w:ilvl="4">
      <w:start w:val="0"/>
      <w:numFmt w:val="bullet"/>
      <w:lvlText w:val="•"/>
      <w:lvlJc w:val="left"/>
      <w:pPr>
        <w:ind w:left="4632" w:hanging="480"/>
      </w:pPr>
      <w:rPr>
        <w:rFonts w:hint="default"/>
        <w:lang w:val="en-US" w:eastAsia="en-US" w:bidi="ar-SA"/>
      </w:rPr>
    </w:lvl>
    <w:lvl w:ilvl="5">
      <w:start w:val="0"/>
      <w:numFmt w:val="bullet"/>
      <w:lvlText w:val="•"/>
      <w:lvlJc w:val="left"/>
      <w:pPr>
        <w:ind w:left="5630" w:hanging="480"/>
      </w:pPr>
      <w:rPr>
        <w:rFonts w:hint="default"/>
        <w:lang w:val="en-US" w:eastAsia="en-US" w:bidi="ar-SA"/>
      </w:rPr>
    </w:lvl>
    <w:lvl w:ilvl="6">
      <w:start w:val="0"/>
      <w:numFmt w:val="bullet"/>
      <w:lvlText w:val="•"/>
      <w:lvlJc w:val="left"/>
      <w:pPr>
        <w:ind w:left="6628" w:hanging="480"/>
      </w:pPr>
      <w:rPr>
        <w:rFonts w:hint="default"/>
        <w:lang w:val="en-US" w:eastAsia="en-US" w:bidi="ar-SA"/>
      </w:rPr>
    </w:lvl>
    <w:lvl w:ilvl="7">
      <w:start w:val="0"/>
      <w:numFmt w:val="bullet"/>
      <w:lvlText w:val="•"/>
      <w:lvlJc w:val="left"/>
      <w:pPr>
        <w:ind w:left="7626" w:hanging="480"/>
      </w:pPr>
      <w:rPr>
        <w:rFonts w:hint="default"/>
        <w:lang w:val="en-US" w:eastAsia="en-US" w:bidi="ar-SA"/>
      </w:rPr>
    </w:lvl>
    <w:lvl w:ilvl="8">
      <w:start w:val="0"/>
      <w:numFmt w:val="bullet"/>
      <w:lvlText w:val="•"/>
      <w:lvlJc w:val="left"/>
      <w:pPr>
        <w:ind w:left="8624" w:hanging="480"/>
      </w:pPr>
      <w:rPr>
        <w:rFonts w:hint="default"/>
        <w:lang w:val="en-US" w:eastAsia="en-US" w:bidi="ar-SA"/>
      </w:rPr>
    </w:lvl>
  </w:abstractNum>
  <w:abstractNum w:abstractNumId="45">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6" w:hanging="241"/>
      </w:pPr>
      <w:rPr>
        <w:rFonts w:hint="default"/>
        <w:lang w:val="en-US" w:eastAsia="en-US" w:bidi="ar-SA"/>
      </w:rPr>
    </w:lvl>
    <w:lvl w:ilvl="2">
      <w:start w:val="0"/>
      <w:numFmt w:val="bullet"/>
      <w:lvlText w:val="•"/>
      <w:lvlJc w:val="left"/>
      <w:pPr>
        <w:ind w:left="1232" w:hanging="241"/>
      </w:pPr>
      <w:rPr>
        <w:rFonts w:hint="default"/>
        <w:lang w:val="en-US" w:eastAsia="en-US" w:bidi="ar-SA"/>
      </w:rPr>
    </w:lvl>
    <w:lvl w:ilvl="3">
      <w:start w:val="0"/>
      <w:numFmt w:val="bullet"/>
      <w:lvlText w:val="•"/>
      <w:lvlJc w:val="left"/>
      <w:pPr>
        <w:ind w:left="1638" w:hanging="241"/>
      </w:pPr>
      <w:rPr>
        <w:rFonts w:hint="default"/>
        <w:lang w:val="en-US" w:eastAsia="en-US" w:bidi="ar-SA"/>
      </w:rPr>
    </w:lvl>
    <w:lvl w:ilvl="4">
      <w:start w:val="0"/>
      <w:numFmt w:val="bullet"/>
      <w:lvlText w:val="•"/>
      <w:lvlJc w:val="left"/>
      <w:pPr>
        <w:ind w:left="2045" w:hanging="241"/>
      </w:pPr>
      <w:rPr>
        <w:rFonts w:hint="default"/>
        <w:lang w:val="en-US" w:eastAsia="en-US" w:bidi="ar-SA"/>
      </w:rPr>
    </w:lvl>
    <w:lvl w:ilvl="5">
      <w:start w:val="0"/>
      <w:numFmt w:val="bullet"/>
      <w:lvlText w:val="•"/>
      <w:lvlJc w:val="left"/>
      <w:pPr>
        <w:ind w:left="2451" w:hanging="241"/>
      </w:pPr>
      <w:rPr>
        <w:rFonts w:hint="default"/>
        <w:lang w:val="en-US" w:eastAsia="en-US" w:bidi="ar-SA"/>
      </w:rPr>
    </w:lvl>
    <w:lvl w:ilvl="6">
      <w:start w:val="0"/>
      <w:numFmt w:val="bullet"/>
      <w:lvlText w:val="•"/>
      <w:lvlJc w:val="left"/>
      <w:pPr>
        <w:ind w:left="2857" w:hanging="241"/>
      </w:pPr>
      <w:rPr>
        <w:rFonts w:hint="default"/>
        <w:lang w:val="en-US" w:eastAsia="en-US" w:bidi="ar-SA"/>
      </w:rPr>
    </w:lvl>
    <w:lvl w:ilvl="7">
      <w:start w:val="0"/>
      <w:numFmt w:val="bullet"/>
      <w:lvlText w:val="•"/>
      <w:lvlJc w:val="left"/>
      <w:pPr>
        <w:ind w:left="3263" w:hanging="241"/>
      </w:pPr>
      <w:rPr>
        <w:rFonts w:hint="default"/>
        <w:lang w:val="en-US" w:eastAsia="en-US" w:bidi="ar-SA"/>
      </w:rPr>
    </w:lvl>
    <w:lvl w:ilvl="8">
      <w:start w:val="0"/>
      <w:numFmt w:val="bullet"/>
      <w:lvlText w:val="•"/>
      <w:lvlJc w:val="left"/>
      <w:pPr>
        <w:ind w:left="3670" w:hanging="241"/>
      </w:pPr>
      <w:rPr>
        <w:rFonts w:hint="default"/>
        <w:lang w:val="en-US" w:eastAsia="en-US" w:bidi="ar-SA"/>
      </w:rPr>
    </w:lvl>
  </w:abstractNum>
  <w:abstractNum w:abstractNumId="44">
    <w:multiLevelType w:val="hybridMultilevel"/>
    <w:lvl w:ilvl="0">
      <w:start w:val="1"/>
      <w:numFmt w:val="lowerLetter"/>
      <w:lvlText w:val="(%1)"/>
      <w:lvlJc w:val="left"/>
      <w:pPr>
        <w:ind w:left="408"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429" w:hanging="261"/>
        <w:jc w:val="left"/>
      </w:pPr>
      <w:rPr>
        <w:rFonts w:hint="default" w:ascii="Times New Roman" w:hAnsi="Times New Roman" w:eastAsia="Times New Roman" w:cs="Times New Roman"/>
        <w:spacing w:val="-12"/>
        <w:w w:val="100"/>
        <w:sz w:val="16"/>
        <w:szCs w:val="16"/>
        <w:lang w:val="en-US" w:eastAsia="en-US" w:bidi="ar-SA"/>
      </w:rPr>
    </w:lvl>
    <w:lvl w:ilvl="2">
      <w:start w:val="1"/>
      <w:numFmt w:val="decimal"/>
      <w:lvlText w:val="(%3)"/>
      <w:lvlJc w:val="left"/>
      <w:pPr>
        <w:ind w:left="672" w:hanging="267"/>
        <w:jc w:val="left"/>
      </w:pPr>
      <w:rPr>
        <w:rFonts w:hint="default" w:ascii="Times New Roman" w:hAnsi="Times New Roman" w:eastAsia="Times New Roman" w:cs="Times New Roman"/>
        <w:spacing w:val="-9"/>
        <w:w w:val="100"/>
        <w:sz w:val="16"/>
        <w:szCs w:val="16"/>
        <w:lang w:val="en-US" w:eastAsia="en-US" w:bidi="ar-SA"/>
      </w:rPr>
    </w:lvl>
    <w:lvl w:ilvl="3">
      <w:start w:val="0"/>
      <w:numFmt w:val="bullet"/>
      <w:lvlText w:val="•"/>
      <w:lvlJc w:val="left"/>
      <w:pPr>
        <w:ind w:left="556" w:hanging="267"/>
      </w:pPr>
      <w:rPr>
        <w:rFonts w:hint="default"/>
        <w:lang w:val="en-US" w:eastAsia="en-US" w:bidi="ar-SA"/>
      </w:rPr>
    </w:lvl>
    <w:lvl w:ilvl="4">
      <w:start w:val="0"/>
      <w:numFmt w:val="bullet"/>
      <w:lvlText w:val="•"/>
      <w:lvlJc w:val="left"/>
      <w:pPr>
        <w:ind w:left="433" w:hanging="267"/>
      </w:pPr>
      <w:rPr>
        <w:rFonts w:hint="default"/>
        <w:lang w:val="en-US" w:eastAsia="en-US" w:bidi="ar-SA"/>
      </w:rPr>
    </w:lvl>
    <w:lvl w:ilvl="5">
      <w:start w:val="0"/>
      <w:numFmt w:val="bullet"/>
      <w:lvlText w:val="•"/>
      <w:lvlJc w:val="left"/>
      <w:pPr>
        <w:ind w:left="310" w:hanging="267"/>
      </w:pPr>
      <w:rPr>
        <w:rFonts w:hint="default"/>
        <w:lang w:val="en-US" w:eastAsia="en-US" w:bidi="ar-SA"/>
      </w:rPr>
    </w:lvl>
    <w:lvl w:ilvl="6">
      <w:start w:val="0"/>
      <w:numFmt w:val="bullet"/>
      <w:lvlText w:val="•"/>
      <w:lvlJc w:val="left"/>
      <w:pPr>
        <w:ind w:left="186" w:hanging="267"/>
      </w:pPr>
      <w:rPr>
        <w:rFonts w:hint="default"/>
        <w:lang w:val="en-US" w:eastAsia="en-US" w:bidi="ar-SA"/>
      </w:rPr>
    </w:lvl>
    <w:lvl w:ilvl="7">
      <w:start w:val="0"/>
      <w:numFmt w:val="bullet"/>
      <w:lvlText w:val="•"/>
      <w:lvlJc w:val="left"/>
      <w:pPr>
        <w:ind w:left="63" w:hanging="267"/>
      </w:pPr>
      <w:rPr>
        <w:rFonts w:hint="default"/>
        <w:lang w:val="en-US" w:eastAsia="en-US" w:bidi="ar-SA"/>
      </w:rPr>
    </w:lvl>
    <w:lvl w:ilvl="8">
      <w:start w:val="0"/>
      <w:numFmt w:val="bullet"/>
      <w:lvlText w:val="•"/>
      <w:lvlJc w:val="left"/>
      <w:pPr>
        <w:ind w:left="-60" w:hanging="267"/>
      </w:pPr>
      <w:rPr>
        <w:rFonts w:hint="default"/>
        <w:lang w:val="en-US" w:eastAsia="en-US" w:bidi="ar-SA"/>
      </w:rPr>
    </w:lvl>
  </w:abstractNum>
  <w:abstractNum w:abstractNumId="43">
    <w:multiLevelType w:val="hybridMultilevel"/>
    <w:lvl w:ilvl="0">
      <w:start w:val="1"/>
      <w:numFmt w:val="lowerLetter"/>
      <w:lvlText w:val="(%1)"/>
      <w:lvlJc w:val="left"/>
      <w:pPr>
        <w:ind w:left="414" w:hanging="241"/>
        <w:jc w:val="left"/>
      </w:pPr>
      <w:rPr>
        <w:rFonts w:hint="default" w:ascii="Times New Roman" w:hAnsi="Times New Roman" w:eastAsia="Times New Roman" w:cs="Times New Roman"/>
        <w:spacing w:val="-18"/>
        <w:w w:val="100"/>
        <w:sz w:val="16"/>
        <w:szCs w:val="16"/>
        <w:lang w:val="en-US" w:eastAsia="en-US" w:bidi="ar-SA"/>
      </w:rPr>
    </w:lvl>
    <w:lvl w:ilvl="1">
      <w:start w:val="0"/>
      <w:numFmt w:val="bullet"/>
      <w:lvlText w:val="•"/>
      <w:lvlJc w:val="left"/>
      <w:pPr>
        <w:ind w:left="1440" w:hanging="241"/>
      </w:pPr>
      <w:rPr>
        <w:rFonts w:hint="default"/>
        <w:lang w:val="en-US" w:eastAsia="en-US" w:bidi="ar-SA"/>
      </w:rPr>
    </w:lvl>
    <w:lvl w:ilvl="2">
      <w:start w:val="0"/>
      <w:numFmt w:val="bullet"/>
      <w:lvlText w:val="•"/>
      <w:lvlJc w:val="left"/>
      <w:pPr>
        <w:ind w:left="2460" w:hanging="241"/>
      </w:pPr>
      <w:rPr>
        <w:rFonts w:hint="default"/>
        <w:lang w:val="en-US" w:eastAsia="en-US" w:bidi="ar-SA"/>
      </w:rPr>
    </w:lvl>
    <w:lvl w:ilvl="3">
      <w:start w:val="0"/>
      <w:numFmt w:val="bullet"/>
      <w:lvlText w:val="•"/>
      <w:lvlJc w:val="left"/>
      <w:pPr>
        <w:ind w:left="3480" w:hanging="241"/>
      </w:pPr>
      <w:rPr>
        <w:rFonts w:hint="default"/>
        <w:lang w:val="en-US" w:eastAsia="en-US" w:bidi="ar-SA"/>
      </w:rPr>
    </w:lvl>
    <w:lvl w:ilvl="4">
      <w:start w:val="0"/>
      <w:numFmt w:val="bullet"/>
      <w:lvlText w:val="•"/>
      <w:lvlJc w:val="left"/>
      <w:pPr>
        <w:ind w:left="4500" w:hanging="241"/>
      </w:pPr>
      <w:rPr>
        <w:rFonts w:hint="default"/>
        <w:lang w:val="en-US" w:eastAsia="en-US" w:bidi="ar-SA"/>
      </w:rPr>
    </w:lvl>
    <w:lvl w:ilvl="5">
      <w:start w:val="0"/>
      <w:numFmt w:val="bullet"/>
      <w:lvlText w:val="•"/>
      <w:lvlJc w:val="left"/>
      <w:pPr>
        <w:ind w:left="5520" w:hanging="241"/>
      </w:pPr>
      <w:rPr>
        <w:rFonts w:hint="default"/>
        <w:lang w:val="en-US" w:eastAsia="en-US" w:bidi="ar-SA"/>
      </w:rPr>
    </w:lvl>
    <w:lvl w:ilvl="6">
      <w:start w:val="0"/>
      <w:numFmt w:val="bullet"/>
      <w:lvlText w:val="•"/>
      <w:lvlJc w:val="left"/>
      <w:pPr>
        <w:ind w:left="6540" w:hanging="241"/>
      </w:pPr>
      <w:rPr>
        <w:rFonts w:hint="default"/>
        <w:lang w:val="en-US" w:eastAsia="en-US" w:bidi="ar-SA"/>
      </w:rPr>
    </w:lvl>
    <w:lvl w:ilvl="7">
      <w:start w:val="0"/>
      <w:numFmt w:val="bullet"/>
      <w:lvlText w:val="•"/>
      <w:lvlJc w:val="left"/>
      <w:pPr>
        <w:ind w:left="7560" w:hanging="241"/>
      </w:pPr>
      <w:rPr>
        <w:rFonts w:hint="default"/>
        <w:lang w:val="en-US" w:eastAsia="en-US" w:bidi="ar-SA"/>
      </w:rPr>
    </w:lvl>
    <w:lvl w:ilvl="8">
      <w:start w:val="0"/>
      <w:numFmt w:val="bullet"/>
      <w:lvlText w:val="•"/>
      <w:lvlJc w:val="left"/>
      <w:pPr>
        <w:ind w:left="8580" w:hanging="241"/>
      </w:pPr>
      <w:rPr>
        <w:rFonts w:hint="default"/>
        <w:lang w:val="en-US" w:eastAsia="en-US" w:bidi="ar-SA"/>
      </w:rPr>
    </w:lvl>
  </w:abstractNum>
  <w:abstractNum w:abstractNumId="42">
    <w:multiLevelType w:val="hybridMultilevel"/>
    <w:lvl w:ilvl="0">
      <w:start w:val="1"/>
      <w:numFmt w:val="decimal"/>
      <w:lvlText w:val="(%1)"/>
      <w:lvlJc w:val="left"/>
      <w:pPr>
        <w:ind w:left="5239" w:hanging="261"/>
        <w:jc w:val="left"/>
      </w:pPr>
      <w:rPr>
        <w:rFonts w:hint="default" w:ascii="Times New Roman" w:hAnsi="Times New Roman" w:eastAsia="Times New Roman" w:cs="Times New Roman"/>
        <w:spacing w:val="-11"/>
        <w:w w:val="100"/>
        <w:sz w:val="16"/>
        <w:szCs w:val="16"/>
        <w:lang w:val="en-US" w:eastAsia="en-US" w:bidi="ar-SA"/>
      </w:rPr>
    </w:lvl>
    <w:lvl w:ilvl="1">
      <w:start w:val="0"/>
      <w:numFmt w:val="bullet"/>
      <w:lvlText w:val="•"/>
      <w:lvlJc w:val="left"/>
      <w:pPr>
        <w:ind w:left="5778" w:hanging="261"/>
      </w:pPr>
      <w:rPr>
        <w:rFonts w:hint="default"/>
        <w:lang w:val="en-US" w:eastAsia="en-US" w:bidi="ar-SA"/>
      </w:rPr>
    </w:lvl>
    <w:lvl w:ilvl="2">
      <w:start w:val="0"/>
      <w:numFmt w:val="bullet"/>
      <w:lvlText w:val="•"/>
      <w:lvlJc w:val="left"/>
      <w:pPr>
        <w:ind w:left="6316" w:hanging="261"/>
      </w:pPr>
      <w:rPr>
        <w:rFonts w:hint="default"/>
        <w:lang w:val="en-US" w:eastAsia="en-US" w:bidi="ar-SA"/>
      </w:rPr>
    </w:lvl>
    <w:lvl w:ilvl="3">
      <w:start w:val="0"/>
      <w:numFmt w:val="bullet"/>
      <w:lvlText w:val="•"/>
      <w:lvlJc w:val="left"/>
      <w:pPr>
        <w:ind w:left="6854" w:hanging="261"/>
      </w:pPr>
      <w:rPr>
        <w:rFonts w:hint="default"/>
        <w:lang w:val="en-US" w:eastAsia="en-US" w:bidi="ar-SA"/>
      </w:rPr>
    </w:lvl>
    <w:lvl w:ilvl="4">
      <w:start w:val="0"/>
      <w:numFmt w:val="bullet"/>
      <w:lvlText w:val="•"/>
      <w:lvlJc w:val="left"/>
      <w:pPr>
        <w:ind w:left="7392" w:hanging="261"/>
      </w:pPr>
      <w:rPr>
        <w:rFonts w:hint="default"/>
        <w:lang w:val="en-US" w:eastAsia="en-US" w:bidi="ar-SA"/>
      </w:rPr>
    </w:lvl>
    <w:lvl w:ilvl="5">
      <w:start w:val="0"/>
      <w:numFmt w:val="bullet"/>
      <w:lvlText w:val="•"/>
      <w:lvlJc w:val="left"/>
      <w:pPr>
        <w:ind w:left="7930" w:hanging="261"/>
      </w:pPr>
      <w:rPr>
        <w:rFonts w:hint="default"/>
        <w:lang w:val="en-US" w:eastAsia="en-US" w:bidi="ar-SA"/>
      </w:rPr>
    </w:lvl>
    <w:lvl w:ilvl="6">
      <w:start w:val="0"/>
      <w:numFmt w:val="bullet"/>
      <w:lvlText w:val="•"/>
      <w:lvlJc w:val="left"/>
      <w:pPr>
        <w:ind w:left="8468" w:hanging="261"/>
      </w:pPr>
      <w:rPr>
        <w:rFonts w:hint="default"/>
        <w:lang w:val="en-US" w:eastAsia="en-US" w:bidi="ar-SA"/>
      </w:rPr>
    </w:lvl>
    <w:lvl w:ilvl="7">
      <w:start w:val="0"/>
      <w:numFmt w:val="bullet"/>
      <w:lvlText w:val="•"/>
      <w:lvlJc w:val="left"/>
      <w:pPr>
        <w:ind w:left="9006" w:hanging="261"/>
      </w:pPr>
      <w:rPr>
        <w:rFonts w:hint="default"/>
        <w:lang w:val="en-US" w:eastAsia="en-US" w:bidi="ar-SA"/>
      </w:rPr>
    </w:lvl>
    <w:lvl w:ilvl="8">
      <w:start w:val="0"/>
      <w:numFmt w:val="bullet"/>
      <w:lvlText w:val="•"/>
      <w:lvlJc w:val="left"/>
      <w:pPr>
        <w:ind w:left="9544" w:hanging="261"/>
      </w:pPr>
      <w:rPr>
        <w:rFonts w:hint="default"/>
        <w:lang w:val="en-US" w:eastAsia="en-US" w:bidi="ar-SA"/>
      </w:rPr>
    </w:lvl>
  </w:abstractNum>
  <w:abstractNum w:abstractNumId="41">
    <w:multiLevelType w:val="hybridMultilevel"/>
    <w:lvl w:ilvl="0">
      <w:start w:val="6"/>
      <w:numFmt w:val="decimal"/>
      <w:lvlText w:val="%1"/>
      <w:lvlJc w:val="left"/>
      <w:pPr>
        <w:ind w:left="5871" w:hanging="892"/>
        <w:jc w:val="left"/>
      </w:pPr>
      <w:rPr>
        <w:rFonts w:hint="default"/>
        <w:lang w:val="en-US" w:eastAsia="en-US" w:bidi="ar-SA"/>
      </w:rPr>
    </w:lvl>
    <w:lvl w:ilvl="1">
      <w:start w:val="1"/>
      <w:numFmt w:val="decimal"/>
      <w:lvlText w:val="%1.%2"/>
      <w:lvlJc w:val="left"/>
      <w:pPr>
        <w:ind w:left="5871" w:hanging="892"/>
        <w:jc w:val="right"/>
      </w:pPr>
      <w:rPr>
        <w:rFonts w:hint="default" w:ascii="Times New Roman" w:hAnsi="Times New Roman" w:eastAsia="Times New Roman" w:cs="Times New Roman"/>
        <w:b/>
        <w:bCs/>
        <w:color w:val="009391"/>
        <w:spacing w:val="-11"/>
        <w:w w:val="100"/>
        <w:sz w:val="28"/>
        <w:szCs w:val="28"/>
        <w:u w:val="thick" w:color="0092C7"/>
        <w:lang w:val="en-US" w:eastAsia="en-US" w:bidi="ar-SA"/>
      </w:rPr>
    </w:lvl>
    <w:lvl w:ilvl="2">
      <w:start w:val="0"/>
      <w:numFmt w:val="bullet"/>
      <w:lvlText w:val="•"/>
      <w:lvlJc w:val="left"/>
      <w:pPr>
        <w:ind w:left="6828" w:hanging="892"/>
      </w:pPr>
      <w:rPr>
        <w:rFonts w:hint="default"/>
        <w:lang w:val="en-US" w:eastAsia="en-US" w:bidi="ar-SA"/>
      </w:rPr>
    </w:lvl>
    <w:lvl w:ilvl="3">
      <w:start w:val="0"/>
      <w:numFmt w:val="bullet"/>
      <w:lvlText w:val="•"/>
      <w:lvlJc w:val="left"/>
      <w:pPr>
        <w:ind w:left="7302" w:hanging="892"/>
      </w:pPr>
      <w:rPr>
        <w:rFonts w:hint="default"/>
        <w:lang w:val="en-US" w:eastAsia="en-US" w:bidi="ar-SA"/>
      </w:rPr>
    </w:lvl>
    <w:lvl w:ilvl="4">
      <w:start w:val="0"/>
      <w:numFmt w:val="bullet"/>
      <w:lvlText w:val="•"/>
      <w:lvlJc w:val="left"/>
      <w:pPr>
        <w:ind w:left="7776" w:hanging="892"/>
      </w:pPr>
      <w:rPr>
        <w:rFonts w:hint="default"/>
        <w:lang w:val="en-US" w:eastAsia="en-US" w:bidi="ar-SA"/>
      </w:rPr>
    </w:lvl>
    <w:lvl w:ilvl="5">
      <w:start w:val="0"/>
      <w:numFmt w:val="bullet"/>
      <w:lvlText w:val="•"/>
      <w:lvlJc w:val="left"/>
      <w:pPr>
        <w:ind w:left="8250" w:hanging="892"/>
      </w:pPr>
      <w:rPr>
        <w:rFonts w:hint="default"/>
        <w:lang w:val="en-US" w:eastAsia="en-US" w:bidi="ar-SA"/>
      </w:rPr>
    </w:lvl>
    <w:lvl w:ilvl="6">
      <w:start w:val="0"/>
      <w:numFmt w:val="bullet"/>
      <w:lvlText w:val="•"/>
      <w:lvlJc w:val="left"/>
      <w:pPr>
        <w:ind w:left="8724" w:hanging="892"/>
      </w:pPr>
      <w:rPr>
        <w:rFonts w:hint="default"/>
        <w:lang w:val="en-US" w:eastAsia="en-US" w:bidi="ar-SA"/>
      </w:rPr>
    </w:lvl>
    <w:lvl w:ilvl="7">
      <w:start w:val="0"/>
      <w:numFmt w:val="bullet"/>
      <w:lvlText w:val="•"/>
      <w:lvlJc w:val="left"/>
      <w:pPr>
        <w:ind w:left="9198" w:hanging="892"/>
      </w:pPr>
      <w:rPr>
        <w:rFonts w:hint="default"/>
        <w:lang w:val="en-US" w:eastAsia="en-US" w:bidi="ar-SA"/>
      </w:rPr>
    </w:lvl>
    <w:lvl w:ilvl="8">
      <w:start w:val="0"/>
      <w:numFmt w:val="bullet"/>
      <w:lvlText w:val="•"/>
      <w:lvlJc w:val="left"/>
      <w:pPr>
        <w:ind w:left="9672" w:hanging="892"/>
      </w:pPr>
      <w:rPr>
        <w:rFonts w:hint="default"/>
        <w:lang w:val="en-US" w:eastAsia="en-US" w:bidi="ar-SA"/>
      </w:rPr>
    </w:lvl>
  </w:abstractNum>
  <w:abstractNum w:abstractNumId="40">
    <w:multiLevelType w:val="hybridMultilevel"/>
    <w:lvl w:ilvl="0">
      <w:start w:val="1"/>
      <w:numFmt w:val="decimal"/>
      <w:lvlText w:val="(%1)"/>
      <w:lvlJc w:val="left"/>
      <w:pPr>
        <w:ind w:left="431" w:hanging="241"/>
        <w:jc w:val="left"/>
      </w:pPr>
      <w:rPr>
        <w:rFonts w:hint="default" w:ascii="Times New Roman" w:hAnsi="Times New Roman" w:eastAsia="Times New Roman" w:cs="Times New Roman"/>
        <w:spacing w:val="-1"/>
        <w:w w:val="100"/>
        <w:sz w:val="16"/>
        <w:szCs w:val="16"/>
        <w:lang w:val="en-US" w:eastAsia="en-US" w:bidi="ar-SA"/>
      </w:rPr>
    </w:lvl>
    <w:lvl w:ilvl="1">
      <w:start w:val="1"/>
      <w:numFmt w:val="lowerLetter"/>
      <w:lvlText w:val="(%2)"/>
      <w:lvlJc w:val="left"/>
      <w:pPr>
        <w:ind w:left="419" w:hanging="241"/>
        <w:jc w:val="left"/>
      </w:pPr>
      <w:rPr>
        <w:rFonts w:hint="default" w:ascii="Times New Roman" w:hAnsi="Times New Roman" w:eastAsia="Times New Roman" w:cs="Times New Roman"/>
        <w:spacing w:val="-14"/>
        <w:w w:val="100"/>
        <w:sz w:val="12"/>
        <w:szCs w:val="12"/>
        <w:lang w:val="en-US" w:eastAsia="en-US" w:bidi="ar-SA"/>
      </w:rPr>
    </w:lvl>
    <w:lvl w:ilvl="2">
      <w:start w:val="0"/>
      <w:numFmt w:val="bullet"/>
      <w:lvlText w:val="•"/>
      <w:lvlJc w:val="left"/>
      <w:pPr>
        <w:ind w:left="307" w:hanging="241"/>
      </w:pPr>
      <w:rPr>
        <w:rFonts w:hint="default"/>
        <w:lang w:val="en-US" w:eastAsia="en-US" w:bidi="ar-SA"/>
      </w:rPr>
    </w:lvl>
    <w:lvl w:ilvl="3">
      <w:start w:val="0"/>
      <w:numFmt w:val="bullet"/>
      <w:lvlText w:val="•"/>
      <w:lvlJc w:val="left"/>
      <w:pPr>
        <w:ind w:left="175" w:hanging="241"/>
      </w:pPr>
      <w:rPr>
        <w:rFonts w:hint="default"/>
        <w:lang w:val="en-US" w:eastAsia="en-US" w:bidi="ar-SA"/>
      </w:rPr>
    </w:lvl>
    <w:lvl w:ilvl="4">
      <w:start w:val="0"/>
      <w:numFmt w:val="bullet"/>
      <w:lvlText w:val="•"/>
      <w:lvlJc w:val="left"/>
      <w:pPr>
        <w:ind w:left="42" w:hanging="241"/>
      </w:pPr>
      <w:rPr>
        <w:rFonts w:hint="default"/>
        <w:lang w:val="en-US" w:eastAsia="en-US" w:bidi="ar-SA"/>
      </w:rPr>
    </w:lvl>
    <w:lvl w:ilvl="5">
      <w:start w:val="0"/>
      <w:numFmt w:val="bullet"/>
      <w:lvlText w:val="•"/>
      <w:lvlJc w:val="left"/>
      <w:pPr>
        <w:ind w:left="-90" w:hanging="241"/>
      </w:pPr>
      <w:rPr>
        <w:rFonts w:hint="default"/>
        <w:lang w:val="en-US" w:eastAsia="en-US" w:bidi="ar-SA"/>
      </w:rPr>
    </w:lvl>
    <w:lvl w:ilvl="6">
      <w:start w:val="0"/>
      <w:numFmt w:val="bullet"/>
      <w:lvlText w:val="•"/>
      <w:lvlJc w:val="left"/>
      <w:pPr>
        <w:ind w:left="-223" w:hanging="241"/>
      </w:pPr>
      <w:rPr>
        <w:rFonts w:hint="default"/>
        <w:lang w:val="en-US" w:eastAsia="en-US" w:bidi="ar-SA"/>
      </w:rPr>
    </w:lvl>
    <w:lvl w:ilvl="7">
      <w:start w:val="0"/>
      <w:numFmt w:val="bullet"/>
      <w:lvlText w:val="•"/>
      <w:lvlJc w:val="left"/>
      <w:pPr>
        <w:ind w:left="-355" w:hanging="241"/>
      </w:pPr>
      <w:rPr>
        <w:rFonts w:hint="default"/>
        <w:lang w:val="en-US" w:eastAsia="en-US" w:bidi="ar-SA"/>
      </w:rPr>
    </w:lvl>
    <w:lvl w:ilvl="8">
      <w:start w:val="0"/>
      <w:numFmt w:val="bullet"/>
      <w:lvlText w:val="•"/>
      <w:lvlJc w:val="left"/>
      <w:pPr>
        <w:ind w:left="-488" w:hanging="241"/>
      </w:pPr>
      <w:rPr>
        <w:rFonts w:hint="default"/>
        <w:lang w:val="en-US" w:eastAsia="en-US" w:bidi="ar-SA"/>
      </w:rPr>
    </w:lvl>
  </w:abstractNum>
  <w:abstractNum w:abstractNumId="39">
    <w:multiLevelType w:val="hybridMultilevel"/>
    <w:lvl w:ilvl="0">
      <w:start w:val="1"/>
      <w:numFmt w:val="lowerLetter"/>
      <w:lvlText w:val="(%1)"/>
      <w:lvlJc w:val="left"/>
      <w:pPr>
        <w:ind w:left="40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05" w:hanging="241"/>
      </w:pPr>
      <w:rPr>
        <w:rFonts w:hint="default"/>
        <w:lang w:val="en-US" w:eastAsia="en-US" w:bidi="ar-SA"/>
      </w:rPr>
    </w:lvl>
    <w:lvl w:ilvl="2">
      <w:start w:val="0"/>
      <w:numFmt w:val="bullet"/>
      <w:lvlText w:val="•"/>
      <w:lvlJc w:val="left"/>
      <w:pPr>
        <w:ind w:left="1210" w:hanging="241"/>
      </w:pPr>
      <w:rPr>
        <w:rFonts w:hint="default"/>
        <w:lang w:val="en-US" w:eastAsia="en-US" w:bidi="ar-SA"/>
      </w:rPr>
    </w:lvl>
    <w:lvl w:ilvl="3">
      <w:start w:val="0"/>
      <w:numFmt w:val="bullet"/>
      <w:lvlText w:val="•"/>
      <w:lvlJc w:val="left"/>
      <w:pPr>
        <w:ind w:left="1615" w:hanging="241"/>
      </w:pPr>
      <w:rPr>
        <w:rFonts w:hint="default"/>
        <w:lang w:val="en-US" w:eastAsia="en-US" w:bidi="ar-SA"/>
      </w:rPr>
    </w:lvl>
    <w:lvl w:ilvl="4">
      <w:start w:val="0"/>
      <w:numFmt w:val="bullet"/>
      <w:lvlText w:val="•"/>
      <w:lvlJc w:val="left"/>
      <w:pPr>
        <w:ind w:left="2020" w:hanging="241"/>
      </w:pPr>
      <w:rPr>
        <w:rFonts w:hint="default"/>
        <w:lang w:val="en-US" w:eastAsia="en-US" w:bidi="ar-SA"/>
      </w:rPr>
    </w:lvl>
    <w:lvl w:ilvl="5">
      <w:start w:val="0"/>
      <w:numFmt w:val="bullet"/>
      <w:lvlText w:val="•"/>
      <w:lvlJc w:val="left"/>
      <w:pPr>
        <w:ind w:left="2425" w:hanging="241"/>
      </w:pPr>
      <w:rPr>
        <w:rFonts w:hint="default"/>
        <w:lang w:val="en-US" w:eastAsia="en-US" w:bidi="ar-SA"/>
      </w:rPr>
    </w:lvl>
    <w:lvl w:ilvl="6">
      <w:start w:val="0"/>
      <w:numFmt w:val="bullet"/>
      <w:lvlText w:val="•"/>
      <w:lvlJc w:val="left"/>
      <w:pPr>
        <w:ind w:left="2830" w:hanging="241"/>
      </w:pPr>
      <w:rPr>
        <w:rFonts w:hint="default"/>
        <w:lang w:val="en-US" w:eastAsia="en-US" w:bidi="ar-SA"/>
      </w:rPr>
    </w:lvl>
    <w:lvl w:ilvl="7">
      <w:start w:val="0"/>
      <w:numFmt w:val="bullet"/>
      <w:lvlText w:val="•"/>
      <w:lvlJc w:val="left"/>
      <w:pPr>
        <w:ind w:left="3235" w:hanging="241"/>
      </w:pPr>
      <w:rPr>
        <w:rFonts w:hint="default"/>
        <w:lang w:val="en-US" w:eastAsia="en-US" w:bidi="ar-SA"/>
      </w:rPr>
    </w:lvl>
    <w:lvl w:ilvl="8">
      <w:start w:val="0"/>
      <w:numFmt w:val="bullet"/>
      <w:lvlText w:val="•"/>
      <w:lvlJc w:val="left"/>
      <w:pPr>
        <w:ind w:left="3640" w:hanging="241"/>
      </w:pPr>
      <w:rPr>
        <w:rFonts w:hint="default"/>
        <w:lang w:val="en-US" w:eastAsia="en-US" w:bidi="ar-SA"/>
      </w:rPr>
    </w:lvl>
  </w:abstractNum>
  <w:abstractNum w:abstractNumId="38">
    <w:multiLevelType w:val="hybridMultilevel"/>
    <w:lvl w:ilvl="0">
      <w:start w:val="1"/>
      <w:numFmt w:val="lowerLetter"/>
      <w:lvlText w:val="(%1)"/>
      <w:lvlJc w:val="left"/>
      <w:pPr>
        <w:ind w:left="41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3" w:hanging="241"/>
      </w:pPr>
      <w:rPr>
        <w:rFonts w:hint="default"/>
        <w:lang w:val="en-US" w:eastAsia="en-US" w:bidi="ar-SA"/>
      </w:rPr>
    </w:lvl>
    <w:lvl w:ilvl="2">
      <w:start w:val="0"/>
      <w:numFmt w:val="bullet"/>
      <w:lvlText w:val="•"/>
      <w:lvlJc w:val="left"/>
      <w:pPr>
        <w:ind w:left="1226" w:hanging="241"/>
      </w:pPr>
      <w:rPr>
        <w:rFonts w:hint="default"/>
        <w:lang w:val="en-US" w:eastAsia="en-US" w:bidi="ar-SA"/>
      </w:rPr>
    </w:lvl>
    <w:lvl w:ilvl="3">
      <w:start w:val="0"/>
      <w:numFmt w:val="bullet"/>
      <w:lvlText w:val="•"/>
      <w:lvlJc w:val="left"/>
      <w:pPr>
        <w:ind w:left="1629" w:hanging="241"/>
      </w:pPr>
      <w:rPr>
        <w:rFonts w:hint="default"/>
        <w:lang w:val="en-US" w:eastAsia="en-US" w:bidi="ar-SA"/>
      </w:rPr>
    </w:lvl>
    <w:lvl w:ilvl="4">
      <w:start w:val="0"/>
      <w:numFmt w:val="bullet"/>
      <w:lvlText w:val="•"/>
      <w:lvlJc w:val="left"/>
      <w:pPr>
        <w:ind w:left="2032" w:hanging="241"/>
      </w:pPr>
      <w:rPr>
        <w:rFonts w:hint="default"/>
        <w:lang w:val="en-US" w:eastAsia="en-US" w:bidi="ar-SA"/>
      </w:rPr>
    </w:lvl>
    <w:lvl w:ilvl="5">
      <w:start w:val="0"/>
      <w:numFmt w:val="bullet"/>
      <w:lvlText w:val="•"/>
      <w:lvlJc w:val="left"/>
      <w:pPr>
        <w:ind w:left="2435" w:hanging="241"/>
      </w:pPr>
      <w:rPr>
        <w:rFonts w:hint="default"/>
        <w:lang w:val="en-US" w:eastAsia="en-US" w:bidi="ar-SA"/>
      </w:rPr>
    </w:lvl>
    <w:lvl w:ilvl="6">
      <w:start w:val="0"/>
      <w:numFmt w:val="bullet"/>
      <w:lvlText w:val="•"/>
      <w:lvlJc w:val="left"/>
      <w:pPr>
        <w:ind w:left="2838" w:hanging="241"/>
      </w:pPr>
      <w:rPr>
        <w:rFonts w:hint="default"/>
        <w:lang w:val="en-US" w:eastAsia="en-US" w:bidi="ar-SA"/>
      </w:rPr>
    </w:lvl>
    <w:lvl w:ilvl="7">
      <w:start w:val="0"/>
      <w:numFmt w:val="bullet"/>
      <w:lvlText w:val="•"/>
      <w:lvlJc w:val="left"/>
      <w:pPr>
        <w:ind w:left="3241" w:hanging="241"/>
      </w:pPr>
      <w:rPr>
        <w:rFonts w:hint="default"/>
        <w:lang w:val="en-US" w:eastAsia="en-US" w:bidi="ar-SA"/>
      </w:rPr>
    </w:lvl>
    <w:lvl w:ilvl="8">
      <w:start w:val="0"/>
      <w:numFmt w:val="bullet"/>
      <w:lvlText w:val="•"/>
      <w:lvlJc w:val="left"/>
      <w:pPr>
        <w:ind w:left="3644" w:hanging="241"/>
      </w:pPr>
      <w:rPr>
        <w:rFonts w:hint="default"/>
        <w:lang w:val="en-US" w:eastAsia="en-US" w:bidi="ar-SA"/>
      </w:rPr>
    </w:lvl>
  </w:abstractNum>
  <w:abstractNum w:abstractNumId="37">
    <w:multiLevelType w:val="hybridMultilevel"/>
    <w:lvl w:ilvl="0">
      <w:start w:val="1"/>
      <w:numFmt w:val="lowerLetter"/>
      <w:lvlText w:val="(%1)"/>
      <w:lvlJc w:val="left"/>
      <w:pPr>
        <w:ind w:left="41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49" w:hanging="241"/>
      </w:pPr>
      <w:rPr>
        <w:rFonts w:hint="default"/>
        <w:lang w:val="en-US" w:eastAsia="en-US" w:bidi="ar-SA"/>
      </w:rPr>
    </w:lvl>
    <w:lvl w:ilvl="2">
      <w:start w:val="0"/>
      <w:numFmt w:val="bullet"/>
      <w:lvlText w:val="•"/>
      <w:lvlJc w:val="left"/>
      <w:pPr>
        <w:ind w:left="1078" w:hanging="241"/>
      </w:pPr>
      <w:rPr>
        <w:rFonts w:hint="default"/>
        <w:lang w:val="en-US" w:eastAsia="en-US" w:bidi="ar-SA"/>
      </w:rPr>
    </w:lvl>
    <w:lvl w:ilvl="3">
      <w:start w:val="0"/>
      <w:numFmt w:val="bullet"/>
      <w:lvlText w:val="•"/>
      <w:lvlJc w:val="left"/>
      <w:pPr>
        <w:ind w:left="1407" w:hanging="241"/>
      </w:pPr>
      <w:rPr>
        <w:rFonts w:hint="default"/>
        <w:lang w:val="en-US" w:eastAsia="en-US" w:bidi="ar-SA"/>
      </w:rPr>
    </w:lvl>
    <w:lvl w:ilvl="4">
      <w:start w:val="0"/>
      <w:numFmt w:val="bullet"/>
      <w:lvlText w:val="•"/>
      <w:lvlJc w:val="left"/>
      <w:pPr>
        <w:ind w:left="1736" w:hanging="241"/>
      </w:pPr>
      <w:rPr>
        <w:rFonts w:hint="default"/>
        <w:lang w:val="en-US" w:eastAsia="en-US" w:bidi="ar-SA"/>
      </w:rPr>
    </w:lvl>
    <w:lvl w:ilvl="5">
      <w:start w:val="0"/>
      <w:numFmt w:val="bullet"/>
      <w:lvlText w:val="•"/>
      <w:lvlJc w:val="left"/>
      <w:pPr>
        <w:ind w:left="2065" w:hanging="241"/>
      </w:pPr>
      <w:rPr>
        <w:rFonts w:hint="default"/>
        <w:lang w:val="en-US" w:eastAsia="en-US" w:bidi="ar-SA"/>
      </w:rPr>
    </w:lvl>
    <w:lvl w:ilvl="6">
      <w:start w:val="0"/>
      <w:numFmt w:val="bullet"/>
      <w:lvlText w:val="•"/>
      <w:lvlJc w:val="left"/>
      <w:pPr>
        <w:ind w:left="2394" w:hanging="241"/>
      </w:pPr>
      <w:rPr>
        <w:rFonts w:hint="default"/>
        <w:lang w:val="en-US" w:eastAsia="en-US" w:bidi="ar-SA"/>
      </w:rPr>
    </w:lvl>
    <w:lvl w:ilvl="7">
      <w:start w:val="0"/>
      <w:numFmt w:val="bullet"/>
      <w:lvlText w:val="•"/>
      <w:lvlJc w:val="left"/>
      <w:pPr>
        <w:ind w:left="2723" w:hanging="241"/>
      </w:pPr>
      <w:rPr>
        <w:rFonts w:hint="default"/>
        <w:lang w:val="en-US" w:eastAsia="en-US" w:bidi="ar-SA"/>
      </w:rPr>
    </w:lvl>
    <w:lvl w:ilvl="8">
      <w:start w:val="0"/>
      <w:numFmt w:val="bullet"/>
      <w:lvlText w:val="•"/>
      <w:lvlJc w:val="left"/>
      <w:pPr>
        <w:ind w:left="3052" w:hanging="241"/>
      </w:pPr>
      <w:rPr>
        <w:rFonts w:hint="default"/>
        <w:lang w:val="en-US" w:eastAsia="en-US" w:bidi="ar-SA"/>
      </w:rPr>
    </w:lvl>
  </w:abstractNum>
  <w:abstractNum w:abstractNumId="36">
    <w:multiLevelType w:val="hybridMultilevel"/>
    <w:lvl w:ilvl="0">
      <w:start w:val="4"/>
      <w:numFmt w:val="decimal"/>
      <w:lvlText w:val="%1"/>
      <w:lvlJc w:val="left"/>
      <w:pPr>
        <w:ind w:left="1269" w:hanging="1095"/>
        <w:jc w:val="left"/>
      </w:pPr>
      <w:rPr>
        <w:rFonts w:hint="default"/>
        <w:lang w:val="en-US" w:eastAsia="en-US" w:bidi="ar-SA"/>
      </w:rPr>
    </w:lvl>
    <w:lvl w:ilvl="1">
      <w:start w:val="2"/>
      <w:numFmt w:val="decimal"/>
      <w:lvlText w:val="%1.%2"/>
      <w:lvlJc w:val="left"/>
      <w:pPr>
        <w:ind w:left="1269" w:hanging="1095"/>
        <w:jc w:val="left"/>
      </w:pPr>
      <w:rPr>
        <w:rFonts w:hint="default"/>
        <w:b/>
        <w:bCs/>
        <w:spacing w:val="-21"/>
        <w:w w:val="100"/>
        <w:u w:val="thick" w:color="0092C7"/>
        <w:lang w:val="en-US" w:eastAsia="en-US" w:bidi="ar-SA"/>
      </w:rPr>
    </w:lvl>
    <w:lvl w:ilvl="2">
      <w:start w:val="0"/>
      <w:numFmt w:val="bullet"/>
      <w:lvlText w:val="•"/>
      <w:lvlJc w:val="left"/>
      <w:pPr>
        <w:ind w:left="2171" w:hanging="1095"/>
      </w:pPr>
      <w:rPr>
        <w:rFonts w:hint="default"/>
        <w:lang w:val="en-US" w:eastAsia="en-US" w:bidi="ar-SA"/>
      </w:rPr>
    </w:lvl>
    <w:lvl w:ilvl="3">
      <w:start w:val="0"/>
      <w:numFmt w:val="bullet"/>
      <w:lvlText w:val="•"/>
      <w:lvlJc w:val="left"/>
      <w:pPr>
        <w:ind w:left="2626" w:hanging="1095"/>
      </w:pPr>
      <w:rPr>
        <w:rFonts w:hint="default"/>
        <w:lang w:val="en-US" w:eastAsia="en-US" w:bidi="ar-SA"/>
      </w:rPr>
    </w:lvl>
    <w:lvl w:ilvl="4">
      <w:start w:val="0"/>
      <w:numFmt w:val="bullet"/>
      <w:lvlText w:val="•"/>
      <w:lvlJc w:val="left"/>
      <w:pPr>
        <w:ind w:left="3082" w:hanging="1095"/>
      </w:pPr>
      <w:rPr>
        <w:rFonts w:hint="default"/>
        <w:lang w:val="en-US" w:eastAsia="en-US" w:bidi="ar-SA"/>
      </w:rPr>
    </w:lvl>
    <w:lvl w:ilvl="5">
      <w:start w:val="0"/>
      <w:numFmt w:val="bullet"/>
      <w:lvlText w:val="•"/>
      <w:lvlJc w:val="left"/>
      <w:pPr>
        <w:ind w:left="3537" w:hanging="1095"/>
      </w:pPr>
      <w:rPr>
        <w:rFonts w:hint="default"/>
        <w:lang w:val="en-US" w:eastAsia="en-US" w:bidi="ar-SA"/>
      </w:rPr>
    </w:lvl>
    <w:lvl w:ilvl="6">
      <w:start w:val="0"/>
      <w:numFmt w:val="bullet"/>
      <w:lvlText w:val="•"/>
      <w:lvlJc w:val="left"/>
      <w:pPr>
        <w:ind w:left="3993" w:hanging="1095"/>
      </w:pPr>
      <w:rPr>
        <w:rFonts w:hint="default"/>
        <w:lang w:val="en-US" w:eastAsia="en-US" w:bidi="ar-SA"/>
      </w:rPr>
    </w:lvl>
    <w:lvl w:ilvl="7">
      <w:start w:val="0"/>
      <w:numFmt w:val="bullet"/>
      <w:lvlText w:val="•"/>
      <w:lvlJc w:val="left"/>
      <w:pPr>
        <w:ind w:left="4448" w:hanging="1095"/>
      </w:pPr>
      <w:rPr>
        <w:rFonts w:hint="default"/>
        <w:lang w:val="en-US" w:eastAsia="en-US" w:bidi="ar-SA"/>
      </w:rPr>
    </w:lvl>
    <w:lvl w:ilvl="8">
      <w:start w:val="0"/>
      <w:numFmt w:val="bullet"/>
      <w:lvlText w:val="•"/>
      <w:lvlJc w:val="left"/>
      <w:pPr>
        <w:ind w:left="4904" w:hanging="1095"/>
      </w:pPr>
      <w:rPr>
        <w:rFonts w:hint="default"/>
        <w:lang w:val="en-US" w:eastAsia="en-US" w:bidi="ar-SA"/>
      </w:rPr>
    </w:lvl>
  </w:abstractNum>
  <w:abstractNum w:abstractNumId="35">
    <w:multiLevelType w:val="hybridMultilevel"/>
    <w:lvl w:ilvl="0">
      <w:start w:val="1"/>
      <w:numFmt w:val="lowerLetter"/>
      <w:lvlText w:val="(%1)"/>
      <w:lvlJc w:val="left"/>
      <w:pPr>
        <w:ind w:left="419"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1" w:hanging="241"/>
      </w:pPr>
      <w:rPr>
        <w:rFonts w:hint="default"/>
        <w:lang w:val="en-US" w:eastAsia="en-US" w:bidi="ar-SA"/>
      </w:rPr>
    </w:lvl>
    <w:lvl w:ilvl="2">
      <w:start w:val="0"/>
      <w:numFmt w:val="bullet"/>
      <w:lvlText w:val="•"/>
      <w:lvlJc w:val="left"/>
      <w:pPr>
        <w:ind w:left="1123" w:hanging="241"/>
      </w:pPr>
      <w:rPr>
        <w:rFonts w:hint="default"/>
        <w:lang w:val="en-US" w:eastAsia="en-US" w:bidi="ar-SA"/>
      </w:rPr>
    </w:lvl>
    <w:lvl w:ilvl="3">
      <w:start w:val="0"/>
      <w:numFmt w:val="bullet"/>
      <w:lvlText w:val="•"/>
      <w:lvlJc w:val="left"/>
      <w:pPr>
        <w:ind w:left="1474" w:hanging="241"/>
      </w:pPr>
      <w:rPr>
        <w:rFonts w:hint="default"/>
        <w:lang w:val="en-US" w:eastAsia="en-US" w:bidi="ar-SA"/>
      </w:rPr>
    </w:lvl>
    <w:lvl w:ilvl="4">
      <w:start w:val="0"/>
      <w:numFmt w:val="bullet"/>
      <w:lvlText w:val="•"/>
      <w:lvlJc w:val="left"/>
      <w:pPr>
        <w:ind w:left="1826" w:hanging="241"/>
      </w:pPr>
      <w:rPr>
        <w:rFonts w:hint="default"/>
        <w:lang w:val="en-US" w:eastAsia="en-US" w:bidi="ar-SA"/>
      </w:rPr>
    </w:lvl>
    <w:lvl w:ilvl="5">
      <w:start w:val="0"/>
      <w:numFmt w:val="bullet"/>
      <w:lvlText w:val="•"/>
      <w:lvlJc w:val="left"/>
      <w:pPr>
        <w:ind w:left="2178" w:hanging="241"/>
      </w:pPr>
      <w:rPr>
        <w:rFonts w:hint="default"/>
        <w:lang w:val="en-US" w:eastAsia="en-US" w:bidi="ar-SA"/>
      </w:rPr>
    </w:lvl>
    <w:lvl w:ilvl="6">
      <w:start w:val="0"/>
      <w:numFmt w:val="bullet"/>
      <w:lvlText w:val="•"/>
      <w:lvlJc w:val="left"/>
      <w:pPr>
        <w:ind w:left="2529" w:hanging="241"/>
      </w:pPr>
      <w:rPr>
        <w:rFonts w:hint="default"/>
        <w:lang w:val="en-US" w:eastAsia="en-US" w:bidi="ar-SA"/>
      </w:rPr>
    </w:lvl>
    <w:lvl w:ilvl="7">
      <w:start w:val="0"/>
      <w:numFmt w:val="bullet"/>
      <w:lvlText w:val="•"/>
      <w:lvlJc w:val="left"/>
      <w:pPr>
        <w:ind w:left="2881" w:hanging="241"/>
      </w:pPr>
      <w:rPr>
        <w:rFonts w:hint="default"/>
        <w:lang w:val="en-US" w:eastAsia="en-US" w:bidi="ar-SA"/>
      </w:rPr>
    </w:lvl>
    <w:lvl w:ilvl="8">
      <w:start w:val="0"/>
      <w:numFmt w:val="bullet"/>
      <w:lvlText w:val="•"/>
      <w:lvlJc w:val="left"/>
      <w:pPr>
        <w:ind w:left="3233" w:hanging="241"/>
      </w:pPr>
      <w:rPr>
        <w:rFonts w:hint="default"/>
        <w:lang w:val="en-US" w:eastAsia="en-US" w:bidi="ar-SA"/>
      </w:rPr>
    </w:lvl>
  </w:abstractNum>
  <w:abstractNum w:abstractNumId="34">
    <w:multiLevelType w:val="hybridMultilevel"/>
    <w:lvl w:ilvl="0">
      <w:start w:val="4"/>
      <w:numFmt w:val="decimal"/>
      <w:lvlText w:val="%1"/>
      <w:lvlJc w:val="left"/>
      <w:pPr>
        <w:ind w:left="992" w:hanging="833"/>
        <w:jc w:val="left"/>
      </w:pPr>
      <w:rPr>
        <w:rFonts w:hint="default"/>
        <w:lang w:val="en-US" w:eastAsia="en-US" w:bidi="ar-SA"/>
      </w:rPr>
    </w:lvl>
    <w:lvl w:ilvl="1">
      <w:start w:val="1"/>
      <w:numFmt w:val="decimal"/>
      <w:lvlText w:val="%1.%2"/>
      <w:lvlJc w:val="left"/>
      <w:pPr>
        <w:ind w:left="992" w:hanging="833"/>
        <w:jc w:val="left"/>
      </w:pPr>
      <w:rPr>
        <w:rFonts w:hint="default" w:ascii="Times New Roman" w:hAnsi="Times New Roman" w:eastAsia="Times New Roman" w:cs="Times New Roman"/>
        <w:b/>
        <w:bCs/>
        <w:color w:val="009391"/>
        <w:spacing w:val="-1"/>
        <w:w w:val="100"/>
        <w:sz w:val="28"/>
        <w:szCs w:val="28"/>
        <w:u w:val="thick" w:color="0092C7"/>
        <w:lang w:val="en-US" w:eastAsia="en-US" w:bidi="ar-SA"/>
      </w:rPr>
    </w:lvl>
    <w:lvl w:ilvl="2">
      <w:start w:val="1"/>
      <w:numFmt w:val="decimal"/>
      <w:lvlText w:val="(%3)"/>
      <w:lvlJc w:val="left"/>
      <w:pPr>
        <w:ind w:left="5210" w:hanging="241"/>
        <w:jc w:val="left"/>
      </w:pPr>
      <w:rPr>
        <w:rFonts w:hint="default" w:ascii="Times New Roman" w:hAnsi="Times New Roman" w:eastAsia="Times New Roman" w:cs="Times New Roman"/>
        <w:spacing w:val="-1"/>
        <w:w w:val="100"/>
        <w:sz w:val="16"/>
        <w:szCs w:val="16"/>
        <w:lang w:val="en-US" w:eastAsia="en-US" w:bidi="ar-SA"/>
      </w:rPr>
    </w:lvl>
    <w:lvl w:ilvl="3">
      <w:start w:val="0"/>
      <w:numFmt w:val="bullet"/>
      <w:lvlText w:val="•"/>
      <w:lvlJc w:val="left"/>
      <w:pPr>
        <w:ind w:left="5348" w:hanging="241"/>
      </w:pPr>
      <w:rPr>
        <w:rFonts w:hint="default"/>
        <w:lang w:val="en-US" w:eastAsia="en-US" w:bidi="ar-SA"/>
      </w:rPr>
    </w:lvl>
    <w:lvl w:ilvl="4">
      <w:start w:val="0"/>
      <w:numFmt w:val="bullet"/>
      <w:lvlText w:val="•"/>
      <w:lvlJc w:val="left"/>
      <w:pPr>
        <w:ind w:left="5413" w:hanging="241"/>
      </w:pPr>
      <w:rPr>
        <w:rFonts w:hint="default"/>
        <w:lang w:val="en-US" w:eastAsia="en-US" w:bidi="ar-SA"/>
      </w:rPr>
    </w:lvl>
    <w:lvl w:ilvl="5">
      <w:start w:val="0"/>
      <w:numFmt w:val="bullet"/>
      <w:lvlText w:val="•"/>
      <w:lvlJc w:val="left"/>
      <w:pPr>
        <w:ind w:left="5477" w:hanging="241"/>
      </w:pPr>
      <w:rPr>
        <w:rFonts w:hint="default"/>
        <w:lang w:val="en-US" w:eastAsia="en-US" w:bidi="ar-SA"/>
      </w:rPr>
    </w:lvl>
    <w:lvl w:ilvl="6">
      <w:start w:val="0"/>
      <w:numFmt w:val="bullet"/>
      <w:lvlText w:val="•"/>
      <w:lvlJc w:val="left"/>
      <w:pPr>
        <w:ind w:left="5542" w:hanging="241"/>
      </w:pPr>
      <w:rPr>
        <w:rFonts w:hint="default"/>
        <w:lang w:val="en-US" w:eastAsia="en-US" w:bidi="ar-SA"/>
      </w:rPr>
    </w:lvl>
    <w:lvl w:ilvl="7">
      <w:start w:val="0"/>
      <w:numFmt w:val="bullet"/>
      <w:lvlText w:val="•"/>
      <w:lvlJc w:val="left"/>
      <w:pPr>
        <w:ind w:left="5606" w:hanging="241"/>
      </w:pPr>
      <w:rPr>
        <w:rFonts w:hint="default"/>
        <w:lang w:val="en-US" w:eastAsia="en-US" w:bidi="ar-SA"/>
      </w:rPr>
    </w:lvl>
    <w:lvl w:ilvl="8">
      <w:start w:val="0"/>
      <w:numFmt w:val="bullet"/>
      <w:lvlText w:val="•"/>
      <w:lvlJc w:val="left"/>
      <w:pPr>
        <w:ind w:left="5671" w:hanging="241"/>
      </w:pPr>
      <w:rPr>
        <w:rFonts w:hint="default"/>
        <w:lang w:val="en-US" w:eastAsia="en-US" w:bidi="ar-SA"/>
      </w:rPr>
    </w:lvl>
  </w:abstractNum>
  <w:abstractNum w:abstractNumId="33">
    <w:multiLevelType w:val="hybridMultilevel"/>
    <w:lvl w:ilvl="0">
      <w:start w:val="1"/>
      <w:numFmt w:val="lowerLetter"/>
      <w:lvlText w:val="(%1)"/>
      <w:lvlJc w:val="left"/>
      <w:pPr>
        <w:ind w:left="40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4" w:hanging="241"/>
      </w:pPr>
      <w:rPr>
        <w:rFonts w:hint="default"/>
        <w:lang w:val="en-US" w:eastAsia="en-US" w:bidi="ar-SA"/>
      </w:rPr>
    </w:lvl>
    <w:lvl w:ilvl="2">
      <w:start w:val="0"/>
      <w:numFmt w:val="bullet"/>
      <w:lvlText w:val="•"/>
      <w:lvlJc w:val="left"/>
      <w:pPr>
        <w:ind w:left="1148" w:hanging="241"/>
      </w:pPr>
      <w:rPr>
        <w:rFonts w:hint="default"/>
        <w:lang w:val="en-US" w:eastAsia="en-US" w:bidi="ar-SA"/>
      </w:rPr>
    </w:lvl>
    <w:lvl w:ilvl="3">
      <w:start w:val="0"/>
      <w:numFmt w:val="bullet"/>
      <w:lvlText w:val="•"/>
      <w:lvlJc w:val="left"/>
      <w:pPr>
        <w:ind w:left="1522" w:hanging="241"/>
      </w:pPr>
      <w:rPr>
        <w:rFonts w:hint="default"/>
        <w:lang w:val="en-US" w:eastAsia="en-US" w:bidi="ar-SA"/>
      </w:rPr>
    </w:lvl>
    <w:lvl w:ilvl="4">
      <w:start w:val="0"/>
      <w:numFmt w:val="bullet"/>
      <w:lvlText w:val="•"/>
      <w:lvlJc w:val="left"/>
      <w:pPr>
        <w:ind w:left="1897" w:hanging="241"/>
      </w:pPr>
      <w:rPr>
        <w:rFonts w:hint="default"/>
        <w:lang w:val="en-US" w:eastAsia="en-US" w:bidi="ar-SA"/>
      </w:rPr>
    </w:lvl>
    <w:lvl w:ilvl="5">
      <w:start w:val="0"/>
      <w:numFmt w:val="bullet"/>
      <w:lvlText w:val="•"/>
      <w:lvlJc w:val="left"/>
      <w:pPr>
        <w:ind w:left="2271" w:hanging="241"/>
      </w:pPr>
      <w:rPr>
        <w:rFonts w:hint="default"/>
        <w:lang w:val="en-US" w:eastAsia="en-US" w:bidi="ar-SA"/>
      </w:rPr>
    </w:lvl>
    <w:lvl w:ilvl="6">
      <w:start w:val="0"/>
      <w:numFmt w:val="bullet"/>
      <w:lvlText w:val="•"/>
      <w:lvlJc w:val="left"/>
      <w:pPr>
        <w:ind w:left="2645" w:hanging="241"/>
      </w:pPr>
      <w:rPr>
        <w:rFonts w:hint="default"/>
        <w:lang w:val="en-US" w:eastAsia="en-US" w:bidi="ar-SA"/>
      </w:rPr>
    </w:lvl>
    <w:lvl w:ilvl="7">
      <w:start w:val="0"/>
      <w:numFmt w:val="bullet"/>
      <w:lvlText w:val="•"/>
      <w:lvlJc w:val="left"/>
      <w:pPr>
        <w:ind w:left="3020" w:hanging="241"/>
      </w:pPr>
      <w:rPr>
        <w:rFonts w:hint="default"/>
        <w:lang w:val="en-US" w:eastAsia="en-US" w:bidi="ar-SA"/>
      </w:rPr>
    </w:lvl>
    <w:lvl w:ilvl="8">
      <w:start w:val="0"/>
      <w:numFmt w:val="bullet"/>
      <w:lvlText w:val="•"/>
      <w:lvlJc w:val="left"/>
      <w:pPr>
        <w:ind w:left="3394" w:hanging="241"/>
      </w:pPr>
      <w:rPr>
        <w:rFonts w:hint="default"/>
        <w:lang w:val="en-US" w:eastAsia="en-US" w:bidi="ar-SA"/>
      </w:rPr>
    </w:lvl>
  </w:abstractNum>
  <w:abstractNum w:abstractNumId="32">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9" w:hanging="241"/>
      </w:pPr>
      <w:rPr>
        <w:rFonts w:hint="default"/>
        <w:lang w:val="en-US" w:eastAsia="en-US" w:bidi="ar-SA"/>
      </w:rPr>
    </w:lvl>
    <w:lvl w:ilvl="2">
      <w:start w:val="0"/>
      <w:numFmt w:val="bullet"/>
      <w:lvlText w:val="•"/>
      <w:lvlJc w:val="left"/>
      <w:pPr>
        <w:ind w:left="1238" w:hanging="241"/>
      </w:pPr>
      <w:rPr>
        <w:rFonts w:hint="default"/>
        <w:lang w:val="en-US" w:eastAsia="en-US" w:bidi="ar-SA"/>
      </w:rPr>
    </w:lvl>
    <w:lvl w:ilvl="3">
      <w:start w:val="0"/>
      <w:numFmt w:val="bullet"/>
      <w:lvlText w:val="•"/>
      <w:lvlJc w:val="left"/>
      <w:pPr>
        <w:ind w:left="1647" w:hanging="241"/>
      </w:pPr>
      <w:rPr>
        <w:rFonts w:hint="default"/>
        <w:lang w:val="en-US" w:eastAsia="en-US" w:bidi="ar-SA"/>
      </w:rPr>
    </w:lvl>
    <w:lvl w:ilvl="4">
      <w:start w:val="0"/>
      <w:numFmt w:val="bullet"/>
      <w:lvlText w:val="•"/>
      <w:lvlJc w:val="left"/>
      <w:pPr>
        <w:ind w:left="2056" w:hanging="241"/>
      </w:pPr>
      <w:rPr>
        <w:rFonts w:hint="default"/>
        <w:lang w:val="en-US" w:eastAsia="en-US" w:bidi="ar-SA"/>
      </w:rPr>
    </w:lvl>
    <w:lvl w:ilvl="5">
      <w:start w:val="0"/>
      <w:numFmt w:val="bullet"/>
      <w:lvlText w:val="•"/>
      <w:lvlJc w:val="left"/>
      <w:pPr>
        <w:ind w:left="2465" w:hanging="241"/>
      </w:pPr>
      <w:rPr>
        <w:rFonts w:hint="default"/>
        <w:lang w:val="en-US" w:eastAsia="en-US" w:bidi="ar-SA"/>
      </w:rPr>
    </w:lvl>
    <w:lvl w:ilvl="6">
      <w:start w:val="0"/>
      <w:numFmt w:val="bullet"/>
      <w:lvlText w:val="•"/>
      <w:lvlJc w:val="left"/>
      <w:pPr>
        <w:ind w:left="2874" w:hanging="241"/>
      </w:pPr>
      <w:rPr>
        <w:rFonts w:hint="default"/>
        <w:lang w:val="en-US" w:eastAsia="en-US" w:bidi="ar-SA"/>
      </w:rPr>
    </w:lvl>
    <w:lvl w:ilvl="7">
      <w:start w:val="0"/>
      <w:numFmt w:val="bullet"/>
      <w:lvlText w:val="•"/>
      <w:lvlJc w:val="left"/>
      <w:pPr>
        <w:ind w:left="3283" w:hanging="241"/>
      </w:pPr>
      <w:rPr>
        <w:rFonts w:hint="default"/>
        <w:lang w:val="en-US" w:eastAsia="en-US" w:bidi="ar-SA"/>
      </w:rPr>
    </w:lvl>
    <w:lvl w:ilvl="8">
      <w:start w:val="0"/>
      <w:numFmt w:val="bullet"/>
      <w:lvlText w:val="•"/>
      <w:lvlJc w:val="left"/>
      <w:pPr>
        <w:ind w:left="3692" w:hanging="241"/>
      </w:pPr>
      <w:rPr>
        <w:rFonts w:hint="default"/>
        <w:lang w:val="en-US" w:eastAsia="en-US" w:bidi="ar-SA"/>
      </w:rPr>
    </w:lvl>
  </w:abstractNum>
  <w:abstractNum w:abstractNumId="31">
    <w:multiLevelType w:val="hybridMultilevel"/>
    <w:lvl w:ilvl="0">
      <w:start w:val="1"/>
      <w:numFmt w:val="decimal"/>
      <w:lvlText w:val="(%1)"/>
      <w:lvlJc w:val="left"/>
      <w:pPr>
        <w:ind w:left="420" w:hanging="241"/>
        <w:jc w:val="left"/>
      </w:pPr>
      <w:rPr>
        <w:rFonts w:hint="default" w:ascii="Times New Roman" w:hAnsi="Times New Roman" w:eastAsia="Times New Roman" w:cs="Times New Roman"/>
        <w:spacing w:val="-1"/>
        <w:w w:val="100"/>
        <w:sz w:val="16"/>
        <w:szCs w:val="16"/>
        <w:lang w:val="en-US" w:eastAsia="en-US" w:bidi="ar-SA"/>
      </w:rPr>
    </w:lvl>
    <w:lvl w:ilvl="1">
      <w:start w:val="1"/>
      <w:numFmt w:val="decimal"/>
      <w:lvlText w:val="(%2)"/>
      <w:lvlJc w:val="left"/>
      <w:pPr>
        <w:ind w:left="5224"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5286" w:hanging="241"/>
      </w:pPr>
      <w:rPr>
        <w:rFonts w:hint="default"/>
        <w:lang w:val="en-US" w:eastAsia="en-US" w:bidi="ar-SA"/>
      </w:rPr>
    </w:lvl>
    <w:lvl w:ilvl="3">
      <w:start w:val="0"/>
      <w:numFmt w:val="bullet"/>
      <w:lvlText w:val="•"/>
      <w:lvlJc w:val="left"/>
      <w:pPr>
        <w:ind w:left="5353" w:hanging="241"/>
      </w:pPr>
      <w:rPr>
        <w:rFonts w:hint="default"/>
        <w:lang w:val="en-US" w:eastAsia="en-US" w:bidi="ar-SA"/>
      </w:rPr>
    </w:lvl>
    <w:lvl w:ilvl="4">
      <w:start w:val="0"/>
      <w:numFmt w:val="bullet"/>
      <w:lvlText w:val="•"/>
      <w:lvlJc w:val="left"/>
      <w:pPr>
        <w:ind w:left="5419" w:hanging="241"/>
      </w:pPr>
      <w:rPr>
        <w:rFonts w:hint="default"/>
        <w:lang w:val="en-US" w:eastAsia="en-US" w:bidi="ar-SA"/>
      </w:rPr>
    </w:lvl>
    <w:lvl w:ilvl="5">
      <w:start w:val="0"/>
      <w:numFmt w:val="bullet"/>
      <w:lvlText w:val="•"/>
      <w:lvlJc w:val="left"/>
      <w:pPr>
        <w:ind w:left="5486" w:hanging="241"/>
      </w:pPr>
      <w:rPr>
        <w:rFonts w:hint="default"/>
        <w:lang w:val="en-US" w:eastAsia="en-US" w:bidi="ar-SA"/>
      </w:rPr>
    </w:lvl>
    <w:lvl w:ilvl="6">
      <w:start w:val="0"/>
      <w:numFmt w:val="bullet"/>
      <w:lvlText w:val="•"/>
      <w:lvlJc w:val="left"/>
      <w:pPr>
        <w:ind w:left="5553" w:hanging="241"/>
      </w:pPr>
      <w:rPr>
        <w:rFonts w:hint="default"/>
        <w:lang w:val="en-US" w:eastAsia="en-US" w:bidi="ar-SA"/>
      </w:rPr>
    </w:lvl>
    <w:lvl w:ilvl="7">
      <w:start w:val="0"/>
      <w:numFmt w:val="bullet"/>
      <w:lvlText w:val="•"/>
      <w:lvlJc w:val="left"/>
      <w:pPr>
        <w:ind w:left="5619" w:hanging="241"/>
      </w:pPr>
      <w:rPr>
        <w:rFonts w:hint="default"/>
        <w:lang w:val="en-US" w:eastAsia="en-US" w:bidi="ar-SA"/>
      </w:rPr>
    </w:lvl>
    <w:lvl w:ilvl="8">
      <w:start w:val="0"/>
      <w:numFmt w:val="bullet"/>
      <w:lvlText w:val="•"/>
      <w:lvlJc w:val="left"/>
      <w:pPr>
        <w:ind w:left="5686" w:hanging="241"/>
      </w:pPr>
      <w:rPr>
        <w:rFonts w:hint="default"/>
        <w:lang w:val="en-US" w:eastAsia="en-US" w:bidi="ar-SA"/>
      </w:rPr>
    </w:lvl>
  </w:abstractNum>
  <w:abstractNum w:abstractNumId="30">
    <w:multiLevelType w:val="hybridMultilevel"/>
    <w:lvl w:ilvl="0">
      <w:start w:val="1"/>
      <w:numFmt w:val="lowerLetter"/>
      <w:lvlText w:val="(%1)"/>
      <w:lvlJc w:val="left"/>
      <w:pPr>
        <w:ind w:left="394"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396" w:hanging="241"/>
        <w:jc w:val="left"/>
      </w:pPr>
      <w:rPr>
        <w:rFonts w:hint="default" w:ascii="Times New Roman" w:hAnsi="Times New Roman" w:eastAsia="Times New Roman" w:cs="Times New Roman"/>
        <w:spacing w:val="-1"/>
        <w:w w:val="100"/>
        <w:sz w:val="16"/>
        <w:szCs w:val="16"/>
        <w:lang w:val="en-US" w:eastAsia="en-US" w:bidi="ar-SA"/>
      </w:rPr>
    </w:lvl>
    <w:lvl w:ilvl="2">
      <w:start w:val="1"/>
      <w:numFmt w:val="lowerLetter"/>
      <w:lvlText w:val="(%3)"/>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3">
      <w:start w:val="0"/>
      <w:numFmt w:val="bullet"/>
      <w:lvlText w:val="•"/>
      <w:lvlJc w:val="left"/>
      <w:pPr>
        <w:ind w:left="20" w:hanging="241"/>
      </w:pPr>
      <w:rPr>
        <w:rFonts w:hint="default"/>
        <w:lang w:val="en-US" w:eastAsia="en-US" w:bidi="ar-SA"/>
      </w:rPr>
    </w:lvl>
    <w:lvl w:ilvl="4">
      <w:start w:val="0"/>
      <w:numFmt w:val="bullet"/>
      <w:lvlText w:val="•"/>
      <w:lvlJc w:val="left"/>
      <w:pPr>
        <w:ind w:left="-179" w:hanging="241"/>
      </w:pPr>
      <w:rPr>
        <w:rFonts w:hint="default"/>
        <w:lang w:val="en-US" w:eastAsia="en-US" w:bidi="ar-SA"/>
      </w:rPr>
    </w:lvl>
    <w:lvl w:ilvl="5">
      <w:start w:val="0"/>
      <w:numFmt w:val="bullet"/>
      <w:lvlText w:val="•"/>
      <w:lvlJc w:val="left"/>
      <w:pPr>
        <w:ind w:left="-379" w:hanging="241"/>
      </w:pPr>
      <w:rPr>
        <w:rFonts w:hint="default"/>
        <w:lang w:val="en-US" w:eastAsia="en-US" w:bidi="ar-SA"/>
      </w:rPr>
    </w:lvl>
    <w:lvl w:ilvl="6">
      <w:start w:val="0"/>
      <w:numFmt w:val="bullet"/>
      <w:lvlText w:val="•"/>
      <w:lvlJc w:val="left"/>
      <w:pPr>
        <w:ind w:left="-579" w:hanging="241"/>
      </w:pPr>
      <w:rPr>
        <w:rFonts w:hint="default"/>
        <w:lang w:val="en-US" w:eastAsia="en-US" w:bidi="ar-SA"/>
      </w:rPr>
    </w:lvl>
    <w:lvl w:ilvl="7">
      <w:start w:val="0"/>
      <w:numFmt w:val="bullet"/>
      <w:lvlText w:val="•"/>
      <w:lvlJc w:val="left"/>
      <w:pPr>
        <w:ind w:left="-778" w:hanging="241"/>
      </w:pPr>
      <w:rPr>
        <w:rFonts w:hint="default"/>
        <w:lang w:val="en-US" w:eastAsia="en-US" w:bidi="ar-SA"/>
      </w:rPr>
    </w:lvl>
    <w:lvl w:ilvl="8">
      <w:start w:val="0"/>
      <w:numFmt w:val="bullet"/>
      <w:lvlText w:val="•"/>
      <w:lvlJc w:val="left"/>
      <w:pPr>
        <w:ind w:left="-978" w:hanging="241"/>
      </w:pPr>
      <w:rPr>
        <w:rFonts w:hint="default"/>
        <w:lang w:val="en-US" w:eastAsia="en-US" w:bidi="ar-SA"/>
      </w:rPr>
    </w:lvl>
  </w:abstractNum>
  <w:abstractNum w:abstractNumId="29">
    <w:multiLevelType w:val="hybridMultilevel"/>
    <w:lvl w:ilvl="0">
      <w:start w:val="1"/>
      <w:numFmt w:val="lowerLetter"/>
      <w:lvlText w:val="(%1)"/>
      <w:lvlJc w:val="left"/>
      <w:pPr>
        <w:ind w:left="367" w:hanging="187"/>
        <w:jc w:val="left"/>
      </w:pPr>
      <w:rPr>
        <w:rFonts w:hint="default" w:ascii="Times New Roman" w:hAnsi="Times New Roman" w:eastAsia="Times New Roman" w:cs="Times New Roman"/>
        <w:spacing w:val="-7"/>
        <w:w w:val="100"/>
        <w:sz w:val="12"/>
        <w:szCs w:val="12"/>
        <w:lang w:val="en-US" w:eastAsia="en-US" w:bidi="ar-SA"/>
      </w:rPr>
    </w:lvl>
    <w:lvl w:ilvl="1">
      <w:start w:val="0"/>
      <w:numFmt w:val="bullet"/>
      <w:lvlText w:val="•"/>
      <w:lvlJc w:val="left"/>
      <w:pPr>
        <w:ind w:left="793" w:hanging="187"/>
      </w:pPr>
      <w:rPr>
        <w:rFonts w:hint="default"/>
        <w:lang w:val="en-US" w:eastAsia="en-US" w:bidi="ar-SA"/>
      </w:rPr>
    </w:lvl>
    <w:lvl w:ilvl="2">
      <w:start w:val="0"/>
      <w:numFmt w:val="bullet"/>
      <w:lvlText w:val="•"/>
      <w:lvlJc w:val="left"/>
      <w:pPr>
        <w:ind w:left="1226" w:hanging="187"/>
      </w:pPr>
      <w:rPr>
        <w:rFonts w:hint="default"/>
        <w:lang w:val="en-US" w:eastAsia="en-US" w:bidi="ar-SA"/>
      </w:rPr>
    </w:lvl>
    <w:lvl w:ilvl="3">
      <w:start w:val="0"/>
      <w:numFmt w:val="bullet"/>
      <w:lvlText w:val="•"/>
      <w:lvlJc w:val="left"/>
      <w:pPr>
        <w:ind w:left="1659" w:hanging="187"/>
      </w:pPr>
      <w:rPr>
        <w:rFonts w:hint="default"/>
        <w:lang w:val="en-US" w:eastAsia="en-US" w:bidi="ar-SA"/>
      </w:rPr>
    </w:lvl>
    <w:lvl w:ilvl="4">
      <w:start w:val="0"/>
      <w:numFmt w:val="bullet"/>
      <w:lvlText w:val="•"/>
      <w:lvlJc w:val="left"/>
      <w:pPr>
        <w:ind w:left="2092" w:hanging="187"/>
      </w:pPr>
      <w:rPr>
        <w:rFonts w:hint="default"/>
        <w:lang w:val="en-US" w:eastAsia="en-US" w:bidi="ar-SA"/>
      </w:rPr>
    </w:lvl>
    <w:lvl w:ilvl="5">
      <w:start w:val="0"/>
      <w:numFmt w:val="bullet"/>
      <w:lvlText w:val="•"/>
      <w:lvlJc w:val="left"/>
      <w:pPr>
        <w:ind w:left="2525" w:hanging="187"/>
      </w:pPr>
      <w:rPr>
        <w:rFonts w:hint="default"/>
        <w:lang w:val="en-US" w:eastAsia="en-US" w:bidi="ar-SA"/>
      </w:rPr>
    </w:lvl>
    <w:lvl w:ilvl="6">
      <w:start w:val="0"/>
      <w:numFmt w:val="bullet"/>
      <w:lvlText w:val="•"/>
      <w:lvlJc w:val="left"/>
      <w:pPr>
        <w:ind w:left="2958" w:hanging="187"/>
      </w:pPr>
      <w:rPr>
        <w:rFonts w:hint="default"/>
        <w:lang w:val="en-US" w:eastAsia="en-US" w:bidi="ar-SA"/>
      </w:rPr>
    </w:lvl>
    <w:lvl w:ilvl="7">
      <w:start w:val="0"/>
      <w:numFmt w:val="bullet"/>
      <w:lvlText w:val="•"/>
      <w:lvlJc w:val="left"/>
      <w:pPr>
        <w:ind w:left="3391" w:hanging="187"/>
      </w:pPr>
      <w:rPr>
        <w:rFonts w:hint="default"/>
        <w:lang w:val="en-US" w:eastAsia="en-US" w:bidi="ar-SA"/>
      </w:rPr>
    </w:lvl>
    <w:lvl w:ilvl="8">
      <w:start w:val="0"/>
      <w:numFmt w:val="bullet"/>
      <w:lvlText w:val="•"/>
      <w:lvlJc w:val="left"/>
      <w:pPr>
        <w:ind w:left="3824" w:hanging="187"/>
      </w:pPr>
      <w:rPr>
        <w:rFonts w:hint="default"/>
        <w:lang w:val="en-US" w:eastAsia="en-US" w:bidi="ar-SA"/>
      </w:rPr>
    </w:lvl>
  </w:abstractNum>
  <w:abstractNum w:abstractNumId="28">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29" w:hanging="241"/>
      </w:pPr>
      <w:rPr>
        <w:rFonts w:hint="default"/>
        <w:lang w:val="en-US" w:eastAsia="en-US" w:bidi="ar-SA"/>
      </w:rPr>
    </w:lvl>
    <w:lvl w:ilvl="2">
      <w:start w:val="0"/>
      <w:numFmt w:val="bullet"/>
      <w:lvlText w:val="•"/>
      <w:lvlJc w:val="left"/>
      <w:pPr>
        <w:ind w:left="1238" w:hanging="241"/>
      </w:pPr>
      <w:rPr>
        <w:rFonts w:hint="default"/>
        <w:lang w:val="en-US" w:eastAsia="en-US" w:bidi="ar-SA"/>
      </w:rPr>
    </w:lvl>
    <w:lvl w:ilvl="3">
      <w:start w:val="0"/>
      <w:numFmt w:val="bullet"/>
      <w:lvlText w:val="•"/>
      <w:lvlJc w:val="left"/>
      <w:pPr>
        <w:ind w:left="1647" w:hanging="241"/>
      </w:pPr>
      <w:rPr>
        <w:rFonts w:hint="default"/>
        <w:lang w:val="en-US" w:eastAsia="en-US" w:bidi="ar-SA"/>
      </w:rPr>
    </w:lvl>
    <w:lvl w:ilvl="4">
      <w:start w:val="0"/>
      <w:numFmt w:val="bullet"/>
      <w:lvlText w:val="•"/>
      <w:lvlJc w:val="left"/>
      <w:pPr>
        <w:ind w:left="2056" w:hanging="241"/>
      </w:pPr>
      <w:rPr>
        <w:rFonts w:hint="default"/>
        <w:lang w:val="en-US" w:eastAsia="en-US" w:bidi="ar-SA"/>
      </w:rPr>
    </w:lvl>
    <w:lvl w:ilvl="5">
      <w:start w:val="0"/>
      <w:numFmt w:val="bullet"/>
      <w:lvlText w:val="•"/>
      <w:lvlJc w:val="left"/>
      <w:pPr>
        <w:ind w:left="2466" w:hanging="241"/>
      </w:pPr>
      <w:rPr>
        <w:rFonts w:hint="default"/>
        <w:lang w:val="en-US" w:eastAsia="en-US" w:bidi="ar-SA"/>
      </w:rPr>
    </w:lvl>
    <w:lvl w:ilvl="6">
      <w:start w:val="0"/>
      <w:numFmt w:val="bullet"/>
      <w:lvlText w:val="•"/>
      <w:lvlJc w:val="left"/>
      <w:pPr>
        <w:ind w:left="2875" w:hanging="241"/>
      </w:pPr>
      <w:rPr>
        <w:rFonts w:hint="default"/>
        <w:lang w:val="en-US" w:eastAsia="en-US" w:bidi="ar-SA"/>
      </w:rPr>
    </w:lvl>
    <w:lvl w:ilvl="7">
      <w:start w:val="0"/>
      <w:numFmt w:val="bullet"/>
      <w:lvlText w:val="•"/>
      <w:lvlJc w:val="left"/>
      <w:pPr>
        <w:ind w:left="3284" w:hanging="241"/>
      </w:pPr>
      <w:rPr>
        <w:rFonts w:hint="default"/>
        <w:lang w:val="en-US" w:eastAsia="en-US" w:bidi="ar-SA"/>
      </w:rPr>
    </w:lvl>
    <w:lvl w:ilvl="8">
      <w:start w:val="0"/>
      <w:numFmt w:val="bullet"/>
      <w:lvlText w:val="•"/>
      <w:lvlJc w:val="left"/>
      <w:pPr>
        <w:ind w:left="3693" w:hanging="241"/>
      </w:pPr>
      <w:rPr>
        <w:rFonts w:hint="default"/>
        <w:lang w:val="en-US" w:eastAsia="en-US" w:bidi="ar-SA"/>
      </w:rPr>
    </w:lvl>
  </w:abstractNum>
  <w:abstractNum w:abstractNumId="27">
    <w:multiLevelType w:val="hybridMultilevel"/>
    <w:lvl w:ilvl="0">
      <w:start w:val="1"/>
      <w:numFmt w:val="lowerLetter"/>
      <w:lvlText w:val="(%1)"/>
      <w:lvlJc w:val="left"/>
      <w:pPr>
        <w:ind w:left="404"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644"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463" w:hanging="241"/>
      </w:pPr>
      <w:rPr>
        <w:rFonts w:hint="default"/>
        <w:lang w:val="en-US" w:eastAsia="en-US" w:bidi="ar-SA"/>
      </w:rPr>
    </w:lvl>
    <w:lvl w:ilvl="3">
      <w:start w:val="0"/>
      <w:numFmt w:val="bullet"/>
      <w:lvlText w:val="•"/>
      <w:lvlJc w:val="left"/>
      <w:pPr>
        <w:ind w:left="287" w:hanging="241"/>
      </w:pPr>
      <w:rPr>
        <w:rFonts w:hint="default"/>
        <w:lang w:val="en-US" w:eastAsia="en-US" w:bidi="ar-SA"/>
      </w:rPr>
    </w:lvl>
    <w:lvl w:ilvl="4">
      <w:start w:val="0"/>
      <w:numFmt w:val="bullet"/>
      <w:lvlText w:val="•"/>
      <w:lvlJc w:val="left"/>
      <w:pPr>
        <w:ind w:left="111" w:hanging="241"/>
      </w:pPr>
      <w:rPr>
        <w:rFonts w:hint="default"/>
        <w:lang w:val="en-US" w:eastAsia="en-US" w:bidi="ar-SA"/>
      </w:rPr>
    </w:lvl>
    <w:lvl w:ilvl="5">
      <w:start w:val="0"/>
      <w:numFmt w:val="bullet"/>
      <w:lvlText w:val="•"/>
      <w:lvlJc w:val="left"/>
      <w:pPr>
        <w:ind w:left="-65" w:hanging="241"/>
      </w:pPr>
      <w:rPr>
        <w:rFonts w:hint="default"/>
        <w:lang w:val="en-US" w:eastAsia="en-US" w:bidi="ar-SA"/>
      </w:rPr>
    </w:lvl>
    <w:lvl w:ilvl="6">
      <w:start w:val="0"/>
      <w:numFmt w:val="bullet"/>
      <w:lvlText w:val="•"/>
      <w:lvlJc w:val="left"/>
      <w:pPr>
        <w:ind w:left="-241" w:hanging="241"/>
      </w:pPr>
      <w:rPr>
        <w:rFonts w:hint="default"/>
        <w:lang w:val="en-US" w:eastAsia="en-US" w:bidi="ar-SA"/>
      </w:rPr>
    </w:lvl>
    <w:lvl w:ilvl="7">
      <w:start w:val="0"/>
      <w:numFmt w:val="bullet"/>
      <w:lvlText w:val="•"/>
      <w:lvlJc w:val="left"/>
      <w:pPr>
        <w:ind w:left="-417" w:hanging="241"/>
      </w:pPr>
      <w:rPr>
        <w:rFonts w:hint="default"/>
        <w:lang w:val="en-US" w:eastAsia="en-US" w:bidi="ar-SA"/>
      </w:rPr>
    </w:lvl>
    <w:lvl w:ilvl="8">
      <w:start w:val="0"/>
      <w:numFmt w:val="bullet"/>
      <w:lvlText w:val="•"/>
      <w:lvlJc w:val="left"/>
      <w:pPr>
        <w:ind w:left="-593" w:hanging="241"/>
      </w:pPr>
      <w:rPr>
        <w:rFonts w:hint="default"/>
        <w:lang w:val="en-US" w:eastAsia="en-US" w:bidi="ar-SA"/>
      </w:rPr>
    </w:lvl>
  </w:abstractNum>
  <w:abstractNum w:abstractNumId="26">
    <w:multiLevelType w:val="hybridMultilevel"/>
    <w:lvl w:ilvl="0">
      <w:start w:val="1"/>
      <w:numFmt w:val="lowerLetter"/>
      <w:lvlText w:val="(%1)"/>
      <w:lvlJc w:val="left"/>
      <w:pPr>
        <w:ind w:left="409"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08" w:hanging="241"/>
      </w:pPr>
      <w:rPr>
        <w:rFonts w:hint="default"/>
        <w:lang w:val="en-US" w:eastAsia="en-US" w:bidi="ar-SA"/>
      </w:rPr>
    </w:lvl>
    <w:lvl w:ilvl="2">
      <w:start w:val="0"/>
      <w:numFmt w:val="bullet"/>
      <w:lvlText w:val="•"/>
      <w:lvlJc w:val="left"/>
      <w:pPr>
        <w:ind w:left="1216" w:hanging="241"/>
      </w:pPr>
      <w:rPr>
        <w:rFonts w:hint="default"/>
        <w:lang w:val="en-US" w:eastAsia="en-US" w:bidi="ar-SA"/>
      </w:rPr>
    </w:lvl>
    <w:lvl w:ilvl="3">
      <w:start w:val="0"/>
      <w:numFmt w:val="bullet"/>
      <w:lvlText w:val="•"/>
      <w:lvlJc w:val="left"/>
      <w:pPr>
        <w:ind w:left="1625" w:hanging="241"/>
      </w:pPr>
      <w:rPr>
        <w:rFonts w:hint="default"/>
        <w:lang w:val="en-US" w:eastAsia="en-US" w:bidi="ar-SA"/>
      </w:rPr>
    </w:lvl>
    <w:lvl w:ilvl="4">
      <w:start w:val="0"/>
      <w:numFmt w:val="bullet"/>
      <w:lvlText w:val="•"/>
      <w:lvlJc w:val="left"/>
      <w:pPr>
        <w:ind w:left="2033" w:hanging="241"/>
      </w:pPr>
      <w:rPr>
        <w:rFonts w:hint="default"/>
        <w:lang w:val="en-US" w:eastAsia="en-US" w:bidi="ar-SA"/>
      </w:rPr>
    </w:lvl>
    <w:lvl w:ilvl="5">
      <w:start w:val="0"/>
      <w:numFmt w:val="bullet"/>
      <w:lvlText w:val="•"/>
      <w:lvlJc w:val="left"/>
      <w:pPr>
        <w:ind w:left="2442" w:hanging="241"/>
      </w:pPr>
      <w:rPr>
        <w:rFonts w:hint="default"/>
        <w:lang w:val="en-US" w:eastAsia="en-US" w:bidi="ar-SA"/>
      </w:rPr>
    </w:lvl>
    <w:lvl w:ilvl="6">
      <w:start w:val="0"/>
      <w:numFmt w:val="bullet"/>
      <w:lvlText w:val="•"/>
      <w:lvlJc w:val="left"/>
      <w:pPr>
        <w:ind w:left="2850" w:hanging="241"/>
      </w:pPr>
      <w:rPr>
        <w:rFonts w:hint="default"/>
        <w:lang w:val="en-US" w:eastAsia="en-US" w:bidi="ar-SA"/>
      </w:rPr>
    </w:lvl>
    <w:lvl w:ilvl="7">
      <w:start w:val="0"/>
      <w:numFmt w:val="bullet"/>
      <w:lvlText w:val="•"/>
      <w:lvlJc w:val="left"/>
      <w:pPr>
        <w:ind w:left="3259" w:hanging="241"/>
      </w:pPr>
      <w:rPr>
        <w:rFonts w:hint="default"/>
        <w:lang w:val="en-US" w:eastAsia="en-US" w:bidi="ar-SA"/>
      </w:rPr>
    </w:lvl>
    <w:lvl w:ilvl="8">
      <w:start w:val="0"/>
      <w:numFmt w:val="bullet"/>
      <w:lvlText w:val="•"/>
      <w:lvlJc w:val="left"/>
      <w:pPr>
        <w:ind w:left="3667" w:hanging="241"/>
      </w:pPr>
      <w:rPr>
        <w:rFonts w:hint="default"/>
        <w:lang w:val="en-US" w:eastAsia="en-US" w:bidi="ar-SA"/>
      </w:rPr>
    </w:lvl>
  </w:abstractNum>
  <w:abstractNum w:abstractNumId="25">
    <w:multiLevelType w:val="hybridMultilevel"/>
    <w:lvl w:ilvl="0">
      <w:start w:val="3"/>
      <w:numFmt w:val="decimal"/>
      <w:lvlText w:val="%1"/>
      <w:lvlJc w:val="left"/>
      <w:pPr>
        <w:ind w:left="1540" w:hanging="1361"/>
        <w:jc w:val="left"/>
      </w:pPr>
      <w:rPr>
        <w:rFonts w:hint="default"/>
        <w:lang w:val="en-US" w:eastAsia="en-US" w:bidi="ar-SA"/>
      </w:rPr>
    </w:lvl>
    <w:lvl w:ilvl="1">
      <w:start w:val="1"/>
      <w:numFmt w:val="decimal"/>
      <w:lvlText w:val="%1.%2"/>
      <w:lvlJc w:val="left"/>
      <w:pPr>
        <w:ind w:left="1540" w:hanging="1361"/>
        <w:jc w:val="right"/>
      </w:pPr>
      <w:rPr>
        <w:rFonts w:hint="default"/>
        <w:b/>
        <w:bCs/>
        <w:spacing w:val="-1"/>
        <w:w w:val="100"/>
        <w:u w:val="thick" w:color="0092C7"/>
        <w:lang w:val="en-US" w:eastAsia="en-US" w:bidi="ar-SA"/>
      </w:rPr>
    </w:lvl>
    <w:lvl w:ilvl="2">
      <w:start w:val="1"/>
      <w:numFmt w:val="decimal"/>
      <w:lvlText w:val="(%3)"/>
      <w:lvlJc w:val="left"/>
      <w:pPr>
        <w:ind w:left="5205" w:hanging="241"/>
        <w:jc w:val="left"/>
      </w:pPr>
      <w:rPr>
        <w:rFonts w:hint="default" w:ascii="Times New Roman" w:hAnsi="Times New Roman" w:eastAsia="Times New Roman" w:cs="Times New Roman"/>
        <w:spacing w:val="-1"/>
        <w:w w:val="100"/>
        <w:sz w:val="16"/>
        <w:szCs w:val="16"/>
        <w:lang w:val="en-US" w:eastAsia="en-US" w:bidi="ar-SA"/>
      </w:rPr>
    </w:lvl>
    <w:lvl w:ilvl="3">
      <w:start w:val="0"/>
      <w:numFmt w:val="bullet"/>
      <w:lvlText w:val="•"/>
      <w:lvlJc w:val="left"/>
      <w:pPr>
        <w:ind w:left="5340" w:hanging="241"/>
      </w:pPr>
      <w:rPr>
        <w:rFonts w:hint="default"/>
        <w:lang w:val="en-US" w:eastAsia="en-US" w:bidi="ar-SA"/>
      </w:rPr>
    </w:lvl>
    <w:lvl w:ilvl="4">
      <w:start w:val="0"/>
      <w:numFmt w:val="bullet"/>
      <w:lvlText w:val="•"/>
      <w:lvlJc w:val="left"/>
      <w:pPr>
        <w:ind w:left="5410" w:hanging="241"/>
      </w:pPr>
      <w:rPr>
        <w:rFonts w:hint="default"/>
        <w:lang w:val="en-US" w:eastAsia="en-US" w:bidi="ar-SA"/>
      </w:rPr>
    </w:lvl>
    <w:lvl w:ilvl="5">
      <w:start w:val="0"/>
      <w:numFmt w:val="bullet"/>
      <w:lvlText w:val="•"/>
      <w:lvlJc w:val="left"/>
      <w:pPr>
        <w:ind w:left="5480" w:hanging="241"/>
      </w:pPr>
      <w:rPr>
        <w:rFonts w:hint="default"/>
        <w:lang w:val="en-US" w:eastAsia="en-US" w:bidi="ar-SA"/>
      </w:rPr>
    </w:lvl>
    <w:lvl w:ilvl="6">
      <w:start w:val="0"/>
      <w:numFmt w:val="bullet"/>
      <w:lvlText w:val="•"/>
      <w:lvlJc w:val="left"/>
      <w:pPr>
        <w:ind w:left="5550" w:hanging="241"/>
      </w:pPr>
      <w:rPr>
        <w:rFonts w:hint="default"/>
        <w:lang w:val="en-US" w:eastAsia="en-US" w:bidi="ar-SA"/>
      </w:rPr>
    </w:lvl>
    <w:lvl w:ilvl="7">
      <w:start w:val="0"/>
      <w:numFmt w:val="bullet"/>
      <w:lvlText w:val="•"/>
      <w:lvlJc w:val="left"/>
      <w:pPr>
        <w:ind w:left="5620" w:hanging="241"/>
      </w:pPr>
      <w:rPr>
        <w:rFonts w:hint="default"/>
        <w:lang w:val="en-US" w:eastAsia="en-US" w:bidi="ar-SA"/>
      </w:rPr>
    </w:lvl>
    <w:lvl w:ilvl="8">
      <w:start w:val="0"/>
      <w:numFmt w:val="bullet"/>
      <w:lvlText w:val="•"/>
      <w:lvlJc w:val="left"/>
      <w:pPr>
        <w:ind w:left="5690" w:hanging="241"/>
      </w:pPr>
      <w:rPr>
        <w:rFonts w:hint="default"/>
        <w:lang w:val="en-US" w:eastAsia="en-US" w:bidi="ar-SA"/>
      </w:rPr>
    </w:lvl>
  </w:abstractNum>
  <w:abstractNum w:abstractNumId="24">
    <w:multiLevelType w:val="hybridMultilevel"/>
    <w:lvl w:ilvl="0">
      <w:start w:val="1"/>
      <w:numFmt w:val="lowerLetter"/>
      <w:lvlText w:val="(%1)"/>
      <w:lvlJc w:val="left"/>
      <w:pPr>
        <w:ind w:left="41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60" w:hanging="241"/>
      </w:pPr>
      <w:rPr>
        <w:rFonts w:hint="default"/>
        <w:lang w:val="en-US" w:eastAsia="en-US" w:bidi="ar-SA"/>
      </w:rPr>
    </w:lvl>
    <w:lvl w:ilvl="2">
      <w:start w:val="0"/>
      <w:numFmt w:val="bullet"/>
      <w:lvlText w:val="•"/>
      <w:lvlJc w:val="left"/>
      <w:pPr>
        <w:ind w:left="1100" w:hanging="241"/>
      </w:pPr>
      <w:rPr>
        <w:rFonts w:hint="default"/>
        <w:lang w:val="en-US" w:eastAsia="en-US" w:bidi="ar-SA"/>
      </w:rPr>
    </w:lvl>
    <w:lvl w:ilvl="3">
      <w:start w:val="0"/>
      <w:numFmt w:val="bullet"/>
      <w:lvlText w:val="•"/>
      <w:lvlJc w:val="left"/>
      <w:pPr>
        <w:ind w:left="1441" w:hanging="241"/>
      </w:pPr>
      <w:rPr>
        <w:rFonts w:hint="default"/>
        <w:lang w:val="en-US" w:eastAsia="en-US" w:bidi="ar-SA"/>
      </w:rPr>
    </w:lvl>
    <w:lvl w:ilvl="4">
      <w:start w:val="0"/>
      <w:numFmt w:val="bullet"/>
      <w:lvlText w:val="•"/>
      <w:lvlJc w:val="left"/>
      <w:pPr>
        <w:ind w:left="1781" w:hanging="241"/>
      </w:pPr>
      <w:rPr>
        <w:rFonts w:hint="default"/>
        <w:lang w:val="en-US" w:eastAsia="en-US" w:bidi="ar-SA"/>
      </w:rPr>
    </w:lvl>
    <w:lvl w:ilvl="5">
      <w:start w:val="0"/>
      <w:numFmt w:val="bullet"/>
      <w:lvlText w:val="•"/>
      <w:lvlJc w:val="left"/>
      <w:pPr>
        <w:ind w:left="2122" w:hanging="241"/>
      </w:pPr>
      <w:rPr>
        <w:rFonts w:hint="default"/>
        <w:lang w:val="en-US" w:eastAsia="en-US" w:bidi="ar-SA"/>
      </w:rPr>
    </w:lvl>
    <w:lvl w:ilvl="6">
      <w:start w:val="0"/>
      <w:numFmt w:val="bullet"/>
      <w:lvlText w:val="•"/>
      <w:lvlJc w:val="left"/>
      <w:pPr>
        <w:ind w:left="2462" w:hanging="241"/>
      </w:pPr>
      <w:rPr>
        <w:rFonts w:hint="default"/>
        <w:lang w:val="en-US" w:eastAsia="en-US" w:bidi="ar-SA"/>
      </w:rPr>
    </w:lvl>
    <w:lvl w:ilvl="7">
      <w:start w:val="0"/>
      <w:numFmt w:val="bullet"/>
      <w:lvlText w:val="•"/>
      <w:lvlJc w:val="left"/>
      <w:pPr>
        <w:ind w:left="2802" w:hanging="241"/>
      </w:pPr>
      <w:rPr>
        <w:rFonts w:hint="default"/>
        <w:lang w:val="en-US" w:eastAsia="en-US" w:bidi="ar-SA"/>
      </w:rPr>
    </w:lvl>
    <w:lvl w:ilvl="8">
      <w:start w:val="0"/>
      <w:numFmt w:val="bullet"/>
      <w:lvlText w:val="•"/>
      <w:lvlJc w:val="left"/>
      <w:pPr>
        <w:ind w:left="3143" w:hanging="241"/>
      </w:pPr>
      <w:rPr>
        <w:rFonts w:hint="default"/>
        <w:lang w:val="en-US" w:eastAsia="en-US" w:bidi="ar-SA"/>
      </w:rPr>
    </w:lvl>
  </w:abstractNum>
  <w:abstractNum w:abstractNumId="23">
    <w:multiLevelType w:val="hybridMultilevel"/>
    <w:lvl w:ilvl="0">
      <w:start w:val="1"/>
      <w:numFmt w:val="lowerLetter"/>
      <w:lvlText w:val="(%1)"/>
      <w:lvlJc w:val="left"/>
      <w:pPr>
        <w:ind w:left="432"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3" w:hanging="241"/>
      </w:pPr>
      <w:rPr>
        <w:rFonts w:hint="default"/>
        <w:lang w:val="en-US" w:eastAsia="en-US" w:bidi="ar-SA"/>
      </w:rPr>
    </w:lvl>
    <w:lvl w:ilvl="2">
      <w:start w:val="0"/>
      <w:numFmt w:val="bullet"/>
      <w:lvlText w:val="•"/>
      <w:lvlJc w:val="left"/>
      <w:pPr>
        <w:ind w:left="1106" w:hanging="241"/>
      </w:pPr>
      <w:rPr>
        <w:rFonts w:hint="default"/>
        <w:lang w:val="en-US" w:eastAsia="en-US" w:bidi="ar-SA"/>
      </w:rPr>
    </w:lvl>
    <w:lvl w:ilvl="3">
      <w:start w:val="0"/>
      <w:numFmt w:val="bullet"/>
      <w:lvlText w:val="•"/>
      <w:lvlJc w:val="left"/>
      <w:pPr>
        <w:ind w:left="1439" w:hanging="241"/>
      </w:pPr>
      <w:rPr>
        <w:rFonts w:hint="default"/>
        <w:lang w:val="en-US" w:eastAsia="en-US" w:bidi="ar-SA"/>
      </w:rPr>
    </w:lvl>
    <w:lvl w:ilvl="4">
      <w:start w:val="0"/>
      <w:numFmt w:val="bullet"/>
      <w:lvlText w:val="•"/>
      <w:lvlJc w:val="left"/>
      <w:pPr>
        <w:ind w:left="1773" w:hanging="241"/>
      </w:pPr>
      <w:rPr>
        <w:rFonts w:hint="default"/>
        <w:lang w:val="en-US" w:eastAsia="en-US" w:bidi="ar-SA"/>
      </w:rPr>
    </w:lvl>
    <w:lvl w:ilvl="5">
      <w:start w:val="0"/>
      <w:numFmt w:val="bullet"/>
      <w:lvlText w:val="•"/>
      <w:lvlJc w:val="left"/>
      <w:pPr>
        <w:ind w:left="2106" w:hanging="241"/>
      </w:pPr>
      <w:rPr>
        <w:rFonts w:hint="default"/>
        <w:lang w:val="en-US" w:eastAsia="en-US" w:bidi="ar-SA"/>
      </w:rPr>
    </w:lvl>
    <w:lvl w:ilvl="6">
      <w:start w:val="0"/>
      <w:numFmt w:val="bullet"/>
      <w:lvlText w:val="•"/>
      <w:lvlJc w:val="left"/>
      <w:pPr>
        <w:ind w:left="2439" w:hanging="241"/>
      </w:pPr>
      <w:rPr>
        <w:rFonts w:hint="default"/>
        <w:lang w:val="en-US" w:eastAsia="en-US" w:bidi="ar-SA"/>
      </w:rPr>
    </w:lvl>
    <w:lvl w:ilvl="7">
      <w:start w:val="0"/>
      <w:numFmt w:val="bullet"/>
      <w:lvlText w:val="•"/>
      <w:lvlJc w:val="left"/>
      <w:pPr>
        <w:ind w:left="2772" w:hanging="241"/>
      </w:pPr>
      <w:rPr>
        <w:rFonts w:hint="default"/>
        <w:lang w:val="en-US" w:eastAsia="en-US" w:bidi="ar-SA"/>
      </w:rPr>
    </w:lvl>
    <w:lvl w:ilvl="8">
      <w:start w:val="0"/>
      <w:numFmt w:val="bullet"/>
      <w:lvlText w:val="•"/>
      <w:lvlJc w:val="left"/>
      <w:pPr>
        <w:ind w:left="3106" w:hanging="241"/>
      </w:pPr>
      <w:rPr>
        <w:rFonts w:hint="default"/>
        <w:lang w:val="en-US" w:eastAsia="en-US" w:bidi="ar-SA"/>
      </w:rPr>
    </w:lvl>
  </w:abstractNum>
  <w:abstractNum w:abstractNumId="22">
    <w:multiLevelType w:val="hybridMultilevel"/>
    <w:lvl w:ilvl="0">
      <w:start w:val="1"/>
      <w:numFmt w:val="lowerLetter"/>
      <w:lvlText w:val="(%1)"/>
      <w:lvlJc w:val="left"/>
      <w:pPr>
        <w:ind w:left="405"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786" w:hanging="240"/>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576" w:hanging="240"/>
      </w:pPr>
      <w:rPr>
        <w:rFonts w:hint="default"/>
        <w:lang w:val="en-US" w:eastAsia="en-US" w:bidi="ar-SA"/>
      </w:rPr>
    </w:lvl>
    <w:lvl w:ilvl="3">
      <w:start w:val="0"/>
      <w:numFmt w:val="bullet"/>
      <w:lvlText w:val="•"/>
      <w:lvlJc w:val="left"/>
      <w:pPr>
        <w:ind w:left="372" w:hanging="240"/>
      </w:pPr>
      <w:rPr>
        <w:rFonts w:hint="default"/>
        <w:lang w:val="en-US" w:eastAsia="en-US" w:bidi="ar-SA"/>
      </w:rPr>
    </w:lvl>
    <w:lvl w:ilvl="4">
      <w:start w:val="0"/>
      <w:numFmt w:val="bullet"/>
      <w:lvlText w:val="•"/>
      <w:lvlJc w:val="left"/>
      <w:pPr>
        <w:ind w:left="168" w:hanging="240"/>
      </w:pPr>
      <w:rPr>
        <w:rFonts w:hint="default"/>
        <w:lang w:val="en-US" w:eastAsia="en-US" w:bidi="ar-SA"/>
      </w:rPr>
    </w:lvl>
    <w:lvl w:ilvl="5">
      <w:start w:val="0"/>
      <w:numFmt w:val="bullet"/>
      <w:lvlText w:val="•"/>
      <w:lvlJc w:val="left"/>
      <w:pPr>
        <w:ind w:left="-36" w:hanging="240"/>
      </w:pPr>
      <w:rPr>
        <w:rFonts w:hint="default"/>
        <w:lang w:val="en-US" w:eastAsia="en-US" w:bidi="ar-SA"/>
      </w:rPr>
    </w:lvl>
    <w:lvl w:ilvl="6">
      <w:start w:val="0"/>
      <w:numFmt w:val="bullet"/>
      <w:lvlText w:val="•"/>
      <w:lvlJc w:val="left"/>
      <w:pPr>
        <w:ind w:left="-240" w:hanging="240"/>
      </w:pPr>
      <w:rPr>
        <w:rFonts w:hint="default"/>
        <w:lang w:val="en-US" w:eastAsia="en-US" w:bidi="ar-SA"/>
      </w:rPr>
    </w:lvl>
    <w:lvl w:ilvl="7">
      <w:start w:val="0"/>
      <w:numFmt w:val="bullet"/>
      <w:lvlText w:val="•"/>
      <w:lvlJc w:val="left"/>
      <w:pPr>
        <w:ind w:left="-444" w:hanging="240"/>
      </w:pPr>
      <w:rPr>
        <w:rFonts w:hint="default"/>
        <w:lang w:val="en-US" w:eastAsia="en-US" w:bidi="ar-SA"/>
      </w:rPr>
    </w:lvl>
    <w:lvl w:ilvl="8">
      <w:start w:val="0"/>
      <w:numFmt w:val="bullet"/>
      <w:lvlText w:val="•"/>
      <w:lvlJc w:val="left"/>
      <w:pPr>
        <w:ind w:left="-648" w:hanging="240"/>
      </w:pPr>
      <w:rPr>
        <w:rFonts w:hint="default"/>
        <w:lang w:val="en-US" w:eastAsia="en-US" w:bidi="ar-SA"/>
      </w:rPr>
    </w:lvl>
  </w:abstractNum>
  <w:abstractNum w:abstractNumId="21">
    <w:multiLevelType w:val="hybridMultilevel"/>
    <w:lvl w:ilvl="0">
      <w:start w:val="1"/>
      <w:numFmt w:val="lowerLetter"/>
      <w:lvlText w:val="(%1)"/>
      <w:lvlJc w:val="left"/>
      <w:pPr>
        <w:ind w:left="398"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8" w:hanging="241"/>
      </w:pPr>
      <w:rPr>
        <w:rFonts w:hint="default"/>
        <w:lang w:val="en-US" w:eastAsia="en-US" w:bidi="ar-SA"/>
      </w:rPr>
    </w:lvl>
    <w:lvl w:ilvl="2">
      <w:start w:val="0"/>
      <w:numFmt w:val="bullet"/>
      <w:lvlText w:val="•"/>
      <w:lvlJc w:val="left"/>
      <w:pPr>
        <w:ind w:left="1156" w:hanging="241"/>
      </w:pPr>
      <w:rPr>
        <w:rFonts w:hint="default"/>
        <w:lang w:val="en-US" w:eastAsia="en-US" w:bidi="ar-SA"/>
      </w:rPr>
    </w:lvl>
    <w:lvl w:ilvl="3">
      <w:start w:val="0"/>
      <w:numFmt w:val="bullet"/>
      <w:lvlText w:val="•"/>
      <w:lvlJc w:val="left"/>
      <w:pPr>
        <w:ind w:left="1534" w:hanging="241"/>
      </w:pPr>
      <w:rPr>
        <w:rFonts w:hint="default"/>
        <w:lang w:val="en-US" w:eastAsia="en-US" w:bidi="ar-SA"/>
      </w:rPr>
    </w:lvl>
    <w:lvl w:ilvl="4">
      <w:start w:val="0"/>
      <w:numFmt w:val="bullet"/>
      <w:lvlText w:val="•"/>
      <w:lvlJc w:val="left"/>
      <w:pPr>
        <w:ind w:left="1913" w:hanging="241"/>
      </w:pPr>
      <w:rPr>
        <w:rFonts w:hint="default"/>
        <w:lang w:val="en-US" w:eastAsia="en-US" w:bidi="ar-SA"/>
      </w:rPr>
    </w:lvl>
    <w:lvl w:ilvl="5">
      <w:start w:val="0"/>
      <w:numFmt w:val="bullet"/>
      <w:lvlText w:val="•"/>
      <w:lvlJc w:val="left"/>
      <w:pPr>
        <w:ind w:left="2291" w:hanging="241"/>
      </w:pPr>
      <w:rPr>
        <w:rFonts w:hint="default"/>
        <w:lang w:val="en-US" w:eastAsia="en-US" w:bidi="ar-SA"/>
      </w:rPr>
    </w:lvl>
    <w:lvl w:ilvl="6">
      <w:start w:val="0"/>
      <w:numFmt w:val="bullet"/>
      <w:lvlText w:val="•"/>
      <w:lvlJc w:val="left"/>
      <w:pPr>
        <w:ind w:left="2669" w:hanging="241"/>
      </w:pPr>
      <w:rPr>
        <w:rFonts w:hint="default"/>
        <w:lang w:val="en-US" w:eastAsia="en-US" w:bidi="ar-SA"/>
      </w:rPr>
    </w:lvl>
    <w:lvl w:ilvl="7">
      <w:start w:val="0"/>
      <w:numFmt w:val="bullet"/>
      <w:lvlText w:val="•"/>
      <w:lvlJc w:val="left"/>
      <w:pPr>
        <w:ind w:left="3048" w:hanging="241"/>
      </w:pPr>
      <w:rPr>
        <w:rFonts w:hint="default"/>
        <w:lang w:val="en-US" w:eastAsia="en-US" w:bidi="ar-SA"/>
      </w:rPr>
    </w:lvl>
    <w:lvl w:ilvl="8">
      <w:start w:val="0"/>
      <w:numFmt w:val="bullet"/>
      <w:lvlText w:val="•"/>
      <w:lvlJc w:val="left"/>
      <w:pPr>
        <w:ind w:left="3426" w:hanging="241"/>
      </w:pPr>
      <w:rPr>
        <w:rFonts w:hint="default"/>
        <w:lang w:val="en-US" w:eastAsia="en-US" w:bidi="ar-SA"/>
      </w:rPr>
    </w:lvl>
  </w:abstractNum>
  <w:abstractNum w:abstractNumId="20">
    <w:multiLevelType w:val="hybridMultilevel"/>
    <w:lvl w:ilvl="0">
      <w:start w:val="1"/>
      <w:numFmt w:val="lowerLetter"/>
      <w:lvlText w:val="(%1)"/>
      <w:lvlJc w:val="left"/>
      <w:pPr>
        <w:ind w:left="414"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lowerLetter"/>
      <w:lvlText w:val="(%2)"/>
      <w:lvlJc w:val="left"/>
      <w:pPr>
        <w:ind w:left="661" w:hanging="241"/>
        <w:jc w:val="left"/>
      </w:pPr>
      <w:rPr>
        <w:rFonts w:hint="default" w:ascii="Times New Roman" w:hAnsi="Times New Roman" w:eastAsia="Times New Roman" w:cs="Times New Roman"/>
        <w:spacing w:val="-14"/>
        <w:w w:val="100"/>
        <w:sz w:val="12"/>
        <w:szCs w:val="12"/>
        <w:lang w:val="en-US" w:eastAsia="en-US" w:bidi="ar-SA"/>
      </w:rPr>
    </w:lvl>
    <w:lvl w:ilvl="2">
      <w:start w:val="0"/>
      <w:numFmt w:val="bullet"/>
      <w:lvlText w:val="•"/>
      <w:lvlJc w:val="left"/>
      <w:pPr>
        <w:ind w:left="237" w:hanging="241"/>
      </w:pPr>
      <w:rPr>
        <w:rFonts w:hint="default"/>
        <w:lang w:val="en-US" w:eastAsia="en-US" w:bidi="ar-SA"/>
      </w:rPr>
    </w:lvl>
    <w:lvl w:ilvl="3">
      <w:start w:val="0"/>
      <w:numFmt w:val="bullet"/>
      <w:lvlText w:val="•"/>
      <w:lvlJc w:val="left"/>
      <w:pPr>
        <w:ind w:left="-185" w:hanging="241"/>
      </w:pPr>
      <w:rPr>
        <w:rFonts w:hint="default"/>
        <w:lang w:val="en-US" w:eastAsia="en-US" w:bidi="ar-SA"/>
      </w:rPr>
    </w:lvl>
    <w:lvl w:ilvl="4">
      <w:start w:val="0"/>
      <w:numFmt w:val="bullet"/>
      <w:lvlText w:val="•"/>
      <w:lvlJc w:val="left"/>
      <w:pPr>
        <w:ind w:left="-608" w:hanging="241"/>
      </w:pPr>
      <w:rPr>
        <w:rFonts w:hint="default"/>
        <w:lang w:val="en-US" w:eastAsia="en-US" w:bidi="ar-SA"/>
      </w:rPr>
    </w:lvl>
    <w:lvl w:ilvl="5">
      <w:start w:val="0"/>
      <w:numFmt w:val="bullet"/>
      <w:lvlText w:val="•"/>
      <w:lvlJc w:val="left"/>
      <w:pPr>
        <w:ind w:left="-1030" w:hanging="241"/>
      </w:pPr>
      <w:rPr>
        <w:rFonts w:hint="default"/>
        <w:lang w:val="en-US" w:eastAsia="en-US" w:bidi="ar-SA"/>
      </w:rPr>
    </w:lvl>
    <w:lvl w:ilvl="6">
      <w:start w:val="0"/>
      <w:numFmt w:val="bullet"/>
      <w:lvlText w:val="•"/>
      <w:lvlJc w:val="left"/>
      <w:pPr>
        <w:ind w:left="-1453" w:hanging="241"/>
      </w:pPr>
      <w:rPr>
        <w:rFonts w:hint="default"/>
        <w:lang w:val="en-US" w:eastAsia="en-US" w:bidi="ar-SA"/>
      </w:rPr>
    </w:lvl>
    <w:lvl w:ilvl="7">
      <w:start w:val="0"/>
      <w:numFmt w:val="bullet"/>
      <w:lvlText w:val="•"/>
      <w:lvlJc w:val="left"/>
      <w:pPr>
        <w:ind w:left="-1875" w:hanging="241"/>
      </w:pPr>
      <w:rPr>
        <w:rFonts w:hint="default"/>
        <w:lang w:val="en-US" w:eastAsia="en-US" w:bidi="ar-SA"/>
      </w:rPr>
    </w:lvl>
    <w:lvl w:ilvl="8">
      <w:start w:val="0"/>
      <w:numFmt w:val="bullet"/>
      <w:lvlText w:val="•"/>
      <w:lvlJc w:val="left"/>
      <w:pPr>
        <w:ind w:left="-2298" w:hanging="241"/>
      </w:pPr>
      <w:rPr>
        <w:rFonts w:hint="default"/>
        <w:lang w:val="en-US" w:eastAsia="en-US" w:bidi="ar-SA"/>
      </w:rPr>
    </w:lvl>
  </w:abstractNum>
  <w:abstractNum w:abstractNumId="19">
    <w:multiLevelType w:val="hybridMultilevel"/>
    <w:lvl w:ilvl="0">
      <w:start w:val="2"/>
      <w:numFmt w:val="decimal"/>
      <w:lvlText w:val="%1"/>
      <w:lvlJc w:val="left"/>
      <w:pPr>
        <w:ind w:left="4583" w:hanging="4409"/>
        <w:jc w:val="left"/>
      </w:pPr>
      <w:rPr>
        <w:rFonts w:hint="default"/>
        <w:lang w:val="en-US" w:eastAsia="en-US" w:bidi="ar-SA"/>
      </w:rPr>
    </w:lvl>
    <w:lvl w:ilvl="1">
      <w:start w:val="3"/>
      <w:numFmt w:val="decimal"/>
      <w:lvlText w:val="%1.%2"/>
      <w:lvlJc w:val="left"/>
      <w:pPr>
        <w:ind w:left="4583" w:hanging="4409"/>
        <w:jc w:val="left"/>
      </w:pPr>
      <w:rPr>
        <w:rFonts w:hint="default"/>
        <w:b/>
        <w:bCs/>
        <w:spacing w:val="-1"/>
        <w:w w:val="100"/>
        <w:lang w:val="en-US" w:eastAsia="en-US" w:bidi="ar-SA"/>
      </w:rPr>
    </w:lvl>
    <w:lvl w:ilvl="2">
      <w:start w:val="1"/>
      <w:numFmt w:val="lowerLetter"/>
      <w:lvlText w:val="(%3)"/>
      <w:lvlJc w:val="left"/>
      <w:pPr>
        <w:ind w:left="5775" w:hanging="241"/>
        <w:jc w:val="left"/>
      </w:pPr>
      <w:rPr>
        <w:rFonts w:hint="default" w:ascii="Times New Roman" w:hAnsi="Times New Roman" w:eastAsia="Times New Roman" w:cs="Times New Roman"/>
        <w:spacing w:val="-14"/>
        <w:w w:val="100"/>
        <w:sz w:val="12"/>
        <w:szCs w:val="12"/>
        <w:lang w:val="en-US" w:eastAsia="en-US" w:bidi="ar-SA"/>
      </w:rPr>
    </w:lvl>
    <w:lvl w:ilvl="3">
      <w:start w:val="0"/>
      <w:numFmt w:val="bullet"/>
      <w:lvlText w:val="•"/>
      <w:lvlJc w:val="left"/>
      <w:pPr>
        <w:ind w:left="5788" w:hanging="241"/>
      </w:pPr>
      <w:rPr>
        <w:rFonts w:hint="default"/>
        <w:lang w:val="en-US" w:eastAsia="en-US" w:bidi="ar-SA"/>
      </w:rPr>
    </w:lvl>
    <w:lvl w:ilvl="4">
      <w:start w:val="0"/>
      <w:numFmt w:val="bullet"/>
      <w:lvlText w:val="•"/>
      <w:lvlJc w:val="left"/>
      <w:pPr>
        <w:ind w:left="5793" w:hanging="241"/>
      </w:pPr>
      <w:rPr>
        <w:rFonts w:hint="default"/>
        <w:lang w:val="en-US" w:eastAsia="en-US" w:bidi="ar-SA"/>
      </w:rPr>
    </w:lvl>
    <w:lvl w:ilvl="5">
      <w:start w:val="0"/>
      <w:numFmt w:val="bullet"/>
      <w:lvlText w:val="•"/>
      <w:lvlJc w:val="left"/>
      <w:pPr>
        <w:ind w:left="5797" w:hanging="241"/>
      </w:pPr>
      <w:rPr>
        <w:rFonts w:hint="default"/>
        <w:lang w:val="en-US" w:eastAsia="en-US" w:bidi="ar-SA"/>
      </w:rPr>
    </w:lvl>
    <w:lvl w:ilvl="6">
      <w:start w:val="0"/>
      <w:numFmt w:val="bullet"/>
      <w:lvlText w:val="•"/>
      <w:lvlJc w:val="left"/>
      <w:pPr>
        <w:ind w:left="5802" w:hanging="241"/>
      </w:pPr>
      <w:rPr>
        <w:rFonts w:hint="default"/>
        <w:lang w:val="en-US" w:eastAsia="en-US" w:bidi="ar-SA"/>
      </w:rPr>
    </w:lvl>
    <w:lvl w:ilvl="7">
      <w:start w:val="0"/>
      <w:numFmt w:val="bullet"/>
      <w:lvlText w:val="•"/>
      <w:lvlJc w:val="left"/>
      <w:pPr>
        <w:ind w:left="5806" w:hanging="241"/>
      </w:pPr>
      <w:rPr>
        <w:rFonts w:hint="default"/>
        <w:lang w:val="en-US" w:eastAsia="en-US" w:bidi="ar-SA"/>
      </w:rPr>
    </w:lvl>
    <w:lvl w:ilvl="8">
      <w:start w:val="0"/>
      <w:numFmt w:val="bullet"/>
      <w:lvlText w:val="•"/>
      <w:lvlJc w:val="left"/>
      <w:pPr>
        <w:ind w:left="5811" w:hanging="241"/>
      </w:pPr>
      <w:rPr>
        <w:rFonts w:hint="default"/>
        <w:lang w:val="en-US" w:eastAsia="en-US" w:bidi="ar-SA"/>
      </w:rPr>
    </w:lvl>
  </w:abstractNum>
  <w:abstractNum w:abstractNumId="18">
    <w:multiLevelType w:val="hybridMultilevel"/>
    <w:lvl w:ilvl="0">
      <w:start w:val="1"/>
      <w:numFmt w:val="lowerLetter"/>
      <w:lvlText w:val="(%1)"/>
      <w:lvlJc w:val="left"/>
      <w:pPr>
        <w:ind w:left="415"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440"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305" w:hanging="241"/>
      </w:pPr>
      <w:rPr>
        <w:rFonts w:hint="default"/>
        <w:lang w:val="en-US" w:eastAsia="en-US" w:bidi="ar-SA"/>
      </w:rPr>
    </w:lvl>
    <w:lvl w:ilvl="3">
      <w:start w:val="0"/>
      <w:numFmt w:val="bullet"/>
      <w:lvlText w:val="•"/>
      <w:lvlJc w:val="left"/>
      <w:pPr>
        <w:ind w:left="170" w:hanging="241"/>
      </w:pPr>
      <w:rPr>
        <w:rFonts w:hint="default"/>
        <w:lang w:val="en-US" w:eastAsia="en-US" w:bidi="ar-SA"/>
      </w:rPr>
    </w:lvl>
    <w:lvl w:ilvl="4">
      <w:start w:val="0"/>
      <w:numFmt w:val="bullet"/>
      <w:lvlText w:val="•"/>
      <w:lvlJc w:val="left"/>
      <w:pPr>
        <w:ind w:left="35" w:hanging="241"/>
      </w:pPr>
      <w:rPr>
        <w:rFonts w:hint="default"/>
        <w:lang w:val="en-US" w:eastAsia="en-US" w:bidi="ar-SA"/>
      </w:rPr>
    </w:lvl>
    <w:lvl w:ilvl="5">
      <w:start w:val="0"/>
      <w:numFmt w:val="bullet"/>
      <w:lvlText w:val="•"/>
      <w:lvlJc w:val="left"/>
      <w:pPr>
        <w:ind w:left="-99" w:hanging="241"/>
      </w:pPr>
      <w:rPr>
        <w:rFonts w:hint="default"/>
        <w:lang w:val="en-US" w:eastAsia="en-US" w:bidi="ar-SA"/>
      </w:rPr>
    </w:lvl>
    <w:lvl w:ilvl="6">
      <w:start w:val="0"/>
      <w:numFmt w:val="bullet"/>
      <w:lvlText w:val="•"/>
      <w:lvlJc w:val="left"/>
      <w:pPr>
        <w:ind w:left="-234" w:hanging="241"/>
      </w:pPr>
      <w:rPr>
        <w:rFonts w:hint="default"/>
        <w:lang w:val="en-US" w:eastAsia="en-US" w:bidi="ar-SA"/>
      </w:rPr>
    </w:lvl>
    <w:lvl w:ilvl="7">
      <w:start w:val="0"/>
      <w:numFmt w:val="bullet"/>
      <w:lvlText w:val="•"/>
      <w:lvlJc w:val="left"/>
      <w:pPr>
        <w:ind w:left="-369" w:hanging="241"/>
      </w:pPr>
      <w:rPr>
        <w:rFonts w:hint="default"/>
        <w:lang w:val="en-US" w:eastAsia="en-US" w:bidi="ar-SA"/>
      </w:rPr>
    </w:lvl>
    <w:lvl w:ilvl="8">
      <w:start w:val="0"/>
      <w:numFmt w:val="bullet"/>
      <w:lvlText w:val="•"/>
      <w:lvlJc w:val="left"/>
      <w:pPr>
        <w:ind w:left="-504" w:hanging="241"/>
      </w:pPr>
      <w:rPr>
        <w:rFonts w:hint="default"/>
        <w:lang w:val="en-US" w:eastAsia="en-US" w:bidi="ar-SA"/>
      </w:rPr>
    </w:lvl>
  </w:abstractNum>
  <w:abstractNum w:abstractNumId="17">
    <w:multiLevelType w:val="hybridMultilevel"/>
    <w:lvl w:ilvl="0">
      <w:start w:val="1"/>
      <w:numFmt w:val="lowerLetter"/>
      <w:lvlText w:val="(%1)"/>
      <w:lvlJc w:val="left"/>
      <w:pPr>
        <w:ind w:left="424"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2" w:hanging="241"/>
      </w:pPr>
      <w:rPr>
        <w:rFonts w:hint="default"/>
        <w:lang w:val="en-US" w:eastAsia="en-US" w:bidi="ar-SA"/>
      </w:rPr>
    </w:lvl>
    <w:lvl w:ilvl="2">
      <w:start w:val="0"/>
      <w:numFmt w:val="bullet"/>
      <w:lvlText w:val="•"/>
      <w:lvlJc w:val="left"/>
      <w:pPr>
        <w:ind w:left="1125" w:hanging="241"/>
      </w:pPr>
      <w:rPr>
        <w:rFonts w:hint="default"/>
        <w:lang w:val="en-US" w:eastAsia="en-US" w:bidi="ar-SA"/>
      </w:rPr>
    </w:lvl>
    <w:lvl w:ilvl="3">
      <w:start w:val="0"/>
      <w:numFmt w:val="bullet"/>
      <w:lvlText w:val="•"/>
      <w:lvlJc w:val="left"/>
      <w:pPr>
        <w:ind w:left="1478" w:hanging="241"/>
      </w:pPr>
      <w:rPr>
        <w:rFonts w:hint="default"/>
        <w:lang w:val="en-US" w:eastAsia="en-US" w:bidi="ar-SA"/>
      </w:rPr>
    </w:lvl>
    <w:lvl w:ilvl="4">
      <w:start w:val="0"/>
      <w:numFmt w:val="bullet"/>
      <w:lvlText w:val="•"/>
      <w:lvlJc w:val="left"/>
      <w:pPr>
        <w:ind w:left="1831" w:hanging="241"/>
      </w:pPr>
      <w:rPr>
        <w:rFonts w:hint="default"/>
        <w:lang w:val="en-US" w:eastAsia="en-US" w:bidi="ar-SA"/>
      </w:rPr>
    </w:lvl>
    <w:lvl w:ilvl="5">
      <w:start w:val="0"/>
      <w:numFmt w:val="bullet"/>
      <w:lvlText w:val="•"/>
      <w:lvlJc w:val="left"/>
      <w:pPr>
        <w:ind w:left="2184" w:hanging="241"/>
      </w:pPr>
      <w:rPr>
        <w:rFonts w:hint="default"/>
        <w:lang w:val="en-US" w:eastAsia="en-US" w:bidi="ar-SA"/>
      </w:rPr>
    </w:lvl>
    <w:lvl w:ilvl="6">
      <w:start w:val="0"/>
      <w:numFmt w:val="bullet"/>
      <w:lvlText w:val="•"/>
      <w:lvlJc w:val="left"/>
      <w:pPr>
        <w:ind w:left="2537" w:hanging="241"/>
      </w:pPr>
      <w:rPr>
        <w:rFonts w:hint="default"/>
        <w:lang w:val="en-US" w:eastAsia="en-US" w:bidi="ar-SA"/>
      </w:rPr>
    </w:lvl>
    <w:lvl w:ilvl="7">
      <w:start w:val="0"/>
      <w:numFmt w:val="bullet"/>
      <w:lvlText w:val="•"/>
      <w:lvlJc w:val="left"/>
      <w:pPr>
        <w:ind w:left="2890" w:hanging="241"/>
      </w:pPr>
      <w:rPr>
        <w:rFonts w:hint="default"/>
        <w:lang w:val="en-US" w:eastAsia="en-US" w:bidi="ar-SA"/>
      </w:rPr>
    </w:lvl>
    <w:lvl w:ilvl="8">
      <w:start w:val="0"/>
      <w:numFmt w:val="bullet"/>
      <w:lvlText w:val="•"/>
      <w:lvlJc w:val="left"/>
      <w:pPr>
        <w:ind w:left="3243" w:hanging="241"/>
      </w:pPr>
      <w:rPr>
        <w:rFonts w:hint="default"/>
        <w:lang w:val="en-US" w:eastAsia="en-US" w:bidi="ar-SA"/>
      </w:rPr>
    </w:lvl>
  </w:abstractNum>
  <w:abstractNum w:abstractNumId="16">
    <w:multiLevelType w:val="hybridMultilevel"/>
    <w:lvl w:ilvl="0">
      <w:start w:val="1"/>
      <w:numFmt w:val="lowerLetter"/>
      <w:lvlText w:val="(%1)"/>
      <w:lvlJc w:val="left"/>
      <w:pPr>
        <w:ind w:left="414"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64" w:hanging="241"/>
      </w:pPr>
      <w:rPr>
        <w:rFonts w:hint="default"/>
        <w:lang w:val="en-US" w:eastAsia="en-US" w:bidi="ar-SA"/>
      </w:rPr>
    </w:lvl>
    <w:lvl w:ilvl="2">
      <w:start w:val="0"/>
      <w:numFmt w:val="bullet"/>
      <w:lvlText w:val="•"/>
      <w:lvlJc w:val="left"/>
      <w:pPr>
        <w:ind w:left="1109" w:hanging="241"/>
      </w:pPr>
      <w:rPr>
        <w:rFonts w:hint="default"/>
        <w:lang w:val="en-US" w:eastAsia="en-US" w:bidi="ar-SA"/>
      </w:rPr>
    </w:lvl>
    <w:lvl w:ilvl="3">
      <w:start w:val="0"/>
      <w:numFmt w:val="bullet"/>
      <w:lvlText w:val="•"/>
      <w:lvlJc w:val="left"/>
      <w:pPr>
        <w:ind w:left="1453" w:hanging="241"/>
      </w:pPr>
      <w:rPr>
        <w:rFonts w:hint="default"/>
        <w:lang w:val="en-US" w:eastAsia="en-US" w:bidi="ar-SA"/>
      </w:rPr>
    </w:lvl>
    <w:lvl w:ilvl="4">
      <w:start w:val="0"/>
      <w:numFmt w:val="bullet"/>
      <w:lvlText w:val="•"/>
      <w:lvlJc w:val="left"/>
      <w:pPr>
        <w:ind w:left="1798" w:hanging="241"/>
      </w:pPr>
      <w:rPr>
        <w:rFonts w:hint="default"/>
        <w:lang w:val="en-US" w:eastAsia="en-US" w:bidi="ar-SA"/>
      </w:rPr>
    </w:lvl>
    <w:lvl w:ilvl="5">
      <w:start w:val="0"/>
      <w:numFmt w:val="bullet"/>
      <w:lvlText w:val="•"/>
      <w:lvlJc w:val="left"/>
      <w:pPr>
        <w:ind w:left="2143" w:hanging="241"/>
      </w:pPr>
      <w:rPr>
        <w:rFonts w:hint="default"/>
        <w:lang w:val="en-US" w:eastAsia="en-US" w:bidi="ar-SA"/>
      </w:rPr>
    </w:lvl>
    <w:lvl w:ilvl="6">
      <w:start w:val="0"/>
      <w:numFmt w:val="bullet"/>
      <w:lvlText w:val="•"/>
      <w:lvlJc w:val="left"/>
      <w:pPr>
        <w:ind w:left="2487" w:hanging="241"/>
      </w:pPr>
      <w:rPr>
        <w:rFonts w:hint="default"/>
        <w:lang w:val="en-US" w:eastAsia="en-US" w:bidi="ar-SA"/>
      </w:rPr>
    </w:lvl>
    <w:lvl w:ilvl="7">
      <w:start w:val="0"/>
      <w:numFmt w:val="bullet"/>
      <w:lvlText w:val="•"/>
      <w:lvlJc w:val="left"/>
      <w:pPr>
        <w:ind w:left="2832" w:hanging="241"/>
      </w:pPr>
      <w:rPr>
        <w:rFonts w:hint="default"/>
        <w:lang w:val="en-US" w:eastAsia="en-US" w:bidi="ar-SA"/>
      </w:rPr>
    </w:lvl>
    <w:lvl w:ilvl="8">
      <w:start w:val="0"/>
      <w:numFmt w:val="bullet"/>
      <w:lvlText w:val="•"/>
      <w:lvlJc w:val="left"/>
      <w:pPr>
        <w:ind w:left="3177" w:hanging="241"/>
      </w:pPr>
      <w:rPr>
        <w:rFonts w:hint="default"/>
        <w:lang w:val="en-US" w:eastAsia="en-US" w:bidi="ar-SA"/>
      </w:rPr>
    </w:lvl>
  </w:abstractNum>
  <w:abstractNum w:abstractNumId="15">
    <w:multiLevelType w:val="hybridMultilevel"/>
    <w:lvl w:ilvl="0">
      <w:start w:val="1"/>
      <w:numFmt w:val="decimal"/>
      <w:lvlText w:val="(%1)"/>
      <w:lvlJc w:val="left"/>
      <w:pPr>
        <w:ind w:left="419" w:hanging="241"/>
        <w:jc w:val="left"/>
      </w:pPr>
      <w:rPr>
        <w:rFonts w:hint="default" w:ascii="Times New Roman" w:hAnsi="Times New Roman" w:eastAsia="Times New Roman" w:cs="Times New Roman"/>
        <w:spacing w:val="-1"/>
        <w:w w:val="100"/>
        <w:sz w:val="16"/>
        <w:szCs w:val="16"/>
        <w:lang w:val="en-US" w:eastAsia="en-US" w:bidi="ar-SA"/>
      </w:rPr>
    </w:lvl>
    <w:lvl w:ilvl="1">
      <w:start w:val="1"/>
      <w:numFmt w:val="lowerLetter"/>
      <w:lvlText w:val="(%2)"/>
      <w:lvlJc w:val="left"/>
      <w:pPr>
        <w:ind w:left="424" w:hanging="241"/>
        <w:jc w:val="left"/>
      </w:pPr>
      <w:rPr>
        <w:rFonts w:hint="default" w:ascii="Times New Roman" w:hAnsi="Times New Roman" w:eastAsia="Times New Roman" w:cs="Times New Roman"/>
        <w:spacing w:val="-14"/>
        <w:w w:val="100"/>
        <w:sz w:val="12"/>
        <w:szCs w:val="12"/>
        <w:lang w:val="en-US" w:eastAsia="en-US" w:bidi="ar-SA"/>
      </w:rPr>
    </w:lvl>
    <w:lvl w:ilvl="2">
      <w:start w:val="0"/>
      <w:numFmt w:val="bullet"/>
      <w:lvlText w:val="•"/>
      <w:lvlJc w:val="left"/>
      <w:pPr>
        <w:ind w:left="175" w:hanging="241"/>
      </w:pPr>
      <w:rPr>
        <w:rFonts w:hint="default"/>
        <w:lang w:val="en-US" w:eastAsia="en-US" w:bidi="ar-SA"/>
      </w:rPr>
    </w:lvl>
    <w:lvl w:ilvl="3">
      <w:start w:val="0"/>
      <w:numFmt w:val="bullet"/>
      <w:lvlText w:val="•"/>
      <w:lvlJc w:val="left"/>
      <w:pPr>
        <w:ind w:left="53" w:hanging="241"/>
      </w:pPr>
      <w:rPr>
        <w:rFonts w:hint="default"/>
        <w:lang w:val="en-US" w:eastAsia="en-US" w:bidi="ar-SA"/>
      </w:rPr>
    </w:lvl>
    <w:lvl w:ilvl="4">
      <w:start w:val="0"/>
      <w:numFmt w:val="bullet"/>
      <w:lvlText w:val="•"/>
      <w:lvlJc w:val="left"/>
      <w:pPr>
        <w:ind w:left="-69" w:hanging="241"/>
      </w:pPr>
      <w:rPr>
        <w:rFonts w:hint="default"/>
        <w:lang w:val="en-US" w:eastAsia="en-US" w:bidi="ar-SA"/>
      </w:rPr>
    </w:lvl>
    <w:lvl w:ilvl="5">
      <w:start w:val="0"/>
      <w:numFmt w:val="bullet"/>
      <w:lvlText w:val="•"/>
      <w:lvlJc w:val="left"/>
      <w:pPr>
        <w:ind w:left="-191" w:hanging="241"/>
      </w:pPr>
      <w:rPr>
        <w:rFonts w:hint="default"/>
        <w:lang w:val="en-US" w:eastAsia="en-US" w:bidi="ar-SA"/>
      </w:rPr>
    </w:lvl>
    <w:lvl w:ilvl="6">
      <w:start w:val="0"/>
      <w:numFmt w:val="bullet"/>
      <w:lvlText w:val="•"/>
      <w:lvlJc w:val="left"/>
      <w:pPr>
        <w:ind w:left="-313" w:hanging="241"/>
      </w:pPr>
      <w:rPr>
        <w:rFonts w:hint="default"/>
        <w:lang w:val="en-US" w:eastAsia="en-US" w:bidi="ar-SA"/>
      </w:rPr>
    </w:lvl>
    <w:lvl w:ilvl="7">
      <w:start w:val="0"/>
      <w:numFmt w:val="bullet"/>
      <w:lvlText w:val="•"/>
      <w:lvlJc w:val="left"/>
      <w:pPr>
        <w:ind w:left="-435" w:hanging="241"/>
      </w:pPr>
      <w:rPr>
        <w:rFonts w:hint="default"/>
        <w:lang w:val="en-US" w:eastAsia="en-US" w:bidi="ar-SA"/>
      </w:rPr>
    </w:lvl>
    <w:lvl w:ilvl="8">
      <w:start w:val="0"/>
      <w:numFmt w:val="bullet"/>
      <w:lvlText w:val="•"/>
      <w:lvlJc w:val="left"/>
      <w:pPr>
        <w:ind w:left="-557" w:hanging="241"/>
      </w:pPr>
      <w:rPr>
        <w:rFonts w:hint="default"/>
        <w:lang w:val="en-US" w:eastAsia="en-US" w:bidi="ar-SA"/>
      </w:rPr>
    </w:lvl>
  </w:abstractNum>
  <w:abstractNum w:abstractNumId="14">
    <w:multiLevelType w:val="hybridMultilevel"/>
    <w:lvl w:ilvl="0">
      <w:start w:val="1"/>
      <w:numFmt w:val="lowerLetter"/>
      <w:lvlText w:val="(%1)"/>
      <w:lvlJc w:val="left"/>
      <w:pPr>
        <w:ind w:left="40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97" w:hanging="241"/>
      </w:pPr>
      <w:rPr>
        <w:rFonts w:hint="default"/>
        <w:lang w:val="en-US" w:eastAsia="en-US" w:bidi="ar-SA"/>
      </w:rPr>
    </w:lvl>
    <w:lvl w:ilvl="2">
      <w:start w:val="0"/>
      <w:numFmt w:val="bullet"/>
      <w:lvlText w:val="•"/>
      <w:lvlJc w:val="left"/>
      <w:pPr>
        <w:ind w:left="1195" w:hanging="241"/>
      </w:pPr>
      <w:rPr>
        <w:rFonts w:hint="default"/>
        <w:lang w:val="en-US" w:eastAsia="en-US" w:bidi="ar-SA"/>
      </w:rPr>
    </w:lvl>
    <w:lvl w:ilvl="3">
      <w:start w:val="0"/>
      <w:numFmt w:val="bullet"/>
      <w:lvlText w:val="•"/>
      <w:lvlJc w:val="left"/>
      <w:pPr>
        <w:ind w:left="1592" w:hanging="241"/>
      </w:pPr>
      <w:rPr>
        <w:rFonts w:hint="default"/>
        <w:lang w:val="en-US" w:eastAsia="en-US" w:bidi="ar-SA"/>
      </w:rPr>
    </w:lvl>
    <w:lvl w:ilvl="4">
      <w:start w:val="0"/>
      <w:numFmt w:val="bullet"/>
      <w:lvlText w:val="•"/>
      <w:lvlJc w:val="left"/>
      <w:pPr>
        <w:ind w:left="1990" w:hanging="241"/>
      </w:pPr>
      <w:rPr>
        <w:rFonts w:hint="default"/>
        <w:lang w:val="en-US" w:eastAsia="en-US" w:bidi="ar-SA"/>
      </w:rPr>
    </w:lvl>
    <w:lvl w:ilvl="5">
      <w:start w:val="0"/>
      <w:numFmt w:val="bullet"/>
      <w:lvlText w:val="•"/>
      <w:lvlJc w:val="left"/>
      <w:pPr>
        <w:ind w:left="2387" w:hanging="241"/>
      </w:pPr>
      <w:rPr>
        <w:rFonts w:hint="default"/>
        <w:lang w:val="en-US" w:eastAsia="en-US" w:bidi="ar-SA"/>
      </w:rPr>
    </w:lvl>
    <w:lvl w:ilvl="6">
      <w:start w:val="0"/>
      <w:numFmt w:val="bullet"/>
      <w:lvlText w:val="•"/>
      <w:lvlJc w:val="left"/>
      <w:pPr>
        <w:ind w:left="2785" w:hanging="241"/>
      </w:pPr>
      <w:rPr>
        <w:rFonts w:hint="default"/>
        <w:lang w:val="en-US" w:eastAsia="en-US" w:bidi="ar-SA"/>
      </w:rPr>
    </w:lvl>
    <w:lvl w:ilvl="7">
      <w:start w:val="0"/>
      <w:numFmt w:val="bullet"/>
      <w:lvlText w:val="•"/>
      <w:lvlJc w:val="left"/>
      <w:pPr>
        <w:ind w:left="3182" w:hanging="241"/>
      </w:pPr>
      <w:rPr>
        <w:rFonts w:hint="default"/>
        <w:lang w:val="en-US" w:eastAsia="en-US" w:bidi="ar-SA"/>
      </w:rPr>
    </w:lvl>
    <w:lvl w:ilvl="8">
      <w:start w:val="0"/>
      <w:numFmt w:val="bullet"/>
      <w:lvlText w:val="•"/>
      <w:lvlJc w:val="left"/>
      <w:pPr>
        <w:ind w:left="3580" w:hanging="241"/>
      </w:pPr>
      <w:rPr>
        <w:rFonts w:hint="default"/>
        <w:lang w:val="en-US" w:eastAsia="en-US" w:bidi="ar-SA"/>
      </w:rPr>
    </w:lvl>
  </w:abstractNum>
  <w:abstractNum w:abstractNumId="13">
    <w:multiLevelType w:val="hybridMultilevel"/>
    <w:lvl w:ilvl="0">
      <w:start w:val="1"/>
      <w:numFmt w:val="lowerLetter"/>
      <w:lvlText w:val="(%1)"/>
      <w:lvlJc w:val="left"/>
      <w:pPr>
        <w:ind w:left="429"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15" w:hanging="241"/>
      </w:pPr>
      <w:rPr>
        <w:rFonts w:hint="default"/>
        <w:lang w:val="en-US" w:eastAsia="en-US" w:bidi="ar-SA"/>
      </w:rPr>
    </w:lvl>
    <w:lvl w:ilvl="2">
      <w:start w:val="0"/>
      <w:numFmt w:val="bullet"/>
      <w:lvlText w:val="•"/>
      <w:lvlJc w:val="left"/>
      <w:pPr>
        <w:ind w:left="1210" w:hanging="241"/>
      </w:pPr>
      <w:rPr>
        <w:rFonts w:hint="default"/>
        <w:lang w:val="en-US" w:eastAsia="en-US" w:bidi="ar-SA"/>
      </w:rPr>
    </w:lvl>
    <w:lvl w:ilvl="3">
      <w:start w:val="0"/>
      <w:numFmt w:val="bullet"/>
      <w:lvlText w:val="•"/>
      <w:lvlJc w:val="left"/>
      <w:pPr>
        <w:ind w:left="1605" w:hanging="241"/>
      </w:pPr>
      <w:rPr>
        <w:rFonts w:hint="default"/>
        <w:lang w:val="en-US" w:eastAsia="en-US" w:bidi="ar-SA"/>
      </w:rPr>
    </w:lvl>
    <w:lvl w:ilvl="4">
      <w:start w:val="0"/>
      <w:numFmt w:val="bullet"/>
      <w:lvlText w:val="•"/>
      <w:lvlJc w:val="left"/>
      <w:pPr>
        <w:ind w:left="2000" w:hanging="241"/>
      </w:pPr>
      <w:rPr>
        <w:rFonts w:hint="default"/>
        <w:lang w:val="en-US" w:eastAsia="en-US" w:bidi="ar-SA"/>
      </w:rPr>
    </w:lvl>
    <w:lvl w:ilvl="5">
      <w:start w:val="0"/>
      <w:numFmt w:val="bullet"/>
      <w:lvlText w:val="•"/>
      <w:lvlJc w:val="left"/>
      <w:pPr>
        <w:ind w:left="2395" w:hanging="241"/>
      </w:pPr>
      <w:rPr>
        <w:rFonts w:hint="default"/>
        <w:lang w:val="en-US" w:eastAsia="en-US" w:bidi="ar-SA"/>
      </w:rPr>
    </w:lvl>
    <w:lvl w:ilvl="6">
      <w:start w:val="0"/>
      <w:numFmt w:val="bullet"/>
      <w:lvlText w:val="•"/>
      <w:lvlJc w:val="left"/>
      <w:pPr>
        <w:ind w:left="2790" w:hanging="241"/>
      </w:pPr>
      <w:rPr>
        <w:rFonts w:hint="default"/>
        <w:lang w:val="en-US" w:eastAsia="en-US" w:bidi="ar-SA"/>
      </w:rPr>
    </w:lvl>
    <w:lvl w:ilvl="7">
      <w:start w:val="0"/>
      <w:numFmt w:val="bullet"/>
      <w:lvlText w:val="•"/>
      <w:lvlJc w:val="left"/>
      <w:pPr>
        <w:ind w:left="3185" w:hanging="241"/>
      </w:pPr>
      <w:rPr>
        <w:rFonts w:hint="default"/>
        <w:lang w:val="en-US" w:eastAsia="en-US" w:bidi="ar-SA"/>
      </w:rPr>
    </w:lvl>
    <w:lvl w:ilvl="8">
      <w:start w:val="0"/>
      <w:numFmt w:val="bullet"/>
      <w:lvlText w:val="•"/>
      <w:lvlJc w:val="left"/>
      <w:pPr>
        <w:ind w:left="3580" w:hanging="241"/>
      </w:pPr>
      <w:rPr>
        <w:rFonts w:hint="default"/>
        <w:lang w:val="en-US" w:eastAsia="en-US" w:bidi="ar-SA"/>
      </w:rPr>
    </w:lvl>
  </w:abstractNum>
  <w:abstractNum w:abstractNumId="11">
    <w:multiLevelType w:val="hybridMultilevel"/>
    <w:lvl w:ilvl="0">
      <w:start w:val="1"/>
      <w:numFmt w:val="lowerLetter"/>
      <w:lvlText w:val="(%1)"/>
      <w:lvlJc w:val="left"/>
      <w:pPr>
        <w:ind w:left="425"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425" w:hanging="241"/>
        <w:jc w:val="left"/>
      </w:pPr>
      <w:rPr>
        <w:rFonts w:hint="default" w:ascii="Times New Roman" w:hAnsi="Times New Roman" w:eastAsia="Times New Roman" w:cs="Times New Roman"/>
        <w:spacing w:val="-1"/>
        <w:w w:val="100"/>
        <w:sz w:val="16"/>
        <w:szCs w:val="16"/>
        <w:lang w:val="en-US" w:eastAsia="en-US" w:bidi="ar-SA"/>
      </w:rPr>
    </w:lvl>
    <w:lvl w:ilvl="2">
      <w:start w:val="1"/>
      <w:numFmt w:val="lowerLetter"/>
      <w:lvlText w:val="(%3)"/>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3">
      <w:start w:val="0"/>
      <w:numFmt w:val="bullet"/>
      <w:lvlText w:val="•"/>
      <w:lvlJc w:val="left"/>
      <w:pPr>
        <w:ind w:left="-52" w:hanging="241"/>
      </w:pPr>
      <w:rPr>
        <w:rFonts w:hint="default"/>
        <w:lang w:val="en-US" w:eastAsia="en-US" w:bidi="ar-SA"/>
      </w:rPr>
    </w:lvl>
    <w:lvl w:ilvl="4">
      <w:start w:val="0"/>
      <w:numFmt w:val="bullet"/>
      <w:lvlText w:val="•"/>
      <w:lvlJc w:val="left"/>
      <w:pPr>
        <w:ind w:left="-210" w:hanging="241"/>
      </w:pPr>
      <w:rPr>
        <w:rFonts w:hint="default"/>
        <w:lang w:val="en-US" w:eastAsia="en-US" w:bidi="ar-SA"/>
      </w:rPr>
    </w:lvl>
    <w:lvl w:ilvl="5">
      <w:start w:val="0"/>
      <w:numFmt w:val="bullet"/>
      <w:lvlText w:val="•"/>
      <w:lvlJc w:val="left"/>
      <w:pPr>
        <w:ind w:left="-367" w:hanging="241"/>
      </w:pPr>
      <w:rPr>
        <w:rFonts w:hint="default"/>
        <w:lang w:val="en-US" w:eastAsia="en-US" w:bidi="ar-SA"/>
      </w:rPr>
    </w:lvl>
    <w:lvl w:ilvl="6">
      <w:start w:val="0"/>
      <w:numFmt w:val="bullet"/>
      <w:lvlText w:val="•"/>
      <w:lvlJc w:val="left"/>
      <w:pPr>
        <w:ind w:left="-524" w:hanging="241"/>
      </w:pPr>
      <w:rPr>
        <w:rFonts w:hint="default"/>
        <w:lang w:val="en-US" w:eastAsia="en-US" w:bidi="ar-SA"/>
      </w:rPr>
    </w:lvl>
    <w:lvl w:ilvl="7">
      <w:start w:val="0"/>
      <w:numFmt w:val="bullet"/>
      <w:lvlText w:val="•"/>
      <w:lvlJc w:val="left"/>
      <w:pPr>
        <w:ind w:left="-682" w:hanging="241"/>
      </w:pPr>
      <w:rPr>
        <w:rFonts w:hint="default"/>
        <w:lang w:val="en-US" w:eastAsia="en-US" w:bidi="ar-SA"/>
      </w:rPr>
    </w:lvl>
    <w:lvl w:ilvl="8">
      <w:start w:val="0"/>
      <w:numFmt w:val="bullet"/>
      <w:lvlText w:val="•"/>
      <w:lvlJc w:val="left"/>
      <w:pPr>
        <w:ind w:left="-839" w:hanging="241"/>
      </w:pPr>
      <w:rPr>
        <w:rFonts w:hint="default"/>
        <w:lang w:val="en-US" w:eastAsia="en-US" w:bidi="ar-SA"/>
      </w:rPr>
    </w:lvl>
  </w:abstractNum>
  <w:abstractNum w:abstractNumId="10">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660" w:hanging="241"/>
        <w:jc w:val="left"/>
      </w:pPr>
      <w:rPr>
        <w:rFonts w:hint="default" w:ascii="Times New Roman" w:hAnsi="Times New Roman" w:eastAsia="Times New Roman" w:cs="Times New Roman"/>
        <w:spacing w:val="-1"/>
        <w:w w:val="100"/>
        <w:sz w:val="16"/>
        <w:szCs w:val="16"/>
        <w:lang w:val="en-US" w:eastAsia="en-US" w:bidi="ar-SA"/>
      </w:rPr>
    </w:lvl>
    <w:lvl w:ilvl="2">
      <w:start w:val="0"/>
      <w:numFmt w:val="bullet"/>
      <w:lvlText w:val="•"/>
      <w:lvlJc w:val="left"/>
      <w:pPr>
        <w:ind w:left="557" w:hanging="241"/>
      </w:pPr>
      <w:rPr>
        <w:rFonts w:hint="default"/>
        <w:lang w:val="en-US" w:eastAsia="en-US" w:bidi="ar-SA"/>
      </w:rPr>
    </w:lvl>
    <w:lvl w:ilvl="3">
      <w:start w:val="0"/>
      <w:numFmt w:val="bullet"/>
      <w:lvlText w:val="•"/>
      <w:lvlJc w:val="left"/>
      <w:pPr>
        <w:ind w:left="455" w:hanging="241"/>
      </w:pPr>
      <w:rPr>
        <w:rFonts w:hint="default"/>
        <w:lang w:val="en-US" w:eastAsia="en-US" w:bidi="ar-SA"/>
      </w:rPr>
    </w:lvl>
    <w:lvl w:ilvl="4">
      <w:start w:val="0"/>
      <w:numFmt w:val="bullet"/>
      <w:lvlText w:val="•"/>
      <w:lvlJc w:val="left"/>
      <w:pPr>
        <w:ind w:left="352" w:hanging="241"/>
      </w:pPr>
      <w:rPr>
        <w:rFonts w:hint="default"/>
        <w:lang w:val="en-US" w:eastAsia="en-US" w:bidi="ar-SA"/>
      </w:rPr>
    </w:lvl>
    <w:lvl w:ilvl="5">
      <w:start w:val="0"/>
      <w:numFmt w:val="bullet"/>
      <w:lvlText w:val="•"/>
      <w:lvlJc w:val="left"/>
      <w:pPr>
        <w:ind w:left="250" w:hanging="241"/>
      </w:pPr>
      <w:rPr>
        <w:rFonts w:hint="default"/>
        <w:lang w:val="en-US" w:eastAsia="en-US" w:bidi="ar-SA"/>
      </w:rPr>
    </w:lvl>
    <w:lvl w:ilvl="6">
      <w:start w:val="0"/>
      <w:numFmt w:val="bullet"/>
      <w:lvlText w:val="•"/>
      <w:lvlJc w:val="left"/>
      <w:pPr>
        <w:ind w:left="148" w:hanging="241"/>
      </w:pPr>
      <w:rPr>
        <w:rFonts w:hint="default"/>
        <w:lang w:val="en-US" w:eastAsia="en-US" w:bidi="ar-SA"/>
      </w:rPr>
    </w:lvl>
    <w:lvl w:ilvl="7">
      <w:start w:val="0"/>
      <w:numFmt w:val="bullet"/>
      <w:lvlText w:val="•"/>
      <w:lvlJc w:val="left"/>
      <w:pPr>
        <w:ind w:left="45" w:hanging="241"/>
      </w:pPr>
      <w:rPr>
        <w:rFonts w:hint="default"/>
        <w:lang w:val="en-US" w:eastAsia="en-US" w:bidi="ar-SA"/>
      </w:rPr>
    </w:lvl>
    <w:lvl w:ilvl="8">
      <w:start w:val="0"/>
      <w:numFmt w:val="bullet"/>
      <w:lvlText w:val="•"/>
      <w:lvlJc w:val="left"/>
      <w:pPr>
        <w:ind w:left="-57" w:hanging="241"/>
      </w:pPr>
      <w:rPr>
        <w:rFonts w:hint="default"/>
        <w:lang w:val="en-US" w:eastAsia="en-US" w:bidi="ar-SA"/>
      </w:rPr>
    </w:lvl>
  </w:abstractNum>
  <w:abstractNum w:abstractNumId="9">
    <w:multiLevelType w:val="hybridMultilevel"/>
    <w:lvl w:ilvl="0">
      <w:start w:val="1"/>
      <w:numFmt w:val="lowerLetter"/>
      <w:lvlText w:val="(%1)"/>
      <w:lvlJc w:val="left"/>
      <w:pPr>
        <w:ind w:left="419"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808" w:hanging="241"/>
      </w:pPr>
      <w:rPr>
        <w:rFonts w:hint="default"/>
        <w:lang w:val="en-US" w:eastAsia="en-US" w:bidi="ar-SA"/>
      </w:rPr>
    </w:lvl>
    <w:lvl w:ilvl="2">
      <w:start w:val="0"/>
      <w:numFmt w:val="bullet"/>
      <w:lvlText w:val="•"/>
      <w:lvlJc w:val="left"/>
      <w:pPr>
        <w:ind w:left="1196" w:hanging="241"/>
      </w:pPr>
      <w:rPr>
        <w:rFonts w:hint="default"/>
        <w:lang w:val="en-US" w:eastAsia="en-US" w:bidi="ar-SA"/>
      </w:rPr>
    </w:lvl>
    <w:lvl w:ilvl="3">
      <w:start w:val="0"/>
      <w:numFmt w:val="bullet"/>
      <w:lvlText w:val="•"/>
      <w:lvlJc w:val="left"/>
      <w:pPr>
        <w:ind w:left="1585" w:hanging="241"/>
      </w:pPr>
      <w:rPr>
        <w:rFonts w:hint="default"/>
        <w:lang w:val="en-US" w:eastAsia="en-US" w:bidi="ar-SA"/>
      </w:rPr>
    </w:lvl>
    <w:lvl w:ilvl="4">
      <w:start w:val="0"/>
      <w:numFmt w:val="bullet"/>
      <w:lvlText w:val="•"/>
      <w:lvlJc w:val="left"/>
      <w:pPr>
        <w:ind w:left="1973" w:hanging="241"/>
      </w:pPr>
      <w:rPr>
        <w:rFonts w:hint="default"/>
        <w:lang w:val="en-US" w:eastAsia="en-US" w:bidi="ar-SA"/>
      </w:rPr>
    </w:lvl>
    <w:lvl w:ilvl="5">
      <w:start w:val="0"/>
      <w:numFmt w:val="bullet"/>
      <w:lvlText w:val="•"/>
      <w:lvlJc w:val="left"/>
      <w:pPr>
        <w:ind w:left="2362" w:hanging="241"/>
      </w:pPr>
      <w:rPr>
        <w:rFonts w:hint="default"/>
        <w:lang w:val="en-US" w:eastAsia="en-US" w:bidi="ar-SA"/>
      </w:rPr>
    </w:lvl>
    <w:lvl w:ilvl="6">
      <w:start w:val="0"/>
      <w:numFmt w:val="bullet"/>
      <w:lvlText w:val="•"/>
      <w:lvlJc w:val="left"/>
      <w:pPr>
        <w:ind w:left="2750" w:hanging="241"/>
      </w:pPr>
      <w:rPr>
        <w:rFonts w:hint="default"/>
        <w:lang w:val="en-US" w:eastAsia="en-US" w:bidi="ar-SA"/>
      </w:rPr>
    </w:lvl>
    <w:lvl w:ilvl="7">
      <w:start w:val="0"/>
      <w:numFmt w:val="bullet"/>
      <w:lvlText w:val="•"/>
      <w:lvlJc w:val="left"/>
      <w:pPr>
        <w:ind w:left="3139" w:hanging="241"/>
      </w:pPr>
      <w:rPr>
        <w:rFonts w:hint="default"/>
        <w:lang w:val="en-US" w:eastAsia="en-US" w:bidi="ar-SA"/>
      </w:rPr>
    </w:lvl>
    <w:lvl w:ilvl="8">
      <w:start w:val="0"/>
      <w:numFmt w:val="bullet"/>
      <w:lvlText w:val="•"/>
      <w:lvlJc w:val="left"/>
      <w:pPr>
        <w:ind w:left="3527" w:hanging="241"/>
      </w:pPr>
      <w:rPr>
        <w:rFonts w:hint="default"/>
        <w:lang w:val="en-US" w:eastAsia="en-US" w:bidi="ar-SA"/>
      </w:rPr>
    </w:lvl>
  </w:abstractNum>
  <w:abstractNum w:abstractNumId="8">
    <w:multiLevelType w:val="hybridMultilevel"/>
    <w:lvl w:ilvl="0">
      <w:start w:val="1"/>
      <w:numFmt w:val="decimal"/>
      <w:lvlText w:val="(%1)"/>
      <w:lvlJc w:val="left"/>
      <w:pPr>
        <w:ind w:left="421" w:hanging="241"/>
        <w:jc w:val="left"/>
      </w:pPr>
      <w:rPr>
        <w:rFonts w:hint="default" w:ascii="Times New Roman" w:hAnsi="Times New Roman" w:eastAsia="Times New Roman" w:cs="Times New Roman"/>
        <w:spacing w:val="-1"/>
        <w:w w:val="100"/>
        <w:sz w:val="16"/>
        <w:szCs w:val="16"/>
        <w:lang w:val="en-US" w:eastAsia="en-US" w:bidi="ar-SA"/>
      </w:rPr>
    </w:lvl>
    <w:lvl w:ilvl="1">
      <w:start w:val="1"/>
      <w:numFmt w:val="lowerLetter"/>
      <w:lvlText w:val="(%2)"/>
      <w:lvlJc w:val="left"/>
      <w:pPr>
        <w:ind w:left="439" w:hanging="241"/>
        <w:jc w:val="left"/>
      </w:pPr>
      <w:rPr>
        <w:rFonts w:hint="default" w:ascii="Times New Roman" w:hAnsi="Times New Roman" w:eastAsia="Times New Roman" w:cs="Times New Roman"/>
        <w:spacing w:val="-14"/>
        <w:w w:val="100"/>
        <w:sz w:val="12"/>
        <w:szCs w:val="12"/>
        <w:lang w:val="en-US" w:eastAsia="en-US" w:bidi="ar-SA"/>
      </w:rPr>
    </w:lvl>
    <w:lvl w:ilvl="2">
      <w:start w:val="0"/>
      <w:numFmt w:val="bullet"/>
      <w:lvlText w:val="•"/>
      <w:lvlJc w:val="left"/>
      <w:pPr>
        <w:ind w:left="261" w:hanging="241"/>
      </w:pPr>
      <w:rPr>
        <w:rFonts w:hint="default"/>
        <w:lang w:val="en-US" w:eastAsia="en-US" w:bidi="ar-SA"/>
      </w:rPr>
    </w:lvl>
    <w:lvl w:ilvl="3">
      <w:start w:val="0"/>
      <w:numFmt w:val="bullet"/>
      <w:lvlText w:val="•"/>
      <w:lvlJc w:val="left"/>
      <w:pPr>
        <w:ind w:left="82" w:hanging="241"/>
      </w:pPr>
      <w:rPr>
        <w:rFonts w:hint="default"/>
        <w:lang w:val="en-US" w:eastAsia="en-US" w:bidi="ar-SA"/>
      </w:rPr>
    </w:lvl>
    <w:lvl w:ilvl="4">
      <w:start w:val="0"/>
      <w:numFmt w:val="bullet"/>
      <w:lvlText w:val="•"/>
      <w:lvlJc w:val="left"/>
      <w:pPr>
        <w:ind w:left="-97" w:hanging="241"/>
      </w:pPr>
      <w:rPr>
        <w:rFonts w:hint="default"/>
        <w:lang w:val="en-US" w:eastAsia="en-US" w:bidi="ar-SA"/>
      </w:rPr>
    </w:lvl>
    <w:lvl w:ilvl="5">
      <w:start w:val="0"/>
      <w:numFmt w:val="bullet"/>
      <w:lvlText w:val="•"/>
      <w:lvlJc w:val="left"/>
      <w:pPr>
        <w:ind w:left="-276" w:hanging="241"/>
      </w:pPr>
      <w:rPr>
        <w:rFonts w:hint="default"/>
        <w:lang w:val="en-US" w:eastAsia="en-US" w:bidi="ar-SA"/>
      </w:rPr>
    </w:lvl>
    <w:lvl w:ilvl="6">
      <w:start w:val="0"/>
      <w:numFmt w:val="bullet"/>
      <w:lvlText w:val="•"/>
      <w:lvlJc w:val="left"/>
      <w:pPr>
        <w:ind w:left="-455" w:hanging="241"/>
      </w:pPr>
      <w:rPr>
        <w:rFonts w:hint="default"/>
        <w:lang w:val="en-US" w:eastAsia="en-US" w:bidi="ar-SA"/>
      </w:rPr>
    </w:lvl>
    <w:lvl w:ilvl="7">
      <w:start w:val="0"/>
      <w:numFmt w:val="bullet"/>
      <w:lvlText w:val="•"/>
      <w:lvlJc w:val="left"/>
      <w:pPr>
        <w:ind w:left="-634" w:hanging="241"/>
      </w:pPr>
      <w:rPr>
        <w:rFonts w:hint="default"/>
        <w:lang w:val="en-US" w:eastAsia="en-US" w:bidi="ar-SA"/>
      </w:rPr>
    </w:lvl>
    <w:lvl w:ilvl="8">
      <w:start w:val="0"/>
      <w:numFmt w:val="bullet"/>
      <w:lvlText w:val="•"/>
      <w:lvlJc w:val="left"/>
      <w:pPr>
        <w:ind w:left="-813" w:hanging="241"/>
      </w:pPr>
      <w:rPr>
        <w:rFonts w:hint="default"/>
        <w:lang w:val="en-US" w:eastAsia="en-US" w:bidi="ar-SA"/>
      </w:rPr>
    </w:lvl>
  </w:abstractNum>
  <w:abstractNum w:abstractNumId="7">
    <w:multiLevelType w:val="hybridMultilevel"/>
    <w:lvl w:ilvl="0">
      <w:start w:val="1"/>
      <w:numFmt w:val="lowerLetter"/>
      <w:lvlText w:val="(%1)"/>
      <w:lvlJc w:val="left"/>
      <w:pPr>
        <w:ind w:left="425"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20" w:hanging="241"/>
      </w:pPr>
      <w:rPr>
        <w:rFonts w:hint="default"/>
        <w:lang w:val="en-US" w:eastAsia="en-US" w:bidi="ar-SA"/>
      </w:rPr>
    </w:lvl>
    <w:lvl w:ilvl="2">
      <w:start w:val="0"/>
      <w:numFmt w:val="bullet"/>
      <w:lvlText w:val="•"/>
      <w:lvlJc w:val="left"/>
      <w:pPr>
        <w:ind w:left="1021" w:hanging="241"/>
      </w:pPr>
      <w:rPr>
        <w:rFonts w:hint="default"/>
        <w:lang w:val="en-US" w:eastAsia="en-US" w:bidi="ar-SA"/>
      </w:rPr>
    </w:lvl>
    <w:lvl w:ilvl="3">
      <w:start w:val="0"/>
      <w:numFmt w:val="bullet"/>
      <w:lvlText w:val="•"/>
      <w:lvlJc w:val="left"/>
      <w:pPr>
        <w:ind w:left="1321" w:hanging="241"/>
      </w:pPr>
      <w:rPr>
        <w:rFonts w:hint="default"/>
        <w:lang w:val="en-US" w:eastAsia="en-US" w:bidi="ar-SA"/>
      </w:rPr>
    </w:lvl>
    <w:lvl w:ilvl="4">
      <w:start w:val="0"/>
      <w:numFmt w:val="bullet"/>
      <w:lvlText w:val="•"/>
      <w:lvlJc w:val="left"/>
      <w:pPr>
        <w:ind w:left="1622" w:hanging="241"/>
      </w:pPr>
      <w:rPr>
        <w:rFonts w:hint="default"/>
        <w:lang w:val="en-US" w:eastAsia="en-US" w:bidi="ar-SA"/>
      </w:rPr>
    </w:lvl>
    <w:lvl w:ilvl="5">
      <w:start w:val="0"/>
      <w:numFmt w:val="bullet"/>
      <w:lvlText w:val="•"/>
      <w:lvlJc w:val="left"/>
      <w:pPr>
        <w:ind w:left="1923" w:hanging="241"/>
      </w:pPr>
      <w:rPr>
        <w:rFonts w:hint="default"/>
        <w:lang w:val="en-US" w:eastAsia="en-US" w:bidi="ar-SA"/>
      </w:rPr>
    </w:lvl>
    <w:lvl w:ilvl="6">
      <w:start w:val="0"/>
      <w:numFmt w:val="bullet"/>
      <w:lvlText w:val="•"/>
      <w:lvlJc w:val="left"/>
      <w:pPr>
        <w:ind w:left="2223" w:hanging="241"/>
      </w:pPr>
      <w:rPr>
        <w:rFonts w:hint="default"/>
        <w:lang w:val="en-US" w:eastAsia="en-US" w:bidi="ar-SA"/>
      </w:rPr>
    </w:lvl>
    <w:lvl w:ilvl="7">
      <w:start w:val="0"/>
      <w:numFmt w:val="bullet"/>
      <w:lvlText w:val="•"/>
      <w:lvlJc w:val="left"/>
      <w:pPr>
        <w:ind w:left="2524" w:hanging="241"/>
      </w:pPr>
      <w:rPr>
        <w:rFonts w:hint="default"/>
        <w:lang w:val="en-US" w:eastAsia="en-US" w:bidi="ar-SA"/>
      </w:rPr>
    </w:lvl>
    <w:lvl w:ilvl="8">
      <w:start w:val="0"/>
      <w:numFmt w:val="bullet"/>
      <w:lvlText w:val="•"/>
      <w:lvlJc w:val="left"/>
      <w:pPr>
        <w:ind w:left="2824" w:hanging="241"/>
      </w:pPr>
      <w:rPr>
        <w:rFonts w:hint="default"/>
        <w:lang w:val="en-US" w:eastAsia="en-US" w:bidi="ar-SA"/>
      </w:rPr>
    </w:lvl>
  </w:abstractNum>
  <w:abstractNum w:abstractNumId="6">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31" w:hanging="241"/>
      </w:pPr>
      <w:rPr>
        <w:rFonts w:hint="default"/>
        <w:lang w:val="en-US" w:eastAsia="en-US" w:bidi="ar-SA"/>
      </w:rPr>
    </w:lvl>
    <w:lvl w:ilvl="2">
      <w:start w:val="0"/>
      <w:numFmt w:val="bullet"/>
      <w:lvlText w:val="•"/>
      <w:lvlJc w:val="left"/>
      <w:pPr>
        <w:ind w:left="1042" w:hanging="241"/>
      </w:pPr>
      <w:rPr>
        <w:rFonts w:hint="default"/>
        <w:lang w:val="en-US" w:eastAsia="en-US" w:bidi="ar-SA"/>
      </w:rPr>
    </w:lvl>
    <w:lvl w:ilvl="3">
      <w:start w:val="0"/>
      <w:numFmt w:val="bullet"/>
      <w:lvlText w:val="•"/>
      <w:lvlJc w:val="left"/>
      <w:pPr>
        <w:ind w:left="1354" w:hanging="241"/>
      </w:pPr>
      <w:rPr>
        <w:rFonts w:hint="default"/>
        <w:lang w:val="en-US" w:eastAsia="en-US" w:bidi="ar-SA"/>
      </w:rPr>
    </w:lvl>
    <w:lvl w:ilvl="4">
      <w:start w:val="0"/>
      <w:numFmt w:val="bullet"/>
      <w:lvlText w:val="•"/>
      <w:lvlJc w:val="left"/>
      <w:pPr>
        <w:ind w:left="1665" w:hanging="241"/>
      </w:pPr>
      <w:rPr>
        <w:rFonts w:hint="default"/>
        <w:lang w:val="en-US" w:eastAsia="en-US" w:bidi="ar-SA"/>
      </w:rPr>
    </w:lvl>
    <w:lvl w:ilvl="5">
      <w:start w:val="0"/>
      <w:numFmt w:val="bullet"/>
      <w:lvlText w:val="•"/>
      <w:lvlJc w:val="left"/>
      <w:pPr>
        <w:ind w:left="1976" w:hanging="241"/>
      </w:pPr>
      <w:rPr>
        <w:rFonts w:hint="default"/>
        <w:lang w:val="en-US" w:eastAsia="en-US" w:bidi="ar-SA"/>
      </w:rPr>
    </w:lvl>
    <w:lvl w:ilvl="6">
      <w:start w:val="0"/>
      <w:numFmt w:val="bullet"/>
      <w:lvlText w:val="•"/>
      <w:lvlJc w:val="left"/>
      <w:pPr>
        <w:ind w:left="2288" w:hanging="241"/>
      </w:pPr>
      <w:rPr>
        <w:rFonts w:hint="default"/>
        <w:lang w:val="en-US" w:eastAsia="en-US" w:bidi="ar-SA"/>
      </w:rPr>
    </w:lvl>
    <w:lvl w:ilvl="7">
      <w:start w:val="0"/>
      <w:numFmt w:val="bullet"/>
      <w:lvlText w:val="•"/>
      <w:lvlJc w:val="left"/>
      <w:pPr>
        <w:ind w:left="2599" w:hanging="241"/>
      </w:pPr>
      <w:rPr>
        <w:rFonts w:hint="default"/>
        <w:lang w:val="en-US" w:eastAsia="en-US" w:bidi="ar-SA"/>
      </w:rPr>
    </w:lvl>
    <w:lvl w:ilvl="8">
      <w:start w:val="0"/>
      <w:numFmt w:val="bullet"/>
      <w:lvlText w:val="•"/>
      <w:lvlJc w:val="left"/>
      <w:pPr>
        <w:ind w:left="2911" w:hanging="241"/>
      </w:pPr>
      <w:rPr>
        <w:rFonts w:hint="default"/>
        <w:lang w:val="en-US" w:eastAsia="en-US" w:bidi="ar-SA"/>
      </w:rPr>
    </w:lvl>
  </w:abstractNum>
  <w:abstractNum w:abstractNumId="5">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79" w:hanging="241"/>
      </w:pPr>
      <w:rPr>
        <w:rFonts w:hint="default"/>
        <w:lang w:val="en-US" w:eastAsia="en-US" w:bidi="ar-SA"/>
      </w:rPr>
    </w:lvl>
    <w:lvl w:ilvl="2">
      <w:start w:val="0"/>
      <w:numFmt w:val="bullet"/>
      <w:lvlText w:val="•"/>
      <w:lvlJc w:val="left"/>
      <w:pPr>
        <w:ind w:left="1139" w:hanging="241"/>
      </w:pPr>
      <w:rPr>
        <w:rFonts w:hint="default"/>
        <w:lang w:val="en-US" w:eastAsia="en-US" w:bidi="ar-SA"/>
      </w:rPr>
    </w:lvl>
    <w:lvl w:ilvl="3">
      <w:start w:val="0"/>
      <w:numFmt w:val="bullet"/>
      <w:lvlText w:val="•"/>
      <w:lvlJc w:val="left"/>
      <w:pPr>
        <w:ind w:left="1498" w:hanging="241"/>
      </w:pPr>
      <w:rPr>
        <w:rFonts w:hint="default"/>
        <w:lang w:val="en-US" w:eastAsia="en-US" w:bidi="ar-SA"/>
      </w:rPr>
    </w:lvl>
    <w:lvl w:ilvl="4">
      <w:start w:val="0"/>
      <w:numFmt w:val="bullet"/>
      <w:lvlText w:val="•"/>
      <w:lvlJc w:val="left"/>
      <w:pPr>
        <w:ind w:left="1858" w:hanging="241"/>
      </w:pPr>
      <w:rPr>
        <w:rFonts w:hint="default"/>
        <w:lang w:val="en-US" w:eastAsia="en-US" w:bidi="ar-SA"/>
      </w:rPr>
    </w:lvl>
    <w:lvl w:ilvl="5">
      <w:start w:val="0"/>
      <w:numFmt w:val="bullet"/>
      <w:lvlText w:val="•"/>
      <w:lvlJc w:val="left"/>
      <w:pPr>
        <w:ind w:left="2218" w:hanging="241"/>
      </w:pPr>
      <w:rPr>
        <w:rFonts w:hint="default"/>
        <w:lang w:val="en-US" w:eastAsia="en-US" w:bidi="ar-SA"/>
      </w:rPr>
    </w:lvl>
    <w:lvl w:ilvl="6">
      <w:start w:val="0"/>
      <w:numFmt w:val="bullet"/>
      <w:lvlText w:val="•"/>
      <w:lvlJc w:val="left"/>
      <w:pPr>
        <w:ind w:left="2577" w:hanging="241"/>
      </w:pPr>
      <w:rPr>
        <w:rFonts w:hint="default"/>
        <w:lang w:val="en-US" w:eastAsia="en-US" w:bidi="ar-SA"/>
      </w:rPr>
    </w:lvl>
    <w:lvl w:ilvl="7">
      <w:start w:val="0"/>
      <w:numFmt w:val="bullet"/>
      <w:lvlText w:val="•"/>
      <w:lvlJc w:val="left"/>
      <w:pPr>
        <w:ind w:left="2937" w:hanging="241"/>
      </w:pPr>
      <w:rPr>
        <w:rFonts w:hint="default"/>
        <w:lang w:val="en-US" w:eastAsia="en-US" w:bidi="ar-SA"/>
      </w:rPr>
    </w:lvl>
    <w:lvl w:ilvl="8">
      <w:start w:val="0"/>
      <w:numFmt w:val="bullet"/>
      <w:lvlText w:val="•"/>
      <w:lvlJc w:val="left"/>
      <w:pPr>
        <w:ind w:left="3297" w:hanging="241"/>
      </w:pPr>
      <w:rPr>
        <w:rFonts w:hint="default"/>
        <w:lang w:val="en-US" w:eastAsia="en-US" w:bidi="ar-SA"/>
      </w:rPr>
    </w:lvl>
  </w:abstractNum>
  <w:abstractNum w:abstractNumId="4">
    <w:multiLevelType w:val="hybridMultilevel"/>
    <w:lvl w:ilvl="0">
      <w:start w:val="1"/>
      <w:numFmt w:val="lowerLetter"/>
      <w:lvlText w:val="(%1)"/>
      <w:lvlJc w:val="left"/>
      <w:pPr>
        <w:ind w:left="425" w:hanging="241"/>
        <w:jc w:val="left"/>
      </w:pPr>
      <w:rPr>
        <w:rFonts w:hint="default" w:ascii="Times New Roman" w:hAnsi="Times New Roman" w:eastAsia="Times New Roman" w:cs="Times New Roman"/>
        <w:spacing w:val="-14"/>
        <w:w w:val="100"/>
        <w:sz w:val="12"/>
        <w:szCs w:val="12"/>
        <w:lang w:val="en-US" w:eastAsia="en-US" w:bidi="ar-SA"/>
      </w:rPr>
    </w:lvl>
    <w:lvl w:ilvl="1">
      <w:start w:val="1"/>
      <w:numFmt w:val="decimal"/>
      <w:lvlText w:val="(%2)"/>
      <w:lvlJc w:val="left"/>
      <w:pPr>
        <w:ind w:left="425" w:hanging="241"/>
        <w:jc w:val="left"/>
      </w:pPr>
      <w:rPr>
        <w:rFonts w:hint="default" w:ascii="Times New Roman" w:hAnsi="Times New Roman" w:eastAsia="Times New Roman" w:cs="Times New Roman"/>
        <w:spacing w:val="-1"/>
        <w:w w:val="100"/>
        <w:sz w:val="16"/>
        <w:szCs w:val="16"/>
        <w:lang w:val="en-US" w:eastAsia="en-US" w:bidi="ar-SA"/>
      </w:rPr>
    </w:lvl>
    <w:lvl w:ilvl="2">
      <w:start w:val="1"/>
      <w:numFmt w:val="lowerLetter"/>
      <w:lvlText w:val="(%3)"/>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3">
      <w:start w:val="0"/>
      <w:numFmt w:val="bullet"/>
      <w:lvlText w:val="•"/>
      <w:lvlJc w:val="left"/>
      <w:pPr>
        <w:ind w:left="-50" w:hanging="241"/>
      </w:pPr>
      <w:rPr>
        <w:rFonts w:hint="default"/>
        <w:lang w:val="en-US" w:eastAsia="en-US" w:bidi="ar-SA"/>
      </w:rPr>
    </w:lvl>
    <w:lvl w:ilvl="4">
      <w:start w:val="0"/>
      <w:numFmt w:val="bullet"/>
      <w:lvlText w:val="•"/>
      <w:lvlJc w:val="left"/>
      <w:pPr>
        <w:ind w:left="-207" w:hanging="241"/>
      </w:pPr>
      <w:rPr>
        <w:rFonts w:hint="default"/>
        <w:lang w:val="en-US" w:eastAsia="en-US" w:bidi="ar-SA"/>
      </w:rPr>
    </w:lvl>
    <w:lvl w:ilvl="5">
      <w:start w:val="0"/>
      <w:numFmt w:val="bullet"/>
      <w:lvlText w:val="•"/>
      <w:lvlJc w:val="left"/>
      <w:pPr>
        <w:ind w:left="-363" w:hanging="241"/>
      </w:pPr>
      <w:rPr>
        <w:rFonts w:hint="default"/>
        <w:lang w:val="en-US" w:eastAsia="en-US" w:bidi="ar-SA"/>
      </w:rPr>
    </w:lvl>
    <w:lvl w:ilvl="6">
      <w:start w:val="0"/>
      <w:numFmt w:val="bullet"/>
      <w:lvlText w:val="•"/>
      <w:lvlJc w:val="left"/>
      <w:pPr>
        <w:ind w:left="-520" w:hanging="241"/>
      </w:pPr>
      <w:rPr>
        <w:rFonts w:hint="default"/>
        <w:lang w:val="en-US" w:eastAsia="en-US" w:bidi="ar-SA"/>
      </w:rPr>
    </w:lvl>
    <w:lvl w:ilvl="7">
      <w:start w:val="0"/>
      <w:numFmt w:val="bullet"/>
      <w:lvlText w:val="•"/>
      <w:lvlJc w:val="left"/>
      <w:pPr>
        <w:ind w:left="-676" w:hanging="241"/>
      </w:pPr>
      <w:rPr>
        <w:rFonts w:hint="default"/>
        <w:lang w:val="en-US" w:eastAsia="en-US" w:bidi="ar-SA"/>
      </w:rPr>
    </w:lvl>
    <w:lvl w:ilvl="8">
      <w:start w:val="0"/>
      <w:numFmt w:val="bullet"/>
      <w:lvlText w:val="•"/>
      <w:lvlJc w:val="left"/>
      <w:pPr>
        <w:ind w:left="-833" w:hanging="241"/>
      </w:pPr>
      <w:rPr>
        <w:rFonts w:hint="default"/>
        <w:lang w:val="en-US" w:eastAsia="en-US" w:bidi="ar-SA"/>
      </w:rPr>
    </w:lvl>
  </w:abstractNum>
  <w:abstractNum w:abstractNumId="3">
    <w:multiLevelType w:val="hybridMultilevel"/>
    <w:lvl w:ilvl="0">
      <w:start w:val="1"/>
      <w:numFmt w:val="lowerLetter"/>
      <w:lvlText w:val="(%1)"/>
      <w:lvlJc w:val="left"/>
      <w:pPr>
        <w:ind w:left="29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534" w:hanging="241"/>
      </w:pPr>
      <w:rPr>
        <w:rFonts w:hint="default"/>
        <w:lang w:val="en-US" w:eastAsia="en-US" w:bidi="ar-SA"/>
      </w:rPr>
    </w:lvl>
    <w:lvl w:ilvl="2">
      <w:start w:val="0"/>
      <w:numFmt w:val="bullet"/>
      <w:lvlText w:val="•"/>
      <w:lvlJc w:val="left"/>
      <w:pPr>
        <w:ind w:left="769" w:hanging="241"/>
      </w:pPr>
      <w:rPr>
        <w:rFonts w:hint="default"/>
        <w:lang w:val="en-US" w:eastAsia="en-US" w:bidi="ar-SA"/>
      </w:rPr>
    </w:lvl>
    <w:lvl w:ilvl="3">
      <w:start w:val="0"/>
      <w:numFmt w:val="bullet"/>
      <w:lvlText w:val="•"/>
      <w:lvlJc w:val="left"/>
      <w:pPr>
        <w:ind w:left="1004" w:hanging="241"/>
      </w:pPr>
      <w:rPr>
        <w:rFonts w:hint="default"/>
        <w:lang w:val="en-US" w:eastAsia="en-US" w:bidi="ar-SA"/>
      </w:rPr>
    </w:lvl>
    <w:lvl w:ilvl="4">
      <w:start w:val="0"/>
      <w:numFmt w:val="bullet"/>
      <w:lvlText w:val="•"/>
      <w:lvlJc w:val="left"/>
      <w:pPr>
        <w:ind w:left="1239" w:hanging="241"/>
      </w:pPr>
      <w:rPr>
        <w:rFonts w:hint="default"/>
        <w:lang w:val="en-US" w:eastAsia="en-US" w:bidi="ar-SA"/>
      </w:rPr>
    </w:lvl>
    <w:lvl w:ilvl="5">
      <w:start w:val="0"/>
      <w:numFmt w:val="bullet"/>
      <w:lvlText w:val="•"/>
      <w:lvlJc w:val="left"/>
      <w:pPr>
        <w:ind w:left="1474" w:hanging="241"/>
      </w:pPr>
      <w:rPr>
        <w:rFonts w:hint="default"/>
        <w:lang w:val="en-US" w:eastAsia="en-US" w:bidi="ar-SA"/>
      </w:rPr>
    </w:lvl>
    <w:lvl w:ilvl="6">
      <w:start w:val="0"/>
      <w:numFmt w:val="bullet"/>
      <w:lvlText w:val="•"/>
      <w:lvlJc w:val="left"/>
      <w:pPr>
        <w:ind w:left="1709" w:hanging="241"/>
      </w:pPr>
      <w:rPr>
        <w:rFonts w:hint="default"/>
        <w:lang w:val="en-US" w:eastAsia="en-US" w:bidi="ar-SA"/>
      </w:rPr>
    </w:lvl>
    <w:lvl w:ilvl="7">
      <w:start w:val="0"/>
      <w:numFmt w:val="bullet"/>
      <w:lvlText w:val="•"/>
      <w:lvlJc w:val="left"/>
      <w:pPr>
        <w:ind w:left="1944" w:hanging="241"/>
      </w:pPr>
      <w:rPr>
        <w:rFonts w:hint="default"/>
        <w:lang w:val="en-US" w:eastAsia="en-US" w:bidi="ar-SA"/>
      </w:rPr>
    </w:lvl>
    <w:lvl w:ilvl="8">
      <w:start w:val="0"/>
      <w:numFmt w:val="bullet"/>
      <w:lvlText w:val="•"/>
      <w:lvlJc w:val="left"/>
      <w:pPr>
        <w:ind w:left="2179" w:hanging="241"/>
      </w:pPr>
      <w:rPr>
        <w:rFonts w:hint="default"/>
        <w:lang w:val="en-US" w:eastAsia="en-US" w:bidi="ar-SA"/>
      </w:rPr>
    </w:lvl>
  </w:abstractNum>
  <w:abstractNum w:abstractNumId="2">
    <w:multiLevelType w:val="hybridMultilevel"/>
    <w:lvl w:ilvl="0">
      <w:start w:val="1"/>
      <w:numFmt w:val="decimal"/>
      <w:lvlText w:val="%1"/>
      <w:lvlJc w:val="left"/>
      <w:pPr>
        <w:ind w:left="3349" w:hanging="3170"/>
        <w:jc w:val="left"/>
      </w:pPr>
      <w:rPr>
        <w:rFonts w:hint="default"/>
        <w:lang w:val="en-US" w:eastAsia="en-US" w:bidi="ar-SA"/>
      </w:rPr>
    </w:lvl>
    <w:lvl w:ilvl="1">
      <w:start w:val="1"/>
      <w:numFmt w:val="decimal"/>
      <w:lvlText w:val="%1.%2"/>
      <w:lvlJc w:val="left"/>
      <w:pPr>
        <w:ind w:left="3349" w:hanging="3170"/>
        <w:jc w:val="right"/>
      </w:pPr>
      <w:rPr>
        <w:rFonts w:hint="default" w:ascii="Times New Roman" w:hAnsi="Times New Roman" w:eastAsia="Times New Roman" w:cs="Times New Roman"/>
        <w:b/>
        <w:bCs/>
        <w:color w:val="009391"/>
        <w:spacing w:val="-5"/>
        <w:w w:val="100"/>
        <w:sz w:val="28"/>
        <w:szCs w:val="28"/>
        <w:u w:val="thick" w:color="0092C7"/>
        <w:lang w:val="en-US" w:eastAsia="en-US" w:bidi="ar-SA"/>
      </w:rPr>
    </w:lvl>
    <w:lvl w:ilvl="2">
      <w:start w:val="1"/>
      <w:numFmt w:val="decimal"/>
      <w:lvlText w:val="(%3)"/>
      <w:lvlJc w:val="left"/>
      <w:pPr>
        <w:ind w:left="5219" w:hanging="241"/>
        <w:jc w:val="left"/>
      </w:pPr>
      <w:rPr>
        <w:rFonts w:hint="default" w:ascii="Times New Roman" w:hAnsi="Times New Roman" w:eastAsia="Times New Roman" w:cs="Times New Roman"/>
        <w:spacing w:val="-1"/>
        <w:w w:val="100"/>
        <w:sz w:val="16"/>
        <w:szCs w:val="16"/>
        <w:lang w:val="en-US" w:eastAsia="en-US" w:bidi="ar-SA"/>
      </w:rPr>
    </w:lvl>
    <w:lvl w:ilvl="3">
      <w:start w:val="0"/>
      <w:numFmt w:val="bullet"/>
      <w:lvlText w:val="•"/>
      <w:lvlJc w:val="left"/>
      <w:pPr>
        <w:ind w:left="5353" w:hanging="241"/>
      </w:pPr>
      <w:rPr>
        <w:rFonts w:hint="default"/>
        <w:lang w:val="en-US" w:eastAsia="en-US" w:bidi="ar-SA"/>
      </w:rPr>
    </w:lvl>
    <w:lvl w:ilvl="4">
      <w:start w:val="0"/>
      <w:numFmt w:val="bullet"/>
      <w:lvlText w:val="•"/>
      <w:lvlJc w:val="left"/>
      <w:pPr>
        <w:ind w:left="5420" w:hanging="241"/>
      </w:pPr>
      <w:rPr>
        <w:rFonts w:hint="default"/>
        <w:lang w:val="en-US" w:eastAsia="en-US" w:bidi="ar-SA"/>
      </w:rPr>
    </w:lvl>
    <w:lvl w:ilvl="5">
      <w:start w:val="0"/>
      <w:numFmt w:val="bullet"/>
      <w:lvlText w:val="•"/>
      <w:lvlJc w:val="left"/>
      <w:pPr>
        <w:ind w:left="5486" w:hanging="241"/>
      </w:pPr>
      <w:rPr>
        <w:rFonts w:hint="default"/>
        <w:lang w:val="en-US" w:eastAsia="en-US" w:bidi="ar-SA"/>
      </w:rPr>
    </w:lvl>
    <w:lvl w:ilvl="6">
      <w:start w:val="0"/>
      <w:numFmt w:val="bullet"/>
      <w:lvlText w:val="•"/>
      <w:lvlJc w:val="left"/>
      <w:pPr>
        <w:ind w:left="5553" w:hanging="241"/>
      </w:pPr>
      <w:rPr>
        <w:rFonts w:hint="default"/>
        <w:lang w:val="en-US" w:eastAsia="en-US" w:bidi="ar-SA"/>
      </w:rPr>
    </w:lvl>
    <w:lvl w:ilvl="7">
      <w:start w:val="0"/>
      <w:numFmt w:val="bullet"/>
      <w:lvlText w:val="•"/>
      <w:lvlJc w:val="left"/>
      <w:pPr>
        <w:ind w:left="5620" w:hanging="241"/>
      </w:pPr>
      <w:rPr>
        <w:rFonts w:hint="default"/>
        <w:lang w:val="en-US" w:eastAsia="en-US" w:bidi="ar-SA"/>
      </w:rPr>
    </w:lvl>
    <w:lvl w:ilvl="8">
      <w:start w:val="0"/>
      <w:numFmt w:val="bullet"/>
      <w:lvlText w:val="•"/>
      <w:lvlJc w:val="left"/>
      <w:pPr>
        <w:ind w:left="5686" w:hanging="241"/>
      </w:pPr>
      <w:rPr>
        <w:rFonts w:hint="default"/>
        <w:lang w:val="en-US" w:eastAsia="en-US" w:bidi="ar-SA"/>
      </w:rPr>
    </w:lvl>
  </w:abstractNum>
  <w:abstractNum w:abstractNumId="1">
    <w:multiLevelType w:val="hybridMultilevel"/>
    <w:lvl w:ilvl="0">
      <w:start w:val="1"/>
      <w:numFmt w:val="lowerLetter"/>
      <w:lvlText w:val="(%1)"/>
      <w:lvlJc w:val="left"/>
      <w:pPr>
        <w:ind w:left="420" w:hanging="241"/>
        <w:jc w:val="left"/>
      </w:pPr>
      <w:rPr>
        <w:rFonts w:hint="default" w:ascii="Times New Roman" w:hAnsi="Times New Roman" w:eastAsia="Times New Roman" w:cs="Times New Roman"/>
        <w:spacing w:val="-14"/>
        <w:w w:val="100"/>
        <w:sz w:val="12"/>
        <w:szCs w:val="12"/>
        <w:lang w:val="en-US" w:eastAsia="en-US" w:bidi="ar-SA"/>
      </w:rPr>
    </w:lvl>
    <w:lvl w:ilvl="1">
      <w:start w:val="0"/>
      <w:numFmt w:val="bullet"/>
      <w:lvlText w:val="•"/>
      <w:lvlJc w:val="left"/>
      <w:pPr>
        <w:ind w:left="766" w:hanging="241"/>
      </w:pPr>
      <w:rPr>
        <w:rFonts w:hint="default"/>
        <w:lang w:val="en-US" w:eastAsia="en-US" w:bidi="ar-SA"/>
      </w:rPr>
    </w:lvl>
    <w:lvl w:ilvl="2">
      <w:start w:val="0"/>
      <w:numFmt w:val="bullet"/>
      <w:lvlText w:val="•"/>
      <w:lvlJc w:val="left"/>
      <w:pPr>
        <w:ind w:left="1112" w:hanging="241"/>
      </w:pPr>
      <w:rPr>
        <w:rFonts w:hint="default"/>
        <w:lang w:val="en-US" w:eastAsia="en-US" w:bidi="ar-SA"/>
      </w:rPr>
    </w:lvl>
    <w:lvl w:ilvl="3">
      <w:start w:val="0"/>
      <w:numFmt w:val="bullet"/>
      <w:lvlText w:val="•"/>
      <w:lvlJc w:val="left"/>
      <w:pPr>
        <w:ind w:left="1458" w:hanging="241"/>
      </w:pPr>
      <w:rPr>
        <w:rFonts w:hint="default"/>
        <w:lang w:val="en-US" w:eastAsia="en-US" w:bidi="ar-SA"/>
      </w:rPr>
    </w:lvl>
    <w:lvl w:ilvl="4">
      <w:start w:val="0"/>
      <w:numFmt w:val="bullet"/>
      <w:lvlText w:val="•"/>
      <w:lvlJc w:val="left"/>
      <w:pPr>
        <w:ind w:left="1804" w:hanging="241"/>
      </w:pPr>
      <w:rPr>
        <w:rFonts w:hint="default"/>
        <w:lang w:val="en-US" w:eastAsia="en-US" w:bidi="ar-SA"/>
      </w:rPr>
    </w:lvl>
    <w:lvl w:ilvl="5">
      <w:start w:val="0"/>
      <w:numFmt w:val="bullet"/>
      <w:lvlText w:val="•"/>
      <w:lvlJc w:val="left"/>
      <w:pPr>
        <w:ind w:left="2150" w:hanging="241"/>
      </w:pPr>
      <w:rPr>
        <w:rFonts w:hint="default"/>
        <w:lang w:val="en-US" w:eastAsia="en-US" w:bidi="ar-SA"/>
      </w:rPr>
    </w:lvl>
    <w:lvl w:ilvl="6">
      <w:start w:val="0"/>
      <w:numFmt w:val="bullet"/>
      <w:lvlText w:val="•"/>
      <w:lvlJc w:val="left"/>
      <w:pPr>
        <w:ind w:left="2496" w:hanging="241"/>
      </w:pPr>
      <w:rPr>
        <w:rFonts w:hint="default"/>
        <w:lang w:val="en-US" w:eastAsia="en-US" w:bidi="ar-SA"/>
      </w:rPr>
    </w:lvl>
    <w:lvl w:ilvl="7">
      <w:start w:val="0"/>
      <w:numFmt w:val="bullet"/>
      <w:lvlText w:val="•"/>
      <w:lvlJc w:val="left"/>
      <w:pPr>
        <w:ind w:left="2842" w:hanging="241"/>
      </w:pPr>
      <w:rPr>
        <w:rFonts w:hint="default"/>
        <w:lang w:val="en-US" w:eastAsia="en-US" w:bidi="ar-SA"/>
      </w:rPr>
    </w:lvl>
    <w:lvl w:ilvl="8">
      <w:start w:val="0"/>
      <w:numFmt w:val="bullet"/>
      <w:lvlText w:val="•"/>
      <w:lvlJc w:val="left"/>
      <w:pPr>
        <w:ind w:left="3189" w:hanging="241"/>
      </w:pPr>
      <w:rPr>
        <w:rFonts w:hint="default"/>
        <w:lang w:val="en-US" w:eastAsia="en-US" w:bidi="ar-SA"/>
      </w:rPr>
    </w:lvl>
  </w:abstractNum>
  <w:abstractNum w:abstractNumId="0">
    <w:multiLevelType w:val="hybridMultilevel"/>
    <w:lvl w:ilvl="0">
      <w:start w:val="1"/>
      <w:numFmt w:val="decimal"/>
      <w:lvlText w:val="(%1)"/>
      <w:lvlJc w:val="left"/>
      <w:pPr>
        <w:ind w:left="434" w:hanging="241"/>
        <w:jc w:val="left"/>
      </w:pPr>
      <w:rPr>
        <w:rFonts w:hint="default" w:ascii="Times New Roman" w:hAnsi="Times New Roman" w:eastAsia="Times New Roman" w:cs="Times New Roman"/>
        <w:spacing w:val="-1"/>
        <w:w w:val="100"/>
        <w:sz w:val="16"/>
        <w:szCs w:val="16"/>
        <w:lang w:val="en-US" w:eastAsia="en-US" w:bidi="ar-SA"/>
      </w:rPr>
    </w:lvl>
    <w:lvl w:ilvl="1">
      <w:start w:val="1"/>
      <w:numFmt w:val="decimal"/>
      <w:lvlText w:val="%2"/>
      <w:lvlJc w:val="left"/>
      <w:pPr>
        <w:ind w:left="5374" w:hanging="380"/>
        <w:jc w:val="left"/>
      </w:pPr>
      <w:rPr>
        <w:rFonts w:hint="default" w:ascii="Times New Roman" w:hAnsi="Times New Roman" w:eastAsia="Times New Roman" w:cs="Times New Roman"/>
        <w:b/>
        <w:bCs/>
        <w:color w:val="0092C7"/>
        <w:spacing w:val="-6"/>
        <w:w w:val="100"/>
        <w:sz w:val="24"/>
        <w:szCs w:val="24"/>
        <w:lang w:val="en-US" w:eastAsia="en-US" w:bidi="ar-SA"/>
      </w:rPr>
    </w:lvl>
    <w:lvl w:ilvl="2">
      <w:start w:val="1"/>
      <w:numFmt w:val="decimal"/>
      <w:lvlText w:val="%2.%3"/>
      <w:lvlJc w:val="left"/>
      <w:pPr>
        <w:ind w:left="5934" w:hanging="560"/>
        <w:jc w:val="left"/>
      </w:pPr>
      <w:rPr>
        <w:rFonts w:hint="default" w:ascii="Times New Roman" w:hAnsi="Times New Roman" w:eastAsia="Times New Roman" w:cs="Times New Roman"/>
        <w:b/>
        <w:bCs/>
        <w:spacing w:val="-5"/>
        <w:w w:val="100"/>
        <w:sz w:val="24"/>
        <w:szCs w:val="24"/>
        <w:lang w:val="en-US" w:eastAsia="en-US" w:bidi="ar-SA"/>
      </w:rPr>
    </w:lvl>
    <w:lvl w:ilvl="3">
      <w:start w:val="0"/>
      <w:numFmt w:val="bullet"/>
      <w:lvlText w:val="•"/>
      <w:lvlJc w:val="left"/>
      <w:pPr>
        <w:ind w:left="5926" w:hanging="560"/>
      </w:pPr>
      <w:rPr>
        <w:rFonts w:hint="default"/>
        <w:lang w:val="en-US" w:eastAsia="en-US" w:bidi="ar-SA"/>
      </w:rPr>
    </w:lvl>
    <w:lvl w:ilvl="4">
      <w:start w:val="0"/>
      <w:numFmt w:val="bullet"/>
      <w:lvlText w:val="•"/>
      <w:lvlJc w:val="left"/>
      <w:pPr>
        <w:ind w:left="5912" w:hanging="560"/>
      </w:pPr>
      <w:rPr>
        <w:rFonts w:hint="default"/>
        <w:lang w:val="en-US" w:eastAsia="en-US" w:bidi="ar-SA"/>
      </w:rPr>
    </w:lvl>
    <w:lvl w:ilvl="5">
      <w:start w:val="0"/>
      <w:numFmt w:val="bullet"/>
      <w:lvlText w:val="•"/>
      <w:lvlJc w:val="left"/>
      <w:pPr>
        <w:ind w:left="5898" w:hanging="560"/>
      </w:pPr>
      <w:rPr>
        <w:rFonts w:hint="default"/>
        <w:lang w:val="en-US" w:eastAsia="en-US" w:bidi="ar-SA"/>
      </w:rPr>
    </w:lvl>
    <w:lvl w:ilvl="6">
      <w:start w:val="0"/>
      <w:numFmt w:val="bullet"/>
      <w:lvlText w:val="•"/>
      <w:lvlJc w:val="left"/>
      <w:pPr>
        <w:ind w:left="5884" w:hanging="560"/>
      </w:pPr>
      <w:rPr>
        <w:rFonts w:hint="default"/>
        <w:lang w:val="en-US" w:eastAsia="en-US" w:bidi="ar-SA"/>
      </w:rPr>
    </w:lvl>
    <w:lvl w:ilvl="7">
      <w:start w:val="0"/>
      <w:numFmt w:val="bullet"/>
      <w:lvlText w:val="•"/>
      <w:lvlJc w:val="left"/>
      <w:pPr>
        <w:ind w:left="5870" w:hanging="560"/>
      </w:pPr>
      <w:rPr>
        <w:rFonts w:hint="default"/>
        <w:lang w:val="en-US" w:eastAsia="en-US" w:bidi="ar-SA"/>
      </w:rPr>
    </w:lvl>
    <w:lvl w:ilvl="8">
      <w:start w:val="0"/>
      <w:numFmt w:val="bullet"/>
      <w:lvlText w:val="•"/>
      <w:lvlJc w:val="left"/>
      <w:pPr>
        <w:ind w:left="5856" w:hanging="560"/>
      </w:pPr>
      <w:rPr>
        <w:rFonts w:hint="default"/>
        <w:lang w:val="en-US" w:eastAsia="en-US" w:bidi="ar-SA"/>
      </w:rPr>
    </w:lvl>
  </w:abstractNum>
  <w:num w:numId="13">
    <w:abstractNumId w:val="12"/>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308" w:right="1193"/>
      <w:jc w:val="center"/>
      <w:outlineLvl w:val="1"/>
    </w:pPr>
    <w:rPr>
      <w:rFonts w:ascii="Times New Roman" w:hAnsi="Times New Roman" w:eastAsia="Times New Roman" w:cs="Times New Roman"/>
      <w:b/>
      <w:bCs/>
      <w:sz w:val="60"/>
      <w:szCs w:val="60"/>
      <w:lang w:val="en-US" w:eastAsia="en-US" w:bidi="ar-SA"/>
    </w:rPr>
  </w:style>
  <w:style w:styleId="Heading2" w:type="paragraph">
    <w:name w:val="Heading 2"/>
    <w:basedOn w:val="Normal"/>
    <w:uiPriority w:val="1"/>
    <w:qFormat/>
    <w:pPr>
      <w:spacing w:before="51"/>
      <w:ind w:left="260"/>
      <w:outlineLvl w:val="2"/>
    </w:pPr>
    <w:rPr>
      <w:rFonts w:ascii="Times New Roman" w:hAnsi="Times New Roman" w:eastAsia="Times New Roman" w:cs="Times New Roman"/>
      <w:b/>
      <w:bCs/>
      <w:sz w:val="48"/>
      <w:szCs w:val="48"/>
      <w:lang w:val="en-US" w:eastAsia="en-US" w:bidi="ar-SA"/>
    </w:rPr>
  </w:style>
  <w:style w:styleId="Heading3" w:type="paragraph">
    <w:name w:val="Heading 3"/>
    <w:basedOn w:val="Normal"/>
    <w:uiPriority w:val="1"/>
    <w:qFormat/>
    <w:pPr>
      <w:spacing w:before="86"/>
      <w:ind w:left="175"/>
      <w:outlineLvl w:val="3"/>
    </w:pPr>
    <w:rPr>
      <w:rFonts w:ascii="Times New Roman" w:hAnsi="Times New Roman" w:eastAsia="Times New Roman" w:cs="Times New Roman"/>
      <w:b/>
      <w:bCs/>
      <w:sz w:val="32"/>
      <w:szCs w:val="32"/>
      <w:lang w:val="en-US" w:eastAsia="en-US" w:bidi="ar-SA"/>
    </w:rPr>
  </w:style>
  <w:style w:styleId="Heading4" w:type="paragraph">
    <w:name w:val="Heading 4"/>
    <w:basedOn w:val="Normal"/>
    <w:uiPriority w:val="1"/>
    <w:qFormat/>
    <w:pPr>
      <w:ind w:left="1308"/>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171"/>
      <w:outlineLvl w:val="5"/>
    </w:pPr>
    <w:rPr>
      <w:rFonts w:ascii="Times New Roman" w:hAnsi="Times New Roman" w:eastAsia="Times New Roman" w:cs="Times New Roman"/>
      <w:i/>
      <w:sz w:val="28"/>
      <w:szCs w:val="28"/>
      <w:lang w:val="en-US" w:eastAsia="en-US" w:bidi="ar-SA"/>
    </w:rPr>
  </w:style>
  <w:style w:styleId="Heading6" w:type="paragraph">
    <w:name w:val="Heading 6"/>
    <w:basedOn w:val="Normal"/>
    <w:uiPriority w:val="1"/>
    <w:qFormat/>
    <w:pPr>
      <w:ind w:left="4980"/>
      <w:outlineLvl w:val="6"/>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49"/>
      <w:ind w:left="3810"/>
    </w:pPr>
    <w:rPr>
      <w:rFonts w:ascii="Times New Roman" w:hAnsi="Times New Roman" w:eastAsia="Times New Roman" w:cs="Times New Roman"/>
      <w:b/>
      <w:bCs/>
      <w:sz w:val="72"/>
      <w:szCs w:val="72"/>
      <w:lang w:val="en-US" w:eastAsia="en-US" w:bidi="ar-SA"/>
    </w:rPr>
  </w:style>
  <w:style w:styleId="ListParagraph" w:type="paragraph">
    <w:name w:val="List Paragraph"/>
    <w:basedOn w:val="Normal"/>
    <w:uiPriority w:val="1"/>
    <w:qFormat/>
    <w:pPr>
      <w:ind w:left="17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20"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ort/index.htm"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header" Target="header5.xml"/><Relationship Id="rId24" Type="http://schemas.openxmlformats.org/officeDocument/2006/relationships/footer" Target="footer5.xml"/><Relationship Id="rId25" Type="http://schemas.openxmlformats.org/officeDocument/2006/relationships/header" Target="header6.xml"/><Relationship Id="rId26" Type="http://schemas.openxmlformats.org/officeDocument/2006/relationships/footer" Target="footer6.xml"/><Relationship Id="rId27" Type="http://schemas.openxmlformats.org/officeDocument/2006/relationships/footer" Target="footer7.xml"/><Relationship Id="rId28" Type="http://schemas.openxmlformats.org/officeDocument/2006/relationships/header" Target="header7.xml"/><Relationship Id="rId29" Type="http://schemas.openxmlformats.org/officeDocument/2006/relationships/header" Target="header8.xml"/><Relationship Id="rId30" Type="http://schemas.openxmlformats.org/officeDocument/2006/relationships/footer" Target="footer8.xml"/><Relationship Id="rId31" Type="http://schemas.openxmlformats.org/officeDocument/2006/relationships/footer" Target="footer9.xm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header" Target="header9.xml"/><Relationship Id="rId35" Type="http://schemas.openxmlformats.org/officeDocument/2006/relationships/header" Target="header10.xml"/><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footer" Target="footer10.xml"/><Relationship Id="rId48" Type="http://schemas.openxmlformats.org/officeDocument/2006/relationships/footer" Target="footer11.xml"/><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1.png"/><Relationship Id="rId61" Type="http://schemas.openxmlformats.org/officeDocument/2006/relationships/image" Target="media/image32.png"/><Relationship Id="rId62" Type="http://schemas.openxmlformats.org/officeDocument/2006/relationships/image" Target="media/image33.png"/><Relationship Id="rId63" Type="http://schemas.openxmlformats.org/officeDocument/2006/relationships/header" Target="header13.xml"/><Relationship Id="rId64" Type="http://schemas.openxmlformats.org/officeDocument/2006/relationships/footer" Target="footer12.xml"/><Relationship Id="rId65" Type="http://schemas.openxmlformats.org/officeDocument/2006/relationships/footer" Target="footer13.xml"/><Relationship Id="rId66" Type="http://schemas.openxmlformats.org/officeDocument/2006/relationships/image" Target="media/image34.png"/><Relationship Id="rId67" Type="http://schemas.openxmlformats.org/officeDocument/2006/relationships/header" Target="header14.xml"/><Relationship Id="rId68" Type="http://schemas.openxmlformats.org/officeDocument/2006/relationships/header" Target="header15.xml"/><Relationship Id="rId69" Type="http://schemas.openxmlformats.org/officeDocument/2006/relationships/footer" Target="footer14.xml"/><Relationship Id="rId70" Type="http://schemas.openxmlformats.org/officeDocument/2006/relationships/footer" Target="footer15.xml"/><Relationship Id="rId71" Type="http://schemas.openxmlformats.org/officeDocument/2006/relationships/image" Target="media/image35.png"/><Relationship Id="rId72" Type="http://schemas.openxmlformats.org/officeDocument/2006/relationships/header" Target="header16.xml"/><Relationship Id="rId73" Type="http://schemas.openxmlformats.org/officeDocument/2006/relationships/header" Target="header17.xml"/><Relationship Id="rId74" Type="http://schemas.openxmlformats.org/officeDocument/2006/relationships/footer" Target="footer16.xml"/><Relationship Id="rId75" Type="http://schemas.openxmlformats.org/officeDocument/2006/relationships/footer" Target="footer17.xml"/><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8.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1.png"/><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image" Target="media/image45.png"/><Relationship Id="rId86" Type="http://schemas.openxmlformats.org/officeDocument/2006/relationships/image" Target="media/image46.png"/><Relationship Id="rId87" Type="http://schemas.openxmlformats.org/officeDocument/2006/relationships/image" Target="media/image47.png"/><Relationship Id="rId88" Type="http://schemas.openxmlformats.org/officeDocument/2006/relationships/image" Target="media/image48.png"/><Relationship Id="rId89" Type="http://schemas.openxmlformats.org/officeDocument/2006/relationships/image" Target="media/image49.png"/><Relationship Id="rId90" Type="http://schemas.openxmlformats.org/officeDocument/2006/relationships/image" Target="media/image50.png"/><Relationship Id="rId91" Type="http://schemas.openxmlformats.org/officeDocument/2006/relationships/image" Target="media/image51.png"/><Relationship Id="rId92" Type="http://schemas.openxmlformats.org/officeDocument/2006/relationships/image" Target="media/image52.png"/><Relationship Id="rId93" Type="http://schemas.openxmlformats.org/officeDocument/2006/relationships/image" Target="media/image53.png"/><Relationship Id="rId94" Type="http://schemas.openxmlformats.org/officeDocument/2006/relationships/header" Target="header18.xml"/><Relationship Id="rId95" Type="http://schemas.openxmlformats.org/officeDocument/2006/relationships/footer" Target="footer18.xml"/><Relationship Id="rId96" Type="http://schemas.openxmlformats.org/officeDocument/2006/relationships/footer" Target="footer19.xml"/><Relationship Id="rId97" Type="http://schemas.openxmlformats.org/officeDocument/2006/relationships/image" Target="media/image54.png"/><Relationship Id="rId98" Type="http://schemas.openxmlformats.org/officeDocument/2006/relationships/image" Target="media/image55.png"/><Relationship Id="rId99" Type="http://schemas.openxmlformats.org/officeDocument/2006/relationships/image" Target="media/image56.png"/><Relationship Id="rId100" Type="http://schemas.openxmlformats.org/officeDocument/2006/relationships/header" Target="header19.xml"/><Relationship Id="rId101" Type="http://schemas.openxmlformats.org/officeDocument/2006/relationships/header" Target="header20.xml"/><Relationship Id="rId102" Type="http://schemas.openxmlformats.org/officeDocument/2006/relationships/footer" Target="footer20.xml"/><Relationship Id="rId103" Type="http://schemas.openxmlformats.org/officeDocument/2006/relationships/footer" Target="footer21.xml"/><Relationship Id="rId104" Type="http://schemas.openxmlformats.org/officeDocument/2006/relationships/image" Target="media/image57.png"/><Relationship Id="rId105" Type="http://schemas.openxmlformats.org/officeDocument/2006/relationships/header" Target="header21.xml"/><Relationship Id="rId106" Type="http://schemas.openxmlformats.org/officeDocument/2006/relationships/image" Target="media/image58.png"/><Relationship Id="rId107" Type="http://schemas.openxmlformats.org/officeDocument/2006/relationships/image" Target="media/image59.png"/><Relationship Id="rId108" Type="http://schemas.openxmlformats.org/officeDocument/2006/relationships/image" Target="media/image60.png"/><Relationship Id="rId109" Type="http://schemas.openxmlformats.org/officeDocument/2006/relationships/image" Target="media/image61.png"/><Relationship Id="rId110" Type="http://schemas.openxmlformats.org/officeDocument/2006/relationships/header" Target="header22.xml"/><Relationship Id="rId111" Type="http://schemas.openxmlformats.org/officeDocument/2006/relationships/header" Target="header23.xml"/><Relationship Id="rId112" Type="http://schemas.openxmlformats.org/officeDocument/2006/relationships/footer" Target="footer22.xml"/><Relationship Id="rId113" Type="http://schemas.openxmlformats.org/officeDocument/2006/relationships/footer" Target="footer23.xml"/><Relationship Id="rId114" Type="http://schemas.openxmlformats.org/officeDocument/2006/relationships/image" Target="media/image62.png"/><Relationship Id="rId115" Type="http://schemas.openxmlformats.org/officeDocument/2006/relationships/image" Target="media/image63.png"/><Relationship Id="rId116" Type="http://schemas.openxmlformats.org/officeDocument/2006/relationships/image" Target="media/image64.png"/><Relationship Id="rId117" Type="http://schemas.openxmlformats.org/officeDocument/2006/relationships/image" Target="media/image65.png"/><Relationship Id="rId118" Type="http://schemas.openxmlformats.org/officeDocument/2006/relationships/image" Target="media/image66.png"/><Relationship Id="rId119" Type="http://schemas.openxmlformats.org/officeDocument/2006/relationships/image" Target="media/image67.png"/><Relationship Id="rId120" Type="http://schemas.openxmlformats.org/officeDocument/2006/relationships/image" Target="media/image68.png"/><Relationship Id="rId121" Type="http://schemas.openxmlformats.org/officeDocument/2006/relationships/image" Target="media/image69.png"/><Relationship Id="rId122" Type="http://schemas.openxmlformats.org/officeDocument/2006/relationships/image" Target="media/image70.png"/><Relationship Id="rId123" Type="http://schemas.openxmlformats.org/officeDocument/2006/relationships/image" Target="media/image71.png"/><Relationship Id="rId124" Type="http://schemas.openxmlformats.org/officeDocument/2006/relationships/image" Target="media/image72.png"/><Relationship Id="rId125" Type="http://schemas.openxmlformats.org/officeDocument/2006/relationships/image" Target="media/image73.png"/><Relationship Id="rId126" Type="http://schemas.openxmlformats.org/officeDocument/2006/relationships/image" Target="media/image74.png"/><Relationship Id="rId127" Type="http://schemas.openxmlformats.org/officeDocument/2006/relationships/image" Target="media/image75.png"/><Relationship Id="rId128" Type="http://schemas.openxmlformats.org/officeDocument/2006/relationships/image" Target="media/image76.png"/><Relationship Id="rId129" Type="http://schemas.openxmlformats.org/officeDocument/2006/relationships/image" Target="media/image77.png"/><Relationship Id="rId130" Type="http://schemas.openxmlformats.org/officeDocument/2006/relationships/image" Target="media/image78.png"/><Relationship Id="rId131" Type="http://schemas.openxmlformats.org/officeDocument/2006/relationships/image" Target="media/image79.png"/><Relationship Id="rId132" Type="http://schemas.openxmlformats.org/officeDocument/2006/relationships/image" Target="media/image80.png"/><Relationship Id="rId133" Type="http://schemas.openxmlformats.org/officeDocument/2006/relationships/image" Target="media/image81.png"/><Relationship Id="rId134" Type="http://schemas.openxmlformats.org/officeDocument/2006/relationships/image" Target="media/image82.png"/><Relationship Id="rId135" Type="http://schemas.openxmlformats.org/officeDocument/2006/relationships/image" Target="media/image83.png"/><Relationship Id="rId136" Type="http://schemas.openxmlformats.org/officeDocument/2006/relationships/image" Target="media/image84.png"/><Relationship Id="rId137" Type="http://schemas.openxmlformats.org/officeDocument/2006/relationships/image" Target="media/image85.png"/><Relationship Id="rId138" Type="http://schemas.openxmlformats.org/officeDocument/2006/relationships/image" Target="media/image86.png"/><Relationship Id="rId139" Type="http://schemas.openxmlformats.org/officeDocument/2006/relationships/image" Target="media/image87.png"/><Relationship Id="rId140" Type="http://schemas.openxmlformats.org/officeDocument/2006/relationships/image" Target="media/image88.png"/><Relationship Id="rId141" Type="http://schemas.openxmlformats.org/officeDocument/2006/relationships/image" Target="media/image89.png"/><Relationship Id="rId142" Type="http://schemas.openxmlformats.org/officeDocument/2006/relationships/image" Target="media/image90.png"/><Relationship Id="rId143" Type="http://schemas.openxmlformats.org/officeDocument/2006/relationships/image" Target="media/image91.png"/><Relationship Id="rId144" Type="http://schemas.openxmlformats.org/officeDocument/2006/relationships/image" Target="media/image92.png"/><Relationship Id="rId145" Type="http://schemas.openxmlformats.org/officeDocument/2006/relationships/image" Target="media/image93.png"/><Relationship Id="rId146" Type="http://schemas.openxmlformats.org/officeDocument/2006/relationships/image" Target="media/image94.png"/><Relationship Id="rId147" Type="http://schemas.openxmlformats.org/officeDocument/2006/relationships/image" Target="media/image95.png"/><Relationship Id="rId148" Type="http://schemas.openxmlformats.org/officeDocument/2006/relationships/image" Target="media/image96.png"/><Relationship Id="rId149" Type="http://schemas.openxmlformats.org/officeDocument/2006/relationships/header" Target="header24.xml"/><Relationship Id="rId150" Type="http://schemas.openxmlformats.org/officeDocument/2006/relationships/footer" Target="footer24.xml"/><Relationship Id="rId151" Type="http://schemas.openxmlformats.org/officeDocument/2006/relationships/footer" Target="footer25.xml"/><Relationship Id="rId152" Type="http://schemas.openxmlformats.org/officeDocument/2006/relationships/image" Target="media/image97.png"/><Relationship Id="rId153" Type="http://schemas.openxmlformats.org/officeDocument/2006/relationships/image" Target="media/image98.png"/><Relationship Id="rId154" Type="http://schemas.openxmlformats.org/officeDocument/2006/relationships/image" Target="media/image99.png"/><Relationship Id="rId155" Type="http://schemas.openxmlformats.org/officeDocument/2006/relationships/image" Target="media/image100.png"/><Relationship Id="rId156" Type="http://schemas.openxmlformats.org/officeDocument/2006/relationships/image" Target="media/image101.png"/><Relationship Id="rId157" Type="http://schemas.openxmlformats.org/officeDocument/2006/relationships/header" Target="header25.xml"/><Relationship Id="rId158" Type="http://schemas.openxmlformats.org/officeDocument/2006/relationships/header" Target="header26.xml"/><Relationship Id="rId159" Type="http://schemas.openxmlformats.org/officeDocument/2006/relationships/image" Target="media/image102.png"/><Relationship Id="rId160" Type="http://schemas.openxmlformats.org/officeDocument/2006/relationships/footer" Target="footer26.xml"/><Relationship Id="rId161" Type="http://schemas.openxmlformats.org/officeDocument/2006/relationships/footer" Target="footer27.xml"/><Relationship Id="rId162" Type="http://schemas.openxmlformats.org/officeDocument/2006/relationships/image" Target="media/image103.png"/><Relationship Id="rId163" Type="http://schemas.openxmlformats.org/officeDocument/2006/relationships/image" Target="media/image104.png"/><Relationship Id="rId164" Type="http://schemas.openxmlformats.org/officeDocument/2006/relationships/image" Target="media/image105.png"/><Relationship Id="rId165" Type="http://schemas.openxmlformats.org/officeDocument/2006/relationships/image" Target="media/image106.png"/><Relationship Id="rId166" Type="http://schemas.openxmlformats.org/officeDocument/2006/relationships/image" Target="media/image107.png"/><Relationship Id="rId167" Type="http://schemas.openxmlformats.org/officeDocument/2006/relationships/image" Target="media/image108.png"/><Relationship Id="rId168" Type="http://schemas.openxmlformats.org/officeDocument/2006/relationships/image" Target="media/image109.png"/><Relationship Id="rId169" Type="http://schemas.openxmlformats.org/officeDocument/2006/relationships/image" Target="media/image110.png"/><Relationship Id="rId170" Type="http://schemas.openxmlformats.org/officeDocument/2006/relationships/image" Target="media/image111.png"/><Relationship Id="rId171" Type="http://schemas.openxmlformats.org/officeDocument/2006/relationships/image" Target="media/image112.png"/><Relationship Id="rId172" Type="http://schemas.openxmlformats.org/officeDocument/2006/relationships/image" Target="media/image113.png"/><Relationship Id="rId173" Type="http://schemas.openxmlformats.org/officeDocument/2006/relationships/header" Target="header27.xml"/><Relationship Id="rId174" Type="http://schemas.openxmlformats.org/officeDocument/2006/relationships/footer" Target="footer28.xml"/><Relationship Id="rId175" Type="http://schemas.openxmlformats.org/officeDocument/2006/relationships/footer" Target="footer29.xml"/><Relationship Id="rId176" Type="http://schemas.openxmlformats.org/officeDocument/2006/relationships/header" Target="header28.xml"/><Relationship Id="rId177" Type="http://schemas.openxmlformats.org/officeDocument/2006/relationships/header" Target="header29.xml"/><Relationship Id="rId178" Type="http://schemas.openxmlformats.org/officeDocument/2006/relationships/header" Target="header30.xml"/><Relationship Id="rId179" Type="http://schemas.openxmlformats.org/officeDocument/2006/relationships/footer" Target="footer30.xml"/><Relationship Id="rId180" Type="http://schemas.openxmlformats.org/officeDocument/2006/relationships/footer" Target="footer31.xml"/><Relationship Id="rId181" Type="http://schemas.openxmlformats.org/officeDocument/2006/relationships/header" Target="header31.xml"/><Relationship Id="rId182" Type="http://schemas.openxmlformats.org/officeDocument/2006/relationships/header" Target="header32.xml"/><Relationship Id="rId183" Type="http://schemas.openxmlformats.org/officeDocument/2006/relationships/header" Target="header33.xml"/><Relationship Id="rId184" Type="http://schemas.openxmlformats.org/officeDocument/2006/relationships/footer" Target="footer32.xml"/><Relationship Id="rId185" Type="http://schemas.openxmlformats.org/officeDocument/2006/relationships/footer" Target="footer33.xml"/><Relationship Id="rId186" Type="http://schemas.openxmlformats.org/officeDocument/2006/relationships/hyperlink" Target="http://www.bankofengland.co.uk/inflationreport/mark0004.htm" TargetMode="External"/><Relationship Id="rId187" Type="http://schemas.openxmlformats.org/officeDocument/2006/relationships/header" Target="header34.xml"/><Relationship Id="rId188" Type="http://schemas.openxmlformats.org/officeDocument/2006/relationships/header" Target="header35.xml"/><Relationship Id="rId189" Type="http://schemas.openxmlformats.org/officeDocument/2006/relationships/footer" Target="footer34.xml"/><Relationship Id="rId190" Type="http://schemas.openxmlformats.org/officeDocument/2006/relationships/footer" Target="footer35.xml"/><Relationship Id="rId191" Type="http://schemas.openxmlformats.org/officeDocument/2006/relationships/image" Target="media/image114.png"/><Relationship Id="rId192" Type="http://schemas.openxmlformats.org/officeDocument/2006/relationships/image" Target="media/image115.png"/><Relationship Id="rId193" Type="http://schemas.openxmlformats.org/officeDocument/2006/relationships/image" Target="media/image116.png"/><Relationship Id="rId194" Type="http://schemas.openxmlformats.org/officeDocument/2006/relationships/image" Target="media/image117.png"/><Relationship Id="rId195" Type="http://schemas.openxmlformats.org/officeDocument/2006/relationships/image" Target="media/image118.png"/><Relationship Id="rId196" Type="http://schemas.openxmlformats.org/officeDocument/2006/relationships/image" Target="media/image119.png"/><Relationship Id="rId197" Type="http://schemas.openxmlformats.org/officeDocument/2006/relationships/header" Target="header36.xml"/><Relationship Id="rId198" Type="http://schemas.openxmlformats.org/officeDocument/2006/relationships/header" Target="header37.xml"/><Relationship Id="rId199" Type="http://schemas.openxmlformats.org/officeDocument/2006/relationships/footer" Target="footer36.xml"/><Relationship Id="rId200" Type="http://schemas.openxmlformats.org/officeDocument/2006/relationships/footer" Target="footer37.xml"/><Relationship Id="rId201" Type="http://schemas.openxmlformats.org/officeDocument/2006/relationships/header" Target="header38.xml"/><Relationship Id="rId202" Type="http://schemas.openxmlformats.org/officeDocument/2006/relationships/header" Target="header39.xml"/><Relationship Id="rId203" Type="http://schemas.openxmlformats.org/officeDocument/2006/relationships/footer" Target="footer38.xml"/><Relationship Id="rId204" Type="http://schemas.openxmlformats.org/officeDocument/2006/relationships/footer" Target="footer39.xml"/><Relationship Id="rId205" Type="http://schemas.openxmlformats.org/officeDocument/2006/relationships/image" Target="media/image120.png"/><Relationship Id="rId206" Type="http://schemas.openxmlformats.org/officeDocument/2006/relationships/image" Target="media/image121.png"/><Relationship Id="rId207" Type="http://schemas.openxmlformats.org/officeDocument/2006/relationships/image" Target="media/image122.png"/><Relationship Id="rId208" Type="http://schemas.openxmlformats.org/officeDocument/2006/relationships/image" Target="media/image123.png"/><Relationship Id="rId209" Type="http://schemas.openxmlformats.org/officeDocument/2006/relationships/image" Target="media/image124.png"/><Relationship Id="rId210" Type="http://schemas.openxmlformats.org/officeDocument/2006/relationships/image" Target="media/image125.png"/><Relationship Id="rId211" Type="http://schemas.openxmlformats.org/officeDocument/2006/relationships/header" Target="header40.xml"/><Relationship Id="rId212" Type="http://schemas.openxmlformats.org/officeDocument/2006/relationships/footer" Target="footer40.xml"/><Relationship Id="rId213" Type="http://schemas.openxmlformats.org/officeDocument/2006/relationships/footer" Target="footer41.xml"/><Relationship Id="rId214" Type="http://schemas.openxmlformats.org/officeDocument/2006/relationships/header" Target="header41.xml"/><Relationship Id="rId215" Type="http://schemas.openxmlformats.org/officeDocument/2006/relationships/header" Target="header42.xml"/><Relationship Id="rId216" Type="http://schemas.openxmlformats.org/officeDocument/2006/relationships/header" Target="header43.xml"/><Relationship Id="rId217" Type="http://schemas.openxmlformats.org/officeDocument/2006/relationships/footer" Target="footer42.xml"/><Relationship Id="rId218" Type="http://schemas.openxmlformats.org/officeDocument/2006/relationships/footer" Target="footer43.xml"/><Relationship Id="rId219" Type="http://schemas.openxmlformats.org/officeDocument/2006/relationships/header" Target="header44.xml"/><Relationship Id="rId220" Type="http://schemas.openxmlformats.org/officeDocument/2006/relationships/image" Target="media/image126.png"/><Relationship Id="rId221" Type="http://schemas.openxmlformats.org/officeDocument/2006/relationships/header" Target="header45.xml"/><Relationship Id="rId222" Type="http://schemas.openxmlformats.org/officeDocument/2006/relationships/header" Target="header46.xml"/><Relationship Id="rId223" Type="http://schemas.openxmlformats.org/officeDocument/2006/relationships/footer" Target="footer44.xml"/><Relationship Id="rId224" Type="http://schemas.openxmlformats.org/officeDocument/2006/relationships/footer" Target="footer45.xml"/><Relationship Id="rId225" Type="http://schemas.openxmlformats.org/officeDocument/2006/relationships/header" Target="header47.xml"/><Relationship Id="rId226" Type="http://schemas.openxmlformats.org/officeDocument/2006/relationships/footer" Target="footer46.xml"/><Relationship Id="rId2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MPC</dc:creator>
  <dc:subject>Inflation Report November 2000</dc:subject>
  <dc:title>Inflation Report</dc:title>
  <dcterms:created xsi:type="dcterms:W3CDTF">2020-06-03T00:06:47Z</dcterms:created>
  <dcterms:modified xsi:type="dcterms:W3CDTF">2020-06-03T00:06:47Z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2000-11-14T00:00:00Z</vt:filetime>
  </property>
  <property fmtid="{D5CDD505-2E9C-101B-9397-08002B2CF9AE}" pid="3" name="LastSaved">
    <vt:filetime>2020-06-03T00:00:00Z</vt:filetime>
  </property>
</Properties>
</file>