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17 November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386" w:right="2397" w:firstLine="0"/>
        <w:jc w:val="center"/>
        <w:rPr>
          <w:rFonts w:ascii="Arial"/>
          <w:b/>
          <w:sz w:val="48"/>
        </w:rPr>
      </w:pPr>
      <w:r>
        <w:rPr>
          <w:rFonts w:ascii="Arial"/>
          <w:b/>
          <w:color w:val="231F20"/>
          <w:sz w:val="48"/>
        </w:rPr>
        <w:t>3 and 4 November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3 and 4 November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.bankofengland.co.uk/mpc9911.pdf).</w:t>
        </w:r>
      </w:hyperlink>
    </w:p>
    <w:p>
      <w:pPr>
        <w:pStyle w:val="BodyText"/>
        <w:spacing w:before="2"/>
        <w:rPr>
          <w:rFonts w:ascii="Arial"/>
          <w:sz w:val="26"/>
        </w:rPr>
      </w:pPr>
    </w:p>
    <w:p>
      <w:pPr>
        <w:spacing w:line="288" w:lineRule="auto" w:before="0"/>
        <w:ind w:left="100" w:right="22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8 and 9 December will be published on   22 December</w:t>
      </w:r>
      <w:r>
        <w:rPr>
          <w:rFonts w:ascii="Arial"/>
          <w:color w:val="231F20"/>
          <w:spacing w:val="-5"/>
          <w:sz w:val="26"/>
        </w:rPr>
        <w:t> </w:t>
      </w:r>
      <w:r>
        <w:rPr>
          <w:rFonts w:ascii="Arial"/>
          <w:color w:val="231F20"/>
          <w:sz w:val="26"/>
        </w:rPr>
        <w:t>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4"/>
        </w:rPr>
      </w:pPr>
      <w:r>
        <w:rPr/>
        <w:drawing>
          <wp:anchor distT="0" distB="0" distL="0" distR="0" allowOverlap="1" layoutInCell="1" locked="0" behindDoc="0" simplePos="0" relativeHeight="2">
            <wp:simplePos x="0" y="0"/>
            <wp:positionH relativeFrom="page">
              <wp:posOffset>5326279</wp:posOffset>
            </wp:positionH>
            <wp:positionV relativeFrom="paragraph">
              <wp:posOffset>133343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4"/>
        </w:rPr>
        <w:sectPr>
          <w:type w:val="continuous"/>
          <w:pgSz w:w="11920" w:h="16840"/>
          <w:pgMar w:top="1340" w:bottom="280" w:left="880" w:right="88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1"/>
        </w:rPr>
      </w:pPr>
    </w:p>
    <w:p>
      <w:pPr>
        <w:pStyle w:val="Heading1"/>
        <w:spacing w:line="237" w:lineRule="auto"/>
        <w:ind w:right="1484"/>
      </w:pPr>
      <w:r>
        <w:rPr/>
        <w:t>MINUTES OF THE MONETARY POLICY COMMITTEE MEETING HELD ON 3-4 NOVEMBER 1999</w:t>
      </w:r>
    </w:p>
    <w:p>
      <w:pPr>
        <w:pStyle w:val="BodyText"/>
        <w:rPr>
          <w:b/>
          <w:sz w:val="26"/>
        </w:rPr>
      </w:pPr>
    </w:p>
    <w:p>
      <w:pPr>
        <w:pStyle w:val="BodyText"/>
        <w:spacing w:before="10"/>
        <w:rPr>
          <w:b/>
          <w:sz w:val="21"/>
        </w:rPr>
      </w:pPr>
    </w:p>
    <w:p>
      <w:pPr>
        <w:pStyle w:val="ListParagraph"/>
        <w:numPr>
          <w:ilvl w:val="0"/>
          <w:numId w:val="1"/>
        </w:numPr>
        <w:tabs>
          <w:tab w:pos="412" w:val="left" w:leader="none"/>
        </w:tabs>
        <w:spacing w:line="360" w:lineRule="auto" w:before="1" w:after="0"/>
        <w:ind w:left="104" w:right="372" w:firstLine="0"/>
        <w:jc w:val="left"/>
        <w:rPr>
          <w:sz w:val="24"/>
        </w:rPr>
      </w:pPr>
      <w:r>
        <w:rPr>
          <w:sz w:val="24"/>
        </w:rPr>
        <w:t>Before completing their November inflation and </w:t>
      </w:r>
      <w:r>
        <w:rPr>
          <w:spacing w:val="4"/>
          <w:sz w:val="24"/>
        </w:rPr>
        <w:t>output </w:t>
      </w:r>
      <w:r>
        <w:rPr>
          <w:sz w:val="24"/>
        </w:rPr>
        <w:t>growth projections and turning </w:t>
      </w:r>
      <w:r>
        <w:rPr>
          <w:spacing w:val="3"/>
          <w:sz w:val="24"/>
        </w:rPr>
        <w:t>to </w:t>
      </w:r>
      <w:r>
        <w:rPr>
          <w:sz w:val="24"/>
        </w:rPr>
        <w:t>their immediate policy decision, the Committee discussed demand and </w:t>
      </w:r>
      <w:r>
        <w:rPr>
          <w:spacing w:val="5"/>
          <w:sz w:val="24"/>
        </w:rPr>
        <w:t>output; </w:t>
      </w:r>
      <w:r>
        <w:rPr>
          <w:sz w:val="24"/>
        </w:rPr>
        <w:t>the labour market; prices and costs; money, credit and asset prices; and the world economic </w:t>
      </w:r>
      <w:r>
        <w:rPr>
          <w:spacing w:val="4"/>
          <w:sz w:val="24"/>
        </w:rPr>
        <w:t>outlook. </w:t>
      </w:r>
      <w:r>
        <w:rPr>
          <w:sz w:val="24"/>
        </w:rPr>
        <w:t>Prior </w:t>
      </w:r>
      <w:r>
        <w:rPr>
          <w:spacing w:val="2"/>
          <w:sz w:val="24"/>
        </w:rPr>
        <w:t>to </w:t>
      </w:r>
      <w:r>
        <w:rPr>
          <w:sz w:val="24"/>
        </w:rPr>
        <w:t>the meeting, the </w:t>
      </w:r>
      <w:r>
        <w:rPr>
          <w:spacing w:val="2"/>
          <w:sz w:val="24"/>
        </w:rPr>
        <w:t>Committee </w:t>
      </w:r>
      <w:r>
        <w:rPr>
          <w:sz w:val="24"/>
        </w:rPr>
        <w:t>was briefed by </w:t>
      </w:r>
      <w:r>
        <w:rPr>
          <w:spacing w:val="3"/>
          <w:sz w:val="24"/>
        </w:rPr>
        <w:t>Treasury </w:t>
      </w:r>
      <w:r>
        <w:rPr>
          <w:spacing w:val="5"/>
          <w:sz w:val="24"/>
        </w:rPr>
        <w:t>officials </w:t>
      </w:r>
      <w:r>
        <w:rPr>
          <w:spacing w:val="3"/>
          <w:sz w:val="24"/>
        </w:rPr>
        <w:t>on </w:t>
      </w:r>
      <w:r>
        <w:rPr>
          <w:spacing w:val="2"/>
          <w:sz w:val="24"/>
        </w:rPr>
        <w:t>the </w:t>
      </w:r>
      <w:r>
        <w:rPr>
          <w:sz w:val="24"/>
        </w:rPr>
        <w:t>Chancellor’s latest projections for economic </w:t>
      </w:r>
      <w:r>
        <w:rPr>
          <w:spacing w:val="2"/>
          <w:sz w:val="24"/>
        </w:rPr>
        <w:t>activity </w:t>
      </w:r>
      <w:r>
        <w:rPr>
          <w:sz w:val="24"/>
        </w:rPr>
        <w:t>and </w:t>
      </w:r>
      <w:r>
        <w:rPr>
          <w:spacing w:val="2"/>
          <w:sz w:val="24"/>
        </w:rPr>
        <w:t>the </w:t>
      </w:r>
      <w:r>
        <w:rPr>
          <w:sz w:val="24"/>
        </w:rPr>
        <w:t>public</w:t>
      </w:r>
      <w:r>
        <w:rPr>
          <w:spacing w:val="18"/>
          <w:sz w:val="24"/>
        </w:rPr>
        <w:t> </w:t>
      </w:r>
      <w:r>
        <w:rPr>
          <w:sz w:val="24"/>
        </w:rPr>
        <w:t>finances.</w:t>
      </w:r>
    </w:p>
    <w:p>
      <w:pPr>
        <w:pStyle w:val="BodyText"/>
        <w:spacing w:before="7"/>
        <w:rPr>
          <w:sz w:val="31"/>
        </w:rPr>
      </w:pPr>
    </w:p>
    <w:p>
      <w:pPr>
        <w:pStyle w:val="Heading1"/>
      </w:pPr>
      <w:r>
        <w:rPr/>
        <w:t>Demand and output</w:t>
      </w:r>
    </w:p>
    <w:p>
      <w:pPr>
        <w:pStyle w:val="BodyText"/>
        <w:rPr>
          <w:b/>
          <w:sz w:val="26"/>
        </w:rPr>
      </w:pPr>
    </w:p>
    <w:p>
      <w:pPr>
        <w:pStyle w:val="ListParagraph"/>
        <w:numPr>
          <w:ilvl w:val="0"/>
          <w:numId w:val="1"/>
        </w:numPr>
        <w:tabs>
          <w:tab w:pos="414" w:val="left" w:leader="none"/>
        </w:tabs>
        <w:spacing w:line="360" w:lineRule="auto" w:before="193" w:after="0"/>
        <w:ind w:left="104" w:right="176" w:firstLine="0"/>
        <w:jc w:val="left"/>
        <w:rPr>
          <w:sz w:val="24"/>
        </w:rPr>
      </w:pPr>
      <w:r>
        <w:rPr>
          <w:sz w:val="24"/>
        </w:rPr>
        <w:t>Output was estimated </w:t>
      </w:r>
      <w:r>
        <w:rPr>
          <w:spacing w:val="3"/>
          <w:sz w:val="24"/>
        </w:rPr>
        <w:t>to </w:t>
      </w:r>
      <w:r>
        <w:rPr>
          <w:sz w:val="24"/>
        </w:rPr>
        <w:t>have increased by 0.9% between Q2 and Q3, significantly higher than projected in the Committee’s August </w:t>
      </w:r>
      <w:r>
        <w:rPr>
          <w:i/>
          <w:sz w:val="24"/>
        </w:rPr>
        <w:t>Inflation Report</w:t>
      </w:r>
      <w:r>
        <w:rPr>
          <w:sz w:val="24"/>
        </w:rPr>
        <w:t>; and growth in the first half </w:t>
      </w:r>
      <w:r>
        <w:rPr>
          <w:spacing w:val="2"/>
          <w:sz w:val="24"/>
        </w:rPr>
        <w:t>of </w:t>
      </w:r>
      <w:r>
        <w:rPr>
          <w:sz w:val="24"/>
        </w:rPr>
        <w:t>the year had been revised upwards, so that the level </w:t>
      </w:r>
      <w:r>
        <w:rPr>
          <w:spacing w:val="2"/>
          <w:sz w:val="24"/>
        </w:rPr>
        <w:t>of </w:t>
      </w:r>
      <w:r>
        <w:rPr>
          <w:sz w:val="24"/>
        </w:rPr>
        <w:t>activity was also higher than expected. The quarterly rate </w:t>
      </w:r>
      <w:r>
        <w:rPr>
          <w:spacing w:val="3"/>
          <w:sz w:val="24"/>
        </w:rPr>
        <w:t>of </w:t>
      </w:r>
      <w:r>
        <w:rPr>
          <w:sz w:val="24"/>
        </w:rPr>
        <w:t>manufacturing </w:t>
      </w:r>
      <w:r>
        <w:rPr>
          <w:spacing w:val="4"/>
          <w:sz w:val="24"/>
        </w:rPr>
        <w:t>output </w:t>
      </w:r>
      <w:r>
        <w:rPr>
          <w:sz w:val="24"/>
        </w:rPr>
        <w:t>growth had been 1% in Q3. The recovery seemed </w:t>
      </w:r>
      <w:r>
        <w:rPr>
          <w:spacing w:val="2"/>
          <w:sz w:val="24"/>
        </w:rPr>
        <w:t>to </w:t>
      </w:r>
      <w:r>
        <w:rPr>
          <w:sz w:val="24"/>
        </w:rPr>
        <w:t>be spreading both </w:t>
      </w:r>
      <w:r>
        <w:rPr>
          <w:spacing w:val="2"/>
          <w:sz w:val="24"/>
        </w:rPr>
        <w:t>regionally </w:t>
      </w:r>
      <w:r>
        <w:rPr>
          <w:sz w:val="24"/>
        </w:rPr>
        <w:t>and, with some exceptions such as agriculture, sectorally. The twelve-month growth rate of final domestic demand in Q2, the latest period for which data were available, had been 4.5%, well above trend. Strong domestic demand had </w:t>
      </w:r>
      <w:r>
        <w:rPr>
          <w:spacing w:val="2"/>
          <w:sz w:val="24"/>
        </w:rPr>
        <w:t>to </w:t>
      </w:r>
      <w:r>
        <w:rPr>
          <w:sz w:val="24"/>
        </w:rPr>
        <w:t>some extent been </w:t>
      </w:r>
      <w:r>
        <w:rPr>
          <w:spacing w:val="4"/>
          <w:sz w:val="24"/>
        </w:rPr>
        <w:t>offset </w:t>
      </w:r>
      <w:r>
        <w:rPr>
          <w:sz w:val="24"/>
        </w:rPr>
        <w:t>in the first part </w:t>
      </w:r>
      <w:r>
        <w:rPr>
          <w:spacing w:val="2"/>
          <w:sz w:val="24"/>
        </w:rPr>
        <w:t>of </w:t>
      </w:r>
      <w:r>
        <w:rPr>
          <w:sz w:val="24"/>
        </w:rPr>
        <w:t>the year by destocking and, </w:t>
      </w:r>
      <w:r>
        <w:rPr>
          <w:spacing w:val="3"/>
          <w:sz w:val="24"/>
        </w:rPr>
        <w:t>over </w:t>
      </w:r>
      <w:r>
        <w:rPr>
          <w:sz w:val="24"/>
        </w:rPr>
        <w:t>a longer period, by weak net trade, reflecting the rise in sterling’s exchange rate and shocks </w:t>
      </w:r>
      <w:r>
        <w:rPr>
          <w:spacing w:val="2"/>
          <w:sz w:val="24"/>
        </w:rPr>
        <w:t>to </w:t>
      </w:r>
      <w:r>
        <w:rPr>
          <w:sz w:val="24"/>
        </w:rPr>
        <w:t>world economic growth. Aggregate demand had therefore grown more slowly than final domestic demand, and this had contained pressures </w:t>
      </w:r>
      <w:r>
        <w:rPr>
          <w:spacing w:val="2"/>
          <w:sz w:val="24"/>
        </w:rPr>
        <w:t>on </w:t>
      </w:r>
      <w:r>
        <w:rPr>
          <w:sz w:val="24"/>
        </w:rPr>
        <w:t>the </w:t>
      </w:r>
      <w:r>
        <w:rPr>
          <w:spacing w:val="-3"/>
          <w:sz w:val="24"/>
        </w:rPr>
        <w:t>economy’s </w:t>
      </w:r>
      <w:r>
        <w:rPr>
          <w:sz w:val="24"/>
        </w:rPr>
        <w:t>supply capacity. More recently, however,</w:t>
      </w:r>
      <w:r>
        <w:rPr>
          <w:spacing w:val="-5"/>
          <w:sz w:val="24"/>
        </w:rPr>
        <w:t> </w:t>
      </w:r>
      <w:r>
        <w:rPr>
          <w:sz w:val="24"/>
        </w:rPr>
        <w:t>net</w:t>
      </w:r>
      <w:r>
        <w:rPr>
          <w:spacing w:val="-1"/>
          <w:sz w:val="24"/>
        </w:rPr>
        <w:t> </w:t>
      </w:r>
      <w:r>
        <w:rPr>
          <w:sz w:val="24"/>
        </w:rPr>
        <w:t>trade</w:t>
      </w:r>
      <w:r>
        <w:rPr>
          <w:spacing w:val="-5"/>
          <w:sz w:val="24"/>
        </w:rPr>
        <w:t> </w:t>
      </w:r>
      <w:r>
        <w:rPr>
          <w:sz w:val="24"/>
        </w:rPr>
        <w:t>had</w:t>
      </w:r>
      <w:r>
        <w:rPr>
          <w:spacing w:val="-5"/>
          <w:sz w:val="24"/>
        </w:rPr>
        <w:t> </w:t>
      </w:r>
      <w:r>
        <w:rPr>
          <w:sz w:val="24"/>
        </w:rPr>
        <w:t>been</w:t>
      </w:r>
      <w:r>
        <w:rPr>
          <w:spacing w:val="-5"/>
          <w:sz w:val="24"/>
        </w:rPr>
        <w:t> </w:t>
      </w:r>
      <w:r>
        <w:rPr>
          <w:sz w:val="24"/>
        </w:rPr>
        <w:t>stronger</w:t>
      </w:r>
      <w:r>
        <w:rPr>
          <w:spacing w:val="-5"/>
          <w:sz w:val="24"/>
        </w:rPr>
        <w:t> </w:t>
      </w:r>
      <w:r>
        <w:rPr>
          <w:sz w:val="24"/>
        </w:rPr>
        <w:t>than</w:t>
      </w:r>
      <w:r>
        <w:rPr>
          <w:spacing w:val="-4"/>
          <w:sz w:val="24"/>
        </w:rPr>
        <w:t> </w:t>
      </w:r>
      <w:r>
        <w:rPr>
          <w:sz w:val="24"/>
        </w:rPr>
        <w:t>expected,</w:t>
      </w:r>
      <w:r>
        <w:rPr>
          <w:spacing w:val="-5"/>
          <w:sz w:val="24"/>
        </w:rPr>
        <w:t> </w:t>
      </w:r>
      <w:r>
        <w:rPr>
          <w:sz w:val="24"/>
        </w:rPr>
        <w:t>and</w:t>
      </w:r>
      <w:r>
        <w:rPr>
          <w:spacing w:val="-5"/>
          <w:sz w:val="24"/>
        </w:rPr>
        <w:t> </w:t>
      </w:r>
      <w:r>
        <w:rPr>
          <w:sz w:val="24"/>
        </w:rPr>
        <w:t>in</w:t>
      </w:r>
      <w:r>
        <w:rPr>
          <w:spacing w:val="-5"/>
          <w:sz w:val="24"/>
        </w:rPr>
        <w:t> </w:t>
      </w:r>
      <w:r>
        <w:rPr>
          <w:sz w:val="24"/>
        </w:rPr>
        <w:t>Q2</w:t>
      </w:r>
      <w:r>
        <w:rPr>
          <w:spacing w:val="-5"/>
          <w:sz w:val="24"/>
        </w:rPr>
        <w:t> </w:t>
      </w:r>
      <w:r>
        <w:rPr>
          <w:sz w:val="24"/>
        </w:rPr>
        <w:t>had</w:t>
      </w:r>
      <w:r>
        <w:rPr>
          <w:spacing w:val="-5"/>
          <w:sz w:val="24"/>
        </w:rPr>
        <w:t> </w:t>
      </w:r>
      <w:r>
        <w:rPr>
          <w:sz w:val="24"/>
        </w:rPr>
        <w:t>even</w:t>
      </w:r>
      <w:r>
        <w:rPr>
          <w:spacing w:val="-5"/>
          <w:sz w:val="24"/>
        </w:rPr>
        <w:t> </w:t>
      </w:r>
      <w:r>
        <w:rPr>
          <w:sz w:val="24"/>
        </w:rPr>
        <w:t>made</w:t>
      </w:r>
      <w:r>
        <w:rPr>
          <w:spacing w:val="-5"/>
          <w:sz w:val="24"/>
        </w:rPr>
        <w:t> </w:t>
      </w:r>
      <w:r>
        <w:rPr>
          <w:sz w:val="24"/>
        </w:rPr>
        <w:t>a</w:t>
      </w:r>
      <w:r>
        <w:rPr>
          <w:spacing w:val="-5"/>
          <w:sz w:val="24"/>
        </w:rPr>
        <w:t> </w:t>
      </w:r>
      <w:r>
        <w:rPr>
          <w:sz w:val="24"/>
        </w:rPr>
        <w:t>positive</w:t>
      </w:r>
      <w:r>
        <w:rPr>
          <w:spacing w:val="-5"/>
          <w:sz w:val="24"/>
        </w:rPr>
        <w:t> </w:t>
      </w:r>
      <w:r>
        <w:rPr>
          <w:sz w:val="24"/>
        </w:rPr>
        <w:t>contribution</w:t>
      </w:r>
      <w:r>
        <w:rPr>
          <w:spacing w:val="-5"/>
          <w:sz w:val="24"/>
        </w:rPr>
        <w:t> </w:t>
      </w:r>
      <w:r>
        <w:rPr>
          <w:spacing w:val="3"/>
          <w:sz w:val="24"/>
        </w:rPr>
        <w:t>to </w:t>
      </w:r>
      <w:r>
        <w:rPr>
          <w:sz w:val="24"/>
        </w:rPr>
        <w:t>GDP growth. Against this background, the Committee discussed whether the growth in demand was sustainable, and if not whether it would slow spontaneously, ie without a further policy</w:t>
      </w:r>
      <w:r>
        <w:rPr>
          <w:spacing w:val="-23"/>
          <w:sz w:val="24"/>
        </w:rPr>
        <w:t> </w:t>
      </w:r>
      <w:r>
        <w:rPr>
          <w:sz w:val="24"/>
        </w:rPr>
        <w:t>tightening.</w:t>
      </w:r>
    </w:p>
    <w:p>
      <w:pPr>
        <w:pStyle w:val="BodyText"/>
        <w:spacing w:before="3"/>
        <w:rPr>
          <w:sz w:val="31"/>
        </w:rPr>
      </w:pPr>
    </w:p>
    <w:p>
      <w:pPr>
        <w:pStyle w:val="ListParagraph"/>
        <w:numPr>
          <w:ilvl w:val="0"/>
          <w:numId w:val="1"/>
        </w:numPr>
        <w:tabs>
          <w:tab w:pos="415" w:val="left" w:leader="none"/>
        </w:tabs>
        <w:spacing w:line="360" w:lineRule="auto" w:before="0" w:after="0"/>
        <w:ind w:left="104" w:right="352" w:firstLine="0"/>
        <w:jc w:val="left"/>
        <w:rPr>
          <w:sz w:val="24"/>
        </w:rPr>
      </w:pPr>
      <w:r>
        <w:rPr>
          <w:sz w:val="24"/>
        </w:rPr>
        <w:t>Within final domestic demand, consumption growth had been especially buoyant. A number </w:t>
      </w:r>
      <w:r>
        <w:rPr>
          <w:spacing w:val="4"/>
          <w:sz w:val="24"/>
        </w:rPr>
        <w:t>of </w:t>
      </w:r>
      <w:r>
        <w:rPr>
          <w:sz w:val="24"/>
        </w:rPr>
        <w:t>possible special factors were identified. First, strong growth in real earnings, and so real personal disposable income, might have </w:t>
      </w:r>
      <w:r>
        <w:rPr>
          <w:spacing w:val="2"/>
          <w:sz w:val="24"/>
        </w:rPr>
        <w:t>reflected </w:t>
      </w:r>
      <w:r>
        <w:rPr>
          <w:sz w:val="24"/>
        </w:rPr>
        <w:t>not just tight labour market conditions, but also inflation </w:t>
      </w:r>
      <w:r>
        <w:rPr>
          <w:spacing w:val="4"/>
          <w:sz w:val="24"/>
        </w:rPr>
        <w:t>outturns </w:t>
      </w:r>
      <w:r>
        <w:rPr>
          <w:sz w:val="24"/>
        </w:rPr>
        <w:t>that had been lower than expected when pay bargains were struck. Other things being equal, any such effect was unlikely </w:t>
      </w:r>
      <w:r>
        <w:rPr>
          <w:spacing w:val="3"/>
          <w:sz w:val="24"/>
        </w:rPr>
        <w:t>to </w:t>
      </w:r>
      <w:r>
        <w:rPr>
          <w:sz w:val="24"/>
        </w:rPr>
        <w:t>continue as inflation expectations had come down </w:t>
      </w:r>
      <w:r>
        <w:rPr>
          <w:spacing w:val="4"/>
          <w:sz w:val="24"/>
        </w:rPr>
        <w:t>over </w:t>
      </w:r>
      <w:r>
        <w:rPr>
          <w:sz w:val="24"/>
        </w:rPr>
        <w:t>the past few years, and were now broadly in line with the 2½% target. However, the Committee had built into its latest central</w:t>
      </w:r>
      <w:r>
        <w:rPr>
          <w:spacing w:val="-5"/>
          <w:sz w:val="24"/>
        </w:rPr>
        <w:t> </w:t>
      </w:r>
      <w:r>
        <w:rPr>
          <w:sz w:val="24"/>
        </w:rPr>
        <w:t>projection</w:t>
      </w:r>
      <w:r>
        <w:rPr>
          <w:spacing w:val="-4"/>
          <w:sz w:val="24"/>
        </w:rPr>
        <w:t> </w:t>
      </w:r>
      <w:r>
        <w:rPr>
          <w:sz w:val="24"/>
        </w:rPr>
        <w:t>for</w:t>
      </w:r>
      <w:r>
        <w:rPr>
          <w:spacing w:val="-4"/>
          <w:sz w:val="24"/>
        </w:rPr>
        <w:t> </w:t>
      </w:r>
      <w:r>
        <w:rPr>
          <w:sz w:val="24"/>
        </w:rPr>
        <w:t>inflation</w:t>
      </w:r>
      <w:r>
        <w:rPr>
          <w:spacing w:val="-4"/>
          <w:sz w:val="24"/>
        </w:rPr>
        <w:t> </w:t>
      </w:r>
      <w:r>
        <w:rPr>
          <w:sz w:val="24"/>
        </w:rPr>
        <w:t>a</w:t>
      </w:r>
      <w:r>
        <w:rPr>
          <w:spacing w:val="-4"/>
          <w:sz w:val="24"/>
        </w:rPr>
        <w:t> </w:t>
      </w:r>
      <w:r>
        <w:rPr>
          <w:sz w:val="24"/>
        </w:rPr>
        <w:t>number</w:t>
      </w:r>
      <w:r>
        <w:rPr>
          <w:spacing w:val="-5"/>
          <w:sz w:val="24"/>
        </w:rPr>
        <w:t> </w:t>
      </w:r>
      <w:r>
        <w:rPr>
          <w:spacing w:val="2"/>
          <w:sz w:val="24"/>
        </w:rPr>
        <w:t>of</w:t>
      </w:r>
      <w:r>
        <w:rPr>
          <w:spacing w:val="1"/>
          <w:sz w:val="24"/>
        </w:rPr>
        <w:t> </w:t>
      </w:r>
      <w:r>
        <w:rPr>
          <w:sz w:val="24"/>
        </w:rPr>
        <w:t>particular</w:t>
      </w:r>
      <w:r>
        <w:rPr>
          <w:spacing w:val="-5"/>
          <w:sz w:val="24"/>
        </w:rPr>
        <w:t> </w:t>
      </w:r>
      <w:r>
        <w:rPr>
          <w:sz w:val="24"/>
        </w:rPr>
        <w:t>downward</w:t>
      </w:r>
      <w:r>
        <w:rPr>
          <w:spacing w:val="-4"/>
          <w:sz w:val="24"/>
        </w:rPr>
        <w:t> </w:t>
      </w:r>
      <w:r>
        <w:rPr>
          <w:sz w:val="24"/>
        </w:rPr>
        <w:t>influences</w:t>
      </w:r>
      <w:r>
        <w:rPr>
          <w:spacing w:val="-4"/>
          <w:sz w:val="24"/>
        </w:rPr>
        <w:t> </w:t>
      </w:r>
      <w:r>
        <w:rPr>
          <w:spacing w:val="2"/>
          <w:sz w:val="24"/>
        </w:rPr>
        <w:t>on</w:t>
      </w:r>
      <w:r>
        <w:rPr>
          <w:sz w:val="24"/>
        </w:rPr>
        <w:t> prices</w:t>
      </w:r>
      <w:r>
        <w:rPr>
          <w:spacing w:val="-4"/>
          <w:sz w:val="24"/>
        </w:rPr>
        <w:t> </w:t>
      </w:r>
      <w:r>
        <w:rPr>
          <w:sz w:val="24"/>
        </w:rPr>
        <w:t>-</w:t>
      </w:r>
      <w:r>
        <w:rPr>
          <w:spacing w:val="-3"/>
          <w:sz w:val="24"/>
        </w:rPr>
        <w:t> </w:t>
      </w:r>
      <w:r>
        <w:rPr>
          <w:sz w:val="24"/>
        </w:rPr>
        <w:t>such</w:t>
      </w:r>
      <w:r>
        <w:rPr>
          <w:spacing w:val="-5"/>
          <w:sz w:val="24"/>
        </w:rPr>
        <w:t> </w:t>
      </w:r>
      <w:r>
        <w:rPr>
          <w:sz w:val="24"/>
        </w:rPr>
        <w:t>as</w:t>
      </w:r>
    </w:p>
    <w:p>
      <w:pPr>
        <w:spacing w:after="0" w:line="360" w:lineRule="auto"/>
        <w:jc w:val="left"/>
        <w:rPr>
          <w:sz w:val="24"/>
        </w:rPr>
        <w:sectPr>
          <w:pgSz w:w="11900" w:h="16840"/>
          <w:pgMar w:top="1600" w:bottom="280" w:left="860" w:right="840"/>
        </w:sectPr>
      </w:pPr>
    </w:p>
    <w:p>
      <w:pPr>
        <w:pStyle w:val="BodyText"/>
        <w:spacing w:before="1"/>
        <w:rPr>
          <w:sz w:val="21"/>
        </w:rPr>
      </w:pPr>
    </w:p>
    <w:p>
      <w:pPr>
        <w:pStyle w:val="BodyText"/>
        <w:spacing w:line="360" w:lineRule="auto" w:before="90"/>
        <w:ind w:left="104"/>
      </w:pPr>
      <w:r>
        <w:rPr/>
        <w:t>utility price cuts and the effects of increased competition on retailers’ margins - which would tend to reduce RPIX inflation, and it was unclear to what extent these were incorporated into wage bargainers’ inflation expectations.</w:t>
      </w:r>
    </w:p>
    <w:p>
      <w:pPr>
        <w:pStyle w:val="BodyText"/>
        <w:spacing w:before="5"/>
        <w:rPr>
          <w:sz w:val="31"/>
        </w:rPr>
      </w:pPr>
    </w:p>
    <w:p>
      <w:pPr>
        <w:pStyle w:val="ListParagraph"/>
        <w:numPr>
          <w:ilvl w:val="0"/>
          <w:numId w:val="1"/>
        </w:numPr>
        <w:tabs>
          <w:tab w:pos="413" w:val="left" w:leader="none"/>
        </w:tabs>
        <w:spacing w:line="360" w:lineRule="auto" w:before="0" w:after="0"/>
        <w:ind w:left="104" w:right="160" w:firstLine="0"/>
        <w:jc w:val="left"/>
        <w:rPr>
          <w:sz w:val="24"/>
        </w:rPr>
      </w:pPr>
      <w:r>
        <w:rPr>
          <w:sz w:val="24"/>
        </w:rPr>
        <w:t>Second,</w:t>
      </w:r>
      <w:r>
        <w:rPr>
          <w:spacing w:val="-5"/>
          <w:sz w:val="24"/>
        </w:rPr>
        <w:t> </w:t>
      </w:r>
      <w:r>
        <w:rPr>
          <w:sz w:val="24"/>
        </w:rPr>
        <w:t>the</w:t>
      </w:r>
      <w:r>
        <w:rPr>
          <w:spacing w:val="-5"/>
          <w:sz w:val="24"/>
        </w:rPr>
        <w:t> </w:t>
      </w:r>
      <w:r>
        <w:rPr>
          <w:sz w:val="24"/>
        </w:rPr>
        <w:t>rapid</w:t>
      </w:r>
      <w:r>
        <w:rPr>
          <w:spacing w:val="-5"/>
          <w:sz w:val="24"/>
        </w:rPr>
        <w:t> </w:t>
      </w:r>
      <w:r>
        <w:rPr>
          <w:sz w:val="24"/>
        </w:rPr>
        <w:t>growth</w:t>
      </w:r>
      <w:r>
        <w:rPr>
          <w:spacing w:val="-5"/>
          <w:sz w:val="24"/>
        </w:rPr>
        <w:t> </w:t>
      </w:r>
      <w:r>
        <w:rPr>
          <w:sz w:val="24"/>
        </w:rPr>
        <w:t>in</w:t>
      </w:r>
      <w:r>
        <w:rPr>
          <w:spacing w:val="-5"/>
          <w:sz w:val="24"/>
        </w:rPr>
        <w:t> </w:t>
      </w:r>
      <w:r>
        <w:rPr>
          <w:sz w:val="24"/>
        </w:rPr>
        <w:t>consumption</w:t>
      </w:r>
      <w:r>
        <w:rPr>
          <w:spacing w:val="-6"/>
          <w:sz w:val="24"/>
        </w:rPr>
        <w:t> </w:t>
      </w:r>
      <w:r>
        <w:rPr>
          <w:sz w:val="24"/>
        </w:rPr>
        <w:t>in</w:t>
      </w:r>
      <w:r>
        <w:rPr>
          <w:spacing w:val="-5"/>
          <w:sz w:val="24"/>
        </w:rPr>
        <w:t> </w:t>
      </w:r>
      <w:r>
        <w:rPr>
          <w:sz w:val="24"/>
        </w:rPr>
        <w:t>Q1</w:t>
      </w:r>
      <w:r>
        <w:rPr>
          <w:spacing w:val="-5"/>
          <w:sz w:val="24"/>
        </w:rPr>
        <w:t> </w:t>
      </w:r>
      <w:r>
        <w:rPr>
          <w:sz w:val="24"/>
        </w:rPr>
        <w:t>and</w:t>
      </w:r>
      <w:r>
        <w:rPr>
          <w:spacing w:val="-6"/>
          <w:sz w:val="24"/>
        </w:rPr>
        <w:t> </w:t>
      </w:r>
      <w:r>
        <w:rPr>
          <w:sz w:val="24"/>
        </w:rPr>
        <w:t>Q2</w:t>
      </w:r>
      <w:r>
        <w:rPr>
          <w:spacing w:val="-5"/>
          <w:sz w:val="24"/>
        </w:rPr>
        <w:t> </w:t>
      </w:r>
      <w:r>
        <w:rPr>
          <w:sz w:val="24"/>
        </w:rPr>
        <w:t>partly</w:t>
      </w:r>
      <w:r>
        <w:rPr>
          <w:spacing w:val="-5"/>
          <w:sz w:val="24"/>
        </w:rPr>
        <w:t> </w:t>
      </w:r>
      <w:r>
        <w:rPr>
          <w:sz w:val="24"/>
        </w:rPr>
        <w:t>reflected</w:t>
      </w:r>
      <w:r>
        <w:rPr>
          <w:spacing w:val="-5"/>
          <w:sz w:val="24"/>
        </w:rPr>
        <w:t> </w:t>
      </w:r>
      <w:r>
        <w:rPr>
          <w:sz w:val="24"/>
        </w:rPr>
        <w:t>recovery</w:t>
      </w:r>
      <w:r>
        <w:rPr>
          <w:spacing w:val="-4"/>
          <w:sz w:val="24"/>
        </w:rPr>
        <w:t> </w:t>
      </w:r>
      <w:r>
        <w:rPr>
          <w:sz w:val="24"/>
        </w:rPr>
        <w:t>from</w:t>
      </w:r>
      <w:r>
        <w:rPr>
          <w:spacing w:val="-5"/>
          <w:sz w:val="24"/>
        </w:rPr>
        <w:t> </w:t>
      </w:r>
      <w:r>
        <w:rPr>
          <w:sz w:val="24"/>
        </w:rPr>
        <w:t>the</w:t>
      </w:r>
      <w:r>
        <w:rPr>
          <w:spacing w:val="-6"/>
          <w:sz w:val="24"/>
        </w:rPr>
        <w:t> </w:t>
      </w:r>
      <w:r>
        <w:rPr>
          <w:sz w:val="24"/>
        </w:rPr>
        <w:t>slowdown last autumn, when confidence had been hit by the shocks </w:t>
      </w:r>
      <w:r>
        <w:rPr>
          <w:spacing w:val="3"/>
          <w:sz w:val="24"/>
        </w:rPr>
        <w:t>to </w:t>
      </w:r>
      <w:r>
        <w:rPr>
          <w:sz w:val="24"/>
        </w:rPr>
        <w:t>the world economy and international financial markets. </w:t>
      </w:r>
      <w:r>
        <w:rPr>
          <w:spacing w:val="3"/>
          <w:sz w:val="24"/>
        </w:rPr>
        <w:t>Third, </w:t>
      </w:r>
      <w:r>
        <w:rPr>
          <w:sz w:val="24"/>
        </w:rPr>
        <w:t>consumer spending growth earlier in the year had partly been accounted for by an earlier-than-usual spike in car sales, </w:t>
      </w:r>
      <w:r>
        <w:rPr>
          <w:spacing w:val="2"/>
          <w:sz w:val="24"/>
        </w:rPr>
        <w:t>reflecting </w:t>
      </w:r>
      <w:r>
        <w:rPr>
          <w:sz w:val="24"/>
        </w:rPr>
        <w:t>changes in the timing </w:t>
      </w:r>
      <w:r>
        <w:rPr>
          <w:spacing w:val="3"/>
          <w:sz w:val="24"/>
        </w:rPr>
        <w:t>of </w:t>
      </w:r>
      <w:r>
        <w:rPr>
          <w:sz w:val="24"/>
        </w:rPr>
        <w:t>new </w:t>
      </w:r>
      <w:r>
        <w:rPr>
          <w:spacing w:val="2"/>
          <w:sz w:val="24"/>
        </w:rPr>
        <w:t>registrations. </w:t>
      </w:r>
      <w:r>
        <w:rPr>
          <w:sz w:val="24"/>
        </w:rPr>
        <w:t>That was expected </w:t>
      </w:r>
      <w:r>
        <w:rPr>
          <w:spacing w:val="2"/>
          <w:sz w:val="24"/>
        </w:rPr>
        <w:t>to </w:t>
      </w:r>
      <w:r>
        <w:rPr>
          <w:sz w:val="24"/>
        </w:rPr>
        <w:t>unwind in the second half </w:t>
      </w:r>
      <w:r>
        <w:rPr>
          <w:spacing w:val="2"/>
          <w:sz w:val="24"/>
        </w:rPr>
        <w:t>of </w:t>
      </w:r>
      <w:r>
        <w:rPr>
          <w:sz w:val="24"/>
        </w:rPr>
        <w:t>the year. Retail sales growth appeared, however, </w:t>
      </w:r>
      <w:r>
        <w:rPr>
          <w:spacing w:val="2"/>
          <w:sz w:val="24"/>
        </w:rPr>
        <w:t>to </w:t>
      </w:r>
      <w:r>
        <w:rPr>
          <w:sz w:val="24"/>
        </w:rPr>
        <w:t>have strengthened during the year according </w:t>
      </w:r>
      <w:r>
        <w:rPr>
          <w:spacing w:val="2"/>
          <w:sz w:val="24"/>
        </w:rPr>
        <w:t>to </w:t>
      </w:r>
      <w:r>
        <w:rPr>
          <w:sz w:val="24"/>
        </w:rPr>
        <w:t>data for Q3 and some surveys, so that </w:t>
      </w:r>
      <w:r>
        <w:rPr>
          <w:spacing w:val="4"/>
          <w:sz w:val="24"/>
        </w:rPr>
        <w:t>overall </w:t>
      </w:r>
      <w:r>
        <w:rPr>
          <w:sz w:val="24"/>
        </w:rPr>
        <w:t>consumption growth might not slow much. Moreover, strong </w:t>
      </w:r>
      <w:r>
        <w:rPr>
          <w:spacing w:val="3"/>
          <w:sz w:val="24"/>
        </w:rPr>
        <w:t>output </w:t>
      </w:r>
      <w:r>
        <w:rPr>
          <w:sz w:val="24"/>
        </w:rPr>
        <w:t>growth in Q3, evidence of strong tax receipts (including corporate taxes), and the relative strength </w:t>
      </w:r>
      <w:r>
        <w:rPr>
          <w:spacing w:val="2"/>
          <w:sz w:val="24"/>
        </w:rPr>
        <w:t>of </w:t>
      </w:r>
      <w:r>
        <w:rPr>
          <w:sz w:val="24"/>
        </w:rPr>
        <w:t>household money and credit growth and </w:t>
      </w:r>
      <w:r>
        <w:rPr>
          <w:spacing w:val="2"/>
          <w:sz w:val="24"/>
        </w:rPr>
        <w:t>of </w:t>
      </w:r>
      <w:r>
        <w:rPr>
          <w:sz w:val="24"/>
        </w:rPr>
        <w:t>the housing market suggested that strong final domestic demand growth might have continued beyond the first half </w:t>
      </w:r>
      <w:r>
        <w:rPr>
          <w:spacing w:val="3"/>
          <w:sz w:val="24"/>
        </w:rPr>
        <w:t>of </w:t>
      </w:r>
      <w:r>
        <w:rPr>
          <w:sz w:val="24"/>
        </w:rPr>
        <w:t>the</w:t>
      </w:r>
      <w:r>
        <w:rPr>
          <w:spacing w:val="25"/>
          <w:sz w:val="24"/>
        </w:rPr>
        <w:t> </w:t>
      </w:r>
      <w:r>
        <w:rPr>
          <w:sz w:val="24"/>
        </w:rPr>
        <w:t>year.</w:t>
      </w:r>
    </w:p>
    <w:p>
      <w:pPr>
        <w:pStyle w:val="BodyText"/>
        <w:spacing w:before="1"/>
        <w:rPr>
          <w:sz w:val="31"/>
        </w:rPr>
      </w:pPr>
    </w:p>
    <w:p>
      <w:pPr>
        <w:pStyle w:val="ListParagraph"/>
        <w:numPr>
          <w:ilvl w:val="0"/>
          <w:numId w:val="1"/>
        </w:numPr>
        <w:tabs>
          <w:tab w:pos="411" w:val="left" w:leader="none"/>
        </w:tabs>
        <w:spacing w:line="360" w:lineRule="auto" w:before="0" w:after="0"/>
        <w:ind w:left="104" w:right="159" w:firstLine="0"/>
        <w:jc w:val="left"/>
        <w:rPr>
          <w:sz w:val="24"/>
        </w:rPr>
      </w:pPr>
      <w:r>
        <w:rPr>
          <w:sz w:val="24"/>
        </w:rPr>
        <w:t>There were, though, some possible indications that consumption growth had steadied. Indicators </w:t>
      </w:r>
      <w:r>
        <w:rPr>
          <w:spacing w:val="3"/>
          <w:sz w:val="24"/>
        </w:rPr>
        <w:t>of </w:t>
      </w:r>
      <w:r>
        <w:rPr>
          <w:sz w:val="24"/>
        </w:rPr>
        <w:t>retail sales in Q4 appeared firm, but probably not more so than during Q3. Both the CBI Distributive Trades Survey and the C</w:t>
      </w:r>
      <w:r>
        <w:rPr>
          <w:sz w:val="22"/>
        </w:rPr>
        <w:t>IPS </w:t>
      </w:r>
      <w:r>
        <w:rPr>
          <w:sz w:val="24"/>
        </w:rPr>
        <w:t>Services Index pointed </w:t>
      </w:r>
      <w:r>
        <w:rPr>
          <w:spacing w:val="3"/>
          <w:sz w:val="24"/>
        </w:rPr>
        <w:t>to </w:t>
      </w:r>
      <w:r>
        <w:rPr>
          <w:sz w:val="24"/>
        </w:rPr>
        <w:t>a moderation </w:t>
      </w:r>
      <w:r>
        <w:rPr>
          <w:spacing w:val="2"/>
          <w:sz w:val="24"/>
        </w:rPr>
        <w:t>of </w:t>
      </w:r>
      <w:r>
        <w:rPr>
          <w:sz w:val="24"/>
        </w:rPr>
        <w:t>activity. Consumer confidence measures were positive but had been steady for about eight months, and in particular had not been driven upwards along with the rapid rise in house prices. And some indicators </w:t>
      </w:r>
      <w:r>
        <w:rPr>
          <w:spacing w:val="2"/>
          <w:sz w:val="24"/>
        </w:rPr>
        <w:t>of </w:t>
      </w:r>
      <w:r>
        <w:rPr>
          <w:sz w:val="24"/>
        </w:rPr>
        <w:t>housing market activity, such as particulars delivered, had ticked down slightly </w:t>
      </w:r>
      <w:r>
        <w:rPr>
          <w:spacing w:val="3"/>
          <w:sz w:val="24"/>
        </w:rPr>
        <w:t>over </w:t>
      </w:r>
      <w:r>
        <w:rPr>
          <w:sz w:val="24"/>
        </w:rPr>
        <w:t>the past two months. </w:t>
      </w:r>
      <w:r>
        <w:rPr>
          <w:spacing w:val="2"/>
          <w:sz w:val="24"/>
        </w:rPr>
        <w:t>The </w:t>
      </w:r>
      <w:r>
        <w:rPr>
          <w:sz w:val="24"/>
        </w:rPr>
        <w:t>Committee judged, however, that the recent strength in house prices would tend </w:t>
      </w:r>
      <w:r>
        <w:rPr>
          <w:spacing w:val="2"/>
          <w:sz w:val="24"/>
        </w:rPr>
        <w:t>to </w:t>
      </w:r>
      <w:r>
        <w:rPr>
          <w:sz w:val="24"/>
        </w:rPr>
        <w:t>support continuing buoyant consumption growth. House prices were generally expected </w:t>
      </w:r>
      <w:r>
        <w:rPr>
          <w:spacing w:val="3"/>
          <w:sz w:val="24"/>
        </w:rPr>
        <w:t>to </w:t>
      </w:r>
      <w:r>
        <w:rPr>
          <w:sz w:val="24"/>
        </w:rPr>
        <w:t>continue rising </w:t>
      </w:r>
      <w:r>
        <w:rPr>
          <w:spacing w:val="3"/>
          <w:sz w:val="24"/>
        </w:rPr>
        <w:t>over </w:t>
      </w:r>
      <w:r>
        <w:rPr>
          <w:sz w:val="24"/>
        </w:rPr>
        <w:t>the next year </w:t>
      </w:r>
      <w:r>
        <w:rPr>
          <w:spacing w:val="2"/>
          <w:sz w:val="24"/>
        </w:rPr>
        <w:t>or </w:t>
      </w:r>
      <w:r>
        <w:rPr>
          <w:sz w:val="24"/>
        </w:rPr>
        <w:t>so at an annual rate which was higher than mortgage interest rates. In the view </w:t>
      </w:r>
      <w:r>
        <w:rPr>
          <w:spacing w:val="2"/>
          <w:sz w:val="24"/>
        </w:rPr>
        <w:t>of </w:t>
      </w:r>
      <w:r>
        <w:rPr>
          <w:sz w:val="24"/>
        </w:rPr>
        <w:t>some members, the resulting negative </w:t>
      </w:r>
      <w:r>
        <w:rPr>
          <w:spacing w:val="4"/>
          <w:sz w:val="24"/>
        </w:rPr>
        <w:t>own-real </w:t>
      </w:r>
      <w:r>
        <w:rPr>
          <w:sz w:val="24"/>
        </w:rPr>
        <w:t>rate </w:t>
      </w:r>
      <w:r>
        <w:rPr>
          <w:spacing w:val="2"/>
          <w:sz w:val="24"/>
        </w:rPr>
        <w:t>of </w:t>
      </w:r>
      <w:r>
        <w:rPr>
          <w:sz w:val="24"/>
        </w:rPr>
        <w:t>interest should, </w:t>
      </w:r>
      <w:r>
        <w:rPr>
          <w:spacing w:val="4"/>
          <w:sz w:val="24"/>
        </w:rPr>
        <w:t>other </w:t>
      </w:r>
      <w:r>
        <w:rPr>
          <w:sz w:val="24"/>
        </w:rPr>
        <w:t>things being equal, make house purchase attractive. </w:t>
      </w:r>
      <w:r>
        <w:rPr>
          <w:spacing w:val="2"/>
          <w:sz w:val="24"/>
        </w:rPr>
        <w:t>This </w:t>
      </w:r>
      <w:r>
        <w:rPr>
          <w:sz w:val="24"/>
        </w:rPr>
        <w:t>could alternatively be thought </w:t>
      </w:r>
      <w:r>
        <w:rPr>
          <w:spacing w:val="2"/>
          <w:sz w:val="24"/>
        </w:rPr>
        <w:t>of </w:t>
      </w:r>
      <w:r>
        <w:rPr>
          <w:sz w:val="24"/>
        </w:rPr>
        <w:t>as expected real capital gains more than </w:t>
      </w:r>
      <w:r>
        <w:rPr>
          <w:spacing w:val="4"/>
          <w:sz w:val="24"/>
        </w:rPr>
        <w:t>offsetting</w:t>
      </w:r>
      <w:r>
        <w:rPr>
          <w:spacing w:val="-3"/>
          <w:sz w:val="24"/>
        </w:rPr>
        <w:t> </w:t>
      </w:r>
      <w:r>
        <w:rPr>
          <w:sz w:val="24"/>
        </w:rPr>
        <w:t>the</w:t>
      </w:r>
      <w:r>
        <w:rPr>
          <w:spacing w:val="-7"/>
          <w:sz w:val="24"/>
        </w:rPr>
        <w:t> </w:t>
      </w:r>
      <w:r>
        <w:rPr>
          <w:sz w:val="24"/>
        </w:rPr>
        <w:t>real</w:t>
      </w:r>
      <w:r>
        <w:rPr>
          <w:spacing w:val="-5"/>
          <w:sz w:val="24"/>
        </w:rPr>
        <w:t> </w:t>
      </w:r>
      <w:r>
        <w:rPr>
          <w:sz w:val="24"/>
        </w:rPr>
        <w:t>cost</w:t>
      </w:r>
      <w:r>
        <w:rPr>
          <w:spacing w:val="-3"/>
          <w:sz w:val="24"/>
        </w:rPr>
        <w:t> </w:t>
      </w:r>
      <w:r>
        <w:rPr>
          <w:spacing w:val="2"/>
          <w:sz w:val="24"/>
        </w:rPr>
        <w:t>of</w:t>
      </w:r>
      <w:r>
        <w:rPr>
          <w:spacing w:val="-3"/>
          <w:sz w:val="24"/>
        </w:rPr>
        <w:t> </w:t>
      </w:r>
      <w:r>
        <w:rPr>
          <w:sz w:val="24"/>
        </w:rPr>
        <w:t>borrowing</w:t>
      </w:r>
      <w:r>
        <w:rPr>
          <w:spacing w:val="-7"/>
          <w:sz w:val="24"/>
        </w:rPr>
        <w:t> </w:t>
      </w:r>
      <w:r>
        <w:rPr>
          <w:sz w:val="24"/>
        </w:rPr>
        <w:t>(measured</w:t>
      </w:r>
      <w:r>
        <w:rPr>
          <w:spacing w:val="-5"/>
          <w:sz w:val="24"/>
        </w:rPr>
        <w:t> </w:t>
      </w:r>
      <w:r>
        <w:rPr>
          <w:sz w:val="24"/>
        </w:rPr>
        <w:t>by</w:t>
      </w:r>
      <w:r>
        <w:rPr>
          <w:spacing w:val="-7"/>
          <w:sz w:val="24"/>
        </w:rPr>
        <w:t> </w:t>
      </w:r>
      <w:r>
        <w:rPr>
          <w:sz w:val="24"/>
        </w:rPr>
        <w:t>mortgage</w:t>
      </w:r>
      <w:r>
        <w:rPr>
          <w:spacing w:val="-7"/>
          <w:sz w:val="24"/>
        </w:rPr>
        <w:t> </w:t>
      </w:r>
      <w:r>
        <w:rPr>
          <w:sz w:val="24"/>
        </w:rPr>
        <w:t>interest</w:t>
      </w:r>
      <w:r>
        <w:rPr>
          <w:spacing w:val="-2"/>
          <w:sz w:val="24"/>
        </w:rPr>
        <w:t> </w:t>
      </w:r>
      <w:r>
        <w:rPr>
          <w:sz w:val="24"/>
        </w:rPr>
        <w:t>rates</w:t>
      </w:r>
      <w:r>
        <w:rPr>
          <w:spacing w:val="-6"/>
          <w:sz w:val="24"/>
        </w:rPr>
        <w:t> </w:t>
      </w:r>
      <w:r>
        <w:rPr>
          <w:sz w:val="24"/>
        </w:rPr>
        <w:t>less</w:t>
      </w:r>
      <w:r>
        <w:rPr>
          <w:spacing w:val="-6"/>
          <w:sz w:val="24"/>
        </w:rPr>
        <w:t> </w:t>
      </w:r>
      <w:r>
        <w:rPr>
          <w:sz w:val="24"/>
        </w:rPr>
        <w:t>expected</w:t>
      </w:r>
      <w:r>
        <w:rPr>
          <w:spacing w:val="-7"/>
          <w:sz w:val="24"/>
        </w:rPr>
        <w:t> </w:t>
      </w:r>
      <w:r>
        <w:rPr>
          <w:sz w:val="24"/>
        </w:rPr>
        <w:t>consumer</w:t>
      </w:r>
      <w:r>
        <w:rPr>
          <w:spacing w:val="-7"/>
          <w:sz w:val="24"/>
        </w:rPr>
        <w:t> </w:t>
      </w:r>
      <w:r>
        <w:rPr>
          <w:sz w:val="24"/>
        </w:rPr>
        <w:t>price </w:t>
      </w:r>
      <w:r>
        <w:rPr>
          <w:spacing w:val="2"/>
          <w:sz w:val="24"/>
        </w:rPr>
        <w:t>inflation).</w:t>
      </w:r>
    </w:p>
    <w:p>
      <w:pPr>
        <w:pStyle w:val="BodyText"/>
        <w:spacing w:before="8"/>
        <w:rPr>
          <w:sz w:val="31"/>
        </w:rPr>
      </w:pPr>
    </w:p>
    <w:p>
      <w:pPr>
        <w:pStyle w:val="ListParagraph"/>
        <w:numPr>
          <w:ilvl w:val="0"/>
          <w:numId w:val="1"/>
        </w:numPr>
        <w:tabs>
          <w:tab w:pos="411" w:val="left" w:leader="none"/>
        </w:tabs>
        <w:spacing w:line="360" w:lineRule="auto" w:before="0" w:after="0"/>
        <w:ind w:left="104" w:right="983" w:firstLine="0"/>
        <w:jc w:val="left"/>
        <w:rPr>
          <w:sz w:val="24"/>
        </w:rPr>
      </w:pPr>
      <w:r>
        <w:rPr>
          <w:sz w:val="24"/>
        </w:rPr>
        <w:t>Other parts </w:t>
      </w:r>
      <w:r>
        <w:rPr>
          <w:spacing w:val="2"/>
          <w:sz w:val="24"/>
        </w:rPr>
        <w:t>of </w:t>
      </w:r>
      <w:r>
        <w:rPr>
          <w:sz w:val="24"/>
        </w:rPr>
        <w:t>the economy were, however, facing quite different </w:t>
      </w:r>
      <w:r>
        <w:rPr>
          <w:spacing w:val="4"/>
          <w:sz w:val="24"/>
        </w:rPr>
        <w:t>own-real </w:t>
      </w:r>
      <w:r>
        <w:rPr>
          <w:sz w:val="24"/>
        </w:rPr>
        <w:t>interest rates. In particular, the nominal cost </w:t>
      </w:r>
      <w:r>
        <w:rPr>
          <w:spacing w:val="3"/>
          <w:sz w:val="24"/>
        </w:rPr>
        <w:t>of </w:t>
      </w:r>
      <w:r>
        <w:rPr>
          <w:sz w:val="24"/>
        </w:rPr>
        <w:t>borrowing for companies was still considerably higher than manufacturing </w:t>
      </w:r>
      <w:r>
        <w:rPr>
          <w:spacing w:val="5"/>
          <w:sz w:val="24"/>
        </w:rPr>
        <w:t>output </w:t>
      </w:r>
      <w:r>
        <w:rPr>
          <w:sz w:val="24"/>
        </w:rPr>
        <w:t>price inflation, which might hold back investment</w:t>
      </w:r>
      <w:r>
        <w:rPr>
          <w:spacing w:val="15"/>
          <w:sz w:val="24"/>
        </w:rPr>
        <w:t> </w:t>
      </w:r>
      <w:r>
        <w:rPr>
          <w:sz w:val="24"/>
        </w:rPr>
        <w:t>spending.</w:t>
      </w:r>
    </w:p>
    <w:p>
      <w:pPr>
        <w:spacing w:after="0" w:line="360" w:lineRule="auto"/>
        <w:jc w:val="left"/>
        <w:rPr>
          <w:sz w:val="24"/>
        </w:rPr>
        <w:sectPr>
          <w:headerReference w:type="default" r:id="rId7"/>
          <w:pgSz w:w="11900" w:h="16840"/>
          <w:pgMar w:header="1228" w:footer="0" w:top="1600" w:bottom="280" w:left="860" w:right="840"/>
          <w:pgNumType w:start="2"/>
        </w:sectPr>
      </w:pPr>
    </w:p>
    <w:p>
      <w:pPr>
        <w:pStyle w:val="BodyText"/>
        <w:spacing w:before="1"/>
        <w:rPr>
          <w:sz w:val="21"/>
        </w:rPr>
      </w:pPr>
    </w:p>
    <w:p>
      <w:pPr>
        <w:pStyle w:val="ListParagraph"/>
        <w:numPr>
          <w:ilvl w:val="0"/>
          <w:numId w:val="1"/>
        </w:numPr>
        <w:tabs>
          <w:tab w:pos="413" w:val="left" w:leader="none"/>
        </w:tabs>
        <w:spacing w:line="360" w:lineRule="auto" w:before="90" w:after="0"/>
        <w:ind w:left="104" w:right="278" w:firstLine="0"/>
        <w:jc w:val="left"/>
        <w:rPr>
          <w:sz w:val="24"/>
        </w:rPr>
      </w:pPr>
      <w:r>
        <w:rPr>
          <w:sz w:val="24"/>
        </w:rPr>
        <w:t>More generally, since August the sterling yield curve had steepened, with rates in the two-to-five year range up by at least 50 basis points and the gap between fixed and variable mortgage rates</w:t>
      </w:r>
      <w:r>
        <w:rPr>
          <w:spacing w:val="-38"/>
          <w:sz w:val="24"/>
        </w:rPr>
        <w:t> </w:t>
      </w:r>
      <w:r>
        <w:rPr>
          <w:sz w:val="24"/>
        </w:rPr>
        <w:t>having closed. This had increased the cost </w:t>
      </w:r>
      <w:r>
        <w:rPr>
          <w:spacing w:val="2"/>
          <w:sz w:val="24"/>
        </w:rPr>
        <w:t>of </w:t>
      </w:r>
      <w:r>
        <w:rPr>
          <w:sz w:val="24"/>
        </w:rPr>
        <w:t>borrowing for both companies and fixed rate mortgage borrowers. </w:t>
      </w:r>
      <w:r>
        <w:rPr>
          <w:spacing w:val="2"/>
          <w:sz w:val="24"/>
        </w:rPr>
        <w:t>This </w:t>
      </w:r>
      <w:r>
        <w:rPr>
          <w:sz w:val="24"/>
        </w:rPr>
        <w:t>would help </w:t>
      </w:r>
      <w:r>
        <w:rPr>
          <w:spacing w:val="3"/>
          <w:sz w:val="24"/>
        </w:rPr>
        <w:t>to </w:t>
      </w:r>
      <w:r>
        <w:rPr>
          <w:sz w:val="24"/>
        </w:rPr>
        <w:t>restrain demand in the medium term, and </w:t>
      </w:r>
      <w:r>
        <w:rPr>
          <w:spacing w:val="2"/>
          <w:sz w:val="24"/>
        </w:rPr>
        <w:t>on </w:t>
      </w:r>
      <w:r>
        <w:rPr>
          <w:spacing w:val="3"/>
          <w:sz w:val="24"/>
        </w:rPr>
        <w:t>one </w:t>
      </w:r>
      <w:r>
        <w:rPr>
          <w:sz w:val="24"/>
        </w:rPr>
        <w:t>view was not fully reflected in the forecast. Others felt that the effects were likely </w:t>
      </w:r>
      <w:r>
        <w:rPr>
          <w:spacing w:val="3"/>
          <w:sz w:val="24"/>
        </w:rPr>
        <w:t>to </w:t>
      </w:r>
      <w:r>
        <w:rPr>
          <w:sz w:val="24"/>
        </w:rPr>
        <w:t>be small. (The Committee’s discussion </w:t>
      </w:r>
      <w:r>
        <w:rPr>
          <w:spacing w:val="2"/>
          <w:sz w:val="24"/>
        </w:rPr>
        <w:t>of </w:t>
      </w:r>
      <w:r>
        <w:rPr>
          <w:sz w:val="24"/>
        </w:rPr>
        <w:t>whether the shift in market interest rate expectations had more general implications for policy setting is summarised below under ‘Tactical</w:t>
      </w:r>
      <w:r>
        <w:rPr>
          <w:spacing w:val="20"/>
          <w:sz w:val="24"/>
        </w:rPr>
        <w:t> </w:t>
      </w:r>
      <w:r>
        <w:rPr>
          <w:sz w:val="24"/>
        </w:rPr>
        <w:t>considerations’.)</w:t>
      </w:r>
    </w:p>
    <w:p>
      <w:pPr>
        <w:pStyle w:val="BodyText"/>
        <w:spacing w:before="5"/>
        <w:rPr>
          <w:sz w:val="31"/>
        </w:rPr>
      </w:pPr>
    </w:p>
    <w:p>
      <w:pPr>
        <w:pStyle w:val="ListParagraph"/>
        <w:numPr>
          <w:ilvl w:val="0"/>
          <w:numId w:val="1"/>
        </w:numPr>
        <w:tabs>
          <w:tab w:pos="411" w:val="left" w:leader="none"/>
        </w:tabs>
        <w:spacing w:line="360" w:lineRule="auto" w:before="0" w:after="0"/>
        <w:ind w:left="104" w:right="451" w:firstLine="0"/>
        <w:jc w:val="left"/>
        <w:rPr>
          <w:sz w:val="24"/>
        </w:rPr>
      </w:pPr>
      <w:r>
        <w:rPr>
          <w:sz w:val="24"/>
        </w:rPr>
        <w:t>The Committee agreed that final domestic demand could not continue </w:t>
      </w:r>
      <w:r>
        <w:rPr>
          <w:spacing w:val="2"/>
          <w:sz w:val="24"/>
        </w:rPr>
        <w:t>to </w:t>
      </w:r>
      <w:r>
        <w:rPr>
          <w:sz w:val="24"/>
        </w:rPr>
        <w:t>grow at the current rate without jeopardizing achievement </w:t>
      </w:r>
      <w:r>
        <w:rPr>
          <w:spacing w:val="3"/>
          <w:sz w:val="24"/>
        </w:rPr>
        <w:t>of </w:t>
      </w:r>
      <w:r>
        <w:rPr>
          <w:sz w:val="24"/>
        </w:rPr>
        <w:t>the inflation target in the medium term. </w:t>
      </w:r>
      <w:r>
        <w:rPr>
          <w:spacing w:val="2"/>
          <w:sz w:val="24"/>
        </w:rPr>
        <w:t>Even </w:t>
      </w:r>
      <w:r>
        <w:rPr>
          <w:sz w:val="24"/>
        </w:rPr>
        <w:t>without further monetary tightening some </w:t>
      </w:r>
      <w:r>
        <w:rPr>
          <w:spacing w:val="2"/>
          <w:sz w:val="24"/>
        </w:rPr>
        <w:t>of </w:t>
      </w:r>
      <w:r>
        <w:rPr>
          <w:sz w:val="24"/>
        </w:rPr>
        <w:t>the factors mentioned above were likely </w:t>
      </w:r>
      <w:r>
        <w:rPr>
          <w:spacing w:val="3"/>
          <w:sz w:val="24"/>
        </w:rPr>
        <w:t>to </w:t>
      </w:r>
      <w:r>
        <w:rPr>
          <w:sz w:val="24"/>
        </w:rPr>
        <w:t>restrain domestic demand growth. The Committee’s latest projection incorporated a slowdown </w:t>
      </w:r>
      <w:r>
        <w:rPr>
          <w:spacing w:val="2"/>
          <w:sz w:val="24"/>
        </w:rPr>
        <w:t>to </w:t>
      </w:r>
      <w:r>
        <w:rPr>
          <w:sz w:val="24"/>
        </w:rPr>
        <w:t>around 3% by the end of the two-year</w:t>
      </w:r>
      <w:r>
        <w:rPr>
          <w:spacing w:val="-10"/>
          <w:sz w:val="24"/>
        </w:rPr>
        <w:t> </w:t>
      </w:r>
      <w:r>
        <w:rPr>
          <w:sz w:val="24"/>
        </w:rPr>
        <w:t>forecast</w:t>
      </w:r>
      <w:r>
        <w:rPr>
          <w:spacing w:val="-5"/>
          <w:sz w:val="24"/>
        </w:rPr>
        <w:t> </w:t>
      </w:r>
      <w:r>
        <w:rPr>
          <w:sz w:val="24"/>
        </w:rPr>
        <w:t>horizon,</w:t>
      </w:r>
      <w:r>
        <w:rPr>
          <w:spacing w:val="-9"/>
          <w:sz w:val="24"/>
        </w:rPr>
        <w:t> </w:t>
      </w:r>
      <w:r>
        <w:rPr>
          <w:sz w:val="24"/>
        </w:rPr>
        <w:t>but</w:t>
      </w:r>
      <w:r>
        <w:rPr>
          <w:spacing w:val="-5"/>
          <w:sz w:val="24"/>
        </w:rPr>
        <w:t> </w:t>
      </w:r>
      <w:r>
        <w:rPr>
          <w:sz w:val="24"/>
        </w:rPr>
        <w:t>that</w:t>
      </w:r>
      <w:r>
        <w:rPr>
          <w:spacing w:val="-5"/>
          <w:sz w:val="24"/>
        </w:rPr>
        <w:t> </w:t>
      </w:r>
      <w:r>
        <w:rPr>
          <w:sz w:val="24"/>
        </w:rPr>
        <w:t>would</w:t>
      </w:r>
      <w:r>
        <w:rPr>
          <w:spacing w:val="-10"/>
          <w:sz w:val="24"/>
        </w:rPr>
        <w:t> </w:t>
      </w:r>
      <w:r>
        <w:rPr>
          <w:sz w:val="24"/>
        </w:rPr>
        <w:t>probably</w:t>
      </w:r>
      <w:r>
        <w:rPr>
          <w:spacing w:val="-9"/>
          <w:sz w:val="24"/>
        </w:rPr>
        <w:t> </w:t>
      </w:r>
      <w:r>
        <w:rPr>
          <w:sz w:val="24"/>
        </w:rPr>
        <w:t>still</w:t>
      </w:r>
      <w:r>
        <w:rPr>
          <w:spacing w:val="-10"/>
          <w:sz w:val="24"/>
        </w:rPr>
        <w:t> </w:t>
      </w:r>
      <w:r>
        <w:rPr>
          <w:sz w:val="24"/>
        </w:rPr>
        <w:t>place</w:t>
      </w:r>
      <w:r>
        <w:rPr>
          <w:spacing w:val="-9"/>
          <w:sz w:val="24"/>
        </w:rPr>
        <w:t> </w:t>
      </w:r>
      <w:r>
        <w:rPr>
          <w:sz w:val="24"/>
        </w:rPr>
        <w:t>pressures</w:t>
      </w:r>
      <w:r>
        <w:rPr>
          <w:spacing w:val="-10"/>
          <w:sz w:val="24"/>
        </w:rPr>
        <w:t> </w:t>
      </w:r>
      <w:r>
        <w:rPr>
          <w:spacing w:val="2"/>
          <w:sz w:val="24"/>
        </w:rPr>
        <w:t>on</w:t>
      </w:r>
      <w:r>
        <w:rPr>
          <w:spacing w:val="-5"/>
          <w:sz w:val="24"/>
        </w:rPr>
        <w:t> </w:t>
      </w:r>
      <w:r>
        <w:rPr>
          <w:sz w:val="24"/>
        </w:rPr>
        <w:t>supply</w:t>
      </w:r>
      <w:r>
        <w:rPr>
          <w:spacing w:val="-10"/>
          <w:sz w:val="24"/>
        </w:rPr>
        <w:t> </w:t>
      </w:r>
      <w:r>
        <w:rPr>
          <w:sz w:val="24"/>
        </w:rPr>
        <w:t>capacity</w:t>
      </w:r>
      <w:r>
        <w:rPr>
          <w:spacing w:val="-10"/>
          <w:sz w:val="24"/>
        </w:rPr>
        <w:t> </w:t>
      </w:r>
      <w:r>
        <w:rPr>
          <w:sz w:val="24"/>
        </w:rPr>
        <w:t>unless</w:t>
      </w:r>
      <w:r>
        <w:rPr>
          <w:spacing w:val="-9"/>
          <w:sz w:val="24"/>
        </w:rPr>
        <w:t> </w:t>
      </w:r>
      <w:r>
        <w:rPr>
          <w:sz w:val="24"/>
        </w:rPr>
        <w:t>the contribution </w:t>
      </w:r>
      <w:r>
        <w:rPr>
          <w:spacing w:val="2"/>
          <w:sz w:val="24"/>
        </w:rPr>
        <w:t>to </w:t>
      </w:r>
      <w:r>
        <w:rPr>
          <w:sz w:val="24"/>
        </w:rPr>
        <w:t>GDP growth from stockbuilding and net trade was</w:t>
      </w:r>
      <w:r>
        <w:rPr>
          <w:spacing w:val="14"/>
          <w:sz w:val="24"/>
        </w:rPr>
        <w:t> </w:t>
      </w:r>
      <w:r>
        <w:rPr>
          <w:sz w:val="24"/>
        </w:rPr>
        <w:t>negative.</w:t>
      </w:r>
    </w:p>
    <w:p>
      <w:pPr>
        <w:pStyle w:val="BodyText"/>
        <w:spacing w:before="1"/>
        <w:rPr>
          <w:sz w:val="31"/>
        </w:rPr>
      </w:pPr>
    </w:p>
    <w:p>
      <w:pPr>
        <w:pStyle w:val="ListParagraph"/>
        <w:numPr>
          <w:ilvl w:val="0"/>
          <w:numId w:val="1"/>
        </w:numPr>
        <w:tabs>
          <w:tab w:pos="413" w:val="left" w:leader="none"/>
        </w:tabs>
        <w:spacing w:line="360" w:lineRule="auto" w:before="0" w:after="0"/>
        <w:ind w:left="104" w:right="650" w:firstLine="0"/>
        <w:jc w:val="left"/>
        <w:rPr>
          <w:sz w:val="24"/>
        </w:rPr>
      </w:pPr>
      <w:r>
        <w:rPr>
          <w:sz w:val="24"/>
        </w:rPr>
        <w:t>Stocks</w:t>
      </w:r>
      <w:r>
        <w:rPr>
          <w:spacing w:val="-5"/>
          <w:sz w:val="24"/>
        </w:rPr>
        <w:t> </w:t>
      </w:r>
      <w:r>
        <w:rPr>
          <w:sz w:val="24"/>
        </w:rPr>
        <w:t>had</w:t>
      </w:r>
      <w:r>
        <w:rPr>
          <w:spacing w:val="-6"/>
          <w:sz w:val="24"/>
        </w:rPr>
        <w:t> </w:t>
      </w:r>
      <w:r>
        <w:rPr>
          <w:sz w:val="24"/>
        </w:rPr>
        <w:t>been</w:t>
      </w:r>
      <w:r>
        <w:rPr>
          <w:spacing w:val="-6"/>
          <w:sz w:val="24"/>
        </w:rPr>
        <w:t> </w:t>
      </w:r>
      <w:r>
        <w:rPr>
          <w:sz w:val="24"/>
        </w:rPr>
        <w:t>reduced</w:t>
      </w:r>
      <w:r>
        <w:rPr>
          <w:spacing w:val="-4"/>
          <w:sz w:val="24"/>
        </w:rPr>
        <w:t> </w:t>
      </w:r>
      <w:r>
        <w:rPr>
          <w:sz w:val="24"/>
        </w:rPr>
        <w:t>in</w:t>
      </w:r>
      <w:r>
        <w:rPr>
          <w:spacing w:val="-5"/>
          <w:sz w:val="24"/>
        </w:rPr>
        <w:t> </w:t>
      </w:r>
      <w:r>
        <w:rPr>
          <w:sz w:val="24"/>
        </w:rPr>
        <w:t>the</w:t>
      </w:r>
      <w:r>
        <w:rPr>
          <w:spacing w:val="-5"/>
          <w:sz w:val="24"/>
        </w:rPr>
        <w:t> </w:t>
      </w:r>
      <w:r>
        <w:rPr>
          <w:sz w:val="24"/>
        </w:rPr>
        <w:t>first</w:t>
      </w:r>
      <w:r>
        <w:rPr>
          <w:spacing w:val="-1"/>
          <w:sz w:val="24"/>
        </w:rPr>
        <w:t> </w:t>
      </w:r>
      <w:r>
        <w:rPr>
          <w:sz w:val="24"/>
        </w:rPr>
        <w:t>part </w:t>
      </w:r>
      <w:r>
        <w:rPr>
          <w:spacing w:val="2"/>
          <w:sz w:val="24"/>
        </w:rPr>
        <w:t>of</w:t>
      </w:r>
      <w:r>
        <w:rPr>
          <w:spacing w:val="-2"/>
          <w:sz w:val="24"/>
        </w:rPr>
        <w:t> </w:t>
      </w:r>
      <w:r>
        <w:rPr>
          <w:sz w:val="24"/>
        </w:rPr>
        <w:t>the</w:t>
      </w:r>
      <w:r>
        <w:rPr>
          <w:spacing w:val="-6"/>
          <w:sz w:val="24"/>
        </w:rPr>
        <w:t> </w:t>
      </w:r>
      <w:r>
        <w:rPr>
          <w:sz w:val="24"/>
        </w:rPr>
        <w:t>year,</w:t>
      </w:r>
      <w:r>
        <w:rPr>
          <w:spacing w:val="-5"/>
          <w:sz w:val="24"/>
        </w:rPr>
        <w:t> </w:t>
      </w:r>
      <w:r>
        <w:rPr>
          <w:sz w:val="24"/>
        </w:rPr>
        <w:t>consistent</w:t>
      </w:r>
      <w:r>
        <w:rPr>
          <w:spacing w:val="-1"/>
          <w:sz w:val="24"/>
        </w:rPr>
        <w:t> </w:t>
      </w:r>
      <w:r>
        <w:rPr>
          <w:sz w:val="24"/>
        </w:rPr>
        <w:t>with</w:t>
      </w:r>
      <w:r>
        <w:rPr>
          <w:spacing w:val="-6"/>
          <w:sz w:val="24"/>
        </w:rPr>
        <w:t> </w:t>
      </w:r>
      <w:r>
        <w:rPr>
          <w:sz w:val="24"/>
        </w:rPr>
        <w:t>reports</w:t>
      </w:r>
      <w:r>
        <w:rPr>
          <w:spacing w:val="-4"/>
          <w:sz w:val="24"/>
        </w:rPr>
        <w:t> </w:t>
      </w:r>
      <w:r>
        <w:rPr>
          <w:spacing w:val="2"/>
          <w:sz w:val="24"/>
        </w:rPr>
        <w:t>of</w:t>
      </w:r>
      <w:r>
        <w:rPr>
          <w:spacing w:val="-1"/>
          <w:sz w:val="24"/>
        </w:rPr>
        <w:t> </w:t>
      </w:r>
      <w:r>
        <w:rPr>
          <w:sz w:val="24"/>
        </w:rPr>
        <w:t>excess</w:t>
      </w:r>
      <w:r>
        <w:rPr>
          <w:spacing w:val="-6"/>
          <w:sz w:val="24"/>
        </w:rPr>
        <w:t> </w:t>
      </w:r>
      <w:r>
        <w:rPr>
          <w:sz w:val="24"/>
        </w:rPr>
        <w:t>inventory holdings at the end of 1998. More recent reports suggested that there was little reason </w:t>
      </w:r>
      <w:r>
        <w:rPr>
          <w:spacing w:val="2"/>
          <w:sz w:val="24"/>
        </w:rPr>
        <w:t>to </w:t>
      </w:r>
      <w:r>
        <w:rPr>
          <w:sz w:val="24"/>
        </w:rPr>
        <w:t>expect a continuing negative contribution </w:t>
      </w:r>
      <w:r>
        <w:rPr>
          <w:spacing w:val="2"/>
          <w:sz w:val="24"/>
        </w:rPr>
        <w:t>to </w:t>
      </w:r>
      <w:r>
        <w:rPr>
          <w:sz w:val="24"/>
        </w:rPr>
        <w:t>GDP growth from this source in the short</w:t>
      </w:r>
      <w:r>
        <w:rPr>
          <w:spacing w:val="-5"/>
          <w:sz w:val="24"/>
        </w:rPr>
        <w:t> </w:t>
      </w:r>
      <w:r>
        <w:rPr>
          <w:sz w:val="24"/>
        </w:rPr>
        <w:t>run.</w:t>
      </w:r>
    </w:p>
    <w:p>
      <w:pPr>
        <w:pStyle w:val="BodyText"/>
        <w:spacing w:before="5"/>
        <w:rPr>
          <w:sz w:val="31"/>
        </w:rPr>
      </w:pPr>
    </w:p>
    <w:p>
      <w:pPr>
        <w:pStyle w:val="ListParagraph"/>
        <w:numPr>
          <w:ilvl w:val="0"/>
          <w:numId w:val="1"/>
        </w:numPr>
        <w:tabs>
          <w:tab w:pos="536" w:val="left" w:leader="none"/>
        </w:tabs>
        <w:spacing w:line="360" w:lineRule="auto" w:before="0" w:after="0"/>
        <w:ind w:left="104" w:right="200" w:firstLine="0"/>
        <w:jc w:val="left"/>
        <w:rPr>
          <w:sz w:val="24"/>
        </w:rPr>
      </w:pPr>
      <w:r>
        <w:rPr>
          <w:sz w:val="24"/>
        </w:rPr>
        <w:t>The principal influences </w:t>
      </w:r>
      <w:r>
        <w:rPr>
          <w:spacing w:val="3"/>
          <w:sz w:val="24"/>
        </w:rPr>
        <w:t>on </w:t>
      </w:r>
      <w:r>
        <w:rPr>
          <w:sz w:val="24"/>
        </w:rPr>
        <w:t>net trade pointed in different directions. On the </w:t>
      </w:r>
      <w:r>
        <w:rPr>
          <w:spacing w:val="4"/>
          <w:sz w:val="24"/>
        </w:rPr>
        <w:t>one </w:t>
      </w:r>
      <w:r>
        <w:rPr>
          <w:sz w:val="24"/>
        </w:rPr>
        <w:t>hand, sterling continued </w:t>
      </w:r>
      <w:r>
        <w:rPr>
          <w:spacing w:val="2"/>
          <w:sz w:val="24"/>
        </w:rPr>
        <w:t>to </w:t>
      </w:r>
      <w:r>
        <w:rPr>
          <w:sz w:val="24"/>
        </w:rPr>
        <w:t>be strong, and was higher than in August. On the </w:t>
      </w:r>
      <w:r>
        <w:rPr>
          <w:spacing w:val="4"/>
          <w:sz w:val="24"/>
        </w:rPr>
        <w:t>other </w:t>
      </w:r>
      <w:r>
        <w:rPr>
          <w:sz w:val="24"/>
        </w:rPr>
        <w:t>hand, the world economy was recovering more quickly than expected. Exports </w:t>
      </w:r>
      <w:r>
        <w:rPr>
          <w:spacing w:val="2"/>
          <w:sz w:val="24"/>
        </w:rPr>
        <w:t>of </w:t>
      </w:r>
      <w:r>
        <w:rPr>
          <w:sz w:val="24"/>
        </w:rPr>
        <w:t>goods (excluding </w:t>
      </w:r>
      <w:r>
        <w:rPr>
          <w:spacing w:val="3"/>
          <w:sz w:val="24"/>
        </w:rPr>
        <w:t>oil </w:t>
      </w:r>
      <w:r>
        <w:rPr>
          <w:sz w:val="24"/>
        </w:rPr>
        <w:t>and erratics) </w:t>
      </w:r>
      <w:r>
        <w:rPr>
          <w:spacing w:val="3"/>
          <w:sz w:val="24"/>
        </w:rPr>
        <w:t>to </w:t>
      </w:r>
      <w:r>
        <w:rPr>
          <w:sz w:val="24"/>
        </w:rPr>
        <w:t>countries </w:t>
      </w:r>
      <w:r>
        <w:rPr>
          <w:spacing w:val="3"/>
          <w:sz w:val="24"/>
        </w:rPr>
        <w:t>outside </w:t>
      </w:r>
      <w:r>
        <w:rPr>
          <w:sz w:val="24"/>
        </w:rPr>
        <w:t>the EU had grown at an annual rate of 11% between Q2 and </w:t>
      </w:r>
      <w:r>
        <w:rPr>
          <w:spacing w:val="-6"/>
          <w:sz w:val="24"/>
        </w:rPr>
        <w:t>Q3; </w:t>
      </w:r>
      <w:r>
        <w:rPr>
          <w:sz w:val="24"/>
        </w:rPr>
        <w:t>and total goods exports grew by 6% in the three months </w:t>
      </w:r>
      <w:r>
        <w:rPr>
          <w:spacing w:val="2"/>
          <w:sz w:val="24"/>
        </w:rPr>
        <w:t>to </w:t>
      </w:r>
      <w:r>
        <w:rPr>
          <w:sz w:val="24"/>
        </w:rPr>
        <w:t>August compared with the previous three months. Surveys suggested that manufacturers’</w:t>
      </w:r>
      <w:r>
        <w:rPr>
          <w:spacing w:val="-47"/>
          <w:sz w:val="24"/>
        </w:rPr>
        <w:t> </w:t>
      </w:r>
      <w:r>
        <w:rPr>
          <w:sz w:val="24"/>
        </w:rPr>
        <w:t>expectations </w:t>
      </w:r>
      <w:r>
        <w:rPr>
          <w:spacing w:val="2"/>
          <w:sz w:val="24"/>
        </w:rPr>
        <w:t>of </w:t>
      </w:r>
      <w:r>
        <w:rPr>
          <w:sz w:val="24"/>
        </w:rPr>
        <w:t>export volume growth were higher than for around three years.</w:t>
      </w:r>
    </w:p>
    <w:p>
      <w:pPr>
        <w:pStyle w:val="BodyText"/>
        <w:spacing w:before="6"/>
        <w:rPr>
          <w:sz w:val="31"/>
        </w:rPr>
      </w:pPr>
    </w:p>
    <w:p>
      <w:pPr>
        <w:pStyle w:val="ListParagraph"/>
        <w:numPr>
          <w:ilvl w:val="0"/>
          <w:numId w:val="1"/>
        </w:numPr>
        <w:tabs>
          <w:tab w:pos="533" w:val="left" w:leader="none"/>
        </w:tabs>
        <w:spacing w:line="360" w:lineRule="auto" w:before="0" w:after="0"/>
        <w:ind w:left="104" w:right="145" w:firstLine="0"/>
        <w:jc w:val="left"/>
        <w:rPr>
          <w:sz w:val="24"/>
        </w:rPr>
      </w:pPr>
      <w:r>
        <w:rPr>
          <w:sz w:val="24"/>
        </w:rPr>
        <w:t>While it was possible that the strength </w:t>
      </w:r>
      <w:r>
        <w:rPr>
          <w:spacing w:val="2"/>
          <w:sz w:val="24"/>
        </w:rPr>
        <w:t>of </w:t>
      </w:r>
      <w:r>
        <w:rPr>
          <w:sz w:val="24"/>
        </w:rPr>
        <w:t>the recent exports data partly reflected temporary factors, it was also possible that exporters had </w:t>
      </w:r>
      <w:r>
        <w:rPr>
          <w:spacing w:val="2"/>
          <w:sz w:val="24"/>
        </w:rPr>
        <w:t>to </w:t>
      </w:r>
      <w:r>
        <w:rPr>
          <w:sz w:val="24"/>
        </w:rPr>
        <w:t>some extent adjusted </w:t>
      </w:r>
      <w:r>
        <w:rPr>
          <w:spacing w:val="2"/>
          <w:sz w:val="24"/>
        </w:rPr>
        <w:t>to </w:t>
      </w:r>
      <w:r>
        <w:rPr>
          <w:sz w:val="24"/>
        </w:rPr>
        <w:t>a level </w:t>
      </w:r>
      <w:r>
        <w:rPr>
          <w:spacing w:val="2"/>
          <w:sz w:val="24"/>
        </w:rPr>
        <w:t>of </w:t>
      </w:r>
      <w:r>
        <w:rPr>
          <w:sz w:val="24"/>
        </w:rPr>
        <w:t>sterling that they now expected </w:t>
      </w:r>
      <w:r>
        <w:rPr>
          <w:spacing w:val="3"/>
          <w:sz w:val="24"/>
        </w:rPr>
        <w:t>to </w:t>
      </w:r>
      <w:r>
        <w:rPr>
          <w:sz w:val="24"/>
        </w:rPr>
        <w:t>persist. If so, the equilibrium real exchange rate might have risen, but it was </w:t>
      </w:r>
      <w:r>
        <w:rPr>
          <w:spacing w:val="4"/>
          <w:sz w:val="24"/>
        </w:rPr>
        <w:t>too </w:t>
      </w:r>
      <w:r>
        <w:rPr>
          <w:sz w:val="24"/>
        </w:rPr>
        <w:t>early </w:t>
      </w:r>
      <w:r>
        <w:rPr>
          <w:spacing w:val="3"/>
          <w:sz w:val="24"/>
        </w:rPr>
        <w:t>to </w:t>
      </w:r>
      <w:r>
        <w:rPr>
          <w:sz w:val="24"/>
        </w:rPr>
        <w:t>be at all confident about that</w:t>
      </w:r>
      <w:r>
        <w:rPr>
          <w:spacing w:val="30"/>
          <w:sz w:val="24"/>
        </w:rPr>
        <w:t> </w:t>
      </w:r>
      <w:r>
        <w:rPr>
          <w:sz w:val="24"/>
        </w:rPr>
        <w:t>possibility.</w:t>
      </w:r>
    </w:p>
    <w:p>
      <w:pPr>
        <w:pStyle w:val="BodyText"/>
        <w:spacing w:before="4"/>
        <w:rPr>
          <w:sz w:val="31"/>
        </w:rPr>
      </w:pPr>
    </w:p>
    <w:p>
      <w:pPr>
        <w:pStyle w:val="ListParagraph"/>
        <w:numPr>
          <w:ilvl w:val="0"/>
          <w:numId w:val="1"/>
        </w:numPr>
        <w:tabs>
          <w:tab w:pos="530" w:val="left" w:leader="none"/>
        </w:tabs>
        <w:spacing w:line="360" w:lineRule="auto" w:before="0" w:after="0"/>
        <w:ind w:left="104" w:right="204" w:firstLine="0"/>
        <w:jc w:val="left"/>
        <w:rPr>
          <w:sz w:val="24"/>
        </w:rPr>
      </w:pPr>
      <w:r>
        <w:rPr>
          <w:sz w:val="24"/>
        </w:rPr>
        <w:t>To the extent that export strength were to persist, a negative contribution to GDP growth from net trade</w:t>
      </w:r>
      <w:r>
        <w:rPr>
          <w:spacing w:val="-6"/>
          <w:sz w:val="24"/>
        </w:rPr>
        <w:t> </w:t>
      </w:r>
      <w:r>
        <w:rPr>
          <w:sz w:val="24"/>
        </w:rPr>
        <w:t>would</w:t>
      </w:r>
      <w:r>
        <w:rPr>
          <w:spacing w:val="-5"/>
          <w:sz w:val="24"/>
        </w:rPr>
        <w:t> </w:t>
      </w:r>
      <w:r>
        <w:rPr>
          <w:sz w:val="24"/>
        </w:rPr>
        <w:t>have</w:t>
      </w:r>
      <w:r>
        <w:rPr>
          <w:spacing w:val="-6"/>
          <w:sz w:val="24"/>
        </w:rPr>
        <w:t> </w:t>
      </w:r>
      <w:r>
        <w:rPr>
          <w:spacing w:val="3"/>
          <w:sz w:val="24"/>
        </w:rPr>
        <w:t>to</w:t>
      </w:r>
      <w:r>
        <w:rPr>
          <w:spacing w:val="-1"/>
          <w:sz w:val="24"/>
        </w:rPr>
        <w:t> </w:t>
      </w:r>
      <w:r>
        <w:rPr>
          <w:sz w:val="24"/>
        </w:rPr>
        <w:t>come</w:t>
      </w:r>
      <w:r>
        <w:rPr>
          <w:spacing w:val="-5"/>
          <w:sz w:val="24"/>
        </w:rPr>
        <w:t> </w:t>
      </w:r>
      <w:r>
        <w:rPr>
          <w:sz w:val="24"/>
        </w:rPr>
        <w:t>from</w:t>
      </w:r>
      <w:r>
        <w:rPr>
          <w:spacing w:val="-6"/>
          <w:sz w:val="24"/>
        </w:rPr>
        <w:t> </w:t>
      </w:r>
      <w:r>
        <w:rPr>
          <w:sz w:val="24"/>
        </w:rPr>
        <w:t>a</w:t>
      </w:r>
      <w:r>
        <w:rPr>
          <w:spacing w:val="-5"/>
          <w:sz w:val="24"/>
        </w:rPr>
        <w:t> </w:t>
      </w:r>
      <w:r>
        <w:rPr>
          <w:sz w:val="24"/>
        </w:rPr>
        <w:t>relatively</w:t>
      </w:r>
      <w:r>
        <w:rPr>
          <w:spacing w:val="-5"/>
          <w:sz w:val="24"/>
        </w:rPr>
        <w:t> </w:t>
      </w:r>
      <w:r>
        <w:rPr>
          <w:sz w:val="24"/>
        </w:rPr>
        <w:t>faster</w:t>
      </w:r>
      <w:r>
        <w:rPr>
          <w:spacing w:val="-5"/>
          <w:sz w:val="24"/>
        </w:rPr>
        <w:t> </w:t>
      </w:r>
      <w:r>
        <w:rPr>
          <w:sz w:val="24"/>
        </w:rPr>
        <w:t>increase</w:t>
      </w:r>
      <w:r>
        <w:rPr>
          <w:spacing w:val="-6"/>
          <w:sz w:val="24"/>
        </w:rPr>
        <w:t> </w:t>
      </w:r>
      <w:r>
        <w:rPr>
          <w:sz w:val="24"/>
        </w:rPr>
        <w:t>in</w:t>
      </w:r>
      <w:r>
        <w:rPr>
          <w:spacing w:val="-5"/>
          <w:sz w:val="24"/>
        </w:rPr>
        <w:t> </w:t>
      </w:r>
      <w:r>
        <w:rPr>
          <w:sz w:val="24"/>
        </w:rPr>
        <w:t>imports,</w:t>
      </w:r>
      <w:r>
        <w:rPr>
          <w:spacing w:val="-6"/>
          <w:sz w:val="24"/>
        </w:rPr>
        <w:t> </w:t>
      </w:r>
      <w:r>
        <w:rPr>
          <w:sz w:val="24"/>
        </w:rPr>
        <w:t>so</w:t>
      </w:r>
      <w:r>
        <w:rPr>
          <w:spacing w:val="-5"/>
          <w:sz w:val="24"/>
        </w:rPr>
        <w:t> </w:t>
      </w:r>
      <w:r>
        <w:rPr>
          <w:sz w:val="24"/>
        </w:rPr>
        <w:t>that</w:t>
      </w:r>
      <w:r>
        <w:rPr>
          <w:spacing w:val="-1"/>
          <w:sz w:val="24"/>
        </w:rPr>
        <w:t> </w:t>
      </w:r>
      <w:r>
        <w:rPr>
          <w:sz w:val="24"/>
        </w:rPr>
        <w:t>the</w:t>
      </w:r>
      <w:r>
        <w:rPr>
          <w:spacing w:val="-6"/>
          <w:sz w:val="24"/>
        </w:rPr>
        <w:t> </w:t>
      </w:r>
      <w:r>
        <w:rPr>
          <w:sz w:val="24"/>
        </w:rPr>
        <w:t>UK</w:t>
      </w:r>
      <w:r>
        <w:rPr>
          <w:spacing w:val="-5"/>
          <w:sz w:val="24"/>
        </w:rPr>
        <w:t> </w:t>
      </w:r>
      <w:r>
        <w:rPr>
          <w:sz w:val="24"/>
        </w:rPr>
        <w:t>would</w:t>
      </w:r>
      <w:r>
        <w:rPr>
          <w:spacing w:val="-5"/>
          <w:sz w:val="24"/>
        </w:rPr>
        <w:t> </w:t>
      </w:r>
      <w:r>
        <w:rPr>
          <w:sz w:val="24"/>
        </w:rPr>
        <w:t>in</w:t>
      </w:r>
      <w:r>
        <w:rPr>
          <w:spacing w:val="-6"/>
          <w:sz w:val="24"/>
        </w:rPr>
        <w:t> </w:t>
      </w:r>
      <w:r>
        <w:rPr>
          <w:sz w:val="24"/>
        </w:rPr>
        <w:t>effect</w:t>
      </w:r>
      <w:r>
        <w:rPr>
          <w:spacing w:val="-1"/>
          <w:sz w:val="24"/>
        </w:rPr>
        <w:t> </w:t>
      </w:r>
      <w:r>
        <w:rPr>
          <w:sz w:val="24"/>
        </w:rPr>
        <w:t>be relying </w:t>
      </w:r>
      <w:r>
        <w:rPr>
          <w:spacing w:val="3"/>
          <w:sz w:val="24"/>
        </w:rPr>
        <w:t>on </w:t>
      </w:r>
      <w:r>
        <w:rPr>
          <w:sz w:val="24"/>
        </w:rPr>
        <w:t>spare capacity abroad </w:t>
      </w:r>
      <w:r>
        <w:rPr>
          <w:spacing w:val="3"/>
          <w:sz w:val="24"/>
        </w:rPr>
        <w:t>to </w:t>
      </w:r>
      <w:r>
        <w:rPr>
          <w:sz w:val="24"/>
        </w:rPr>
        <w:t>contain incipient inflationary pressures from strong</w:t>
      </w:r>
      <w:r>
        <w:rPr>
          <w:spacing w:val="-22"/>
          <w:sz w:val="24"/>
        </w:rPr>
        <w:t> </w:t>
      </w:r>
      <w:r>
        <w:rPr>
          <w:sz w:val="24"/>
        </w:rPr>
        <w:t>domestic</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512"/>
      </w:pPr>
      <w:r>
        <w:rPr/>
        <w:t>demand growth. But while there was probably still spare capacity abroad, some members felt that it would be eroded as the world economy recovered, tending to put upward pressure on import prices.</w:t>
      </w:r>
    </w:p>
    <w:p>
      <w:pPr>
        <w:pStyle w:val="BodyText"/>
        <w:spacing w:before="6"/>
        <w:rPr>
          <w:sz w:val="31"/>
        </w:rPr>
      </w:pPr>
    </w:p>
    <w:p>
      <w:pPr>
        <w:pStyle w:val="ListParagraph"/>
        <w:numPr>
          <w:ilvl w:val="0"/>
          <w:numId w:val="1"/>
        </w:numPr>
        <w:tabs>
          <w:tab w:pos="534" w:val="left" w:leader="none"/>
        </w:tabs>
        <w:spacing w:line="360" w:lineRule="auto" w:before="0" w:after="0"/>
        <w:ind w:left="104" w:right="177" w:firstLine="0"/>
        <w:jc w:val="left"/>
        <w:rPr>
          <w:sz w:val="24"/>
        </w:rPr>
      </w:pPr>
      <w:r>
        <w:rPr>
          <w:sz w:val="24"/>
        </w:rPr>
        <w:t>On</w:t>
      </w:r>
      <w:r>
        <w:rPr>
          <w:spacing w:val="-7"/>
          <w:sz w:val="24"/>
        </w:rPr>
        <w:t> </w:t>
      </w:r>
      <w:r>
        <w:rPr>
          <w:sz w:val="24"/>
        </w:rPr>
        <w:t>balance,</w:t>
      </w:r>
      <w:r>
        <w:rPr>
          <w:spacing w:val="-6"/>
          <w:sz w:val="24"/>
        </w:rPr>
        <w:t> </w:t>
      </w:r>
      <w:r>
        <w:rPr>
          <w:sz w:val="24"/>
        </w:rPr>
        <w:t>the</w:t>
      </w:r>
      <w:r>
        <w:rPr>
          <w:spacing w:val="-6"/>
          <w:sz w:val="24"/>
        </w:rPr>
        <w:t> </w:t>
      </w:r>
      <w:r>
        <w:rPr>
          <w:sz w:val="24"/>
        </w:rPr>
        <w:t>Committee</w:t>
      </w:r>
      <w:r>
        <w:rPr>
          <w:spacing w:val="-6"/>
          <w:sz w:val="24"/>
        </w:rPr>
        <w:t> </w:t>
      </w:r>
      <w:r>
        <w:rPr>
          <w:sz w:val="24"/>
        </w:rPr>
        <w:t>had</w:t>
      </w:r>
      <w:r>
        <w:rPr>
          <w:spacing w:val="-6"/>
          <w:sz w:val="24"/>
        </w:rPr>
        <w:t> </w:t>
      </w:r>
      <w:r>
        <w:rPr>
          <w:sz w:val="24"/>
        </w:rPr>
        <w:t>assumed</w:t>
      </w:r>
      <w:r>
        <w:rPr>
          <w:spacing w:val="-6"/>
          <w:sz w:val="24"/>
        </w:rPr>
        <w:t> </w:t>
      </w:r>
      <w:r>
        <w:rPr>
          <w:sz w:val="24"/>
        </w:rPr>
        <w:t>that</w:t>
      </w:r>
      <w:r>
        <w:rPr>
          <w:spacing w:val="-2"/>
          <w:sz w:val="24"/>
        </w:rPr>
        <w:t> </w:t>
      </w:r>
      <w:r>
        <w:rPr>
          <w:sz w:val="24"/>
        </w:rPr>
        <w:t>net</w:t>
      </w:r>
      <w:r>
        <w:rPr>
          <w:spacing w:val="-2"/>
          <w:sz w:val="24"/>
        </w:rPr>
        <w:t> </w:t>
      </w:r>
      <w:r>
        <w:rPr>
          <w:sz w:val="24"/>
        </w:rPr>
        <w:t>trade</w:t>
      </w:r>
      <w:r>
        <w:rPr>
          <w:spacing w:val="-6"/>
          <w:sz w:val="24"/>
        </w:rPr>
        <w:t> </w:t>
      </w:r>
      <w:r>
        <w:rPr>
          <w:sz w:val="24"/>
        </w:rPr>
        <w:t>would</w:t>
      </w:r>
      <w:r>
        <w:rPr>
          <w:spacing w:val="-6"/>
          <w:sz w:val="24"/>
        </w:rPr>
        <w:t> </w:t>
      </w:r>
      <w:r>
        <w:rPr>
          <w:sz w:val="24"/>
        </w:rPr>
        <w:t>make</w:t>
      </w:r>
      <w:r>
        <w:rPr>
          <w:spacing w:val="-6"/>
          <w:sz w:val="24"/>
        </w:rPr>
        <w:t> </w:t>
      </w:r>
      <w:r>
        <w:rPr>
          <w:sz w:val="24"/>
        </w:rPr>
        <w:t>a</w:t>
      </w:r>
      <w:r>
        <w:rPr>
          <w:spacing w:val="-7"/>
          <w:sz w:val="24"/>
        </w:rPr>
        <w:t> </w:t>
      </w:r>
      <w:r>
        <w:rPr>
          <w:sz w:val="24"/>
        </w:rPr>
        <w:t>negative</w:t>
      </w:r>
      <w:r>
        <w:rPr>
          <w:spacing w:val="-6"/>
          <w:sz w:val="24"/>
        </w:rPr>
        <w:t> </w:t>
      </w:r>
      <w:r>
        <w:rPr>
          <w:sz w:val="24"/>
        </w:rPr>
        <w:t>contribution</w:t>
      </w:r>
      <w:r>
        <w:rPr>
          <w:spacing w:val="-6"/>
          <w:sz w:val="24"/>
        </w:rPr>
        <w:t> </w:t>
      </w:r>
      <w:r>
        <w:rPr>
          <w:spacing w:val="2"/>
          <w:sz w:val="24"/>
        </w:rPr>
        <w:t>to</w:t>
      </w:r>
      <w:r>
        <w:rPr>
          <w:spacing w:val="-2"/>
          <w:sz w:val="24"/>
        </w:rPr>
        <w:t> </w:t>
      </w:r>
      <w:r>
        <w:rPr>
          <w:sz w:val="24"/>
        </w:rPr>
        <w:t>GDP throughout the forecast period, reflecting the further rise in the sterling exchange rate and a likely increase in</w:t>
      </w:r>
      <w:r>
        <w:rPr>
          <w:spacing w:val="15"/>
          <w:sz w:val="24"/>
        </w:rPr>
        <w:t> </w:t>
      </w:r>
      <w:r>
        <w:rPr>
          <w:sz w:val="24"/>
        </w:rPr>
        <w:t>imports.</w:t>
      </w:r>
    </w:p>
    <w:p>
      <w:pPr>
        <w:pStyle w:val="BodyText"/>
        <w:spacing w:before="5"/>
        <w:rPr>
          <w:sz w:val="31"/>
        </w:rPr>
      </w:pPr>
    </w:p>
    <w:p>
      <w:pPr>
        <w:pStyle w:val="Heading1"/>
      </w:pPr>
      <w:r>
        <w:rPr/>
        <w:t>The labour market</w:t>
      </w:r>
    </w:p>
    <w:p>
      <w:pPr>
        <w:pStyle w:val="BodyText"/>
        <w:rPr>
          <w:b/>
          <w:sz w:val="26"/>
        </w:rPr>
      </w:pPr>
    </w:p>
    <w:p>
      <w:pPr>
        <w:pStyle w:val="ListParagraph"/>
        <w:numPr>
          <w:ilvl w:val="0"/>
          <w:numId w:val="1"/>
        </w:numPr>
        <w:tabs>
          <w:tab w:pos="534" w:val="left" w:leader="none"/>
        </w:tabs>
        <w:spacing w:line="360" w:lineRule="auto" w:before="198" w:after="0"/>
        <w:ind w:left="104" w:right="155" w:firstLine="0"/>
        <w:jc w:val="left"/>
        <w:rPr>
          <w:sz w:val="24"/>
        </w:rPr>
      </w:pPr>
      <w:r>
        <w:rPr>
          <w:sz w:val="24"/>
        </w:rPr>
        <w:t>There was some evidence that the labour market had tightened further. Over the quarter, claimant count unemployment had fallen </w:t>
      </w:r>
      <w:r>
        <w:rPr>
          <w:spacing w:val="2"/>
          <w:sz w:val="24"/>
        </w:rPr>
        <w:t>to </w:t>
      </w:r>
      <w:r>
        <w:rPr>
          <w:sz w:val="24"/>
        </w:rPr>
        <w:t>4.2%, and the Labour Force Survey (LFS) measure </w:t>
      </w:r>
      <w:r>
        <w:rPr>
          <w:spacing w:val="2"/>
          <w:sz w:val="24"/>
        </w:rPr>
        <w:t>to </w:t>
      </w:r>
      <w:r>
        <w:rPr>
          <w:sz w:val="24"/>
        </w:rPr>
        <w:t>5.9%. Employment had continued </w:t>
      </w:r>
      <w:r>
        <w:rPr>
          <w:spacing w:val="2"/>
          <w:sz w:val="24"/>
        </w:rPr>
        <w:t>to </w:t>
      </w:r>
      <w:r>
        <w:rPr>
          <w:sz w:val="24"/>
        </w:rPr>
        <w:t>rise, as had total hours worked. Some forward-looking indicators suggested continued tightening. </w:t>
      </w:r>
      <w:r>
        <w:rPr>
          <w:spacing w:val="2"/>
          <w:sz w:val="24"/>
        </w:rPr>
        <w:t>Employment </w:t>
      </w:r>
      <w:r>
        <w:rPr>
          <w:sz w:val="24"/>
        </w:rPr>
        <w:t>intentions, as measured by surveys, were up in all sectors and were above average historical levels. Skill shortages persisted according </w:t>
      </w:r>
      <w:r>
        <w:rPr>
          <w:spacing w:val="3"/>
          <w:sz w:val="24"/>
        </w:rPr>
        <w:t>to </w:t>
      </w:r>
      <w:r>
        <w:rPr>
          <w:sz w:val="24"/>
        </w:rPr>
        <w:t>the </w:t>
      </w:r>
      <w:r>
        <w:rPr>
          <w:spacing w:val="-5"/>
          <w:sz w:val="24"/>
        </w:rPr>
        <w:t>Bank’s </w:t>
      </w:r>
      <w:r>
        <w:rPr>
          <w:sz w:val="24"/>
        </w:rPr>
        <w:t>regional Agents and surveys, but with differences across </w:t>
      </w:r>
      <w:r>
        <w:rPr>
          <w:spacing w:val="2"/>
          <w:sz w:val="24"/>
        </w:rPr>
        <w:t>regions </w:t>
      </w:r>
      <w:r>
        <w:rPr>
          <w:sz w:val="24"/>
        </w:rPr>
        <w:t>and different types </w:t>
      </w:r>
      <w:r>
        <w:rPr>
          <w:spacing w:val="3"/>
          <w:sz w:val="24"/>
        </w:rPr>
        <w:t>of </w:t>
      </w:r>
      <w:r>
        <w:rPr>
          <w:sz w:val="24"/>
        </w:rPr>
        <w:t>skill. The picture from surveys was mixed. </w:t>
      </w:r>
      <w:r>
        <w:rPr>
          <w:spacing w:val="2"/>
          <w:sz w:val="24"/>
        </w:rPr>
        <w:t>The </w:t>
      </w:r>
      <w:r>
        <w:rPr>
          <w:sz w:val="24"/>
        </w:rPr>
        <w:t>BCC measure </w:t>
      </w:r>
      <w:r>
        <w:rPr>
          <w:spacing w:val="3"/>
          <w:sz w:val="24"/>
        </w:rPr>
        <w:t>of </w:t>
      </w:r>
      <w:r>
        <w:rPr>
          <w:spacing w:val="2"/>
          <w:sz w:val="24"/>
        </w:rPr>
        <w:t>recruitment </w:t>
      </w:r>
      <w:r>
        <w:rPr>
          <w:sz w:val="24"/>
        </w:rPr>
        <w:t>difficulties had fallen slightly in both manufacturing and services. The CBI survey showed skill shortages </w:t>
      </w:r>
      <w:r>
        <w:rPr>
          <w:spacing w:val="2"/>
          <w:sz w:val="24"/>
        </w:rPr>
        <w:t>rising </w:t>
      </w:r>
      <w:r>
        <w:rPr>
          <w:sz w:val="24"/>
        </w:rPr>
        <w:t>slightly but with the level still below its historical</w:t>
      </w:r>
      <w:r>
        <w:rPr>
          <w:spacing w:val="25"/>
          <w:sz w:val="24"/>
        </w:rPr>
        <w:t> </w:t>
      </w:r>
      <w:r>
        <w:rPr>
          <w:sz w:val="24"/>
        </w:rPr>
        <w:t>average.</w:t>
      </w:r>
    </w:p>
    <w:p>
      <w:pPr>
        <w:pStyle w:val="BodyText"/>
        <w:spacing w:before="2"/>
        <w:rPr>
          <w:sz w:val="31"/>
        </w:rPr>
      </w:pPr>
    </w:p>
    <w:p>
      <w:pPr>
        <w:pStyle w:val="ListParagraph"/>
        <w:numPr>
          <w:ilvl w:val="0"/>
          <w:numId w:val="1"/>
        </w:numPr>
        <w:tabs>
          <w:tab w:pos="534" w:val="left" w:leader="none"/>
        </w:tabs>
        <w:spacing w:line="360" w:lineRule="auto" w:before="0" w:after="0"/>
        <w:ind w:left="104" w:right="233" w:firstLine="0"/>
        <w:jc w:val="both"/>
        <w:rPr>
          <w:sz w:val="24"/>
        </w:rPr>
      </w:pPr>
      <w:r>
        <w:rPr>
          <w:sz w:val="24"/>
        </w:rPr>
        <w:t>Real</w:t>
      </w:r>
      <w:r>
        <w:rPr>
          <w:spacing w:val="-6"/>
          <w:sz w:val="24"/>
        </w:rPr>
        <w:t> </w:t>
      </w:r>
      <w:r>
        <w:rPr>
          <w:sz w:val="24"/>
        </w:rPr>
        <w:t>earnings</w:t>
      </w:r>
      <w:r>
        <w:rPr>
          <w:spacing w:val="-5"/>
          <w:sz w:val="24"/>
        </w:rPr>
        <w:t> </w:t>
      </w:r>
      <w:r>
        <w:rPr>
          <w:sz w:val="24"/>
        </w:rPr>
        <w:t>growth</w:t>
      </w:r>
      <w:r>
        <w:rPr>
          <w:spacing w:val="-5"/>
          <w:sz w:val="24"/>
        </w:rPr>
        <w:t> </w:t>
      </w:r>
      <w:r>
        <w:rPr>
          <w:sz w:val="24"/>
        </w:rPr>
        <w:t>calculated</w:t>
      </w:r>
      <w:r>
        <w:rPr>
          <w:spacing w:val="-5"/>
          <w:sz w:val="24"/>
        </w:rPr>
        <w:t> </w:t>
      </w:r>
      <w:r>
        <w:rPr>
          <w:spacing w:val="3"/>
          <w:sz w:val="24"/>
        </w:rPr>
        <w:t>on</w:t>
      </w:r>
      <w:r>
        <w:rPr>
          <w:spacing w:val="-1"/>
          <w:sz w:val="24"/>
        </w:rPr>
        <w:t> </w:t>
      </w:r>
      <w:r>
        <w:rPr>
          <w:sz w:val="24"/>
        </w:rPr>
        <w:t>the</w:t>
      </w:r>
      <w:r>
        <w:rPr>
          <w:spacing w:val="-5"/>
          <w:sz w:val="24"/>
        </w:rPr>
        <w:t> </w:t>
      </w:r>
      <w:r>
        <w:rPr>
          <w:sz w:val="24"/>
        </w:rPr>
        <w:t>basis</w:t>
      </w:r>
      <w:r>
        <w:rPr>
          <w:spacing w:val="-5"/>
          <w:sz w:val="24"/>
        </w:rPr>
        <w:t> </w:t>
      </w:r>
      <w:r>
        <w:rPr>
          <w:spacing w:val="3"/>
          <w:sz w:val="24"/>
        </w:rPr>
        <w:t>of</w:t>
      </w:r>
      <w:r>
        <w:rPr>
          <w:spacing w:val="-1"/>
          <w:sz w:val="24"/>
        </w:rPr>
        <w:t> </w:t>
      </w:r>
      <w:r>
        <w:rPr>
          <w:sz w:val="24"/>
        </w:rPr>
        <w:t>the</w:t>
      </w:r>
      <w:r>
        <w:rPr>
          <w:spacing w:val="-5"/>
          <w:sz w:val="24"/>
        </w:rPr>
        <w:t> </w:t>
      </w:r>
      <w:r>
        <w:rPr>
          <w:sz w:val="24"/>
        </w:rPr>
        <w:t>Average</w:t>
      </w:r>
      <w:r>
        <w:rPr>
          <w:spacing w:val="-5"/>
          <w:sz w:val="24"/>
        </w:rPr>
        <w:t> </w:t>
      </w:r>
      <w:r>
        <w:rPr>
          <w:spacing w:val="2"/>
          <w:sz w:val="24"/>
        </w:rPr>
        <w:t>Earnings</w:t>
      </w:r>
      <w:r>
        <w:rPr>
          <w:spacing w:val="-3"/>
          <w:sz w:val="24"/>
        </w:rPr>
        <w:t> </w:t>
      </w:r>
      <w:r>
        <w:rPr>
          <w:sz w:val="24"/>
        </w:rPr>
        <w:t>Index</w:t>
      </w:r>
      <w:r>
        <w:rPr>
          <w:spacing w:val="-4"/>
          <w:sz w:val="24"/>
        </w:rPr>
        <w:t> </w:t>
      </w:r>
      <w:r>
        <w:rPr>
          <w:sz w:val="24"/>
        </w:rPr>
        <w:t>(AEI)</w:t>
      </w:r>
      <w:r>
        <w:rPr>
          <w:spacing w:val="-3"/>
          <w:sz w:val="24"/>
        </w:rPr>
        <w:t> </w:t>
      </w:r>
      <w:r>
        <w:rPr>
          <w:sz w:val="24"/>
        </w:rPr>
        <w:t>had</w:t>
      </w:r>
      <w:r>
        <w:rPr>
          <w:spacing w:val="-5"/>
          <w:sz w:val="24"/>
        </w:rPr>
        <w:t> </w:t>
      </w:r>
      <w:r>
        <w:rPr>
          <w:sz w:val="24"/>
        </w:rPr>
        <w:t>been</w:t>
      </w:r>
      <w:r>
        <w:rPr>
          <w:spacing w:val="-5"/>
          <w:sz w:val="24"/>
        </w:rPr>
        <w:t> </w:t>
      </w:r>
      <w:r>
        <w:rPr>
          <w:spacing w:val="2"/>
          <w:sz w:val="24"/>
        </w:rPr>
        <w:t>rising </w:t>
      </w:r>
      <w:r>
        <w:rPr>
          <w:sz w:val="24"/>
        </w:rPr>
        <w:t>for</w:t>
      </w:r>
      <w:r>
        <w:rPr>
          <w:spacing w:val="-6"/>
          <w:sz w:val="24"/>
        </w:rPr>
        <w:t> </w:t>
      </w:r>
      <w:r>
        <w:rPr>
          <w:sz w:val="24"/>
        </w:rPr>
        <w:t>some</w:t>
      </w:r>
      <w:r>
        <w:rPr>
          <w:spacing w:val="-5"/>
          <w:sz w:val="24"/>
        </w:rPr>
        <w:t> </w:t>
      </w:r>
      <w:r>
        <w:rPr>
          <w:sz w:val="24"/>
        </w:rPr>
        <w:t>time,</w:t>
      </w:r>
      <w:r>
        <w:rPr>
          <w:spacing w:val="-5"/>
          <w:sz w:val="24"/>
        </w:rPr>
        <w:t> </w:t>
      </w:r>
      <w:r>
        <w:rPr>
          <w:sz w:val="24"/>
        </w:rPr>
        <w:t>with</w:t>
      </w:r>
      <w:r>
        <w:rPr>
          <w:spacing w:val="-5"/>
          <w:sz w:val="24"/>
        </w:rPr>
        <w:t> </w:t>
      </w:r>
      <w:r>
        <w:rPr>
          <w:sz w:val="24"/>
        </w:rPr>
        <w:t>the</w:t>
      </w:r>
      <w:r>
        <w:rPr>
          <w:spacing w:val="-6"/>
          <w:sz w:val="24"/>
        </w:rPr>
        <w:t> </w:t>
      </w:r>
      <w:r>
        <w:rPr>
          <w:sz w:val="24"/>
        </w:rPr>
        <w:t>recent</w:t>
      </w:r>
      <w:r>
        <w:rPr>
          <w:spacing w:val="-3"/>
          <w:sz w:val="24"/>
        </w:rPr>
        <w:t> </w:t>
      </w:r>
      <w:r>
        <w:rPr>
          <w:sz w:val="24"/>
        </w:rPr>
        <w:t>rate</w:t>
      </w:r>
      <w:r>
        <w:rPr>
          <w:spacing w:val="-4"/>
          <w:sz w:val="24"/>
        </w:rPr>
        <w:t> </w:t>
      </w:r>
      <w:r>
        <w:rPr>
          <w:sz w:val="24"/>
        </w:rPr>
        <w:t>faster</w:t>
      </w:r>
      <w:r>
        <w:rPr>
          <w:spacing w:val="-5"/>
          <w:sz w:val="24"/>
        </w:rPr>
        <w:t> </w:t>
      </w:r>
      <w:r>
        <w:rPr>
          <w:sz w:val="24"/>
        </w:rPr>
        <w:t>than</w:t>
      </w:r>
      <w:r>
        <w:rPr>
          <w:spacing w:val="-5"/>
          <w:sz w:val="24"/>
        </w:rPr>
        <w:t> </w:t>
      </w:r>
      <w:r>
        <w:rPr>
          <w:sz w:val="24"/>
        </w:rPr>
        <w:t>would</w:t>
      </w:r>
      <w:r>
        <w:rPr>
          <w:spacing w:val="-6"/>
          <w:sz w:val="24"/>
        </w:rPr>
        <w:t> </w:t>
      </w:r>
      <w:r>
        <w:rPr>
          <w:sz w:val="24"/>
        </w:rPr>
        <w:t>have</w:t>
      </w:r>
      <w:r>
        <w:rPr>
          <w:spacing w:val="-6"/>
          <w:sz w:val="24"/>
        </w:rPr>
        <w:t> </w:t>
      </w:r>
      <w:r>
        <w:rPr>
          <w:sz w:val="24"/>
        </w:rPr>
        <w:t>been</w:t>
      </w:r>
      <w:r>
        <w:rPr>
          <w:spacing w:val="-5"/>
          <w:sz w:val="24"/>
        </w:rPr>
        <w:t> </w:t>
      </w:r>
      <w:r>
        <w:rPr>
          <w:sz w:val="24"/>
        </w:rPr>
        <w:t>expected</w:t>
      </w:r>
      <w:r>
        <w:rPr>
          <w:spacing w:val="-6"/>
          <w:sz w:val="24"/>
        </w:rPr>
        <w:t> </w:t>
      </w:r>
      <w:r>
        <w:rPr>
          <w:spacing w:val="2"/>
          <w:sz w:val="24"/>
        </w:rPr>
        <w:t>on</w:t>
      </w:r>
      <w:r>
        <w:rPr>
          <w:spacing w:val="-1"/>
          <w:sz w:val="24"/>
        </w:rPr>
        <w:t> </w:t>
      </w:r>
      <w:r>
        <w:rPr>
          <w:sz w:val="24"/>
        </w:rPr>
        <w:t>the</w:t>
      </w:r>
      <w:r>
        <w:rPr>
          <w:spacing w:val="-5"/>
          <w:sz w:val="24"/>
        </w:rPr>
        <w:t> </w:t>
      </w:r>
      <w:r>
        <w:rPr>
          <w:sz w:val="24"/>
        </w:rPr>
        <w:t>basis</w:t>
      </w:r>
      <w:r>
        <w:rPr>
          <w:spacing w:val="-6"/>
          <w:sz w:val="24"/>
        </w:rPr>
        <w:t> </w:t>
      </w:r>
      <w:r>
        <w:rPr>
          <w:spacing w:val="2"/>
          <w:sz w:val="24"/>
        </w:rPr>
        <w:t>of</w:t>
      </w:r>
      <w:r>
        <w:rPr>
          <w:spacing w:val="-1"/>
          <w:sz w:val="24"/>
        </w:rPr>
        <w:t> </w:t>
      </w:r>
      <w:r>
        <w:rPr>
          <w:sz w:val="24"/>
        </w:rPr>
        <w:t>the</w:t>
      </w:r>
      <w:r>
        <w:rPr>
          <w:spacing w:val="-6"/>
          <w:sz w:val="24"/>
        </w:rPr>
        <w:t> </w:t>
      </w:r>
      <w:r>
        <w:rPr>
          <w:sz w:val="24"/>
        </w:rPr>
        <w:t>changes</w:t>
      </w:r>
      <w:r>
        <w:rPr>
          <w:spacing w:val="-5"/>
          <w:sz w:val="24"/>
        </w:rPr>
        <w:t> </w:t>
      </w:r>
      <w:r>
        <w:rPr>
          <w:sz w:val="24"/>
        </w:rPr>
        <w:t>in unemployment and employment. As noted above, </w:t>
      </w:r>
      <w:r>
        <w:rPr>
          <w:spacing w:val="4"/>
          <w:sz w:val="24"/>
        </w:rPr>
        <w:t>one </w:t>
      </w:r>
      <w:r>
        <w:rPr>
          <w:sz w:val="24"/>
        </w:rPr>
        <w:t>possible explanation for this was that</w:t>
      </w:r>
      <w:r>
        <w:rPr>
          <w:spacing w:val="-13"/>
          <w:sz w:val="24"/>
        </w:rPr>
        <w:t> </w:t>
      </w:r>
      <w:r>
        <w:rPr>
          <w:sz w:val="24"/>
        </w:rPr>
        <w:t>a</w:t>
      </w:r>
    </w:p>
    <w:p>
      <w:pPr>
        <w:pStyle w:val="BodyText"/>
        <w:spacing w:line="360" w:lineRule="auto" w:before="2"/>
        <w:ind w:left="104" w:right="287"/>
      </w:pPr>
      <w:r>
        <w:rPr/>
        <w:t>greater-than-generally-expected decline in inflation had boosted ex post real earnings. Another possible explanation was that the </w:t>
      </w:r>
      <w:r>
        <w:rPr>
          <w:spacing w:val="-4"/>
        </w:rPr>
        <w:t>‘natural’ </w:t>
      </w:r>
      <w:r>
        <w:rPr/>
        <w:t>rate </w:t>
      </w:r>
      <w:r>
        <w:rPr>
          <w:spacing w:val="2"/>
        </w:rPr>
        <w:t>of </w:t>
      </w:r>
      <w:r>
        <w:rPr/>
        <w:t>unemployment, the rate consistent with stable inflation, was higher than the Committee had assumed in its August projections. Some members thought it unlikely that the </w:t>
      </w:r>
      <w:r>
        <w:rPr>
          <w:spacing w:val="-3"/>
        </w:rPr>
        <w:t>‘natural’ </w:t>
      </w:r>
      <w:r>
        <w:rPr/>
        <w:t>rate was below the current actual rate or that it was continuing to fall</w:t>
      </w:r>
      <w:r>
        <w:rPr>
          <w:spacing w:val="-6"/>
        </w:rPr>
        <w:t> </w:t>
      </w:r>
      <w:r>
        <w:rPr/>
        <w:t>at</w:t>
      </w:r>
      <w:r>
        <w:rPr>
          <w:spacing w:val="-2"/>
        </w:rPr>
        <w:t> </w:t>
      </w:r>
      <w:r>
        <w:rPr/>
        <w:t>the</w:t>
      </w:r>
      <w:r>
        <w:rPr>
          <w:spacing w:val="-5"/>
        </w:rPr>
        <w:t> </w:t>
      </w:r>
      <w:r>
        <w:rPr/>
        <w:t>same</w:t>
      </w:r>
      <w:r>
        <w:rPr>
          <w:spacing w:val="-6"/>
        </w:rPr>
        <w:t> </w:t>
      </w:r>
      <w:r>
        <w:rPr/>
        <w:t>rate</w:t>
      </w:r>
      <w:r>
        <w:rPr>
          <w:spacing w:val="-5"/>
        </w:rPr>
        <w:t> </w:t>
      </w:r>
      <w:r>
        <w:rPr/>
        <w:t>as</w:t>
      </w:r>
      <w:r>
        <w:rPr>
          <w:spacing w:val="-6"/>
        </w:rPr>
        <w:t> </w:t>
      </w:r>
      <w:r>
        <w:rPr/>
        <w:t>actual</w:t>
      </w:r>
      <w:r>
        <w:rPr>
          <w:spacing w:val="-6"/>
        </w:rPr>
        <w:t> </w:t>
      </w:r>
      <w:r>
        <w:rPr/>
        <w:t>unemployment,</w:t>
      </w:r>
      <w:r>
        <w:rPr>
          <w:spacing w:val="-1"/>
        </w:rPr>
        <w:t> </w:t>
      </w:r>
      <w:r>
        <w:rPr/>
        <w:t>so</w:t>
      </w:r>
      <w:r>
        <w:rPr>
          <w:spacing w:val="-6"/>
        </w:rPr>
        <w:t> </w:t>
      </w:r>
      <w:r>
        <w:rPr/>
        <w:t>that</w:t>
      </w:r>
      <w:r>
        <w:rPr>
          <w:spacing w:val="-1"/>
        </w:rPr>
        <w:t> </w:t>
      </w:r>
      <w:r>
        <w:rPr/>
        <w:t>there</w:t>
      </w:r>
      <w:r>
        <w:rPr>
          <w:spacing w:val="-6"/>
        </w:rPr>
        <w:t> </w:t>
      </w:r>
      <w:r>
        <w:rPr/>
        <w:t>was</w:t>
      </w:r>
      <w:r>
        <w:rPr>
          <w:spacing w:val="-6"/>
        </w:rPr>
        <w:t> </w:t>
      </w:r>
      <w:r>
        <w:rPr/>
        <w:t>good</w:t>
      </w:r>
      <w:r>
        <w:rPr>
          <w:spacing w:val="-6"/>
        </w:rPr>
        <w:t> </w:t>
      </w:r>
      <w:r>
        <w:rPr/>
        <w:t>reason</w:t>
      </w:r>
      <w:r>
        <w:rPr>
          <w:spacing w:val="-4"/>
        </w:rPr>
        <w:t> </w:t>
      </w:r>
      <w:r>
        <w:rPr>
          <w:spacing w:val="2"/>
        </w:rPr>
        <w:t>to</w:t>
      </w:r>
      <w:r>
        <w:rPr>
          <w:spacing w:val="-1"/>
        </w:rPr>
        <w:t> </w:t>
      </w:r>
      <w:r>
        <w:rPr/>
        <w:t>think</w:t>
      </w:r>
      <w:r>
        <w:rPr>
          <w:spacing w:val="-6"/>
        </w:rPr>
        <w:t> </w:t>
      </w:r>
      <w:r>
        <w:rPr/>
        <w:t>that</w:t>
      </w:r>
      <w:r>
        <w:rPr>
          <w:spacing w:val="-1"/>
        </w:rPr>
        <w:t> </w:t>
      </w:r>
      <w:r>
        <w:rPr/>
        <w:t>labour</w:t>
      </w:r>
      <w:r>
        <w:rPr>
          <w:spacing w:val="-6"/>
        </w:rPr>
        <w:t> </w:t>
      </w:r>
      <w:r>
        <w:rPr/>
        <w:t>market pressures had been increasing. Other members noted that the Reward Index showed earnings growth still trending lower and the New </w:t>
      </w:r>
      <w:r>
        <w:rPr>
          <w:spacing w:val="2"/>
        </w:rPr>
        <w:t>Earnings </w:t>
      </w:r>
      <w:r>
        <w:rPr/>
        <w:t>Survey also gave a more benign picture </w:t>
      </w:r>
      <w:r>
        <w:rPr>
          <w:spacing w:val="3"/>
        </w:rPr>
        <w:t>of </w:t>
      </w:r>
      <w:r>
        <w:rPr/>
        <w:t>earnings growth than the AEI. Although there were different interpretations </w:t>
      </w:r>
      <w:r>
        <w:rPr>
          <w:spacing w:val="2"/>
        </w:rPr>
        <w:t>of </w:t>
      </w:r>
      <w:r>
        <w:rPr/>
        <w:t>the latest data, the Committee agreed </w:t>
      </w:r>
      <w:r>
        <w:rPr>
          <w:spacing w:val="3"/>
        </w:rPr>
        <w:t>to </w:t>
      </w:r>
      <w:r>
        <w:rPr/>
        <w:t>take as its central projection a higher assumption for real earnings growth than in</w:t>
      </w:r>
      <w:r>
        <w:rPr>
          <w:spacing w:val="-4"/>
        </w:rPr>
        <w:t> </w:t>
      </w:r>
      <w:r>
        <w:rPr/>
        <w:t>August.</w:t>
      </w:r>
    </w:p>
    <w:p>
      <w:pPr>
        <w:pStyle w:val="BodyText"/>
        <w:spacing w:before="2"/>
        <w:rPr>
          <w:sz w:val="31"/>
        </w:rPr>
      </w:pPr>
    </w:p>
    <w:p>
      <w:pPr>
        <w:pStyle w:val="ListParagraph"/>
        <w:numPr>
          <w:ilvl w:val="0"/>
          <w:numId w:val="1"/>
        </w:numPr>
        <w:tabs>
          <w:tab w:pos="533" w:val="left" w:leader="none"/>
        </w:tabs>
        <w:spacing w:line="360" w:lineRule="auto" w:before="0" w:after="0"/>
        <w:ind w:left="104" w:right="602" w:firstLine="0"/>
        <w:jc w:val="left"/>
        <w:rPr>
          <w:sz w:val="24"/>
        </w:rPr>
      </w:pPr>
      <w:r>
        <w:rPr>
          <w:sz w:val="24"/>
        </w:rPr>
        <w:t>The recent nominal pay data presented a second puzzle. On the </w:t>
      </w:r>
      <w:r>
        <w:rPr>
          <w:spacing w:val="3"/>
          <w:sz w:val="24"/>
        </w:rPr>
        <w:t>one </w:t>
      </w:r>
      <w:r>
        <w:rPr>
          <w:sz w:val="24"/>
        </w:rPr>
        <w:t>hand, settlements had remained around 3.5%. On the </w:t>
      </w:r>
      <w:r>
        <w:rPr>
          <w:spacing w:val="4"/>
          <w:sz w:val="24"/>
        </w:rPr>
        <w:t>other </w:t>
      </w:r>
      <w:r>
        <w:rPr>
          <w:sz w:val="24"/>
        </w:rPr>
        <w:t>hand, the AEI had risen at an annual rate </w:t>
      </w:r>
      <w:r>
        <w:rPr>
          <w:spacing w:val="2"/>
          <w:sz w:val="24"/>
        </w:rPr>
        <w:t>of </w:t>
      </w:r>
      <w:r>
        <w:rPr>
          <w:sz w:val="24"/>
        </w:rPr>
        <w:t>4.9% in the three</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194"/>
      </w:pPr>
      <w:r>
        <w:rPr/>
        <w:t>months </w:t>
      </w:r>
      <w:r>
        <w:rPr>
          <w:spacing w:val="3"/>
        </w:rPr>
        <w:t>to </w:t>
      </w:r>
      <w:r>
        <w:rPr/>
        <w:t>August. Allowing for </w:t>
      </w:r>
      <w:r>
        <w:rPr>
          <w:spacing w:val="3"/>
        </w:rPr>
        <w:t>month-to-month </w:t>
      </w:r>
      <w:r>
        <w:rPr/>
        <w:t>volatility, the AEI series had been edging upwards</w:t>
      </w:r>
      <w:r>
        <w:rPr>
          <w:spacing w:val="-38"/>
        </w:rPr>
        <w:t> </w:t>
      </w:r>
      <w:r>
        <w:rPr/>
        <w:t>in recent months. If the difference was a good guide </w:t>
      </w:r>
      <w:r>
        <w:rPr>
          <w:spacing w:val="2"/>
        </w:rPr>
        <w:t>to </w:t>
      </w:r>
      <w:r>
        <w:rPr/>
        <w:t>wage drift, it was possible that the recent rise in nominal earnings would be consolidated in forthcoming settlements. A survey by </w:t>
      </w:r>
      <w:r>
        <w:rPr>
          <w:spacing w:val="2"/>
        </w:rPr>
        <w:t>Industrial </w:t>
      </w:r>
      <w:r>
        <w:rPr/>
        <w:t>Relations Services pointed in the </w:t>
      </w:r>
      <w:r>
        <w:rPr>
          <w:spacing w:val="4"/>
        </w:rPr>
        <w:t>opposite </w:t>
      </w:r>
      <w:r>
        <w:rPr/>
        <w:t>direction, however. In its latest survey, 43% </w:t>
      </w:r>
      <w:r>
        <w:rPr>
          <w:spacing w:val="2"/>
        </w:rPr>
        <w:t>of </w:t>
      </w:r>
      <w:r>
        <w:rPr/>
        <w:t>respondents had expected </w:t>
      </w:r>
      <w:r>
        <w:rPr>
          <w:spacing w:val="2"/>
        </w:rPr>
        <w:t>to </w:t>
      </w:r>
      <w:r>
        <w:rPr/>
        <w:t>make lower settlements than last year, 46% the same, and 11% higher. Last year, only 23% had expected lower settlements than the previous year, and 26% had expected higher. It was suggested that the apparent fall in expected settlements this year might reflect the low recent RPI </w:t>
      </w:r>
      <w:r>
        <w:rPr>
          <w:spacing w:val="4"/>
        </w:rPr>
        <w:t>outturns </w:t>
      </w:r>
      <w:r>
        <w:rPr/>
        <w:t>(1.1% in August and September) and expectations that RPIX would remain below the 2½% target for a while. Anecdotal evidence </w:t>
      </w:r>
      <w:r>
        <w:rPr>
          <w:spacing w:val="3"/>
        </w:rPr>
        <w:t>on </w:t>
      </w:r>
      <w:r>
        <w:rPr/>
        <w:t>this, based partly </w:t>
      </w:r>
      <w:r>
        <w:rPr>
          <w:spacing w:val="3"/>
        </w:rPr>
        <w:t>on </w:t>
      </w:r>
      <w:r>
        <w:rPr/>
        <w:t>Committee members’ </w:t>
      </w:r>
      <w:r>
        <w:rPr>
          <w:spacing w:val="3"/>
        </w:rPr>
        <w:t>own </w:t>
      </w:r>
      <w:r>
        <w:rPr/>
        <w:t>regional visits, varied. There were suggestions both that RPI was the starting point in negotiations, and that the benchmark was the higher </w:t>
      </w:r>
      <w:r>
        <w:rPr>
          <w:spacing w:val="2"/>
        </w:rPr>
        <w:t>of </w:t>
      </w:r>
      <w:r>
        <w:rPr/>
        <w:t>RPI </w:t>
      </w:r>
      <w:r>
        <w:rPr>
          <w:spacing w:val="2"/>
        </w:rPr>
        <w:t>or </w:t>
      </w:r>
      <w:r>
        <w:rPr/>
        <w:t>RPIX. Some employers had suggested that the recent </w:t>
      </w:r>
      <w:r>
        <w:rPr>
          <w:spacing w:val="4"/>
        </w:rPr>
        <w:t>outturn </w:t>
      </w:r>
      <w:r>
        <w:rPr/>
        <w:t>of around 1% was not a feasible starting point ; before allowing for productivity improvements, it was easier </w:t>
      </w:r>
      <w:r>
        <w:rPr>
          <w:spacing w:val="3"/>
        </w:rPr>
        <w:t>to </w:t>
      </w:r>
      <w:r>
        <w:rPr/>
        <w:t>argue either for zero if necessary </w:t>
      </w:r>
      <w:r>
        <w:rPr>
          <w:spacing w:val="2"/>
        </w:rPr>
        <w:t>on </w:t>
      </w:r>
      <w:r>
        <w:rPr/>
        <w:t>the basis </w:t>
      </w:r>
      <w:r>
        <w:rPr>
          <w:spacing w:val="2"/>
        </w:rPr>
        <w:t>of </w:t>
      </w:r>
      <w:r>
        <w:rPr/>
        <w:t>a particular </w:t>
      </w:r>
      <w:r>
        <w:rPr>
          <w:spacing w:val="-3"/>
        </w:rPr>
        <w:t>company’s </w:t>
      </w:r>
      <w:r>
        <w:rPr/>
        <w:t>circumstances, </w:t>
      </w:r>
      <w:r>
        <w:rPr>
          <w:spacing w:val="3"/>
        </w:rPr>
        <w:t>or </w:t>
      </w:r>
      <w:r>
        <w:rPr/>
        <w:t>alternatively for 2½% </w:t>
      </w:r>
      <w:r>
        <w:rPr>
          <w:spacing w:val="2"/>
        </w:rPr>
        <w:t>reflecting </w:t>
      </w:r>
      <w:r>
        <w:rPr/>
        <w:t>the inflation target and so medium-term inflation expectations. </w:t>
      </w:r>
      <w:r>
        <w:rPr>
          <w:spacing w:val="2"/>
        </w:rPr>
        <w:t>The </w:t>
      </w:r>
      <w:r>
        <w:rPr/>
        <w:t>Committee noted that there would not be much hard data </w:t>
      </w:r>
      <w:r>
        <w:rPr>
          <w:spacing w:val="2"/>
        </w:rPr>
        <w:t>on </w:t>
      </w:r>
      <w:r>
        <w:rPr/>
        <w:t>settlements until the new year, although the </w:t>
      </w:r>
      <w:r>
        <w:rPr>
          <w:spacing w:val="-6"/>
        </w:rPr>
        <w:t>Bank’s </w:t>
      </w:r>
      <w:r>
        <w:rPr/>
        <w:t>regional Agents would </w:t>
      </w:r>
      <w:r>
        <w:rPr>
          <w:spacing w:val="2"/>
        </w:rPr>
        <w:t>monitor, </w:t>
      </w:r>
      <w:r>
        <w:rPr/>
        <w:t>through their contacts, the emerging</w:t>
      </w:r>
      <w:r>
        <w:rPr>
          <w:spacing w:val="-2"/>
        </w:rPr>
        <w:t> </w:t>
      </w:r>
      <w:r>
        <w:rPr/>
        <w:t>evidence.</w:t>
      </w:r>
    </w:p>
    <w:p>
      <w:pPr>
        <w:pStyle w:val="BodyText"/>
        <w:spacing w:before="4"/>
        <w:rPr>
          <w:sz w:val="31"/>
        </w:rPr>
      </w:pPr>
    </w:p>
    <w:p>
      <w:pPr>
        <w:pStyle w:val="ListParagraph"/>
        <w:numPr>
          <w:ilvl w:val="0"/>
          <w:numId w:val="1"/>
        </w:numPr>
        <w:tabs>
          <w:tab w:pos="533" w:val="left" w:leader="none"/>
        </w:tabs>
        <w:spacing w:line="360" w:lineRule="auto" w:before="0" w:after="0"/>
        <w:ind w:left="104" w:right="734" w:firstLine="0"/>
        <w:jc w:val="left"/>
        <w:rPr>
          <w:sz w:val="24"/>
        </w:rPr>
      </w:pPr>
      <w:r>
        <w:rPr>
          <w:sz w:val="24"/>
        </w:rPr>
        <w:t>Whatever the position, it was possible that settlements - both backward-looking data and forward-looking</w:t>
      </w:r>
      <w:r>
        <w:rPr>
          <w:spacing w:val="-5"/>
          <w:sz w:val="24"/>
        </w:rPr>
        <w:t> </w:t>
      </w:r>
      <w:r>
        <w:rPr>
          <w:sz w:val="24"/>
        </w:rPr>
        <w:t>surveys</w:t>
      </w:r>
      <w:r>
        <w:rPr>
          <w:spacing w:val="-6"/>
          <w:sz w:val="24"/>
        </w:rPr>
        <w:t> </w:t>
      </w:r>
      <w:r>
        <w:rPr>
          <w:sz w:val="24"/>
        </w:rPr>
        <w:t>-</w:t>
      </w:r>
      <w:r>
        <w:rPr>
          <w:spacing w:val="-5"/>
          <w:sz w:val="24"/>
        </w:rPr>
        <w:t> </w:t>
      </w:r>
      <w:r>
        <w:rPr>
          <w:sz w:val="24"/>
        </w:rPr>
        <w:t>were</w:t>
      </w:r>
      <w:r>
        <w:rPr>
          <w:spacing w:val="-6"/>
          <w:sz w:val="24"/>
        </w:rPr>
        <w:t> </w:t>
      </w:r>
      <w:r>
        <w:rPr>
          <w:sz w:val="24"/>
        </w:rPr>
        <w:t>now</w:t>
      </w:r>
      <w:r>
        <w:rPr>
          <w:spacing w:val="-6"/>
          <w:sz w:val="24"/>
        </w:rPr>
        <w:t> </w:t>
      </w:r>
      <w:r>
        <w:rPr>
          <w:sz w:val="24"/>
        </w:rPr>
        <w:t>less</w:t>
      </w:r>
      <w:r>
        <w:rPr>
          <w:spacing w:val="-6"/>
          <w:sz w:val="24"/>
        </w:rPr>
        <w:t> </w:t>
      </w:r>
      <w:r>
        <w:rPr>
          <w:spacing w:val="2"/>
          <w:sz w:val="24"/>
        </w:rPr>
        <w:t>reliable</w:t>
      </w:r>
      <w:r>
        <w:rPr>
          <w:spacing w:val="-5"/>
          <w:sz w:val="24"/>
        </w:rPr>
        <w:t> </w:t>
      </w:r>
      <w:r>
        <w:rPr>
          <w:sz w:val="24"/>
        </w:rPr>
        <w:t>indicators</w:t>
      </w:r>
      <w:r>
        <w:rPr>
          <w:spacing w:val="-6"/>
          <w:sz w:val="24"/>
        </w:rPr>
        <w:t> </w:t>
      </w:r>
      <w:r>
        <w:rPr>
          <w:spacing w:val="3"/>
          <w:sz w:val="24"/>
        </w:rPr>
        <w:t>of</w:t>
      </w:r>
      <w:r>
        <w:rPr>
          <w:spacing w:val="-2"/>
          <w:sz w:val="24"/>
        </w:rPr>
        <w:t> </w:t>
      </w:r>
      <w:r>
        <w:rPr>
          <w:sz w:val="24"/>
        </w:rPr>
        <w:t>labour</w:t>
      </w:r>
      <w:r>
        <w:rPr>
          <w:spacing w:val="-6"/>
          <w:sz w:val="24"/>
        </w:rPr>
        <w:t> </w:t>
      </w:r>
      <w:r>
        <w:rPr>
          <w:sz w:val="24"/>
        </w:rPr>
        <w:t>market</w:t>
      </w:r>
      <w:r>
        <w:rPr>
          <w:spacing w:val="-2"/>
          <w:sz w:val="24"/>
        </w:rPr>
        <w:t> </w:t>
      </w:r>
      <w:r>
        <w:rPr>
          <w:sz w:val="24"/>
        </w:rPr>
        <w:t>conditions</w:t>
      </w:r>
      <w:r>
        <w:rPr>
          <w:spacing w:val="-5"/>
          <w:sz w:val="24"/>
        </w:rPr>
        <w:t> </w:t>
      </w:r>
      <w:r>
        <w:rPr>
          <w:sz w:val="24"/>
        </w:rPr>
        <w:t>given</w:t>
      </w:r>
      <w:r>
        <w:rPr>
          <w:spacing w:val="-6"/>
          <w:sz w:val="24"/>
        </w:rPr>
        <w:t> </w:t>
      </w:r>
      <w:r>
        <w:rPr>
          <w:spacing w:val="2"/>
          <w:sz w:val="24"/>
        </w:rPr>
        <w:t>the</w:t>
      </w:r>
    </w:p>
    <w:p>
      <w:pPr>
        <w:pStyle w:val="BodyText"/>
        <w:spacing w:line="360" w:lineRule="auto" w:before="3"/>
        <w:ind w:left="104"/>
      </w:pPr>
      <w:r>
        <w:rPr/>
        <w:t>decline in collective bargaining, and the increase in personalised remuneration, over recent years. If so, relatively more weight needed to be placed on the path of broader measures of earnings.</w:t>
      </w:r>
    </w:p>
    <w:p>
      <w:pPr>
        <w:pStyle w:val="BodyText"/>
        <w:spacing w:before="1"/>
        <w:rPr>
          <w:sz w:val="31"/>
        </w:rPr>
      </w:pPr>
    </w:p>
    <w:p>
      <w:pPr>
        <w:pStyle w:val="ListParagraph"/>
        <w:numPr>
          <w:ilvl w:val="0"/>
          <w:numId w:val="1"/>
        </w:numPr>
        <w:tabs>
          <w:tab w:pos="534" w:val="left" w:leader="none"/>
        </w:tabs>
        <w:spacing w:line="360" w:lineRule="auto" w:before="0" w:after="0"/>
        <w:ind w:left="104" w:right="307" w:firstLine="0"/>
        <w:jc w:val="left"/>
        <w:rPr>
          <w:sz w:val="24"/>
        </w:rPr>
      </w:pPr>
      <w:r>
        <w:rPr>
          <w:sz w:val="24"/>
        </w:rPr>
        <w:t>The Committee as a whole agreed that its assessment </w:t>
      </w:r>
      <w:r>
        <w:rPr>
          <w:spacing w:val="2"/>
          <w:sz w:val="24"/>
        </w:rPr>
        <w:t>of </w:t>
      </w:r>
      <w:r>
        <w:rPr>
          <w:sz w:val="24"/>
        </w:rPr>
        <w:t>labour market conditions was highly uncertain. Structural changes and the new monetary regime meant that behaviour may have changed, but it was impossible </w:t>
      </w:r>
      <w:r>
        <w:rPr>
          <w:spacing w:val="3"/>
          <w:sz w:val="24"/>
        </w:rPr>
        <w:t>to </w:t>
      </w:r>
      <w:r>
        <w:rPr>
          <w:sz w:val="24"/>
        </w:rPr>
        <w:t>know by how much. Looking forward, the quantity data, particularly the LFS series, would be important indicators </w:t>
      </w:r>
      <w:r>
        <w:rPr>
          <w:spacing w:val="2"/>
          <w:sz w:val="24"/>
        </w:rPr>
        <w:t>of </w:t>
      </w:r>
      <w:r>
        <w:rPr>
          <w:sz w:val="24"/>
        </w:rPr>
        <w:t>whether there were any further tightening, and possibly </w:t>
      </w:r>
      <w:r>
        <w:rPr>
          <w:spacing w:val="3"/>
          <w:sz w:val="24"/>
        </w:rPr>
        <w:t>of </w:t>
      </w:r>
      <w:r>
        <w:rPr>
          <w:sz w:val="24"/>
        </w:rPr>
        <w:t>its speed. But what mattered was the extent </w:t>
      </w:r>
      <w:r>
        <w:rPr>
          <w:spacing w:val="2"/>
          <w:sz w:val="24"/>
        </w:rPr>
        <w:t>of </w:t>
      </w:r>
      <w:r>
        <w:rPr>
          <w:sz w:val="24"/>
        </w:rPr>
        <w:t>pressure </w:t>
      </w:r>
      <w:r>
        <w:rPr>
          <w:spacing w:val="2"/>
          <w:sz w:val="24"/>
        </w:rPr>
        <w:t>on </w:t>
      </w:r>
      <w:r>
        <w:rPr>
          <w:sz w:val="24"/>
        </w:rPr>
        <w:t>labour supply, for which there was no direct measure, and the extent </w:t>
      </w:r>
      <w:r>
        <w:rPr>
          <w:spacing w:val="3"/>
          <w:sz w:val="24"/>
        </w:rPr>
        <w:t>to </w:t>
      </w:r>
      <w:r>
        <w:rPr>
          <w:sz w:val="24"/>
        </w:rPr>
        <w:t>which this was translated into nominal earnings growth and</w:t>
      </w:r>
      <w:r>
        <w:rPr>
          <w:spacing w:val="-31"/>
          <w:sz w:val="24"/>
        </w:rPr>
        <w:t> </w:t>
      </w:r>
      <w:r>
        <w:rPr>
          <w:sz w:val="24"/>
        </w:rPr>
        <w:t>settlements.</w:t>
      </w:r>
    </w:p>
    <w:p>
      <w:pPr>
        <w:pStyle w:val="BodyText"/>
        <w:spacing w:before="10"/>
        <w:rPr>
          <w:sz w:val="31"/>
        </w:rPr>
      </w:pPr>
    </w:p>
    <w:p>
      <w:pPr>
        <w:pStyle w:val="Heading1"/>
        <w:spacing w:before="1"/>
      </w:pPr>
      <w:r>
        <w:rPr/>
        <w:t>Prices and costs</w:t>
      </w:r>
    </w:p>
    <w:p>
      <w:pPr>
        <w:pStyle w:val="BodyText"/>
        <w:rPr>
          <w:b/>
          <w:sz w:val="26"/>
        </w:rPr>
      </w:pPr>
    </w:p>
    <w:p>
      <w:pPr>
        <w:pStyle w:val="ListParagraph"/>
        <w:numPr>
          <w:ilvl w:val="0"/>
          <w:numId w:val="1"/>
        </w:numPr>
        <w:tabs>
          <w:tab w:pos="535" w:val="left" w:leader="none"/>
        </w:tabs>
        <w:spacing w:line="360" w:lineRule="auto" w:before="193" w:after="0"/>
        <w:ind w:left="104" w:right="290" w:firstLine="0"/>
        <w:jc w:val="left"/>
        <w:rPr>
          <w:sz w:val="24"/>
        </w:rPr>
      </w:pPr>
      <w:r>
        <w:rPr>
          <w:sz w:val="24"/>
        </w:rPr>
        <w:t>The</w:t>
      </w:r>
      <w:r>
        <w:rPr>
          <w:spacing w:val="-3"/>
          <w:sz w:val="24"/>
        </w:rPr>
        <w:t> </w:t>
      </w:r>
      <w:r>
        <w:rPr>
          <w:sz w:val="24"/>
        </w:rPr>
        <w:t>main</w:t>
      </w:r>
      <w:r>
        <w:rPr>
          <w:spacing w:val="-4"/>
          <w:sz w:val="24"/>
        </w:rPr>
        <w:t> </w:t>
      </w:r>
      <w:r>
        <w:rPr>
          <w:sz w:val="24"/>
        </w:rPr>
        <w:t>issue</w:t>
      </w:r>
      <w:r>
        <w:rPr>
          <w:spacing w:val="-4"/>
          <w:sz w:val="24"/>
        </w:rPr>
        <w:t> </w:t>
      </w:r>
      <w:r>
        <w:rPr>
          <w:sz w:val="24"/>
        </w:rPr>
        <w:t>concerning</w:t>
      </w:r>
      <w:r>
        <w:rPr>
          <w:spacing w:val="-4"/>
          <w:sz w:val="24"/>
        </w:rPr>
        <w:t> </w:t>
      </w:r>
      <w:r>
        <w:rPr>
          <w:sz w:val="24"/>
        </w:rPr>
        <w:t>prices</w:t>
      </w:r>
      <w:r>
        <w:rPr>
          <w:spacing w:val="-5"/>
          <w:sz w:val="24"/>
        </w:rPr>
        <w:t> </w:t>
      </w:r>
      <w:r>
        <w:rPr>
          <w:sz w:val="24"/>
        </w:rPr>
        <w:t>was</w:t>
      </w:r>
      <w:r>
        <w:rPr>
          <w:spacing w:val="-4"/>
          <w:sz w:val="24"/>
        </w:rPr>
        <w:t> </w:t>
      </w:r>
      <w:r>
        <w:rPr>
          <w:sz w:val="24"/>
        </w:rPr>
        <w:t>the</w:t>
      </w:r>
      <w:r>
        <w:rPr>
          <w:spacing w:val="-4"/>
          <w:sz w:val="24"/>
        </w:rPr>
        <w:t> </w:t>
      </w:r>
      <w:r>
        <w:rPr>
          <w:sz w:val="24"/>
        </w:rPr>
        <w:t>prospective</w:t>
      </w:r>
      <w:r>
        <w:rPr>
          <w:spacing w:val="-4"/>
          <w:sz w:val="24"/>
        </w:rPr>
        <w:t> </w:t>
      </w:r>
      <w:r>
        <w:rPr>
          <w:sz w:val="24"/>
        </w:rPr>
        <w:t>effect </w:t>
      </w:r>
      <w:r>
        <w:rPr>
          <w:spacing w:val="2"/>
          <w:sz w:val="24"/>
        </w:rPr>
        <w:t>on</w:t>
      </w:r>
      <w:r>
        <w:rPr>
          <w:sz w:val="24"/>
        </w:rPr>
        <w:t> the</w:t>
      </w:r>
      <w:r>
        <w:rPr>
          <w:spacing w:val="-4"/>
          <w:sz w:val="24"/>
        </w:rPr>
        <w:t> </w:t>
      </w:r>
      <w:r>
        <w:rPr>
          <w:sz w:val="24"/>
        </w:rPr>
        <w:t>aggregate</w:t>
      </w:r>
      <w:r>
        <w:rPr>
          <w:spacing w:val="-4"/>
          <w:sz w:val="24"/>
        </w:rPr>
        <w:t> </w:t>
      </w:r>
      <w:r>
        <w:rPr>
          <w:sz w:val="24"/>
        </w:rPr>
        <w:t>price</w:t>
      </w:r>
      <w:r>
        <w:rPr>
          <w:spacing w:val="-4"/>
          <w:sz w:val="24"/>
        </w:rPr>
        <w:t> </w:t>
      </w:r>
      <w:r>
        <w:rPr>
          <w:sz w:val="24"/>
        </w:rPr>
        <w:t>level,</w:t>
      </w:r>
      <w:r>
        <w:rPr>
          <w:spacing w:val="-4"/>
          <w:sz w:val="24"/>
        </w:rPr>
        <w:t> </w:t>
      </w:r>
      <w:r>
        <w:rPr>
          <w:sz w:val="24"/>
        </w:rPr>
        <w:t>and</w:t>
      </w:r>
      <w:r>
        <w:rPr>
          <w:spacing w:val="-5"/>
          <w:sz w:val="24"/>
        </w:rPr>
        <w:t> </w:t>
      </w:r>
      <w:r>
        <w:rPr>
          <w:sz w:val="24"/>
        </w:rPr>
        <w:t>thus </w:t>
      </w:r>
      <w:r>
        <w:rPr>
          <w:spacing w:val="2"/>
          <w:sz w:val="24"/>
        </w:rPr>
        <w:t>on </w:t>
      </w:r>
      <w:r>
        <w:rPr>
          <w:sz w:val="24"/>
        </w:rPr>
        <w:t>measured inflation in the short-to-medium term, </w:t>
      </w:r>
      <w:r>
        <w:rPr>
          <w:spacing w:val="2"/>
          <w:sz w:val="24"/>
        </w:rPr>
        <w:t>of </w:t>
      </w:r>
      <w:r>
        <w:rPr>
          <w:sz w:val="24"/>
        </w:rPr>
        <w:t>various expected developments. In particular, the Committee had made allowance in its </w:t>
      </w:r>
      <w:r>
        <w:rPr>
          <w:i/>
          <w:sz w:val="24"/>
        </w:rPr>
        <w:t>Inflation Report </w:t>
      </w:r>
      <w:r>
        <w:rPr>
          <w:sz w:val="24"/>
        </w:rPr>
        <w:t>projections for falls in price-cost</w:t>
      </w:r>
      <w:r>
        <w:rPr>
          <w:spacing w:val="-37"/>
          <w:sz w:val="24"/>
        </w:rPr>
        <w:t> </w:t>
      </w:r>
      <w:r>
        <w:rPr>
          <w:sz w:val="24"/>
        </w:rPr>
        <w:t>margins</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02"/>
      </w:pPr>
      <w:r>
        <w:rPr/>
        <w:t>reflecting an increase in competition; utility prices changes; and the Government’s intention, announced in its pre-Budget Report published on 9 November, of removing the automatic over- indexation of duties on tobacco and fuel. Taken together, on the agreed assumptions these reduced the central projection for RPIX inflation by around half a percentage point at the two-year horizon (and more before that).</w:t>
      </w:r>
    </w:p>
    <w:p>
      <w:pPr>
        <w:pStyle w:val="BodyText"/>
        <w:spacing w:before="2"/>
        <w:rPr>
          <w:sz w:val="31"/>
        </w:rPr>
      </w:pPr>
    </w:p>
    <w:p>
      <w:pPr>
        <w:pStyle w:val="ListParagraph"/>
        <w:numPr>
          <w:ilvl w:val="0"/>
          <w:numId w:val="1"/>
        </w:numPr>
        <w:tabs>
          <w:tab w:pos="535" w:val="left" w:leader="none"/>
        </w:tabs>
        <w:spacing w:line="360" w:lineRule="auto" w:before="0" w:after="0"/>
        <w:ind w:left="104" w:right="180" w:firstLine="0"/>
        <w:jc w:val="left"/>
        <w:rPr>
          <w:sz w:val="24"/>
        </w:rPr>
      </w:pPr>
      <w:r>
        <w:rPr>
          <w:sz w:val="24"/>
        </w:rPr>
        <w:t>Some members were content with the assumed effects for the first year but preferred a smaller effect in the second year. This was for two reasons. First, they were concerned that the Committee had focussed </w:t>
      </w:r>
      <w:r>
        <w:rPr>
          <w:spacing w:val="2"/>
          <w:sz w:val="24"/>
        </w:rPr>
        <w:t>on </w:t>
      </w:r>
      <w:r>
        <w:rPr>
          <w:sz w:val="24"/>
        </w:rPr>
        <w:t>some </w:t>
      </w:r>
      <w:r>
        <w:rPr>
          <w:spacing w:val="2"/>
          <w:sz w:val="24"/>
        </w:rPr>
        <w:t>one-off </w:t>
      </w:r>
      <w:r>
        <w:rPr>
          <w:sz w:val="24"/>
        </w:rPr>
        <w:t>price falls, whereas there might be some </w:t>
      </w:r>
      <w:r>
        <w:rPr>
          <w:spacing w:val="3"/>
          <w:sz w:val="24"/>
        </w:rPr>
        <w:t>one-off </w:t>
      </w:r>
      <w:r>
        <w:rPr>
          <w:sz w:val="24"/>
        </w:rPr>
        <w:t>upward pressures as well; for example, it was conceivable </w:t>
      </w:r>
      <w:r>
        <w:rPr>
          <w:spacing w:val="2"/>
          <w:sz w:val="24"/>
        </w:rPr>
        <w:t>that, </w:t>
      </w:r>
      <w:r>
        <w:rPr>
          <w:sz w:val="24"/>
        </w:rPr>
        <w:t>as real incomes and wealth rose, consumers were switching from cheaper, standard goods </w:t>
      </w:r>
      <w:r>
        <w:rPr>
          <w:spacing w:val="2"/>
          <w:sz w:val="24"/>
        </w:rPr>
        <w:t>to </w:t>
      </w:r>
      <w:r>
        <w:rPr>
          <w:sz w:val="24"/>
        </w:rPr>
        <w:t>higher-margin, customised </w:t>
      </w:r>
      <w:r>
        <w:rPr>
          <w:spacing w:val="2"/>
          <w:sz w:val="24"/>
        </w:rPr>
        <w:t>or </w:t>
      </w:r>
      <w:r>
        <w:rPr>
          <w:sz w:val="24"/>
        </w:rPr>
        <w:t>designer products. Second, there were doubts about </w:t>
      </w:r>
      <w:r>
        <w:rPr>
          <w:spacing w:val="2"/>
          <w:sz w:val="24"/>
        </w:rPr>
        <w:t>reflecting </w:t>
      </w:r>
      <w:r>
        <w:rPr>
          <w:sz w:val="24"/>
        </w:rPr>
        <w:t>expected changes in </w:t>
      </w:r>
      <w:r>
        <w:rPr>
          <w:spacing w:val="2"/>
          <w:sz w:val="24"/>
        </w:rPr>
        <w:t>relative </w:t>
      </w:r>
      <w:r>
        <w:rPr>
          <w:sz w:val="24"/>
        </w:rPr>
        <w:t>prices in the aggregate nominal price level at longer horizons given </w:t>
      </w:r>
      <w:r>
        <w:rPr>
          <w:spacing w:val="2"/>
          <w:sz w:val="24"/>
        </w:rPr>
        <w:t>that, </w:t>
      </w:r>
      <w:r>
        <w:rPr>
          <w:sz w:val="24"/>
        </w:rPr>
        <w:t>by targetting inflation, the Committee influenced nominal, not </w:t>
      </w:r>
      <w:r>
        <w:rPr>
          <w:spacing w:val="2"/>
          <w:sz w:val="24"/>
        </w:rPr>
        <w:t>real, </w:t>
      </w:r>
      <w:r>
        <w:rPr>
          <w:sz w:val="24"/>
        </w:rPr>
        <w:t>demand growth </w:t>
      </w:r>
      <w:r>
        <w:rPr>
          <w:spacing w:val="4"/>
          <w:sz w:val="24"/>
        </w:rPr>
        <w:t>over </w:t>
      </w:r>
      <w:r>
        <w:rPr>
          <w:sz w:val="24"/>
        </w:rPr>
        <w:t>the medium term. While the particular downward pressures might plausibly be unanticipated in the near-term, they would more likely be anticipated as time passed. In that case, the effects </w:t>
      </w:r>
      <w:r>
        <w:rPr>
          <w:spacing w:val="3"/>
          <w:sz w:val="24"/>
        </w:rPr>
        <w:t>of </w:t>
      </w:r>
      <w:r>
        <w:rPr>
          <w:spacing w:val="2"/>
          <w:sz w:val="24"/>
        </w:rPr>
        <w:t>relative </w:t>
      </w:r>
      <w:r>
        <w:rPr>
          <w:sz w:val="24"/>
        </w:rPr>
        <w:t>price changes might not show up as a decline in the </w:t>
      </w:r>
      <w:r>
        <w:rPr>
          <w:spacing w:val="5"/>
          <w:sz w:val="24"/>
        </w:rPr>
        <w:t>overall </w:t>
      </w:r>
      <w:r>
        <w:rPr>
          <w:spacing w:val="2"/>
          <w:sz w:val="24"/>
        </w:rPr>
        <w:t>rate </w:t>
      </w:r>
      <w:r>
        <w:rPr>
          <w:spacing w:val="3"/>
          <w:sz w:val="24"/>
        </w:rPr>
        <w:t>of </w:t>
      </w:r>
      <w:r>
        <w:rPr>
          <w:sz w:val="24"/>
        </w:rPr>
        <w:t>inflation </w:t>
      </w:r>
      <w:r>
        <w:rPr>
          <w:spacing w:val="4"/>
          <w:sz w:val="24"/>
        </w:rPr>
        <w:t>over </w:t>
      </w:r>
      <w:r>
        <w:rPr>
          <w:sz w:val="24"/>
        </w:rPr>
        <w:t>the medium</w:t>
      </w:r>
      <w:r>
        <w:rPr>
          <w:spacing w:val="3"/>
          <w:sz w:val="24"/>
        </w:rPr>
        <w:t> run.</w:t>
      </w:r>
    </w:p>
    <w:p>
      <w:pPr>
        <w:pStyle w:val="BodyText"/>
        <w:spacing w:before="5"/>
        <w:rPr>
          <w:sz w:val="31"/>
        </w:rPr>
      </w:pPr>
    </w:p>
    <w:p>
      <w:pPr>
        <w:pStyle w:val="ListParagraph"/>
        <w:numPr>
          <w:ilvl w:val="0"/>
          <w:numId w:val="1"/>
        </w:numPr>
        <w:tabs>
          <w:tab w:pos="535" w:val="left" w:leader="none"/>
        </w:tabs>
        <w:spacing w:line="360" w:lineRule="auto" w:before="1" w:after="0"/>
        <w:ind w:left="104" w:right="199" w:firstLine="0"/>
        <w:jc w:val="left"/>
        <w:rPr>
          <w:sz w:val="24"/>
        </w:rPr>
      </w:pPr>
      <w:r>
        <w:rPr>
          <w:sz w:val="24"/>
        </w:rPr>
        <w:t>While</w:t>
      </w:r>
      <w:r>
        <w:rPr>
          <w:spacing w:val="-7"/>
          <w:sz w:val="24"/>
        </w:rPr>
        <w:t> </w:t>
      </w:r>
      <w:r>
        <w:rPr>
          <w:sz w:val="24"/>
        </w:rPr>
        <w:t>agreeing</w:t>
      </w:r>
      <w:r>
        <w:rPr>
          <w:spacing w:val="-7"/>
          <w:sz w:val="24"/>
        </w:rPr>
        <w:t> </w:t>
      </w:r>
      <w:r>
        <w:rPr>
          <w:sz w:val="24"/>
        </w:rPr>
        <w:t>that</w:t>
      </w:r>
      <w:r>
        <w:rPr>
          <w:spacing w:val="-1"/>
          <w:sz w:val="24"/>
        </w:rPr>
        <w:t> </w:t>
      </w:r>
      <w:r>
        <w:rPr>
          <w:sz w:val="24"/>
        </w:rPr>
        <w:t>this</w:t>
      </w:r>
      <w:r>
        <w:rPr>
          <w:spacing w:val="-7"/>
          <w:sz w:val="24"/>
        </w:rPr>
        <w:t> </w:t>
      </w:r>
      <w:r>
        <w:rPr>
          <w:sz w:val="24"/>
        </w:rPr>
        <w:t>analysis</w:t>
      </w:r>
      <w:r>
        <w:rPr>
          <w:spacing w:val="-7"/>
          <w:sz w:val="24"/>
        </w:rPr>
        <w:t> </w:t>
      </w:r>
      <w:r>
        <w:rPr>
          <w:sz w:val="24"/>
        </w:rPr>
        <w:t>applied</w:t>
      </w:r>
      <w:r>
        <w:rPr>
          <w:spacing w:val="-7"/>
          <w:sz w:val="24"/>
        </w:rPr>
        <w:t> </w:t>
      </w:r>
      <w:r>
        <w:rPr>
          <w:sz w:val="24"/>
        </w:rPr>
        <w:t>in</w:t>
      </w:r>
      <w:r>
        <w:rPr>
          <w:spacing w:val="-6"/>
          <w:sz w:val="24"/>
        </w:rPr>
        <w:t> </w:t>
      </w:r>
      <w:r>
        <w:rPr>
          <w:sz w:val="24"/>
        </w:rPr>
        <w:t>the</w:t>
      </w:r>
      <w:r>
        <w:rPr>
          <w:spacing w:val="-7"/>
          <w:sz w:val="24"/>
        </w:rPr>
        <w:t> </w:t>
      </w:r>
      <w:r>
        <w:rPr>
          <w:sz w:val="24"/>
        </w:rPr>
        <w:t>medium</w:t>
      </w:r>
      <w:r>
        <w:rPr>
          <w:spacing w:val="-6"/>
          <w:sz w:val="24"/>
        </w:rPr>
        <w:t> </w:t>
      </w:r>
      <w:r>
        <w:rPr>
          <w:spacing w:val="3"/>
          <w:sz w:val="24"/>
        </w:rPr>
        <w:t>to</w:t>
      </w:r>
      <w:r>
        <w:rPr>
          <w:spacing w:val="-2"/>
          <w:sz w:val="24"/>
        </w:rPr>
        <w:t> </w:t>
      </w:r>
      <w:r>
        <w:rPr>
          <w:sz w:val="24"/>
        </w:rPr>
        <w:t>long</w:t>
      </w:r>
      <w:r>
        <w:rPr>
          <w:spacing w:val="-7"/>
          <w:sz w:val="24"/>
        </w:rPr>
        <w:t> </w:t>
      </w:r>
      <w:r>
        <w:rPr>
          <w:spacing w:val="2"/>
          <w:sz w:val="24"/>
        </w:rPr>
        <w:t>run,</w:t>
      </w:r>
      <w:r>
        <w:rPr>
          <w:spacing w:val="-5"/>
          <w:sz w:val="24"/>
        </w:rPr>
        <w:t> </w:t>
      </w:r>
      <w:r>
        <w:rPr>
          <w:sz w:val="24"/>
        </w:rPr>
        <w:t>those</w:t>
      </w:r>
      <w:r>
        <w:rPr>
          <w:spacing w:val="-7"/>
          <w:sz w:val="24"/>
        </w:rPr>
        <w:t> </w:t>
      </w:r>
      <w:r>
        <w:rPr>
          <w:sz w:val="24"/>
        </w:rPr>
        <w:t>members</w:t>
      </w:r>
      <w:r>
        <w:rPr>
          <w:spacing w:val="-7"/>
          <w:sz w:val="24"/>
        </w:rPr>
        <w:t> </w:t>
      </w:r>
      <w:r>
        <w:rPr>
          <w:sz w:val="24"/>
        </w:rPr>
        <w:t>who</w:t>
      </w:r>
      <w:r>
        <w:rPr>
          <w:spacing w:val="-7"/>
          <w:sz w:val="24"/>
        </w:rPr>
        <w:t> </w:t>
      </w:r>
      <w:r>
        <w:rPr>
          <w:sz w:val="24"/>
        </w:rPr>
        <w:t>supported the central assumption in the forecast argued that there was sufficiently clear evidence that the downward influences </w:t>
      </w:r>
      <w:r>
        <w:rPr>
          <w:spacing w:val="2"/>
          <w:sz w:val="24"/>
        </w:rPr>
        <w:t>on </w:t>
      </w:r>
      <w:r>
        <w:rPr>
          <w:sz w:val="24"/>
        </w:rPr>
        <w:t>prices would increase during at least the next two years. </w:t>
      </w:r>
      <w:r>
        <w:rPr>
          <w:spacing w:val="2"/>
          <w:sz w:val="24"/>
        </w:rPr>
        <w:t>They </w:t>
      </w:r>
      <w:r>
        <w:rPr>
          <w:sz w:val="24"/>
        </w:rPr>
        <w:t>agreed that it was difficult </w:t>
      </w:r>
      <w:r>
        <w:rPr>
          <w:spacing w:val="3"/>
          <w:sz w:val="24"/>
        </w:rPr>
        <w:t>to </w:t>
      </w:r>
      <w:r>
        <w:rPr>
          <w:sz w:val="24"/>
        </w:rPr>
        <w:t>calibrate the short-run impact </w:t>
      </w:r>
      <w:r>
        <w:rPr>
          <w:spacing w:val="2"/>
          <w:sz w:val="24"/>
        </w:rPr>
        <w:t>of </w:t>
      </w:r>
      <w:r>
        <w:rPr>
          <w:sz w:val="24"/>
        </w:rPr>
        <w:t>longer-term structural changes such as intensified competition. The Committee agreed that the size and persistence </w:t>
      </w:r>
      <w:r>
        <w:rPr>
          <w:spacing w:val="3"/>
          <w:sz w:val="24"/>
        </w:rPr>
        <w:t>of </w:t>
      </w:r>
      <w:r>
        <w:rPr>
          <w:sz w:val="24"/>
        </w:rPr>
        <w:t>the specific effects were inevitably uncertain, making it important </w:t>
      </w:r>
      <w:r>
        <w:rPr>
          <w:spacing w:val="3"/>
          <w:sz w:val="24"/>
        </w:rPr>
        <w:t>to </w:t>
      </w:r>
      <w:r>
        <w:rPr>
          <w:spacing w:val="2"/>
          <w:sz w:val="24"/>
        </w:rPr>
        <w:t>monitor </w:t>
      </w:r>
      <w:r>
        <w:rPr>
          <w:sz w:val="24"/>
        </w:rPr>
        <w:t>the specific effects reflected in the published</w:t>
      </w:r>
      <w:r>
        <w:rPr>
          <w:spacing w:val="-41"/>
          <w:sz w:val="24"/>
        </w:rPr>
        <w:t> </w:t>
      </w:r>
      <w:r>
        <w:rPr>
          <w:sz w:val="24"/>
        </w:rPr>
        <w:t>projections.</w:t>
      </w:r>
    </w:p>
    <w:p>
      <w:pPr>
        <w:pStyle w:val="BodyText"/>
        <w:spacing w:before="10"/>
        <w:rPr>
          <w:sz w:val="31"/>
        </w:rPr>
      </w:pPr>
    </w:p>
    <w:p>
      <w:pPr>
        <w:pStyle w:val="Heading1"/>
        <w:spacing w:before="1"/>
      </w:pPr>
      <w:r>
        <w:rPr/>
        <w:t>Money, credit and asset prices</w:t>
      </w:r>
    </w:p>
    <w:p>
      <w:pPr>
        <w:pStyle w:val="BodyText"/>
        <w:rPr>
          <w:b/>
          <w:sz w:val="26"/>
        </w:rPr>
      </w:pPr>
    </w:p>
    <w:p>
      <w:pPr>
        <w:pStyle w:val="ListParagraph"/>
        <w:numPr>
          <w:ilvl w:val="0"/>
          <w:numId w:val="1"/>
        </w:numPr>
        <w:tabs>
          <w:tab w:pos="532" w:val="left" w:leader="none"/>
        </w:tabs>
        <w:spacing w:line="360" w:lineRule="auto" w:before="193" w:after="0"/>
        <w:ind w:left="104" w:right="258" w:firstLine="0"/>
        <w:jc w:val="left"/>
        <w:rPr>
          <w:sz w:val="24"/>
        </w:rPr>
      </w:pPr>
      <w:r>
        <w:rPr>
          <w:sz w:val="24"/>
        </w:rPr>
        <w:t>M4 growth had continued </w:t>
      </w:r>
      <w:r>
        <w:rPr>
          <w:spacing w:val="2"/>
          <w:sz w:val="24"/>
        </w:rPr>
        <w:t>to </w:t>
      </w:r>
      <w:r>
        <w:rPr>
          <w:sz w:val="24"/>
        </w:rPr>
        <w:t>fall, the twelve-month rate reaching 2.8% in Q3, the slowest growth rate since 1963 (when the series began). But this reflected continued falls in the money holdings </w:t>
      </w:r>
      <w:r>
        <w:rPr>
          <w:spacing w:val="3"/>
          <w:sz w:val="24"/>
        </w:rPr>
        <w:t>of </w:t>
      </w:r>
      <w:r>
        <w:rPr>
          <w:sz w:val="24"/>
        </w:rPr>
        <w:t>non-bank financial institutions </w:t>
      </w:r>
      <w:r>
        <w:rPr>
          <w:spacing w:val="2"/>
          <w:sz w:val="24"/>
        </w:rPr>
        <w:t>(OFCs). </w:t>
      </w:r>
      <w:r>
        <w:rPr>
          <w:sz w:val="24"/>
        </w:rPr>
        <w:t>OFC money and credit were generally </w:t>
      </w:r>
      <w:r>
        <w:rPr>
          <w:spacing w:val="2"/>
          <w:sz w:val="24"/>
        </w:rPr>
        <w:t>regarded </w:t>
      </w:r>
      <w:r>
        <w:rPr>
          <w:sz w:val="24"/>
        </w:rPr>
        <w:t>as being most </w:t>
      </w:r>
      <w:r>
        <w:rPr>
          <w:spacing w:val="2"/>
          <w:sz w:val="24"/>
        </w:rPr>
        <w:t>relevant </w:t>
      </w:r>
      <w:r>
        <w:rPr>
          <w:spacing w:val="3"/>
          <w:sz w:val="24"/>
        </w:rPr>
        <w:t>to </w:t>
      </w:r>
      <w:r>
        <w:rPr>
          <w:sz w:val="24"/>
        </w:rPr>
        <w:t>analysis </w:t>
      </w:r>
      <w:r>
        <w:rPr>
          <w:spacing w:val="3"/>
          <w:sz w:val="24"/>
        </w:rPr>
        <w:t>of </w:t>
      </w:r>
      <w:r>
        <w:rPr>
          <w:sz w:val="24"/>
        </w:rPr>
        <w:t>monetary conditions during periods </w:t>
      </w:r>
      <w:r>
        <w:rPr>
          <w:spacing w:val="3"/>
          <w:sz w:val="24"/>
        </w:rPr>
        <w:t>of </w:t>
      </w:r>
      <w:r>
        <w:rPr>
          <w:sz w:val="24"/>
        </w:rPr>
        <w:t>financial market</w:t>
      </w:r>
      <w:r>
        <w:rPr>
          <w:spacing w:val="-2"/>
          <w:sz w:val="24"/>
        </w:rPr>
        <w:t> </w:t>
      </w:r>
      <w:r>
        <w:rPr>
          <w:sz w:val="24"/>
        </w:rPr>
        <w:t>instability.</w:t>
      </w:r>
    </w:p>
    <w:p>
      <w:pPr>
        <w:pStyle w:val="BodyText"/>
        <w:spacing w:before="3"/>
        <w:rPr>
          <w:sz w:val="31"/>
        </w:rPr>
      </w:pPr>
    </w:p>
    <w:p>
      <w:pPr>
        <w:pStyle w:val="ListParagraph"/>
        <w:numPr>
          <w:ilvl w:val="0"/>
          <w:numId w:val="1"/>
        </w:numPr>
        <w:tabs>
          <w:tab w:pos="536" w:val="left" w:leader="none"/>
        </w:tabs>
        <w:spacing w:line="360" w:lineRule="auto" w:before="0" w:after="0"/>
        <w:ind w:left="104" w:right="449" w:firstLine="0"/>
        <w:jc w:val="left"/>
        <w:rPr>
          <w:sz w:val="24"/>
        </w:rPr>
      </w:pPr>
      <w:r>
        <w:rPr>
          <w:spacing w:val="2"/>
          <w:sz w:val="24"/>
        </w:rPr>
        <w:t>Excluding </w:t>
      </w:r>
      <w:r>
        <w:rPr>
          <w:sz w:val="24"/>
        </w:rPr>
        <w:t>OFCs, annual broad money growth had been 6.1% in Q3. Within this, household</w:t>
      </w:r>
      <w:r>
        <w:rPr>
          <w:spacing w:val="-15"/>
          <w:sz w:val="24"/>
        </w:rPr>
        <w:t> </w:t>
      </w:r>
      <w:r>
        <w:rPr>
          <w:sz w:val="24"/>
        </w:rPr>
        <w:t>M4 growth was 6.4%. M0 and household Divisia growth were each around 7%. Growth in net credit</w:t>
      </w:r>
      <w:r>
        <w:rPr>
          <w:spacing w:val="51"/>
          <w:sz w:val="24"/>
        </w:rPr>
        <w:t> </w:t>
      </w:r>
      <w:r>
        <w:rPr>
          <w:sz w:val="24"/>
        </w:rPr>
        <w:t>to</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90"/>
      </w:pPr>
      <w:r>
        <w:rPr/>
        <w:t>households was 8.6% in Q3, the highest rate since 1991. These data were broadly corroborative of the real-side evidence of continuing robust consumption growth.</w:t>
      </w:r>
    </w:p>
    <w:p>
      <w:pPr>
        <w:pStyle w:val="BodyText"/>
        <w:spacing w:before="6"/>
        <w:rPr>
          <w:sz w:val="31"/>
        </w:rPr>
      </w:pPr>
    </w:p>
    <w:p>
      <w:pPr>
        <w:pStyle w:val="ListParagraph"/>
        <w:numPr>
          <w:ilvl w:val="0"/>
          <w:numId w:val="1"/>
        </w:numPr>
        <w:tabs>
          <w:tab w:pos="533" w:val="left" w:leader="none"/>
        </w:tabs>
        <w:spacing w:line="360" w:lineRule="auto" w:before="0" w:after="0"/>
        <w:ind w:left="104" w:right="403" w:firstLine="0"/>
        <w:jc w:val="left"/>
        <w:rPr>
          <w:sz w:val="24"/>
        </w:rPr>
      </w:pPr>
      <w:r>
        <w:rPr>
          <w:sz w:val="24"/>
        </w:rPr>
        <w:t>The</w:t>
      </w:r>
      <w:r>
        <w:rPr>
          <w:spacing w:val="-3"/>
          <w:sz w:val="24"/>
        </w:rPr>
        <w:t> </w:t>
      </w:r>
      <w:r>
        <w:rPr>
          <w:sz w:val="24"/>
        </w:rPr>
        <w:t>FT</w:t>
      </w:r>
      <w:r>
        <w:rPr>
          <w:spacing w:val="-4"/>
          <w:sz w:val="24"/>
        </w:rPr>
        <w:t> </w:t>
      </w:r>
      <w:r>
        <w:rPr>
          <w:sz w:val="24"/>
        </w:rPr>
        <w:t>All</w:t>
      </w:r>
      <w:r>
        <w:rPr>
          <w:spacing w:val="-4"/>
          <w:sz w:val="24"/>
        </w:rPr>
        <w:t> </w:t>
      </w:r>
      <w:r>
        <w:rPr>
          <w:sz w:val="24"/>
        </w:rPr>
        <w:t>Share</w:t>
      </w:r>
      <w:r>
        <w:rPr>
          <w:spacing w:val="-4"/>
          <w:sz w:val="24"/>
        </w:rPr>
        <w:t> </w:t>
      </w:r>
      <w:r>
        <w:rPr>
          <w:sz w:val="24"/>
        </w:rPr>
        <w:t>Index</w:t>
      </w:r>
      <w:r>
        <w:rPr>
          <w:spacing w:val="-2"/>
          <w:sz w:val="24"/>
        </w:rPr>
        <w:t> </w:t>
      </w:r>
      <w:r>
        <w:rPr>
          <w:sz w:val="24"/>
        </w:rPr>
        <w:t>had</w:t>
      </w:r>
      <w:r>
        <w:rPr>
          <w:spacing w:val="-4"/>
          <w:sz w:val="24"/>
        </w:rPr>
        <w:t> </w:t>
      </w:r>
      <w:r>
        <w:rPr>
          <w:sz w:val="24"/>
        </w:rPr>
        <w:t>risen</w:t>
      </w:r>
      <w:r>
        <w:rPr>
          <w:spacing w:val="-3"/>
          <w:sz w:val="24"/>
        </w:rPr>
        <w:t> </w:t>
      </w:r>
      <w:r>
        <w:rPr>
          <w:sz w:val="24"/>
        </w:rPr>
        <w:t>by</w:t>
      </w:r>
      <w:r>
        <w:rPr>
          <w:spacing w:val="-4"/>
          <w:sz w:val="24"/>
        </w:rPr>
        <w:t> </w:t>
      </w:r>
      <w:r>
        <w:rPr>
          <w:sz w:val="24"/>
        </w:rPr>
        <w:t>about 2½%</w:t>
      </w:r>
      <w:r>
        <w:rPr>
          <w:spacing w:val="-4"/>
          <w:sz w:val="24"/>
        </w:rPr>
        <w:t> </w:t>
      </w:r>
      <w:r>
        <w:rPr>
          <w:spacing w:val="3"/>
          <w:sz w:val="24"/>
        </w:rPr>
        <w:t>over</w:t>
      </w:r>
      <w:r>
        <w:rPr>
          <w:sz w:val="24"/>
        </w:rPr>
        <w:t> the</w:t>
      </w:r>
      <w:r>
        <w:rPr>
          <w:spacing w:val="-4"/>
          <w:sz w:val="24"/>
        </w:rPr>
        <w:t> </w:t>
      </w:r>
      <w:r>
        <w:rPr>
          <w:sz w:val="24"/>
        </w:rPr>
        <w:t>past month,</w:t>
      </w:r>
      <w:r>
        <w:rPr>
          <w:spacing w:val="-4"/>
          <w:sz w:val="24"/>
        </w:rPr>
        <w:t> </w:t>
      </w:r>
      <w:r>
        <w:rPr>
          <w:sz w:val="24"/>
        </w:rPr>
        <w:t>and</w:t>
      </w:r>
      <w:r>
        <w:rPr>
          <w:spacing w:val="-4"/>
          <w:sz w:val="24"/>
        </w:rPr>
        <w:t> </w:t>
      </w:r>
      <w:r>
        <w:rPr>
          <w:sz w:val="24"/>
        </w:rPr>
        <w:t>was</w:t>
      </w:r>
      <w:r>
        <w:rPr>
          <w:spacing w:val="-4"/>
          <w:sz w:val="24"/>
        </w:rPr>
        <w:t> </w:t>
      </w:r>
      <w:r>
        <w:rPr>
          <w:sz w:val="24"/>
        </w:rPr>
        <w:t>at about</w:t>
      </w:r>
      <w:r>
        <w:rPr>
          <w:spacing w:val="1"/>
          <w:sz w:val="24"/>
        </w:rPr>
        <w:t> </w:t>
      </w:r>
      <w:r>
        <w:rPr>
          <w:sz w:val="24"/>
        </w:rPr>
        <w:t>the</w:t>
      </w:r>
      <w:r>
        <w:rPr>
          <w:spacing w:val="-4"/>
          <w:sz w:val="24"/>
        </w:rPr>
        <w:t> </w:t>
      </w:r>
      <w:r>
        <w:rPr>
          <w:sz w:val="24"/>
        </w:rPr>
        <w:t>same level as in August. House prices continued </w:t>
      </w:r>
      <w:r>
        <w:rPr>
          <w:spacing w:val="3"/>
          <w:sz w:val="24"/>
        </w:rPr>
        <w:t>to </w:t>
      </w:r>
      <w:r>
        <w:rPr>
          <w:sz w:val="24"/>
        </w:rPr>
        <w:t>rise rapidly, with the twelve month rate </w:t>
      </w:r>
      <w:r>
        <w:rPr>
          <w:spacing w:val="2"/>
          <w:sz w:val="24"/>
        </w:rPr>
        <w:t>on </w:t>
      </w:r>
      <w:r>
        <w:rPr>
          <w:sz w:val="24"/>
        </w:rPr>
        <w:t>both the Halifax and Nationwide indices above 10%. As already noted, since the August </w:t>
      </w:r>
      <w:r>
        <w:rPr>
          <w:i/>
          <w:sz w:val="24"/>
        </w:rPr>
        <w:t>Inflation Report </w:t>
      </w:r>
      <w:r>
        <w:rPr>
          <w:sz w:val="24"/>
        </w:rPr>
        <w:t>the sterling yield curve had steepened </w:t>
      </w:r>
      <w:r>
        <w:rPr>
          <w:spacing w:val="4"/>
          <w:sz w:val="24"/>
        </w:rPr>
        <w:t>out </w:t>
      </w:r>
      <w:r>
        <w:rPr>
          <w:spacing w:val="3"/>
          <w:sz w:val="24"/>
        </w:rPr>
        <w:t>to </w:t>
      </w:r>
      <w:r>
        <w:rPr>
          <w:sz w:val="24"/>
        </w:rPr>
        <w:t>medium</w:t>
      </w:r>
      <w:r>
        <w:rPr>
          <w:spacing w:val="17"/>
          <w:sz w:val="24"/>
        </w:rPr>
        <w:t> </w:t>
      </w:r>
      <w:r>
        <w:rPr>
          <w:sz w:val="24"/>
        </w:rPr>
        <w:t>maturities.</w:t>
      </w:r>
    </w:p>
    <w:p>
      <w:pPr>
        <w:pStyle w:val="BodyText"/>
        <w:spacing w:before="3"/>
        <w:rPr>
          <w:sz w:val="31"/>
        </w:rPr>
      </w:pPr>
    </w:p>
    <w:p>
      <w:pPr>
        <w:pStyle w:val="ListParagraph"/>
        <w:numPr>
          <w:ilvl w:val="0"/>
          <w:numId w:val="1"/>
        </w:numPr>
        <w:tabs>
          <w:tab w:pos="536" w:val="left" w:leader="none"/>
        </w:tabs>
        <w:spacing w:line="360" w:lineRule="auto" w:before="1" w:after="0"/>
        <w:ind w:left="104" w:right="187" w:firstLine="0"/>
        <w:jc w:val="left"/>
        <w:rPr>
          <w:sz w:val="24"/>
        </w:rPr>
      </w:pPr>
      <w:r>
        <w:rPr>
          <w:sz w:val="24"/>
        </w:rPr>
        <w:t>The sterling exchange rate index had risen by </w:t>
      </w:r>
      <w:r>
        <w:rPr>
          <w:spacing w:val="4"/>
          <w:sz w:val="24"/>
        </w:rPr>
        <w:t>over </w:t>
      </w:r>
      <w:r>
        <w:rPr>
          <w:sz w:val="24"/>
        </w:rPr>
        <w:t>half a percentage point since the Committee’s October</w:t>
      </w:r>
      <w:r>
        <w:rPr>
          <w:spacing w:val="-6"/>
          <w:sz w:val="24"/>
        </w:rPr>
        <w:t> </w:t>
      </w:r>
      <w:r>
        <w:rPr>
          <w:sz w:val="24"/>
        </w:rPr>
        <w:t>meeting</w:t>
      </w:r>
      <w:r>
        <w:rPr>
          <w:spacing w:val="-6"/>
          <w:sz w:val="24"/>
        </w:rPr>
        <w:t> </w:t>
      </w:r>
      <w:r>
        <w:rPr>
          <w:sz w:val="24"/>
        </w:rPr>
        <w:t>and</w:t>
      </w:r>
      <w:r>
        <w:rPr>
          <w:spacing w:val="-6"/>
          <w:sz w:val="24"/>
        </w:rPr>
        <w:t> </w:t>
      </w:r>
      <w:r>
        <w:rPr>
          <w:sz w:val="24"/>
        </w:rPr>
        <w:t>was</w:t>
      </w:r>
      <w:r>
        <w:rPr>
          <w:spacing w:val="-6"/>
          <w:sz w:val="24"/>
        </w:rPr>
        <w:t> </w:t>
      </w:r>
      <w:r>
        <w:rPr>
          <w:sz w:val="24"/>
        </w:rPr>
        <w:t>about</w:t>
      </w:r>
      <w:r>
        <w:rPr>
          <w:spacing w:val="-1"/>
          <w:sz w:val="24"/>
        </w:rPr>
        <w:t> </w:t>
      </w:r>
      <w:r>
        <w:rPr>
          <w:sz w:val="24"/>
        </w:rPr>
        <w:t>three</w:t>
      </w:r>
      <w:r>
        <w:rPr>
          <w:spacing w:val="-6"/>
          <w:sz w:val="24"/>
        </w:rPr>
        <w:t> </w:t>
      </w:r>
      <w:r>
        <w:rPr>
          <w:sz w:val="24"/>
        </w:rPr>
        <w:t>percentage</w:t>
      </w:r>
      <w:r>
        <w:rPr>
          <w:spacing w:val="-6"/>
          <w:sz w:val="24"/>
        </w:rPr>
        <w:t> </w:t>
      </w:r>
      <w:r>
        <w:rPr>
          <w:sz w:val="24"/>
        </w:rPr>
        <w:t>points</w:t>
      </w:r>
      <w:r>
        <w:rPr>
          <w:spacing w:val="-6"/>
          <w:sz w:val="24"/>
        </w:rPr>
        <w:t> </w:t>
      </w:r>
      <w:r>
        <w:rPr>
          <w:sz w:val="24"/>
        </w:rPr>
        <w:t>above</w:t>
      </w:r>
      <w:r>
        <w:rPr>
          <w:spacing w:val="-5"/>
          <w:sz w:val="24"/>
        </w:rPr>
        <w:t> </w:t>
      </w:r>
      <w:r>
        <w:rPr>
          <w:sz w:val="24"/>
        </w:rPr>
        <w:t>the</w:t>
      </w:r>
      <w:r>
        <w:rPr>
          <w:spacing w:val="-6"/>
          <w:sz w:val="24"/>
        </w:rPr>
        <w:t> </w:t>
      </w:r>
      <w:r>
        <w:rPr>
          <w:sz w:val="24"/>
        </w:rPr>
        <w:t>path</w:t>
      </w:r>
      <w:r>
        <w:rPr>
          <w:spacing w:val="-6"/>
          <w:sz w:val="24"/>
        </w:rPr>
        <w:t> </w:t>
      </w:r>
      <w:r>
        <w:rPr>
          <w:sz w:val="24"/>
        </w:rPr>
        <w:t>assumed</w:t>
      </w:r>
      <w:r>
        <w:rPr>
          <w:spacing w:val="-6"/>
          <w:sz w:val="24"/>
        </w:rPr>
        <w:t> </w:t>
      </w:r>
      <w:r>
        <w:rPr>
          <w:sz w:val="24"/>
        </w:rPr>
        <w:t>in</w:t>
      </w:r>
      <w:r>
        <w:rPr>
          <w:spacing w:val="-5"/>
          <w:sz w:val="24"/>
        </w:rPr>
        <w:t> </w:t>
      </w:r>
      <w:r>
        <w:rPr>
          <w:sz w:val="24"/>
        </w:rPr>
        <w:t>the</w:t>
      </w:r>
      <w:r>
        <w:rPr>
          <w:spacing w:val="-6"/>
          <w:sz w:val="24"/>
        </w:rPr>
        <w:t> </w:t>
      </w:r>
      <w:r>
        <w:rPr>
          <w:sz w:val="24"/>
        </w:rPr>
        <w:t>August fan</w:t>
      </w:r>
      <w:r>
        <w:rPr>
          <w:spacing w:val="-6"/>
          <w:sz w:val="24"/>
        </w:rPr>
        <w:t> </w:t>
      </w:r>
      <w:r>
        <w:rPr>
          <w:sz w:val="24"/>
        </w:rPr>
        <w:t>chart projections. The Committee agreed </w:t>
      </w:r>
      <w:r>
        <w:rPr>
          <w:spacing w:val="3"/>
          <w:sz w:val="24"/>
        </w:rPr>
        <w:t>to </w:t>
      </w:r>
      <w:r>
        <w:rPr>
          <w:sz w:val="24"/>
        </w:rPr>
        <w:t>incorporate in its published November projections an assumption</w:t>
      </w:r>
      <w:r>
        <w:rPr>
          <w:spacing w:val="-5"/>
          <w:sz w:val="24"/>
        </w:rPr>
        <w:t> </w:t>
      </w:r>
      <w:r>
        <w:rPr>
          <w:sz w:val="24"/>
        </w:rPr>
        <w:t>that</w:t>
      </w:r>
      <w:r>
        <w:rPr>
          <w:spacing w:val="-1"/>
          <w:sz w:val="24"/>
        </w:rPr>
        <w:t> </w:t>
      </w:r>
      <w:r>
        <w:rPr>
          <w:sz w:val="24"/>
        </w:rPr>
        <w:t>sterling</w:t>
      </w:r>
      <w:r>
        <w:rPr>
          <w:spacing w:val="-5"/>
          <w:sz w:val="24"/>
        </w:rPr>
        <w:t> </w:t>
      </w:r>
      <w:r>
        <w:rPr>
          <w:sz w:val="24"/>
        </w:rPr>
        <w:t>would</w:t>
      </w:r>
      <w:r>
        <w:rPr>
          <w:spacing w:val="-6"/>
          <w:sz w:val="24"/>
        </w:rPr>
        <w:t> </w:t>
      </w:r>
      <w:r>
        <w:rPr>
          <w:sz w:val="24"/>
        </w:rPr>
        <w:t>be</w:t>
      </w:r>
      <w:r>
        <w:rPr>
          <w:spacing w:val="-5"/>
          <w:sz w:val="24"/>
        </w:rPr>
        <w:t> </w:t>
      </w:r>
      <w:r>
        <w:rPr>
          <w:sz w:val="24"/>
        </w:rPr>
        <w:t>half</w:t>
      </w:r>
      <w:r>
        <w:rPr>
          <w:spacing w:val="-6"/>
          <w:sz w:val="24"/>
        </w:rPr>
        <w:t> </w:t>
      </w:r>
      <w:r>
        <w:rPr>
          <w:sz w:val="24"/>
        </w:rPr>
        <w:t>way</w:t>
      </w:r>
      <w:r>
        <w:rPr>
          <w:spacing w:val="-5"/>
          <w:sz w:val="24"/>
        </w:rPr>
        <w:t> </w:t>
      </w:r>
      <w:r>
        <w:rPr>
          <w:sz w:val="24"/>
        </w:rPr>
        <w:t>between</w:t>
      </w:r>
      <w:r>
        <w:rPr>
          <w:spacing w:val="-6"/>
          <w:sz w:val="24"/>
        </w:rPr>
        <w:t> </w:t>
      </w:r>
      <w:r>
        <w:rPr>
          <w:sz w:val="24"/>
        </w:rPr>
        <w:t>its</w:t>
      </w:r>
      <w:r>
        <w:rPr>
          <w:spacing w:val="-5"/>
          <w:sz w:val="24"/>
        </w:rPr>
        <w:t> </w:t>
      </w:r>
      <w:r>
        <w:rPr>
          <w:sz w:val="24"/>
        </w:rPr>
        <w:t>current</w:t>
      </w:r>
      <w:r>
        <w:rPr>
          <w:spacing w:val="-1"/>
          <w:sz w:val="24"/>
        </w:rPr>
        <w:t> </w:t>
      </w:r>
      <w:r>
        <w:rPr>
          <w:sz w:val="24"/>
        </w:rPr>
        <w:t>rate</w:t>
      </w:r>
      <w:r>
        <w:rPr>
          <w:spacing w:val="-3"/>
          <w:sz w:val="24"/>
        </w:rPr>
        <w:t> </w:t>
      </w:r>
      <w:r>
        <w:rPr>
          <w:sz w:val="24"/>
        </w:rPr>
        <w:t>and</w:t>
      </w:r>
      <w:r>
        <w:rPr>
          <w:spacing w:val="-6"/>
          <w:sz w:val="24"/>
        </w:rPr>
        <w:t> </w:t>
      </w:r>
      <w:r>
        <w:rPr>
          <w:sz w:val="24"/>
        </w:rPr>
        <w:t>a</w:t>
      </w:r>
      <w:r>
        <w:rPr>
          <w:spacing w:val="-6"/>
          <w:sz w:val="24"/>
        </w:rPr>
        <w:t> </w:t>
      </w:r>
      <w:r>
        <w:rPr>
          <w:sz w:val="24"/>
        </w:rPr>
        <w:t>path</w:t>
      </w:r>
      <w:r>
        <w:rPr>
          <w:spacing w:val="-5"/>
          <w:sz w:val="24"/>
        </w:rPr>
        <w:t> </w:t>
      </w:r>
      <w:r>
        <w:rPr>
          <w:sz w:val="24"/>
        </w:rPr>
        <w:t>related</w:t>
      </w:r>
      <w:r>
        <w:rPr>
          <w:spacing w:val="-4"/>
          <w:sz w:val="24"/>
        </w:rPr>
        <w:t> </w:t>
      </w:r>
      <w:r>
        <w:rPr>
          <w:spacing w:val="2"/>
          <w:sz w:val="24"/>
        </w:rPr>
        <w:t>to</w:t>
      </w:r>
      <w:r>
        <w:rPr>
          <w:sz w:val="24"/>
        </w:rPr>
        <w:t> market</w:t>
      </w:r>
      <w:r>
        <w:rPr>
          <w:spacing w:val="-1"/>
          <w:sz w:val="24"/>
        </w:rPr>
        <w:t> </w:t>
      </w:r>
      <w:r>
        <w:rPr>
          <w:sz w:val="24"/>
        </w:rPr>
        <w:t>interest rate differentials, with the sensitivity </w:t>
      </w:r>
      <w:r>
        <w:rPr>
          <w:spacing w:val="2"/>
          <w:sz w:val="24"/>
        </w:rPr>
        <w:t>of </w:t>
      </w:r>
      <w:r>
        <w:rPr>
          <w:sz w:val="24"/>
        </w:rPr>
        <w:t>the projections </w:t>
      </w:r>
      <w:r>
        <w:rPr>
          <w:spacing w:val="3"/>
          <w:sz w:val="24"/>
        </w:rPr>
        <w:t>to </w:t>
      </w:r>
      <w:r>
        <w:rPr>
          <w:sz w:val="24"/>
        </w:rPr>
        <w:t>both shown in the </w:t>
      </w:r>
      <w:r>
        <w:rPr>
          <w:i/>
          <w:sz w:val="24"/>
        </w:rPr>
        <w:t>Inflation Report</w:t>
      </w:r>
      <w:r>
        <w:rPr>
          <w:sz w:val="24"/>
        </w:rPr>
        <w:t>. Some members inclined towards the former, and some preferred the</w:t>
      </w:r>
      <w:r>
        <w:rPr>
          <w:spacing w:val="16"/>
          <w:sz w:val="24"/>
        </w:rPr>
        <w:t> </w:t>
      </w:r>
      <w:r>
        <w:rPr>
          <w:sz w:val="24"/>
        </w:rPr>
        <w:t>latter.</w:t>
      </w:r>
    </w:p>
    <w:p>
      <w:pPr>
        <w:pStyle w:val="BodyText"/>
        <w:spacing w:before="6"/>
        <w:rPr>
          <w:sz w:val="31"/>
        </w:rPr>
      </w:pPr>
    </w:p>
    <w:p>
      <w:pPr>
        <w:pStyle w:val="Heading1"/>
      </w:pPr>
      <w:r>
        <w:rPr/>
        <w:t>The world economic outlook</w:t>
      </w:r>
    </w:p>
    <w:p>
      <w:pPr>
        <w:pStyle w:val="BodyText"/>
        <w:rPr>
          <w:b/>
          <w:sz w:val="26"/>
        </w:rPr>
      </w:pPr>
    </w:p>
    <w:p>
      <w:pPr>
        <w:pStyle w:val="ListParagraph"/>
        <w:numPr>
          <w:ilvl w:val="0"/>
          <w:numId w:val="1"/>
        </w:numPr>
        <w:tabs>
          <w:tab w:pos="535" w:val="left" w:leader="none"/>
        </w:tabs>
        <w:spacing w:line="360" w:lineRule="auto" w:before="193" w:after="0"/>
        <w:ind w:left="104" w:right="156" w:firstLine="0"/>
        <w:jc w:val="left"/>
        <w:rPr>
          <w:sz w:val="24"/>
        </w:rPr>
      </w:pPr>
      <w:r>
        <w:rPr>
          <w:sz w:val="24"/>
        </w:rPr>
        <w:t>The Committee noted the assumptions it had made in its latest projections. The </w:t>
      </w:r>
      <w:r>
        <w:rPr>
          <w:spacing w:val="4"/>
          <w:sz w:val="24"/>
        </w:rPr>
        <w:t>outlook </w:t>
      </w:r>
      <w:r>
        <w:rPr>
          <w:sz w:val="24"/>
        </w:rPr>
        <w:t>in each of the US, the euro area and Japan was somewhat better, and prospects among the emerging market economies</w:t>
      </w:r>
      <w:r>
        <w:rPr>
          <w:spacing w:val="-9"/>
          <w:sz w:val="24"/>
        </w:rPr>
        <w:t> </w:t>
      </w:r>
      <w:r>
        <w:rPr>
          <w:sz w:val="24"/>
        </w:rPr>
        <w:t>had</w:t>
      </w:r>
      <w:r>
        <w:rPr>
          <w:spacing w:val="-8"/>
          <w:sz w:val="24"/>
        </w:rPr>
        <w:t> </w:t>
      </w:r>
      <w:r>
        <w:rPr>
          <w:sz w:val="24"/>
        </w:rPr>
        <w:t>generally</w:t>
      </w:r>
      <w:r>
        <w:rPr>
          <w:spacing w:val="-8"/>
          <w:sz w:val="24"/>
        </w:rPr>
        <w:t> </w:t>
      </w:r>
      <w:r>
        <w:rPr>
          <w:sz w:val="24"/>
        </w:rPr>
        <w:t>improved.</w:t>
      </w:r>
      <w:r>
        <w:rPr>
          <w:spacing w:val="43"/>
          <w:sz w:val="24"/>
        </w:rPr>
        <w:t> </w:t>
      </w:r>
      <w:r>
        <w:rPr>
          <w:sz w:val="24"/>
        </w:rPr>
        <w:t>The</w:t>
      </w:r>
      <w:r>
        <w:rPr>
          <w:spacing w:val="-7"/>
          <w:sz w:val="24"/>
        </w:rPr>
        <w:t> </w:t>
      </w:r>
      <w:r>
        <w:rPr>
          <w:spacing w:val="5"/>
          <w:sz w:val="24"/>
        </w:rPr>
        <w:t>overall</w:t>
      </w:r>
      <w:r>
        <w:rPr>
          <w:spacing w:val="-4"/>
          <w:sz w:val="24"/>
        </w:rPr>
        <w:t> </w:t>
      </w:r>
      <w:r>
        <w:rPr>
          <w:sz w:val="24"/>
        </w:rPr>
        <w:t>picture</w:t>
      </w:r>
      <w:r>
        <w:rPr>
          <w:spacing w:val="-8"/>
          <w:sz w:val="24"/>
        </w:rPr>
        <w:t> </w:t>
      </w:r>
      <w:r>
        <w:rPr>
          <w:sz w:val="24"/>
        </w:rPr>
        <w:t>was</w:t>
      </w:r>
      <w:r>
        <w:rPr>
          <w:spacing w:val="-9"/>
          <w:sz w:val="24"/>
        </w:rPr>
        <w:t> </w:t>
      </w:r>
      <w:r>
        <w:rPr>
          <w:sz w:val="24"/>
        </w:rPr>
        <w:t>therefore</w:t>
      </w:r>
      <w:r>
        <w:rPr>
          <w:spacing w:val="-8"/>
          <w:sz w:val="24"/>
        </w:rPr>
        <w:t> </w:t>
      </w:r>
      <w:r>
        <w:rPr>
          <w:sz w:val="24"/>
        </w:rPr>
        <w:t>slightly</w:t>
      </w:r>
      <w:r>
        <w:rPr>
          <w:spacing w:val="-8"/>
          <w:sz w:val="24"/>
        </w:rPr>
        <w:t> </w:t>
      </w:r>
      <w:r>
        <w:rPr>
          <w:spacing w:val="2"/>
          <w:sz w:val="24"/>
        </w:rPr>
        <w:t>stronger</w:t>
      </w:r>
      <w:r>
        <w:rPr>
          <w:spacing w:val="-8"/>
          <w:sz w:val="24"/>
        </w:rPr>
        <w:t> </w:t>
      </w:r>
      <w:r>
        <w:rPr>
          <w:sz w:val="24"/>
        </w:rPr>
        <w:t>than</w:t>
      </w:r>
      <w:r>
        <w:rPr>
          <w:spacing w:val="-8"/>
          <w:sz w:val="24"/>
        </w:rPr>
        <w:t> </w:t>
      </w:r>
      <w:r>
        <w:rPr>
          <w:sz w:val="24"/>
        </w:rPr>
        <w:t>assumed</w:t>
      </w:r>
      <w:r>
        <w:rPr>
          <w:spacing w:val="-9"/>
          <w:sz w:val="24"/>
        </w:rPr>
        <w:t> </w:t>
      </w:r>
      <w:r>
        <w:rPr>
          <w:sz w:val="24"/>
        </w:rPr>
        <w:t>in the Committee’s August projection, although there </w:t>
      </w:r>
      <w:r>
        <w:rPr>
          <w:spacing w:val="2"/>
          <w:sz w:val="24"/>
        </w:rPr>
        <w:t>remained </w:t>
      </w:r>
      <w:r>
        <w:rPr>
          <w:sz w:val="24"/>
        </w:rPr>
        <w:t>clear downside </w:t>
      </w:r>
      <w:r>
        <w:rPr>
          <w:spacing w:val="2"/>
          <w:sz w:val="24"/>
        </w:rPr>
        <w:t>risks </w:t>
      </w:r>
      <w:r>
        <w:rPr>
          <w:sz w:val="24"/>
        </w:rPr>
        <w:t>from the possibility </w:t>
      </w:r>
      <w:r>
        <w:rPr>
          <w:spacing w:val="2"/>
          <w:sz w:val="24"/>
        </w:rPr>
        <w:t>of </w:t>
      </w:r>
      <w:r>
        <w:rPr>
          <w:sz w:val="24"/>
        </w:rPr>
        <w:t>an equity price correction in the USA and persistent current account</w:t>
      </w:r>
      <w:r>
        <w:rPr>
          <w:spacing w:val="15"/>
          <w:sz w:val="24"/>
        </w:rPr>
        <w:t> </w:t>
      </w:r>
      <w:r>
        <w:rPr>
          <w:sz w:val="24"/>
        </w:rPr>
        <w:t>imbalances.</w:t>
      </w:r>
    </w:p>
    <w:p>
      <w:pPr>
        <w:pStyle w:val="BodyText"/>
        <w:spacing w:before="7"/>
        <w:rPr>
          <w:sz w:val="31"/>
        </w:rPr>
      </w:pPr>
    </w:p>
    <w:p>
      <w:pPr>
        <w:pStyle w:val="ListParagraph"/>
        <w:numPr>
          <w:ilvl w:val="0"/>
          <w:numId w:val="1"/>
        </w:numPr>
        <w:tabs>
          <w:tab w:pos="532" w:val="left" w:leader="none"/>
        </w:tabs>
        <w:spacing w:line="360" w:lineRule="auto" w:before="0" w:after="0"/>
        <w:ind w:left="104" w:right="254" w:firstLine="0"/>
        <w:jc w:val="left"/>
        <w:rPr>
          <w:sz w:val="24"/>
        </w:rPr>
      </w:pPr>
      <w:r>
        <w:rPr>
          <w:sz w:val="24"/>
        </w:rPr>
        <w:t>Against</w:t>
      </w:r>
      <w:r>
        <w:rPr>
          <w:spacing w:val="-6"/>
          <w:sz w:val="24"/>
        </w:rPr>
        <w:t> </w:t>
      </w:r>
      <w:r>
        <w:rPr>
          <w:sz w:val="24"/>
        </w:rPr>
        <w:t>this</w:t>
      </w:r>
      <w:r>
        <w:rPr>
          <w:spacing w:val="-11"/>
          <w:sz w:val="24"/>
        </w:rPr>
        <w:t> </w:t>
      </w:r>
      <w:r>
        <w:rPr>
          <w:sz w:val="24"/>
        </w:rPr>
        <w:t>background,</w:t>
      </w:r>
      <w:r>
        <w:rPr>
          <w:spacing w:val="-10"/>
          <w:sz w:val="24"/>
        </w:rPr>
        <w:t> </w:t>
      </w:r>
      <w:r>
        <w:rPr>
          <w:sz w:val="24"/>
        </w:rPr>
        <w:t>Committee</w:t>
      </w:r>
      <w:r>
        <w:rPr>
          <w:spacing w:val="-10"/>
          <w:sz w:val="24"/>
        </w:rPr>
        <w:t> </w:t>
      </w:r>
      <w:r>
        <w:rPr>
          <w:sz w:val="24"/>
        </w:rPr>
        <w:t>members</w:t>
      </w:r>
      <w:r>
        <w:rPr>
          <w:spacing w:val="-10"/>
          <w:sz w:val="24"/>
        </w:rPr>
        <w:t> </w:t>
      </w:r>
      <w:r>
        <w:rPr>
          <w:sz w:val="24"/>
        </w:rPr>
        <w:t>agreed</w:t>
      </w:r>
      <w:r>
        <w:rPr>
          <w:spacing w:val="-10"/>
          <w:sz w:val="24"/>
        </w:rPr>
        <w:t> </w:t>
      </w:r>
      <w:r>
        <w:rPr>
          <w:sz w:val="24"/>
        </w:rPr>
        <w:t>that</w:t>
      </w:r>
      <w:r>
        <w:rPr>
          <w:spacing w:val="-6"/>
          <w:sz w:val="24"/>
        </w:rPr>
        <w:t> </w:t>
      </w:r>
      <w:r>
        <w:rPr>
          <w:sz w:val="24"/>
        </w:rPr>
        <w:t>the</w:t>
      </w:r>
      <w:r>
        <w:rPr>
          <w:spacing w:val="-10"/>
          <w:sz w:val="24"/>
        </w:rPr>
        <w:t> </w:t>
      </w:r>
      <w:r>
        <w:rPr>
          <w:spacing w:val="4"/>
          <w:sz w:val="24"/>
        </w:rPr>
        <w:t>outlook</w:t>
      </w:r>
      <w:r>
        <w:rPr>
          <w:spacing w:val="-6"/>
          <w:sz w:val="24"/>
        </w:rPr>
        <w:t> </w:t>
      </w:r>
      <w:r>
        <w:rPr>
          <w:sz w:val="24"/>
        </w:rPr>
        <w:t>for</w:t>
      </w:r>
      <w:r>
        <w:rPr>
          <w:spacing w:val="-10"/>
          <w:sz w:val="24"/>
        </w:rPr>
        <w:t> </w:t>
      </w:r>
      <w:r>
        <w:rPr>
          <w:sz w:val="24"/>
        </w:rPr>
        <w:t>world</w:t>
      </w:r>
      <w:r>
        <w:rPr>
          <w:spacing w:val="-10"/>
          <w:sz w:val="24"/>
        </w:rPr>
        <w:t> </w:t>
      </w:r>
      <w:r>
        <w:rPr>
          <w:sz w:val="24"/>
        </w:rPr>
        <w:t>prices</w:t>
      </w:r>
      <w:r>
        <w:rPr>
          <w:spacing w:val="-10"/>
          <w:sz w:val="24"/>
        </w:rPr>
        <w:t> </w:t>
      </w:r>
      <w:r>
        <w:rPr>
          <w:sz w:val="24"/>
        </w:rPr>
        <w:t>looked</w:t>
      </w:r>
      <w:r>
        <w:rPr>
          <w:spacing w:val="-10"/>
          <w:sz w:val="24"/>
        </w:rPr>
        <w:t> </w:t>
      </w:r>
      <w:r>
        <w:rPr>
          <w:sz w:val="24"/>
        </w:rPr>
        <w:t>less benign than at the time </w:t>
      </w:r>
      <w:r>
        <w:rPr>
          <w:spacing w:val="3"/>
          <w:sz w:val="24"/>
        </w:rPr>
        <w:t>of </w:t>
      </w:r>
      <w:r>
        <w:rPr>
          <w:sz w:val="24"/>
        </w:rPr>
        <w:t>the August </w:t>
      </w:r>
      <w:r>
        <w:rPr>
          <w:i/>
          <w:sz w:val="24"/>
        </w:rPr>
        <w:t>Inflation Report</w:t>
      </w:r>
      <w:r>
        <w:rPr>
          <w:sz w:val="24"/>
        </w:rPr>
        <w:t>. While there was still spare capacity in parts </w:t>
      </w:r>
      <w:r>
        <w:rPr>
          <w:spacing w:val="3"/>
          <w:sz w:val="24"/>
        </w:rPr>
        <w:t>of </w:t>
      </w:r>
      <w:r>
        <w:rPr>
          <w:sz w:val="24"/>
        </w:rPr>
        <w:t>the world economy, this was being utilised as a generalised recovery progressed. Imported price inflation had been weak (or negative) </w:t>
      </w:r>
      <w:r>
        <w:rPr>
          <w:spacing w:val="3"/>
          <w:sz w:val="24"/>
        </w:rPr>
        <w:t>over </w:t>
      </w:r>
      <w:r>
        <w:rPr>
          <w:sz w:val="24"/>
        </w:rPr>
        <w:t>the past few years, but had recently begun </w:t>
      </w:r>
      <w:r>
        <w:rPr>
          <w:spacing w:val="3"/>
          <w:sz w:val="24"/>
        </w:rPr>
        <w:t>to</w:t>
      </w:r>
      <w:r>
        <w:rPr>
          <w:spacing w:val="-2"/>
          <w:sz w:val="24"/>
        </w:rPr>
        <w:t> </w:t>
      </w:r>
      <w:r>
        <w:rPr>
          <w:sz w:val="24"/>
        </w:rPr>
        <w:t>rise.</w:t>
      </w:r>
    </w:p>
    <w:p>
      <w:pPr>
        <w:pStyle w:val="BodyText"/>
        <w:spacing w:before="8"/>
        <w:rPr>
          <w:sz w:val="31"/>
        </w:rPr>
      </w:pPr>
    </w:p>
    <w:p>
      <w:pPr>
        <w:pStyle w:val="Heading1"/>
        <w:spacing w:before="1"/>
      </w:pPr>
      <w:r>
        <w:rPr/>
        <w:t>The November inflation and output growth projections</w:t>
      </w:r>
    </w:p>
    <w:p>
      <w:pPr>
        <w:pStyle w:val="BodyText"/>
        <w:rPr>
          <w:b/>
          <w:sz w:val="26"/>
        </w:rPr>
      </w:pPr>
    </w:p>
    <w:p>
      <w:pPr>
        <w:pStyle w:val="ListParagraph"/>
        <w:numPr>
          <w:ilvl w:val="0"/>
          <w:numId w:val="1"/>
        </w:numPr>
        <w:tabs>
          <w:tab w:pos="533" w:val="left" w:leader="none"/>
        </w:tabs>
        <w:spacing w:line="240" w:lineRule="auto" w:before="193" w:after="0"/>
        <w:ind w:left="532" w:right="0" w:hanging="429"/>
        <w:jc w:val="left"/>
        <w:rPr>
          <w:sz w:val="24"/>
        </w:rPr>
      </w:pPr>
      <w:r>
        <w:rPr>
          <w:sz w:val="24"/>
        </w:rPr>
        <w:t>The Committee agreed the projections </w:t>
      </w:r>
      <w:r>
        <w:rPr>
          <w:spacing w:val="3"/>
          <w:sz w:val="24"/>
        </w:rPr>
        <w:t>to </w:t>
      </w:r>
      <w:r>
        <w:rPr>
          <w:sz w:val="24"/>
        </w:rPr>
        <w:t>be published in the </w:t>
      </w:r>
      <w:r>
        <w:rPr>
          <w:i/>
          <w:sz w:val="24"/>
        </w:rPr>
        <w:t>Inflation Report </w:t>
      </w:r>
      <w:r>
        <w:rPr>
          <w:spacing w:val="2"/>
          <w:sz w:val="24"/>
        </w:rPr>
        <w:t>on </w:t>
      </w:r>
      <w:r>
        <w:rPr>
          <w:sz w:val="24"/>
        </w:rPr>
        <w:t>10</w:t>
      </w:r>
      <w:r>
        <w:rPr>
          <w:spacing w:val="-27"/>
          <w:sz w:val="24"/>
        </w:rPr>
        <w:t> </w:t>
      </w:r>
      <w:r>
        <w:rPr>
          <w:sz w:val="24"/>
        </w:rPr>
        <w:t>November.</w:t>
      </w:r>
    </w:p>
    <w:p>
      <w:pPr>
        <w:pStyle w:val="BodyText"/>
        <w:rPr>
          <w:sz w:val="26"/>
        </w:rPr>
      </w:pPr>
    </w:p>
    <w:p>
      <w:pPr>
        <w:pStyle w:val="ListParagraph"/>
        <w:numPr>
          <w:ilvl w:val="0"/>
          <w:numId w:val="1"/>
        </w:numPr>
        <w:tabs>
          <w:tab w:pos="533" w:val="left" w:leader="none"/>
        </w:tabs>
        <w:spacing w:line="360" w:lineRule="auto" w:before="197" w:after="0"/>
        <w:ind w:left="104" w:right="159" w:firstLine="0"/>
        <w:jc w:val="left"/>
        <w:rPr>
          <w:sz w:val="24"/>
        </w:rPr>
      </w:pPr>
      <w:r>
        <w:rPr>
          <w:sz w:val="24"/>
        </w:rPr>
        <w:t>On</w:t>
      </w:r>
      <w:r>
        <w:rPr>
          <w:spacing w:val="-9"/>
          <w:sz w:val="24"/>
        </w:rPr>
        <w:t> </w:t>
      </w:r>
      <w:r>
        <w:rPr>
          <w:sz w:val="24"/>
        </w:rPr>
        <w:t>the</w:t>
      </w:r>
      <w:r>
        <w:rPr>
          <w:spacing w:val="-9"/>
          <w:sz w:val="24"/>
        </w:rPr>
        <w:t> </w:t>
      </w:r>
      <w:r>
        <w:rPr>
          <w:sz w:val="24"/>
        </w:rPr>
        <w:t>assumption</w:t>
      </w:r>
      <w:r>
        <w:rPr>
          <w:spacing w:val="-9"/>
          <w:sz w:val="24"/>
        </w:rPr>
        <w:t> </w:t>
      </w:r>
      <w:r>
        <w:rPr>
          <w:spacing w:val="2"/>
          <w:sz w:val="24"/>
        </w:rPr>
        <w:t>of</w:t>
      </w:r>
      <w:r>
        <w:rPr>
          <w:spacing w:val="-5"/>
          <w:sz w:val="24"/>
        </w:rPr>
        <w:t> </w:t>
      </w:r>
      <w:r>
        <w:rPr>
          <w:sz w:val="24"/>
        </w:rPr>
        <w:t>constant</w:t>
      </w:r>
      <w:r>
        <w:rPr>
          <w:spacing w:val="-5"/>
          <w:sz w:val="24"/>
        </w:rPr>
        <w:t> </w:t>
      </w:r>
      <w:r>
        <w:rPr>
          <w:spacing w:val="4"/>
          <w:sz w:val="24"/>
        </w:rPr>
        <w:t>official</w:t>
      </w:r>
      <w:r>
        <w:rPr>
          <w:spacing w:val="-5"/>
          <w:sz w:val="24"/>
        </w:rPr>
        <w:t> </w:t>
      </w:r>
      <w:r>
        <w:rPr>
          <w:sz w:val="24"/>
        </w:rPr>
        <w:t>interest</w:t>
      </w:r>
      <w:r>
        <w:rPr>
          <w:spacing w:val="-4"/>
          <w:sz w:val="24"/>
        </w:rPr>
        <w:t> </w:t>
      </w:r>
      <w:r>
        <w:rPr>
          <w:sz w:val="24"/>
        </w:rPr>
        <w:t>rates</w:t>
      </w:r>
      <w:r>
        <w:rPr>
          <w:spacing w:val="-8"/>
          <w:sz w:val="24"/>
        </w:rPr>
        <w:t> </w:t>
      </w:r>
      <w:r>
        <w:rPr>
          <w:spacing w:val="2"/>
          <w:sz w:val="24"/>
        </w:rPr>
        <w:t>of</w:t>
      </w:r>
      <w:r>
        <w:rPr>
          <w:spacing w:val="-5"/>
          <w:sz w:val="24"/>
        </w:rPr>
        <w:t> </w:t>
      </w:r>
      <w:r>
        <w:rPr>
          <w:sz w:val="24"/>
        </w:rPr>
        <w:t>5.5%,</w:t>
      </w:r>
      <w:r>
        <w:rPr>
          <w:spacing w:val="-8"/>
          <w:sz w:val="24"/>
        </w:rPr>
        <w:t> </w:t>
      </w:r>
      <w:r>
        <w:rPr>
          <w:sz w:val="24"/>
        </w:rPr>
        <w:t>the</w:t>
      </w:r>
      <w:r>
        <w:rPr>
          <w:spacing w:val="-9"/>
          <w:sz w:val="24"/>
        </w:rPr>
        <w:t> </w:t>
      </w:r>
      <w:r>
        <w:rPr>
          <w:sz w:val="24"/>
        </w:rPr>
        <w:t>central</w:t>
      </w:r>
      <w:r>
        <w:rPr>
          <w:spacing w:val="-10"/>
          <w:sz w:val="24"/>
        </w:rPr>
        <w:t> </w:t>
      </w:r>
      <w:r>
        <w:rPr>
          <w:sz w:val="24"/>
        </w:rPr>
        <w:t>projection</w:t>
      </w:r>
      <w:r>
        <w:rPr>
          <w:spacing w:val="-9"/>
          <w:sz w:val="24"/>
        </w:rPr>
        <w:t> </w:t>
      </w:r>
      <w:r>
        <w:rPr>
          <w:sz w:val="24"/>
        </w:rPr>
        <w:t>in</w:t>
      </w:r>
      <w:r>
        <w:rPr>
          <w:spacing w:val="-8"/>
          <w:sz w:val="24"/>
        </w:rPr>
        <w:t> </w:t>
      </w:r>
      <w:r>
        <w:rPr>
          <w:sz w:val="24"/>
        </w:rPr>
        <w:t>the</w:t>
      </w:r>
      <w:r>
        <w:rPr>
          <w:spacing w:val="-9"/>
          <w:sz w:val="24"/>
        </w:rPr>
        <w:t> </w:t>
      </w:r>
      <w:r>
        <w:rPr>
          <w:sz w:val="24"/>
        </w:rPr>
        <w:t>published fan chart for activity was for slightly more rapid growth in the short term than in August, levelling </w:t>
      </w:r>
      <w:r>
        <w:rPr>
          <w:spacing w:val="3"/>
          <w:sz w:val="24"/>
        </w:rPr>
        <w:t>off to </w:t>
      </w:r>
      <w:r>
        <w:rPr>
          <w:sz w:val="24"/>
        </w:rPr>
        <w:t>slightly above trend. The level </w:t>
      </w:r>
      <w:r>
        <w:rPr>
          <w:spacing w:val="2"/>
          <w:sz w:val="24"/>
        </w:rPr>
        <w:t>of </w:t>
      </w:r>
      <w:r>
        <w:rPr>
          <w:sz w:val="24"/>
        </w:rPr>
        <w:t>activity was higher than projected in August for almost all </w:t>
      </w:r>
      <w:r>
        <w:rPr>
          <w:spacing w:val="2"/>
          <w:sz w:val="24"/>
        </w:rPr>
        <w:t>of</w:t>
      </w:r>
      <w:r>
        <w:rPr>
          <w:spacing w:val="9"/>
          <w:sz w:val="24"/>
        </w:rPr>
        <w:t> </w:t>
      </w:r>
      <w:r>
        <w:rPr>
          <w:sz w:val="24"/>
        </w:rPr>
        <w:t>the</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5" w:right="287" w:hanging="1"/>
      </w:pPr>
      <w:r>
        <w:rPr/>
        <w:t>forecast period on account of the recent stronger-than-expected outturns. The balance of risks was on the downside, mainly reflecting risks to the world economic outlook.</w:t>
      </w:r>
    </w:p>
    <w:p>
      <w:pPr>
        <w:pStyle w:val="BodyText"/>
        <w:spacing w:before="6"/>
        <w:rPr>
          <w:sz w:val="31"/>
        </w:rPr>
      </w:pPr>
    </w:p>
    <w:p>
      <w:pPr>
        <w:pStyle w:val="ListParagraph"/>
        <w:numPr>
          <w:ilvl w:val="0"/>
          <w:numId w:val="1"/>
        </w:numPr>
        <w:tabs>
          <w:tab w:pos="531" w:val="left" w:leader="none"/>
        </w:tabs>
        <w:spacing w:line="360" w:lineRule="auto" w:before="0" w:after="0"/>
        <w:ind w:left="104" w:right="331" w:firstLine="0"/>
        <w:jc w:val="left"/>
        <w:rPr>
          <w:sz w:val="24"/>
        </w:rPr>
      </w:pPr>
      <w:r>
        <w:rPr>
          <w:sz w:val="24"/>
        </w:rPr>
        <w:t>The Committee’s best collective judgment </w:t>
      </w:r>
      <w:r>
        <w:rPr>
          <w:spacing w:val="2"/>
          <w:sz w:val="24"/>
        </w:rPr>
        <w:t>of </w:t>
      </w:r>
      <w:r>
        <w:rPr>
          <w:sz w:val="24"/>
        </w:rPr>
        <w:t>the prospects for inflation was for RPIX </w:t>
      </w:r>
      <w:r>
        <w:rPr>
          <w:spacing w:val="3"/>
          <w:sz w:val="24"/>
        </w:rPr>
        <w:t>to </w:t>
      </w:r>
      <w:r>
        <w:rPr>
          <w:sz w:val="24"/>
        </w:rPr>
        <w:t>remain below</w:t>
      </w:r>
      <w:r>
        <w:rPr>
          <w:spacing w:val="-7"/>
          <w:sz w:val="24"/>
        </w:rPr>
        <w:t> </w:t>
      </w:r>
      <w:r>
        <w:rPr>
          <w:sz w:val="24"/>
        </w:rPr>
        <w:t>the</w:t>
      </w:r>
      <w:r>
        <w:rPr>
          <w:spacing w:val="-6"/>
          <w:sz w:val="24"/>
        </w:rPr>
        <w:t> </w:t>
      </w:r>
      <w:r>
        <w:rPr>
          <w:sz w:val="24"/>
        </w:rPr>
        <w:t>2½%</w:t>
      </w:r>
      <w:r>
        <w:rPr>
          <w:spacing w:val="-7"/>
          <w:sz w:val="24"/>
        </w:rPr>
        <w:t> </w:t>
      </w:r>
      <w:r>
        <w:rPr>
          <w:sz w:val="24"/>
        </w:rPr>
        <w:t>target</w:t>
      </w:r>
      <w:r>
        <w:rPr>
          <w:spacing w:val="-2"/>
          <w:sz w:val="24"/>
        </w:rPr>
        <w:t> </w:t>
      </w:r>
      <w:r>
        <w:rPr>
          <w:sz w:val="24"/>
        </w:rPr>
        <w:t>for</w:t>
      </w:r>
      <w:r>
        <w:rPr>
          <w:spacing w:val="-6"/>
          <w:sz w:val="24"/>
        </w:rPr>
        <w:t> </w:t>
      </w:r>
      <w:r>
        <w:rPr>
          <w:sz w:val="24"/>
        </w:rPr>
        <w:t>nearly</w:t>
      </w:r>
      <w:r>
        <w:rPr>
          <w:spacing w:val="-7"/>
          <w:sz w:val="24"/>
        </w:rPr>
        <w:t> </w:t>
      </w:r>
      <w:r>
        <w:rPr>
          <w:sz w:val="24"/>
        </w:rPr>
        <w:t>all</w:t>
      </w:r>
      <w:r>
        <w:rPr>
          <w:spacing w:val="-6"/>
          <w:sz w:val="24"/>
        </w:rPr>
        <w:t> </w:t>
      </w:r>
      <w:r>
        <w:rPr>
          <w:spacing w:val="2"/>
          <w:sz w:val="24"/>
        </w:rPr>
        <w:t>of</w:t>
      </w:r>
      <w:r>
        <w:rPr>
          <w:spacing w:val="-3"/>
          <w:sz w:val="24"/>
        </w:rPr>
        <w:t> </w:t>
      </w:r>
      <w:r>
        <w:rPr>
          <w:sz w:val="24"/>
        </w:rPr>
        <w:t>the</w:t>
      </w:r>
      <w:r>
        <w:rPr>
          <w:spacing w:val="-6"/>
          <w:sz w:val="24"/>
        </w:rPr>
        <w:t> </w:t>
      </w:r>
      <w:r>
        <w:rPr>
          <w:sz w:val="24"/>
        </w:rPr>
        <w:t>forecast</w:t>
      </w:r>
      <w:r>
        <w:rPr>
          <w:spacing w:val="-2"/>
          <w:sz w:val="24"/>
        </w:rPr>
        <w:t> </w:t>
      </w:r>
      <w:r>
        <w:rPr>
          <w:sz w:val="24"/>
        </w:rPr>
        <w:t>period,</w:t>
      </w:r>
      <w:r>
        <w:rPr>
          <w:spacing w:val="-7"/>
          <w:sz w:val="24"/>
        </w:rPr>
        <w:t> </w:t>
      </w:r>
      <w:r>
        <w:rPr>
          <w:sz w:val="24"/>
        </w:rPr>
        <w:t>dropping</w:t>
      </w:r>
      <w:r>
        <w:rPr>
          <w:spacing w:val="-6"/>
          <w:sz w:val="24"/>
        </w:rPr>
        <w:t> </w:t>
      </w:r>
      <w:r>
        <w:rPr>
          <w:sz w:val="24"/>
        </w:rPr>
        <w:t>just</w:t>
      </w:r>
      <w:r>
        <w:rPr>
          <w:spacing w:val="-2"/>
          <w:sz w:val="24"/>
        </w:rPr>
        <w:t> </w:t>
      </w:r>
      <w:r>
        <w:rPr>
          <w:sz w:val="24"/>
        </w:rPr>
        <w:t>below</w:t>
      </w:r>
      <w:r>
        <w:rPr>
          <w:spacing w:val="-7"/>
          <w:sz w:val="24"/>
        </w:rPr>
        <w:t> </w:t>
      </w:r>
      <w:r>
        <w:rPr>
          <w:sz w:val="24"/>
        </w:rPr>
        <w:t>2%</w:t>
      </w:r>
      <w:r>
        <w:rPr>
          <w:spacing w:val="-6"/>
          <w:sz w:val="24"/>
        </w:rPr>
        <w:t> </w:t>
      </w:r>
      <w:r>
        <w:rPr>
          <w:sz w:val="24"/>
        </w:rPr>
        <w:t>for</w:t>
      </w:r>
      <w:r>
        <w:rPr>
          <w:spacing w:val="-7"/>
          <w:sz w:val="24"/>
        </w:rPr>
        <w:t> </w:t>
      </w:r>
      <w:r>
        <w:rPr>
          <w:sz w:val="24"/>
        </w:rPr>
        <w:t>a</w:t>
      </w:r>
      <w:r>
        <w:rPr>
          <w:spacing w:val="-6"/>
          <w:sz w:val="24"/>
        </w:rPr>
        <w:t> </w:t>
      </w:r>
      <w:r>
        <w:rPr>
          <w:sz w:val="24"/>
        </w:rPr>
        <w:t>while,</w:t>
      </w:r>
      <w:r>
        <w:rPr>
          <w:spacing w:val="-7"/>
          <w:sz w:val="24"/>
        </w:rPr>
        <w:t> </w:t>
      </w:r>
      <w:r>
        <w:rPr>
          <w:sz w:val="24"/>
        </w:rPr>
        <w:t>before increasing</w:t>
      </w:r>
      <w:r>
        <w:rPr>
          <w:spacing w:val="-8"/>
          <w:sz w:val="24"/>
        </w:rPr>
        <w:t> </w:t>
      </w:r>
      <w:r>
        <w:rPr>
          <w:sz w:val="24"/>
        </w:rPr>
        <w:t>quite</w:t>
      </w:r>
      <w:r>
        <w:rPr>
          <w:spacing w:val="-7"/>
          <w:sz w:val="24"/>
        </w:rPr>
        <w:t> </w:t>
      </w:r>
      <w:r>
        <w:rPr>
          <w:sz w:val="24"/>
        </w:rPr>
        <w:t>sharply</w:t>
      </w:r>
      <w:r>
        <w:rPr>
          <w:spacing w:val="-7"/>
          <w:sz w:val="24"/>
        </w:rPr>
        <w:t> </w:t>
      </w:r>
      <w:r>
        <w:rPr>
          <w:spacing w:val="3"/>
          <w:sz w:val="24"/>
        </w:rPr>
        <w:t>to</w:t>
      </w:r>
      <w:r>
        <w:rPr>
          <w:spacing w:val="-3"/>
          <w:sz w:val="24"/>
        </w:rPr>
        <w:t> </w:t>
      </w:r>
      <w:r>
        <w:rPr>
          <w:sz w:val="24"/>
        </w:rPr>
        <w:t>end</w:t>
      </w:r>
      <w:r>
        <w:rPr>
          <w:spacing w:val="-8"/>
          <w:sz w:val="24"/>
        </w:rPr>
        <w:t> </w:t>
      </w:r>
      <w:r>
        <w:rPr>
          <w:sz w:val="24"/>
        </w:rPr>
        <w:t>up</w:t>
      </w:r>
      <w:r>
        <w:rPr>
          <w:spacing w:val="-7"/>
          <w:sz w:val="24"/>
        </w:rPr>
        <w:t> </w:t>
      </w:r>
      <w:r>
        <w:rPr>
          <w:sz w:val="24"/>
        </w:rPr>
        <w:t>at</w:t>
      </w:r>
      <w:r>
        <w:rPr>
          <w:spacing w:val="-3"/>
          <w:sz w:val="24"/>
        </w:rPr>
        <w:t> </w:t>
      </w:r>
      <w:r>
        <w:rPr>
          <w:sz w:val="24"/>
        </w:rPr>
        <w:t>around</w:t>
      </w:r>
      <w:r>
        <w:rPr>
          <w:spacing w:val="-7"/>
          <w:sz w:val="24"/>
        </w:rPr>
        <w:t> </w:t>
      </w:r>
      <w:r>
        <w:rPr>
          <w:sz w:val="24"/>
        </w:rPr>
        <w:t>the</w:t>
      </w:r>
      <w:r>
        <w:rPr>
          <w:spacing w:val="-7"/>
          <w:sz w:val="24"/>
        </w:rPr>
        <w:t> </w:t>
      </w:r>
      <w:r>
        <w:rPr>
          <w:sz w:val="24"/>
        </w:rPr>
        <w:t>target</w:t>
      </w:r>
      <w:r>
        <w:rPr>
          <w:spacing w:val="-3"/>
          <w:sz w:val="24"/>
        </w:rPr>
        <w:t> </w:t>
      </w:r>
      <w:r>
        <w:rPr>
          <w:sz w:val="24"/>
        </w:rPr>
        <w:t>at</w:t>
      </w:r>
      <w:r>
        <w:rPr>
          <w:spacing w:val="-3"/>
          <w:sz w:val="24"/>
        </w:rPr>
        <w:t> </w:t>
      </w:r>
      <w:r>
        <w:rPr>
          <w:sz w:val="24"/>
        </w:rPr>
        <w:t>the</w:t>
      </w:r>
      <w:r>
        <w:rPr>
          <w:spacing w:val="-7"/>
          <w:sz w:val="24"/>
        </w:rPr>
        <w:t> </w:t>
      </w:r>
      <w:r>
        <w:rPr>
          <w:sz w:val="24"/>
        </w:rPr>
        <w:t>two-year</w:t>
      </w:r>
      <w:r>
        <w:rPr>
          <w:spacing w:val="-7"/>
          <w:sz w:val="24"/>
        </w:rPr>
        <w:t> </w:t>
      </w:r>
      <w:r>
        <w:rPr>
          <w:sz w:val="24"/>
        </w:rPr>
        <w:t>horizon,</w:t>
      </w:r>
      <w:r>
        <w:rPr>
          <w:spacing w:val="-7"/>
          <w:sz w:val="24"/>
        </w:rPr>
        <w:t> </w:t>
      </w:r>
      <w:r>
        <w:rPr>
          <w:sz w:val="24"/>
        </w:rPr>
        <w:t>when</w:t>
      </w:r>
      <w:r>
        <w:rPr>
          <w:spacing w:val="-8"/>
          <w:sz w:val="24"/>
        </w:rPr>
        <w:t> </w:t>
      </w:r>
      <w:r>
        <w:rPr>
          <w:sz w:val="24"/>
        </w:rPr>
        <w:t>it</w:t>
      </w:r>
      <w:r>
        <w:rPr>
          <w:spacing w:val="-3"/>
          <w:sz w:val="24"/>
        </w:rPr>
        <w:t> </w:t>
      </w:r>
      <w:r>
        <w:rPr>
          <w:sz w:val="24"/>
        </w:rPr>
        <w:t>was</w:t>
      </w:r>
      <w:r>
        <w:rPr>
          <w:spacing w:val="-7"/>
          <w:sz w:val="24"/>
        </w:rPr>
        <w:t> </w:t>
      </w:r>
      <w:r>
        <w:rPr>
          <w:sz w:val="24"/>
        </w:rPr>
        <w:t>still</w:t>
      </w:r>
      <w:r>
        <w:rPr>
          <w:spacing w:val="-7"/>
          <w:sz w:val="24"/>
        </w:rPr>
        <w:t> </w:t>
      </w:r>
      <w:r>
        <w:rPr>
          <w:sz w:val="24"/>
        </w:rPr>
        <w:t>rising. </w:t>
      </w:r>
      <w:r>
        <w:rPr>
          <w:spacing w:val="2"/>
          <w:sz w:val="24"/>
        </w:rPr>
        <w:t>This</w:t>
      </w:r>
      <w:r>
        <w:rPr>
          <w:spacing w:val="-4"/>
          <w:sz w:val="24"/>
        </w:rPr>
        <w:t> </w:t>
      </w:r>
      <w:r>
        <w:rPr>
          <w:sz w:val="24"/>
        </w:rPr>
        <w:t>acceleration</w:t>
      </w:r>
      <w:r>
        <w:rPr>
          <w:spacing w:val="-6"/>
          <w:sz w:val="24"/>
        </w:rPr>
        <w:t> </w:t>
      </w:r>
      <w:r>
        <w:rPr>
          <w:sz w:val="24"/>
        </w:rPr>
        <w:t>in</w:t>
      </w:r>
      <w:r>
        <w:rPr>
          <w:spacing w:val="-5"/>
          <w:sz w:val="24"/>
        </w:rPr>
        <w:t> </w:t>
      </w:r>
      <w:r>
        <w:rPr>
          <w:sz w:val="24"/>
        </w:rPr>
        <w:t>prices</w:t>
      </w:r>
      <w:r>
        <w:rPr>
          <w:spacing w:val="-6"/>
          <w:sz w:val="24"/>
        </w:rPr>
        <w:t> </w:t>
      </w:r>
      <w:r>
        <w:rPr>
          <w:sz w:val="24"/>
        </w:rPr>
        <w:t>reflected</w:t>
      </w:r>
      <w:r>
        <w:rPr>
          <w:spacing w:val="-3"/>
          <w:sz w:val="24"/>
        </w:rPr>
        <w:t> </w:t>
      </w:r>
      <w:r>
        <w:rPr>
          <w:sz w:val="24"/>
        </w:rPr>
        <w:t>the</w:t>
      </w:r>
      <w:r>
        <w:rPr>
          <w:spacing w:val="-6"/>
          <w:sz w:val="24"/>
        </w:rPr>
        <w:t> </w:t>
      </w:r>
      <w:r>
        <w:rPr>
          <w:sz w:val="24"/>
        </w:rPr>
        <w:t>accumulating</w:t>
      </w:r>
      <w:r>
        <w:rPr>
          <w:spacing w:val="-5"/>
          <w:sz w:val="24"/>
        </w:rPr>
        <w:t> </w:t>
      </w:r>
      <w:r>
        <w:rPr>
          <w:sz w:val="24"/>
        </w:rPr>
        <w:t>pressures</w:t>
      </w:r>
      <w:r>
        <w:rPr>
          <w:spacing w:val="-6"/>
          <w:sz w:val="24"/>
        </w:rPr>
        <w:t> </w:t>
      </w:r>
      <w:r>
        <w:rPr>
          <w:spacing w:val="3"/>
          <w:sz w:val="24"/>
        </w:rPr>
        <w:t>on</w:t>
      </w:r>
      <w:r>
        <w:rPr>
          <w:spacing w:val="-1"/>
          <w:sz w:val="24"/>
        </w:rPr>
        <w:t> </w:t>
      </w:r>
      <w:r>
        <w:rPr>
          <w:sz w:val="24"/>
        </w:rPr>
        <w:t>supply</w:t>
      </w:r>
      <w:r>
        <w:rPr>
          <w:spacing w:val="-5"/>
          <w:sz w:val="24"/>
        </w:rPr>
        <w:t> </w:t>
      </w:r>
      <w:r>
        <w:rPr>
          <w:sz w:val="24"/>
        </w:rPr>
        <w:t>capacity</w:t>
      </w:r>
      <w:r>
        <w:rPr>
          <w:spacing w:val="-6"/>
          <w:sz w:val="24"/>
        </w:rPr>
        <w:t> </w:t>
      </w:r>
      <w:r>
        <w:rPr>
          <w:sz w:val="24"/>
        </w:rPr>
        <w:t>from</w:t>
      </w:r>
      <w:r>
        <w:rPr>
          <w:spacing w:val="-5"/>
          <w:sz w:val="24"/>
        </w:rPr>
        <w:t> </w:t>
      </w:r>
      <w:r>
        <w:rPr>
          <w:sz w:val="24"/>
        </w:rPr>
        <w:t>the</w:t>
      </w:r>
      <w:r>
        <w:rPr>
          <w:spacing w:val="-6"/>
          <w:sz w:val="24"/>
        </w:rPr>
        <w:t> </w:t>
      </w:r>
      <w:r>
        <w:rPr>
          <w:sz w:val="24"/>
        </w:rPr>
        <w:t>period</w:t>
      </w:r>
      <w:r>
        <w:rPr>
          <w:spacing w:val="-5"/>
          <w:sz w:val="24"/>
        </w:rPr>
        <w:t> </w:t>
      </w:r>
      <w:r>
        <w:rPr>
          <w:spacing w:val="3"/>
          <w:sz w:val="24"/>
        </w:rPr>
        <w:t>of </w:t>
      </w:r>
      <w:r>
        <w:rPr>
          <w:sz w:val="24"/>
        </w:rPr>
        <w:t>above-trend demand growth and the unwinding </w:t>
      </w:r>
      <w:r>
        <w:rPr>
          <w:spacing w:val="2"/>
          <w:sz w:val="24"/>
        </w:rPr>
        <w:t>of </w:t>
      </w:r>
      <w:r>
        <w:rPr>
          <w:sz w:val="24"/>
        </w:rPr>
        <w:t>the various temporary downward influences </w:t>
      </w:r>
      <w:r>
        <w:rPr>
          <w:spacing w:val="2"/>
          <w:sz w:val="24"/>
        </w:rPr>
        <w:t>on </w:t>
      </w:r>
      <w:r>
        <w:rPr>
          <w:sz w:val="24"/>
        </w:rPr>
        <w:t>the price level and so </w:t>
      </w:r>
      <w:r>
        <w:rPr>
          <w:spacing w:val="2"/>
          <w:sz w:val="24"/>
        </w:rPr>
        <w:t>on </w:t>
      </w:r>
      <w:r>
        <w:rPr>
          <w:sz w:val="24"/>
        </w:rPr>
        <w:t>measured inflation. The trough was lower than in August. The projection at the end </w:t>
      </w:r>
      <w:r>
        <w:rPr>
          <w:spacing w:val="2"/>
          <w:sz w:val="24"/>
        </w:rPr>
        <w:t>of </w:t>
      </w:r>
      <w:r>
        <w:rPr>
          <w:sz w:val="24"/>
        </w:rPr>
        <w:t>the forecast period was almost the same as in August, but with a higher sterling exchange rate and with the </w:t>
      </w:r>
      <w:r>
        <w:rPr>
          <w:spacing w:val="3"/>
          <w:sz w:val="24"/>
        </w:rPr>
        <w:t>official </w:t>
      </w:r>
      <w:r>
        <w:rPr>
          <w:sz w:val="24"/>
        </w:rPr>
        <w:t>interest rate at 5.5% rather than 5.0%. For the same reasons as for the </w:t>
      </w:r>
      <w:r>
        <w:rPr>
          <w:spacing w:val="2"/>
          <w:sz w:val="24"/>
        </w:rPr>
        <w:t>output </w:t>
      </w:r>
      <w:r>
        <w:rPr>
          <w:sz w:val="24"/>
        </w:rPr>
        <w:t>projection, the balance </w:t>
      </w:r>
      <w:r>
        <w:rPr>
          <w:spacing w:val="2"/>
          <w:sz w:val="24"/>
        </w:rPr>
        <w:t>of </w:t>
      </w:r>
      <w:r>
        <w:rPr>
          <w:sz w:val="24"/>
        </w:rPr>
        <w:t>risks </w:t>
      </w:r>
      <w:r>
        <w:rPr>
          <w:spacing w:val="3"/>
          <w:sz w:val="24"/>
        </w:rPr>
        <w:t>to </w:t>
      </w:r>
      <w:r>
        <w:rPr>
          <w:sz w:val="24"/>
        </w:rPr>
        <w:t>inflation was </w:t>
      </w:r>
      <w:r>
        <w:rPr>
          <w:spacing w:val="2"/>
          <w:sz w:val="24"/>
        </w:rPr>
        <w:t>on </w:t>
      </w:r>
      <w:r>
        <w:rPr>
          <w:sz w:val="24"/>
        </w:rPr>
        <w:t>the</w:t>
      </w:r>
      <w:r>
        <w:rPr>
          <w:spacing w:val="25"/>
          <w:sz w:val="24"/>
        </w:rPr>
        <w:t> </w:t>
      </w:r>
      <w:r>
        <w:rPr>
          <w:sz w:val="24"/>
        </w:rPr>
        <w:t>downside.</w:t>
      </w:r>
    </w:p>
    <w:p>
      <w:pPr>
        <w:pStyle w:val="BodyText"/>
        <w:spacing w:before="2"/>
        <w:rPr>
          <w:sz w:val="31"/>
        </w:rPr>
      </w:pPr>
    </w:p>
    <w:p>
      <w:pPr>
        <w:pStyle w:val="ListParagraph"/>
        <w:numPr>
          <w:ilvl w:val="0"/>
          <w:numId w:val="1"/>
        </w:numPr>
        <w:tabs>
          <w:tab w:pos="534" w:val="left" w:leader="none"/>
        </w:tabs>
        <w:spacing w:line="360" w:lineRule="auto" w:before="1" w:after="0"/>
        <w:ind w:left="104" w:right="186" w:firstLine="0"/>
        <w:jc w:val="left"/>
        <w:rPr>
          <w:sz w:val="24"/>
        </w:rPr>
      </w:pPr>
      <w:r>
        <w:rPr>
          <w:sz w:val="24"/>
        </w:rPr>
        <w:t>As already described, there was considerable uncertainty in the Committee about the inflation </w:t>
      </w:r>
      <w:r>
        <w:rPr>
          <w:spacing w:val="4"/>
          <w:sz w:val="24"/>
        </w:rPr>
        <w:t>outlook, </w:t>
      </w:r>
      <w:r>
        <w:rPr>
          <w:sz w:val="24"/>
        </w:rPr>
        <w:t>and also a range </w:t>
      </w:r>
      <w:r>
        <w:rPr>
          <w:spacing w:val="2"/>
          <w:sz w:val="24"/>
        </w:rPr>
        <w:t>of </w:t>
      </w:r>
      <w:r>
        <w:rPr>
          <w:sz w:val="24"/>
        </w:rPr>
        <w:t>preferred assumptions for the path </w:t>
      </w:r>
      <w:r>
        <w:rPr>
          <w:spacing w:val="2"/>
          <w:sz w:val="24"/>
        </w:rPr>
        <w:t>of </w:t>
      </w:r>
      <w:r>
        <w:rPr>
          <w:sz w:val="24"/>
        </w:rPr>
        <w:t>the nominal exchange rate, earnings growth, and price-cost margins; these were presented in Table 6.B </w:t>
      </w:r>
      <w:r>
        <w:rPr>
          <w:spacing w:val="2"/>
          <w:sz w:val="24"/>
        </w:rPr>
        <w:t>on </w:t>
      </w:r>
      <w:r>
        <w:rPr>
          <w:sz w:val="24"/>
        </w:rPr>
        <w:t>page 58 </w:t>
      </w:r>
      <w:r>
        <w:rPr>
          <w:spacing w:val="2"/>
          <w:sz w:val="24"/>
        </w:rPr>
        <w:t>of </w:t>
      </w:r>
      <w:r>
        <w:rPr>
          <w:sz w:val="24"/>
        </w:rPr>
        <w:t>the </w:t>
      </w:r>
      <w:r>
        <w:rPr>
          <w:i/>
          <w:sz w:val="24"/>
        </w:rPr>
        <w:t>Inflation Report </w:t>
      </w:r>
      <w:r>
        <w:rPr>
          <w:sz w:val="24"/>
        </w:rPr>
        <w:t>published </w:t>
      </w:r>
      <w:r>
        <w:rPr>
          <w:spacing w:val="3"/>
          <w:sz w:val="24"/>
        </w:rPr>
        <w:t>on </w:t>
      </w:r>
      <w:r>
        <w:rPr>
          <w:sz w:val="24"/>
        </w:rPr>
        <w:t>10 November. Different members preferred different combinations </w:t>
      </w:r>
      <w:r>
        <w:rPr>
          <w:spacing w:val="3"/>
          <w:sz w:val="24"/>
        </w:rPr>
        <w:t>of </w:t>
      </w:r>
      <w:r>
        <w:rPr>
          <w:sz w:val="24"/>
        </w:rPr>
        <w:t>these assumptions, either raising </w:t>
      </w:r>
      <w:r>
        <w:rPr>
          <w:spacing w:val="2"/>
          <w:sz w:val="24"/>
        </w:rPr>
        <w:t>or </w:t>
      </w:r>
      <w:r>
        <w:rPr>
          <w:sz w:val="24"/>
        </w:rPr>
        <w:t>lowering the inflation projection at the two-year horizon by ¼ </w:t>
      </w:r>
      <w:r>
        <w:rPr>
          <w:spacing w:val="3"/>
          <w:sz w:val="24"/>
        </w:rPr>
        <w:t>to </w:t>
      </w:r>
      <w:r>
        <w:rPr>
          <w:sz w:val="24"/>
        </w:rPr>
        <w:t>½ percentage points, so</w:t>
      </w:r>
      <w:r>
        <w:rPr>
          <w:spacing w:val="-6"/>
          <w:sz w:val="24"/>
        </w:rPr>
        <w:t> </w:t>
      </w:r>
      <w:r>
        <w:rPr>
          <w:sz w:val="24"/>
        </w:rPr>
        <w:t>that</w:t>
      </w:r>
      <w:r>
        <w:rPr>
          <w:spacing w:val="-1"/>
          <w:sz w:val="24"/>
        </w:rPr>
        <w:t> </w:t>
      </w:r>
      <w:r>
        <w:rPr>
          <w:sz w:val="24"/>
        </w:rPr>
        <w:t>there</w:t>
      </w:r>
      <w:r>
        <w:rPr>
          <w:spacing w:val="-6"/>
          <w:sz w:val="24"/>
        </w:rPr>
        <w:t> </w:t>
      </w:r>
      <w:r>
        <w:rPr>
          <w:sz w:val="24"/>
        </w:rPr>
        <w:t>was</w:t>
      </w:r>
      <w:r>
        <w:rPr>
          <w:spacing w:val="-5"/>
          <w:sz w:val="24"/>
        </w:rPr>
        <w:t> </w:t>
      </w:r>
      <w:r>
        <w:rPr>
          <w:sz w:val="24"/>
        </w:rPr>
        <w:t>a</w:t>
      </w:r>
      <w:r>
        <w:rPr>
          <w:spacing w:val="-6"/>
          <w:sz w:val="24"/>
        </w:rPr>
        <w:t> </w:t>
      </w:r>
      <w:r>
        <w:rPr>
          <w:sz w:val="24"/>
        </w:rPr>
        <w:t>range</w:t>
      </w:r>
      <w:r>
        <w:rPr>
          <w:spacing w:val="-5"/>
          <w:sz w:val="24"/>
        </w:rPr>
        <w:t> </w:t>
      </w:r>
      <w:r>
        <w:rPr>
          <w:spacing w:val="2"/>
          <w:sz w:val="24"/>
        </w:rPr>
        <w:t>of</w:t>
      </w:r>
      <w:r>
        <w:rPr>
          <w:spacing w:val="-2"/>
          <w:sz w:val="24"/>
        </w:rPr>
        <w:t> </w:t>
      </w:r>
      <w:r>
        <w:rPr>
          <w:sz w:val="24"/>
        </w:rPr>
        <w:t>approaching</w:t>
      </w:r>
      <w:r>
        <w:rPr>
          <w:spacing w:val="-5"/>
          <w:sz w:val="24"/>
        </w:rPr>
        <w:t> </w:t>
      </w:r>
      <w:r>
        <w:rPr>
          <w:spacing w:val="3"/>
          <w:sz w:val="24"/>
        </w:rPr>
        <w:t>one</w:t>
      </w:r>
      <w:r>
        <w:rPr>
          <w:spacing w:val="-2"/>
          <w:sz w:val="24"/>
        </w:rPr>
        <w:t> </w:t>
      </w:r>
      <w:r>
        <w:rPr>
          <w:sz w:val="24"/>
        </w:rPr>
        <w:t>percentage</w:t>
      </w:r>
      <w:r>
        <w:rPr>
          <w:spacing w:val="-6"/>
          <w:sz w:val="24"/>
        </w:rPr>
        <w:t> </w:t>
      </w:r>
      <w:r>
        <w:rPr>
          <w:sz w:val="24"/>
        </w:rPr>
        <w:t>point</w:t>
      </w:r>
      <w:r>
        <w:rPr>
          <w:spacing w:val="-1"/>
          <w:sz w:val="24"/>
        </w:rPr>
        <w:t> </w:t>
      </w:r>
      <w:r>
        <w:rPr>
          <w:sz w:val="24"/>
        </w:rPr>
        <w:t>between</w:t>
      </w:r>
      <w:r>
        <w:rPr>
          <w:spacing w:val="-5"/>
          <w:sz w:val="24"/>
        </w:rPr>
        <w:t> </w:t>
      </w:r>
      <w:r>
        <w:rPr>
          <w:sz w:val="24"/>
        </w:rPr>
        <w:t>the</w:t>
      </w:r>
      <w:r>
        <w:rPr>
          <w:spacing w:val="-6"/>
          <w:sz w:val="24"/>
        </w:rPr>
        <w:t> </w:t>
      </w:r>
      <w:r>
        <w:rPr>
          <w:sz w:val="24"/>
        </w:rPr>
        <w:t>lowest</w:t>
      </w:r>
      <w:r>
        <w:rPr>
          <w:spacing w:val="-1"/>
          <w:sz w:val="24"/>
        </w:rPr>
        <w:t> </w:t>
      </w:r>
      <w:r>
        <w:rPr>
          <w:sz w:val="24"/>
        </w:rPr>
        <w:t>and</w:t>
      </w:r>
      <w:r>
        <w:rPr>
          <w:spacing w:val="-6"/>
          <w:sz w:val="24"/>
        </w:rPr>
        <w:t> </w:t>
      </w:r>
      <w:r>
        <w:rPr>
          <w:sz w:val="24"/>
        </w:rPr>
        <w:t>highest</w:t>
      </w:r>
      <w:r>
        <w:rPr>
          <w:spacing w:val="-1"/>
          <w:sz w:val="24"/>
        </w:rPr>
        <w:t> </w:t>
      </w:r>
      <w:r>
        <w:rPr>
          <w:sz w:val="24"/>
        </w:rPr>
        <w:t>preferred central projections </w:t>
      </w:r>
      <w:r>
        <w:rPr>
          <w:spacing w:val="3"/>
          <w:sz w:val="24"/>
        </w:rPr>
        <w:t>of </w:t>
      </w:r>
      <w:r>
        <w:rPr>
          <w:sz w:val="24"/>
        </w:rPr>
        <w:t>individual Committee</w:t>
      </w:r>
      <w:r>
        <w:rPr>
          <w:spacing w:val="25"/>
          <w:sz w:val="24"/>
        </w:rPr>
        <w:t> </w:t>
      </w:r>
      <w:r>
        <w:rPr>
          <w:sz w:val="24"/>
        </w:rPr>
        <w:t>members.</w:t>
      </w:r>
    </w:p>
    <w:p>
      <w:pPr>
        <w:pStyle w:val="BodyText"/>
        <w:spacing w:before="9"/>
        <w:rPr>
          <w:sz w:val="31"/>
        </w:rPr>
      </w:pPr>
    </w:p>
    <w:p>
      <w:pPr>
        <w:pStyle w:val="Heading1"/>
      </w:pPr>
      <w:r>
        <w:rPr/>
        <w:t>Tactical considerations</w:t>
      </w:r>
    </w:p>
    <w:p>
      <w:pPr>
        <w:pStyle w:val="BodyText"/>
        <w:rPr>
          <w:b/>
          <w:sz w:val="26"/>
        </w:rPr>
      </w:pPr>
    </w:p>
    <w:p>
      <w:pPr>
        <w:pStyle w:val="ListParagraph"/>
        <w:numPr>
          <w:ilvl w:val="0"/>
          <w:numId w:val="1"/>
        </w:numPr>
        <w:tabs>
          <w:tab w:pos="534" w:val="left" w:leader="none"/>
        </w:tabs>
        <w:spacing w:line="360" w:lineRule="auto" w:before="193" w:after="0"/>
        <w:ind w:left="104" w:right="776" w:firstLine="0"/>
        <w:jc w:val="left"/>
        <w:rPr>
          <w:sz w:val="24"/>
        </w:rPr>
      </w:pPr>
      <w:r>
        <w:rPr>
          <w:sz w:val="24"/>
        </w:rPr>
        <w:t>The Committee discussed three </w:t>
      </w:r>
      <w:r>
        <w:rPr>
          <w:spacing w:val="4"/>
          <w:sz w:val="24"/>
        </w:rPr>
        <w:t>other </w:t>
      </w:r>
      <w:r>
        <w:rPr>
          <w:sz w:val="24"/>
        </w:rPr>
        <w:t>issues potentially relevant </w:t>
      </w:r>
      <w:r>
        <w:rPr>
          <w:spacing w:val="3"/>
          <w:sz w:val="24"/>
        </w:rPr>
        <w:t>to </w:t>
      </w:r>
      <w:r>
        <w:rPr>
          <w:sz w:val="24"/>
        </w:rPr>
        <w:t>its policy decision: the significance </w:t>
      </w:r>
      <w:r>
        <w:rPr>
          <w:spacing w:val="3"/>
          <w:sz w:val="24"/>
        </w:rPr>
        <w:t>of </w:t>
      </w:r>
      <w:r>
        <w:rPr>
          <w:sz w:val="24"/>
        </w:rPr>
        <w:t>the steepening in the sterling yield curve; the </w:t>
      </w:r>
      <w:r>
        <w:rPr>
          <w:spacing w:val="2"/>
          <w:sz w:val="24"/>
        </w:rPr>
        <w:t>relevance </w:t>
      </w:r>
      <w:r>
        <w:rPr>
          <w:spacing w:val="3"/>
          <w:sz w:val="24"/>
        </w:rPr>
        <w:t>of </w:t>
      </w:r>
      <w:r>
        <w:rPr>
          <w:sz w:val="24"/>
        </w:rPr>
        <w:t>ECB and </w:t>
      </w:r>
      <w:r>
        <w:rPr>
          <w:spacing w:val="-3"/>
          <w:sz w:val="24"/>
        </w:rPr>
        <w:t>F</w:t>
      </w:r>
      <w:r>
        <w:rPr>
          <w:spacing w:val="-3"/>
          <w:sz w:val="20"/>
        </w:rPr>
        <w:t>OMC </w:t>
      </w:r>
      <w:r>
        <w:rPr>
          <w:spacing w:val="2"/>
          <w:sz w:val="24"/>
        </w:rPr>
        <w:t>policy </w:t>
      </w:r>
      <w:r>
        <w:rPr>
          <w:sz w:val="24"/>
        </w:rPr>
        <w:t>decisions; and the implications </w:t>
      </w:r>
      <w:r>
        <w:rPr>
          <w:spacing w:val="3"/>
          <w:sz w:val="24"/>
        </w:rPr>
        <w:t>of </w:t>
      </w:r>
      <w:r>
        <w:rPr>
          <w:sz w:val="24"/>
        </w:rPr>
        <w:t>the shape </w:t>
      </w:r>
      <w:r>
        <w:rPr>
          <w:spacing w:val="3"/>
          <w:sz w:val="24"/>
        </w:rPr>
        <w:t>of </w:t>
      </w:r>
      <w:r>
        <w:rPr>
          <w:sz w:val="24"/>
        </w:rPr>
        <w:t>the inflation</w:t>
      </w:r>
      <w:r>
        <w:rPr>
          <w:spacing w:val="17"/>
          <w:sz w:val="24"/>
        </w:rPr>
        <w:t> </w:t>
      </w:r>
      <w:r>
        <w:rPr>
          <w:sz w:val="24"/>
        </w:rPr>
        <w:t>projection.</w:t>
      </w:r>
    </w:p>
    <w:p>
      <w:pPr>
        <w:pStyle w:val="BodyText"/>
        <w:spacing w:before="5"/>
        <w:rPr>
          <w:sz w:val="31"/>
        </w:rPr>
      </w:pPr>
    </w:p>
    <w:p>
      <w:pPr>
        <w:pStyle w:val="ListParagraph"/>
        <w:numPr>
          <w:ilvl w:val="0"/>
          <w:numId w:val="1"/>
        </w:numPr>
        <w:tabs>
          <w:tab w:pos="535" w:val="left" w:leader="none"/>
        </w:tabs>
        <w:spacing w:line="360" w:lineRule="auto" w:before="0" w:after="0"/>
        <w:ind w:left="104" w:right="284" w:firstLine="0"/>
        <w:jc w:val="left"/>
        <w:rPr>
          <w:sz w:val="24"/>
        </w:rPr>
      </w:pPr>
      <w:r>
        <w:rPr>
          <w:sz w:val="24"/>
        </w:rPr>
        <w:t>On </w:t>
      </w:r>
      <w:r>
        <w:rPr>
          <w:spacing w:val="3"/>
          <w:sz w:val="24"/>
        </w:rPr>
        <w:t>one </w:t>
      </w:r>
      <w:r>
        <w:rPr>
          <w:sz w:val="24"/>
        </w:rPr>
        <w:t>view, the rise </w:t>
      </w:r>
      <w:r>
        <w:rPr>
          <w:spacing w:val="3"/>
          <w:sz w:val="24"/>
        </w:rPr>
        <w:t>over </w:t>
      </w:r>
      <w:r>
        <w:rPr>
          <w:sz w:val="24"/>
        </w:rPr>
        <w:t>recent months in short and medium-maturity market interest rates, as evidenced</w:t>
      </w:r>
      <w:r>
        <w:rPr>
          <w:spacing w:val="-8"/>
          <w:sz w:val="24"/>
        </w:rPr>
        <w:t> </w:t>
      </w:r>
      <w:r>
        <w:rPr>
          <w:sz w:val="24"/>
        </w:rPr>
        <w:t>by</w:t>
      </w:r>
      <w:r>
        <w:rPr>
          <w:spacing w:val="-8"/>
          <w:sz w:val="24"/>
        </w:rPr>
        <w:t> </w:t>
      </w:r>
      <w:r>
        <w:rPr>
          <w:sz w:val="24"/>
        </w:rPr>
        <w:t>for</w:t>
      </w:r>
      <w:r>
        <w:rPr>
          <w:spacing w:val="-8"/>
          <w:sz w:val="24"/>
        </w:rPr>
        <w:t> </w:t>
      </w:r>
      <w:r>
        <w:rPr>
          <w:sz w:val="24"/>
        </w:rPr>
        <w:t>example</w:t>
      </w:r>
      <w:r>
        <w:rPr>
          <w:spacing w:val="-8"/>
          <w:sz w:val="24"/>
        </w:rPr>
        <w:t> </w:t>
      </w:r>
      <w:r>
        <w:rPr>
          <w:sz w:val="24"/>
        </w:rPr>
        <w:t>short</w:t>
      </w:r>
      <w:r>
        <w:rPr>
          <w:spacing w:val="-4"/>
          <w:sz w:val="24"/>
        </w:rPr>
        <w:t> </w:t>
      </w:r>
      <w:r>
        <w:rPr>
          <w:sz w:val="24"/>
        </w:rPr>
        <w:t>sterling</w:t>
      </w:r>
      <w:r>
        <w:rPr>
          <w:spacing w:val="-8"/>
          <w:sz w:val="24"/>
        </w:rPr>
        <w:t> </w:t>
      </w:r>
      <w:r>
        <w:rPr>
          <w:sz w:val="24"/>
        </w:rPr>
        <w:t>futures</w:t>
      </w:r>
      <w:r>
        <w:rPr>
          <w:spacing w:val="-8"/>
          <w:sz w:val="24"/>
        </w:rPr>
        <w:t> </w:t>
      </w:r>
      <w:r>
        <w:rPr>
          <w:sz w:val="24"/>
        </w:rPr>
        <w:t>contracts</w:t>
      </w:r>
      <w:r>
        <w:rPr>
          <w:spacing w:val="-8"/>
          <w:sz w:val="24"/>
        </w:rPr>
        <w:t> </w:t>
      </w:r>
      <w:r>
        <w:rPr>
          <w:sz w:val="24"/>
        </w:rPr>
        <w:t>and</w:t>
      </w:r>
      <w:r>
        <w:rPr>
          <w:spacing w:val="-8"/>
          <w:sz w:val="24"/>
        </w:rPr>
        <w:t> </w:t>
      </w:r>
      <w:r>
        <w:rPr>
          <w:sz w:val="24"/>
        </w:rPr>
        <w:t>the</w:t>
      </w:r>
      <w:r>
        <w:rPr>
          <w:spacing w:val="-7"/>
          <w:sz w:val="24"/>
        </w:rPr>
        <w:t> </w:t>
      </w:r>
      <w:r>
        <w:rPr>
          <w:sz w:val="24"/>
        </w:rPr>
        <w:t>gilt</w:t>
      </w:r>
      <w:r>
        <w:rPr>
          <w:spacing w:val="-4"/>
          <w:sz w:val="24"/>
        </w:rPr>
        <w:t> </w:t>
      </w:r>
      <w:r>
        <w:rPr>
          <w:sz w:val="24"/>
        </w:rPr>
        <w:t>yield</w:t>
      </w:r>
      <w:r>
        <w:rPr>
          <w:spacing w:val="-8"/>
          <w:sz w:val="24"/>
        </w:rPr>
        <w:t> </w:t>
      </w:r>
      <w:r>
        <w:rPr>
          <w:sz w:val="24"/>
        </w:rPr>
        <w:t>curve,</w:t>
      </w:r>
      <w:r>
        <w:rPr>
          <w:spacing w:val="-8"/>
          <w:sz w:val="24"/>
        </w:rPr>
        <w:t> </w:t>
      </w:r>
      <w:r>
        <w:rPr>
          <w:sz w:val="24"/>
        </w:rPr>
        <w:t>meant</w:t>
      </w:r>
      <w:r>
        <w:rPr>
          <w:spacing w:val="-4"/>
          <w:sz w:val="24"/>
        </w:rPr>
        <w:t> </w:t>
      </w:r>
      <w:r>
        <w:rPr>
          <w:sz w:val="24"/>
        </w:rPr>
        <w:t>that</w:t>
      </w:r>
      <w:r>
        <w:rPr>
          <w:spacing w:val="-4"/>
          <w:sz w:val="24"/>
        </w:rPr>
        <w:t> </w:t>
      </w:r>
      <w:r>
        <w:rPr>
          <w:sz w:val="24"/>
        </w:rPr>
        <w:t>monetary conditions were materially tighter than reflected in the fan chart projections. In consequence, the market</w:t>
      </w:r>
      <w:r>
        <w:rPr>
          <w:spacing w:val="-3"/>
          <w:sz w:val="24"/>
        </w:rPr>
        <w:t> </w:t>
      </w:r>
      <w:r>
        <w:rPr>
          <w:sz w:val="24"/>
        </w:rPr>
        <w:t>was</w:t>
      </w:r>
      <w:r>
        <w:rPr>
          <w:spacing w:val="-6"/>
          <w:sz w:val="24"/>
        </w:rPr>
        <w:t> </w:t>
      </w:r>
      <w:r>
        <w:rPr>
          <w:sz w:val="24"/>
        </w:rPr>
        <w:t>doing</w:t>
      </w:r>
      <w:r>
        <w:rPr>
          <w:spacing w:val="-7"/>
          <w:sz w:val="24"/>
        </w:rPr>
        <w:t> </w:t>
      </w:r>
      <w:r>
        <w:rPr>
          <w:sz w:val="24"/>
        </w:rPr>
        <w:t>some</w:t>
      </w:r>
      <w:r>
        <w:rPr>
          <w:spacing w:val="-6"/>
          <w:sz w:val="24"/>
        </w:rPr>
        <w:t> </w:t>
      </w:r>
      <w:r>
        <w:rPr>
          <w:spacing w:val="2"/>
          <w:sz w:val="24"/>
        </w:rPr>
        <w:t>of</w:t>
      </w:r>
      <w:r>
        <w:rPr>
          <w:spacing w:val="-3"/>
          <w:sz w:val="24"/>
        </w:rPr>
        <w:t> </w:t>
      </w:r>
      <w:r>
        <w:rPr>
          <w:sz w:val="24"/>
        </w:rPr>
        <w:t>the</w:t>
      </w:r>
      <w:r>
        <w:rPr>
          <w:spacing w:val="-6"/>
          <w:sz w:val="24"/>
        </w:rPr>
        <w:t> </w:t>
      </w:r>
      <w:r>
        <w:rPr>
          <w:spacing w:val="-3"/>
          <w:sz w:val="24"/>
        </w:rPr>
        <w:t>Committee’s</w:t>
      </w:r>
      <w:r>
        <w:rPr>
          <w:spacing w:val="-7"/>
          <w:sz w:val="24"/>
        </w:rPr>
        <w:t> </w:t>
      </w:r>
      <w:r>
        <w:rPr>
          <w:sz w:val="24"/>
        </w:rPr>
        <w:t>work</w:t>
      </w:r>
      <w:r>
        <w:rPr>
          <w:spacing w:val="-8"/>
          <w:sz w:val="24"/>
        </w:rPr>
        <w:t> </w:t>
      </w:r>
      <w:r>
        <w:rPr>
          <w:sz w:val="24"/>
        </w:rPr>
        <w:t>for</w:t>
      </w:r>
      <w:r>
        <w:rPr>
          <w:spacing w:val="-7"/>
          <w:sz w:val="24"/>
        </w:rPr>
        <w:t> </w:t>
      </w:r>
      <w:r>
        <w:rPr>
          <w:sz w:val="24"/>
        </w:rPr>
        <w:t>it,</w:t>
      </w:r>
      <w:r>
        <w:rPr>
          <w:spacing w:val="-3"/>
          <w:sz w:val="24"/>
        </w:rPr>
        <w:t> </w:t>
      </w:r>
      <w:r>
        <w:rPr>
          <w:sz w:val="24"/>
        </w:rPr>
        <w:t>so</w:t>
      </w:r>
      <w:r>
        <w:rPr>
          <w:spacing w:val="-8"/>
          <w:sz w:val="24"/>
        </w:rPr>
        <w:t> </w:t>
      </w:r>
      <w:r>
        <w:rPr>
          <w:sz w:val="24"/>
        </w:rPr>
        <w:t>that</w:t>
      </w:r>
      <w:r>
        <w:rPr>
          <w:spacing w:val="-3"/>
          <w:sz w:val="24"/>
        </w:rPr>
        <w:t> </w:t>
      </w:r>
      <w:r>
        <w:rPr>
          <w:spacing w:val="4"/>
          <w:sz w:val="24"/>
        </w:rPr>
        <w:t>other</w:t>
      </w:r>
      <w:r>
        <w:rPr>
          <w:spacing w:val="-3"/>
          <w:sz w:val="24"/>
        </w:rPr>
        <w:t> </w:t>
      </w:r>
      <w:r>
        <w:rPr>
          <w:sz w:val="24"/>
        </w:rPr>
        <w:t>things</w:t>
      </w:r>
      <w:r>
        <w:rPr>
          <w:spacing w:val="-7"/>
          <w:sz w:val="24"/>
        </w:rPr>
        <w:t> </w:t>
      </w:r>
      <w:r>
        <w:rPr>
          <w:sz w:val="24"/>
        </w:rPr>
        <w:t>being</w:t>
      </w:r>
      <w:r>
        <w:rPr>
          <w:spacing w:val="-8"/>
          <w:sz w:val="24"/>
        </w:rPr>
        <w:t> </w:t>
      </w:r>
      <w:r>
        <w:rPr>
          <w:sz w:val="24"/>
        </w:rPr>
        <w:t>equal</w:t>
      </w:r>
      <w:r>
        <w:rPr>
          <w:spacing w:val="-7"/>
          <w:sz w:val="24"/>
        </w:rPr>
        <w:t> </w:t>
      </w:r>
      <w:r>
        <w:rPr>
          <w:sz w:val="24"/>
        </w:rPr>
        <w:t>the</w:t>
      </w:r>
      <w:r>
        <w:rPr>
          <w:spacing w:val="-7"/>
          <w:sz w:val="24"/>
        </w:rPr>
        <w:t> </w:t>
      </w:r>
      <w:r>
        <w:rPr>
          <w:sz w:val="24"/>
        </w:rPr>
        <w:t>Committee could </w:t>
      </w:r>
      <w:r>
        <w:rPr>
          <w:spacing w:val="4"/>
          <w:sz w:val="24"/>
        </w:rPr>
        <w:t>operate </w:t>
      </w:r>
      <w:r>
        <w:rPr>
          <w:sz w:val="24"/>
        </w:rPr>
        <w:t>with a lower </w:t>
      </w:r>
      <w:r>
        <w:rPr>
          <w:spacing w:val="4"/>
          <w:sz w:val="24"/>
        </w:rPr>
        <w:t>official </w:t>
      </w:r>
      <w:r>
        <w:rPr>
          <w:sz w:val="24"/>
        </w:rPr>
        <w:t>repo rate than would </w:t>
      </w:r>
      <w:r>
        <w:rPr>
          <w:spacing w:val="4"/>
          <w:sz w:val="24"/>
        </w:rPr>
        <w:t>otherwise </w:t>
      </w:r>
      <w:r>
        <w:rPr>
          <w:sz w:val="24"/>
        </w:rPr>
        <w:t>be the case. Against this, it was argued that the Committee would take material </w:t>
      </w:r>
      <w:r>
        <w:rPr>
          <w:spacing w:val="2"/>
          <w:sz w:val="24"/>
        </w:rPr>
        <w:t>risks </w:t>
      </w:r>
      <w:r>
        <w:rPr>
          <w:sz w:val="24"/>
        </w:rPr>
        <w:t>with its credibility if it failed </w:t>
      </w:r>
      <w:r>
        <w:rPr>
          <w:spacing w:val="3"/>
          <w:sz w:val="24"/>
        </w:rPr>
        <w:t>to </w:t>
      </w:r>
      <w:r>
        <w:rPr>
          <w:sz w:val="24"/>
        </w:rPr>
        <w:t>tighten in line with market expectations, where it regarded those expectations as well based. If demand</w:t>
      </w:r>
      <w:r>
        <w:rPr>
          <w:spacing w:val="-10"/>
          <w:sz w:val="24"/>
        </w:rPr>
        <w:t> </w:t>
      </w:r>
      <w:r>
        <w:rPr>
          <w:sz w:val="24"/>
        </w:rPr>
        <w:t>were</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pPr>
      <w:r>
        <w:rPr/>
        <w:t>restrained by higher market rates but the Committee then failed to raise rates, the market’s view of the Committee’s reaction function would change, storing up trouble for the future.</w:t>
      </w:r>
    </w:p>
    <w:p>
      <w:pPr>
        <w:pStyle w:val="BodyText"/>
        <w:spacing w:before="6"/>
        <w:rPr>
          <w:sz w:val="31"/>
        </w:rPr>
      </w:pPr>
    </w:p>
    <w:p>
      <w:pPr>
        <w:pStyle w:val="ListParagraph"/>
        <w:numPr>
          <w:ilvl w:val="0"/>
          <w:numId w:val="1"/>
        </w:numPr>
        <w:tabs>
          <w:tab w:pos="531" w:val="left" w:leader="none"/>
        </w:tabs>
        <w:spacing w:line="360" w:lineRule="auto" w:before="0" w:after="0"/>
        <w:ind w:left="104" w:right="366" w:firstLine="0"/>
        <w:jc w:val="left"/>
        <w:rPr>
          <w:sz w:val="24"/>
        </w:rPr>
      </w:pPr>
      <w:r>
        <w:rPr>
          <w:sz w:val="24"/>
        </w:rPr>
        <w:t>The</w:t>
      </w:r>
      <w:r>
        <w:rPr>
          <w:spacing w:val="-5"/>
          <w:sz w:val="24"/>
        </w:rPr>
        <w:t> </w:t>
      </w:r>
      <w:r>
        <w:rPr>
          <w:sz w:val="24"/>
        </w:rPr>
        <w:t>Committee</w:t>
      </w:r>
      <w:r>
        <w:rPr>
          <w:spacing w:val="-7"/>
          <w:sz w:val="24"/>
        </w:rPr>
        <w:t> </w:t>
      </w:r>
      <w:r>
        <w:rPr>
          <w:sz w:val="24"/>
        </w:rPr>
        <w:t>agreed</w:t>
      </w:r>
      <w:r>
        <w:rPr>
          <w:spacing w:val="-6"/>
          <w:sz w:val="24"/>
        </w:rPr>
        <w:t> </w:t>
      </w:r>
      <w:r>
        <w:rPr>
          <w:sz w:val="24"/>
        </w:rPr>
        <w:t>that</w:t>
      </w:r>
      <w:r>
        <w:rPr>
          <w:spacing w:val="-2"/>
          <w:sz w:val="24"/>
        </w:rPr>
        <w:t> </w:t>
      </w:r>
      <w:r>
        <w:rPr>
          <w:sz w:val="24"/>
        </w:rPr>
        <w:t>it</w:t>
      </w:r>
      <w:r>
        <w:rPr>
          <w:spacing w:val="-2"/>
          <w:sz w:val="24"/>
        </w:rPr>
        <w:t> </w:t>
      </w:r>
      <w:r>
        <w:rPr>
          <w:sz w:val="24"/>
        </w:rPr>
        <w:t>should</w:t>
      </w:r>
      <w:r>
        <w:rPr>
          <w:spacing w:val="-7"/>
          <w:sz w:val="24"/>
        </w:rPr>
        <w:t> </w:t>
      </w:r>
      <w:r>
        <w:rPr>
          <w:sz w:val="24"/>
        </w:rPr>
        <w:t>not</w:t>
      </w:r>
      <w:r>
        <w:rPr>
          <w:spacing w:val="-2"/>
          <w:sz w:val="24"/>
        </w:rPr>
        <w:t> </w:t>
      </w:r>
      <w:r>
        <w:rPr>
          <w:sz w:val="24"/>
        </w:rPr>
        <w:t>place</w:t>
      </w:r>
      <w:r>
        <w:rPr>
          <w:spacing w:val="-7"/>
          <w:sz w:val="24"/>
        </w:rPr>
        <w:t> </w:t>
      </w:r>
      <w:r>
        <w:rPr>
          <w:sz w:val="24"/>
        </w:rPr>
        <w:t>great</w:t>
      </w:r>
      <w:r>
        <w:rPr>
          <w:spacing w:val="-1"/>
          <w:sz w:val="24"/>
        </w:rPr>
        <w:t> </w:t>
      </w:r>
      <w:r>
        <w:rPr>
          <w:sz w:val="24"/>
        </w:rPr>
        <w:t>weight</w:t>
      </w:r>
      <w:r>
        <w:rPr>
          <w:spacing w:val="-2"/>
          <w:sz w:val="24"/>
        </w:rPr>
        <w:t> </w:t>
      </w:r>
      <w:r>
        <w:rPr>
          <w:spacing w:val="2"/>
          <w:sz w:val="24"/>
        </w:rPr>
        <w:t>on</w:t>
      </w:r>
      <w:r>
        <w:rPr>
          <w:spacing w:val="-3"/>
          <w:sz w:val="24"/>
        </w:rPr>
        <w:t> </w:t>
      </w:r>
      <w:r>
        <w:rPr>
          <w:sz w:val="24"/>
        </w:rPr>
        <w:t>expectations</w:t>
      </w:r>
      <w:r>
        <w:rPr>
          <w:spacing w:val="-7"/>
          <w:sz w:val="24"/>
        </w:rPr>
        <w:t> </w:t>
      </w:r>
      <w:r>
        <w:rPr>
          <w:spacing w:val="2"/>
          <w:sz w:val="24"/>
        </w:rPr>
        <w:t>of</w:t>
      </w:r>
      <w:r>
        <w:rPr>
          <w:spacing w:val="-3"/>
          <w:sz w:val="24"/>
        </w:rPr>
        <w:t> </w:t>
      </w:r>
      <w:r>
        <w:rPr>
          <w:sz w:val="24"/>
        </w:rPr>
        <w:t>what</w:t>
      </w:r>
      <w:r>
        <w:rPr>
          <w:spacing w:val="-2"/>
          <w:sz w:val="24"/>
        </w:rPr>
        <w:t> </w:t>
      </w:r>
      <w:r>
        <w:rPr>
          <w:sz w:val="24"/>
        </w:rPr>
        <w:t>the</w:t>
      </w:r>
      <w:r>
        <w:rPr>
          <w:spacing w:val="-7"/>
          <w:sz w:val="24"/>
        </w:rPr>
        <w:t> </w:t>
      </w:r>
      <w:r>
        <w:rPr>
          <w:sz w:val="24"/>
        </w:rPr>
        <w:t>ECB</w:t>
      </w:r>
      <w:r>
        <w:rPr>
          <w:spacing w:val="-4"/>
          <w:sz w:val="24"/>
        </w:rPr>
        <w:t> </w:t>
      </w:r>
      <w:r>
        <w:rPr>
          <w:sz w:val="24"/>
        </w:rPr>
        <w:t>and F</w:t>
      </w:r>
      <w:r>
        <w:rPr>
          <w:sz w:val="20"/>
        </w:rPr>
        <w:t>OMC </w:t>
      </w:r>
      <w:r>
        <w:rPr>
          <w:sz w:val="24"/>
        </w:rPr>
        <w:t>might do at their meetings </w:t>
      </w:r>
      <w:r>
        <w:rPr>
          <w:spacing w:val="2"/>
          <w:sz w:val="24"/>
        </w:rPr>
        <w:t>on </w:t>
      </w:r>
      <w:r>
        <w:rPr>
          <w:sz w:val="24"/>
        </w:rPr>
        <w:t>4 November (the same day as the </w:t>
      </w:r>
      <w:r>
        <w:rPr>
          <w:spacing w:val="-5"/>
          <w:sz w:val="24"/>
        </w:rPr>
        <w:t>MPC’s </w:t>
      </w:r>
      <w:r>
        <w:rPr>
          <w:sz w:val="24"/>
        </w:rPr>
        <w:t>meeting)</w:t>
      </w:r>
      <w:r>
        <w:rPr>
          <w:spacing w:val="8"/>
          <w:sz w:val="24"/>
        </w:rPr>
        <w:t> </w:t>
      </w:r>
      <w:r>
        <w:rPr>
          <w:sz w:val="24"/>
        </w:rPr>
        <w:t>and</w:t>
      </w:r>
    </w:p>
    <w:p>
      <w:pPr>
        <w:pStyle w:val="BodyText"/>
        <w:spacing w:line="360" w:lineRule="auto"/>
        <w:ind w:left="104" w:right="202"/>
      </w:pPr>
      <w:r>
        <w:rPr/>
        <w:t>16 November respectively. It was noted that a clear majority of market participants expected the MPC to raise its rate by 25 basis points, in which case a move of that size would probably not have much effect on market prices.</w:t>
      </w:r>
    </w:p>
    <w:p>
      <w:pPr>
        <w:pStyle w:val="BodyText"/>
        <w:spacing w:before="2"/>
        <w:rPr>
          <w:sz w:val="31"/>
        </w:rPr>
      </w:pPr>
    </w:p>
    <w:p>
      <w:pPr>
        <w:pStyle w:val="ListParagraph"/>
        <w:numPr>
          <w:ilvl w:val="0"/>
          <w:numId w:val="1"/>
        </w:numPr>
        <w:tabs>
          <w:tab w:pos="536" w:val="left" w:leader="none"/>
        </w:tabs>
        <w:spacing w:line="360" w:lineRule="auto" w:before="0" w:after="0"/>
        <w:ind w:left="104" w:right="191" w:firstLine="0"/>
        <w:jc w:val="left"/>
        <w:rPr>
          <w:sz w:val="24"/>
        </w:rPr>
      </w:pPr>
      <w:r>
        <w:rPr>
          <w:sz w:val="24"/>
        </w:rPr>
        <w:t>The shape </w:t>
      </w:r>
      <w:r>
        <w:rPr>
          <w:spacing w:val="2"/>
          <w:sz w:val="24"/>
        </w:rPr>
        <w:t>of </w:t>
      </w:r>
      <w:r>
        <w:rPr>
          <w:sz w:val="24"/>
        </w:rPr>
        <w:t>the inflation projection had changed materially </w:t>
      </w:r>
      <w:r>
        <w:rPr>
          <w:spacing w:val="3"/>
          <w:sz w:val="24"/>
        </w:rPr>
        <w:t>over </w:t>
      </w:r>
      <w:r>
        <w:rPr>
          <w:sz w:val="24"/>
        </w:rPr>
        <w:t>the past year. A year ago, it had been humped; in May and August it had had a gentle saucer shape; now inflation was projected </w:t>
      </w:r>
      <w:r>
        <w:rPr>
          <w:spacing w:val="3"/>
          <w:sz w:val="24"/>
        </w:rPr>
        <w:t>to </w:t>
      </w:r>
      <w:r>
        <w:rPr>
          <w:sz w:val="24"/>
        </w:rPr>
        <w:t>fall further below the target, before rising more steeply towards the end </w:t>
      </w:r>
      <w:r>
        <w:rPr>
          <w:spacing w:val="2"/>
          <w:sz w:val="24"/>
        </w:rPr>
        <w:t>of </w:t>
      </w:r>
      <w:r>
        <w:rPr>
          <w:sz w:val="24"/>
        </w:rPr>
        <w:t>the forecast period. This </w:t>
      </w:r>
      <w:r>
        <w:rPr>
          <w:spacing w:val="2"/>
          <w:sz w:val="24"/>
        </w:rPr>
        <w:t>reflected </w:t>
      </w:r>
      <w:r>
        <w:rPr>
          <w:sz w:val="24"/>
        </w:rPr>
        <w:t>the view that accumulating inflationary pressures would surface after a period in which measured inflation was held back by a series </w:t>
      </w:r>
      <w:r>
        <w:rPr>
          <w:spacing w:val="3"/>
          <w:sz w:val="24"/>
        </w:rPr>
        <w:t>of </w:t>
      </w:r>
      <w:r>
        <w:rPr>
          <w:sz w:val="24"/>
        </w:rPr>
        <w:t>specific price level changes. In particular, after falling back in the short run earnings growth was likely </w:t>
      </w:r>
      <w:r>
        <w:rPr>
          <w:spacing w:val="2"/>
          <w:sz w:val="24"/>
        </w:rPr>
        <w:t>to </w:t>
      </w:r>
      <w:r>
        <w:rPr>
          <w:sz w:val="24"/>
        </w:rPr>
        <w:t>pick up further </w:t>
      </w:r>
      <w:r>
        <w:rPr>
          <w:spacing w:val="3"/>
          <w:sz w:val="24"/>
        </w:rPr>
        <w:t>out </w:t>
      </w:r>
      <w:r>
        <w:rPr>
          <w:sz w:val="24"/>
        </w:rPr>
        <w:t>in the forecast period. On the </w:t>
      </w:r>
      <w:r>
        <w:rPr>
          <w:spacing w:val="3"/>
          <w:sz w:val="24"/>
        </w:rPr>
        <w:t>one</w:t>
      </w:r>
      <w:r>
        <w:rPr>
          <w:spacing w:val="-4"/>
          <w:sz w:val="24"/>
        </w:rPr>
        <w:t> </w:t>
      </w:r>
      <w:r>
        <w:rPr>
          <w:sz w:val="24"/>
        </w:rPr>
        <w:t>hand,</w:t>
      </w:r>
      <w:r>
        <w:rPr>
          <w:spacing w:val="-7"/>
          <w:sz w:val="24"/>
        </w:rPr>
        <w:t> </w:t>
      </w:r>
      <w:r>
        <w:rPr>
          <w:sz w:val="24"/>
        </w:rPr>
        <w:t>the</w:t>
      </w:r>
      <w:r>
        <w:rPr>
          <w:spacing w:val="-8"/>
          <w:sz w:val="24"/>
        </w:rPr>
        <w:t> </w:t>
      </w:r>
      <w:r>
        <w:rPr>
          <w:sz w:val="24"/>
        </w:rPr>
        <w:t>degree</w:t>
      </w:r>
      <w:r>
        <w:rPr>
          <w:spacing w:val="-8"/>
          <w:sz w:val="24"/>
        </w:rPr>
        <w:t> </w:t>
      </w:r>
      <w:r>
        <w:rPr>
          <w:spacing w:val="2"/>
          <w:sz w:val="24"/>
        </w:rPr>
        <w:t>of</w:t>
      </w:r>
      <w:r>
        <w:rPr>
          <w:spacing w:val="-4"/>
          <w:sz w:val="24"/>
        </w:rPr>
        <w:t> </w:t>
      </w:r>
      <w:r>
        <w:rPr>
          <w:sz w:val="24"/>
        </w:rPr>
        <w:t>uncertainty</w:t>
      </w:r>
      <w:r>
        <w:rPr>
          <w:spacing w:val="-8"/>
          <w:sz w:val="24"/>
        </w:rPr>
        <w:t> </w:t>
      </w:r>
      <w:r>
        <w:rPr>
          <w:sz w:val="24"/>
        </w:rPr>
        <w:t>about</w:t>
      </w:r>
      <w:r>
        <w:rPr>
          <w:spacing w:val="-3"/>
          <w:sz w:val="24"/>
        </w:rPr>
        <w:t> </w:t>
      </w:r>
      <w:r>
        <w:rPr>
          <w:sz w:val="24"/>
        </w:rPr>
        <w:t>the</w:t>
      </w:r>
      <w:r>
        <w:rPr>
          <w:spacing w:val="-8"/>
          <w:sz w:val="24"/>
        </w:rPr>
        <w:t> </w:t>
      </w:r>
      <w:r>
        <w:rPr>
          <w:spacing w:val="4"/>
          <w:sz w:val="24"/>
        </w:rPr>
        <w:t>outlook</w:t>
      </w:r>
      <w:r>
        <w:rPr>
          <w:spacing w:val="-4"/>
          <w:sz w:val="24"/>
        </w:rPr>
        <w:t> </w:t>
      </w:r>
      <w:r>
        <w:rPr>
          <w:sz w:val="24"/>
        </w:rPr>
        <w:t>was</w:t>
      </w:r>
      <w:r>
        <w:rPr>
          <w:spacing w:val="-8"/>
          <w:sz w:val="24"/>
        </w:rPr>
        <w:t> </w:t>
      </w:r>
      <w:r>
        <w:rPr>
          <w:sz w:val="24"/>
        </w:rPr>
        <w:t>considerably</w:t>
      </w:r>
      <w:r>
        <w:rPr>
          <w:spacing w:val="-8"/>
          <w:sz w:val="24"/>
        </w:rPr>
        <w:t> </w:t>
      </w:r>
      <w:r>
        <w:rPr>
          <w:sz w:val="24"/>
        </w:rPr>
        <w:t>greater</w:t>
      </w:r>
      <w:r>
        <w:rPr>
          <w:spacing w:val="-8"/>
          <w:sz w:val="24"/>
        </w:rPr>
        <w:t> </w:t>
      </w:r>
      <w:r>
        <w:rPr>
          <w:sz w:val="24"/>
        </w:rPr>
        <w:t>at</w:t>
      </w:r>
      <w:r>
        <w:rPr>
          <w:spacing w:val="-2"/>
          <w:sz w:val="24"/>
        </w:rPr>
        <w:t> </w:t>
      </w:r>
      <w:r>
        <w:rPr>
          <w:sz w:val="24"/>
        </w:rPr>
        <w:t>the</w:t>
      </w:r>
      <w:r>
        <w:rPr>
          <w:spacing w:val="-3"/>
          <w:sz w:val="24"/>
        </w:rPr>
        <w:t> </w:t>
      </w:r>
      <w:r>
        <w:rPr>
          <w:sz w:val="24"/>
        </w:rPr>
        <w:t>two</w:t>
      </w:r>
      <w:r>
        <w:rPr>
          <w:spacing w:val="-5"/>
          <w:sz w:val="24"/>
        </w:rPr>
        <w:t> </w:t>
      </w:r>
      <w:r>
        <w:rPr>
          <w:sz w:val="24"/>
        </w:rPr>
        <w:t>year</w:t>
      </w:r>
      <w:r>
        <w:rPr>
          <w:spacing w:val="-5"/>
          <w:sz w:val="24"/>
        </w:rPr>
        <w:t> </w:t>
      </w:r>
      <w:r>
        <w:rPr>
          <w:sz w:val="24"/>
        </w:rPr>
        <w:t>horizon, so</w:t>
      </w:r>
      <w:r>
        <w:rPr>
          <w:spacing w:val="-6"/>
          <w:sz w:val="24"/>
        </w:rPr>
        <w:t> </w:t>
      </w:r>
      <w:r>
        <w:rPr>
          <w:sz w:val="24"/>
        </w:rPr>
        <w:t>that</w:t>
      </w:r>
      <w:r>
        <w:rPr>
          <w:spacing w:val="-1"/>
          <w:sz w:val="24"/>
        </w:rPr>
        <w:t> </w:t>
      </w:r>
      <w:r>
        <w:rPr>
          <w:sz w:val="24"/>
        </w:rPr>
        <w:t>the</w:t>
      </w:r>
      <w:r>
        <w:rPr>
          <w:spacing w:val="-6"/>
          <w:sz w:val="24"/>
        </w:rPr>
        <w:t> </w:t>
      </w:r>
      <w:r>
        <w:rPr>
          <w:sz w:val="24"/>
        </w:rPr>
        <w:t>Committee</w:t>
      </w:r>
      <w:r>
        <w:rPr>
          <w:spacing w:val="-5"/>
          <w:sz w:val="24"/>
        </w:rPr>
        <w:t> </w:t>
      </w:r>
      <w:r>
        <w:rPr>
          <w:sz w:val="24"/>
        </w:rPr>
        <w:t>could</w:t>
      </w:r>
      <w:r>
        <w:rPr>
          <w:spacing w:val="-6"/>
          <w:sz w:val="24"/>
        </w:rPr>
        <w:t> </w:t>
      </w:r>
      <w:r>
        <w:rPr>
          <w:sz w:val="24"/>
        </w:rPr>
        <w:t>be</w:t>
      </w:r>
      <w:r>
        <w:rPr>
          <w:spacing w:val="-6"/>
          <w:sz w:val="24"/>
        </w:rPr>
        <w:t> </w:t>
      </w:r>
      <w:r>
        <w:rPr>
          <w:sz w:val="24"/>
        </w:rPr>
        <w:t>less</w:t>
      </w:r>
      <w:r>
        <w:rPr>
          <w:spacing w:val="-5"/>
          <w:sz w:val="24"/>
        </w:rPr>
        <w:t> </w:t>
      </w:r>
      <w:r>
        <w:rPr>
          <w:sz w:val="24"/>
        </w:rPr>
        <w:t>sure</w:t>
      </w:r>
      <w:r>
        <w:rPr>
          <w:spacing w:val="-6"/>
          <w:sz w:val="24"/>
        </w:rPr>
        <w:t> </w:t>
      </w:r>
      <w:r>
        <w:rPr>
          <w:sz w:val="24"/>
        </w:rPr>
        <w:t>about</w:t>
      </w:r>
      <w:r>
        <w:rPr>
          <w:spacing w:val="-1"/>
          <w:sz w:val="24"/>
        </w:rPr>
        <w:t> </w:t>
      </w:r>
      <w:r>
        <w:rPr>
          <w:sz w:val="24"/>
        </w:rPr>
        <w:t>the</w:t>
      </w:r>
      <w:r>
        <w:rPr>
          <w:spacing w:val="-5"/>
          <w:sz w:val="24"/>
        </w:rPr>
        <w:t> </w:t>
      </w:r>
      <w:r>
        <w:rPr>
          <w:sz w:val="24"/>
        </w:rPr>
        <w:t>projected</w:t>
      </w:r>
      <w:r>
        <w:rPr>
          <w:spacing w:val="-6"/>
          <w:sz w:val="24"/>
        </w:rPr>
        <w:t> </w:t>
      </w:r>
      <w:r>
        <w:rPr>
          <w:sz w:val="24"/>
        </w:rPr>
        <w:t>steep</w:t>
      </w:r>
      <w:r>
        <w:rPr>
          <w:spacing w:val="-6"/>
          <w:sz w:val="24"/>
        </w:rPr>
        <w:t> </w:t>
      </w:r>
      <w:r>
        <w:rPr>
          <w:sz w:val="24"/>
        </w:rPr>
        <w:t>rise</w:t>
      </w:r>
      <w:r>
        <w:rPr>
          <w:spacing w:val="-3"/>
          <w:sz w:val="24"/>
        </w:rPr>
        <w:t> </w:t>
      </w:r>
      <w:r>
        <w:rPr>
          <w:sz w:val="24"/>
        </w:rPr>
        <w:t>than</w:t>
      </w:r>
      <w:r>
        <w:rPr>
          <w:spacing w:val="-6"/>
          <w:sz w:val="24"/>
        </w:rPr>
        <w:t> </w:t>
      </w:r>
      <w:r>
        <w:rPr>
          <w:sz w:val="24"/>
        </w:rPr>
        <w:t>it</w:t>
      </w:r>
      <w:r>
        <w:rPr>
          <w:spacing w:val="-1"/>
          <w:sz w:val="24"/>
        </w:rPr>
        <w:t> </w:t>
      </w:r>
      <w:r>
        <w:rPr>
          <w:sz w:val="24"/>
        </w:rPr>
        <w:t>could</w:t>
      </w:r>
      <w:r>
        <w:rPr>
          <w:spacing w:val="-6"/>
          <w:sz w:val="24"/>
        </w:rPr>
        <w:t> </w:t>
      </w:r>
      <w:r>
        <w:rPr>
          <w:sz w:val="24"/>
        </w:rPr>
        <w:t>be</w:t>
      </w:r>
      <w:r>
        <w:rPr>
          <w:spacing w:val="-5"/>
          <w:sz w:val="24"/>
        </w:rPr>
        <w:t> </w:t>
      </w:r>
      <w:r>
        <w:rPr>
          <w:sz w:val="24"/>
        </w:rPr>
        <w:t>about</w:t>
      </w:r>
      <w:r>
        <w:rPr>
          <w:spacing w:val="-2"/>
          <w:sz w:val="24"/>
        </w:rPr>
        <w:t> </w:t>
      </w:r>
      <w:r>
        <w:rPr>
          <w:sz w:val="24"/>
        </w:rPr>
        <w:t>the</w:t>
      </w:r>
      <w:r>
        <w:rPr>
          <w:spacing w:val="-5"/>
          <w:sz w:val="24"/>
        </w:rPr>
        <w:t> </w:t>
      </w:r>
      <w:r>
        <w:rPr>
          <w:sz w:val="24"/>
        </w:rPr>
        <w:t>nearer- term prospect </w:t>
      </w:r>
      <w:r>
        <w:rPr>
          <w:spacing w:val="2"/>
          <w:sz w:val="24"/>
        </w:rPr>
        <w:t>of </w:t>
      </w:r>
      <w:r>
        <w:rPr>
          <w:sz w:val="24"/>
        </w:rPr>
        <w:t>inflation remaining below target. On the </w:t>
      </w:r>
      <w:r>
        <w:rPr>
          <w:spacing w:val="4"/>
          <w:sz w:val="24"/>
        </w:rPr>
        <w:t>other </w:t>
      </w:r>
      <w:r>
        <w:rPr>
          <w:sz w:val="24"/>
        </w:rPr>
        <w:t>hand, monetary policy changes would have a greater effect </w:t>
      </w:r>
      <w:r>
        <w:rPr>
          <w:spacing w:val="2"/>
          <w:sz w:val="24"/>
        </w:rPr>
        <w:t>on </w:t>
      </w:r>
      <w:r>
        <w:rPr>
          <w:sz w:val="24"/>
        </w:rPr>
        <w:t>inflation at around two years than </w:t>
      </w:r>
      <w:r>
        <w:rPr>
          <w:spacing w:val="2"/>
          <w:sz w:val="24"/>
        </w:rPr>
        <w:t>on </w:t>
      </w:r>
      <w:r>
        <w:rPr>
          <w:sz w:val="24"/>
        </w:rPr>
        <w:t>nearer-term prospects. The Committee agreed</w:t>
      </w:r>
      <w:r>
        <w:rPr>
          <w:spacing w:val="-7"/>
          <w:sz w:val="24"/>
        </w:rPr>
        <w:t> </w:t>
      </w:r>
      <w:r>
        <w:rPr>
          <w:sz w:val="24"/>
        </w:rPr>
        <w:t>that,</w:t>
      </w:r>
      <w:r>
        <w:rPr>
          <w:spacing w:val="-2"/>
          <w:sz w:val="24"/>
        </w:rPr>
        <w:t> </w:t>
      </w:r>
      <w:r>
        <w:rPr>
          <w:spacing w:val="4"/>
          <w:sz w:val="24"/>
        </w:rPr>
        <w:t>other</w:t>
      </w:r>
      <w:r>
        <w:rPr>
          <w:spacing w:val="-2"/>
          <w:sz w:val="24"/>
        </w:rPr>
        <w:t> </w:t>
      </w:r>
      <w:r>
        <w:rPr>
          <w:sz w:val="24"/>
        </w:rPr>
        <w:t>things</w:t>
      </w:r>
      <w:r>
        <w:rPr>
          <w:spacing w:val="-6"/>
          <w:sz w:val="24"/>
        </w:rPr>
        <w:t> </w:t>
      </w:r>
      <w:r>
        <w:rPr>
          <w:sz w:val="24"/>
        </w:rPr>
        <w:t>being</w:t>
      </w:r>
      <w:r>
        <w:rPr>
          <w:spacing w:val="-7"/>
          <w:sz w:val="24"/>
        </w:rPr>
        <w:t> </w:t>
      </w:r>
      <w:r>
        <w:rPr>
          <w:sz w:val="24"/>
        </w:rPr>
        <w:t>equal,</w:t>
      </w:r>
      <w:r>
        <w:rPr>
          <w:spacing w:val="-6"/>
          <w:sz w:val="24"/>
        </w:rPr>
        <w:t> </w:t>
      </w:r>
      <w:r>
        <w:rPr>
          <w:sz w:val="24"/>
        </w:rPr>
        <w:t>the</w:t>
      </w:r>
      <w:r>
        <w:rPr>
          <w:spacing w:val="-6"/>
          <w:sz w:val="24"/>
        </w:rPr>
        <w:t> </w:t>
      </w:r>
      <w:r>
        <w:rPr>
          <w:sz w:val="24"/>
        </w:rPr>
        <w:t>shape</w:t>
      </w:r>
      <w:r>
        <w:rPr>
          <w:spacing w:val="-7"/>
          <w:sz w:val="24"/>
        </w:rPr>
        <w:t> </w:t>
      </w:r>
      <w:r>
        <w:rPr>
          <w:spacing w:val="2"/>
          <w:sz w:val="24"/>
        </w:rPr>
        <w:t>of</w:t>
      </w:r>
      <w:r>
        <w:rPr>
          <w:spacing w:val="-2"/>
          <w:sz w:val="24"/>
        </w:rPr>
        <w:t> </w:t>
      </w:r>
      <w:r>
        <w:rPr>
          <w:sz w:val="24"/>
        </w:rPr>
        <w:t>the</w:t>
      </w:r>
      <w:r>
        <w:rPr>
          <w:spacing w:val="-6"/>
          <w:sz w:val="24"/>
        </w:rPr>
        <w:t> </w:t>
      </w:r>
      <w:r>
        <w:rPr>
          <w:sz w:val="24"/>
        </w:rPr>
        <w:t>projection</w:t>
      </w:r>
      <w:r>
        <w:rPr>
          <w:spacing w:val="-7"/>
          <w:sz w:val="24"/>
        </w:rPr>
        <w:t> </w:t>
      </w:r>
      <w:r>
        <w:rPr>
          <w:sz w:val="24"/>
        </w:rPr>
        <w:t>meant</w:t>
      </w:r>
      <w:r>
        <w:rPr>
          <w:spacing w:val="-2"/>
          <w:sz w:val="24"/>
        </w:rPr>
        <w:t> </w:t>
      </w:r>
      <w:r>
        <w:rPr>
          <w:sz w:val="24"/>
        </w:rPr>
        <w:t>that,</w:t>
      </w:r>
      <w:r>
        <w:rPr>
          <w:spacing w:val="-2"/>
          <w:sz w:val="24"/>
        </w:rPr>
        <w:t> </w:t>
      </w:r>
      <w:r>
        <w:rPr>
          <w:sz w:val="24"/>
        </w:rPr>
        <w:t>compared</w:t>
      </w:r>
      <w:r>
        <w:rPr>
          <w:spacing w:val="-6"/>
          <w:sz w:val="24"/>
        </w:rPr>
        <w:t> </w:t>
      </w:r>
      <w:r>
        <w:rPr>
          <w:sz w:val="24"/>
        </w:rPr>
        <w:t>with</w:t>
      </w:r>
      <w:r>
        <w:rPr>
          <w:spacing w:val="-6"/>
          <w:sz w:val="24"/>
        </w:rPr>
        <w:t> </w:t>
      </w:r>
      <w:r>
        <w:rPr>
          <w:sz w:val="24"/>
        </w:rPr>
        <w:t>a</w:t>
      </w:r>
      <w:r>
        <w:rPr>
          <w:spacing w:val="-7"/>
          <w:sz w:val="24"/>
        </w:rPr>
        <w:t> </w:t>
      </w:r>
      <w:r>
        <w:rPr>
          <w:sz w:val="24"/>
        </w:rPr>
        <w:t>profile</w:t>
      </w:r>
      <w:r>
        <w:rPr>
          <w:spacing w:val="-6"/>
          <w:sz w:val="24"/>
        </w:rPr>
        <w:t> </w:t>
      </w:r>
      <w:r>
        <w:rPr>
          <w:sz w:val="24"/>
        </w:rPr>
        <w:t>in which inflation rose steadily, there was more time </w:t>
      </w:r>
      <w:r>
        <w:rPr>
          <w:spacing w:val="3"/>
          <w:sz w:val="24"/>
        </w:rPr>
        <w:t>to </w:t>
      </w:r>
      <w:r>
        <w:rPr>
          <w:sz w:val="24"/>
        </w:rPr>
        <w:t>tighten policy in </w:t>
      </w:r>
      <w:r>
        <w:rPr>
          <w:spacing w:val="4"/>
          <w:sz w:val="24"/>
        </w:rPr>
        <w:t>order </w:t>
      </w:r>
      <w:r>
        <w:rPr>
          <w:sz w:val="24"/>
        </w:rPr>
        <w:t>further </w:t>
      </w:r>
      <w:r>
        <w:rPr>
          <w:spacing w:val="3"/>
          <w:sz w:val="24"/>
        </w:rPr>
        <w:t>to </w:t>
      </w:r>
      <w:r>
        <w:rPr>
          <w:sz w:val="24"/>
        </w:rPr>
        <w:t>restrain demand growth if that still proved</w:t>
      </w:r>
      <w:r>
        <w:rPr>
          <w:spacing w:val="16"/>
          <w:sz w:val="24"/>
        </w:rPr>
        <w:t> </w:t>
      </w:r>
      <w:r>
        <w:rPr>
          <w:sz w:val="24"/>
        </w:rPr>
        <w:t>necessary.</w:t>
      </w:r>
    </w:p>
    <w:p>
      <w:pPr>
        <w:pStyle w:val="BodyText"/>
        <w:spacing w:before="8"/>
        <w:rPr>
          <w:sz w:val="31"/>
        </w:rPr>
      </w:pPr>
    </w:p>
    <w:p>
      <w:pPr>
        <w:pStyle w:val="Heading1"/>
      </w:pPr>
      <w:r>
        <w:rPr/>
        <w:t>The immediate policy decision</w:t>
      </w:r>
    </w:p>
    <w:p>
      <w:pPr>
        <w:pStyle w:val="BodyText"/>
        <w:rPr>
          <w:b/>
          <w:sz w:val="26"/>
        </w:rPr>
      </w:pPr>
    </w:p>
    <w:p>
      <w:pPr>
        <w:pStyle w:val="ListParagraph"/>
        <w:numPr>
          <w:ilvl w:val="0"/>
          <w:numId w:val="1"/>
        </w:numPr>
        <w:tabs>
          <w:tab w:pos="531" w:val="left" w:leader="none"/>
        </w:tabs>
        <w:spacing w:line="360" w:lineRule="auto" w:before="193" w:after="0"/>
        <w:ind w:left="104" w:right="198" w:firstLine="0"/>
        <w:jc w:val="left"/>
        <w:rPr>
          <w:sz w:val="24"/>
        </w:rPr>
      </w:pPr>
      <w:r>
        <w:rPr>
          <w:sz w:val="24"/>
        </w:rPr>
        <w:t>The Committee agreed that the analysis </w:t>
      </w:r>
      <w:r>
        <w:rPr>
          <w:spacing w:val="2"/>
          <w:sz w:val="24"/>
        </w:rPr>
        <w:t>of </w:t>
      </w:r>
      <w:r>
        <w:rPr>
          <w:sz w:val="24"/>
        </w:rPr>
        <w:t>the </w:t>
      </w:r>
      <w:r>
        <w:rPr>
          <w:spacing w:val="4"/>
          <w:sz w:val="24"/>
        </w:rPr>
        <w:t>outlook </w:t>
      </w:r>
      <w:r>
        <w:rPr>
          <w:sz w:val="24"/>
        </w:rPr>
        <w:t>for inflation had changed </w:t>
      </w:r>
      <w:r>
        <w:rPr>
          <w:spacing w:val="3"/>
          <w:sz w:val="24"/>
        </w:rPr>
        <w:t>over </w:t>
      </w:r>
      <w:r>
        <w:rPr>
          <w:sz w:val="24"/>
        </w:rPr>
        <w:t>the past few months. The news </w:t>
      </w:r>
      <w:r>
        <w:rPr>
          <w:spacing w:val="2"/>
          <w:sz w:val="24"/>
        </w:rPr>
        <w:t>on </w:t>
      </w:r>
      <w:r>
        <w:rPr>
          <w:sz w:val="24"/>
        </w:rPr>
        <w:t>demand and activity had been stronger than expected, whereas RPIX inflation had been weaker than expected. The short-term relationship between </w:t>
      </w:r>
      <w:r>
        <w:rPr>
          <w:spacing w:val="4"/>
          <w:sz w:val="24"/>
        </w:rPr>
        <w:t>output </w:t>
      </w:r>
      <w:r>
        <w:rPr>
          <w:sz w:val="24"/>
        </w:rPr>
        <w:t>and prices had for some time been uncertain, and if anything that uncertainty had increased. For a long time strong domestically-generated inflationary pressures had been </w:t>
      </w:r>
      <w:r>
        <w:rPr>
          <w:spacing w:val="5"/>
          <w:sz w:val="24"/>
        </w:rPr>
        <w:t>offset </w:t>
      </w:r>
      <w:r>
        <w:rPr>
          <w:sz w:val="24"/>
        </w:rPr>
        <w:t>by </w:t>
      </w:r>
      <w:r>
        <w:rPr>
          <w:spacing w:val="2"/>
          <w:sz w:val="24"/>
        </w:rPr>
        <w:t>strongly </w:t>
      </w:r>
      <w:r>
        <w:rPr>
          <w:sz w:val="24"/>
        </w:rPr>
        <w:t>benign external </w:t>
      </w:r>
      <w:r>
        <w:rPr>
          <w:spacing w:val="2"/>
          <w:sz w:val="24"/>
        </w:rPr>
        <w:t>influences: </w:t>
      </w:r>
      <w:r>
        <w:rPr>
          <w:sz w:val="24"/>
        </w:rPr>
        <w:t>the price and net trade effects </w:t>
      </w:r>
      <w:r>
        <w:rPr>
          <w:spacing w:val="2"/>
          <w:sz w:val="24"/>
        </w:rPr>
        <w:t>of </w:t>
      </w:r>
      <w:r>
        <w:rPr>
          <w:sz w:val="24"/>
        </w:rPr>
        <w:t>the rising pound and </w:t>
      </w:r>
      <w:r>
        <w:rPr>
          <w:spacing w:val="2"/>
          <w:sz w:val="24"/>
        </w:rPr>
        <w:t>of </w:t>
      </w:r>
      <w:r>
        <w:rPr>
          <w:sz w:val="24"/>
        </w:rPr>
        <w:t>the shocks </w:t>
      </w:r>
      <w:r>
        <w:rPr>
          <w:spacing w:val="2"/>
          <w:sz w:val="24"/>
        </w:rPr>
        <w:t>to </w:t>
      </w:r>
      <w:r>
        <w:rPr>
          <w:sz w:val="24"/>
        </w:rPr>
        <w:t>world activity. Those external influences were now smaller. Sterling had </w:t>
      </w:r>
      <w:r>
        <w:rPr>
          <w:spacing w:val="2"/>
          <w:sz w:val="24"/>
        </w:rPr>
        <w:t>recently risen </w:t>
      </w:r>
      <w:r>
        <w:rPr>
          <w:sz w:val="24"/>
        </w:rPr>
        <w:t>slightly, but by less than during 1997 and 1998, and the world economy was recovering, with consequent rises in some input costs, for example </w:t>
      </w:r>
      <w:r>
        <w:rPr>
          <w:spacing w:val="3"/>
          <w:sz w:val="24"/>
        </w:rPr>
        <w:t>oil. </w:t>
      </w:r>
      <w:r>
        <w:rPr>
          <w:sz w:val="24"/>
        </w:rPr>
        <w:t>The key issues were now </w:t>
      </w:r>
      <w:r>
        <w:rPr>
          <w:spacing w:val="2"/>
          <w:sz w:val="24"/>
        </w:rPr>
        <w:t>on </w:t>
      </w:r>
      <w:r>
        <w:rPr>
          <w:sz w:val="24"/>
        </w:rPr>
        <w:t>the </w:t>
      </w:r>
      <w:r>
        <w:rPr>
          <w:spacing w:val="3"/>
          <w:sz w:val="24"/>
        </w:rPr>
        <w:t>one </w:t>
      </w:r>
      <w:r>
        <w:rPr>
          <w:sz w:val="24"/>
        </w:rPr>
        <w:t>hand the size and persistence </w:t>
      </w:r>
      <w:r>
        <w:rPr>
          <w:spacing w:val="2"/>
          <w:sz w:val="24"/>
        </w:rPr>
        <w:t>of </w:t>
      </w:r>
      <w:r>
        <w:rPr>
          <w:sz w:val="24"/>
        </w:rPr>
        <w:t>various downward</w:t>
      </w:r>
      <w:r>
        <w:rPr>
          <w:spacing w:val="-1"/>
          <w:sz w:val="24"/>
        </w:rPr>
        <w:t> </w:t>
      </w:r>
      <w:r>
        <w:rPr>
          <w:sz w:val="24"/>
        </w:rPr>
        <w:t>influences</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87"/>
        <w:jc w:val="both"/>
      </w:pPr>
      <w:r>
        <w:rPr/>
        <w:t>on</w:t>
      </w:r>
      <w:r>
        <w:rPr>
          <w:spacing w:val="-4"/>
        </w:rPr>
        <w:t> </w:t>
      </w:r>
      <w:r>
        <w:rPr/>
        <w:t>prices,</w:t>
      </w:r>
      <w:r>
        <w:rPr>
          <w:spacing w:val="-7"/>
        </w:rPr>
        <w:t> </w:t>
      </w:r>
      <w:r>
        <w:rPr/>
        <w:t>and</w:t>
      </w:r>
      <w:r>
        <w:rPr>
          <w:spacing w:val="-8"/>
        </w:rPr>
        <w:t> </w:t>
      </w:r>
      <w:r>
        <w:rPr/>
        <w:t>on</w:t>
      </w:r>
      <w:r>
        <w:rPr>
          <w:spacing w:val="-3"/>
        </w:rPr>
        <w:t> </w:t>
      </w:r>
      <w:r>
        <w:rPr/>
        <w:t>the</w:t>
      </w:r>
      <w:r>
        <w:rPr>
          <w:spacing w:val="-8"/>
        </w:rPr>
        <w:t> </w:t>
      </w:r>
      <w:r>
        <w:rPr>
          <w:spacing w:val="3"/>
        </w:rPr>
        <w:t>other</w:t>
      </w:r>
      <w:r>
        <w:rPr>
          <w:spacing w:val="-3"/>
        </w:rPr>
        <w:t> </w:t>
      </w:r>
      <w:r>
        <w:rPr/>
        <w:t>hand</w:t>
      </w:r>
      <w:r>
        <w:rPr>
          <w:spacing w:val="-7"/>
        </w:rPr>
        <w:t> </w:t>
      </w:r>
      <w:r>
        <w:rPr/>
        <w:t>the</w:t>
      </w:r>
      <w:r>
        <w:rPr>
          <w:spacing w:val="-7"/>
        </w:rPr>
        <w:t> </w:t>
      </w:r>
      <w:r>
        <w:rPr/>
        <w:t>more-rapid-than-expected</w:t>
      </w:r>
      <w:r>
        <w:rPr>
          <w:spacing w:val="-8"/>
        </w:rPr>
        <w:t> </w:t>
      </w:r>
      <w:r>
        <w:rPr/>
        <w:t>pick</w:t>
      </w:r>
      <w:r>
        <w:rPr>
          <w:spacing w:val="-7"/>
        </w:rPr>
        <w:t> </w:t>
      </w:r>
      <w:r>
        <w:rPr/>
        <w:t>up</w:t>
      </w:r>
      <w:r>
        <w:rPr>
          <w:spacing w:val="-8"/>
        </w:rPr>
        <w:t> </w:t>
      </w:r>
      <w:r>
        <w:rPr/>
        <w:t>in</w:t>
      </w:r>
      <w:r>
        <w:rPr>
          <w:spacing w:val="-8"/>
        </w:rPr>
        <w:t> </w:t>
      </w:r>
      <w:r>
        <w:rPr>
          <w:spacing w:val="3"/>
        </w:rPr>
        <w:t>output</w:t>
      </w:r>
      <w:r>
        <w:rPr>
          <w:spacing w:val="-3"/>
        </w:rPr>
        <w:t> </w:t>
      </w:r>
      <w:r>
        <w:rPr/>
        <w:t>growth</w:t>
      </w:r>
      <w:r>
        <w:rPr>
          <w:spacing w:val="-7"/>
        </w:rPr>
        <w:t> </w:t>
      </w:r>
      <w:r>
        <w:rPr/>
        <w:t>and</w:t>
      </w:r>
      <w:r>
        <w:rPr>
          <w:spacing w:val="-7"/>
        </w:rPr>
        <w:t> </w:t>
      </w:r>
      <w:r>
        <w:rPr/>
        <w:t>the</w:t>
      </w:r>
      <w:r>
        <w:rPr>
          <w:spacing w:val="-8"/>
        </w:rPr>
        <w:t> </w:t>
      </w:r>
      <w:r>
        <w:rPr/>
        <w:t>extent </w:t>
      </w:r>
      <w:r>
        <w:rPr>
          <w:spacing w:val="3"/>
        </w:rPr>
        <w:t>to </w:t>
      </w:r>
      <w:r>
        <w:rPr/>
        <w:t>which domestic demand growth would slow without further monetary policy tightening. Members’ analysis </w:t>
      </w:r>
      <w:r>
        <w:rPr>
          <w:spacing w:val="3"/>
        </w:rPr>
        <w:t>of </w:t>
      </w:r>
      <w:r>
        <w:rPr/>
        <w:t>the immediate policy choice varied according </w:t>
      </w:r>
      <w:r>
        <w:rPr>
          <w:spacing w:val="3"/>
        </w:rPr>
        <w:t>to </w:t>
      </w:r>
      <w:r>
        <w:rPr/>
        <w:t>how they viewed those</w:t>
      </w:r>
      <w:r>
        <w:rPr>
          <w:spacing w:val="-13"/>
        </w:rPr>
        <w:t> </w:t>
      </w:r>
      <w:r>
        <w:rPr>
          <w:spacing w:val="2"/>
        </w:rPr>
        <w:t>factors.</w:t>
      </w:r>
    </w:p>
    <w:p>
      <w:pPr>
        <w:pStyle w:val="BodyText"/>
        <w:spacing w:before="5"/>
        <w:rPr>
          <w:sz w:val="31"/>
        </w:rPr>
      </w:pPr>
    </w:p>
    <w:p>
      <w:pPr>
        <w:pStyle w:val="ListParagraph"/>
        <w:numPr>
          <w:ilvl w:val="0"/>
          <w:numId w:val="1"/>
        </w:numPr>
        <w:tabs>
          <w:tab w:pos="539" w:val="left" w:leader="none"/>
        </w:tabs>
        <w:spacing w:line="360" w:lineRule="auto" w:before="0" w:after="0"/>
        <w:ind w:left="104" w:right="234" w:firstLine="0"/>
        <w:jc w:val="left"/>
        <w:rPr>
          <w:sz w:val="24"/>
        </w:rPr>
      </w:pPr>
      <w:r>
        <w:rPr>
          <w:sz w:val="24"/>
        </w:rPr>
        <w:t>A variety </w:t>
      </w:r>
      <w:r>
        <w:rPr>
          <w:spacing w:val="3"/>
          <w:sz w:val="24"/>
        </w:rPr>
        <w:t>of </w:t>
      </w:r>
      <w:r>
        <w:rPr>
          <w:sz w:val="24"/>
        </w:rPr>
        <w:t>arguments were identified in favour </w:t>
      </w:r>
      <w:r>
        <w:rPr>
          <w:spacing w:val="3"/>
          <w:sz w:val="24"/>
        </w:rPr>
        <w:t>of </w:t>
      </w:r>
      <w:r>
        <w:rPr>
          <w:sz w:val="24"/>
        </w:rPr>
        <w:t>an immediate increase in interest </w:t>
      </w:r>
      <w:r>
        <w:rPr>
          <w:spacing w:val="2"/>
          <w:sz w:val="24"/>
        </w:rPr>
        <w:t>rates. </w:t>
      </w:r>
      <w:r>
        <w:rPr>
          <w:sz w:val="24"/>
        </w:rPr>
        <w:t>Activity had recovered faster than expected, and confidence indicators had remained strong despite</w:t>
      </w:r>
      <w:r>
        <w:rPr>
          <w:spacing w:val="-42"/>
          <w:sz w:val="24"/>
        </w:rPr>
        <w:t> </w:t>
      </w:r>
      <w:r>
        <w:rPr>
          <w:sz w:val="24"/>
        </w:rPr>
        <w:t>the September tightening </w:t>
      </w:r>
      <w:r>
        <w:rPr>
          <w:spacing w:val="3"/>
          <w:sz w:val="24"/>
        </w:rPr>
        <w:t>of </w:t>
      </w:r>
      <w:r>
        <w:rPr>
          <w:sz w:val="24"/>
        </w:rPr>
        <w:t>monetary policy and sterling’s recent strength. A further decline in the velocity </w:t>
      </w:r>
      <w:r>
        <w:rPr>
          <w:spacing w:val="2"/>
          <w:sz w:val="24"/>
        </w:rPr>
        <w:t>of </w:t>
      </w:r>
      <w:r>
        <w:rPr>
          <w:sz w:val="24"/>
        </w:rPr>
        <w:t>circulation was needed for narrow money, household Divisia and household M4 growth </w:t>
      </w:r>
      <w:r>
        <w:rPr>
          <w:spacing w:val="3"/>
          <w:sz w:val="24"/>
        </w:rPr>
        <w:t>to </w:t>
      </w:r>
      <w:r>
        <w:rPr>
          <w:sz w:val="24"/>
        </w:rPr>
        <w:t>be consistent with the inflation target. Final domestic demand growth was projected </w:t>
      </w:r>
      <w:r>
        <w:rPr>
          <w:spacing w:val="3"/>
          <w:sz w:val="24"/>
        </w:rPr>
        <w:t>to </w:t>
      </w:r>
      <w:r>
        <w:rPr>
          <w:sz w:val="24"/>
        </w:rPr>
        <w:t>slow but still </w:t>
      </w:r>
      <w:r>
        <w:rPr>
          <w:spacing w:val="3"/>
          <w:sz w:val="24"/>
        </w:rPr>
        <w:t>to </w:t>
      </w:r>
      <w:r>
        <w:rPr>
          <w:sz w:val="24"/>
        </w:rPr>
        <w:t>be above trend at the forecast horizon, supported amongst </w:t>
      </w:r>
      <w:r>
        <w:rPr>
          <w:spacing w:val="3"/>
          <w:sz w:val="24"/>
        </w:rPr>
        <w:t>other </w:t>
      </w:r>
      <w:r>
        <w:rPr>
          <w:sz w:val="24"/>
        </w:rPr>
        <w:t>things by a strong housing market. A significant negative contribution </w:t>
      </w:r>
      <w:r>
        <w:rPr>
          <w:spacing w:val="3"/>
          <w:sz w:val="24"/>
        </w:rPr>
        <w:t>to </w:t>
      </w:r>
      <w:r>
        <w:rPr>
          <w:sz w:val="24"/>
        </w:rPr>
        <w:t>GDP growth from net trade was effectively being relied upon </w:t>
      </w:r>
      <w:r>
        <w:rPr>
          <w:spacing w:val="3"/>
          <w:sz w:val="24"/>
        </w:rPr>
        <w:t>to </w:t>
      </w:r>
      <w:r>
        <w:rPr>
          <w:sz w:val="24"/>
        </w:rPr>
        <w:t>avoid</w:t>
      </w:r>
      <w:r>
        <w:rPr>
          <w:spacing w:val="-6"/>
          <w:sz w:val="24"/>
        </w:rPr>
        <w:t> </w:t>
      </w:r>
      <w:r>
        <w:rPr>
          <w:sz w:val="24"/>
        </w:rPr>
        <w:t>aggregate</w:t>
      </w:r>
      <w:r>
        <w:rPr>
          <w:spacing w:val="-5"/>
          <w:sz w:val="24"/>
        </w:rPr>
        <w:t> </w:t>
      </w:r>
      <w:r>
        <w:rPr>
          <w:sz w:val="24"/>
        </w:rPr>
        <w:t>demand</w:t>
      </w:r>
      <w:r>
        <w:rPr>
          <w:spacing w:val="-5"/>
          <w:sz w:val="24"/>
        </w:rPr>
        <w:t> </w:t>
      </w:r>
      <w:r>
        <w:rPr>
          <w:sz w:val="24"/>
        </w:rPr>
        <w:t>exceeding</w:t>
      </w:r>
      <w:r>
        <w:rPr>
          <w:spacing w:val="-6"/>
          <w:sz w:val="24"/>
        </w:rPr>
        <w:t> </w:t>
      </w:r>
      <w:r>
        <w:rPr>
          <w:sz w:val="24"/>
        </w:rPr>
        <w:t>the</w:t>
      </w:r>
      <w:r>
        <w:rPr>
          <w:spacing w:val="-5"/>
          <w:sz w:val="24"/>
        </w:rPr>
        <w:t> </w:t>
      </w:r>
      <w:r>
        <w:rPr>
          <w:spacing w:val="-3"/>
          <w:sz w:val="24"/>
        </w:rPr>
        <w:t>economy’s</w:t>
      </w:r>
      <w:r>
        <w:rPr>
          <w:spacing w:val="-4"/>
          <w:sz w:val="24"/>
        </w:rPr>
        <w:t> </w:t>
      </w:r>
      <w:r>
        <w:rPr>
          <w:sz w:val="24"/>
        </w:rPr>
        <w:t>supply</w:t>
      </w:r>
      <w:r>
        <w:rPr>
          <w:spacing w:val="-5"/>
          <w:sz w:val="24"/>
        </w:rPr>
        <w:t> </w:t>
      </w:r>
      <w:r>
        <w:rPr>
          <w:sz w:val="24"/>
        </w:rPr>
        <w:t>capacity.</w:t>
      </w:r>
      <w:r>
        <w:rPr>
          <w:spacing w:val="-4"/>
          <w:sz w:val="24"/>
        </w:rPr>
        <w:t> </w:t>
      </w:r>
      <w:r>
        <w:rPr>
          <w:sz w:val="24"/>
        </w:rPr>
        <w:t>The</w:t>
      </w:r>
      <w:r>
        <w:rPr>
          <w:spacing w:val="-2"/>
          <w:sz w:val="24"/>
        </w:rPr>
        <w:t> </w:t>
      </w:r>
      <w:r>
        <w:rPr>
          <w:sz w:val="24"/>
        </w:rPr>
        <w:t>labour</w:t>
      </w:r>
      <w:r>
        <w:rPr>
          <w:spacing w:val="-5"/>
          <w:sz w:val="24"/>
        </w:rPr>
        <w:t> </w:t>
      </w:r>
      <w:r>
        <w:rPr>
          <w:sz w:val="24"/>
        </w:rPr>
        <w:t>market</w:t>
      </w:r>
      <w:r>
        <w:rPr>
          <w:spacing w:val="1"/>
          <w:sz w:val="24"/>
        </w:rPr>
        <w:t> </w:t>
      </w:r>
      <w:r>
        <w:rPr>
          <w:sz w:val="24"/>
        </w:rPr>
        <w:t>seemed</w:t>
      </w:r>
      <w:r>
        <w:rPr>
          <w:spacing w:val="-4"/>
          <w:sz w:val="24"/>
        </w:rPr>
        <w:t> </w:t>
      </w:r>
      <w:r>
        <w:rPr>
          <w:sz w:val="24"/>
        </w:rPr>
        <w:t>again</w:t>
      </w:r>
      <w:r>
        <w:rPr>
          <w:spacing w:val="-4"/>
          <w:sz w:val="24"/>
        </w:rPr>
        <w:t> </w:t>
      </w:r>
      <w:r>
        <w:rPr>
          <w:spacing w:val="3"/>
          <w:sz w:val="24"/>
        </w:rPr>
        <w:t>to </w:t>
      </w:r>
      <w:r>
        <w:rPr>
          <w:sz w:val="24"/>
        </w:rPr>
        <w:t>be tightening, and there was consequently a risk that unit labour cost growth would not in fact moderate. AEI earnings growth had risen </w:t>
      </w:r>
      <w:r>
        <w:rPr>
          <w:spacing w:val="3"/>
          <w:sz w:val="24"/>
        </w:rPr>
        <w:t>over </w:t>
      </w:r>
      <w:r>
        <w:rPr>
          <w:sz w:val="24"/>
        </w:rPr>
        <w:t>recent months, and the </w:t>
      </w:r>
      <w:r>
        <w:rPr>
          <w:spacing w:val="-6"/>
          <w:sz w:val="24"/>
        </w:rPr>
        <w:t>Bank’s </w:t>
      </w:r>
      <w:r>
        <w:rPr>
          <w:sz w:val="24"/>
        </w:rPr>
        <w:t>regional Agents had reported greater concerns about skill shortages increasing wage growth. Although there was particular uncertainty about the relationship between </w:t>
      </w:r>
      <w:r>
        <w:rPr>
          <w:spacing w:val="4"/>
          <w:sz w:val="24"/>
        </w:rPr>
        <w:t>output </w:t>
      </w:r>
      <w:r>
        <w:rPr>
          <w:sz w:val="24"/>
        </w:rPr>
        <w:t>growth and inflation, members were influenced by the rise in wage pressures and the pick up in survey-based measures </w:t>
      </w:r>
      <w:r>
        <w:rPr>
          <w:spacing w:val="2"/>
          <w:sz w:val="24"/>
        </w:rPr>
        <w:t>of </w:t>
      </w:r>
      <w:r>
        <w:rPr>
          <w:sz w:val="24"/>
        </w:rPr>
        <w:t>pricing intentions. Input price pressures were gathering. The inflation projection was still rising at the forecast horizon so that, assuming no news in the </w:t>
      </w:r>
      <w:r>
        <w:rPr>
          <w:spacing w:val="2"/>
          <w:sz w:val="24"/>
        </w:rPr>
        <w:t>meantime, </w:t>
      </w:r>
      <w:r>
        <w:rPr>
          <w:sz w:val="24"/>
        </w:rPr>
        <w:t>the February projection for 2002 Q1 would be higher than the target. While RPIX inflation was likely </w:t>
      </w:r>
      <w:r>
        <w:rPr>
          <w:spacing w:val="3"/>
          <w:sz w:val="24"/>
        </w:rPr>
        <w:t>to </w:t>
      </w:r>
      <w:r>
        <w:rPr>
          <w:sz w:val="24"/>
        </w:rPr>
        <w:t>be contained for a while by the various downward pressures </w:t>
      </w:r>
      <w:r>
        <w:rPr>
          <w:spacing w:val="3"/>
          <w:sz w:val="24"/>
        </w:rPr>
        <w:t>on </w:t>
      </w:r>
      <w:r>
        <w:rPr>
          <w:sz w:val="24"/>
        </w:rPr>
        <w:t>prices, a further tightening </w:t>
      </w:r>
      <w:r>
        <w:rPr>
          <w:spacing w:val="3"/>
          <w:sz w:val="24"/>
        </w:rPr>
        <w:t>of </w:t>
      </w:r>
      <w:r>
        <w:rPr>
          <w:sz w:val="24"/>
        </w:rPr>
        <w:t>policy was needed </w:t>
      </w:r>
      <w:r>
        <w:rPr>
          <w:spacing w:val="3"/>
          <w:sz w:val="24"/>
        </w:rPr>
        <w:t>to </w:t>
      </w:r>
      <w:r>
        <w:rPr>
          <w:spacing w:val="2"/>
          <w:sz w:val="24"/>
        </w:rPr>
        <w:t>restrain </w:t>
      </w:r>
      <w:r>
        <w:rPr>
          <w:sz w:val="24"/>
        </w:rPr>
        <w:t>the medium-term inflationary implications </w:t>
      </w:r>
      <w:r>
        <w:rPr>
          <w:spacing w:val="3"/>
          <w:sz w:val="24"/>
        </w:rPr>
        <w:t>of </w:t>
      </w:r>
      <w:r>
        <w:rPr>
          <w:sz w:val="24"/>
        </w:rPr>
        <w:t>continued strong domestic demand. The risks from tightening and not tightening were not symmetric. An immediate 25 basis point increase would not carry many risks </w:t>
      </w:r>
      <w:r>
        <w:rPr>
          <w:spacing w:val="3"/>
          <w:sz w:val="24"/>
        </w:rPr>
        <w:t>to </w:t>
      </w:r>
      <w:r>
        <w:rPr>
          <w:spacing w:val="4"/>
          <w:sz w:val="24"/>
        </w:rPr>
        <w:t>output </w:t>
      </w:r>
      <w:r>
        <w:rPr>
          <w:sz w:val="24"/>
        </w:rPr>
        <w:t>as</w:t>
      </w:r>
      <w:r>
        <w:rPr>
          <w:spacing w:val="-32"/>
          <w:sz w:val="24"/>
        </w:rPr>
        <w:t> </w:t>
      </w:r>
      <w:r>
        <w:rPr>
          <w:sz w:val="24"/>
        </w:rPr>
        <w:t>growth</w:t>
      </w:r>
    </w:p>
    <w:p>
      <w:pPr>
        <w:pStyle w:val="BodyText"/>
        <w:spacing w:line="360" w:lineRule="auto" w:before="2"/>
        <w:ind w:left="104" w:right="105"/>
      </w:pPr>
      <w:r>
        <w:rPr/>
        <w:t>was above trend and the level of activity was already probably not much, if at all, below the trend level. But there would be risks in not increasing interest rates now. The news on activity had been significantly stronger than expected since the Committee tightened pre -emptively in September, so that not tightening again risked increasing inflation expectations, entailing a larger tightening later than would otherwise have been necessary.</w:t>
      </w:r>
    </w:p>
    <w:p>
      <w:pPr>
        <w:pStyle w:val="BodyText"/>
        <w:spacing w:before="2"/>
        <w:rPr>
          <w:sz w:val="31"/>
        </w:rPr>
      </w:pPr>
    </w:p>
    <w:p>
      <w:pPr>
        <w:pStyle w:val="ListParagraph"/>
        <w:numPr>
          <w:ilvl w:val="0"/>
          <w:numId w:val="1"/>
        </w:numPr>
        <w:tabs>
          <w:tab w:pos="534" w:val="left" w:leader="none"/>
        </w:tabs>
        <w:spacing w:line="360" w:lineRule="auto" w:before="0" w:after="0"/>
        <w:ind w:left="104" w:right="382" w:firstLine="0"/>
        <w:jc w:val="left"/>
        <w:rPr>
          <w:sz w:val="24"/>
        </w:rPr>
      </w:pPr>
      <w:r>
        <w:rPr>
          <w:sz w:val="24"/>
        </w:rPr>
        <w:t>As</w:t>
      </w:r>
      <w:r>
        <w:rPr>
          <w:spacing w:val="-6"/>
          <w:sz w:val="24"/>
        </w:rPr>
        <w:t> </w:t>
      </w:r>
      <w:r>
        <w:rPr>
          <w:sz w:val="24"/>
        </w:rPr>
        <w:t>well</w:t>
      </w:r>
      <w:r>
        <w:rPr>
          <w:spacing w:val="-5"/>
          <w:sz w:val="24"/>
        </w:rPr>
        <w:t> </w:t>
      </w:r>
      <w:r>
        <w:rPr>
          <w:sz w:val="24"/>
        </w:rPr>
        <w:t>as</w:t>
      </w:r>
      <w:r>
        <w:rPr>
          <w:spacing w:val="-5"/>
          <w:sz w:val="24"/>
        </w:rPr>
        <w:t> </w:t>
      </w:r>
      <w:r>
        <w:rPr>
          <w:sz w:val="24"/>
        </w:rPr>
        <w:t>weighing</w:t>
      </w:r>
      <w:r>
        <w:rPr>
          <w:spacing w:val="-6"/>
          <w:sz w:val="24"/>
        </w:rPr>
        <w:t> </w:t>
      </w:r>
      <w:r>
        <w:rPr>
          <w:sz w:val="24"/>
        </w:rPr>
        <w:t>the</w:t>
      </w:r>
      <w:r>
        <w:rPr>
          <w:spacing w:val="-5"/>
          <w:sz w:val="24"/>
        </w:rPr>
        <w:t> </w:t>
      </w:r>
      <w:r>
        <w:rPr>
          <w:sz w:val="24"/>
        </w:rPr>
        <w:t>considerations</w:t>
      </w:r>
      <w:r>
        <w:rPr>
          <w:spacing w:val="-5"/>
          <w:sz w:val="24"/>
        </w:rPr>
        <w:t> </w:t>
      </w:r>
      <w:r>
        <w:rPr>
          <w:sz w:val="24"/>
        </w:rPr>
        <w:t>set</w:t>
      </w:r>
      <w:r>
        <w:rPr>
          <w:spacing w:val="-1"/>
          <w:sz w:val="24"/>
        </w:rPr>
        <w:t> </w:t>
      </w:r>
      <w:r>
        <w:rPr>
          <w:spacing w:val="3"/>
          <w:sz w:val="24"/>
        </w:rPr>
        <w:t>out</w:t>
      </w:r>
      <w:r>
        <w:rPr>
          <w:spacing w:val="-2"/>
          <w:sz w:val="24"/>
        </w:rPr>
        <w:t> </w:t>
      </w:r>
      <w:r>
        <w:rPr>
          <w:sz w:val="24"/>
        </w:rPr>
        <w:t>in</w:t>
      </w:r>
      <w:r>
        <w:rPr>
          <w:spacing w:val="-5"/>
          <w:sz w:val="24"/>
        </w:rPr>
        <w:t> </w:t>
      </w:r>
      <w:r>
        <w:rPr>
          <w:sz w:val="24"/>
        </w:rPr>
        <w:t>paragraph</w:t>
      </w:r>
      <w:r>
        <w:rPr>
          <w:spacing w:val="-5"/>
          <w:sz w:val="24"/>
        </w:rPr>
        <w:t> </w:t>
      </w:r>
      <w:r>
        <w:rPr>
          <w:sz w:val="24"/>
        </w:rPr>
        <w:t>37,</w:t>
      </w:r>
      <w:r>
        <w:rPr>
          <w:spacing w:val="-6"/>
          <w:sz w:val="24"/>
        </w:rPr>
        <w:t> </w:t>
      </w:r>
      <w:r>
        <w:rPr>
          <w:sz w:val="24"/>
        </w:rPr>
        <w:t>those</w:t>
      </w:r>
      <w:r>
        <w:rPr>
          <w:spacing w:val="-5"/>
          <w:sz w:val="24"/>
        </w:rPr>
        <w:t> </w:t>
      </w:r>
      <w:r>
        <w:rPr>
          <w:sz w:val="24"/>
        </w:rPr>
        <w:t>members</w:t>
      </w:r>
      <w:r>
        <w:rPr>
          <w:spacing w:val="-5"/>
          <w:sz w:val="24"/>
        </w:rPr>
        <w:t> </w:t>
      </w:r>
      <w:r>
        <w:rPr>
          <w:spacing w:val="2"/>
          <w:sz w:val="24"/>
        </w:rPr>
        <w:t>of</w:t>
      </w:r>
      <w:r>
        <w:rPr>
          <w:spacing w:val="-1"/>
          <w:sz w:val="24"/>
        </w:rPr>
        <w:t> </w:t>
      </w:r>
      <w:r>
        <w:rPr>
          <w:sz w:val="24"/>
        </w:rPr>
        <w:t>the</w:t>
      </w:r>
      <w:r>
        <w:rPr>
          <w:spacing w:val="-5"/>
          <w:sz w:val="24"/>
        </w:rPr>
        <w:t> </w:t>
      </w:r>
      <w:r>
        <w:rPr>
          <w:sz w:val="24"/>
        </w:rPr>
        <w:t>Committee who favoured a higher central projection than that assumed - whether because </w:t>
      </w:r>
      <w:r>
        <w:rPr>
          <w:spacing w:val="2"/>
          <w:sz w:val="24"/>
        </w:rPr>
        <w:t>of </w:t>
      </w:r>
      <w:r>
        <w:rPr>
          <w:sz w:val="24"/>
        </w:rPr>
        <w:t>different preferred assumptions</w:t>
      </w:r>
      <w:r>
        <w:rPr>
          <w:spacing w:val="-5"/>
          <w:sz w:val="24"/>
        </w:rPr>
        <w:t> </w:t>
      </w:r>
      <w:r>
        <w:rPr>
          <w:spacing w:val="2"/>
          <w:sz w:val="24"/>
        </w:rPr>
        <w:t>on</w:t>
      </w:r>
      <w:r>
        <w:rPr>
          <w:sz w:val="24"/>
        </w:rPr>
        <w:t> the</w:t>
      </w:r>
      <w:r>
        <w:rPr>
          <w:spacing w:val="-5"/>
          <w:sz w:val="24"/>
        </w:rPr>
        <w:t> </w:t>
      </w:r>
      <w:r>
        <w:rPr>
          <w:sz w:val="24"/>
        </w:rPr>
        <w:t>path</w:t>
      </w:r>
      <w:r>
        <w:rPr>
          <w:spacing w:val="-4"/>
          <w:sz w:val="24"/>
        </w:rPr>
        <w:t> </w:t>
      </w:r>
      <w:r>
        <w:rPr>
          <w:spacing w:val="2"/>
          <w:sz w:val="24"/>
        </w:rPr>
        <w:t>of</w:t>
      </w:r>
      <w:r>
        <w:rPr>
          <w:sz w:val="24"/>
        </w:rPr>
        <w:t> the</w:t>
      </w:r>
      <w:r>
        <w:rPr>
          <w:spacing w:val="-5"/>
          <w:sz w:val="24"/>
        </w:rPr>
        <w:t> </w:t>
      </w:r>
      <w:r>
        <w:rPr>
          <w:sz w:val="24"/>
        </w:rPr>
        <w:t>exchange</w:t>
      </w:r>
      <w:r>
        <w:rPr>
          <w:spacing w:val="-4"/>
          <w:sz w:val="24"/>
        </w:rPr>
        <w:t> </w:t>
      </w:r>
      <w:r>
        <w:rPr>
          <w:sz w:val="24"/>
        </w:rPr>
        <w:t>rate</w:t>
      </w:r>
      <w:r>
        <w:rPr>
          <w:spacing w:val="-3"/>
          <w:sz w:val="24"/>
        </w:rPr>
        <w:t> </w:t>
      </w:r>
      <w:r>
        <w:rPr>
          <w:spacing w:val="2"/>
          <w:sz w:val="24"/>
        </w:rPr>
        <w:t>or</w:t>
      </w:r>
      <w:r>
        <w:rPr>
          <w:sz w:val="24"/>
        </w:rPr>
        <w:t> price-cost margins,</w:t>
      </w:r>
      <w:r>
        <w:rPr>
          <w:spacing w:val="-5"/>
          <w:sz w:val="24"/>
        </w:rPr>
        <w:t> </w:t>
      </w:r>
      <w:r>
        <w:rPr>
          <w:spacing w:val="2"/>
          <w:sz w:val="24"/>
        </w:rPr>
        <w:t>or</w:t>
      </w:r>
      <w:r>
        <w:rPr>
          <w:sz w:val="24"/>
        </w:rPr>
        <w:t> </w:t>
      </w:r>
      <w:r>
        <w:rPr>
          <w:spacing w:val="2"/>
          <w:sz w:val="24"/>
        </w:rPr>
        <w:t>on</w:t>
      </w:r>
      <w:r>
        <w:rPr>
          <w:sz w:val="24"/>
        </w:rPr>
        <w:t> both</w:t>
      </w:r>
      <w:r>
        <w:rPr>
          <w:spacing w:val="-5"/>
          <w:sz w:val="24"/>
        </w:rPr>
        <w:t> </w:t>
      </w:r>
      <w:r>
        <w:rPr>
          <w:sz w:val="24"/>
        </w:rPr>
        <w:t>-</w:t>
      </w:r>
      <w:r>
        <w:rPr>
          <w:spacing w:val="-2"/>
          <w:sz w:val="24"/>
        </w:rPr>
        <w:t> </w:t>
      </w:r>
      <w:r>
        <w:rPr>
          <w:sz w:val="24"/>
        </w:rPr>
        <w:t>regarded</w:t>
      </w:r>
      <w:r>
        <w:rPr>
          <w:spacing w:val="-3"/>
          <w:sz w:val="24"/>
        </w:rPr>
        <w:t> </w:t>
      </w:r>
      <w:r>
        <w:rPr>
          <w:sz w:val="24"/>
        </w:rPr>
        <w:t>the</w:t>
      </w:r>
      <w:r>
        <w:rPr>
          <w:spacing w:val="-5"/>
          <w:sz w:val="24"/>
        </w:rPr>
        <w:t> </w:t>
      </w:r>
      <w:r>
        <w:rPr>
          <w:sz w:val="24"/>
        </w:rPr>
        <w:t>risks</w:t>
      </w:r>
      <w:r>
        <w:rPr>
          <w:spacing w:val="-2"/>
          <w:sz w:val="24"/>
        </w:rPr>
        <w:t> </w:t>
      </w:r>
      <w:r>
        <w:rPr>
          <w:sz w:val="24"/>
        </w:rPr>
        <w:t>of </w:t>
      </w:r>
      <w:r>
        <w:rPr>
          <w:spacing w:val="4"/>
          <w:sz w:val="24"/>
        </w:rPr>
        <w:t>overshooting </w:t>
      </w:r>
      <w:r>
        <w:rPr>
          <w:sz w:val="24"/>
        </w:rPr>
        <w:t>the target as correspondingly greater. The choice for them now was between 25 and 50 basis points. While a case could be made for 50 basis points in </w:t>
      </w:r>
      <w:r>
        <w:rPr>
          <w:spacing w:val="3"/>
          <w:sz w:val="24"/>
        </w:rPr>
        <w:t>order </w:t>
      </w:r>
      <w:r>
        <w:rPr>
          <w:spacing w:val="2"/>
          <w:sz w:val="24"/>
        </w:rPr>
        <w:t>to </w:t>
      </w:r>
      <w:r>
        <w:rPr>
          <w:sz w:val="24"/>
        </w:rPr>
        <w:t>counter the strength</w:t>
      </w:r>
      <w:r>
        <w:rPr>
          <w:spacing w:val="-11"/>
          <w:sz w:val="24"/>
        </w:rPr>
        <w:t> </w:t>
      </w:r>
      <w:r>
        <w:rPr>
          <w:sz w:val="24"/>
        </w:rPr>
        <w:t>of</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02"/>
      </w:pPr>
      <w:r>
        <w:rPr/>
        <w:t>underlying inflationary pressures, the following considerations led them to prefer a smaller rise. As the Committee had discussed, there were signs, for example in surveys, that there might be some slowing in demand growth. There was time to wait to gather evidence on this as inflation was projected to be below the 2½% target for nearly all of the forecast period. Separately, given market expectations, an increase of more than 25 basis points risked putting undue upward pressure on the exchange rate, which would tend to restrain net trade and import prices whereas policy action was needed to address domestically-generated inflationary pressures.</w:t>
      </w:r>
    </w:p>
    <w:p>
      <w:pPr>
        <w:pStyle w:val="BodyText"/>
        <w:spacing w:before="5"/>
        <w:rPr>
          <w:sz w:val="31"/>
        </w:rPr>
      </w:pPr>
    </w:p>
    <w:p>
      <w:pPr>
        <w:pStyle w:val="ListParagraph"/>
        <w:numPr>
          <w:ilvl w:val="0"/>
          <w:numId w:val="1"/>
        </w:numPr>
        <w:tabs>
          <w:tab w:pos="535" w:val="left" w:leader="none"/>
        </w:tabs>
        <w:spacing w:line="360" w:lineRule="auto" w:before="0" w:after="0"/>
        <w:ind w:left="104" w:right="195" w:firstLine="0"/>
        <w:jc w:val="left"/>
        <w:rPr>
          <w:sz w:val="24"/>
        </w:rPr>
      </w:pPr>
      <w:r>
        <w:rPr>
          <w:sz w:val="24"/>
        </w:rPr>
        <w:t>One member explored the arguments for an interest rate increase </w:t>
      </w:r>
      <w:r>
        <w:rPr>
          <w:spacing w:val="2"/>
          <w:sz w:val="24"/>
        </w:rPr>
        <w:t>of </w:t>
      </w:r>
      <w:r>
        <w:rPr>
          <w:sz w:val="24"/>
        </w:rPr>
        <w:t>less than 25 basis points. The profile for inflation implied that the pressures </w:t>
      </w:r>
      <w:r>
        <w:rPr>
          <w:spacing w:val="3"/>
          <w:sz w:val="24"/>
        </w:rPr>
        <w:t>on </w:t>
      </w:r>
      <w:r>
        <w:rPr>
          <w:sz w:val="24"/>
        </w:rPr>
        <w:t>the </w:t>
      </w:r>
      <w:r>
        <w:rPr>
          <w:spacing w:val="-3"/>
          <w:sz w:val="24"/>
        </w:rPr>
        <w:t>economy’s </w:t>
      </w:r>
      <w:r>
        <w:rPr>
          <w:sz w:val="24"/>
        </w:rPr>
        <w:t>supply capacity needed </w:t>
      </w:r>
      <w:r>
        <w:rPr>
          <w:spacing w:val="3"/>
          <w:sz w:val="24"/>
        </w:rPr>
        <w:t>to </w:t>
      </w:r>
      <w:r>
        <w:rPr>
          <w:sz w:val="24"/>
        </w:rPr>
        <w:t>be restrained in the medium term but that there was time </w:t>
      </w:r>
      <w:r>
        <w:rPr>
          <w:spacing w:val="3"/>
          <w:sz w:val="24"/>
        </w:rPr>
        <w:t>to </w:t>
      </w:r>
      <w:r>
        <w:rPr>
          <w:sz w:val="24"/>
        </w:rPr>
        <w:t>do this, particularly given the uncertainties about the </w:t>
      </w:r>
      <w:r>
        <w:rPr>
          <w:spacing w:val="3"/>
          <w:sz w:val="24"/>
        </w:rPr>
        <w:t>outlook. </w:t>
      </w:r>
      <w:r>
        <w:rPr>
          <w:sz w:val="24"/>
        </w:rPr>
        <w:t>An increase </w:t>
      </w:r>
      <w:r>
        <w:rPr>
          <w:spacing w:val="2"/>
          <w:sz w:val="24"/>
        </w:rPr>
        <w:t>of </w:t>
      </w:r>
      <w:r>
        <w:rPr>
          <w:sz w:val="24"/>
        </w:rPr>
        <w:t>less than 25 basis points would assist that process and would, in particular, provide a clear signal </w:t>
      </w:r>
      <w:r>
        <w:rPr>
          <w:spacing w:val="3"/>
          <w:sz w:val="24"/>
        </w:rPr>
        <w:t>of </w:t>
      </w:r>
      <w:r>
        <w:rPr>
          <w:sz w:val="24"/>
        </w:rPr>
        <w:t>the Committee’s </w:t>
      </w:r>
      <w:r>
        <w:rPr>
          <w:spacing w:val="2"/>
          <w:sz w:val="24"/>
        </w:rPr>
        <w:t>resolve </w:t>
      </w:r>
      <w:r>
        <w:rPr>
          <w:sz w:val="24"/>
        </w:rPr>
        <w:t>in addressing those medium-term concerns, while recognising the downward pressures </w:t>
      </w:r>
      <w:r>
        <w:rPr>
          <w:spacing w:val="2"/>
          <w:sz w:val="24"/>
        </w:rPr>
        <w:t>on </w:t>
      </w:r>
      <w:r>
        <w:rPr>
          <w:sz w:val="24"/>
        </w:rPr>
        <w:t>inflation in the near term, when it was projected </w:t>
      </w:r>
      <w:r>
        <w:rPr>
          <w:spacing w:val="2"/>
          <w:sz w:val="24"/>
        </w:rPr>
        <w:t>to </w:t>
      </w:r>
      <w:r>
        <w:rPr>
          <w:sz w:val="24"/>
        </w:rPr>
        <w:t>drop materially below the 2½% target. It would be easier for the Committee </w:t>
      </w:r>
      <w:r>
        <w:rPr>
          <w:spacing w:val="2"/>
          <w:sz w:val="24"/>
        </w:rPr>
        <w:t>to </w:t>
      </w:r>
      <w:r>
        <w:rPr>
          <w:sz w:val="24"/>
        </w:rPr>
        <w:t>introduce </w:t>
      </w:r>
      <w:r>
        <w:rPr>
          <w:spacing w:val="2"/>
          <w:sz w:val="24"/>
        </w:rPr>
        <w:t>smaller-than-25 </w:t>
      </w:r>
      <w:r>
        <w:rPr>
          <w:sz w:val="24"/>
        </w:rPr>
        <w:t>basis point changes now having already tightened policy in September. However, as this would be the first time </w:t>
      </w:r>
      <w:r>
        <w:rPr>
          <w:spacing w:val="2"/>
          <w:sz w:val="24"/>
        </w:rPr>
        <w:t>rates </w:t>
      </w:r>
      <w:r>
        <w:rPr>
          <w:sz w:val="24"/>
        </w:rPr>
        <w:t>changed by less than 25 basis points, there was a significant </w:t>
      </w:r>
      <w:r>
        <w:rPr>
          <w:spacing w:val="2"/>
          <w:sz w:val="24"/>
        </w:rPr>
        <w:t>risk </w:t>
      </w:r>
      <w:r>
        <w:rPr>
          <w:sz w:val="24"/>
        </w:rPr>
        <w:t>that the reasons would be misunderstood. The better course was, therefore, </w:t>
      </w:r>
      <w:r>
        <w:rPr>
          <w:spacing w:val="2"/>
          <w:sz w:val="24"/>
        </w:rPr>
        <w:t>to </w:t>
      </w:r>
      <w:r>
        <w:rPr>
          <w:sz w:val="24"/>
        </w:rPr>
        <w:t>raise rates by 25 basis</w:t>
      </w:r>
      <w:r>
        <w:rPr>
          <w:spacing w:val="-19"/>
          <w:sz w:val="24"/>
        </w:rPr>
        <w:t> </w:t>
      </w:r>
      <w:r>
        <w:rPr>
          <w:sz w:val="24"/>
        </w:rPr>
        <w:t>points.</w:t>
      </w:r>
    </w:p>
    <w:p>
      <w:pPr>
        <w:pStyle w:val="BodyText"/>
        <w:spacing w:before="1"/>
        <w:rPr>
          <w:sz w:val="31"/>
        </w:rPr>
      </w:pPr>
    </w:p>
    <w:p>
      <w:pPr>
        <w:pStyle w:val="ListParagraph"/>
        <w:numPr>
          <w:ilvl w:val="0"/>
          <w:numId w:val="1"/>
        </w:numPr>
        <w:tabs>
          <w:tab w:pos="535" w:val="left" w:leader="none"/>
        </w:tabs>
        <w:spacing w:line="360" w:lineRule="auto" w:before="0" w:after="0"/>
        <w:ind w:left="104" w:right="100" w:firstLine="0"/>
        <w:jc w:val="left"/>
        <w:rPr>
          <w:sz w:val="24"/>
        </w:rPr>
      </w:pPr>
      <w:r>
        <w:rPr>
          <w:sz w:val="24"/>
        </w:rPr>
        <w:t>Various arguments were advanced for maintaining the </w:t>
      </w:r>
      <w:r>
        <w:rPr>
          <w:spacing w:val="4"/>
          <w:sz w:val="24"/>
        </w:rPr>
        <w:t>official </w:t>
      </w:r>
      <w:r>
        <w:rPr>
          <w:sz w:val="24"/>
        </w:rPr>
        <w:t>interest rate at 5.25%. Inflation was below target and was set </w:t>
      </w:r>
      <w:r>
        <w:rPr>
          <w:spacing w:val="2"/>
          <w:sz w:val="24"/>
        </w:rPr>
        <w:t>to </w:t>
      </w:r>
      <w:r>
        <w:rPr>
          <w:sz w:val="24"/>
        </w:rPr>
        <w:t>remain so </w:t>
      </w:r>
      <w:r>
        <w:rPr>
          <w:spacing w:val="3"/>
          <w:sz w:val="24"/>
        </w:rPr>
        <w:t>over </w:t>
      </w:r>
      <w:r>
        <w:rPr>
          <w:sz w:val="24"/>
        </w:rPr>
        <w:t>the next two years. The </w:t>
      </w:r>
      <w:r>
        <w:rPr>
          <w:spacing w:val="4"/>
          <w:sz w:val="24"/>
        </w:rPr>
        <w:t>outlook </w:t>
      </w:r>
      <w:r>
        <w:rPr>
          <w:sz w:val="24"/>
        </w:rPr>
        <w:t>depended </w:t>
      </w:r>
      <w:r>
        <w:rPr>
          <w:spacing w:val="2"/>
          <w:sz w:val="24"/>
        </w:rPr>
        <w:t>to </w:t>
      </w:r>
      <w:r>
        <w:rPr>
          <w:sz w:val="24"/>
        </w:rPr>
        <w:t>a significant degree </w:t>
      </w:r>
      <w:r>
        <w:rPr>
          <w:spacing w:val="2"/>
          <w:sz w:val="24"/>
        </w:rPr>
        <w:t>on </w:t>
      </w:r>
      <w:r>
        <w:rPr>
          <w:sz w:val="24"/>
        </w:rPr>
        <w:t>two material </w:t>
      </w:r>
      <w:r>
        <w:rPr>
          <w:spacing w:val="2"/>
          <w:sz w:val="24"/>
        </w:rPr>
        <w:t>factors: </w:t>
      </w:r>
      <w:r>
        <w:rPr>
          <w:sz w:val="24"/>
        </w:rPr>
        <w:t>the exchange rate, and the balance </w:t>
      </w:r>
      <w:r>
        <w:rPr>
          <w:spacing w:val="2"/>
          <w:sz w:val="24"/>
        </w:rPr>
        <w:t>of </w:t>
      </w:r>
      <w:r>
        <w:rPr>
          <w:sz w:val="24"/>
        </w:rPr>
        <w:t>aggregate demand and the </w:t>
      </w:r>
      <w:r>
        <w:rPr>
          <w:spacing w:val="-3"/>
          <w:sz w:val="24"/>
        </w:rPr>
        <w:t>economy’s </w:t>
      </w:r>
      <w:r>
        <w:rPr>
          <w:sz w:val="24"/>
        </w:rPr>
        <w:t>supply capacity. Recent export </w:t>
      </w:r>
      <w:r>
        <w:rPr>
          <w:spacing w:val="4"/>
          <w:sz w:val="24"/>
        </w:rPr>
        <w:t>outturns </w:t>
      </w:r>
      <w:r>
        <w:rPr>
          <w:sz w:val="24"/>
        </w:rPr>
        <w:t>added weight </w:t>
      </w:r>
      <w:r>
        <w:rPr>
          <w:spacing w:val="2"/>
          <w:sz w:val="24"/>
        </w:rPr>
        <w:t>to </w:t>
      </w:r>
      <w:r>
        <w:rPr>
          <w:sz w:val="24"/>
        </w:rPr>
        <w:t>the view that sterling would be stronger than the path assumed as the best collective </w:t>
      </w:r>
      <w:r>
        <w:rPr>
          <w:spacing w:val="3"/>
          <w:sz w:val="24"/>
        </w:rPr>
        <w:t>judgment; </w:t>
      </w:r>
      <w:r>
        <w:rPr>
          <w:sz w:val="24"/>
        </w:rPr>
        <w:t>and survey measures showed capacity utilisation falling slightly, perhaps because investment during this upswing had been </w:t>
      </w:r>
      <w:r>
        <w:rPr>
          <w:spacing w:val="2"/>
          <w:sz w:val="24"/>
        </w:rPr>
        <w:t>strong.  </w:t>
      </w:r>
      <w:r>
        <w:rPr>
          <w:sz w:val="24"/>
        </w:rPr>
        <w:t>There were</w:t>
      </w:r>
      <w:r>
        <w:rPr>
          <w:spacing w:val="-7"/>
          <w:sz w:val="24"/>
        </w:rPr>
        <w:t> </w:t>
      </w:r>
      <w:r>
        <w:rPr>
          <w:sz w:val="24"/>
        </w:rPr>
        <w:t>significant</w:t>
      </w:r>
      <w:r>
        <w:rPr>
          <w:spacing w:val="-1"/>
          <w:sz w:val="24"/>
        </w:rPr>
        <w:t> </w:t>
      </w:r>
      <w:r>
        <w:rPr>
          <w:sz w:val="24"/>
        </w:rPr>
        <w:t>downward</w:t>
      </w:r>
      <w:r>
        <w:rPr>
          <w:spacing w:val="-6"/>
          <w:sz w:val="24"/>
        </w:rPr>
        <w:t> </w:t>
      </w:r>
      <w:r>
        <w:rPr>
          <w:sz w:val="24"/>
        </w:rPr>
        <w:t>pressures</w:t>
      </w:r>
      <w:r>
        <w:rPr>
          <w:spacing w:val="-6"/>
          <w:sz w:val="24"/>
        </w:rPr>
        <w:t> </w:t>
      </w:r>
      <w:r>
        <w:rPr>
          <w:spacing w:val="2"/>
          <w:sz w:val="24"/>
        </w:rPr>
        <w:t>on</w:t>
      </w:r>
      <w:r>
        <w:rPr>
          <w:spacing w:val="-2"/>
          <w:sz w:val="24"/>
        </w:rPr>
        <w:t> </w:t>
      </w:r>
      <w:r>
        <w:rPr>
          <w:sz w:val="24"/>
        </w:rPr>
        <w:t>prices,</w:t>
      </w:r>
      <w:r>
        <w:rPr>
          <w:spacing w:val="-6"/>
          <w:sz w:val="24"/>
        </w:rPr>
        <w:t> </w:t>
      </w:r>
      <w:r>
        <w:rPr>
          <w:sz w:val="24"/>
        </w:rPr>
        <w:t>reflecting</w:t>
      </w:r>
      <w:r>
        <w:rPr>
          <w:spacing w:val="-5"/>
          <w:sz w:val="24"/>
        </w:rPr>
        <w:t> </w:t>
      </w:r>
      <w:r>
        <w:rPr>
          <w:sz w:val="24"/>
        </w:rPr>
        <w:t>not</w:t>
      </w:r>
      <w:r>
        <w:rPr>
          <w:spacing w:val="-1"/>
          <w:sz w:val="24"/>
        </w:rPr>
        <w:t> </w:t>
      </w:r>
      <w:r>
        <w:rPr>
          <w:spacing w:val="3"/>
          <w:sz w:val="24"/>
        </w:rPr>
        <w:t>only</w:t>
      </w:r>
      <w:r>
        <w:rPr>
          <w:spacing w:val="-2"/>
          <w:sz w:val="24"/>
        </w:rPr>
        <w:t> </w:t>
      </w:r>
      <w:r>
        <w:rPr>
          <w:spacing w:val="4"/>
          <w:sz w:val="24"/>
        </w:rPr>
        <w:t>one-off</w:t>
      </w:r>
      <w:r>
        <w:rPr>
          <w:spacing w:val="-2"/>
          <w:sz w:val="24"/>
        </w:rPr>
        <w:t> </w:t>
      </w:r>
      <w:r>
        <w:rPr>
          <w:sz w:val="24"/>
        </w:rPr>
        <w:t>regulatory</w:t>
      </w:r>
      <w:r>
        <w:rPr>
          <w:spacing w:val="-4"/>
          <w:sz w:val="24"/>
        </w:rPr>
        <w:t> </w:t>
      </w:r>
      <w:r>
        <w:rPr>
          <w:sz w:val="24"/>
        </w:rPr>
        <w:t>measures</w:t>
      </w:r>
      <w:r>
        <w:rPr>
          <w:spacing w:val="-7"/>
          <w:sz w:val="24"/>
        </w:rPr>
        <w:t> </w:t>
      </w:r>
      <w:r>
        <w:rPr>
          <w:sz w:val="24"/>
        </w:rPr>
        <w:t>but</w:t>
      </w:r>
      <w:r>
        <w:rPr>
          <w:spacing w:val="-1"/>
          <w:sz w:val="24"/>
        </w:rPr>
        <w:t> </w:t>
      </w:r>
      <w:r>
        <w:rPr>
          <w:sz w:val="24"/>
        </w:rPr>
        <w:t>also an </w:t>
      </w:r>
      <w:r>
        <w:rPr>
          <w:spacing w:val="4"/>
          <w:sz w:val="24"/>
        </w:rPr>
        <w:t>ongoing </w:t>
      </w:r>
      <w:r>
        <w:rPr>
          <w:sz w:val="24"/>
        </w:rPr>
        <w:t>intensification </w:t>
      </w:r>
      <w:r>
        <w:rPr>
          <w:spacing w:val="2"/>
          <w:sz w:val="24"/>
        </w:rPr>
        <w:t>of </w:t>
      </w:r>
      <w:r>
        <w:rPr>
          <w:sz w:val="24"/>
        </w:rPr>
        <w:t>competition throughout the economy. </w:t>
      </w:r>
      <w:r>
        <w:rPr>
          <w:spacing w:val="2"/>
          <w:sz w:val="24"/>
        </w:rPr>
        <w:t>This </w:t>
      </w:r>
      <w:r>
        <w:rPr>
          <w:sz w:val="24"/>
        </w:rPr>
        <w:t>would help </w:t>
      </w:r>
      <w:r>
        <w:rPr>
          <w:spacing w:val="3"/>
          <w:sz w:val="24"/>
        </w:rPr>
        <w:t>to</w:t>
      </w:r>
      <w:r>
        <w:rPr>
          <w:spacing w:val="-40"/>
          <w:sz w:val="24"/>
        </w:rPr>
        <w:t> </w:t>
      </w:r>
      <w:r>
        <w:rPr>
          <w:sz w:val="24"/>
        </w:rPr>
        <w:t>restrain</w:t>
      </w:r>
    </w:p>
    <w:p>
      <w:pPr>
        <w:pStyle w:val="BodyText"/>
        <w:spacing w:line="360" w:lineRule="auto" w:before="1"/>
        <w:ind w:left="104" w:right="198"/>
      </w:pPr>
      <w:r>
        <w:rPr/>
        <w:t>earnings growth below the path assumed as the best collective judgment. Monetary conditions, as reflected in the yield curve, had tightened significantly in recent months, and were probably bearing down on demand by rather more than had been assumed in the published fan charts. Taking these considerations together, the steep rise in the central projection of inflation 18 months hence was highly uncertain and there were clear downside risks to it. With a symmetric inflation target, a further tightening was not yet needed.</w:t>
      </w:r>
    </w:p>
    <w:p>
      <w:pPr>
        <w:spacing w:after="0" w:line="360" w:lineRule="auto"/>
        <w:sectPr>
          <w:pgSz w:w="11900" w:h="16840"/>
          <w:pgMar w:header="1228" w:footer="0" w:top="1600" w:bottom="280" w:left="860" w:right="840"/>
        </w:sectPr>
      </w:pPr>
    </w:p>
    <w:p>
      <w:pPr>
        <w:pStyle w:val="BodyText"/>
        <w:spacing w:before="1"/>
        <w:rPr>
          <w:sz w:val="21"/>
        </w:rPr>
      </w:pPr>
    </w:p>
    <w:p>
      <w:pPr>
        <w:pStyle w:val="ListParagraph"/>
        <w:numPr>
          <w:ilvl w:val="0"/>
          <w:numId w:val="1"/>
        </w:numPr>
        <w:tabs>
          <w:tab w:pos="531" w:val="left" w:leader="none"/>
        </w:tabs>
        <w:spacing w:line="360" w:lineRule="auto" w:before="90" w:after="0"/>
        <w:ind w:left="104" w:right="188"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8"/>
          <w:sz w:val="24"/>
        </w:rPr>
        <w:t> </w:t>
      </w:r>
      <w:r>
        <w:rPr>
          <w:sz w:val="24"/>
        </w:rPr>
        <w:t>members</w:t>
      </w:r>
      <w:r>
        <w:rPr>
          <w:spacing w:val="-7"/>
          <w:sz w:val="24"/>
        </w:rPr>
        <w:t> </w:t>
      </w:r>
      <w:r>
        <w:rPr>
          <w:spacing w:val="2"/>
          <w:sz w:val="24"/>
        </w:rPr>
        <w:t>of</w:t>
      </w:r>
      <w:r>
        <w:rPr>
          <w:spacing w:val="-4"/>
          <w:sz w:val="24"/>
        </w:rPr>
        <w:t> </w:t>
      </w:r>
      <w:r>
        <w:rPr>
          <w:sz w:val="24"/>
        </w:rPr>
        <w:t>the</w:t>
      </w:r>
      <w:r>
        <w:rPr>
          <w:spacing w:val="-7"/>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pacing w:val="2"/>
          <w:sz w:val="24"/>
        </w:rPr>
        <w:t>on</w:t>
      </w:r>
      <w:r>
        <w:rPr>
          <w:spacing w:val="-3"/>
          <w:sz w:val="24"/>
        </w:rPr>
        <w:t> </w:t>
      </w:r>
      <w:r>
        <w:rPr>
          <w:sz w:val="24"/>
        </w:rPr>
        <w:t>the</w:t>
      </w:r>
      <w:r>
        <w:rPr>
          <w:spacing w:val="-8"/>
          <w:sz w:val="24"/>
        </w:rPr>
        <w:t> </w:t>
      </w:r>
      <w:r>
        <w:rPr>
          <w:sz w:val="24"/>
        </w:rPr>
        <w:t>proposition</w:t>
      </w:r>
      <w:r>
        <w:rPr>
          <w:spacing w:val="-7"/>
          <w:sz w:val="24"/>
        </w:rPr>
        <w:t> </w:t>
      </w:r>
      <w:r>
        <w:rPr>
          <w:sz w:val="24"/>
        </w:rPr>
        <w:t>that</w:t>
      </w:r>
      <w:r>
        <w:rPr>
          <w:spacing w:val="-2"/>
          <w:sz w:val="24"/>
        </w:rPr>
        <w:t> </w:t>
      </w:r>
      <w:r>
        <w:rPr>
          <w:sz w:val="24"/>
        </w:rPr>
        <w:t>the</w:t>
      </w:r>
      <w:r>
        <w:rPr>
          <w:spacing w:val="-8"/>
          <w:sz w:val="24"/>
        </w:rPr>
        <w:t> </w:t>
      </w:r>
      <w:r>
        <w:rPr>
          <w:sz w:val="24"/>
        </w:rPr>
        <w:t>Bank</w:t>
      </w:r>
      <w:r>
        <w:rPr>
          <w:spacing w:val="-8"/>
          <w:sz w:val="24"/>
        </w:rPr>
        <w:t> </w:t>
      </w:r>
      <w:r>
        <w:rPr>
          <w:sz w:val="24"/>
        </w:rPr>
        <w:t>repo</w:t>
      </w:r>
      <w:r>
        <w:rPr>
          <w:spacing w:val="-5"/>
          <w:sz w:val="24"/>
        </w:rPr>
        <w:t> </w:t>
      </w:r>
      <w:r>
        <w:rPr>
          <w:sz w:val="24"/>
        </w:rPr>
        <w:t>rate be increased by 25 basis points </w:t>
      </w:r>
      <w:r>
        <w:rPr>
          <w:spacing w:val="2"/>
          <w:sz w:val="24"/>
        </w:rPr>
        <w:t>to </w:t>
      </w:r>
      <w:r>
        <w:rPr>
          <w:sz w:val="24"/>
        </w:rPr>
        <w:t>5.50%. Eight members </w:t>
      </w:r>
      <w:r>
        <w:rPr>
          <w:spacing w:val="2"/>
          <w:sz w:val="24"/>
        </w:rPr>
        <w:t>of </w:t>
      </w:r>
      <w:r>
        <w:rPr>
          <w:sz w:val="24"/>
        </w:rPr>
        <w:t>the Committee (the</w:t>
      </w:r>
      <w:r>
        <w:rPr>
          <w:spacing w:val="-10"/>
          <w:sz w:val="24"/>
        </w:rPr>
        <w:t> </w:t>
      </w:r>
      <w:r>
        <w:rPr>
          <w:sz w:val="24"/>
        </w:rPr>
        <w:t>Governor,</w:t>
      </w:r>
    </w:p>
    <w:p>
      <w:pPr>
        <w:pStyle w:val="BodyText"/>
        <w:spacing w:line="360" w:lineRule="auto" w:before="2"/>
        <w:ind w:left="104" w:right="287"/>
      </w:pPr>
      <w:r>
        <w:rPr/>
        <w:t>Mervyn King, David Clementi, Willem Buiter, Charles Goodhart, Ian Plenderleith, John Vickers and Sushil Wadhwani) voted for the proposition. DeAnne Julius voted against, preferring to maintain interest rates at 5.25%.</w:t>
      </w:r>
    </w:p>
    <w:p>
      <w:pPr>
        <w:pStyle w:val="ListParagraph"/>
        <w:numPr>
          <w:ilvl w:val="0"/>
          <w:numId w:val="1"/>
        </w:numPr>
        <w:tabs>
          <w:tab w:pos="535" w:val="left" w:leader="none"/>
        </w:tabs>
        <w:spacing w:line="410" w:lineRule="atLeast" w:before="223" w:after="0"/>
        <w:ind w:left="104" w:right="4302" w:firstLine="0"/>
        <w:jc w:val="left"/>
        <w:rPr>
          <w:sz w:val="24"/>
        </w:rPr>
      </w:pPr>
      <w:r>
        <w:rPr>
          <w:sz w:val="24"/>
        </w:rPr>
        <w:t>The</w:t>
      </w:r>
      <w:r>
        <w:rPr>
          <w:spacing w:val="-7"/>
          <w:sz w:val="24"/>
        </w:rPr>
        <w:t> </w:t>
      </w:r>
      <w:r>
        <w:rPr>
          <w:sz w:val="24"/>
        </w:rPr>
        <w:t>following</w:t>
      </w:r>
      <w:r>
        <w:rPr>
          <w:spacing w:val="-8"/>
          <w:sz w:val="24"/>
        </w:rPr>
        <w:t> </w:t>
      </w:r>
      <w:r>
        <w:rPr>
          <w:sz w:val="24"/>
        </w:rPr>
        <w:t>members</w:t>
      </w:r>
      <w:r>
        <w:rPr>
          <w:spacing w:val="-8"/>
          <w:sz w:val="24"/>
        </w:rPr>
        <w:t> </w:t>
      </w:r>
      <w:r>
        <w:rPr>
          <w:spacing w:val="3"/>
          <w:sz w:val="24"/>
        </w:rPr>
        <w:t>of</w:t>
      </w:r>
      <w:r>
        <w:rPr>
          <w:spacing w:val="-3"/>
          <w:sz w:val="24"/>
        </w:rPr>
        <w:t> </w:t>
      </w:r>
      <w:r>
        <w:rPr>
          <w:sz w:val="24"/>
        </w:rPr>
        <w:t>the</w:t>
      </w:r>
      <w:r>
        <w:rPr>
          <w:spacing w:val="-8"/>
          <w:sz w:val="24"/>
        </w:rPr>
        <w:t> </w:t>
      </w:r>
      <w:r>
        <w:rPr>
          <w:sz w:val="24"/>
        </w:rPr>
        <w:t>Committee</w:t>
      </w:r>
      <w:r>
        <w:rPr>
          <w:spacing w:val="-8"/>
          <w:sz w:val="24"/>
        </w:rPr>
        <w:t> </w:t>
      </w:r>
      <w:r>
        <w:rPr>
          <w:sz w:val="24"/>
        </w:rPr>
        <w:t>were</w:t>
      </w:r>
      <w:r>
        <w:rPr>
          <w:spacing w:val="-8"/>
          <w:sz w:val="24"/>
        </w:rPr>
        <w:t> </w:t>
      </w:r>
      <w:r>
        <w:rPr>
          <w:sz w:val="24"/>
        </w:rPr>
        <w:t>present: Eddie George,</w:t>
      </w:r>
      <w:r>
        <w:rPr>
          <w:spacing w:val="4"/>
          <w:sz w:val="24"/>
        </w:rPr>
        <w:t> </w:t>
      </w:r>
      <w:r>
        <w:rPr>
          <w:sz w:val="24"/>
        </w:rPr>
        <w:t>Governor</w:t>
      </w:r>
    </w:p>
    <w:p>
      <w:pPr>
        <w:pStyle w:val="BodyText"/>
        <w:spacing w:before="5"/>
        <w:ind w:left="104" w:right="3304"/>
      </w:pPr>
      <w:r>
        <w:rPr/>
        <w:t>Mervyn King, Deputy Governor responsible for monetary policy David Clementi, Deputy Governor responsible for financial stability Willem Buiter</w:t>
      </w:r>
    </w:p>
    <w:p>
      <w:pPr>
        <w:pStyle w:val="BodyText"/>
        <w:spacing w:before="3"/>
        <w:ind w:left="104" w:right="8376"/>
      </w:pPr>
      <w:r>
        <w:rPr/>
        <w:t>Charles Goodhart DeAnne Julius Ian Plenderleith John Vickers Sushil Wadhwani</w:t>
      </w:r>
    </w:p>
    <w:p>
      <w:pPr>
        <w:pStyle w:val="BodyText"/>
        <w:rPr>
          <w:sz w:val="26"/>
        </w:rPr>
      </w:pPr>
    </w:p>
    <w:p>
      <w:pPr>
        <w:pStyle w:val="BodyText"/>
        <w:rPr>
          <w:sz w:val="26"/>
        </w:rPr>
      </w:pPr>
    </w:p>
    <w:p>
      <w:pPr>
        <w:pStyle w:val="ListParagraph"/>
        <w:numPr>
          <w:ilvl w:val="0"/>
          <w:numId w:val="1"/>
        </w:numPr>
        <w:tabs>
          <w:tab w:pos="529" w:val="left" w:leader="none"/>
        </w:tabs>
        <w:spacing w:line="240" w:lineRule="auto" w:before="172" w:after="0"/>
        <w:ind w:left="528" w:right="0" w:hanging="425"/>
        <w:jc w:val="left"/>
        <w:rPr>
          <w:sz w:val="24"/>
        </w:rPr>
      </w:pPr>
      <w:r>
        <w:rPr>
          <w:sz w:val="24"/>
        </w:rPr>
        <w:t>Gus </w:t>
      </w:r>
      <w:r>
        <w:rPr>
          <w:spacing w:val="-4"/>
          <w:sz w:val="24"/>
        </w:rPr>
        <w:t>O’Donnell </w:t>
      </w:r>
      <w:r>
        <w:rPr>
          <w:sz w:val="24"/>
        </w:rPr>
        <w:t>was also present as the </w:t>
      </w:r>
      <w:r>
        <w:rPr>
          <w:spacing w:val="2"/>
          <w:sz w:val="24"/>
        </w:rPr>
        <w:t>Treasury</w:t>
      </w:r>
      <w:r>
        <w:rPr>
          <w:spacing w:val="16"/>
          <w:sz w:val="24"/>
        </w:rPr>
        <w:t> </w:t>
      </w:r>
      <w:r>
        <w:rPr>
          <w:sz w:val="24"/>
        </w:rPr>
        <w:t>representative.</w:t>
      </w:r>
    </w:p>
    <w:p>
      <w:pPr>
        <w:spacing w:after="0" w:line="240" w:lineRule="auto"/>
        <w:jc w:val="left"/>
        <w:rPr>
          <w:sz w:val="24"/>
        </w:rPr>
        <w:sectPr>
          <w:pgSz w:w="11900" w:h="16840"/>
          <w:pgMar w:header="1228" w:footer="0" w:top="1600" w:bottom="280" w:left="860" w:right="840"/>
        </w:sectPr>
      </w:pPr>
    </w:p>
    <w:p>
      <w:pPr>
        <w:pStyle w:val="BodyText"/>
        <w:spacing w:before="6"/>
        <w:rPr>
          <w:sz w:val="21"/>
        </w:rPr>
      </w:pPr>
    </w:p>
    <w:p>
      <w:pPr>
        <w:pStyle w:val="Heading1"/>
        <w:spacing w:before="90"/>
      </w:pPr>
      <w:r>
        <w:rPr/>
        <w:t>ANNEX: SUMMARY OF DATA PRESENTED BY BANK STAFF</w:t>
      </w:r>
    </w:p>
    <w:p>
      <w:pPr>
        <w:pStyle w:val="BodyText"/>
        <w:rPr>
          <w:b/>
          <w:sz w:val="26"/>
        </w:rPr>
      </w:pPr>
    </w:p>
    <w:p>
      <w:pPr>
        <w:pStyle w:val="BodyText"/>
        <w:spacing w:line="360" w:lineRule="auto" w:before="193"/>
        <w:ind w:left="104" w:right="250"/>
      </w:pPr>
      <w:r>
        <w:rPr/>
        <w:t>A1 This Annex summarises the analysis presented by Bank staff to the Monetary Policy Committee on 29 October, in advance of its meeting on 3-4 November 1999. At the start of the Committee meeting itself, members were made aware of information that had subsequently become available, and that information is included in this Annex.</w:t>
      </w:r>
    </w:p>
    <w:p>
      <w:pPr>
        <w:pStyle w:val="BodyText"/>
        <w:spacing w:before="8"/>
        <w:rPr>
          <w:sz w:val="31"/>
        </w:rPr>
      </w:pPr>
    </w:p>
    <w:p>
      <w:pPr>
        <w:pStyle w:val="Heading1"/>
        <w:numPr>
          <w:ilvl w:val="0"/>
          <w:numId w:val="2"/>
        </w:numPr>
        <w:tabs>
          <w:tab w:pos="384" w:val="left" w:leader="none"/>
        </w:tabs>
        <w:spacing w:line="240" w:lineRule="auto" w:before="0" w:after="0"/>
        <w:ind w:left="383" w:right="0" w:hanging="280"/>
        <w:jc w:val="left"/>
      </w:pPr>
      <w:r>
        <w:rPr/>
        <w:t>The international</w:t>
      </w:r>
      <w:r>
        <w:rPr>
          <w:spacing w:val="3"/>
        </w:rPr>
        <w:t> </w:t>
      </w:r>
      <w:r>
        <w:rPr/>
        <w:t>environment</w:t>
      </w:r>
    </w:p>
    <w:p>
      <w:pPr>
        <w:pStyle w:val="BodyText"/>
        <w:rPr>
          <w:b/>
          <w:sz w:val="26"/>
        </w:rPr>
      </w:pPr>
    </w:p>
    <w:p>
      <w:pPr>
        <w:pStyle w:val="BodyText"/>
        <w:spacing w:line="360" w:lineRule="auto" w:before="198"/>
        <w:ind w:left="104" w:right="202"/>
      </w:pPr>
      <w:r>
        <w:rPr/>
        <w:t>A2 US GDP had risen by 1.2% in Q3, according to the provisional estimate. Consumption and investment had remained strong, while inventories had made a positive contribution to GDP growth, following a negative contribution in Q2. Net exports had continued to fall in Q3, albeit by less than in Q2. Definitional and statistical changes to the National Accounts had raised the average annual GDP growth rate by 0.4 percentage points between 1992 and 1998. The National Association of Purchasing Managers’ (N</w:t>
      </w:r>
      <w:r>
        <w:rPr>
          <w:sz w:val="20"/>
        </w:rPr>
        <w:t>APM</w:t>
      </w:r>
      <w:r>
        <w:rPr/>
        <w:t>) Index had fallen slightly in September, but had remained at a level consistent with an expansion of manufacturing output.</w:t>
      </w:r>
    </w:p>
    <w:p>
      <w:pPr>
        <w:pStyle w:val="BodyText"/>
        <w:rPr>
          <w:sz w:val="31"/>
        </w:rPr>
      </w:pPr>
    </w:p>
    <w:p>
      <w:pPr>
        <w:pStyle w:val="BodyText"/>
        <w:spacing w:line="360" w:lineRule="auto"/>
        <w:ind w:left="104" w:right="171"/>
        <w:jc w:val="both"/>
      </w:pPr>
      <w:r>
        <w:rPr/>
        <w:t>A3 The quarterly growth in the Employment Cost Index measure of labour costs had declined slightly in Q3. Annual producer price inflation had increased to 3.1% in September, and annual consumer price inflation to 2.6%.</w:t>
      </w:r>
    </w:p>
    <w:p>
      <w:pPr>
        <w:pStyle w:val="BodyText"/>
        <w:spacing w:before="5"/>
        <w:rPr>
          <w:sz w:val="31"/>
        </w:rPr>
      </w:pPr>
    </w:p>
    <w:p>
      <w:pPr>
        <w:pStyle w:val="BodyText"/>
        <w:spacing w:line="360" w:lineRule="auto"/>
        <w:ind w:left="104" w:right="202"/>
      </w:pPr>
      <w:r>
        <w:rPr/>
        <w:t>A4 GDP growth in the euro area had been revised up to 0.5% in Q2.  Both consumption and investment growth had been revised up. Industrial production had risen by 2.5% in the year to August, reflecting improving business confidence, particularly in France. M3 had risen by 6.1% in the year to September. Private sector credit growth had been higher. Annual inflation had remained unchanged in September, at 1.2%. Excluding energy, food, alcohol and tobacco, inflation had continued to fall.</w:t>
      </w:r>
    </w:p>
    <w:p>
      <w:pPr>
        <w:pStyle w:val="BodyText"/>
        <w:spacing w:before="2"/>
        <w:rPr>
          <w:sz w:val="31"/>
        </w:rPr>
      </w:pPr>
    </w:p>
    <w:p>
      <w:pPr>
        <w:pStyle w:val="BodyText"/>
        <w:spacing w:line="362" w:lineRule="auto" w:before="1"/>
        <w:ind w:left="105" w:right="202" w:hanging="1"/>
      </w:pPr>
      <w:r>
        <w:rPr/>
        <w:t>A5 Despite a decline in September, industrial production in Japan had risen by 3.8% in Q3. However, the September Tankan survey indicated that companies were continuing to cut fixed investment.</w:t>
      </w:r>
    </w:p>
    <w:p>
      <w:pPr>
        <w:pStyle w:val="BodyText"/>
        <w:spacing w:line="360" w:lineRule="auto"/>
        <w:ind w:left="104" w:right="287"/>
      </w:pPr>
      <w:r>
        <w:rPr/>
        <w:t>Volumes of imports and exports had continued to strengthen, particularly to other Asian countries. Consumption indicators had been mixed and retail sales growth had remained negative. Base money had risen by 6.1% in the year to September, but broad measures of money growth had been lower.</w:t>
      </w:r>
    </w:p>
    <w:p>
      <w:pPr>
        <w:pStyle w:val="BodyText"/>
        <w:spacing w:line="360" w:lineRule="auto"/>
        <w:ind w:left="104"/>
      </w:pPr>
      <w:r>
        <w:rPr/>
        <w:t>Survey evidence had suggested that banks were becoming more willing to lend, but the stock of outstanding loans (adjusting for write-offs and securitisations) had continued to fall. The rate of</w:t>
      </w:r>
    </w:p>
    <w:p>
      <w:pPr>
        <w:spacing w:after="0" w:line="360" w:lineRule="auto"/>
        <w:sectPr>
          <w:headerReference w:type="default" r:id="rId8"/>
          <w:pgSz w:w="11900" w:h="16840"/>
          <w:pgMar w:header="0" w:footer="0" w:top="1600" w:bottom="280" w:left="860" w:right="840"/>
        </w:sectPr>
      </w:pPr>
    </w:p>
    <w:p>
      <w:pPr>
        <w:pStyle w:val="BodyText"/>
        <w:spacing w:before="1"/>
        <w:rPr>
          <w:sz w:val="21"/>
        </w:rPr>
      </w:pPr>
    </w:p>
    <w:p>
      <w:pPr>
        <w:pStyle w:val="BodyText"/>
        <w:spacing w:line="360" w:lineRule="auto" w:before="90"/>
        <w:ind w:left="104"/>
      </w:pPr>
      <w:r>
        <w:rPr/>
        <w:t>unemployment had fallen to 4.6% in September, although this had partly reflected a fall in the participation rate. The consumer price index had fallen by 0.2% in the year to September.</w:t>
      </w:r>
    </w:p>
    <w:p>
      <w:pPr>
        <w:pStyle w:val="BodyText"/>
        <w:spacing w:before="6"/>
        <w:rPr>
          <w:sz w:val="31"/>
        </w:rPr>
      </w:pPr>
    </w:p>
    <w:p>
      <w:pPr>
        <w:pStyle w:val="BodyText"/>
        <w:spacing w:line="360" w:lineRule="auto"/>
        <w:ind w:left="104" w:right="287"/>
      </w:pPr>
      <w:r>
        <w:rPr/>
        <w:t>A6 Trade volumes had risen in the United States, Japan and the euro area. Non-oil commodity prices had remained stable. Oil prices had fallen very slightly, despite the most recently available evidence suggesting a higher degree of compliance among OPEC members with the agreement to limit supply. However, the continued strength in oil prices had contributed to an increase in petrol and producer prices in all countries.</w:t>
      </w:r>
    </w:p>
    <w:p>
      <w:pPr>
        <w:pStyle w:val="BodyText"/>
        <w:spacing w:before="2"/>
        <w:rPr>
          <w:sz w:val="31"/>
        </w:rPr>
      </w:pPr>
    </w:p>
    <w:p>
      <w:pPr>
        <w:pStyle w:val="BodyText"/>
        <w:spacing w:line="360" w:lineRule="auto"/>
        <w:ind w:left="104" w:right="221"/>
        <w:jc w:val="both"/>
      </w:pPr>
      <w:r>
        <w:rPr/>
        <w:t>A7 </w:t>
      </w:r>
      <w:r>
        <w:rPr>
          <w:spacing w:val="2"/>
        </w:rPr>
        <w:t>There </w:t>
      </w:r>
      <w:r>
        <w:rPr/>
        <w:t>had been little movement in the main dollar, yen and euro exchange rates.  Equity markets in the main economies had </w:t>
      </w:r>
      <w:r>
        <w:rPr>
          <w:spacing w:val="2"/>
        </w:rPr>
        <w:t>recovered </w:t>
      </w:r>
      <w:r>
        <w:rPr/>
        <w:t>slightly from falls earlier in the month. </w:t>
      </w:r>
      <w:r>
        <w:rPr>
          <w:spacing w:val="2"/>
        </w:rPr>
        <w:t>There </w:t>
      </w:r>
      <w:r>
        <w:rPr/>
        <w:t>had been a further increase</w:t>
      </w:r>
      <w:r>
        <w:rPr>
          <w:spacing w:val="-6"/>
        </w:rPr>
        <w:t> </w:t>
      </w:r>
      <w:r>
        <w:rPr/>
        <w:t>in</w:t>
      </w:r>
      <w:r>
        <w:rPr>
          <w:spacing w:val="-3"/>
        </w:rPr>
        <w:t> </w:t>
      </w:r>
      <w:r>
        <w:rPr/>
        <w:t>euro-area</w:t>
      </w:r>
      <w:r>
        <w:rPr>
          <w:spacing w:val="-7"/>
        </w:rPr>
        <w:t> </w:t>
      </w:r>
      <w:r>
        <w:rPr/>
        <w:t>interest</w:t>
      </w:r>
      <w:r>
        <w:rPr>
          <w:spacing w:val="-3"/>
        </w:rPr>
        <w:t> </w:t>
      </w:r>
      <w:r>
        <w:rPr/>
        <w:t>rates</w:t>
      </w:r>
      <w:r>
        <w:rPr>
          <w:spacing w:val="-6"/>
        </w:rPr>
        <w:t> </w:t>
      </w:r>
      <w:r>
        <w:rPr/>
        <w:t>implied</w:t>
      </w:r>
      <w:r>
        <w:rPr>
          <w:spacing w:val="-7"/>
        </w:rPr>
        <w:t> </w:t>
      </w:r>
      <w:r>
        <w:rPr/>
        <w:t>by</w:t>
      </w:r>
      <w:r>
        <w:rPr>
          <w:spacing w:val="4"/>
        </w:rPr>
        <w:t> </w:t>
      </w:r>
      <w:r>
        <w:rPr/>
        <w:t>Euribor</w:t>
      </w:r>
      <w:r>
        <w:rPr>
          <w:spacing w:val="-6"/>
        </w:rPr>
        <w:t> </w:t>
      </w:r>
      <w:r>
        <w:rPr/>
        <w:t>futures</w:t>
      </w:r>
      <w:r>
        <w:rPr>
          <w:spacing w:val="-6"/>
        </w:rPr>
        <w:t> </w:t>
      </w:r>
      <w:r>
        <w:rPr/>
        <w:t>contracts,</w:t>
      </w:r>
      <w:r>
        <w:rPr>
          <w:spacing w:val="-7"/>
        </w:rPr>
        <w:t> </w:t>
      </w:r>
      <w:r>
        <w:rPr/>
        <w:t>with</w:t>
      </w:r>
      <w:r>
        <w:rPr>
          <w:spacing w:val="-7"/>
        </w:rPr>
        <w:t> </w:t>
      </w:r>
      <w:r>
        <w:rPr/>
        <w:t>markets</w:t>
      </w:r>
      <w:r>
        <w:rPr>
          <w:spacing w:val="-7"/>
        </w:rPr>
        <w:t> </w:t>
      </w:r>
      <w:r>
        <w:rPr/>
        <w:t>expecting</w:t>
      </w:r>
      <w:r>
        <w:rPr>
          <w:spacing w:val="-7"/>
        </w:rPr>
        <w:t> </w:t>
      </w:r>
      <w:r>
        <w:rPr/>
        <w:t>around 50 basis points </w:t>
      </w:r>
      <w:r>
        <w:rPr>
          <w:spacing w:val="3"/>
        </w:rPr>
        <w:t>of </w:t>
      </w:r>
      <w:r>
        <w:rPr/>
        <w:t>tightening by next</w:t>
      </w:r>
      <w:r>
        <w:rPr>
          <w:spacing w:val="29"/>
        </w:rPr>
        <w:t> </w:t>
      </w:r>
      <w:r>
        <w:rPr/>
        <w:t>summer.</w:t>
      </w:r>
    </w:p>
    <w:p>
      <w:pPr>
        <w:pStyle w:val="BodyText"/>
        <w:spacing w:before="4"/>
        <w:rPr>
          <w:sz w:val="31"/>
        </w:rPr>
      </w:pPr>
    </w:p>
    <w:p>
      <w:pPr>
        <w:pStyle w:val="BodyText"/>
        <w:spacing w:line="360" w:lineRule="auto"/>
        <w:ind w:left="104" w:right="339"/>
        <w:jc w:val="both"/>
      </w:pPr>
      <w:r>
        <w:rPr/>
        <w:t>A8 The trend in industrial production growth in most emerging market economies had been positive. It had remained negative in Latin America.</w:t>
      </w:r>
    </w:p>
    <w:p>
      <w:pPr>
        <w:pStyle w:val="BodyText"/>
        <w:spacing w:before="11"/>
        <w:rPr>
          <w:sz w:val="31"/>
        </w:rPr>
      </w:pPr>
    </w:p>
    <w:p>
      <w:pPr>
        <w:pStyle w:val="Heading1"/>
        <w:numPr>
          <w:ilvl w:val="0"/>
          <w:numId w:val="2"/>
        </w:numPr>
        <w:tabs>
          <w:tab w:pos="475" w:val="left" w:leader="none"/>
        </w:tabs>
        <w:spacing w:line="240" w:lineRule="auto" w:before="0" w:after="0"/>
        <w:ind w:left="474" w:right="0" w:hanging="371"/>
        <w:jc w:val="both"/>
      </w:pPr>
      <w:r>
        <w:rPr>
          <w:spacing w:val="2"/>
        </w:rPr>
        <w:t>Monetary </w:t>
      </w:r>
      <w:r>
        <w:rPr/>
        <w:t>and financial</w:t>
      </w:r>
      <w:r>
        <w:rPr>
          <w:spacing w:val="7"/>
        </w:rPr>
        <w:t> </w:t>
      </w:r>
      <w:r>
        <w:rPr/>
        <w:t>conditions</w:t>
      </w:r>
    </w:p>
    <w:p>
      <w:pPr>
        <w:pStyle w:val="BodyText"/>
        <w:spacing w:before="8"/>
        <w:rPr>
          <w:b/>
          <w:sz w:val="30"/>
        </w:rPr>
      </w:pPr>
    </w:p>
    <w:p>
      <w:pPr>
        <w:pStyle w:val="BodyText"/>
        <w:spacing w:line="360" w:lineRule="auto"/>
        <w:ind w:left="104" w:right="287"/>
      </w:pPr>
      <w:r>
        <w:rPr/>
        <w:t>A9 Provisional figures had suggested that narrow money growth had rebounded in October. The one- month growth rate </w:t>
      </w:r>
      <w:r>
        <w:rPr>
          <w:spacing w:val="2"/>
        </w:rPr>
        <w:t>of </w:t>
      </w:r>
      <w:r>
        <w:rPr/>
        <w:t>notes and coin had risen </w:t>
      </w:r>
      <w:r>
        <w:rPr>
          <w:spacing w:val="2"/>
        </w:rPr>
        <w:t>to </w:t>
      </w:r>
      <w:r>
        <w:rPr/>
        <w:t>0.8%, compared with an upwardly revised 0.1% in September. The twelve-month growth rate (after adjusting for the introduction </w:t>
      </w:r>
      <w:r>
        <w:rPr>
          <w:spacing w:val="2"/>
        </w:rPr>
        <w:t>of </w:t>
      </w:r>
      <w:r>
        <w:rPr/>
        <w:t>the new 50 pence and £2 coins) had risen </w:t>
      </w:r>
      <w:r>
        <w:rPr>
          <w:spacing w:val="2"/>
        </w:rPr>
        <w:t>to </w:t>
      </w:r>
      <w:r>
        <w:rPr/>
        <w:t>7.6% in October from 7.0% in</w:t>
      </w:r>
      <w:r>
        <w:rPr>
          <w:spacing w:val="13"/>
        </w:rPr>
        <w:t> </w:t>
      </w:r>
      <w:r>
        <w:rPr/>
        <w:t>September.</w:t>
      </w:r>
    </w:p>
    <w:p>
      <w:pPr>
        <w:pStyle w:val="BodyText"/>
        <w:spacing w:before="3"/>
        <w:rPr>
          <w:sz w:val="31"/>
        </w:rPr>
      </w:pPr>
    </w:p>
    <w:p>
      <w:pPr>
        <w:pStyle w:val="BodyText"/>
        <w:spacing w:line="360" w:lineRule="auto"/>
        <w:ind w:left="104" w:right="287"/>
      </w:pPr>
      <w:r>
        <w:rPr/>
        <w:t>A10 M4 had fallen by £2.9 billion (0.4%) in September, with the annual growth rate falling back to 2.8%, the lowest since the series began in 1963. M4 lending (excluding the effects of securitisations) had risen by £4.2 billion (0.4%) in September.</w:t>
      </w:r>
    </w:p>
    <w:p>
      <w:pPr>
        <w:pStyle w:val="BodyText"/>
        <w:spacing w:before="5"/>
        <w:rPr>
          <w:sz w:val="31"/>
        </w:rPr>
      </w:pPr>
    </w:p>
    <w:p>
      <w:pPr>
        <w:pStyle w:val="BodyText"/>
        <w:spacing w:line="360" w:lineRule="auto"/>
        <w:ind w:left="104" w:right="211"/>
      </w:pPr>
      <w:r>
        <w:rPr/>
        <w:t>A11 Households’ M4 deposits had risen by 1.3% in Q3. In real terms, households’ M4 deposits were estimated </w:t>
      </w:r>
      <w:r>
        <w:rPr>
          <w:spacing w:val="2"/>
        </w:rPr>
        <w:t>to </w:t>
      </w:r>
      <w:r>
        <w:rPr/>
        <w:t>have increased by 4.8% in the twelve months </w:t>
      </w:r>
      <w:r>
        <w:rPr>
          <w:spacing w:val="2"/>
        </w:rPr>
        <w:t>to </w:t>
      </w:r>
      <w:r>
        <w:rPr/>
        <w:t>Q3. And households’ real Divisia </w:t>
      </w:r>
      <w:r>
        <w:rPr>
          <w:spacing w:val="2"/>
        </w:rPr>
        <w:t>growth </w:t>
      </w:r>
      <w:r>
        <w:rPr/>
        <w:t>was estimated </w:t>
      </w:r>
      <w:r>
        <w:rPr>
          <w:spacing w:val="2"/>
        </w:rPr>
        <w:t>to </w:t>
      </w:r>
      <w:r>
        <w:rPr/>
        <w:t>have picked up </w:t>
      </w:r>
      <w:r>
        <w:rPr>
          <w:spacing w:val="2"/>
        </w:rPr>
        <w:t>to </w:t>
      </w:r>
      <w:r>
        <w:rPr/>
        <w:t>5.3%, consistent with strong consumption growth. Households’ M4 lending had grown strongly in Q3. Annual growth had been 8.6%, the highest since 1991. Within total lending </w:t>
      </w:r>
      <w:r>
        <w:rPr>
          <w:spacing w:val="3"/>
        </w:rPr>
        <w:t>to </w:t>
      </w:r>
      <w:r>
        <w:rPr/>
        <w:t>individuals, the annual growth rate </w:t>
      </w:r>
      <w:r>
        <w:rPr>
          <w:spacing w:val="2"/>
        </w:rPr>
        <w:t>of </w:t>
      </w:r>
      <w:r>
        <w:rPr/>
        <w:t>secured lending had been 7.5%, reflecting strength in the housing market. Loan approvals had also been strong. Total unsecured lending</w:t>
      </w:r>
      <w:r>
        <w:rPr>
          <w:spacing w:val="-43"/>
        </w:rPr>
        <w:t> </w:t>
      </w:r>
      <w:r>
        <w:rPr/>
        <w:t>had</w:t>
      </w:r>
    </w:p>
    <w:p>
      <w:pPr>
        <w:spacing w:after="0" w:line="360" w:lineRule="auto"/>
        <w:sectPr>
          <w:headerReference w:type="default" r:id="rId9"/>
          <w:pgSz w:w="11900" w:h="16840"/>
          <w:pgMar w:header="1228" w:footer="0" w:top="1600" w:bottom="280" w:left="860" w:right="840"/>
          <w:pgNumType w:start="2"/>
        </w:sectPr>
      </w:pPr>
    </w:p>
    <w:p>
      <w:pPr>
        <w:pStyle w:val="BodyText"/>
        <w:spacing w:before="1"/>
        <w:rPr>
          <w:sz w:val="21"/>
        </w:rPr>
      </w:pPr>
    </w:p>
    <w:p>
      <w:pPr>
        <w:pStyle w:val="BodyText"/>
        <w:spacing w:line="360" w:lineRule="auto" w:before="90"/>
        <w:ind w:left="104"/>
      </w:pPr>
      <w:r>
        <w:rPr/>
        <w:t>increased by 3.3% in Q3, in line with its increases over the year. Credit card lending had continued to grow in excess of 20% per annum.</w:t>
      </w:r>
    </w:p>
    <w:p>
      <w:pPr>
        <w:pStyle w:val="BodyText"/>
        <w:spacing w:before="6"/>
        <w:rPr>
          <w:sz w:val="31"/>
        </w:rPr>
      </w:pPr>
    </w:p>
    <w:p>
      <w:pPr>
        <w:pStyle w:val="BodyText"/>
        <w:spacing w:line="360" w:lineRule="auto"/>
        <w:ind w:left="104" w:right="202"/>
      </w:pPr>
      <w:r>
        <w:rPr/>
        <w:t>A12 Private non-financial corporations’ ( P</w:t>
      </w:r>
      <w:r>
        <w:rPr>
          <w:sz w:val="20"/>
        </w:rPr>
        <w:t>NFC</w:t>
      </w:r>
      <w:r>
        <w:rPr/>
        <w:t>s) deposits had remained broadly flat in Q3, though deposits had risen by £1.4 billion (1.2%) in September. The twelve-month growth rate had fallen from 7.4% in Q2 to 4.9% in Q3. P</w:t>
      </w:r>
      <w:r>
        <w:rPr>
          <w:sz w:val="20"/>
        </w:rPr>
        <w:t>NFC</w:t>
      </w:r>
      <w:r>
        <w:rPr/>
        <w:t>s’ M4 lending had picked up in Q3. Lending had been particularly strong in September, increasing by £1.8 billion (0.9%). But the annual growth rate had fallen from 4.7% in Q2 to 4.2% in Q3, compared with an average annual rate of 5.8% in 1998. A broader measure of P</w:t>
      </w:r>
      <w:r>
        <w:rPr>
          <w:sz w:val="20"/>
        </w:rPr>
        <w:t>NFC</w:t>
      </w:r>
      <w:r>
        <w:rPr/>
        <w:t>s’ borrowing (that also included all bond and equity issues as well as non-sterling lending by banks) had been weaker in Q3 than in Q2: the average monthly flow had increased by £3.3 billion compared with £5.9 billion in Q2.</w:t>
      </w:r>
    </w:p>
    <w:p>
      <w:pPr>
        <w:pStyle w:val="BodyText"/>
        <w:spacing w:before="4"/>
        <w:rPr>
          <w:sz w:val="31"/>
        </w:rPr>
      </w:pPr>
    </w:p>
    <w:p>
      <w:pPr>
        <w:pStyle w:val="BodyText"/>
        <w:spacing w:line="360" w:lineRule="auto"/>
        <w:ind w:left="104" w:right="560"/>
        <w:jc w:val="both"/>
      </w:pPr>
      <w:r>
        <w:rPr/>
        <w:t>A13 Other financial corporations’ ( OFCs’) M4 deposits had fallen sharply in Q3, and the annual growth rate had continued the downward trend since 1998 Q1. The average monthly flow had been</w:t>
      </w:r>
    </w:p>
    <w:p>
      <w:pPr>
        <w:pStyle w:val="BodyText"/>
        <w:spacing w:line="360" w:lineRule="auto"/>
        <w:ind w:left="104" w:right="769"/>
        <w:jc w:val="both"/>
      </w:pPr>
      <w:r>
        <w:rPr/>
        <w:t>-£2.7 billion in Q3, compared with -£1.3 billion in Q2. The monthly flow in September had been particularly weak (-£7.0 billion). OFCs’ M4 lending had increased slightly in Q3, but the flow in September had been -£2.1 billion.</w:t>
      </w:r>
    </w:p>
    <w:p>
      <w:pPr>
        <w:pStyle w:val="BodyText"/>
        <w:spacing w:before="2"/>
        <w:rPr>
          <w:sz w:val="31"/>
        </w:rPr>
      </w:pPr>
    </w:p>
    <w:p>
      <w:pPr>
        <w:pStyle w:val="BodyText"/>
        <w:spacing w:line="360" w:lineRule="auto"/>
        <w:ind w:left="105" w:right="436" w:hanging="1"/>
        <w:jc w:val="both"/>
      </w:pPr>
      <w:r>
        <w:rPr/>
        <w:t>A14 Short-term interest rate expectations implied by short sterling futures contracts had fallen since the previous MPC meeting. The falls had been between 20 and 30 basis points in</w:t>
      </w:r>
      <w:r>
        <w:rPr>
          <w:spacing w:val="21"/>
        </w:rPr>
        <w:t> </w:t>
      </w:r>
      <w:r>
        <w:rPr/>
        <w:t>the</w:t>
      </w:r>
    </w:p>
    <w:p>
      <w:pPr>
        <w:pStyle w:val="BodyText"/>
        <w:spacing w:line="362" w:lineRule="auto"/>
        <w:ind w:left="104" w:right="454"/>
        <w:jc w:val="both"/>
      </w:pPr>
      <w:r>
        <w:rPr/>
        <w:t>September 2002-March 2003 contracts (less at shorter maturities). Nominal forward rates at broadly comparable maturities had also decreased (by 40-50 basis points after 3 </w:t>
      </w:r>
      <w:r>
        <w:rPr>
          <w:spacing w:val="2"/>
        </w:rPr>
        <w:t>to </w:t>
      </w:r>
      <w:r>
        <w:rPr/>
        <w:t>3.5</w:t>
      </w:r>
      <w:r>
        <w:rPr>
          <w:spacing w:val="9"/>
        </w:rPr>
        <w:t> </w:t>
      </w:r>
      <w:r>
        <w:rPr/>
        <w:t>years).</w:t>
      </w:r>
    </w:p>
    <w:p>
      <w:pPr>
        <w:pStyle w:val="BodyText"/>
        <w:spacing w:before="10"/>
        <w:rPr>
          <w:sz w:val="30"/>
        </w:rPr>
      </w:pPr>
    </w:p>
    <w:p>
      <w:pPr>
        <w:pStyle w:val="BodyText"/>
        <w:spacing w:line="360" w:lineRule="auto"/>
        <w:ind w:left="104" w:right="105"/>
      </w:pPr>
      <w:r>
        <w:rPr/>
        <w:t>A15 Short sterling futures and nominal forward rates derived from the gilts market had pointed to different profiles for the expected level of interest rates. In particular, short sterling futures had pointed to a peak of 7.3% in interbank rates in December 2001, around 100 basis points greater than the peak of 6.3% for gilt yields in the forward curve in the second half of 2001. The three-month LIBOR/general collateral interest rate spread had picked up sharply at the beginning of October as the date for year-end LIBOR delivery had passed. But spreads further out along the curve had not looked unusual given recent experience.</w:t>
      </w:r>
    </w:p>
    <w:p>
      <w:pPr>
        <w:pStyle w:val="BodyText"/>
        <w:spacing w:before="5"/>
        <w:rPr>
          <w:sz w:val="31"/>
        </w:rPr>
      </w:pPr>
    </w:p>
    <w:p>
      <w:pPr>
        <w:pStyle w:val="BodyText"/>
        <w:spacing w:line="360" w:lineRule="auto"/>
        <w:ind w:left="104" w:right="105"/>
      </w:pPr>
      <w:r>
        <w:rPr/>
        <w:t>A16 There had also been falls in nominal yields at the long end of the forward curve during October. This had been mirrored in falls in long corporate bond yields. Since the beginning of the year, the yield</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105"/>
      </w:pPr>
      <w:r>
        <w:rPr/>
        <w:t>on 25 year corporate bonds had also fallen relative to yields on shorter maturity bonds, reflecting movements in similar maturity gilt yields. And it was noticeable that there had been a sharp pick up in issuance of very long corporate bonds (with a maturity in excess of 15 years) over this period. So any technical factors that may have helped to explain the fall in relative gilt yields at the long end appeared to have reduced the funding costs for some firms.</w:t>
      </w:r>
    </w:p>
    <w:p>
      <w:pPr>
        <w:pStyle w:val="BodyText"/>
        <w:spacing w:before="2"/>
        <w:rPr>
          <w:sz w:val="31"/>
        </w:rPr>
      </w:pPr>
    </w:p>
    <w:p>
      <w:pPr>
        <w:pStyle w:val="BodyText"/>
        <w:spacing w:line="360" w:lineRule="auto"/>
        <w:ind w:left="104" w:right="202"/>
      </w:pPr>
      <w:r>
        <w:rPr/>
        <w:t>A17 The pass-through of September’s base rate rise to retail savings rates had remained incomplete in October. Interest rates on fixed-rate mortgages had increased, following continued increases in swap rates at all maturities. But the narrowing in the spread of five-year fixed mortgage rates over five-year swap rates observed this year had continued in October.</w:t>
      </w:r>
    </w:p>
    <w:p>
      <w:pPr>
        <w:pStyle w:val="BodyText"/>
        <w:spacing w:before="4"/>
        <w:rPr>
          <w:sz w:val="31"/>
        </w:rPr>
      </w:pPr>
    </w:p>
    <w:p>
      <w:pPr>
        <w:pStyle w:val="BodyText"/>
        <w:spacing w:line="360" w:lineRule="auto"/>
        <w:ind w:left="104" w:right="381"/>
      </w:pPr>
      <w:r>
        <w:rPr/>
        <w:t>A18 Implied inflation expectations had fallen by around 15-30 basis points out to fifteen years. The fall had been smaller at longer maturities. The October biannual Consensus Economics survey had pointed to a fall in inflation expectations over the medium to long term (four years and further out) between April and October. By contrast, over the same period, inflation expectations implied using index-linked gilts had risen out to eight years, though they had fallen further out.</w:t>
      </w:r>
    </w:p>
    <w:p>
      <w:pPr>
        <w:pStyle w:val="BodyText"/>
        <w:spacing w:before="7"/>
        <w:rPr>
          <w:sz w:val="31"/>
        </w:rPr>
      </w:pPr>
    </w:p>
    <w:p>
      <w:pPr>
        <w:pStyle w:val="BodyText"/>
        <w:spacing w:line="360" w:lineRule="auto"/>
        <w:ind w:left="104" w:right="245"/>
      </w:pPr>
      <w:r>
        <w:rPr/>
        <w:t>A19 The sterling effective exchange rate index (ERI) had appreciated, by 0.7% </w:t>
      </w:r>
      <w:r>
        <w:rPr>
          <w:spacing w:val="3"/>
        </w:rPr>
        <w:t>over </w:t>
      </w:r>
      <w:r>
        <w:rPr/>
        <w:t>the month. Within</w:t>
      </w:r>
      <w:r>
        <w:rPr>
          <w:spacing w:val="-5"/>
        </w:rPr>
        <w:t> </w:t>
      </w:r>
      <w:r>
        <w:rPr/>
        <w:t>this,</w:t>
      </w:r>
      <w:r>
        <w:rPr>
          <w:spacing w:val="-5"/>
        </w:rPr>
        <w:t> </w:t>
      </w:r>
      <w:r>
        <w:rPr/>
        <w:t>sterling</w:t>
      </w:r>
      <w:r>
        <w:rPr>
          <w:spacing w:val="-5"/>
        </w:rPr>
        <w:t> </w:t>
      </w:r>
      <w:r>
        <w:rPr/>
        <w:t>had</w:t>
      </w:r>
      <w:r>
        <w:rPr>
          <w:spacing w:val="-5"/>
        </w:rPr>
        <w:t> </w:t>
      </w:r>
      <w:r>
        <w:rPr/>
        <w:t>appreciated</w:t>
      </w:r>
      <w:r>
        <w:rPr>
          <w:spacing w:val="-5"/>
        </w:rPr>
        <w:t> </w:t>
      </w:r>
      <w:r>
        <w:rPr/>
        <w:t>by</w:t>
      </w:r>
      <w:r>
        <w:rPr>
          <w:spacing w:val="-5"/>
        </w:rPr>
        <w:t> </w:t>
      </w:r>
      <w:r>
        <w:rPr/>
        <w:t>1.4%</w:t>
      </w:r>
      <w:r>
        <w:rPr>
          <w:spacing w:val="-5"/>
        </w:rPr>
        <w:t> </w:t>
      </w:r>
      <w:r>
        <w:rPr/>
        <w:t>against the</w:t>
      </w:r>
      <w:r>
        <w:rPr>
          <w:spacing w:val="15"/>
        </w:rPr>
        <w:t> </w:t>
      </w:r>
      <w:r>
        <w:rPr/>
        <w:t>euro,</w:t>
      </w:r>
      <w:r>
        <w:rPr>
          <w:spacing w:val="-7"/>
        </w:rPr>
        <w:t> </w:t>
      </w:r>
      <w:r>
        <w:rPr/>
        <w:t>but</w:t>
      </w:r>
      <w:r>
        <w:rPr>
          <w:spacing w:val="-2"/>
        </w:rPr>
        <w:t> </w:t>
      </w:r>
      <w:r>
        <w:rPr/>
        <w:t>had</w:t>
      </w:r>
      <w:r>
        <w:rPr>
          <w:spacing w:val="-6"/>
        </w:rPr>
        <w:t> </w:t>
      </w:r>
      <w:r>
        <w:rPr/>
        <w:t>depreciated</w:t>
      </w:r>
      <w:r>
        <w:rPr>
          <w:spacing w:val="-7"/>
        </w:rPr>
        <w:t> </w:t>
      </w:r>
      <w:r>
        <w:rPr/>
        <w:t>by</w:t>
      </w:r>
      <w:r>
        <w:rPr>
          <w:spacing w:val="-7"/>
        </w:rPr>
        <w:t> </w:t>
      </w:r>
      <w:r>
        <w:rPr/>
        <w:t>0.7%</w:t>
      </w:r>
      <w:r>
        <w:rPr>
          <w:spacing w:val="-7"/>
        </w:rPr>
        <w:t> </w:t>
      </w:r>
      <w:r>
        <w:rPr/>
        <w:t>against</w:t>
      </w:r>
      <w:r>
        <w:rPr>
          <w:spacing w:val="-1"/>
        </w:rPr>
        <w:t> </w:t>
      </w:r>
      <w:r>
        <w:rPr/>
        <w:t>the US dollar and by 3.0% against the yen. Real exchange rate expectations calculated using the biannual Consensus </w:t>
      </w:r>
      <w:r>
        <w:rPr>
          <w:spacing w:val="2"/>
        </w:rPr>
        <w:t>Economics </w:t>
      </w:r>
      <w:r>
        <w:rPr/>
        <w:t>survey </w:t>
      </w:r>
      <w:r>
        <w:rPr>
          <w:spacing w:val="3"/>
        </w:rPr>
        <w:t>of </w:t>
      </w:r>
      <w:r>
        <w:rPr/>
        <w:t>long-run inflation and nominal exchange </w:t>
      </w:r>
      <w:r>
        <w:rPr>
          <w:spacing w:val="2"/>
        </w:rPr>
        <w:t>rate </w:t>
      </w:r>
      <w:r>
        <w:rPr/>
        <w:t>expectations had suggested that the markets increasingly expected the strength </w:t>
      </w:r>
      <w:r>
        <w:rPr>
          <w:spacing w:val="2"/>
        </w:rPr>
        <w:t>of </w:t>
      </w:r>
      <w:r>
        <w:rPr/>
        <w:t>sterling </w:t>
      </w:r>
      <w:r>
        <w:rPr>
          <w:spacing w:val="3"/>
        </w:rPr>
        <w:t>to </w:t>
      </w:r>
      <w:r>
        <w:rPr/>
        <w:t>be sustained. The real exchange rate expected at end-2003 had increased by 2.8% between the October 1998 and 1999 surveys. The FTSE All-Share index had risen by 2.4% </w:t>
      </w:r>
      <w:r>
        <w:rPr>
          <w:spacing w:val="2"/>
        </w:rPr>
        <w:t>on </w:t>
      </w:r>
      <w:r>
        <w:rPr/>
        <w:t>the month. As in recent months the index for smaller capitalisation stocks had performed more poorly, falling by 0.8% </w:t>
      </w:r>
      <w:r>
        <w:rPr>
          <w:spacing w:val="2"/>
        </w:rPr>
        <w:t>on </w:t>
      </w:r>
      <w:r>
        <w:rPr/>
        <w:t>the</w:t>
      </w:r>
      <w:r>
        <w:rPr>
          <w:spacing w:val="-7"/>
        </w:rPr>
        <w:t> </w:t>
      </w:r>
      <w:r>
        <w:rPr/>
        <w:t>month.</w:t>
      </w:r>
    </w:p>
    <w:p>
      <w:pPr>
        <w:pStyle w:val="BodyText"/>
        <w:spacing w:before="9"/>
        <w:rPr>
          <w:sz w:val="31"/>
        </w:rPr>
      </w:pPr>
    </w:p>
    <w:p>
      <w:pPr>
        <w:pStyle w:val="Heading1"/>
        <w:numPr>
          <w:ilvl w:val="0"/>
          <w:numId w:val="2"/>
        </w:numPr>
        <w:tabs>
          <w:tab w:pos="565" w:val="left" w:leader="none"/>
        </w:tabs>
        <w:spacing w:line="240" w:lineRule="auto" w:before="0" w:after="0"/>
        <w:ind w:left="564" w:right="0" w:hanging="461"/>
        <w:jc w:val="left"/>
      </w:pPr>
      <w:r>
        <w:rPr/>
        <w:t>Demand and</w:t>
      </w:r>
      <w:r>
        <w:rPr>
          <w:spacing w:val="3"/>
        </w:rPr>
        <w:t> </w:t>
      </w:r>
      <w:r>
        <w:rPr/>
        <w:t>output</w:t>
      </w:r>
    </w:p>
    <w:p>
      <w:pPr>
        <w:pStyle w:val="BodyText"/>
        <w:rPr>
          <w:b/>
          <w:sz w:val="26"/>
        </w:rPr>
      </w:pPr>
    </w:p>
    <w:p>
      <w:pPr>
        <w:pStyle w:val="BodyText"/>
        <w:spacing w:line="360" w:lineRule="auto" w:before="193"/>
        <w:ind w:left="104" w:right="287"/>
      </w:pPr>
      <w:r>
        <w:rPr/>
        <w:t>A20 The preliminary ONS estimate of GDP growth in 1999 Q3 had been 0.9%, the strongest for two years. The annual growth rate had risen to 1.8%. Service sector output had grown by 1.0% in Q3 and had been 2.6% up on a year earlier - close to its long run average. Within services, the distribution, hotels and catering sector had grown by 0.9%. Manufacturing output had risen by 1.0% in Q3, following revisions to data in July and August.</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87"/>
      </w:pPr>
      <w:r>
        <w:rPr/>
        <w:t>A21 Construction new orders had fallen by 5.0% in the three months to September but the C</w:t>
      </w:r>
      <w:r>
        <w:rPr>
          <w:sz w:val="20"/>
        </w:rPr>
        <w:t>IPS </w:t>
      </w:r>
      <w:r>
        <w:rPr/>
        <w:t>index of construction activity had indicated strong growth since January 1999.</w:t>
      </w:r>
    </w:p>
    <w:p>
      <w:pPr>
        <w:pStyle w:val="BodyText"/>
        <w:spacing w:before="6"/>
        <w:rPr>
          <w:sz w:val="31"/>
        </w:rPr>
      </w:pPr>
    </w:p>
    <w:p>
      <w:pPr>
        <w:pStyle w:val="BodyText"/>
        <w:spacing w:line="360" w:lineRule="auto"/>
        <w:ind w:left="104" w:right="205"/>
      </w:pPr>
      <w:r>
        <w:rPr/>
        <w:t>A22 Retail sales volumes had risen by 0.1% in September. Growth in Q3 had been 1.2%. The GfK consumer confidence index had been flat in October, but remained above its historical average. The new quarterly Consumers’ Association Consumer Trends Survey consumer confidence index had been</w:t>
      </w:r>
    </w:p>
    <w:p>
      <w:pPr>
        <w:pStyle w:val="BodyText"/>
        <w:spacing w:line="362" w:lineRule="auto"/>
        <w:ind w:left="104" w:right="707"/>
      </w:pPr>
      <w:r>
        <w:rPr/>
        <w:t>+34 in October, compared with +33 in July. According to this survey, households expected house prices to rise by 4% over the next year.</w:t>
      </w:r>
    </w:p>
    <w:p>
      <w:pPr>
        <w:pStyle w:val="BodyText"/>
        <w:spacing w:before="8"/>
        <w:rPr>
          <w:sz w:val="30"/>
        </w:rPr>
      </w:pPr>
    </w:p>
    <w:p>
      <w:pPr>
        <w:pStyle w:val="BodyText"/>
        <w:spacing w:line="360" w:lineRule="auto"/>
        <w:ind w:left="104" w:right="202"/>
      </w:pPr>
      <w:r>
        <w:rPr/>
        <w:t>A23 Both the Halifax and Nationwide house price indices had shown rises in annual house price inflation in October, to 10.8% and 11.6% respectively. The Halifax index had grown particularly sharply in October, rising by 2.8%, following zero growth in September. Particulars delivered had fallen to 122,000 in September - the second consecutive monthly fall - but remained 7% higher than a year earlier. The Royal Institute of Chartered Surveyors (R</w:t>
      </w:r>
      <w:r>
        <w:rPr>
          <w:sz w:val="20"/>
        </w:rPr>
        <w:t>ICS</w:t>
      </w:r>
      <w:r>
        <w:rPr/>
        <w:t>) survey had shown a similar picture of housing transactions. Housing starts had risen by 2.9% in Q3.</w:t>
      </w:r>
    </w:p>
    <w:p>
      <w:pPr>
        <w:pStyle w:val="BodyText"/>
        <w:spacing w:before="2"/>
        <w:rPr>
          <w:sz w:val="31"/>
        </w:rPr>
      </w:pPr>
    </w:p>
    <w:p>
      <w:pPr>
        <w:pStyle w:val="BodyText"/>
        <w:spacing w:line="360" w:lineRule="auto"/>
        <w:ind w:left="104" w:right="437"/>
        <w:jc w:val="both"/>
      </w:pPr>
      <w:r>
        <w:rPr/>
        <w:t>A24 Vehicle sales had been very volatile, given the change to the registration letter system. Private car registrations in Q3 had fallen by 16.6% on a year earlier. In the first 9 months of 1999, they had been 0.8% lower than the same period a year earlier.</w:t>
      </w:r>
    </w:p>
    <w:p>
      <w:pPr>
        <w:pStyle w:val="BodyText"/>
        <w:spacing w:before="4"/>
        <w:rPr>
          <w:sz w:val="31"/>
        </w:rPr>
      </w:pPr>
    </w:p>
    <w:p>
      <w:pPr>
        <w:pStyle w:val="BodyText"/>
        <w:spacing w:line="360" w:lineRule="auto" w:before="1"/>
        <w:ind w:left="104" w:right="124"/>
      </w:pPr>
      <w:r>
        <w:rPr/>
        <w:t>A25 The change in inventories had contributed negatively to GDP growth in Q2. The C</w:t>
      </w:r>
      <w:r>
        <w:rPr>
          <w:sz w:val="20"/>
        </w:rPr>
        <w:t>IPS </w:t>
      </w:r>
      <w:r>
        <w:rPr/>
        <w:t>survey of manufacturing had shown that stocks of finished goods had risen in October for the first time since July 1998. The CBI Quarterly Industrial Trends Survey had shown that the balance of finished goods inventories had risen to -10 in October from -20 in July.</w:t>
      </w:r>
    </w:p>
    <w:p>
      <w:pPr>
        <w:pStyle w:val="BodyText"/>
        <w:spacing w:before="3"/>
        <w:rPr>
          <w:sz w:val="31"/>
        </w:rPr>
      </w:pPr>
    </w:p>
    <w:p>
      <w:pPr>
        <w:pStyle w:val="BodyText"/>
        <w:spacing w:line="360" w:lineRule="auto"/>
        <w:ind w:left="104" w:right="336"/>
        <w:jc w:val="both"/>
      </w:pPr>
      <w:r>
        <w:rPr/>
        <w:t>A26 The BCC and CBI surveys had shown a pick-up </w:t>
      </w:r>
      <w:r>
        <w:rPr>
          <w:spacing w:val="3"/>
        </w:rPr>
        <w:t>of </w:t>
      </w:r>
      <w:r>
        <w:rPr/>
        <w:t>manufacturing investment intentions in Q3 compared</w:t>
      </w:r>
      <w:r>
        <w:rPr>
          <w:spacing w:val="-6"/>
        </w:rPr>
        <w:t> </w:t>
      </w:r>
      <w:r>
        <w:rPr>
          <w:spacing w:val="2"/>
        </w:rPr>
        <w:t>to</w:t>
      </w:r>
      <w:r>
        <w:rPr>
          <w:spacing w:val="-1"/>
        </w:rPr>
        <w:t> </w:t>
      </w:r>
      <w:r>
        <w:rPr/>
        <w:t>very</w:t>
      </w:r>
      <w:r>
        <w:rPr>
          <w:spacing w:val="-6"/>
        </w:rPr>
        <w:t> </w:t>
      </w:r>
      <w:r>
        <w:rPr/>
        <w:t>low</w:t>
      </w:r>
      <w:r>
        <w:rPr>
          <w:spacing w:val="-5"/>
        </w:rPr>
        <w:t> </w:t>
      </w:r>
      <w:r>
        <w:rPr/>
        <w:t>levels</w:t>
      </w:r>
      <w:r>
        <w:rPr>
          <w:spacing w:val="-6"/>
        </w:rPr>
        <w:t> </w:t>
      </w:r>
      <w:r>
        <w:rPr/>
        <w:t>a</w:t>
      </w:r>
      <w:r>
        <w:rPr>
          <w:spacing w:val="-6"/>
        </w:rPr>
        <w:t> </w:t>
      </w:r>
      <w:r>
        <w:rPr/>
        <w:t>year</w:t>
      </w:r>
      <w:r>
        <w:rPr>
          <w:spacing w:val="-6"/>
        </w:rPr>
        <w:t> </w:t>
      </w:r>
      <w:r>
        <w:rPr/>
        <w:t>ago,</w:t>
      </w:r>
      <w:r>
        <w:rPr>
          <w:spacing w:val="-6"/>
        </w:rPr>
        <w:t> </w:t>
      </w:r>
      <w:r>
        <w:rPr/>
        <w:t>though</w:t>
      </w:r>
      <w:r>
        <w:rPr>
          <w:spacing w:val="-5"/>
        </w:rPr>
        <w:t> </w:t>
      </w:r>
      <w:r>
        <w:rPr/>
        <w:t>the</w:t>
      </w:r>
      <w:r>
        <w:rPr>
          <w:spacing w:val="20"/>
        </w:rPr>
        <w:t> </w:t>
      </w:r>
      <w:r>
        <w:rPr/>
        <w:t>CBI</w:t>
      </w:r>
      <w:r>
        <w:rPr>
          <w:spacing w:val="-4"/>
        </w:rPr>
        <w:t> </w:t>
      </w:r>
      <w:r>
        <w:rPr/>
        <w:t>measure</w:t>
      </w:r>
      <w:r>
        <w:rPr>
          <w:spacing w:val="-4"/>
        </w:rPr>
        <w:t> </w:t>
      </w:r>
      <w:r>
        <w:rPr/>
        <w:t>had</w:t>
      </w:r>
      <w:r>
        <w:rPr>
          <w:spacing w:val="-4"/>
        </w:rPr>
        <w:t> </w:t>
      </w:r>
      <w:r>
        <w:rPr/>
        <w:t>fallen</w:t>
      </w:r>
      <w:r>
        <w:rPr>
          <w:spacing w:val="-4"/>
        </w:rPr>
        <w:t> </w:t>
      </w:r>
      <w:r>
        <w:rPr/>
        <w:t>slightly</w:t>
      </w:r>
      <w:r>
        <w:rPr>
          <w:spacing w:val="-4"/>
        </w:rPr>
        <w:t> </w:t>
      </w:r>
      <w:r>
        <w:rPr>
          <w:spacing w:val="3"/>
        </w:rPr>
        <w:t>to</w:t>
      </w:r>
      <w:r>
        <w:rPr/>
        <w:t> -11</w:t>
      </w:r>
      <w:r>
        <w:rPr>
          <w:spacing w:val="-2"/>
        </w:rPr>
        <w:t> </w:t>
      </w:r>
      <w:r>
        <w:rPr/>
        <w:t>in</w:t>
      </w:r>
      <w:r>
        <w:rPr>
          <w:spacing w:val="-4"/>
        </w:rPr>
        <w:t> </w:t>
      </w:r>
      <w:r>
        <w:rPr/>
        <w:t>Q3</w:t>
      </w:r>
      <w:r>
        <w:rPr>
          <w:spacing w:val="-4"/>
        </w:rPr>
        <w:t> </w:t>
      </w:r>
      <w:r>
        <w:rPr/>
        <w:t>from</w:t>
      </w:r>
    </w:p>
    <w:p>
      <w:pPr>
        <w:pStyle w:val="BodyText"/>
        <w:spacing w:line="360" w:lineRule="auto" w:before="3"/>
        <w:ind w:left="104" w:right="456"/>
        <w:jc w:val="both"/>
      </w:pPr>
      <w:r>
        <w:rPr/>
        <w:t>-8 in Q2. The BCC survey had shown an increase in investment intentions (plant and machinery), to 11 in Q3 from 3 in Q2. But as investment intentions are forward-looking it seemed likely that actual investment would not strengthen until 2000.</w:t>
      </w:r>
    </w:p>
    <w:p>
      <w:pPr>
        <w:pStyle w:val="BodyText"/>
        <w:rPr>
          <w:sz w:val="31"/>
        </w:rPr>
      </w:pPr>
    </w:p>
    <w:p>
      <w:pPr>
        <w:pStyle w:val="BodyText"/>
        <w:spacing w:line="362" w:lineRule="auto"/>
        <w:ind w:left="104" w:right="512"/>
      </w:pPr>
      <w:r>
        <w:rPr/>
        <w:t>A27 The public sector net cash requirement had been £2.0 billion in September - with cumulative cash borrowing for 1999/2000 similar to the previous year.</w:t>
      </w:r>
    </w:p>
    <w:p>
      <w:pPr>
        <w:spacing w:after="0" w:line="362"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512"/>
      </w:pPr>
      <w:r>
        <w:rPr/>
        <w:t>A28 The deficit on trade in goods had narrowed to £1.9 billion in August from £2.2 billion in July. The EU deficit had widened slightly to £0.4 billion, but the non-EU goods deficit had narrowed to</w:t>
      </w:r>
    </w:p>
    <w:p>
      <w:pPr>
        <w:pStyle w:val="BodyText"/>
        <w:spacing w:line="360" w:lineRule="auto" w:before="2"/>
        <w:ind w:left="104" w:right="287"/>
      </w:pPr>
      <w:r>
        <w:rPr/>
        <w:t>£1.5 billion. The non-EU deficit had narrowed further to £1.2 billion in September. Excluding oil and erratics, export volumes had risen by 5.8% in the three months to August and imports had risen by 3.8%. Although export growth over the past half-year had been partly driven by erratic items, underlying export growth (excluding oil and erratics) had also been positive. Based on monthly data, the 1999 Q3 net trade contribution to GDP seemed likely to be positive.</w:t>
      </w:r>
    </w:p>
    <w:p>
      <w:pPr>
        <w:pStyle w:val="BodyText"/>
        <w:spacing w:before="3"/>
        <w:rPr>
          <w:sz w:val="31"/>
        </w:rPr>
      </w:pPr>
    </w:p>
    <w:p>
      <w:pPr>
        <w:pStyle w:val="BodyText"/>
        <w:ind w:left="104"/>
        <w:rPr>
          <w:sz w:val="20"/>
        </w:rPr>
      </w:pPr>
      <w:r>
        <w:rPr/>
        <w:t>A29 Looking ahead to Q4, survey evidence had suggested continuing strong growth. The C </w:t>
      </w:r>
      <w:r>
        <w:rPr>
          <w:sz w:val="20"/>
        </w:rPr>
        <w:t>IPS</w:t>
      </w:r>
    </w:p>
    <w:p>
      <w:pPr>
        <w:pStyle w:val="BodyText"/>
        <w:spacing w:before="137"/>
        <w:ind w:left="104"/>
      </w:pPr>
      <w:r>
        <w:rPr/>
        <w:t>purchasing managers’ survey of manufacturing showed a slight improvement in the headline index, to</w:t>
      </w:r>
    </w:p>
    <w:p>
      <w:pPr>
        <w:pStyle w:val="BodyText"/>
        <w:spacing w:line="360" w:lineRule="auto" w:before="137"/>
        <w:ind w:left="104" w:right="171"/>
      </w:pPr>
      <w:r>
        <w:rPr/>
        <w:t>54.2 in October, with the </w:t>
      </w:r>
      <w:r>
        <w:rPr>
          <w:spacing w:val="3"/>
        </w:rPr>
        <w:t>output </w:t>
      </w:r>
      <w:r>
        <w:rPr/>
        <w:t>index above its no-change point </w:t>
      </w:r>
      <w:r>
        <w:rPr>
          <w:spacing w:val="2"/>
        </w:rPr>
        <w:t>of </w:t>
      </w:r>
      <w:r>
        <w:rPr/>
        <w:t>50 for the seventh consecutive month. The CBI Quarterly Industrial </w:t>
      </w:r>
      <w:r>
        <w:rPr>
          <w:spacing w:val="2"/>
        </w:rPr>
        <w:t>Trends </w:t>
      </w:r>
      <w:r>
        <w:rPr/>
        <w:t>survey had shown a sharp improvement </w:t>
      </w:r>
      <w:r>
        <w:rPr>
          <w:spacing w:val="2"/>
        </w:rPr>
        <w:t>of </w:t>
      </w:r>
      <w:r>
        <w:rPr/>
        <w:t>manufacturing </w:t>
      </w:r>
      <w:r>
        <w:rPr>
          <w:spacing w:val="2"/>
        </w:rPr>
        <w:t>sector </w:t>
      </w:r>
      <w:r>
        <w:rPr/>
        <w:t>confidence in Q3. The BCC survey for Q3 had shown a marked improvement in domestic and </w:t>
      </w:r>
      <w:r>
        <w:rPr>
          <w:spacing w:val="4"/>
        </w:rPr>
        <w:t>overseas orders, </w:t>
      </w:r>
      <w:r>
        <w:rPr/>
        <w:t>in both the manufacturing and services sectors. Domestic and </w:t>
      </w:r>
      <w:r>
        <w:rPr>
          <w:spacing w:val="4"/>
        </w:rPr>
        <w:t>overseas </w:t>
      </w:r>
      <w:r>
        <w:rPr>
          <w:spacing w:val="3"/>
        </w:rPr>
        <w:t>orders </w:t>
      </w:r>
      <w:r>
        <w:rPr/>
        <w:t>balances had appeared </w:t>
      </w:r>
      <w:r>
        <w:rPr>
          <w:spacing w:val="2"/>
        </w:rPr>
        <w:t>to </w:t>
      </w:r>
      <w:r>
        <w:rPr/>
        <w:t>be moving in line </w:t>
      </w:r>
      <w:r>
        <w:rPr>
          <w:spacing w:val="3"/>
        </w:rPr>
        <w:t>over </w:t>
      </w:r>
      <w:r>
        <w:rPr/>
        <w:t>recent quarters - though growth in domestic </w:t>
      </w:r>
      <w:r>
        <w:rPr>
          <w:spacing w:val="3"/>
        </w:rPr>
        <w:t>orders </w:t>
      </w:r>
      <w:r>
        <w:rPr/>
        <w:t>remained stronger. The </w:t>
      </w:r>
      <w:r>
        <w:rPr>
          <w:spacing w:val="-3"/>
        </w:rPr>
        <w:t>C</w:t>
      </w:r>
      <w:r>
        <w:rPr>
          <w:spacing w:val="-3"/>
          <w:sz w:val="20"/>
        </w:rPr>
        <w:t>IPS </w:t>
      </w:r>
      <w:r>
        <w:rPr/>
        <w:t>Services Survey had shown an increase in activity in October (though the rate </w:t>
      </w:r>
      <w:r>
        <w:rPr>
          <w:spacing w:val="2"/>
        </w:rPr>
        <w:t>of </w:t>
      </w:r>
      <w:r>
        <w:rPr/>
        <w:t>growth had been the slowest since March). The CBI Distributive Trades Survey had shown a rise in retail sales in October (though with growth slowing, and sales considered </w:t>
      </w:r>
      <w:r>
        <w:rPr>
          <w:spacing w:val="3"/>
        </w:rPr>
        <w:t>to </w:t>
      </w:r>
      <w:r>
        <w:rPr/>
        <w:t>be slightly below average for the time </w:t>
      </w:r>
      <w:r>
        <w:rPr>
          <w:spacing w:val="2"/>
        </w:rPr>
        <w:t>of </w:t>
      </w:r>
      <w:r>
        <w:rPr/>
        <w:t>year). The improved </w:t>
      </w:r>
      <w:r>
        <w:rPr>
          <w:spacing w:val="4"/>
        </w:rPr>
        <w:t>outlook </w:t>
      </w:r>
      <w:r>
        <w:rPr/>
        <w:t>had also been broadly consistent with </w:t>
      </w:r>
      <w:r>
        <w:rPr>
          <w:spacing w:val="3"/>
        </w:rPr>
        <w:t>other </w:t>
      </w:r>
      <w:r>
        <w:rPr/>
        <w:t>surveys such as those by the Institute </w:t>
      </w:r>
      <w:r>
        <w:rPr>
          <w:spacing w:val="2"/>
        </w:rPr>
        <w:t>of </w:t>
      </w:r>
      <w:r>
        <w:rPr/>
        <w:t>Directors and the Engineers’ </w:t>
      </w:r>
      <w:r>
        <w:rPr>
          <w:spacing w:val="2"/>
        </w:rPr>
        <w:t>Employers </w:t>
      </w:r>
      <w:r>
        <w:rPr/>
        <w:t>Federation.</w:t>
      </w:r>
      <w:r>
        <w:rPr>
          <w:spacing w:val="54"/>
        </w:rPr>
        <w:t> </w:t>
      </w:r>
      <w:r>
        <w:rPr>
          <w:spacing w:val="2"/>
        </w:rPr>
        <w:t>The</w:t>
      </w:r>
    </w:p>
    <w:p>
      <w:pPr>
        <w:pStyle w:val="BodyText"/>
        <w:spacing w:line="360" w:lineRule="auto" w:before="2"/>
        <w:ind w:left="104" w:right="244"/>
      </w:pPr>
      <w:r>
        <w:rPr/>
        <w:t>latest surveys when taken together suggested quarterly growth in GDP continuing in Q4 at broadly the same rate as in Q3.</w:t>
      </w:r>
    </w:p>
    <w:p>
      <w:pPr>
        <w:pStyle w:val="BodyText"/>
        <w:spacing w:before="6"/>
        <w:rPr>
          <w:sz w:val="31"/>
        </w:rPr>
      </w:pPr>
    </w:p>
    <w:p>
      <w:pPr>
        <w:pStyle w:val="Heading1"/>
        <w:numPr>
          <w:ilvl w:val="0"/>
          <w:numId w:val="2"/>
        </w:numPr>
        <w:tabs>
          <w:tab w:pos="556" w:val="left" w:leader="none"/>
        </w:tabs>
        <w:spacing w:line="240" w:lineRule="auto" w:before="0" w:after="0"/>
        <w:ind w:left="556" w:right="0" w:hanging="452"/>
        <w:jc w:val="left"/>
      </w:pPr>
      <w:r>
        <w:rPr/>
        <w:t>The labour</w:t>
      </w:r>
      <w:r>
        <w:rPr>
          <w:spacing w:val="5"/>
        </w:rPr>
        <w:t> </w:t>
      </w:r>
      <w:r>
        <w:rPr/>
        <w:t>market</w:t>
      </w:r>
    </w:p>
    <w:p>
      <w:pPr>
        <w:pStyle w:val="BodyText"/>
        <w:rPr>
          <w:b/>
          <w:sz w:val="26"/>
        </w:rPr>
      </w:pPr>
    </w:p>
    <w:p>
      <w:pPr>
        <w:pStyle w:val="BodyText"/>
        <w:spacing w:line="360" w:lineRule="auto" w:before="198"/>
        <w:ind w:left="104" w:right="287"/>
      </w:pPr>
      <w:r>
        <w:rPr/>
        <w:t>A30 LFS employment had increased by 99,000 (0.4%) in the three months to August compared with the previous three months - up sharply on the increase in the three months to May. In full-time equivalent terms, growth had been the strongest since the summer of 1998. Total hours worked had risen by 0.4% during the three months to August over the previous three months. Average hours worked had risen by 0.1%, although they had remained weaker than in the same period the previous year.</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472"/>
      </w:pPr>
      <w:r>
        <w:rPr/>
        <w:t>A31 According to the C</w:t>
      </w:r>
      <w:r>
        <w:rPr>
          <w:sz w:val="20"/>
        </w:rPr>
        <w:t>IPS </w:t>
      </w:r>
      <w:r>
        <w:rPr/>
        <w:t>survey, manufacturing employment had stopped falling, employment growth in services had eased, while employment growth in the construction sector had been broadly stable. Looking ahead, surveys of employment intentions had all indicated further employment expansion.</w:t>
      </w:r>
    </w:p>
    <w:p>
      <w:pPr>
        <w:pStyle w:val="BodyText"/>
        <w:spacing w:before="3"/>
        <w:rPr>
          <w:sz w:val="31"/>
        </w:rPr>
      </w:pPr>
    </w:p>
    <w:p>
      <w:pPr>
        <w:pStyle w:val="BodyText"/>
        <w:spacing w:line="360" w:lineRule="auto" w:before="1"/>
        <w:ind w:left="104" w:right="173"/>
      </w:pPr>
      <w:r>
        <w:rPr/>
        <w:t>A32 Surveys </w:t>
      </w:r>
      <w:r>
        <w:rPr>
          <w:spacing w:val="3"/>
        </w:rPr>
        <w:t>of </w:t>
      </w:r>
      <w:r>
        <w:rPr/>
        <w:t>skill shortages and </w:t>
      </w:r>
      <w:r>
        <w:rPr>
          <w:spacing w:val="2"/>
        </w:rPr>
        <w:t>recruitment </w:t>
      </w:r>
      <w:r>
        <w:rPr/>
        <w:t>difficulties had provided a more mixed picture </w:t>
      </w:r>
      <w:r>
        <w:rPr>
          <w:spacing w:val="3"/>
        </w:rPr>
        <w:t>of </w:t>
      </w:r>
      <w:r>
        <w:rPr>
          <w:spacing w:val="2"/>
        </w:rPr>
        <w:t>the </w:t>
      </w:r>
      <w:r>
        <w:rPr/>
        <w:t>degree of labour market tightness. The CBI Industrial Trends Survey had reported that skill shortages had increased in the September quarter, but remained below their historical average. The BCC Quarterly</w:t>
      </w:r>
      <w:r>
        <w:rPr>
          <w:spacing w:val="-6"/>
        </w:rPr>
        <w:t> </w:t>
      </w:r>
      <w:r>
        <w:rPr>
          <w:spacing w:val="2"/>
        </w:rPr>
        <w:t>Economic</w:t>
      </w:r>
      <w:r>
        <w:rPr>
          <w:spacing w:val="-3"/>
        </w:rPr>
        <w:t> </w:t>
      </w:r>
      <w:r>
        <w:rPr/>
        <w:t>Survey</w:t>
      </w:r>
      <w:r>
        <w:rPr>
          <w:spacing w:val="-5"/>
        </w:rPr>
        <w:t> </w:t>
      </w:r>
      <w:r>
        <w:rPr/>
        <w:t>had</w:t>
      </w:r>
      <w:r>
        <w:rPr>
          <w:spacing w:val="-5"/>
        </w:rPr>
        <w:t> </w:t>
      </w:r>
      <w:r>
        <w:rPr/>
        <w:t>reported</w:t>
      </w:r>
      <w:r>
        <w:rPr>
          <w:spacing w:val="-4"/>
        </w:rPr>
        <w:t> </w:t>
      </w:r>
      <w:r>
        <w:rPr/>
        <w:t>that</w:t>
      </w:r>
      <w:r>
        <w:rPr>
          <w:spacing w:val="-1"/>
        </w:rPr>
        <w:t> </w:t>
      </w:r>
      <w:r>
        <w:rPr/>
        <w:t>recruitment</w:t>
      </w:r>
      <w:r>
        <w:rPr>
          <w:spacing w:val="-4"/>
        </w:rPr>
        <w:t> </w:t>
      </w:r>
      <w:r>
        <w:rPr/>
        <w:t>difficulties</w:t>
      </w:r>
      <w:r>
        <w:rPr>
          <w:spacing w:val="-5"/>
        </w:rPr>
        <w:t> </w:t>
      </w:r>
      <w:r>
        <w:rPr/>
        <w:t>had</w:t>
      </w:r>
      <w:r>
        <w:rPr>
          <w:spacing w:val="-5"/>
        </w:rPr>
        <w:t> </w:t>
      </w:r>
      <w:r>
        <w:rPr/>
        <w:t>lessened</w:t>
      </w:r>
      <w:r>
        <w:rPr>
          <w:spacing w:val="-6"/>
        </w:rPr>
        <w:t> </w:t>
      </w:r>
      <w:r>
        <w:rPr>
          <w:spacing w:val="3"/>
        </w:rPr>
        <w:t>over</w:t>
      </w:r>
      <w:r>
        <w:rPr>
          <w:spacing w:val="-1"/>
        </w:rPr>
        <w:t> </w:t>
      </w:r>
      <w:r>
        <w:rPr/>
        <w:t>this</w:t>
      </w:r>
      <w:r>
        <w:rPr>
          <w:spacing w:val="-5"/>
        </w:rPr>
        <w:t> </w:t>
      </w:r>
      <w:r>
        <w:rPr/>
        <w:t>period,</w:t>
      </w:r>
      <w:r>
        <w:rPr>
          <w:spacing w:val="-5"/>
        </w:rPr>
        <w:t> </w:t>
      </w:r>
      <w:r>
        <w:rPr/>
        <w:t>but </w:t>
      </w:r>
      <w:r>
        <w:rPr>
          <w:spacing w:val="2"/>
        </w:rPr>
        <w:t>remained </w:t>
      </w:r>
      <w:r>
        <w:rPr/>
        <w:t>high by historical standards. </w:t>
      </w:r>
      <w:r>
        <w:rPr>
          <w:spacing w:val="2"/>
        </w:rPr>
        <w:t>The stock </w:t>
      </w:r>
      <w:r>
        <w:rPr>
          <w:spacing w:val="3"/>
        </w:rPr>
        <w:t>of </w:t>
      </w:r>
      <w:r>
        <w:rPr/>
        <w:t>unfilled vacancies in job centres had remained high in September. However, the National Press Recruitment Advertising Index had continued its downward</w:t>
      </w:r>
      <w:r>
        <w:rPr>
          <w:spacing w:val="-4"/>
        </w:rPr>
        <w:t> </w:t>
      </w:r>
      <w:r>
        <w:rPr/>
        <w:t>trend.</w:t>
      </w:r>
    </w:p>
    <w:p>
      <w:pPr>
        <w:pStyle w:val="BodyText"/>
        <w:spacing w:before="4"/>
        <w:rPr>
          <w:sz w:val="31"/>
        </w:rPr>
      </w:pPr>
    </w:p>
    <w:p>
      <w:pPr>
        <w:pStyle w:val="BodyText"/>
        <w:spacing w:line="360" w:lineRule="auto" w:before="1"/>
        <w:ind w:left="104" w:right="91"/>
      </w:pPr>
      <w:r>
        <w:rPr/>
        <w:t>A33 Unemployment levels had fallen on both the LFS and claimant count measures. LFS unemployment had fallen by 83,000 to 5.9% in June-August compared with the previous three months. The claimant count had fallen by 5,400 in September, with the rate unchanged at 4.2%, the lowest since the early 1980s. But the participation rate had still not exceeded its peak in the early 1990s.</w:t>
      </w:r>
    </w:p>
    <w:p>
      <w:pPr>
        <w:pStyle w:val="BodyText"/>
        <w:spacing w:before="3"/>
        <w:rPr>
          <w:sz w:val="31"/>
        </w:rPr>
      </w:pPr>
    </w:p>
    <w:p>
      <w:pPr>
        <w:pStyle w:val="BodyText"/>
        <w:spacing w:line="360" w:lineRule="auto"/>
        <w:ind w:left="104" w:right="250"/>
      </w:pPr>
      <w:r>
        <w:rPr/>
        <w:t>A34 Inactivity had risen by 23,000 in June-August compared with the previous three months, with the inactivity rate unchanged at 21.2%. However, it remained about 30,000 below its level at the same time the previous</w:t>
      </w:r>
      <w:r>
        <w:rPr>
          <w:spacing w:val="11"/>
        </w:rPr>
        <w:t> </w:t>
      </w:r>
      <w:r>
        <w:rPr/>
        <w:t>year.</w:t>
      </w:r>
    </w:p>
    <w:p>
      <w:pPr>
        <w:pStyle w:val="BodyText"/>
        <w:spacing w:before="5"/>
        <w:rPr>
          <w:sz w:val="31"/>
        </w:rPr>
      </w:pPr>
    </w:p>
    <w:p>
      <w:pPr>
        <w:pStyle w:val="BodyText"/>
        <w:spacing w:line="360" w:lineRule="auto"/>
        <w:ind w:left="104" w:right="171"/>
      </w:pPr>
      <w:r>
        <w:rPr/>
        <w:t>A35 August’s average earnings data had included returns from a new sample, implementing a recommendation of the Turnbull-King report following the suspension of the index in late 1998. Headline average earnings growth in August had risen by 0.3 percentage points to 4.9%. Stronger growth in private sector earnings had more than offset a fall in public sector earnings growth. Earnings growth had in recent months been affected by changes in the timing of bonus payments, though the latest month’s figure had appeared to be free from such distortions.  The implementation of the National Minimum Wage (NMW) may also have had an impact on recent AEI outturns. The New Earnings Survey had shown that gross weekly pay had grown by 3.6% in the year to April 1999, slightly lower than the AEI over the same period (4.0%).</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before="90"/>
        <w:ind w:left="104"/>
      </w:pPr>
      <w:r>
        <w:rPr/>
        <w:t>A36 Other evidence on earnings growth had been mixed. The Reward Index had risen by</w:t>
      </w:r>
    </w:p>
    <w:p>
      <w:pPr>
        <w:pStyle w:val="BodyText"/>
        <w:spacing w:line="360" w:lineRule="auto" w:before="137"/>
        <w:ind w:left="104" w:right="202"/>
      </w:pPr>
      <w:r>
        <w:rPr/>
        <w:t>0.1 percentage points in September to 3.4%, but it remained well below the AEI. The F</w:t>
      </w:r>
      <w:r>
        <w:rPr>
          <w:sz w:val="20"/>
        </w:rPr>
        <w:t>RES </w:t>
      </w:r>
      <w:r>
        <w:rPr/>
        <w:t>survey in October had shown stronger earnings growth for temporary staff, but little change in salary growth for permanent staff. The Bank’s regional Agents reported that overall pay pressures had remained subdued. There had been little new information on settlements in September, because relatively few settlements were made at this time of year. The Bank’s AEI-weighted twelve-month mean settlement had remained at 3.5% in September. After allowing for inflation, settlements appeared to have stopped growing, but remained at a high level.</w:t>
      </w:r>
    </w:p>
    <w:p>
      <w:pPr>
        <w:pStyle w:val="BodyText"/>
        <w:spacing w:before="5"/>
        <w:rPr>
          <w:sz w:val="31"/>
        </w:rPr>
      </w:pPr>
    </w:p>
    <w:p>
      <w:pPr>
        <w:pStyle w:val="BodyText"/>
        <w:spacing w:line="360" w:lineRule="auto"/>
        <w:ind w:left="104" w:right="287"/>
      </w:pPr>
      <w:r>
        <w:rPr/>
        <w:t>A37 Wage drift, on the basis of these data, had increased in recent months, particularly in the service sector. Service sector wage drift was now around 1 percentage point above its average level since 1994. Drift in the production sector had, however, been more subdued.</w:t>
      </w:r>
    </w:p>
    <w:p>
      <w:pPr>
        <w:pStyle w:val="BodyText"/>
        <w:spacing w:before="4"/>
        <w:rPr>
          <w:sz w:val="31"/>
        </w:rPr>
      </w:pPr>
    </w:p>
    <w:p>
      <w:pPr>
        <w:pStyle w:val="BodyText"/>
        <w:spacing w:line="360" w:lineRule="auto" w:before="1"/>
        <w:ind w:left="104" w:right="258"/>
      </w:pPr>
      <w:r>
        <w:rPr/>
        <w:t>A38 The Bank’s regional Agents had conducted a survey of their contacts to help assess the nature of the skill shortages that firms were facing. A sample of firms thought likely to be experiencing skill shortages had been selected. Of the 123 firms included in the survey, 84% had reported that shortages had worsened since last year, primarily in specialist areas. A similar proportion of firms expected skill shortages to persist both in specialist areas and more generally. Comments had included reference to poor general educational standards, as well as the legacy of the past run-down in vocational training, the erosion of work culture in some areas, and constraints on the mobility of labour.</w:t>
      </w:r>
    </w:p>
    <w:p>
      <w:pPr>
        <w:pStyle w:val="BodyText"/>
        <w:spacing w:before="4"/>
        <w:rPr>
          <w:sz w:val="31"/>
        </w:rPr>
      </w:pPr>
    </w:p>
    <w:p>
      <w:pPr>
        <w:pStyle w:val="BodyText"/>
        <w:spacing w:line="360" w:lineRule="auto" w:before="1"/>
        <w:ind w:left="104" w:right="194"/>
      </w:pPr>
      <w:r>
        <w:rPr/>
        <w:t>A39 Around 80% of firms sampled had expected to have to pay higher wages to obtain the skills they required, including more than two-thirds of the group for whom skills recruitment had become no worse in the past year. More than a quarter had said there would be an increased focus on training by management. Just under 10% had mentioned an impact on output, either via a constraint on output levels, or on the development of their business (both from their own skill shortages and shortages of IT services), or via poorer levels of service to customers. A number had also mentioned increased pressure on existing staff, leading to higher staff turnover.</w:t>
      </w:r>
    </w:p>
    <w:p>
      <w:pPr>
        <w:pStyle w:val="BodyText"/>
        <w:spacing w:before="4"/>
        <w:rPr>
          <w:sz w:val="31"/>
        </w:rPr>
      </w:pPr>
    </w:p>
    <w:p>
      <w:pPr>
        <w:pStyle w:val="Heading1"/>
        <w:numPr>
          <w:ilvl w:val="0"/>
          <w:numId w:val="2"/>
        </w:numPr>
        <w:tabs>
          <w:tab w:pos="465" w:val="left" w:leader="none"/>
        </w:tabs>
        <w:spacing w:line="240" w:lineRule="auto" w:before="1" w:after="0"/>
        <w:ind w:left="464" w:right="0" w:hanging="361"/>
        <w:jc w:val="left"/>
      </w:pPr>
      <w:r>
        <w:rPr/>
        <w:t>Prices</w:t>
      </w:r>
    </w:p>
    <w:p>
      <w:pPr>
        <w:pStyle w:val="BodyText"/>
        <w:rPr>
          <w:b/>
          <w:sz w:val="26"/>
        </w:rPr>
      </w:pPr>
    </w:p>
    <w:p>
      <w:pPr>
        <w:pStyle w:val="BodyText"/>
        <w:spacing w:line="360" w:lineRule="auto" w:before="197"/>
        <w:ind w:left="104" w:right="287"/>
      </w:pPr>
      <w:r>
        <w:rPr/>
        <w:t>A40 The Bank’s oil-inclusive commodity price index had risen by 2.1% in September and by 13.5% on a year earlier, mainly as a result of continued strengthening in crude oil prices. Excluding oil,</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87"/>
      </w:pPr>
      <w:r>
        <w:rPr/>
        <w:t>commodity prices had been flat over the month and had been 3% higher compared with the previous year. The contrast between different types of commodities had continued: metal prices had risen further, whereas domestic food prices had fallen again.</w:t>
      </w:r>
    </w:p>
    <w:p>
      <w:pPr>
        <w:pStyle w:val="BodyText"/>
        <w:spacing w:before="5"/>
        <w:rPr>
          <w:sz w:val="31"/>
        </w:rPr>
      </w:pPr>
    </w:p>
    <w:p>
      <w:pPr>
        <w:pStyle w:val="BodyText"/>
        <w:spacing w:line="360" w:lineRule="auto"/>
        <w:ind w:left="104" w:right="239"/>
      </w:pPr>
      <w:r>
        <w:rPr/>
        <w:t>A41 Seasonally adjusted manufacturing input prices had risen by 0.7% in September to give 5.8% annual inflation. This had largely reflected higher oil prices. The latest C</w:t>
      </w:r>
      <w:r>
        <w:rPr>
          <w:sz w:val="20"/>
        </w:rPr>
        <w:t>IPS </w:t>
      </w:r>
      <w:r>
        <w:rPr/>
        <w:t>survey input price index had risen to 56.2 in September, the highest for four years. The CBI Quarterly Industrial Trends output price expectations balance had strengthened further in Q3. Although cost pressures from materials had been mounting since early this year, output price inflation had remained subdued.</w:t>
      </w:r>
    </w:p>
    <w:p>
      <w:pPr>
        <w:pStyle w:val="BodyText"/>
        <w:spacing w:before="2"/>
        <w:rPr>
          <w:sz w:val="31"/>
        </w:rPr>
      </w:pPr>
    </w:p>
    <w:p>
      <w:pPr>
        <w:pStyle w:val="BodyText"/>
        <w:spacing w:line="360" w:lineRule="auto"/>
        <w:ind w:left="104" w:right="287"/>
      </w:pPr>
      <w:r>
        <w:rPr/>
        <w:t>A42 The latest C</w:t>
      </w:r>
      <w:r>
        <w:rPr>
          <w:sz w:val="20"/>
        </w:rPr>
        <w:t>IPS </w:t>
      </w:r>
      <w:r>
        <w:rPr/>
        <w:t>services survey had shown a sharp rise in input prices in October, with the index rising to 59.2, its highest since May 1997. The survey had also indicated that average prices charged had risen for the first time in four months.</w:t>
      </w:r>
    </w:p>
    <w:p>
      <w:pPr>
        <w:pStyle w:val="BodyText"/>
        <w:spacing w:before="5"/>
        <w:rPr>
          <w:sz w:val="31"/>
        </w:rPr>
      </w:pPr>
    </w:p>
    <w:p>
      <w:pPr>
        <w:pStyle w:val="BodyText"/>
        <w:spacing w:line="360" w:lineRule="auto"/>
        <w:ind w:left="104"/>
      </w:pPr>
      <w:r>
        <w:rPr/>
        <w:t>A43 Export and import prices had risen by 1% and 0.6 % respectively in the three months to August. Stripping out the oil component, export prices had fallen and import prices had remained unchanged.</w:t>
      </w:r>
    </w:p>
    <w:p>
      <w:pPr>
        <w:pStyle w:val="BodyText"/>
        <w:spacing w:before="1"/>
        <w:rPr>
          <w:sz w:val="31"/>
        </w:rPr>
      </w:pPr>
    </w:p>
    <w:p>
      <w:pPr>
        <w:pStyle w:val="BodyText"/>
        <w:spacing w:line="360" w:lineRule="auto"/>
        <w:ind w:left="104" w:right="287"/>
      </w:pPr>
      <w:r>
        <w:rPr/>
        <w:t>A44 Comparing price inflation with weighted costs had suggested that retailers’ and manufacturers’ margins had fallen over the past year. The Euler Trade Indemnity Survey had indicated that competitive pressures had somewhat reduced respondents’ profitability since early 1999.</w:t>
      </w:r>
    </w:p>
    <w:p>
      <w:pPr>
        <w:pStyle w:val="BodyText"/>
        <w:spacing w:before="5"/>
        <w:rPr>
          <w:sz w:val="31"/>
        </w:rPr>
      </w:pPr>
    </w:p>
    <w:p>
      <w:pPr>
        <w:pStyle w:val="BodyText"/>
        <w:spacing w:line="360" w:lineRule="auto"/>
        <w:ind w:left="104" w:right="414"/>
      </w:pPr>
      <w:r>
        <w:rPr/>
        <w:t>A45 RPIX inflation had remained at 2.1% in September. Whereas harvest-related seasonal food prices had risen on the month, non-seasonal food prices had fallen </w:t>
      </w:r>
      <w:r>
        <w:rPr>
          <w:sz w:val="20"/>
        </w:rPr>
        <w:t>. </w:t>
      </w:r>
      <w:r>
        <w:rPr/>
        <w:t>The annual rate of change of the retail sales deflator had remained at -0.5% in September. This had mainly reflected falls in food and non-food store prices earlier in the year.</w:t>
      </w:r>
    </w:p>
    <w:p>
      <w:pPr>
        <w:pStyle w:val="BodyText"/>
        <w:spacing w:before="8"/>
        <w:rPr>
          <w:sz w:val="31"/>
        </w:rPr>
      </w:pPr>
    </w:p>
    <w:p>
      <w:pPr>
        <w:pStyle w:val="Heading1"/>
        <w:numPr>
          <w:ilvl w:val="0"/>
          <w:numId w:val="2"/>
        </w:numPr>
        <w:tabs>
          <w:tab w:pos="556" w:val="left" w:leader="none"/>
        </w:tabs>
        <w:spacing w:line="240" w:lineRule="auto" w:before="1" w:after="0"/>
        <w:ind w:left="555" w:right="0" w:hanging="452"/>
        <w:jc w:val="left"/>
      </w:pPr>
      <w:r>
        <w:rPr/>
        <w:t>Reports by the </w:t>
      </w:r>
      <w:r>
        <w:rPr>
          <w:spacing w:val="-4"/>
        </w:rPr>
        <w:t>Bank’s</w:t>
      </w:r>
      <w:r>
        <w:rPr>
          <w:spacing w:val="9"/>
        </w:rPr>
        <w:t> </w:t>
      </w:r>
      <w:r>
        <w:rPr/>
        <w:t>Agents</w:t>
      </w:r>
    </w:p>
    <w:p>
      <w:pPr>
        <w:pStyle w:val="BodyText"/>
        <w:rPr>
          <w:b/>
          <w:sz w:val="26"/>
        </w:rPr>
      </w:pPr>
    </w:p>
    <w:p>
      <w:pPr>
        <w:pStyle w:val="BodyText"/>
        <w:spacing w:line="360" w:lineRule="auto" w:before="193"/>
        <w:ind w:left="104" w:right="130"/>
      </w:pPr>
      <w:r>
        <w:rPr/>
        <w:t>A46 The Bank’s regional Agents had reported a continued recovery in economic activity. Growth had continued to be driven mainly by domestic demand, although many firms had also reported a pick-up in export orders. However, although manufacturing output continued to rise, the recovery had been far from universal. Construction activity had remained strong. The service sector continued to record strong growth, although it had not increased further. IT activity had remained strong, as Y2K work had</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pPr>
      <w:r>
        <w:rPr/>
        <w:t>been replaced by firms investing in more developmental projects, such as Internet sites. Agricultural production had remained weak in all regions.</w:t>
      </w:r>
    </w:p>
    <w:p>
      <w:pPr>
        <w:pStyle w:val="BodyText"/>
        <w:spacing w:before="6"/>
        <w:rPr>
          <w:sz w:val="31"/>
        </w:rPr>
      </w:pPr>
    </w:p>
    <w:p>
      <w:pPr>
        <w:pStyle w:val="BodyText"/>
        <w:spacing w:line="360" w:lineRule="auto"/>
        <w:ind w:left="104" w:right="202"/>
      </w:pPr>
      <w:r>
        <w:rPr/>
        <w:t>A47 Retail spending had improved further, although growth had been moderate. The pattern </w:t>
      </w:r>
      <w:r>
        <w:rPr>
          <w:sz w:val="22"/>
        </w:rPr>
        <w:t>of </w:t>
      </w:r>
      <w:r>
        <w:rPr/>
        <w:t>consumer spending had remained similar to previous months, with department store sales weaker than in discount and out-of-town stores.</w:t>
      </w:r>
    </w:p>
    <w:p>
      <w:pPr>
        <w:pStyle w:val="BodyText"/>
        <w:rPr>
          <w:sz w:val="31"/>
        </w:rPr>
      </w:pPr>
    </w:p>
    <w:p>
      <w:pPr>
        <w:pStyle w:val="BodyText"/>
        <w:spacing w:line="362" w:lineRule="auto"/>
        <w:ind w:left="104"/>
      </w:pPr>
      <w:r>
        <w:rPr/>
        <w:t>A48 There had been evidence of further tightening in the labour market. Most regions had reported increased skill shortages, with particular concern reported in the south and south-east of England.</w:t>
      </w:r>
    </w:p>
    <w:p>
      <w:pPr>
        <w:pStyle w:val="BodyText"/>
        <w:spacing w:line="360" w:lineRule="auto"/>
        <w:ind w:left="104"/>
      </w:pPr>
      <w:r>
        <w:rPr/>
        <w:t>Many contacts had noted that unskilled labour had also become more difficult to recruit, especially for retail positions. Pay pressures had remained subdued, with most settlements lower than a year ago.</w:t>
      </w:r>
    </w:p>
    <w:p>
      <w:pPr>
        <w:pStyle w:val="BodyText"/>
        <w:spacing w:line="362" w:lineRule="auto"/>
        <w:ind w:left="104"/>
      </w:pPr>
      <w:r>
        <w:rPr/>
        <w:t>However, pressures had appeared slightly stronger than in previous months, especially in southern regions.</w:t>
      </w:r>
    </w:p>
    <w:p>
      <w:pPr>
        <w:pStyle w:val="BodyText"/>
        <w:spacing w:before="6"/>
        <w:rPr>
          <w:sz w:val="30"/>
        </w:rPr>
      </w:pPr>
    </w:p>
    <w:p>
      <w:pPr>
        <w:pStyle w:val="BodyText"/>
        <w:spacing w:line="360" w:lineRule="auto" w:before="1"/>
        <w:ind w:left="104" w:right="135"/>
      </w:pPr>
      <w:r>
        <w:rPr/>
        <w:t>A49 Input prices had picked up further, particularly for </w:t>
      </w:r>
      <w:r>
        <w:rPr>
          <w:spacing w:val="4"/>
        </w:rPr>
        <w:t>oil-related </w:t>
      </w:r>
      <w:r>
        <w:rPr/>
        <w:t>products and some metals, although </w:t>
      </w:r>
      <w:r>
        <w:rPr>
          <w:spacing w:val="5"/>
        </w:rPr>
        <w:t>overall </w:t>
      </w:r>
      <w:r>
        <w:rPr/>
        <w:t>prices </w:t>
      </w:r>
      <w:r>
        <w:rPr>
          <w:spacing w:val="2"/>
        </w:rPr>
        <w:t>remained </w:t>
      </w:r>
      <w:r>
        <w:rPr/>
        <w:t>broadly flat. Many manufacturers had continued </w:t>
      </w:r>
      <w:r>
        <w:rPr>
          <w:spacing w:val="3"/>
        </w:rPr>
        <w:t>to </w:t>
      </w:r>
      <w:r>
        <w:rPr/>
        <w:t>find it difficult </w:t>
      </w:r>
      <w:r>
        <w:rPr>
          <w:spacing w:val="3"/>
        </w:rPr>
        <w:t>to </w:t>
      </w:r>
      <w:r>
        <w:rPr/>
        <w:t>raise prices, and </w:t>
      </w:r>
      <w:r>
        <w:rPr>
          <w:spacing w:val="2"/>
        </w:rPr>
        <w:t>retail </w:t>
      </w:r>
      <w:r>
        <w:rPr/>
        <w:t>prices </w:t>
      </w:r>
      <w:r>
        <w:rPr>
          <w:spacing w:val="2"/>
        </w:rPr>
        <w:t>remained </w:t>
      </w:r>
      <w:r>
        <w:rPr/>
        <w:t>flat </w:t>
      </w:r>
      <w:r>
        <w:rPr>
          <w:spacing w:val="3"/>
        </w:rPr>
        <w:t>or </w:t>
      </w:r>
      <w:r>
        <w:rPr/>
        <w:t>falling. Furthermore, a number </w:t>
      </w:r>
      <w:r>
        <w:rPr>
          <w:spacing w:val="3"/>
        </w:rPr>
        <w:t>of </w:t>
      </w:r>
      <w:r>
        <w:rPr/>
        <w:t>firms thought that consumers</w:t>
      </w:r>
      <w:r>
        <w:rPr>
          <w:spacing w:val="-6"/>
        </w:rPr>
        <w:t> </w:t>
      </w:r>
      <w:r>
        <w:rPr/>
        <w:t>had</w:t>
      </w:r>
      <w:r>
        <w:rPr>
          <w:spacing w:val="-5"/>
        </w:rPr>
        <w:t> </w:t>
      </w:r>
      <w:r>
        <w:rPr/>
        <w:t>become</w:t>
      </w:r>
      <w:r>
        <w:rPr>
          <w:spacing w:val="-5"/>
        </w:rPr>
        <w:t> </w:t>
      </w:r>
      <w:r>
        <w:rPr/>
        <w:t>more</w:t>
      </w:r>
      <w:r>
        <w:rPr>
          <w:spacing w:val="-6"/>
        </w:rPr>
        <w:t> </w:t>
      </w:r>
      <w:r>
        <w:rPr/>
        <w:t>sensitive</w:t>
      </w:r>
      <w:r>
        <w:rPr>
          <w:spacing w:val="-5"/>
        </w:rPr>
        <w:t> </w:t>
      </w:r>
      <w:r>
        <w:rPr>
          <w:spacing w:val="3"/>
        </w:rPr>
        <w:t>to</w:t>
      </w:r>
      <w:r>
        <w:rPr>
          <w:spacing w:val="-1"/>
        </w:rPr>
        <w:t> </w:t>
      </w:r>
      <w:r>
        <w:rPr/>
        <w:t>price</w:t>
      </w:r>
      <w:r>
        <w:rPr>
          <w:spacing w:val="-5"/>
        </w:rPr>
        <w:t> </w:t>
      </w:r>
      <w:r>
        <w:rPr/>
        <w:t>differences</w:t>
      </w:r>
      <w:r>
        <w:rPr>
          <w:spacing w:val="-6"/>
        </w:rPr>
        <w:t> </w:t>
      </w:r>
      <w:r>
        <w:rPr/>
        <w:t>within</w:t>
      </w:r>
      <w:r>
        <w:rPr>
          <w:spacing w:val="-5"/>
        </w:rPr>
        <w:t> </w:t>
      </w:r>
      <w:r>
        <w:rPr/>
        <w:t>each</w:t>
      </w:r>
      <w:r>
        <w:rPr>
          <w:spacing w:val="-5"/>
        </w:rPr>
        <w:t> </w:t>
      </w:r>
      <w:r>
        <w:rPr>
          <w:spacing w:val="3"/>
        </w:rPr>
        <w:t>sector,</w:t>
      </w:r>
      <w:r>
        <w:rPr>
          <w:spacing w:val="-1"/>
        </w:rPr>
        <w:t> </w:t>
      </w:r>
      <w:r>
        <w:rPr/>
        <w:t>and</w:t>
      </w:r>
      <w:r>
        <w:rPr>
          <w:spacing w:val="-6"/>
        </w:rPr>
        <w:t> </w:t>
      </w:r>
      <w:r>
        <w:rPr/>
        <w:t>had</w:t>
      </w:r>
      <w:r>
        <w:rPr>
          <w:spacing w:val="-5"/>
        </w:rPr>
        <w:t> </w:t>
      </w:r>
      <w:r>
        <w:rPr/>
        <w:t>begun</w:t>
      </w:r>
      <w:r>
        <w:rPr>
          <w:spacing w:val="-5"/>
        </w:rPr>
        <w:t> </w:t>
      </w:r>
      <w:r>
        <w:rPr>
          <w:spacing w:val="3"/>
        </w:rPr>
        <w:t>to</w:t>
      </w:r>
      <w:r>
        <w:rPr>
          <w:spacing w:val="-1"/>
        </w:rPr>
        <w:t> </w:t>
      </w:r>
      <w:r>
        <w:rPr/>
        <w:t>bargain </w:t>
      </w:r>
      <w:r>
        <w:rPr>
          <w:spacing w:val="3"/>
        </w:rPr>
        <w:t>over </w:t>
      </w:r>
      <w:r>
        <w:rPr/>
        <w:t>price </w:t>
      </w:r>
      <w:r>
        <w:rPr>
          <w:spacing w:val="2"/>
        </w:rPr>
        <w:t>to </w:t>
      </w:r>
      <w:r>
        <w:rPr/>
        <w:t>an increasing</w:t>
      </w:r>
      <w:r>
        <w:rPr>
          <w:spacing w:val="21"/>
        </w:rPr>
        <w:t> </w:t>
      </w:r>
      <w:r>
        <w:rPr/>
        <w:t>extent.</w:t>
      </w:r>
    </w:p>
    <w:p>
      <w:pPr>
        <w:pStyle w:val="BodyText"/>
        <w:spacing w:before="2"/>
        <w:rPr>
          <w:sz w:val="31"/>
        </w:rPr>
      </w:pPr>
    </w:p>
    <w:p>
      <w:pPr>
        <w:pStyle w:val="BodyText"/>
        <w:spacing w:line="360" w:lineRule="auto"/>
        <w:ind w:left="104" w:right="287"/>
      </w:pPr>
      <w:r>
        <w:rPr/>
        <w:t>A50 Growth in house prices had remained more pronounced in the southern regions, although there had been evidence that growth here had peaked. The buy-to-let market had slowed. In the northern regions of the United Kingdom, growth in housing activity had continued to increase steadily.</w:t>
      </w:r>
    </w:p>
    <w:p>
      <w:pPr>
        <w:pStyle w:val="BodyText"/>
        <w:spacing w:before="10"/>
        <w:rPr>
          <w:sz w:val="31"/>
        </w:rPr>
      </w:pPr>
    </w:p>
    <w:p>
      <w:pPr>
        <w:pStyle w:val="Heading1"/>
        <w:numPr>
          <w:ilvl w:val="0"/>
          <w:numId w:val="2"/>
        </w:numPr>
        <w:tabs>
          <w:tab w:pos="648" w:val="left" w:leader="none"/>
        </w:tabs>
        <w:spacing w:line="240" w:lineRule="auto" w:before="0" w:after="0"/>
        <w:ind w:left="647" w:right="0" w:hanging="544"/>
        <w:jc w:val="left"/>
      </w:pPr>
      <w:r>
        <w:rPr>
          <w:spacing w:val="3"/>
        </w:rPr>
        <w:t>Market</w:t>
      </w:r>
      <w:r>
        <w:rPr>
          <w:spacing w:val="5"/>
        </w:rPr>
        <w:t> </w:t>
      </w:r>
      <w:r>
        <w:rPr/>
        <w:t>intelligence</w:t>
      </w:r>
    </w:p>
    <w:p>
      <w:pPr>
        <w:pStyle w:val="BodyText"/>
        <w:rPr>
          <w:b/>
          <w:sz w:val="26"/>
        </w:rPr>
      </w:pPr>
    </w:p>
    <w:p>
      <w:pPr>
        <w:pStyle w:val="BodyText"/>
        <w:spacing w:line="360" w:lineRule="auto" w:before="193"/>
        <w:ind w:left="104" w:right="219"/>
      </w:pPr>
      <w:r>
        <w:rPr/>
        <w:t>A51 The effective exchange rate index for sterling had been little changed since the October MPC meeting, but sterling had appreciated against the euro from the middle of the month. This strengthening had coincided with the announcement of merger and acquisition activity. It was possible that anticipation of potential sterling purchases had encouraged others to bring forward their purchases of sterling. Such influences on sterling’s exchange rate were expected to be temporary.</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171"/>
      </w:pPr>
      <w:r>
        <w:rPr/>
        <w:t>A52 Market participants had continued to comment that movements in US equities were an influence on the dollar’s exchange rate against sterling and other currencies. There had been some evidence of a greater correlation between the Dow Jones Industrial Average and dollar exchange rates, including that between the dollar and sterling. However, the wider implications for sterling’s effective exchange rate had been less clear.</w:t>
      </w:r>
    </w:p>
    <w:p>
      <w:pPr>
        <w:pStyle w:val="BodyText"/>
        <w:spacing w:before="2"/>
        <w:rPr>
          <w:sz w:val="31"/>
        </w:rPr>
      </w:pPr>
    </w:p>
    <w:p>
      <w:pPr>
        <w:pStyle w:val="BodyText"/>
        <w:spacing w:line="360" w:lineRule="auto"/>
        <w:ind w:left="104" w:right="231"/>
      </w:pPr>
      <w:r>
        <w:rPr/>
        <w:t>A53 The difference between interest rates implied by futures and economists’ interest rate forecasts had widened over the three months to October. This was more likely to be related to increased risk- aversion, the unwinding of long-standing trading positions and mortgage-related swap market activity, rather than a genuine difference of view between traders and economists. In terms of the immediate rate decision, market commentators on balance attached a high probability to a 25 basis point increase in the Bank’s repo rate but did not expect changes in rates in December or January.</w:t>
      </w:r>
    </w:p>
    <w:sectPr>
      <w:pgSz w:w="11900" w:h="16840"/>
      <w:pgMar w:header="1228" w:footer="0" w:top="1600" w:bottom="28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1.960022pt;margin-top:60.386642pt;width:18pt;height:15.3pt;mso-position-horizontal-relative:page;mso-position-vertical-relative:page;z-index:-2520750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960022pt;margin-top:60.386642pt;width:18pt;height:15.3pt;mso-position-horizontal-relative:page;mso-position-vertical-relative:page;z-index:-2520739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383" w:hanging="279"/>
        <w:jc w:val="left"/>
      </w:pPr>
      <w:rPr>
        <w:rFonts w:hint="default" w:ascii="Times New Roman" w:hAnsi="Times New Roman" w:eastAsia="Times New Roman" w:cs="Times New Roman"/>
        <w:b/>
        <w:bCs/>
        <w:w w:val="97"/>
        <w:sz w:val="24"/>
        <w:szCs w:val="24"/>
      </w:rPr>
    </w:lvl>
    <w:lvl w:ilvl="1">
      <w:start w:val="0"/>
      <w:numFmt w:val="bullet"/>
      <w:lvlText w:val="•"/>
      <w:lvlJc w:val="left"/>
      <w:pPr>
        <w:ind w:left="1362" w:hanging="279"/>
      </w:pPr>
      <w:rPr>
        <w:rFonts w:hint="default"/>
      </w:rPr>
    </w:lvl>
    <w:lvl w:ilvl="2">
      <w:start w:val="0"/>
      <w:numFmt w:val="bullet"/>
      <w:lvlText w:val="•"/>
      <w:lvlJc w:val="left"/>
      <w:pPr>
        <w:ind w:left="2344" w:hanging="279"/>
      </w:pPr>
      <w:rPr>
        <w:rFonts w:hint="default"/>
      </w:rPr>
    </w:lvl>
    <w:lvl w:ilvl="3">
      <w:start w:val="0"/>
      <w:numFmt w:val="bullet"/>
      <w:lvlText w:val="•"/>
      <w:lvlJc w:val="left"/>
      <w:pPr>
        <w:ind w:left="3326" w:hanging="279"/>
      </w:pPr>
      <w:rPr>
        <w:rFonts w:hint="default"/>
      </w:rPr>
    </w:lvl>
    <w:lvl w:ilvl="4">
      <w:start w:val="0"/>
      <w:numFmt w:val="bullet"/>
      <w:lvlText w:val="•"/>
      <w:lvlJc w:val="left"/>
      <w:pPr>
        <w:ind w:left="4308" w:hanging="279"/>
      </w:pPr>
      <w:rPr>
        <w:rFonts w:hint="default"/>
      </w:rPr>
    </w:lvl>
    <w:lvl w:ilvl="5">
      <w:start w:val="0"/>
      <w:numFmt w:val="bullet"/>
      <w:lvlText w:val="•"/>
      <w:lvlJc w:val="left"/>
      <w:pPr>
        <w:ind w:left="5290" w:hanging="279"/>
      </w:pPr>
      <w:rPr>
        <w:rFonts w:hint="default"/>
      </w:rPr>
    </w:lvl>
    <w:lvl w:ilvl="6">
      <w:start w:val="0"/>
      <w:numFmt w:val="bullet"/>
      <w:lvlText w:val="•"/>
      <w:lvlJc w:val="left"/>
      <w:pPr>
        <w:ind w:left="6272" w:hanging="279"/>
      </w:pPr>
      <w:rPr>
        <w:rFonts w:hint="default"/>
      </w:rPr>
    </w:lvl>
    <w:lvl w:ilvl="7">
      <w:start w:val="0"/>
      <w:numFmt w:val="bullet"/>
      <w:lvlText w:val="•"/>
      <w:lvlJc w:val="left"/>
      <w:pPr>
        <w:ind w:left="7254" w:hanging="279"/>
      </w:pPr>
      <w:rPr>
        <w:rFonts w:hint="default"/>
      </w:rPr>
    </w:lvl>
    <w:lvl w:ilvl="8">
      <w:start w:val="0"/>
      <w:numFmt w:val="bullet"/>
      <w:lvlText w:val="•"/>
      <w:lvlJc w:val="left"/>
      <w:pPr>
        <w:ind w:left="8236" w:hanging="279"/>
      </w:pPr>
      <w:rPr>
        <w:rFonts w:hint="default"/>
      </w:rPr>
    </w:lvl>
  </w:abstractNum>
  <w:abstractNum w:abstractNumId="0">
    <w:multiLevelType w:val="hybridMultilevel"/>
    <w:lvl w:ilvl="0">
      <w:start w:val="1"/>
      <w:numFmt w:val="decimal"/>
      <w:lvlText w:val="%1"/>
      <w:lvlJc w:val="left"/>
      <w:pPr>
        <w:ind w:left="104" w:hanging="307"/>
        <w:jc w:val="left"/>
      </w:pPr>
      <w:rPr>
        <w:rFonts w:hint="default" w:ascii="Times New Roman" w:hAnsi="Times New Roman" w:eastAsia="Times New Roman" w:cs="Times New Roman"/>
        <w:spacing w:val="-33"/>
        <w:w w:val="90"/>
        <w:sz w:val="24"/>
        <w:szCs w:val="24"/>
      </w:rPr>
    </w:lvl>
    <w:lvl w:ilvl="1">
      <w:start w:val="0"/>
      <w:numFmt w:val="bullet"/>
      <w:lvlText w:val="•"/>
      <w:lvlJc w:val="left"/>
      <w:pPr>
        <w:ind w:left="1110" w:hanging="307"/>
      </w:pPr>
      <w:rPr>
        <w:rFonts w:hint="default"/>
      </w:rPr>
    </w:lvl>
    <w:lvl w:ilvl="2">
      <w:start w:val="0"/>
      <w:numFmt w:val="bullet"/>
      <w:lvlText w:val="•"/>
      <w:lvlJc w:val="left"/>
      <w:pPr>
        <w:ind w:left="2120" w:hanging="307"/>
      </w:pPr>
      <w:rPr>
        <w:rFonts w:hint="default"/>
      </w:rPr>
    </w:lvl>
    <w:lvl w:ilvl="3">
      <w:start w:val="0"/>
      <w:numFmt w:val="bullet"/>
      <w:lvlText w:val="•"/>
      <w:lvlJc w:val="left"/>
      <w:pPr>
        <w:ind w:left="3130" w:hanging="307"/>
      </w:pPr>
      <w:rPr>
        <w:rFonts w:hint="default"/>
      </w:rPr>
    </w:lvl>
    <w:lvl w:ilvl="4">
      <w:start w:val="0"/>
      <w:numFmt w:val="bullet"/>
      <w:lvlText w:val="•"/>
      <w:lvlJc w:val="left"/>
      <w:pPr>
        <w:ind w:left="4140" w:hanging="307"/>
      </w:pPr>
      <w:rPr>
        <w:rFonts w:hint="default"/>
      </w:rPr>
    </w:lvl>
    <w:lvl w:ilvl="5">
      <w:start w:val="0"/>
      <w:numFmt w:val="bullet"/>
      <w:lvlText w:val="•"/>
      <w:lvlJc w:val="left"/>
      <w:pPr>
        <w:ind w:left="5150" w:hanging="307"/>
      </w:pPr>
      <w:rPr>
        <w:rFonts w:hint="default"/>
      </w:rPr>
    </w:lvl>
    <w:lvl w:ilvl="6">
      <w:start w:val="0"/>
      <w:numFmt w:val="bullet"/>
      <w:lvlText w:val="•"/>
      <w:lvlJc w:val="left"/>
      <w:pPr>
        <w:ind w:left="6160" w:hanging="307"/>
      </w:pPr>
      <w:rPr>
        <w:rFonts w:hint="default"/>
      </w:rPr>
    </w:lvl>
    <w:lvl w:ilvl="7">
      <w:start w:val="0"/>
      <w:numFmt w:val="bullet"/>
      <w:lvlText w:val="•"/>
      <w:lvlJc w:val="left"/>
      <w:pPr>
        <w:ind w:left="7170" w:hanging="307"/>
      </w:pPr>
      <w:rPr>
        <w:rFonts w:hint="default"/>
      </w:rPr>
    </w:lvl>
    <w:lvl w:ilvl="8">
      <w:start w:val="0"/>
      <w:numFmt w:val="bullet"/>
      <w:lvlText w:val="•"/>
      <w:lvlJc w:val="left"/>
      <w:pPr>
        <w:ind w:left="8180" w:hanging="30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final.PDF</dc:title>
  <dcterms:created xsi:type="dcterms:W3CDTF">2020-06-02T20:43:57Z</dcterms:created>
  <dcterms:modified xsi:type="dcterms:W3CDTF">2020-06-02T20:43:57Z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1999-11-16T00:00:00Z</vt:filetime>
  </property>
  <property fmtid="{D5CDD505-2E9C-101B-9397-08002B2CF9AE}" pid="3" name="LastSaved">
    <vt:filetime>2020-06-02T00:00:00Z</vt:filetime>
  </property>
</Properties>
</file>