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67" w:right="0" w:firstLine="0"/>
        <w:jc w:val="left"/>
        <w:rPr>
          <w:rFonts w:ascii="Palatino Linotype"/>
          <w:sz w:val="36"/>
        </w:rPr>
      </w:pPr>
      <w:r>
        <w:rPr>
          <w:rFonts w:ascii="Palatino Linotype"/>
          <w:sz w:val="36"/>
        </w:rPr>
        <w:t>Publication date: 15 April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859" w:right="1921"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3042" w:right="3078" w:firstLine="0"/>
        <w:jc w:val="center"/>
        <w:rPr>
          <w:rFonts w:ascii="Palatino Linotype"/>
          <w:b/>
          <w:sz w:val="48"/>
        </w:rPr>
      </w:pPr>
      <w:r>
        <w:rPr>
          <w:rFonts w:ascii="Palatino Linotype"/>
          <w:b/>
          <w:sz w:val="48"/>
        </w:rPr>
        <w:t>4 and 5 March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65" w:right="1561" w:firstLine="4"/>
        <w:jc w:val="left"/>
        <w:rPr>
          <w:rFonts w:ascii="Palatino Linotype"/>
          <w:sz w:val="26"/>
        </w:rPr>
      </w:pPr>
      <w:r>
        <w:rPr>
          <w:rFonts w:ascii="Palatino Linotype"/>
          <w:sz w:val="26"/>
        </w:rPr>
        <w:t>These are the minutes of the Monetary Policy Committee meeting held on 4 and 5 March 1998.</w:t>
      </w:r>
    </w:p>
    <w:p>
      <w:pPr>
        <w:spacing w:line="348" w:lineRule="exact" w:before="0"/>
        <w:ind w:left="166"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67" w:right="0" w:firstLine="2"/>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47" w:lineRule="auto" w:before="0"/>
        <w:ind w:left="166" w:right="0" w:hanging="1"/>
        <w:jc w:val="left"/>
        <w:rPr>
          <w:rFonts w:ascii="Palatino Linotype"/>
          <w:sz w:val="26"/>
        </w:rPr>
      </w:pPr>
      <w:r>
        <w:rPr>
          <w:rFonts w:ascii="Palatino Linotype"/>
          <w:sz w:val="26"/>
        </w:rPr>
        <w:t>Accordingly, the minutes of the Committee meeting held on 8 and 9 April will be published on 13 May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00" w:right="780"/>
        </w:sectPr>
      </w:pPr>
    </w:p>
    <w:p>
      <w:pPr>
        <w:pStyle w:val="BodyText"/>
        <w:spacing w:before="1"/>
        <w:rPr>
          <w:rFonts w:ascii="Palatino Linotype"/>
          <w:sz w:val="14"/>
        </w:rPr>
      </w:pPr>
    </w:p>
    <w:p>
      <w:pPr>
        <w:pStyle w:val="Heading1"/>
        <w:spacing w:before="90"/>
      </w:pPr>
      <w:r>
        <w:rPr/>
        <w:t>MINUTES OF THE MONETARY POLICY COMMITTEE MEETING ON 4-5 MARCH 1998</w:t>
      </w:r>
    </w:p>
    <w:p>
      <w:pPr>
        <w:pStyle w:val="BodyText"/>
        <w:spacing w:before="4"/>
        <w:rPr>
          <w:b/>
          <w:sz w:val="37"/>
        </w:rPr>
      </w:pPr>
    </w:p>
    <w:p>
      <w:pPr>
        <w:pStyle w:val="ListParagraph"/>
        <w:numPr>
          <w:ilvl w:val="0"/>
          <w:numId w:val="1"/>
        </w:numPr>
        <w:tabs>
          <w:tab w:pos="505" w:val="left" w:leader="none"/>
          <w:tab w:pos="506" w:val="left" w:leader="none"/>
        </w:tabs>
        <w:spacing w:line="372" w:lineRule="auto" w:before="0" w:after="0"/>
        <w:ind w:left="107" w:right="199" w:firstLine="0"/>
        <w:jc w:val="left"/>
        <w:rPr>
          <w:sz w:val="24"/>
        </w:rPr>
      </w:pPr>
      <w:r>
        <w:rPr>
          <w:sz w:val="24"/>
        </w:rPr>
        <w:t>The Committee discussed the implications of the slowdown in broad monetary growth; puzzles regarding domestic demand, net trade and output; fiscal developments; the tightness of the </w:t>
      </w:r>
      <w:r>
        <w:rPr>
          <w:spacing w:val="-2"/>
          <w:sz w:val="24"/>
        </w:rPr>
        <w:t>labour </w:t>
      </w:r>
      <w:r>
        <w:rPr>
          <w:sz w:val="24"/>
        </w:rPr>
        <w:t>market; recent international developments; and indicators of cost pressures, before turning to what general considerations should bear on the preferred path of interest rates to achieve the inflation target. The</w:t>
      </w:r>
      <w:r>
        <w:rPr>
          <w:spacing w:val="-10"/>
          <w:sz w:val="24"/>
        </w:rPr>
        <w:t> </w:t>
      </w:r>
      <w:r>
        <w:rPr>
          <w:sz w:val="24"/>
        </w:rPr>
        <w:t>Committee</w:t>
      </w:r>
      <w:r>
        <w:rPr>
          <w:spacing w:val="-10"/>
          <w:sz w:val="24"/>
        </w:rPr>
        <w:t> </w:t>
      </w:r>
      <w:r>
        <w:rPr>
          <w:sz w:val="24"/>
        </w:rPr>
        <w:t>were</w:t>
      </w:r>
      <w:r>
        <w:rPr>
          <w:spacing w:val="-9"/>
          <w:sz w:val="24"/>
        </w:rPr>
        <w:t> </w:t>
      </w:r>
      <w:r>
        <w:rPr>
          <w:sz w:val="24"/>
        </w:rPr>
        <w:t>also</w:t>
      </w:r>
      <w:r>
        <w:rPr>
          <w:spacing w:val="-10"/>
          <w:sz w:val="24"/>
        </w:rPr>
        <w:t> </w:t>
      </w:r>
      <w:r>
        <w:rPr>
          <w:sz w:val="24"/>
        </w:rPr>
        <w:t>given</w:t>
      </w:r>
      <w:r>
        <w:rPr>
          <w:spacing w:val="-9"/>
          <w:sz w:val="24"/>
        </w:rPr>
        <w:t> </w:t>
      </w:r>
      <w:r>
        <w:rPr>
          <w:sz w:val="24"/>
        </w:rPr>
        <w:t>a</w:t>
      </w:r>
      <w:r>
        <w:rPr>
          <w:spacing w:val="-10"/>
          <w:sz w:val="24"/>
        </w:rPr>
        <w:t> </w:t>
      </w:r>
      <w:r>
        <w:rPr>
          <w:sz w:val="24"/>
        </w:rPr>
        <w:t>short</w:t>
      </w:r>
      <w:r>
        <w:rPr>
          <w:spacing w:val="-10"/>
          <w:sz w:val="24"/>
        </w:rPr>
        <w:t> </w:t>
      </w:r>
      <w:r>
        <w:rPr>
          <w:sz w:val="24"/>
        </w:rPr>
        <w:t>briefing</w:t>
      </w:r>
      <w:r>
        <w:rPr>
          <w:spacing w:val="-9"/>
          <w:sz w:val="24"/>
        </w:rPr>
        <w:t> </w:t>
      </w:r>
      <w:r>
        <w:rPr>
          <w:sz w:val="24"/>
        </w:rPr>
        <w:t>by</w:t>
      </w:r>
      <w:r>
        <w:rPr>
          <w:spacing w:val="-10"/>
          <w:sz w:val="24"/>
        </w:rPr>
        <w:t> </w:t>
      </w:r>
      <w:r>
        <w:rPr>
          <w:sz w:val="24"/>
        </w:rPr>
        <w:t>the</w:t>
      </w:r>
      <w:r>
        <w:rPr>
          <w:spacing w:val="-9"/>
          <w:sz w:val="24"/>
        </w:rPr>
        <w:t> </w:t>
      </w:r>
      <w:r>
        <w:rPr>
          <w:sz w:val="24"/>
        </w:rPr>
        <w:t>Treasury</w:t>
      </w:r>
      <w:r>
        <w:rPr>
          <w:spacing w:val="-10"/>
          <w:sz w:val="24"/>
        </w:rPr>
        <w:t> </w:t>
      </w:r>
      <w:r>
        <w:rPr>
          <w:sz w:val="24"/>
        </w:rPr>
        <w:t>representative</w:t>
      </w:r>
      <w:r>
        <w:rPr>
          <w:spacing w:val="-10"/>
          <w:sz w:val="24"/>
        </w:rPr>
        <w:t> </w:t>
      </w:r>
      <w:r>
        <w:rPr>
          <w:sz w:val="24"/>
        </w:rPr>
        <w:t>outside</w:t>
      </w:r>
      <w:r>
        <w:rPr>
          <w:spacing w:val="-9"/>
          <w:sz w:val="24"/>
        </w:rPr>
        <w:t> </w:t>
      </w:r>
      <w:r>
        <w:rPr>
          <w:sz w:val="24"/>
        </w:rPr>
        <w:t>its</w:t>
      </w:r>
      <w:r>
        <w:rPr>
          <w:spacing w:val="-10"/>
          <w:sz w:val="24"/>
        </w:rPr>
        <w:t> </w:t>
      </w:r>
      <w:r>
        <w:rPr>
          <w:sz w:val="24"/>
        </w:rPr>
        <w:t>formal</w:t>
      </w:r>
      <w:r>
        <w:rPr>
          <w:spacing w:val="-9"/>
          <w:sz w:val="24"/>
        </w:rPr>
        <w:t> </w:t>
      </w:r>
      <w:r>
        <w:rPr>
          <w:sz w:val="24"/>
        </w:rPr>
        <w:t>meeting on the provisional net fiscal effect of the</w:t>
      </w:r>
      <w:r>
        <w:rPr>
          <w:spacing w:val="-6"/>
          <w:sz w:val="24"/>
        </w:rPr>
        <w:t> </w:t>
      </w:r>
      <w:r>
        <w:rPr>
          <w:sz w:val="24"/>
        </w:rPr>
        <w:t>Budget.</w:t>
      </w:r>
    </w:p>
    <w:p>
      <w:pPr>
        <w:pStyle w:val="BodyText"/>
        <w:spacing w:before="3"/>
        <w:rPr>
          <w:sz w:val="37"/>
        </w:rPr>
      </w:pPr>
    </w:p>
    <w:p>
      <w:pPr>
        <w:pStyle w:val="Heading1"/>
      </w:pPr>
      <w:r>
        <w:rPr/>
        <w:t>Monetary and financial developments</w:t>
      </w:r>
    </w:p>
    <w:p>
      <w:pPr>
        <w:pStyle w:val="BodyText"/>
        <w:rPr>
          <w:b/>
          <w:sz w:val="26"/>
        </w:rPr>
      </w:pPr>
    </w:p>
    <w:p>
      <w:pPr>
        <w:pStyle w:val="BodyText"/>
        <w:spacing w:before="10"/>
        <w:rPr>
          <w:b/>
          <w:sz w:val="23"/>
        </w:rPr>
      </w:pPr>
    </w:p>
    <w:p>
      <w:pPr>
        <w:pStyle w:val="ListParagraph"/>
        <w:numPr>
          <w:ilvl w:val="0"/>
          <w:numId w:val="1"/>
        </w:numPr>
        <w:tabs>
          <w:tab w:pos="505" w:val="left" w:leader="none"/>
          <w:tab w:pos="506" w:val="left" w:leader="none"/>
        </w:tabs>
        <w:spacing w:line="372" w:lineRule="auto" w:before="0" w:after="0"/>
        <w:ind w:left="107" w:right="390" w:firstLine="0"/>
        <w:jc w:val="left"/>
        <w:rPr>
          <w:sz w:val="24"/>
        </w:rPr>
      </w:pPr>
      <w:r>
        <w:rPr>
          <w:sz w:val="24"/>
        </w:rPr>
        <w:t>The Committee agreed that the signs of a deceleration in broad money were now apparent. </w:t>
      </w:r>
      <w:r>
        <w:rPr>
          <w:spacing w:val="-2"/>
          <w:sz w:val="24"/>
        </w:rPr>
        <w:t>The </w:t>
      </w:r>
      <w:r>
        <w:rPr>
          <w:sz w:val="24"/>
        </w:rPr>
        <w:t>three-</w:t>
      </w:r>
      <w:r>
        <w:rPr>
          <w:spacing w:val="-9"/>
          <w:sz w:val="24"/>
        </w:rPr>
        <w:t> </w:t>
      </w:r>
      <w:r>
        <w:rPr>
          <w:sz w:val="24"/>
        </w:rPr>
        <w:t>and</w:t>
      </w:r>
      <w:r>
        <w:rPr>
          <w:spacing w:val="-8"/>
          <w:sz w:val="24"/>
        </w:rPr>
        <w:t> </w:t>
      </w:r>
      <w:r>
        <w:rPr>
          <w:sz w:val="24"/>
        </w:rPr>
        <w:t>six-month</w:t>
      </w:r>
      <w:r>
        <w:rPr>
          <w:spacing w:val="-8"/>
          <w:sz w:val="24"/>
        </w:rPr>
        <w:t> </w:t>
      </w:r>
      <w:r>
        <w:rPr>
          <w:sz w:val="24"/>
        </w:rPr>
        <w:t>annualised</w:t>
      </w:r>
      <w:r>
        <w:rPr>
          <w:spacing w:val="-9"/>
          <w:sz w:val="24"/>
        </w:rPr>
        <w:t> </w:t>
      </w:r>
      <w:r>
        <w:rPr>
          <w:sz w:val="24"/>
        </w:rPr>
        <w:t>growth</w:t>
      </w:r>
      <w:r>
        <w:rPr>
          <w:spacing w:val="-8"/>
          <w:sz w:val="24"/>
        </w:rPr>
        <w:t> </w:t>
      </w:r>
      <w:r>
        <w:rPr>
          <w:sz w:val="24"/>
        </w:rPr>
        <w:t>rates</w:t>
      </w:r>
      <w:r>
        <w:rPr>
          <w:spacing w:val="-8"/>
          <w:sz w:val="24"/>
        </w:rPr>
        <w:t> </w:t>
      </w:r>
      <w:r>
        <w:rPr>
          <w:sz w:val="24"/>
        </w:rPr>
        <w:t>were</w:t>
      </w:r>
      <w:r>
        <w:rPr>
          <w:spacing w:val="-8"/>
          <w:sz w:val="24"/>
        </w:rPr>
        <w:t> </w:t>
      </w:r>
      <w:r>
        <w:rPr>
          <w:sz w:val="24"/>
        </w:rPr>
        <w:t>both</w:t>
      </w:r>
      <w:r>
        <w:rPr>
          <w:spacing w:val="-9"/>
          <w:sz w:val="24"/>
        </w:rPr>
        <w:t> </w:t>
      </w:r>
      <w:r>
        <w:rPr>
          <w:sz w:val="24"/>
        </w:rPr>
        <w:t>around</w:t>
      </w:r>
      <w:r>
        <w:rPr>
          <w:spacing w:val="-8"/>
          <w:sz w:val="24"/>
        </w:rPr>
        <w:t> </w:t>
      </w:r>
      <w:r>
        <w:rPr>
          <w:sz w:val="24"/>
        </w:rPr>
        <w:t>8%,</w:t>
      </w:r>
      <w:r>
        <w:rPr>
          <w:spacing w:val="-8"/>
          <w:sz w:val="24"/>
        </w:rPr>
        <w:t> </w:t>
      </w:r>
      <w:r>
        <w:rPr>
          <w:sz w:val="24"/>
        </w:rPr>
        <w:t>bringing</w:t>
      </w:r>
      <w:r>
        <w:rPr>
          <w:spacing w:val="-8"/>
          <w:sz w:val="24"/>
        </w:rPr>
        <w:t> </w:t>
      </w:r>
      <w:r>
        <w:rPr>
          <w:sz w:val="24"/>
        </w:rPr>
        <w:t>the</w:t>
      </w:r>
      <w:r>
        <w:rPr>
          <w:spacing w:val="-9"/>
          <w:sz w:val="24"/>
        </w:rPr>
        <w:t> </w:t>
      </w:r>
      <w:r>
        <w:rPr>
          <w:sz w:val="24"/>
        </w:rPr>
        <w:t>twelve-month</w:t>
      </w:r>
      <w:r>
        <w:rPr>
          <w:spacing w:val="-8"/>
          <w:sz w:val="24"/>
        </w:rPr>
        <w:t> </w:t>
      </w:r>
      <w:r>
        <w:rPr>
          <w:spacing w:val="-2"/>
          <w:sz w:val="24"/>
        </w:rPr>
        <w:t>growth </w:t>
      </w:r>
      <w:r>
        <w:rPr>
          <w:sz w:val="24"/>
        </w:rPr>
        <w:t>rate down to around 10% from 11-12% in</w:t>
      </w:r>
      <w:r>
        <w:rPr>
          <w:spacing w:val="5"/>
          <w:sz w:val="24"/>
        </w:rPr>
        <w:t> </w:t>
      </w:r>
      <w:r>
        <w:rPr>
          <w:sz w:val="24"/>
        </w:rPr>
        <w:t>mid-1997.</w:t>
      </w:r>
    </w:p>
    <w:p>
      <w:pPr>
        <w:pStyle w:val="BodyText"/>
        <w:rPr>
          <w:sz w:val="37"/>
        </w:rPr>
      </w:pPr>
    </w:p>
    <w:p>
      <w:pPr>
        <w:pStyle w:val="ListParagraph"/>
        <w:numPr>
          <w:ilvl w:val="0"/>
          <w:numId w:val="1"/>
        </w:numPr>
        <w:tabs>
          <w:tab w:pos="505" w:val="left" w:leader="none"/>
          <w:tab w:pos="506" w:val="left" w:leader="none"/>
        </w:tabs>
        <w:spacing w:line="372" w:lineRule="auto" w:before="0" w:after="0"/>
        <w:ind w:left="107" w:right="150" w:firstLine="0"/>
        <w:jc w:val="left"/>
        <w:rPr>
          <w:sz w:val="24"/>
        </w:rPr>
      </w:pPr>
      <w:r>
        <w:rPr>
          <w:sz w:val="24"/>
        </w:rPr>
        <w:t>The sectoral data were, however, telling diverse stories. On the one hand, personal sector M4 growth seemed, if anything, to have been picking up slightly. Together with a slight rebound in M0 growth, to around 7%, and continuing strong consumer credit growth, this suggested that personal sector demand growth might have remained strong. That was consistent with the apparent recent strength in </w:t>
      </w:r>
      <w:r>
        <w:rPr>
          <w:spacing w:val="-3"/>
          <w:sz w:val="24"/>
        </w:rPr>
        <w:t>retail</w:t>
      </w:r>
      <w:r>
        <w:rPr>
          <w:sz w:val="24"/>
        </w:rPr>
        <w:t> </w:t>
      </w:r>
      <w:r>
        <w:rPr>
          <w:spacing w:val="-3"/>
          <w:sz w:val="24"/>
        </w:rPr>
        <w:t>sales.</w:t>
      </w:r>
    </w:p>
    <w:p>
      <w:pPr>
        <w:pStyle w:val="BodyText"/>
        <w:spacing w:before="11"/>
        <w:rPr>
          <w:sz w:val="36"/>
        </w:rPr>
      </w:pPr>
    </w:p>
    <w:p>
      <w:pPr>
        <w:pStyle w:val="ListParagraph"/>
        <w:numPr>
          <w:ilvl w:val="0"/>
          <w:numId w:val="1"/>
        </w:numPr>
        <w:tabs>
          <w:tab w:pos="505" w:val="left" w:leader="none"/>
          <w:tab w:pos="506" w:val="left" w:leader="none"/>
        </w:tabs>
        <w:spacing w:line="372" w:lineRule="auto" w:before="0" w:after="0"/>
        <w:ind w:left="107" w:right="208" w:firstLine="0"/>
        <w:jc w:val="left"/>
        <w:rPr>
          <w:sz w:val="24"/>
        </w:rPr>
      </w:pPr>
      <w:r>
        <w:rPr>
          <w:sz w:val="24"/>
        </w:rPr>
        <w:t>By contrast, the position in the ICC sector seemed very different. The level of money holdings </w:t>
      </w:r>
      <w:r>
        <w:rPr>
          <w:spacing w:val="-2"/>
          <w:sz w:val="24"/>
        </w:rPr>
        <w:t>was </w:t>
      </w:r>
      <w:r>
        <w:rPr>
          <w:sz w:val="24"/>
        </w:rPr>
        <w:t>barely changed over five months, and bank lending growth to ICCs had been weak. It was possible that this</w:t>
      </w:r>
      <w:r>
        <w:rPr>
          <w:spacing w:val="-6"/>
          <w:sz w:val="24"/>
        </w:rPr>
        <w:t> </w:t>
      </w:r>
      <w:r>
        <w:rPr>
          <w:sz w:val="24"/>
        </w:rPr>
        <w:t>reflected</w:t>
      </w:r>
      <w:r>
        <w:rPr>
          <w:spacing w:val="-6"/>
          <w:sz w:val="24"/>
        </w:rPr>
        <w:t> </w:t>
      </w:r>
      <w:r>
        <w:rPr>
          <w:sz w:val="24"/>
        </w:rPr>
        <w:t>the</w:t>
      </w:r>
      <w:r>
        <w:rPr>
          <w:spacing w:val="-6"/>
          <w:sz w:val="24"/>
        </w:rPr>
        <w:t> </w:t>
      </w:r>
      <w:r>
        <w:rPr>
          <w:sz w:val="24"/>
        </w:rPr>
        <w:t>downturn</w:t>
      </w:r>
      <w:r>
        <w:rPr>
          <w:spacing w:val="-6"/>
          <w:sz w:val="24"/>
        </w:rPr>
        <w:t> </w:t>
      </w:r>
      <w:r>
        <w:rPr>
          <w:sz w:val="24"/>
        </w:rPr>
        <w:t>in</w:t>
      </w:r>
      <w:r>
        <w:rPr>
          <w:spacing w:val="-6"/>
          <w:sz w:val="24"/>
        </w:rPr>
        <w:t> </w:t>
      </w:r>
      <w:r>
        <w:rPr>
          <w:sz w:val="24"/>
        </w:rPr>
        <w:t>the</w:t>
      </w:r>
      <w:r>
        <w:rPr>
          <w:spacing w:val="-6"/>
          <w:sz w:val="24"/>
        </w:rPr>
        <w:t> </w:t>
      </w:r>
      <w:r>
        <w:rPr>
          <w:sz w:val="24"/>
        </w:rPr>
        <w:t>externally</w:t>
      </w:r>
      <w:r>
        <w:rPr>
          <w:spacing w:val="-6"/>
          <w:sz w:val="24"/>
        </w:rPr>
        <w:t> </w:t>
      </w:r>
      <w:r>
        <w:rPr>
          <w:sz w:val="24"/>
        </w:rPr>
        <w:t>exposed</w:t>
      </w:r>
      <w:r>
        <w:rPr>
          <w:spacing w:val="-6"/>
          <w:sz w:val="24"/>
        </w:rPr>
        <w:t> </w:t>
      </w:r>
      <w:r>
        <w:rPr>
          <w:sz w:val="24"/>
        </w:rPr>
        <w:t>sectors</w:t>
      </w:r>
      <w:r>
        <w:rPr>
          <w:spacing w:val="-6"/>
          <w:sz w:val="24"/>
        </w:rPr>
        <w:t> </w:t>
      </w:r>
      <w:r>
        <w:rPr>
          <w:sz w:val="24"/>
        </w:rPr>
        <w:t>of</w:t>
      </w:r>
      <w:r>
        <w:rPr>
          <w:spacing w:val="-5"/>
          <w:sz w:val="24"/>
        </w:rPr>
        <w:t> </w:t>
      </w:r>
      <w:r>
        <w:rPr>
          <w:sz w:val="24"/>
        </w:rPr>
        <w:t>the</w:t>
      </w:r>
      <w:r>
        <w:rPr>
          <w:spacing w:val="-6"/>
          <w:sz w:val="24"/>
        </w:rPr>
        <w:t> </w:t>
      </w:r>
      <w:r>
        <w:rPr>
          <w:sz w:val="24"/>
        </w:rPr>
        <w:t>economy.</w:t>
      </w:r>
      <w:r>
        <w:rPr>
          <w:spacing w:val="49"/>
          <w:sz w:val="24"/>
        </w:rPr>
        <w:t> </w:t>
      </w:r>
      <w:r>
        <w:rPr>
          <w:sz w:val="24"/>
        </w:rPr>
        <w:t>If</w:t>
      </w:r>
      <w:r>
        <w:rPr>
          <w:spacing w:val="-6"/>
          <w:sz w:val="24"/>
        </w:rPr>
        <w:t> </w:t>
      </w:r>
      <w:r>
        <w:rPr>
          <w:sz w:val="24"/>
        </w:rPr>
        <w:t>so,</w:t>
      </w:r>
      <w:r>
        <w:rPr>
          <w:spacing w:val="-6"/>
          <w:sz w:val="24"/>
        </w:rPr>
        <w:t> </w:t>
      </w:r>
      <w:r>
        <w:rPr>
          <w:sz w:val="24"/>
        </w:rPr>
        <w:t>the</w:t>
      </w:r>
      <w:r>
        <w:rPr>
          <w:spacing w:val="-6"/>
          <w:sz w:val="24"/>
        </w:rPr>
        <w:t> </w:t>
      </w:r>
      <w:r>
        <w:rPr>
          <w:sz w:val="24"/>
        </w:rPr>
        <w:t>money</w:t>
      </w:r>
      <w:r>
        <w:rPr>
          <w:spacing w:val="-6"/>
          <w:sz w:val="24"/>
        </w:rPr>
        <w:t> </w:t>
      </w:r>
      <w:r>
        <w:rPr>
          <w:sz w:val="24"/>
        </w:rPr>
        <w:t>and</w:t>
      </w:r>
      <w:r>
        <w:rPr>
          <w:spacing w:val="-6"/>
          <w:sz w:val="24"/>
        </w:rPr>
        <w:t> </w:t>
      </w:r>
      <w:r>
        <w:rPr>
          <w:spacing w:val="-2"/>
          <w:sz w:val="24"/>
        </w:rPr>
        <w:t>credit </w:t>
      </w:r>
      <w:r>
        <w:rPr>
          <w:sz w:val="24"/>
        </w:rPr>
        <w:t>numbers were illustrating the different pressures on different parts of the economy. Staff analysis suggested that the effects of a monetary tightening were typically seen in the ICC sector before </w:t>
      </w:r>
      <w:r>
        <w:rPr>
          <w:spacing w:val="-2"/>
          <w:sz w:val="24"/>
        </w:rPr>
        <w:t>the </w:t>
      </w:r>
      <w:r>
        <w:rPr>
          <w:sz w:val="24"/>
        </w:rPr>
        <w:t>personal</w:t>
      </w:r>
      <w:r>
        <w:rPr>
          <w:spacing w:val="1"/>
          <w:sz w:val="24"/>
        </w:rPr>
        <w:t> </w:t>
      </w:r>
      <w:r>
        <w:rPr>
          <w:sz w:val="24"/>
        </w:rPr>
        <w:t>sector.</w:t>
      </w:r>
    </w:p>
    <w:p>
      <w:pPr>
        <w:pStyle w:val="BodyText"/>
        <w:spacing w:before="9"/>
        <w:rPr>
          <w:sz w:val="36"/>
        </w:rPr>
      </w:pPr>
    </w:p>
    <w:p>
      <w:pPr>
        <w:pStyle w:val="ListParagraph"/>
        <w:numPr>
          <w:ilvl w:val="0"/>
          <w:numId w:val="1"/>
        </w:numPr>
        <w:tabs>
          <w:tab w:pos="505" w:val="left" w:leader="none"/>
          <w:tab w:pos="506" w:val="left" w:leader="none"/>
        </w:tabs>
        <w:spacing w:line="372" w:lineRule="auto" w:before="1" w:after="0"/>
        <w:ind w:left="107" w:right="145" w:firstLine="0"/>
        <w:jc w:val="left"/>
        <w:rPr>
          <w:sz w:val="24"/>
        </w:rPr>
      </w:pPr>
      <w:r>
        <w:rPr>
          <w:sz w:val="24"/>
        </w:rPr>
        <w:t>On</w:t>
      </w:r>
      <w:r>
        <w:rPr>
          <w:spacing w:val="-9"/>
          <w:sz w:val="24"/>
        </w:rPr>
        <w:t> </w:t>
      </w:r>
      <w:r>
        <w:rPr>
          <w:sz w:val="24"/>
        </w:rPr>
        <w:t>another</w:t>
      </w:r>
      <w:r>
        <w:rPr>
          <w:spacing w:val="-8"/>
          <w:sz w:val="24"/>
        </w:rPr>
        <w:t> </w:t>
      </w:r>
      <w:r>
        <w:rPr>
          <w:sz w:val="24"/>
        </w:rPr>
        <w:t>view,</w:t>
      </w:r>
      <w:r>
        <w:rPr>
          <w:spacing w:val="-8"/>
          <w:sz w:val="24"/>
        </w:rPr>
        <w:t> </w:t>
      </w:r>
      <w:r>
        <w:rPr>
          <w:sz w:val="24"/>
        </w:rPr>
        <w:t>the</w:t>
      </w:r>
      <w:r>
        <w:rPr>
          <w:spacing w:val="-9"/>
          <w:sz w:val="24"/>
        </w:rPr>
        <w:t> </w:t>
      </w:r>
      <w:r>
        <w:rPr>
          <w:sz w:val="24"/>
        </w:rPr>
        <w:t>money</w:t>
      </w:r>
      <w:r>
        <w:rPr>
          <w:spacing w:val="-8"/>
          <w:sz w:val="24"/>
        </w:rPr>
        <w:t> </w:t>
      </w:r>
      <w:r>
        <w:rPr>
          <w:sz w:val="24"/>
        </w:rPr>
        <w:t>numbers</w:t>
      </w:r>
      <w:r>
        <w:rPr>
          <w:spacing w:val="-8"/>
          <w:sz w:val="24"/>
        </w:rPr>
        <w:t> </w:t>
      </w:r>
      <w:r>
        <w:rPr>
          <w:sz w:val="24"/>
        </w:rPr>
        <w:t>did</w:t>
      </w:r>
      <w:r>
        <w:rPr>
          <w:spacing w:val="-9"/>
          <w:sz w:val="24"/>
        </w:rPr>
        <w:t> </w:t>
      </w:r>
      <w:r>
        <w:rPr>
          <w:sz w:val="24"/>
        </w:rPr>
        <w:t>not</w:t>
      </w:r>
      <w:r>
        <w:rPr>
          <w:spacing w:val="-8"/>
          <w:sz w:val="24"/>
        </w:rPr>
        <w:t> </w:t>
      </w:r>
      <w:r>
        <w:rPr>
          <w:sz w:val="24"/>
        </w:rPr>
        <w:t>provide</w:t>
      </w:r>
      <w:r>
        <w:rPr>
          <w:spacing w:val="-8"/>
          <w:sz w:val="24"/>
        </w:rPr>
        <w:t> </w:t>
      </w:r>
      <w:r>
        <w:rPr>
          <w:sz w:val="24"/>
        </w:rPr>
        <w:t>much</w:t>
      </w:r>
      <w:r>
        <w:rPr>
          <w:spacing w:val="-9"/>
          <w:sz w:val="24"/>
        </w:rPr>
        <w:t> </w:t>
      </w:r>
      <w:r>
        <w:rPr>
          <w:sz w:val="24"/>
        </w:rPr>
        <w:t>information.</w:t>
      </w:r>
      <w:r>
        <w:rPr>
          <w:spacing w:val="45"/>
          <w:sz w:val="24"/>
        </w:rPr>
        <w:t> </w:t>
      </w:r>
      <w:r>
        <w:rPr>
          <w:sz w:val="24"/>
        </w:rPr>
        <w:t>Given</w:t>
      </w:r>
      <w:r>
        <w:rPr>
          <w:spacing w:val="-8"/>
          <w:sz w:val="24"/>
        </w:rPr>
        <w:t> </w:t>
      </w:r>
      <w:r>
        <w:rPr>
          <w:sz w:val="24"/>
        </w:rPr>
        <w:t>the</w:t>
      </w:r>
      <w:r>
        <w:rPr>
          <w:spacing w:val="-8"/>
          <w:sz w:val="24"/>
        </w:rPr>
        <w:t> </w:t>
      </w:r>
      <w:r>
        <w:rPr>
          <w:sz w:val="24"/>
        </w:rPr>
        <w:t>inflation</w:t>
      </w:r>
      <w:r>
        <w:rPr>
          <w:spacing w:val="-8"/>
          <w:sz w:val="24"/>
        </w:rPr>
        <w:t> </w:t>
      </w:r>
      <w:r>
        <w:rPr>
          <w:sz w:val="24"/>
        </w:rPr>
        <w:t>target</w:t>
      </w:r>
      <w:r>
        <w:rPr>
          <w:spacing w:val="-9"/>
          <w:sz w:val="24"/>
        </w:rPr>
        <w:t> </w:t>
      </w:r>
      <w:r>
        <w:rPr>
          <w:sz w:val="24"/>
        </w:rPr>
        <w:t>of 2 ½% and trend real GDP growth of about 2 ¼%, M4 growth above 5% or so needed to be accompanied by </w:t>
      </w:r>
      <w:r>
        <w:rPr>
          <w:spacing w:val="-3"/>
          <w:sz w:val="24"/>
        </w:rPr>
        <w:t>falling velocity. Velocity trends were, however, very difficult </w:t>
      </w:r>
      <w:r>
        <w:rPr>
          <w:sz w:val="24"/>
        </w:rPr>
        <w:t>to </w:t>
      </w:r>
      <w:r>
        <w:rPr>
          <w:spacing w:val="-3"/>
          <w:sz w:val="24"/>
        </w:rPr>
        <w:t>explain </w:t>
      </w:r>
      <w:r>
        <w:rPr>
          <w:sz w:val="24"/>
        </w:rPr>
        <w:t>or </w:t>
      </w:r>
      <w:r>
        <w:rPr>
          <w:spacing w:val="-3"/>
          <w:sz w:val="24"/>
        </w:rPr>
        <w:t>predict. </w:t>
      </w:r>
      <w:r>
        <w:rPr>
          <w:sz w:val="24"/>
        </w:rPr>
        <w:t>The </w:t>
      </w:r>
      <w:r>
        <w:rPr>
          <w:spacing w:val="-3"/>
          <w:sz w:val="24"/>
        </w:rPr>
        <w:t>slowdown in </w:t>
      </w:r>
      <w:r>
        <w:rPr>
          <w:sz w:val="24"/>
        </w:rPr>
        <w:t>broad</w:t>
      </w:r>
      <w:r>
        <w:rPr>
          <w:spacing w:val="-8"/>
          <w:sz w:val="24"/>
        </w:rPr>
        <w:t> </w:t>
      </w:r>
      <w:r>
        <w:rPr>
          <w:sz w:val="24"/>
        </w:rPr>
        <w:t>money</w:t>
      </w:r>
      <w:r>
        <w:rPr>
          <w:spacing w:val="-7"/>
          <w:sz w:val="24"/>
        </w:rPr>
        <w:t> </w:t>
      </w:r>
      <w:r>
        <w:rPr>
          <w:sz w:val="24"/>
        </w:rPr>
        <w:t>growth</w:t>
      </w:r>
      <w:r>
        <w:rPr>
          <w:spacing w:val="-7"/>
          <w:sz w:val="24"/>
        </w:rPr>
        <w:t> </w:t>
      </w:r>
      <w:r>
        <w:rPr>
          <w:sz w:val="24"/>
        </w:rPr>
        <w:t>was</w:t>
      </w:r>
      <w:r>
        <w:rPr>
          <w:spacing w:val="-8"/>
          <w:sz w:val="24"/>
        </w:rPr>
        <w:t> </w:t>
      </w:r>
      <w:r>
        <w:rPr>
          <w:sz w:val="24"/>
        </w:rPr>
        <w:t>in</w:t>
      </w:r>
      <w:r>
        <w:rPr>
          <w:spacing w:val="-7"/>
          <w:sz w:val="24"/>
        </w:rPr>
        <w:t> </w:t>
      </w:r>
      <w:r>
        <w:rPr>
          <w:sz w:val="24"/>
        </w:rPr>
        <w:t>the</w:t>
      </w:r>
      <w:r>
        <w:rPr>
          <w:spacing w:val="-7"/>
          <w:sz w:val="24"/>
        </w:rPr>
        <w:t> </w:t>
      </w:r>
      <w:r>
        <w:rPr>
          <w:sz w:val="24"/>
        </w:rPr>
        <w:t>right</w:t>
      </w:r>
      <w:r>
        <w:rPr>
          <w:spacing w:val="-8"/>
          <w:sz w:val="24"/>
        </w:rPr>
        <w:t> </w:t>
      </w:r>
      <w:r>
        <w:rPr>
          <w:sz w:val="24"/>
        </w:rPr>
        <w:t>direction,</w:t>
      </w:r>
      <w:r>
        <w:rPr>
          <w:spacing w:val="-7"/>
          <w:sz w:val="24"/>
        </w:rPr>
        <w:t> </w:t>
      </w:r>
      <w:r>
        <w:rPr>
          <w:sz w:val="24"/>
        </w:rPr>
        <w:t>and</w:t>
      </w:r>
      <w:r>
        <w:rPr>
          <w:spacing w:val="-7"/>
          <w:sz w:val="24"/>
        </w:rPr>
        <w:t> </w:t>
      </w:r>
      <w:r>
        <w:rPr>
          <w:sz w:val="24"/>
        </w:rPr>
        <w:t>was</w:t>
      </w:r>
      <w:r>
        <w:rPr>
          <w:spacing w:val="-7"/>
          <w:sz w:val="24"/>
        </w:rPr>
        <w:t> </w:t>
      </w:r>
      <w:r>
        <w:rPr>
          <w:sz w:val="24"/>
        </w:rPr>
        <w:t>implied</w:t>
      </w:r>
      <w:r>
        <w:rPr>
          <w:spacing w:val="-8"/>
          <w:sz w:val="24"/>
        </w:rPr>
        <w:t> </w:t>
      </w:r>
      <w:r>
        <w:rPr>
          <w:sz w:val="24"/>
        </w:rPr>
        <w:t>by</w:t>
      </w:r>
      <w:r>
        <w:rPr>
          <w:spacing w:val="-7"/>
          <w:sz w:val="24"/>
        </w:rPr>
        <w:t> </w:t>
      </w:r>
      <w:r>
        <w:rPr>
          <w:sz w:val="24"/>
        </w:rPr>
        <w:t>the</w:t>
      </w:r>
      <w:r>
        <w:rPr>
          <w:spacing w:val="-7"/>
          <w:sz w:val="24"/>
        </w:rPr>
        <w:t> </w:t>
      </w:r>
      <w:r>
        <w:rPr>
          <w:sz w:val="24"/>
        </w:rPr>
        <w:t>central</w:t>
      </w:r>
      <w:r>
        <w:rPr>
          <w:spacing w:val="-8"/>
          <w:sz w:val="24"/>
        </w:rPr>
        <w:t> </w:t>
      </w:r>
      <w:r>
        <w:rPr>
          <w:sz w:val="24"/>
        </w:rPr>
        <w:t>projection</w:t>
      </w:r>
      <w:r>
        <w:rPr>
          <w:spacing w:val="-7"/>
          <w:sz w:val="24"/>
        </w:rPr>
        <w:t> </w:t>
      </w:r>
      <w:r>
        <w:rPr>
          <w:sz w:val="24"/>
        </w:rPr>
        <w:t>in</w:t>
      </w:r>
      <w:r>
        <w:rPr>
          <w:spacing w:val="-7"/>
          <w:sz w:val="24"/>
        </w:rPr>
        <w:t> </w:t>
      </w:r>
      <w:r>
        <w:rPr>
          <w:sz w:val="24"/>
        </w:rPr>
        <w:t>the</w:t>
      </w:r>
      <w:r>
        <w:rPr>
          <w:spacing w:val="-8"/>
          <w:sz w:val="24"/>
        </w:rPr>
        <w:t> </w:t>
      </w:r>
      <w:r>
        <w:rPr>
          <w:sz w:val="24"/>
        </w:rPr>
        <w:t>February Inflation</w:t>
      </w:r>
      <w:r>
        <w:rPr>
          <w:spacing w:val="-8"/>
          <w:sz w:val="24"/>
        </w:rPr>
        <w:t> </w:t>
      </w:r>
      <w:r>
        <w:rPr>
          <w:sz w:val="24"/>
        </w:rPr>
        <w:t>Report,</w:t>
      </w:r>
      <w:r>
        <w:rPr>
          <w:spacing w:val="-7"/>
          <w:sz w:val="24"/>
        </w:rPr>
        <w:t> </w:t>
      </w:r>
      <w:r>
        <w:rPr>
          <w:sz w:val="24"/>
        </w:rPr>
        <w:t>but</w:t>
      </w:r>
      <w:r>
        <w:rPr>
          <w:spacing w:val="-7"/>
          <w:sz w:val="24"/>
        </w:rPr>
        <w:t> </w:t>
      </w:r>
      <w:r>
        <w:rPr>
          <w:sz w:val="24"/>
        </w:rPr>
        <w:t>the</w:t>
      </w:r>
      <w:r>
        <w:rPr>
          <w:spacing w:val="-7"/>
          <w:sz w:val="24"/>
        </w:rPr>
        <w:t> </w:t>
      </w:r>
      <w:r>
        <w:rPr>
          <w:sz w:val="24"/>
        </w:rPr>
        <w:t>money</w:t>
      </w:r>
      <w:r>
        <w:rPr>
          <w:spacing w:val="-7"/>
          <w:sz w:val="24"/>
        </w:rPr>
        <w:t> </w:t>
      </w:r>
      <w:r>
        <w:rPr>
          <w:sz w:val="24"/>
        </w:rPr>
        <w:t>numbers</w:t>
      </w:r>
      <w:r>
        <w:rPr>
          <w:spacing w:val="-7"/>
          <w:sz w:val="24"/>
        </w:rPr>
        <w:t> </w:t>
      </w:r>
      <w:r>
        <w:rPr>
          <w:sz w:val="24"/>
        </w:rPr>
        <w:t>could</w:t>
      </w:r>
      <w:r>
        <w:rPr>
          <w:spacing w:val="-8"/>
          <w:sz w:val="24"/>
        </w:rPr>
        <w:t> </w:t>
      </w:r>
      <w:r>
        <w:rPr>
          <w:sz w:val="24"/>
        </w:rPr>
        <w:t>not</w:t>
      </w:r>
      <w:r>
        <w:rPr>
          <w:spacing w:val="-7"/>
          <w:sz w:val="24"/>
        </w:rPr>
        <w:t> </w:t>
      </w:r>
      <w:r>
        <w:rPr>
          <w:sz w:val="24"/>
        </w:rPr>
        <w:t>confirm</w:t>
      </w:r>
      <w:r>
        <w:rPr>
          <w:spacing w:val="-7"/>
          <w:sz w:val="24"/>
        </w:rPr>
        <w:t> </w:t>
      </w:r>
      <w:r>
        <w:rPr>
          <w:sz w:val="24"/>
        </w:rPr>
        <w:t>whether</w:t>
      </w:r>
      <w:r>
        <w:rPr>
          <w:spacing w:val="-7"/>
          <w:sz w:val="24"/>
        </w:rPr>
        <w:t> </w:t>
      </w:r>
      <w:r>
        <w:rPr>
          <w:sz w:val="24"/>
        </w:rPr>
        <w:t>the</w:t>
      </w:r>
      <w:r>
        <w:rPr>
          <w:spacing w:val="-7"/>
          <w:sz w:val="24"/>
        </w:rPr>
        <w:t> </w:t>
      </w:r>
      <w:r>
        <w:rPr>
          <w:sz w:val="24"/>
        </w:rPr>
        <w:t>degree</w:t>
      </w:r>
      <w:r>
        <w:rPr>
          <w:spacing w:val="-7"/>
          <w:sz w:val="24"/>
        </w:rPr>
        <w:t> </w:t>
      </w:r>
      <w:r>
        <w:rPr>
          <w:sz w:val="24"/>
        </w:rPr>
        <w:t>of</w:t>
      </w:r>
      <w:r>
        <w:rPr>
          <w:spacing w:val="-8"/>
          <w:sz w:val="24"/>
        </w:rPr>
        <w:t> </w:t>
      </w:r>
      <w:r>
        <w:rPr>
          <w:sz w:val="24"/>
        </w:rPr>
        <w:t>policy</w:t>
      </w:r>
      <w:r>
        <w:rPr>
          <w:spacing w:val="-7"/>
          <w:sz w:val="24"/>
        </w:rPr>
        <w:t> </w:t>
      </w:r>
      <w:r>
        <w:rPr>
          <w:sz w:val="24"/>
        </w:rPr>
        <w:t>tightening</w:t>
      </w:r>
      <w:r>
        <w:rPr>
          <w:spacing w:val="-7"/>
          <w:sz w:val="24"/>
        </w:rPr>
        <w:t> </w:t>
      </w:r>
      <w:r>
        <w:rPr>
          <w:spacing w:val="-2"/>
          <w:sz w:val="24"/>
        </w:rPr>
        <w:t>was</w:t>
      </w:r>
    </w:p>
    <w:p>
      <w:pPr>
        <w:spacing w:after="0" w:line="372" w:lineRule="auto"/>
        <w:jc w:val="left"/>
        <w:rPr>
          <w:sz w:val="24"/>
        </w:rPr>
        <w:sectPr>
          <w:pgSz w:w="11900" w:h="16840"/>
          <w:pgMar w:top="1600" w:bottom="280" w:left="800" w:right="780"/>
        </w:sectPr>
      </w:pPr>
    </w:p>
    <w:p>
      <w:pPr>
        <w:pStyle w:val="BodyText"/>
        <w:spacing w:before="1"/>
        <w:rPr>
          <w:sz w:val="14"/>
        </w:rPr>
      </w:pPr>
    </w:p>
    <w:p>
      <w:pPr>
        <w:pStyle w:val="BodyText"/>
        <w:spacing w:line="372" w:lineRule="auto" w:before="90"/>
        <w:ind w:left="107" w:right="308"/>
      </w:pPr>
      <w:r>
        <w:rPr/>
        <w:t>sufficient to hit the inflation target. Slower money growth was to be expected given the interest rate increases during 1997, especially in M0 and in deposit accounts which paid no or low rates of interest, although it was noted that the slowdown was not in fact in zero or low interest bearing money (M0 and personal sector M4) and so was apparently not based on agents substituting out of money because the Bank had increased the cost of holding it.</w:t>
      </w:r>
    </w:p>
    <w:p>
      <w:pPr>
        <w:pStyle w:val="BodyText"/>
        <w:spacing w:before="11"/>
        <w:rPr>
          <w:sz w:val="36"/>
        </w:rPr>
      </w:pPr>
    </w:p>
    <w:p>
      <w:pPr>
        <w:pStyle w:val="ListParagraph"/>
        <w:numPr>
          <w:ilvl w:val="0"/>
          <w:numId w:val="1"/>
        </w:numPr>
        <w:tabs>
          <w:tab w:pos="505" w:val="left" w:leader="none"/>
          <w:tab w:pos="506" w:val="left" w:leader="none"/>
        </w:tabs>
        <w:spacing w:line="372" w:lineRule="auto" w:before="0" w:after="0"/>
        <w:ind w:left="107" w:right="203" w:firstLine="0"/>
        <w:jc w:val="left"/>
        <w:rPr>
          <w:sz w:val="24"/>
        </w:rPr>
      </w:pPr>
      <w:r>
        <w:rPr>
          <w:sz w:val="24"/>
        </w:rPr>
        <w:t>A</w:t>
      </w:r>
      <w:r>
        <w:rPr>
          <w:spacing w:val="-8"/>
          <w:sz w:val="24"/>
        </w:rPr>
        <w:t> </w:t>
      </w:r>
      <w:r>
        <w:rPr>
          <w:sz w:val="24"/>
        </w:rPr>
        <w:t>further</w:t>
      </w:r>
      <w:r>
        <w:rPr>
          <w:spacing w:val="-8"/>
          <w:sz w:val="24"/>
        </w:rPr>
        <w:t> </w:t>
      </w:r>
      <w:r>
        <w:rPr>
          <w:sz w:val="24"/>
        </w:rPr>
        <w:t>view,</w:t>
      </w:r>
      <w:r>
        <w:rPr>
          <w:spacing w:val="-8"/>
          <w:sz w:val="24"/>
        </w:rPr>
        <w:t> </w:t>
      </w:r>
      <w:r>
        <w:rPr>
          <w:sz w:val="24"/>
        </w:rPr>
        <w:t>while</w:t>
      </w:r>
      <w:r>
        <w:rPr>
          <w:spacing w:val="-8"/>
          <w:sz w:val="24"/>
        </w:rPr>
        <w:t> </w:t>
      </w:r>
      <w:r>
        <w:rPr>
          <w:sz w:val="24"/>
        </w:rPr>
        <w:t>agreeing</w:t>
      </w:r>
      <w:r>
        <w:rPr>
          <w:spacing w:val="-8"/>
          <w:sz w:val="24"/>
        </w:rPr>
        <w:t> </w:t>
      </w:r>
      <w:r>
        <w:rPr>
          <w:sz w:val="24"/>
        </w:rPr>
        <w:t>that</w:t>
      </w:r>
      <w:r>
        <w:rPr>
          <w:spacing w:val="-8"/>
          <w:sz w:val="24"/>
        </w:rPr>
        <w:t> </w:t>
      </w:r>
      <w:r>
        <w:rPr>
          <w:sz w:val="24"/>
        </w:rPr>
        <w:t>money</w:t>
      </w:r>
      <w:r>
        <w:rPr>
          <w:spacing w:val="-8"/>
          <w:sz w:val="24"/>
        </w:rPr>
        <w:t> </w:t>
      </w:r>
      <w:r>
        <w:rPr>
          <w:sz w:val="24"/>
        </w:rPr>
        <w:t>growth</w:t>
      </w:r>
      <w:r>
        <w:rPr>
          <w:spacing w:val="-8"/>
          <w:sz w:val="24"/>
        </w:rPr>
        <w:t> </w:t>
      </w:r>
      <w:r>
        <w:rPr>
          <w:sz w:val="24"/>
        </w:rPr>
        <w:t>should</w:t>
      </w:r>
      <w:r>
        <w:rPr>
          <w:spacing w:val="-8"/>
          <w:sz w:val="24"/>
        </w:rPr>
        <w:t> </w:t>
      </w:r>
      <w:r>
        <w:rPr>
          <w:sz w:val="24"/>
        </w:rPr>
        <w:t>be</w:t>
      </w:r>
      <w:r>
        <w:rPr>
          <w:spacing w:val="-8"/>
          <w:sz w:val="24"/>
        </w:rPr>
        <w:t> </w:t>
      </w:r>
      <w:r>
        <w:rPr>
          <w:sz w:val="24"/>
        </w:rPr>
        <w:t>expected</w:t>
      </w:r>
      <w:r>
        <w:rPr>
          <w:spacing w:val="-8"/>
          <w:sz w:val="24"/>
        </w:rPr>
        <w:t> </w:t>
      </w:r>
      <w:r>
        <w:rPr>
          <w:sz w:val="24"/>
        </w:rPr>
        <w:t>to</w:t>
      </w:r>
      <w:r>
        <w:rPr>
          <w:spacing w:val="-8"/>
          <w:sz w:val="24"/>
        </w:rPr>
        <w:t> </w:t>
      </w:r>
      <w:r>
        <w:rPr>
          <w:sz w:val="24"/>
        </w:rPr>
        <w:t>fall</w:t>
      </w:r>
      <w:r>
        <w:rPr>
          <w:spacing w:val="-7"/>
          <w:sz w:val="24"/>
        </w:rPr>
        <w:t> </w:t>
      </w:r>
      <w:r>
        <w:rPr>
          <w:sz w:val="24"/>
        </w:rPr>
        <w:t>as</w:t>
      </w:r>
      <w:r>
        <w:rPr>
          <w:spacing w:val="-8"/>
          <w:sz w:val="24"/>
        </w:rPr>
        <w:t> </w:t>
      </w:r>
      <w:r>
        <w:rPr>
          <w:sz w:val="24"/>
        </w:rPr>
        <w:t>the</w:t>
      </w:r>
      <w:r>
        <w:rPr>
          <w:spacing w:val="-8"/>
          <w:sz w:val="24"/>
        </w:rPr>
        <w:t> </w:t>
      </w:r>
      <w:r>
        <w:rPr>
          <w:sz w:val="24"/>
        </w:rPr>
        <w:t>economy</w:t>
      </w:r>
      <w:r>
        <w:rPr>
          <w:spacing w:val="-8"/>
          <w:sz w:val="24"/>
        </w:rPr>
        <w:t> </w:t>
      </w:r>
      <w:r>
        <w:rPr>
          <w:sz w:val="24"/>
        </w:rPr>
        <w:t>slowed, also placed weight on cumulative past rapid money growth, and the possibility that there remained a </w:t>
      </w:r>
      <w:r>
        <w:rPr>
          <w:spacing w:val="-3"/>
          <w:sz w:val="24"/>
        </w:rPr>
        <w:t>liquidity overhang </w:t>
      </w:r>
      <w:r>
        <w:rPr>
          <w:sz w:val="24"/>
        </w:rPr>
        <w:t>in the OFI </w:t>
      </w:r>
      <w:r>
        <w:rPr>
          <w:spacing w:val="-3"/>
          <w:sz w:val="24"/>
        </w:rPr>
        <w:t>sector which could sustain asset price</w:t>
      </w:r>
      <w:r>
        <w:rPr>
          <w:spacing w:val="22"/>
          <w:sz w:val="24"/>
        </w:rPr>
        <w:t> </w:t>
      </w:r>
      <w:r>
        <w:rPr>
          <w:spacing w:val="-3"/>
          <w:sz w:val="24"/>
        </w:rPr>
        <w:t>inflation.</w:t>
      </w:r>
    </w:p>
    <w:p>
      <w:pPr>
        <w:pStyle w:val="BodyText"/>
        <w:rPr>
          <w:sz w:val="37"/>
        </w:rPr>
      </w:pPr>
    </w:p>
    <w:p>
      <w:pPr>
        <w:pStyle w:val="ListParagraph"/>
        <w:numPr>
          <w:ilvl w:val="0"/>
          <w:numId w:val="1"/>
        </w:numPr>
        <w:tabs>
          <w:tab w:pos="505" w:val="left" w:leader="none"/>
          <w:tab w:pos="506" w:val="left" w:leader="none"/>
        </w:tabs>
        <w:spacing w:line="372" w:lineRule="auto" w:before="0" w:after="0"/>
        <w:ind w:left="107" w:right="232" w:firstLine="0"/>
        <w:jc w:val="left"/>
        <w:rPr>
          <w:sz w:val="24"/>
        </w:rPr>
      </w:pPr>
      <w:r>
        <w:rPr>
          <w:sz w:val="24"/>
        </w:rPr>
        <w:t>This led to a discussion of asset markets. Some members were concerned that, as in some previous cycles, cumulative rapid broad money growth might be associated with unsustainable asset price appreciation and domestic demand growth. Others were less sure. There was uncertainty about the degree to which asset price changes affected the demand for goods and services. The connection between</w:t>
      </w:r>
      <w:r>
        <w:rPr>
          <w:spacing w:val="-5"/>
          <w:sz w:val="24"/>
        </w:rPr>
        <w:t> </w:t>
      </w:r>
      <w:r>
        <w:rPr>
          <w:sz w:val="24"/>
        </w:rPr>
        <w:t>money</w:t>
      </w:r>
      <w:r>
        <w:rPr>
          <w:spacing w:val="-5"/>
          <w:sz w:val="24"/>
        </w:rPr>
        <w:t> </w:t>
      </w:r>
      <w:r>
        <w:rPr>
          <w:sz w:val="24"/>
        </w:rPr>
        <w:t>growth</w:t>
      </w:r>
      <w:r>
        <w:rPr>
          <w:spacing w:val="-5"/>
          <w:sz w:val="24"/>
        </w:rPr>
        <w:t> </w:t>
      </w:r>
      <w:r>
        <w:rPr>
          <w:sz w:val="24"/>
        </w:rPr>
        <w:t>and</w:t>
      </w:r>
      <w:r>
        <w:rPr>
          <w:spacing w:val="-4"/>
          <w:sz w:val="24"/>
        </w:rPr>
        <w:t> </w:t>
      </w:r>
      <w:r>
        <w:rPr>
          <w:sz w:val="24"/>
        </w:rPr>
        <w:t>asset</w:t>
      </w:r>
      <w:r>
        <w:rPr>
          <w:spacing w:val="-5"/>
          <w:sz w:val="24"/>
        </w:rPr>
        <w:t> </w:t>
      </w:r>
      <w:r>
        <w:rPr>
          <w:sz w:val="24"/>
        </w:rPr>
        <w:t>prices</w:t>
      </w:r>
      <w:r>
        <w:rPr>
          <w:spacing w:val="-5"/>
          <w:sz w:val="24"/>
        </w:rPr>
        <w:t> </w:t>
      </w:r>
      <w:r>
        <w:rPr>
          <w:sz w:val="24"/>
        </w:rPr>
        <w:t>was</w:t>
      </w:r>
      <w:r>
        <w:rPr>
          <w:spacing w:val="-4"/>
          <w:sz w:val="24"/>
        </w:rPr>
        <w:t> </w:t>
      </w:r>
      <w:r>
        <w:rPr>
          <w:sz w:val="24"/>
        </w:rPr>
        <w:t>also</w:t>
      </w:r>
      <w:r>
        <w:rPr>
          <w:spacing w:val="-5"/>
          <w:sz w:val="24"/>
        </w:rPr>
        <w:t> </w:t>
      </w:r>
      <w:r>
        <w:rPr>
          <w:sz w:val="24"/>
        </w:rPr>
        <w:t>unclear,</w:t>
      </w:r>
      <w:r>
        <w:rPr>
          <w:spacing w:val="-5"/>
          <w:sz w:val="24"/>
        </w:rPr>
        <w:t> </w:t>
      </w:r>
      <w:r>
        <w:rPr>
          <w:sz w:val="24"/>
        </w:rPr>
        <w:t>not</w:t>
      </w:r>
      <w:r>
        <w:rPr>
          <w:spacing w:val="-4"/>
          <w:sz w:val="24"/>
        </w:rPr>
        <w:t> </w:t>
      </w:r>
      <w:r>
        <w:rPr>
          <w:sz w:val="24"/>
        </w:rPr>
        <w:t>just</w:t>
      </w:r>
      <w:r>
        <w:rPr>
          <w:spacing w:val="-5"/>
          <w:sz w:val="24"/>
        </w:rPr>
        <w:t> </w:t>
      </w:r>
      <w:r>
        <w:rPr>
          <w:sz w:val="24"/>
        </w:rPr>
        <w:t>in</w:t>
      </w:r>
      <w:r>
        <w:rPr>
          <w:spacing w:val="-5"/>
          <w:sz w:val="24"/>
        </w:rPr>
        <w:t> </w:t>
      </w:r>
      <w:r>
        <w:rPr>
          <w:sz w:val="24"/>
        </w:rPr>
        <w:t>the</w:t>
      </w:r>
      <w:r>
        <w:rPr>
          <w:spacing w:val="-4"/>
          <w:sz w:val="24"/>
        </w:rPr>
        <w:t> </w:t>
      </w:r>
      <w:r>
        <w:rPr>
          <w:sz w:val="24"/>
        </w:rPr>
        <w:t>UK</w:t>
      </w:r>
      <w:r>
        <w:rPr>
          <w:spacing w:val="-5"/>
          <w:sz w:val="24"/>
        </w:rPr>
        <w:t> </w:t>
      </w:r>
      <w:r>
        <w:rPr>
          <w:sz w:val="24"/>
        </w:rPr>
        <w:t>but</w:t>
      </w:r>
      <w:r>
        <w:rPr>
          <w:spacing w:val="-5"/>
          <w:sz w:val="24"/>
        </w:rPr>
        <w:t> </w:t>
      </w:r>
      <w:r>
        <w:rPr>
          <w:sz w:val="24"/>
        </w:rPr>
        <w:t>even</w:t>
      </w:r>
      <w:r>
        <w:rPr>
          <w:spacing w:val="-4"/>
          <w:sz w:val="24"/>
        </w:rPr>
        <w:t> </w:t>
      </w:r>
      <w:r>
        <w:rPr>
          <w:sz w:val="24"/>
        </w:rPr>
        <w:t>more</w:t>
      </w:r>
      <w:r>
        <w:rPr>
          <w:spacing w:val="-5"/>
          <w:sz w:val="24"/>
        </w:rPr>
        <w:t> </w:t>
      </w:r>
      <w:r>
        <w:rPr>
          <w:sz w:val="24"/>
        </w:rPr>
        <w:t>so</w:t>
      </w:r>
      <w:r>
        <w:rPr>
          <w:spacing w:val="-5"/>
          <w:sz w:val="24"/>
        </w:rPr>
        <w:t> </w:t>
      </w:r>
      <w:r>
        <w:rPr>
          <w:sz w:val="24"/>
        </w:rPr>
        <w:t>in</w:t>
      </w:r>
      <w:r>
        <w:rPr>
          <w:spacing w:val="-4"/>
          <w:sz w:val="24"/>
        </w:rPr>
        <w:t> </w:t>
      </w:r>
      <w:r>
        <w:rPr>
          <w:sz w:val="24"/>
        </w:rPr>
        <w:t>the</w:t>
      </w:r>
      <w:r>
        <w:rPr>
          <w:spacing w:val="-5"/>
          <w:sz w:val="24"/>
        </w:rPr>
        <w:t> </w:t>
      </w:r>
      <w:r>
        <w:rPr>
          <w:spacing w:val="-2"/>
          <w:sz w:val="24"/>
        </w:rPr>
        <w:t>US.</w:t>
      </w:r>
    </w:p>
    <w:p>
      <w:pPr>
        <w:pStyle w:val="BodyText"/>
        <w:spacing w:before="10"/>
        <w:rPr>
          <w:sz w:val="36"/>
        </w:rPr>
      </w:pPr>
    </w:p>
    <w:p>
      <w:pPr>
        <w:pStyle w:val="ListParagraph"/>
        <w:numPr>
          <w:ilvl w:val="0"/>
          <w:numId w:val="1"/>
        </w:numPr>
        <w:tabs>
          <w:tab w:pos="505" w:val="left" w:leader="none"/>
          <w:tab w:pos="506" w:val="left" w:leader="none"/>
        </w:tabs>
        <w:spacing w:line="372" w:lineRule="auto" w:before="0" w:after="0"/>
        <w:ind w:left="107" w:right="904" w:firstLine="0"/>
        <w:jc w:val="left"/>
        <w:rPr>
          <w:sz w:val="24"/>
        </w:rPr>
      </w:pPr>
      <w:r>
        <w:rPr>
          <w:sz w:val="24"/>
        </w:rPr>
        <w:t>Overall,</w:t>
      </w:r>
      <w:r>
        <w:rPr>
          <w:spacing w:val="-9"/>
          <w:sz w:val="24"/>
        </w:rPr>
        <w:t> </w:t>
      </w:r>
      <w:r>
        <w:rPr>
          <w:sz w:val="24"/>
        </w:rPr>
        <w:t>the</w:t>
      </w:r>
      <w:r>
        <w:rPr>
          <w:spacing w:val="-8"/>
          <w:sz w:val="24"/>
        </w:rPr>
        <w:t> </w:t>
      </w:r>
      <w:r>
        <w:rPr>
          <w:sz w:val="24"/>
        </w:rPr>
        <w:t>Committee</w:t>
      </w:r>
      <w:r>
        <w:rPr>
          <w:spacing w:val="-9"/>
          <w:sz w:val="24"/>
        </w:rPr>
        <w:t> </w:t>
      </w:r>
      <w:r>
        <w:rPr>
          <w:sz w:val="24"/>
        </w:rPr>
        <w:t>agreed</w:t>
      </w:r>
      <w:r>
        <w:rPr>
          <w:spacing w:val="-8"/>
          <w:sz w:val="24"/>
        </w:rPr>
        <w:t> </w:t>
      </w:r>
      <w:r>
        <w:rPr>
          <w:sz w:val="24"/>
        </w:rPr>
        <w:t>that</w:t>
      </w:r>
      <w:r>
        <w:rPr>
          <w:spacing w:val="-8"/>
          <w:sz w:val="24"/>
        </w:rPr>
        <w:t> </w:t>
      </w:r>
      <w:r>
        <w:rPr>
          <w:sz w:val="24"/>
        </w:rPr>
        <w:t>the</w:t>
      </w:r>
      <w:r>
        <w:rPr>
          <w:spacing w:val="-9"/>
          <w:sz w:val="24"/>
        </w:rPr>
        <w:t> </w:t>
      </w:r>
      <w:r>
        <w:rPr>
          <w:sz w:val="24"/>
        </w:rPr>
        <w:t>recent</w:t>
      </w:r>
      <w:r>
        <w:rPr>
          <w:spacing w:val="-8"/>
          <w:sz w:val="24"/>
        </w:rPr>
        <w:t> </w:t>
      </w:r>
      <w:r>
        <w:rPr>
          <w:sz w:val="24"/>
        </w:rPr>
        <w:t>money</w:t>
      </w:r>
      <w:r>
        <w:rPr>
          <w:spacing w:val="-8"/>
          <w:sz w:val="24"/>
        </w:rPr>
        <w:t> </w:t>
      </w:r>
      <w:r>
        <w:rPr>
          <w:sz w:val="24"/>
        </w:rPr>
        <w:t>and</w:t>
      </w:r>
      <w:r>
        <w:rPr>
          <w:spacing w:val="-9"/>
          <w:sz w:val="24"/>
        </w:rPr>
        <w:t> </w:t>
      </w:r>
      <w:r>
        <w:rPr>
          <w:sz w:val="24"/>
        </w:rPr>
        <w:t>credit</w:t>
      </w:r>
      <w:r>
        <w:rPr>
          <w:spacing w:val="-8"/>
          <w:sz w:val="24"/>
        </w:rPr>
        <w:t> </w:t>
      </w:r>
      <w:r>
        <w:rPr>
          <w:sz w:val="24"/>
        </w:rPr>
        <w:t>numbers</w:t>
      </w:r>
      <w:r>
        <w:rPr>
          <w:spacing w:val="-8"/>
          <w:sz w:val="24"/>
        </w:rPr>
        <w:t> </w:t>
      </w:r>
      <w:r>
        <w:rPr>
          <w:sz w:val="24"/>
        </w:rPr>
        <w:t>suggested</w:t>
      </w:r>
      <w:r>
        <w:rPr>
          <w:spacing w:val="-9"/>
          <w:sz w:val="24"/>
        </w:rPr>
        <w:t> </w:t>
      </w:r>
      <w:r>
        <w:rPr>
          <w:sz w:val="24"/>
        </w:rPr>
        <w:t>a</w:t>
      </w:r>
      <w:r>
        <w:rPr>
          <w:spacing w:val="-8"/>
          <w:sz w:val="24"/>
        </w:rPr>
        <w:t> </w:t>
      </w:r>
      <w:r>
        <w:rPr>
          <w:sz w:val="24"/>
        </w:rPr>
        <w:t>slowing economy, but there was a range of views about how much weight to attach to</w:t>
      </w:r>
      <w:r>
        <w:rPr>
          <w:spacing w:val="-6"/>
          <w:sz w:val="24"/>
        </w:rPr>
        <w:t> </w:t>
      </w:r>
      <w:r>
        <w:rPr>
          <w:sz w:val="24"/>
        </w:rPr>
        <w:t>them.</w:t>
      </w:r>
    </w:p>
    <w:p>
      <w:pPr>
        <w:pStyle w:val="BodyText"/>
        <w:spacing w:before="1"/>
        <w:rPr>
          <w:sz w:val="37"/>
        </w:rPr>
      </w:pPr>
    </w:p>
    <w:p>
      <w:pPr>
        <w:pStyle w:val="ListParagraph"/>
        <w:numPr>
          <w:ilvl w:val="0"/>
          <w:numId w:val="1"/>
        </w:numPr>
        <w:tabs>
          <w:tab w:pos="505" w:val="left" w:leader="none"/>
          <w:tab w:pos="506" w:val="left" w:leader="none"/>
        </w:tabs>
        <w:spacing w:line="372" w:lineRule="auto" w:before="0" w:after="0"/>
        <w:ind w:left="107" w:right="137" w:firstLine="0"/>
        <w:jc w:val="left"/>
        <w:rPr>
          <w:sz w:val="24"/>
        </w:rPr>
      </w:pPr>
      <w:r>
        <w:rPr>
          <w:sz w:val="24"/>
        </w:rPr>
        <w:t>Another aspect of monetary conditions debated by the Committee was the information potentially </w:t>
      </w:r>
      <w:r>
        <w:rPr>
          <w:spacing w:val="-3"/>
          <w:sz w:val="24"/>
        </w:rPr>
        <w:t>available from </w:t>
      </w:r>
      <w:r>
        <w:rPr>
          <w:sz w:val="24"/>
        </w:rPr>
        <w:t>the </w:t>
      </w:r>
      <w:r>
        <w:rPr>
          <w:spacing w:val="-3"/>
          <w:sz w:val="24"/>
        </w:rPr>
        <w:t>yield curve. </w:t>
      </w:r>
      <w:r>
        <w:rPr>
          <w:sz w:val="24"/>
        </w:rPr>
        <w:t>It was </w:t>
      </w:r>
      <w:r>
        <w:rPr>
          <w:spacing w:val="-3"/>
          <w:sz w:val="24"/>
        </w:rPr>
        <w:t>possible that </w:t>
      </w:r>
      <w:r>
        <w:rPr>
          <w:sz w:val="24"/>
        </w:rPr>
        <w:t>the </w:t>
      </w:r>
      <w:r>
        <w:rPr>
          <w:spacing w:val="-3"/>
          <w:sz w:val="24"/>
        </w:rPr>
        <w:t>current inverted conventional gilt yield curve (with long maturity nominal rates below short maturity nominal rates) indicated </w:t>
      </w:r>
      <w:r>
        <w:rPr>
          <w:sz w:val="24"/>
        </w:rPr>
        <w:t>an </w:t>
      </w:r>
      <w:r>
        <w:rPr>
          <w:spacing w:val="-3"/>
          <w:sz w:val="24"/>
        </w:rPr>
        <w:t>impending slowdown; the </w:t>
      </w:r>
      <w:r>
        <w:rPr>
          <w:sz w:val="24"/>
        </w:rPr>
        <w:t>role of the yield curve slope as a leading indicator was supported by some (mostly US) academic research. On the other hand, the results in the literature could be explained by the influence on activity coming from movements in real rates. In particular the gap between short-term real interest rates, as </w:t>
      </w:r>
      <w:r>
        <w:rPr>
          <w:spacing w:val="-3"/>
          <w:sz w:val="24"/>
        </w:rPr>
        <w:t>effectively </w:t>
      </w:r>
      <w:r>
        <w:rPr>
          <w:sz w:val="24"/>
        </w:rPr>
        <w:t>set by the </w:t>
      </w:r>
      <w:r>
        <w:rPr>
          <w:spacing w:val="-3"/>
          <w:sz w:val="24"/>
        </w:rPr>
        <w:t>central bank given sticky prices, </w:t>
      </w:r>
      <w:r>
        <w:rPr>
          <w:sz w:val="24"/>
        </w:rPr>
        <w:t>and the </w:t>
      </w:r>
      <w:r>
        <w:rPr>
          <w:spacing w:val="-3"/>
          <w:sz w:val="24"/>
        </w:rPr>
        <w:t>equilibrium real rate should </w:t>
      </w:r>
      <w:r>
        <w:rPr>
          <w:sz w:val="24"/>
        </w:rPr>
        <w:t>be the </w:t>
      </w:r>
      <w:r>
        <w:rPr>
          <w:spacing w:val="-3"/>
          <w:sz w:val="24"/>
        </w:rPr>
        <w:t>better leading indicator </w:t>
      </w:r>
      <w:r>
        <w:rPr>
          <w:sz w:val="24"/>
        </w:rPr>
        <w:t>of </w:t>
      </w:r>
      <w:r>
        <w:rPr>
          <w:spacing w:val="-3"/>
          <w:sz w:val="24"/>
        </w:rPr>
        <w:t>activity. Indeed </w:t>
      </w:r>
      <w:r>
        <w:rPr>
          <w:sz w:val="24"/>
        </w:rPr>
        <w:t>the </w:t>
      </w:r>
      <w:r>
        <w:rPr>
          <w:spacing w:val="-3"/>
          <w:sz w:val="24"/>
        </w:rPr>
        <w:t>nominal yield curve slope could </w:t>
      </w:r>
      <w:r>
        <w:rPr>
          <w:sz w:val="24"/>
        </w:rPr>
        <w:t>be </w:t>
      </w:r>
      <w:r>
        <w:rPr>
          <w:spacing w:val="-3"/>
          <w:sz w:val="24"/>
        </w:rPr>
        <w:t>misleading, because </w:t>
      </w:r>
      <w:r>
        <w:rPr>
          <w:sz w:val="24"/>
        </w:rPr>
        <w:t>it </w:t>
      </w:r>
      <w:r>
        <w:rPr>
          <w:spacing w:val="-3"/>
          <w:sz w:val="24"/>
        </w:rPr>
        <w:t>might </w:t>
      </w:r>
      <w:r>
        <w:rPr>
          <w:sz w:val="24"/>
        </w:rPr>
        <w:t>change on account of developments in the monetary regime, as had occurred over the past year; </w:t>
      </w:r>
      <w:r>
        <w:rPr>
          <w:spacing w:val="-2"/>
          <w:sz w:val="24"/>
        </w:rPr>
        <w:t>the </w:t>
      </w:r>
      <w:r>
        <w:rPr>
          <w:spacing w:val="-3"/>
          <w:sz w:val="24"/>
        </w:rPr>
        <w:t>emergence </w:t>
      </w:r>
      <w:r>
        <w:rPr>
          <w:sz w:val="24"/>
        </w:rPr>
        <w:t>of an </w:t>
      </w:r>
      <w:r>
        <w:rPr>
          <w:spacing w:val="-3"/>
          <w:sz w:val="24"/>
        </w:rPr>
        <w:t>inverted nominal yield curve might have been associated with </w:t>
      </w:r>
      <w:r>
        <w:rPr>
          <w:sz w:val="24"/>
        </w:rPr>
        <w:t>the </w:t>
      </w:r>
      <w:r>
        <w:rPr>
          <w:spacing w:val="-3"/>
          <w:sz w:val="24"/>
        </w:rPr>
        <w:t>announcement of operational independence </w:t>
      </w:r>
      <w:r>
        <w:rPr>
          <w:sz w:val="24"/>
        </w:rPr>
        <w:t>for the </w:t>
      </w:r>
      <w:r>
        <w:rPr>
          <w:spacing w:val="-3"/>
          <w:sz w:val="24"/>
        </w:rPr>
        <w:t>Bank, since this </w:t>
      </w:r>
      <w:r>
        <w:rPr>
          <w:sz w:val="24"/>
        </w:rPr>
        <w:t>had </w:t>
      </w:r>
      <w:r>
        <w:rPr>
          <w:spacing w:val="-3"/>
          <w:sz w:val="24"/>
        </w:rPr>
        <w:t>caused </w:t>
      </w:r>
      <w:r>
        <w:rPr>
          <w:sz w:val="24"/>
        </w:rPr>
        <w:t>a </w:t>
      </w:r>
      <w:r>
        <w:rPr>
          <w:spacing w:val="-3"/>
          <w:sz w:val="24"/>
        </w:rPr>
        <w:t>fall </w:t>
      </w:r>
      <w:r>
        <w:rPr>
          <w:sz w:val="24"/>
        </w:rPr>
        <w:t>in </w:t>
      </w:r>
      <w:r>
        <w:rPr>
          <w:spacing w:val="-3"/>
          <w:sz w:val="24"/>
        </w:rPr>
        <w:t>long-run inflation expectations and </w:t>
      </w:r>
      <w:r>
        <w:rPr>
          <w:sz w:val="24"/>
        </w:rPr>
        <w:t>thus in long-maturity nominal rates relative to short-maturity nominal rates. On this view, there was in </w:t>
      </w:r>
      <w:r>
        <w:rPr>
          <w:spacing w:val="-3"/>
          <w:sz w:val="24"/>
        </w:rPr>
        <w:t>principle </w:t>
      </w:r>
      <w:r>
        <w:rPr>
          <w:sz w:val="24"/>
        </w:rPr>
        <w:t>no </w:t>
      </w:r>
      <w:r>
        <w:rPr>
          <w:spacing w:val="-3"/>
          <w:sz w:val="24"/>
        </w:rPr>
        <w:t>additional forward-looking information available from </w:t>
      </w:r>
      <w:r>
        <w:rPr>
          <w:sz w:val="24"/>
        </w:rPr>
        <w:t>the </w:t>
      </w:r>
      <w:r>
        <w:rPr>
          <w:spacing w:val="-3"/>
          <w:sz w:val="24"/>
        </w:rPr>
        <w:t>slope </w:t>
      </w:r>
      <w:r>
        <w:rPr>
          <w:sz w:val="24"/>
        </w:rPr>
        <w:t>of the </w:t>
      </w:r>
      <w:r>
        <w:rPr>
          <w:spacing w:val="-3"/>
          <w:sz w:val="24"/>
        </w:rPr>
        <w:t>conventional yield </w:t>
      </w:r>
      <w:r>
        <w:rPr>
          <w:sz w:val="24"/>
        </w:rPr>
        <w:t>curve beyond that available from short-term real interest rates. But it was argued that, even if this were </w:t>
      </w:r>
      <w:r>
        <w:rPr>
          <w:spacing w:val="-3"/>
          <w:sz w:val="24"/>
        </w:rPr>
        <w:t>true, </w:t>
      </w:r>
      <w:r>
        <w:rPr>
          <w:sz w:val="24"/>
        </w:rPr>
        <w:t>the </w:t>
      </w:r>
      <w:r>
        <w:rPr>
          <w:spacing w:val="-3"/>
          <w:sz w:val="24"/>
        </w:rPr>
        <w:t>conventional yield curve slope might </w:t>
      </w:r>
      <w:r>
        <w:rPr>
          <w:sz w:val="24"/>
        </w:rPr>
        <w:t>be of </w:t>
      </w:r>
      <w:r>
        <w:rPr>
          <w:spacing w:val="-3"/>
          <w:sz w:val="24"/>
        </w:rPr>
        <w:t>some practical assistance given </w:t>
      </w:r>
      <w:r>
        <w:rPr>
          <w:sz w:val="24"/>
        </w:rPr>
        <w:t>the</w:t>
      </w:r>
      <w:r>
        <w:rPr>
          <w:spacing w:val="35"/>
          <w:sz w:val="24"/>
        </w:rPr>
        <w:t> </w:t>
      </w:r>
      <w:r>
        <w:rPr>
          <w:spacing w:val="-3"/>
          <w:sz w:val="24"/>
        </w:rPr>
        <w:t>technical</w:t>
      </w:r>
    </w:p>
    <w:p>
      <w:pPr>
        <w:spacing w:after="0" w:line="372" w:lineRule="auto"/>
        <w:jc w:val="left"/>
        <w:rPr>
          <w:sz w:val="24"/>
        </w:rPr>
        <w:sectPr>
          <w:headerReference w:type="default" r:id="rId6"/>
          <w:pgSz w:w="11900" w:h="16840"/>
          <w:pgMar w:header="753" w:footer="0" w:top="1040" w:bottom="280" w:left="800" w:right="780"/>
          <w:pgNumType w:start="2"/>
        </w:sectPr>
      </w:pPr>
    </w:p>
    <w:p>
      <w:pPr>
        <w:pStyle w:val="BodyText"/>
        <w:spacing w:before="1"/>
        <w:rPr>
          <w:sz w:val="14"/>
        </w:rPr>
      </w:pPr>
    </w:p>
    <w:p>
      <w:pPr>
        <w:pStyle w:val="BodyText"/>
        <w:spacing w:line="372" w:lineRule="auto" w:before="90"/>
        <w:ind w:left="107" w:right="407"/>
      </w:pPr>
      <w:r>
        <w:rPr/>
        <w:t>difficulties</w:t>
      </w:r>
      <w:r>
        <w:rPr>
          <w:spacing w:val="-10"/>
        </w:rPr>
        <w:t> </w:t>
      </w:r>
      <w:r>
        <w:rPr/>
        <w:t>associated</w:t>
      </w:r>
      <w:r>
        <w:rPr>
          <w:spacing w:val="-9"/>
        </w:rPr>
        <w:t> </w:t>
      </w:r>
      <w:r>
        <w:rPr/>
        <w:t>with</w:t>
      </w:r>
      <w:r>
        <w:rPr>
          <w:spacing w:val="-10"/>
        </w:rPr>
        <w:t> </w:t>
      </w:r>
      <w:r>
        <w:rPr/>
        <w:t>estimating</w:t>
      </w:r>
      <w:r>
        <w:rPr>
          <w:spacing w:val="-9"/>
        </w:rPr>
        <w:t> </w:t>
      </w:r>
      <w:r>
        <w:rPr/>
        <w:t>the</w:t>
      </w:r>
      <w:r>
        <w:rPr>
          <w:spacing w:val="-10"/>
        </w:rPr>
        <w:t> </w:t>
      </w:r>
      <w:r>
        <w:rPr/>
        <w:t>ex</w:t>
      </w:r>
      <w:r>
        <w:rPr>
          <w:spacing w:val="-9"/>
        </w:rPr>
        <w:t> </w:t>
      </w:r>
      <w:r>
        <w:rPr/>
        <w:t>ante</w:t>
      </w:r>
      <w:r>
        <w:rPr>
          <w:spacing w:val="-10"/>
        </w:rPr>
        <w:t> </w:t>
      </w:r>
      <w:r>
        <w:rPr/>
        <w:t>short</w:t>
      </w:r>
      <w:r>
        <w:rPr>
          <w:spacing w:val="-9"/>
        </w:rPr>
        <w:t> </w:t>
      </w:r>
      <w:r>
        <w:rPr/>
        <w:t>real</w:t>
      </w:r>
      <w:r>
        <w:rPr>
          <w:spacing w:val="-9"/>
        </w:rPr>
        <w:t> </w:t>
      </w:r>
      <w:r>
        <w:rPr/>
        <w:t>rate</w:t>
      </w:r>
      <w:r>
        <w:rPr>
          <w:spacing w:val="-10"/>
        </w:rPr>
        <w:t> </w:t>
      </w:r>
      <w:r>
        <w:rPr/>
        <w:t>and</w:t>
      </w:r>
      <w:r>
        <w:rPr>
          <w:spacing w:val="-9"/>
        </w:rPr>
        <w:t> </w:t>
      </w:r>
      <w:r>
        <w:rPr/>
        <w:t>the</w:t>
      </w:r>
      <w:r>
        <w:rPr>
          <w:spacing w:val="-10"/>
        </w:rPr>
        <w:t> </w:t>
      </w:r>
      <w:r>
        <w:rPr/>
        <w:t>equilibrium</w:t>
      </w:r>
      <w:r>
        <w:rPr>
          <w:spacing w:val="-9"/>
        </w:rPr>
        <w:t> </w:t>
      </w:r>
      <w:r>
        <w:rPr/>
        <w:t>real</w:t>
      </w:r>
      <w:r>
        <w:rPr>
          <w:spacing w:val="-10"/>
        </w:rPr>
        <w:t> </w:t>
      </w:r>
      <w:r>
        <w:rPr/>
        <w:t>rate,</w:t>
      </w:r>
      <w:r>
        <w:rPr>
          <w:spacing w:val="-9"/>
        </w:rPr>
        <w:t> </w:t>
      </w:r>
      <w:r>
        <w:rPr/>
        <w:t>neither</w:t>
      </w:r>
      <w:r>
        <w:rPr>
          <w:spacing w:val="-9"/>
        </w:rPr>
        <w:t> </w:t>
      </w:r>
      <w:r>
        <w:rPr/>
        <w:t>of </w:t>
      </w:r>
      <w:r>
        <w:rPr>
          <w:spacing w:val="-3"/>
        </w:rPr>
        <w:t>which could </w:t>
      </w:r>
      <w:r>
        <w:rPr/>
        <w:t>be </w:t>
      </w:r>
      <w:r>
        <w:rPr>
          <w:spacing w:val="-3"/>
        </w:rPr>
        <w:t>observed</w:t>
      </w:r>
      <w:r>
        <w:rPr>
          <w:spacing w:val="6"/>
        </w:rPr>
        <w:t> </w:t>
      </w:r>
      <w:r>
        <w:rPr>
          <w:spacing w:val="-3"/>
        </w:rPr>
        <w:t>directly.</w:t>
      </w:r>
    </w:p>
    <w:p>
      <w:pPr>
        <w:pStyle w:val="BodyText"/>
        <w:spacing w:before="1"/>
        <w:rPr>
          <w:sz w:val="37"/>
        </w:rPr>
      </w:pPr>
    </w:p>
    <w:p>
      <w:pPr>
        <w:pStyle w:val="ListParagraph"/>
        <w:numPr>
          <w:ilvl w:val="0"/>
          <w:numId w:val="1"/>
        </w:numPr>
        <w:tabs>
          <w:tab w:pos="506" w:val="left" w:leader="none"/>
        </w:tabs>
        <w:spacing w:line="372" w:lineRule="auto" w:before="0" w:after="0"/>
        <w:ind w:left="107" w:right="256" w:firstLine="0"/>
        <w:jc w:val="left"/>
        <w:rPr>
          <w:sz w:val="24"/>
        </w:rPr>
      </w:pPr>
      <w:r>
        <w:rPr>
          <w:sz w:val="24"/>
        </w:rPr>
        <w:t>The</w:t>
      </w:r>
      <w:r>
        <w:rPr>
          <w:spacing w:val="-3"/>
          <w:sz w:val="24"/>
        </w:rPr>
        <w:t> </w:t>
      </w:r>
      <w:r>
        <w:rPr>
          <w:sz w:val="24"/>
        </w:rPr>
        <w:t>Committee</w:t>
      </w:r>
      <w:r>
        <w:rPr>
          <w:spacing w:val="-3"/>
          <w:sz w:val="24"/>
        </w:rPr>
        <w:t> </w:t>
      </w:r>
      <w:r>
        <w:rPr>
          <w:sz w:val="24"/>
        </w:rPr>
        <w:t>noted</w:t>
      </w:r>
      <w:r>
        <w:rPr>
          <w:spacing w:val="-2"/>
          <w:sz w:val="24"/>
        </w:rPr>
        <w:t> </w:t>
      </w:r>
      <w:r>
        <w:rPr>
          <w:sz w:val="24"/>
        </w:rPr>
        <w:t>that,</w:t>
      </w:r>
      <w:r>
        <w:rPr>
          <w:spacing w:val="-3"/>
          <w:sz w:val="24"/>
        </w:rPr>
        <w:t> </w:t>
      </w:r>
      <w:r>
        <w:rPr>
          <w:sz w:val="24"/>
        </w:rPr>
        <w:t>although</w:t>
      </w:r>
      <w:r>
        <w:rPr>
          <w:spacing w:val="-3"/>
          <w:sz w:val="24"/>
        </w:rPr>
        <w:t> </w:t>
      </w:r>
      <w:r>
        <w:rPr>
          <w:sz w:val="24"/>
        </w:rPr>
        <w:t>there</w:t>
      </w:r>
      <w:r>
        <w:rPr>
          <w:spacing w:val="-2"/>
          <w:sz w:val="24"/>
        </w:rPr>
        <w:t> </w:t>
      </w:r>
      <w:r>
        <w:rPr>
          <w:sz w:val="24"/>
        </w:rPr>
        <w:t>had</w:t>
      </w:r>
      <w:r>
        <w:rPr>
          <w:spacing w:val="-3"/>
          <w:sz w:val="24"/>
        </w:rPr>
        <w:t> </w:t>
      </w:r>
      <w:r>
        <w:rPr>
          <w:sz w:val="24"/>
        </w:rPr>
        <w:t>been</w:t>
      </w:r>
      <w:r>
        <w:rPr>
          <w:spacing w:val="-3"/>
          <w:sz w:val="24"/>
        </w:rPr>
        <w:t> </w:t>
      </w:r>
      <w:r>
        <w:rPr>
          <w:sz w:val="24"/>
        </w:rPr>
        <w:t>no</w:t>
      </w:r>
      <w:r>
        <w:rPr>
          <w:spacing w:val="-2"/>
          <w:sz w:val="24"/>
        </w:rPr>
        <w:t> </w:t>
      </w:r>
      <w:r>
        <w:rPr>
          <w:sz w:val="24"/>
        </w:rPr>
        <w:t>change</w:t>
      </w:r>
      <w:r>
        <w:rPr>
          <w:spacing w:val="-3"/>
          <w:sz w:val="24"/>
        </w:rPr>
        <w:t> </w:t>
      </w:r>
      <w:r>
        <w:rPr>
          <w:sz w:val="24"/>
        </w:rPr>
        <w:t>in</w:t>
      </w:r>
      <w:r>
        <w:rPr>
          <w:spacing w:val="-3"/>
          <w:sz w:val="24"/>
        </w:rPr>
        <w:t> </w:t>
      </w:r>
      <w:r>
        <w:rPr>
          <w:sz w:val="24"/>
        </w:rPr>
        <w:t>the</w:t>
      </w:r>
      <w:r>
        <w:rPr>
          <w:spacing w:val="-2"/>
          <w:sz w:val="24"/>
        </w:rPr>
        <w:t> </w:t>
      </w:r>
      <w:r>
        <w:rPr>
          <w:sz w:val="24"/>
        </w:rPr>
        <w:t>Bank’s</w:t>
      </w:r>
      <w:r>
        <w:rPr>
          <w:spacing w:val="-3"/>
          <w:sz w:val="24"/>
        </w:rPr>
        <w:t> </w:t>
      </w:r>
      <w:r>
        <w:rPr>
          <w:sz w:val="24"/>
        </w:rPr>
        <w:t>repo</w:t>
      </w:r>
      <w:r>
        <w:rPr>
          <w:spacing w:val="-3"/>
          <w:sz w:val="24"/>
        </w:rPr>
        <w:t> </w:t>
      </w:r>
      <w:r>
        <w:rPr>
          <w:sz w:val="24"/>
        </w:rPr>
        <w:t>rate,</w:t>
      </w:r>
      <w:r>
        <w:rPr>
          <w:spacing w:val="-2"/>
          <w:sz w:val="24"/>
        </w:rPr>
        <w:t> </w:t>
      </w:r>
      <w:r>
        <w:rPr>
          <w:sz w:val="24"/>
        </w:rPr>
        <w:t>the</w:t>
      </w:r>
      <w:r>
        <w:rPr>
          <w:spacing w:val="-3"/>
          <w:sz w:val="24"/>
        </w:rPr>
        <w:t> </w:t>
      </w:r>
      <w:r>
        <w:rPr>
          <w:sz w:val="24"/>
        </w:rPr>
        <w:t>short</w:t>
      </w:r>
      <w:r>
        <w:rPr>
          <w:spacing w:val="-3"/>
          <w:sz w:val="24"/>
        </w:rPr>
        <w:t> </w:t>
      </w:r>
      <w:r>
        <w:rPr>
          <w:sz w:val="24"/>
        </w:rPr>
        <w:t>end of the yield curve had risen by about 20bp since its previous meeting, apparently in response to </w:t>
      </w:r>
      <w:r>
        <w:rPr>
          <w:spacing w:val="-2"/>
          <w:sz w:val="24"/>
        </w:rPr>
        <w:t>the </w:t>
      </w:r>
      <w:r>
        <w:rPr>
          <w:sz w:val="24"/>
        </w:rPr>
        <w:t>Inflation Report. And sterling had strengthened in the immediate run-up to the current MPC meeting. </w:t>
      </w:r>
      <w:r>
        <w:rPr>
          <w:spacing w:val="-3"/>
          <w:sz w:val="24"/>
        </w:rPr>
        <w:t>While </w:t>
      </w:r>
      <w:r>
        <w:rPr>
          <w:sz w:val="24"/>
        </w:rPr>
        <w:t>it was </w:t>
      </w:r>
      <w:r>
        <w:rPr>
          <w:spacing w:val="-3"/>
          <w:sz w:val="24"/>
        </w:rPr>
        <w:t>possible that </w:t>
      </w:r>
      <w:r>
        <w:rPr>
          <w:sz w:val="24"/>
        </w:rPr>
        <w:t>an </w:t>
      </w:r>
      <w:r>
        <w:rPr>
          <w:spacing w:val="-3"/>
          <w:sz w:val="24"/>
        </w:rPr>
        <w:t>immediate rise </w:t>
      </w:r>
      <w:r>
        <w:rPr>
          <w:sz w:val="24"/>
        </w:rPr>
        <w:t>in the </w:t>
      </w:r>
      <w:r>
        <w:rPr>
          <w:spacing w:val="-3"/>
          <w:sz w:val="24"/>
        </w:rPr>
        <w:t>Bank’s repo rate would </w:t>
      </w:r>
      <w:r>
        <w:rPr>
          <w:sz w:val="24"/>
        </w:rPr>
        <w:t>be </w:t>
      </w:r>
      <w:r>
        <w:rPr>
          <w:spacing w:val="-3"/>
          <w:sz w:val="24"/>
        </w:rPr>
        <w:t>accompanied </w:t>
      </w:r>
      <w:r>
        <w:rPr>
          <w:sz w:val="24"/>
        </w:rPr>
        <w:t>by </w:t>
      </w:r>
      <w:r>
        <w:rPr>
          <w:spacing w:val="-3"/>
          <w:sz w:val="24"/>
        </w:rPr>
        <w:t>an </w:t>
      </w:r>
      <w:r>
        <w:rPr>
          <w:sz w:val="24"/>
        </w:rPr>
        <w:t>offsetting fall in market expectations of future interest rates, the Committee took the view that it would be more likely than not to prompt a further appreciation in</w:t>
      </w:r>
      <w:r>
        <w:rPr>
          <w:spacing w:val="-15"/>
          <w:sz w:val="24"/>
        </w:rPr>
        <w:t> </w:t>
      </w:r>
      <w:r>
        <w:rPr>
          <w:sz w:val="24"/>
        </w:rPr>
        <w:t>sterling.</w:t>
      </w:r>
    </w:p>
    <w:p>
      <w:pPr>
        <w:pStyle w:val="BodyText"/>
        <w:spacing w:before="3"/>
        <w:rPr>
          <w:sz w:val="37"/>
        </w:rPr>
      </w:pPr>
    </w:p>
    <w:p>
      <w:pPr>
        <w:pStyle w:val="Heading1"/>
      </w:pPr>
      <w:r>
        <w:rPr/>
        <w:t>Real side puzzles</w:t>
      </w:r>
    </w:p>
    <w:p>
      <w:pPr>
        <w:pStyle w:val="BodyText"/>
        <w:rPr>
          <w:b/>
          <w:sz w:val="26"/>
        </w:rPr>
      </w:pPr>
    </w:p>
    <w:p>
      <w:pPr>
        <w:pStyle w:val="BodyText"/>
        <w:spacing w:before="10"/>
        <w:rPr>
          <w:b/>
          <w:sz w:val="23"/>
        </w:rPr>
      </w:pPr>
    </w:p>
    <w:p>
      <w:pPr>
        <w:pStyle w:val="ListParagraph"/>
        <w:numPr>
          <w:ilvl w:val="0"/>
          <w:numId w:val="1"/>
        </w:numPr>
        <w:tabs>
          <w:tab w:pos="506" w:val="left" w:leader="none"/>
        </w:tabs>
        <w:spacing w:line="372" w:lineRule="auto" w:before="0" w:after="0"/>
        <w:ind w:left="107" w:right="117" w:firstLine="0"/>
        <w:jc w:val="left"/>
        <w:rPr>
          <w:sz w:val="24"/>
        </w:rPr>
      </w:pPr>
      <w:r>
        <w:rPr>
          <w:sz w:val="24"/>
        </w:rPr>
        <w:t>The Committee recalled its assessment at earlier meetings that the short-to-medium run path </w:t>
      </w:r>
      <w:r>
        <w:rPr>
          <w:spacing w:val="-2"/>
          <w:sz w:val="24"/>
        </w:rPr>
        <w:t>for </w:t>
      </w:r>
      <w:r>
        <w:rPr>
          <w:spacing w:val="-3"/>
          <w:sz w:val="24"/>
        </w:rPr>
        <w:t>output </w:t>
      </w:r>
      <w:r>
        <w:rPr>
          <w:sz w:val="24"/>
        </w:rPr>
        <w:t>and </w:t>
      </w:r>
      <w:r>
        <w:rPr>
          <w:spacing w:val="-3"/>
          <w:sz w:val="24"/>
        </w:rPr>
        <w:t>inflation, would </w:t>
      </w:r>
      <w:r>
        <w:rPr>
          <w:sz w:val="24"/>
        </w:rPr>
        <w:t>in the </w:t>
      </w:r>
      <w:r>
        <w:rPr>
          <w:spacing w:val="-3"/>
          <w:sz w:val="24"/>
        </w:rPr>
        <w:t>absence </w:t>
      </w:r>
      <w:r>
        <w:rPr>
          <w:sz w:val="24"/>
        </w:rPr>
        <w:t>of </w:t>
      </w:r>
      <w:r>
        <w:rPr>
          <w:spacing w:val="-3"/>
          <w:sz w:val="24"/>
        </w:rPr>
        <w:t>shocks </w:t>
      </w:r>
      <w:r>
        <w:rPr>
          <w:sz w:val="24"/>
        </w:rPr>
        <w:t>be </w:t>
      </w:r>
      <w:r>
        <w:rPr>
          <w:spacing w:val="-3"/>
          <w:sz w:val="24"/>
        </w:rPr>
        <w:t>determined largely </w:t>
      </w:r>
      <w:r>
        <w:rPr>
          <w:sz w:val="24"/>
        </w:rPr>
        <w:t>by the </w:t>
      </w:r>
      <w:r>
        <w:rPr>
          <w:spacing w:val="-3"/>
          <w:sz w:val="24"/>
        </w:rPr>
        <w:t>balance </w:t>
      </w:r>
      <w:r>
        <w:rPr>
          <w:sz w:val="24"/>
        </w:rPr>
        <w:t>of </w:t>
      </w:r>
      <w:r>
        <w:rPr>
          <w:spacing w:val="-3"/>
          <w:sz w:val="24"/>
        </w:rPr>
        <w:t>influence of </w:t>
      </w:r>
      <w:r>
        <w:rPr>
          <w:sz w:val="24"/>
        </w:rPr>
        <w:t>domestic</w:t>
      </w:r>
      <w:r>
        <w:rPr>
          <w:spacing w:val="-7"/>
          <w:sz w:val="24"/>
        </w:rPr>
        <w:t> </w:t>
      </w:r>
      <w:r>
        <w:rPr>
          <w:sz w:val="24"/>
        </w:rPr>
        <w:t>demand</w:t>
      </w:r>
      <w:r>
        <w:rPr>
          <w:spacing w:val="-7"/>
          <w:sz w:val="24"/>
        </w:rPr>
        <w:t> </w:t>
      </w:r>
      <w:r>
        <w:rPr>
          <w:sz w:val="24"/>
        </w:rPr>
        <w:t>and</w:t>
      </w:r>
      <w:r>
        <w:rPr>
          <w:spacing w:val="-7"/>
          <w:sz w:val="24"/>
        </w:rPr>
        <w:t> </w:t>
      </w:r>
      <w:r>
        <w:rPr>
          <w:sz w:val="24"/>
        </w:rPr>
        <w:t>net</w:t>
      </w:r>
      <w:r>
        <w:rPr>
          <w:spacing w:val="-7"/>
          <w:sz w:val="24"/>
        </w:rPr>
        <w:t> </w:t>
      </w:r>
      <w:r>
        <w:rPr>
          <w:sz w:val="24"/>
        </w:rPr>
        <w:t>trade.</w:t>
      </w:r>
      <w:r>
        <w:rPr>
          <w:spacing w:val="49"/>
          <w:sz w:val="24"/>
        </w:rPr>
        <w:t> </w:t>
      </w:r>
      <w:r>
        <w:rPr>
          <w:sz w:val="24"/>
        </w:rPr>
        <w:t>There</w:t>
      </w:r>
      <w:r>
        <w:rPr>
          <w:spacing w:val="-6"/>
          <w:sz w:val="24"/>
        </w:rPr>
        <w:t> </w:t>
      </w:r>
      <w:r>
        <w:rPr>
          <w:sz w:val="24"/>
        </w:rPr>
        <w:t>was</w:t>
      </w:r>
      <w:r>
        <w:rPr>
          <w:spacing w:val="-7"/>
          <w:sz w:val="24"/>
        </w:rPr>
        <w:t> </w:t>
      </w:r>
      <w:r>
        <w:rPr>
          <w:sz w:val="24"/>
        </w:rPr>
        <w:t>a</w:t>
      </w:r>
      <w:r>
        <w:rPr>
          <w:spacing w:val="-7"/>
          <w:sz w:val="24"/>
        </w:rPr>
        <w:t> </w:t>
      </w:r>
      <w:r>
        <w:rPr>
          <w:sz w:val="24"/>
        </w:rPr>
        <w:t>series</w:t>
      </w:r>
      <w:r>
        <w:rPr>
          <w:spacing w:val="-7"/>
          <w:sz w:val="24"/>
        </w:rPr>
        <w:t> </w:t>
      </w:r>
      <w:r>
        <w:rPr>
          <w:sz w:val="24"/>
        </w:rPr>
        <w:t>of</w:t>
      </w:r>
      <w:r>
        <w:rPr>
          <w:spacing w:val="-6"/>
          <w:sz w:val="24"/>
        </w:rPr>
        <w:t> </w:t>
      </w:r>
      <w:r>
        <w:rPr>
          <w:sz w:val="24"/>
        </w:rPr>
        <w:t>puzzles</w:t>
      </w:r>
      <w:r>
        <w:rPr>
          <w:spacing w:val="-7"/>
          <w:sz w:val="24"/>
        </w:rPr>
        <w:t> </w:t>
      </w:r>
      <w:r>
        <w:rPr>
          <w:sz w:val="24"/>
        </w:rPr>
        <w:t>in</w:t>
      </w:r>
      <w:r>
        <w:rPr>
          <w:spacing w:val="-7"/>
          <w:sz w:val="24"/>
        </w:rPr>
        <w:t> </w:t>
      </w:r>
      <w:r>
        <w:rPr>
          <w:sz w:val="24"/>
        </w:rPr>
        <w:t>the</w:t>
      </w:r>
      <w:r>
        <w:rPr>
          <w:spacing w:val="-7"/>
          <w:sz w:val="24"/>
        </w:rPr>
        <w:t> </w:t>
      </w:r>
      <w:r>
        <w:rPr>
          <w:sz w:val="24"/>
        </w:rPr>
        <w:t>data,</w:t>
      </w:r>
      <w:r>
        <w:rPr>
          <w:spacing w:val="-7"/>
          <w:sz w:val="24"/>
        </w:rPr>
        <w:t> </w:t>
      </w:r>
      <w:r>
        <w:rPr>
          <w:sz w:val="24"/>
        </w:rPr>
        <w:t>making</w:t>
      </w:r>
      <w:r>
        <w:rPr>
          <w:spacing w:val="-6"/>
          <w:sz w:val="24"/>
        </w:rPr>
        <w:t> </w:t>
      </w:r>
      <w:r>
        <w:rPr>
          <w:sz w:val="24"/>
        </w:rPr>
        <w:t>it</w:t>
      </w:r>
      <w:r>
        <w:rPr>
          <w:spacing w:val="-7"/>
          <w:sz w:val="24"/>
        </w:rPr>
        <w:t> </w:t>
      </w:r>
      <w:r>
        <w:rPr>
          <w:sz w:val="24"/>
        </w:rPr>
        <w:t>difficult</w:t>
      </w:r>
      <w:r>
        <w:rPr>
          <w:spacing w:val="-7"/>
          <w:sz w:val="24"/>
        </w:rPr>
        <w:t> </w:t>
      </w:r>
      <w:r>
        <w:rPr>
          <w:sz w:val="24"/>
        </w:rPr>
        <w:t>to</w:t>
      </w:r>
      <w:r>
        <w:rPr>
          <w:spacing w:val="-7"/>
          <w:sz w:val="24"/>
        </w:rPr>
        <w:t> </w:t>
      </w:r>
      <w:r>
        <w:rPr>
          <w:sz w:val="24"/>
        </w:rPr>
        <w:t>assess</w:t>
      </w:r>
      <w:r>
        <w:rPr>
          <w:spacing w:val="-6"/>
          <w:sz w:val="24"/>
        </w:rPr>
        <w:t> </w:t>
      </w:r>
      <w:r>
        <w:rPr>
          <w:sz w:val="24"/>
        </w:rPr>
        <w:t>this </w:t>
      </w:r>
      <w:r>
        <w:rPr>
          <w:spacing w:val="-3"/>
          <w:sz w:val="24"/>
        </w:rPr>
        <w:t>balance.</w:t>
      </w:r>
    </w:p>
    <w:p>
      <w:pPr>
        <w:pStyle w:val="BodyText"/>
        <w:rPr>
          <w:sz w:val="37"/>
        </w:rPr>
      </w:pPr>
    </w:p>
    <w:p>
      <w:pPr>
        <w:pStyle w:val="ListParagraph"/>
        <w:numPr>
          <w:ilvl w:val="0"/>
          <w:numId w:val="2"/>
        </w:numPr>
        <w:tabs>
          <w:tab w:pos="564" w:val="left" w:leader="none"/>
        </w:tabs>
        <w:spacing w:line="240" w:lineRule="auto" w:before="0" w:after="0"/>
        <w:ind w:left="563" w:right="0" w:hanging="457"/>
        <w:jc w:val="left"/>
        <w:rPr>
          <w:sz w:val="24"/>
        </w:rPr>
      </w:pPr>
      <w:r>
        <w:rPr>
          <w:sz w:val="24"/>
          <w:u w:val="single"/>
        </w:rPr>
        <w:t>Consumption</w:t>
      </w:r>
    </w:p>
    <w:p>
      <w:pPr>
        <w:pStyle w:val="BodyText"/>
        <w:rPr>
          <w:sz w:val="20"/>
        </w:rPr>
      </w:pPr>
    </w:p>
    <w:p>
      <w:pPr>
        <w:pStyle w:val="BodyText"/>
        <w:spacing w:before="5"/>
        <w:rPr>
          <w:sz w:val="22"/>
        </w:rPr>
      </w:pPr>
    </w:p>
    <w:p>
      <w:pPr>
        <w:pStyle w:val="ListParagraph"/>
        <w:numPr>
          <w:ilvl w:val="0"/>
          <w:numId w:val="1"/>
        </w:numPr>
        <w:tabs>
          <w:tab w:pos="506" w:val="left" w:leader="none"/>
        </w:tabs>
        <w:spacing w:line="372" w:lineRule="auto" w:before="90" w:after="0"/>
        <w:ind w:left="107" w:right="121" w:firstLine="0"/>
        <w:jc w:val="left"/>
        <w:rPr>
          <w:sz w:val="24"/>
        </w:rPr>
      </w:pPr>
      <w:r>
        <w:rPr>
          <w:sz w:val="24"/>
        </w:rPr>
        <w:t>The</w:t>
      </w:r>
      <w:r>
        <w:rPr>
          <w:spacing w:val="-8"/>
          <w:sz w:val="24"/>
        </w:rPr>
        <w:t> </w:t>
      </w:r>
      <w:r>
        <w:rPr>
          <w:sz w:val="24"/>
        </w:rPr>
        <w:t>trend</w:t>
      </w:r>
      <w:r>
        <w:rPr>
          <w:spacing w:val="-8"/>
          <w:sz w:val="24"/>
        </w:rPr>
        <w:t> </w:t>
      </w:r>
      <w:r>
        <w:rPr>
          <w:sz w:val="24"/>
        </w:rPr>
        <w:t>in</w:t>
      </w:r>
      <w:r>
        <w:rPr>
          <w:spacing w:val="-8"/>
          <w:sz w:val="24"/>
        </w:rPr>
        <w:t> </w:t>
      </w:r>
      <w:r>
        <w:rPr>
          <w:sz w:val="24"/>
        </w:rPr>
        <w:t>consumption</w:t>
      </w:r>
      <w:r>
        <w:rPr>
          <w:spacing w:val="-8"/>
          <w:sz w:val="24"/>
        </w:rPr>
        <w:t> </w:t>
      </w:r>
      <w:r>
        <w:rPr>
          <w:sz w:val="24"/>
        </w:rPr>
        <w:t>growth</w:t>
      </w:r>
      <w:r>
        <w:rPr>
          <w:spacing w:val="-8"/>
          <w:sz w:val="24"/>
        </w:rPr>
        <w:t> </w:t>
      </w:r>
      <w:r>
        <w:rPr>
          <w:sz w:val="24"/>
        </w:rPr>
        <w:t>was</w:t>
      </w:r>
      <w:r>
        <w:rPr>
          <w:spacing w:val="-7"/>
          <w:sz w:val="24"/>
        </w:rPr>
        <w:t> </w:t>
      </w:r>
      <w:r>
        <w:rPr>
          <w:sz w:val="24"/>
        </w:rPr>
        <w:t>difficult</w:t>
      </w:r>
      <w:r>
        <w:rPr>
          <w:spacing w:val="-8"/>
          <w:sz w:val="24"/>
        </w:rPr>
        <w:t> </w:t>
      </w:r>
      <w:r>
        <w:rPr>
          <w:sz w:val="24"/>
        </w:rPr>
        <w:t>to</w:t>
      </w:r>
      <w:r>
        <w:rPr>
          <w:spacing w:val="-8"/>
          <w:sz w:val="24"/>
        </w:rPr>
        <w:t> </w:t>
      </w:r>
      <w:r>
        <w:rPr>
          <w:sz w:val="24"/>
        </w:rPr>
        <w:t>identify</w:t>
      </w:r>
      <w:r>
        <w:rPr>
          <w:spacing w:val="-8"/>
          <w:sz w:val="24"/>
        </w:rPr>
        <w:t> </w:t>
      </w:r>
      <w:r>
        <w:rPr>
          <w:sz w:val="24"/>
        </w:rPr>
        <w:t>due</w:t>
      </w:r>
      <w:r>
        <w:rPr>
          <w:spacing w:val="-8"/>
          <w:sz w:val="24"/>
        </w:rPr>
        <w:t> </w:t>
      </w:r>
      <w:r>
        <w:rPr>
          <w:sz w:val="24"/>
        </w:rPr>
        <w:t>to</w:t>
      </w:r>
      <w:r>
        <w:rPr>
          <w:spacing w:val="-7"/>
          <w:sz w:val="24"/>
        </w:rPr>
        <w:t> </w:t>
      </w:r>
      <w:r>
        <w:rPr>
          <w:sz w:val="24"/>
        </w:rPr>
        <w:t>the</w:t>
      </w:r>
      <w:r>
        <w:rPr>
          <w:spacing w:val="-8"/>
          <w:sz w:val="24"/>
        </w:rPr>
        <w:t> </w:t>
      </w:r>
      <w:r>
        <w:rPr>
          <w:sz w:val="24"/>
        </w:rPr>
        <w:t>distortions</w:t>
      </w:r>
      <w:r>
        <w:rPr>
          <w:spacing w:val="-8"/>
          <w:sz w:val="24"/>
        </w:rPr>
        <w:t> </w:t>
      </w:r>
      <w:r>
        <w:rPr>
          <w:sz w:val="24"/>
        </w:rPr>
        <w:t>caused</w:t>
      </w:r>
      <w:r>
        <w:rPr>
          <w:spacing w:val="-8"/>
          <w:sz w:val="24"/>
        </w:rPr>
        <w:t> </w:t>
      </w:r>
      <w:r>
        <w:rPr>
          <w:sz w:val="24"/>
        </w:rPr>
        <w:t>by</w:t>
      </w:r>
      <w:r>
        <w:rPr>
          <w:spacing w:val="-8"/>
          <w:sz w:val="24"/>
        </w:rPr>
        <w:t> </w:t>
      </w:r>
      <w:r>
        <w:rPr>
          <w:sz w:val="24"/>
        </w:rPr>
        <w:t>the</w:t>
      </w:r>
      <w:r>
        <w:rPr>
          <w:spacing w:val="-7"/>
          <w:sz w:val="24"/>
        </w:rPr>
        <w:t> </w:t>
      </w:r>
      <w:r>
        <w:rPr>
          <w:sz w:val="24"/>
        </w:rPr>
        <w:t>funeral of Diana, Princess of Wales. Smoothing over the third and fourth quarters suggested a gradual slowdown in consumption growth. But recent data on car registrations and retail sales suggested that strong personal sector demand growth had in fact continued into 1998. Consumer confidence, as measured in </w:t>
      </w:r>
      <w:r>
        <w:rPr>
          <w:spacing w:val="-3"/>
          <w:sz w:val="24"/>
        </w:rPr>
        <w:t>surveys, </w:t>
      </w:r>
      <w:r>
        <w:rPr>
          <w:sz w:val="24"/>
        </w:rPr>
        <w:t>had </w:t>
      </w:r>
      <w:r>
        <w:rPr>
          <w:spacing w:val="-3"/>
          <w:sz w:val="24"/>
        </w:rPr>
        <w:t>fallen, </w:t>
      </w:r>
      <w:r>
        <w:rPr>
          <w:sz w:val="24"/>
        </w:rPr>
        <w:t>but </w:t>
      </w:r>
      <w:r>
        <w:rPr>
          <w:spacing w:val="-3"/>
          <w:sz w:val="24"/>
        </w:rPr>
        <w:t>from exceptionally high levels </w:t>
      </w:r>
      <w:r>
        <w:rPr>
          <w:sz w:val="24"/>
        </w:rPr>
        <w:t>in </w:t>
      </w:r>
      <w:r>
        <w:rPr>
          <w:spacing w:val="-3"/>
          <w:sz w:val="24"/>
        </w:rPr>
        <w:t>mid-1997 associated with </w:t>
      </w:r>
      <w:r>
        <w:rPr>
          <w:sz w:val="24"/>
        </w:rPr>
        <w:t>the </w:t>
      </w:r>
      <w:r>
        <w:rPr>
          <w:spacing w:val="-3"/>
          <w:sz w:val="24"/>
        </w:rPr>
        <w:t>windfall payments, </w:t>
      </w:r>
      <w:r>
        <w:rPr>
          <w:sz w:val="24"/>
        </w:rPr>
        <w:t>so that the balances were still high compared with past cycles. Income from employment continued to grow strongly; house prices were up, on the Bank’s estimate based on Land Registry data, by 9% in Q4 over the previous year, although other indicators suggested that the rate of increase was slowing; and financial asset prices had continued to rise rapidly, as already discussed. The background was therefore suggestive of a continuing impetus to robust consumption growth (and strong imports). Arguably this was apparent in the January retail sales figures, which taken together with December, recorded </w:t>
      </w:r>
      <w:r>
        <w:rPr>
          <w:spacing w:val="-2"/>
          <w:sz w:val="24"/>
        </w:rPr>
        <w:t>the </w:t>
      </w:r>
      <w:r>
        <w:rPr>
          <w:sz w:val="24"/>
        </w:rPr>
        <w:t>strongest Christmas/New Year period growth since</w:t>
      </w:r>
      <w:r>
        <w:rPr>
          <w:spacing w:val="2"/>
          <w:sz w:val="24"/>
        </w:rPr>
        <w:t> </w:t>
      </w:r>
      <w:r>
        <w:rPr>
          <w:sz w:val="24"/>
        </w:rPr>
        <w:t>1989.</w:t>
      </w:r>
    </w:p>
    <w:p>
      <w:pPr>
        <w:pStyle w:val="BodyText"/>
        <w:spacing w:before="6"/>
        <w:rPr>
          <w:sz w:val="36"/>
        </w:rPr>
      </w:pPr>
    </w:p>
    <w:p>
      <w:pPr>
        <w:pStyle w:val="ListParagraph"/>
        <w:numPr>
          <w:ilvl w:val="0"/>
          <w:numId w:val="1"/>
        </w:numPr>
        <w:tabs>
          <w:tab w:pos="506" w:val="left" w:leader="none"/>
        </w:tabs>
        <w:spacing w:line="372" w:lineRule="auto" w:before="1" w:after="0"/>
        <w:ind w:left="107" w:right="343" w:firstLine="0"/>
        <w:jc w:val="left"/>
        <w:rPr>
          <w:sz w:val="24"/>
        </w:rPr>
      </w:pPr>
      <w:r>
        <w:rPr>
          <w:sz w:val="24"/>
        </w:rPr>
        <w:t>Interpretation was not, however, straightforward. This was always the case for the Christmas/New Year</w:t>
      </w:r>
      <w:r>
        <w:rPr>
          <w:spacing w:val="-8"/>
          <w:sz w:val="24"/>
        </w:rPr>
        <w:t> </w:t>
      </w:r>
      <w:r>
        <w:rPr>
          <w:sz w:val="24"/>
        </w:rPr>
        <w:t>period,</w:t>
      </w:r>
      <w:r>
        <w:rPr>
          <w:spacing w:val="-8"/>
          <w:sz w:val="24"/>
        </w:rPr>
        <w:t> </w:t>
      </w:r>
      <w:r>
        <w:rPr>
          <w:sz w:val="24"/>
        </w:rPr>
        <w:t>given</w:t>
      </w:r>
      <w:r>
        <w:rPr>
          <w:spacing w:val="-8"/>
          <w:sz w:val="24"/>
        </w:rPr>
        <w:t> </w:t>
      </w:r>
      <w:r>
        <w:rPr>
          <w:sz w:val="24"/>
        </w:rPr>
        <w:t>the</w:t>
      </w:r>
      <w:r>
        <w:rPr>
          <w:spacing w:val="-7"/>
          <w:sz w:val="24"/>
        </w:rPr>
        <w:t> </w:t>
      </w:r>
      <w:r>
        <w:rPr>
          <w:sz w:val="24"/>
        </w:rPr>
        <w:t>strength</w:t>
      </w:r>
      <w:r>
        <w:rPr>
          <w:spacing w:val="-8"/>
          <w:sz w:val="24"/>
        </w:rPr>
        <w:t> </w:t>
      </w:r>
      <w:r>
        <w:rPr>
          <w:sz w:val="24"/>
        </w:rPr>
        <w:t>of</w:t>
      </w:r>
      <w:r>
        <w:rPr>
          <w:spacing w:val="-8"/>
          <w:sz w:val="24"/>
        </w:rPr>
        <w:t> </w:t>
      </w:r>
      <w:r>
        <w:rPr>
          <w:sz w:val="24"/>
        </w:rPr>
        <w:t>the</w:t>
      </w:r>
      <w:r>
        <w:rPr>
          <w:spacing w:val="-8"/>
          <w:sz w:val="24"/>
        </w:rPr>
        <w:t> </w:t>
      </w:r>
      <w:r>
        <w:rPr>
          <w:sz w:val="24"/>
        </w:rPr>
        <w:t>seasonal</w:t>
      </w:r>
      <w:r>
        <w:rPr>
          <w:spacing w:val="-7"/>
          <w:sz w:val="24"/>
        </w:rPr>
        <w:t> </w:t>
      </w:r>
      <w:r>
        <w:rPr>
          <w:sz w:val="24"/>
        </w:rPr>
        <w:t>pattern</w:t>
      </w:r>
      <w:r>
        <w:rPr>
          <w:spacing w:val="-8"/>
          <w:sz w:val="24"/>
        </w:rPr>
        <w:t> </w:t>
      </w:r>
      <w:r>
        <w:rPr>
          <w:sz w:val="24"/>
        </w:rPr>
        <w:t>-</w:t>
      </w:r>
      <w:r>
        <w:rPr>
          <w:spacing w:val="-8"/>
          <w:sz w:val="24"/>
        </w:rPr>
        <w:t> </w:t>
      </w:r>
      <w:r>
        <w:rPr>
          <w:sz w:val="24"/>
        </w:rPr>
        <w:t>spending</w:t>
      </w:r>
      <w:r>
        <w:rPr>
          <w:spacing w:val="-8"/>
          <w:sz w:val="24"/>
        </w:rPr>
        <w:t> </w:t>
      </w:r>
      <w:r>
        <w:rPr>
          <w:sz w:val="24"/>
        </w:rPr>
        <w:t>was</w:t>
      </w:r>
      <w:r>
        <w:rPr>
          <w:spacing w:val="-7"/>
          <w:sz w:val="24"/>
        </w:rPr>
        <w:t> </w:t>
      </w:r>
      <w:r>
        <w:rPr>
          <w:sz w:val="24"/>
        </w:rPr>
        <w:t>much</w:t>
      </w:r>
      <w:r>
        <w:rPr>
          <w:spacing w:val="-8"/>
          <w:sz w:val="24"/>
        </w:rPr>
        <w:t> </w:t>
      </w:r>
      <w:r>
        <w:rPr>
          <w:sz w:val="24"/>
        </w:rPr>
        <w:t>higher</w:t>
      </w:r>
      <w:r>
        <w:rPr>
          <w:spacing w:val="-8"/>
          <w:sz w:val="24"/>
        </w:rPr>
        <w:t> </w:t>
      </w:r>
      <w:r>
        <w:rPr>
          <w:sz w:val="24"/>
        </w:rPr>
        <w:t>in</w:t>
      </w:r>
      <w:r>
        <w:rPr>
          <w:spacing w:val="-7"/>
          <w:sz w:val="24"/>
        </w:rPr>
        <w:t> </w:t>
      </w:r>
      <w:r>
        <w:rPr>
          <w:sz w:val="24"/>
        </w:rPr>
        <w:t>December</w:t>
      </w:r>
      <w:r>
        <w:rPr>
          <w:spacing w:val="-8"/>
          <w:sz w:val="24"/>
        </w:rPr>
        <w:t> </w:t>
      </w:r>
      <w:r>
        <w:rPr>
          <w:sz w:val="24"/>
        </w:rPr>
        <w:t>than</w:t>
      </w:r>
      <w:r>
        <w:rPr>
          <w:spacing w:val="-8"/>
          <w:sz w:val="24"/>
        </w:rPr>
        <w:t> </w:t>
      </w:r>
      <w:r>
        <w:rPr>
          <w:sz w:val="24"/>
        </w:rPr>
        <w:t>in</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72" w:lineRule="auto" w:before="90"/>
        <w:ind w:left="107" w:right="128"/>
      </w:pPr>
      <w:r>
        <w:rPr/>
        <w:t>January on an unadjusted basis. In addition, in this particular year, a </w:t>
      </w:r>
      <w:r>
        <w:rPr>
          <w:spacing w:val="-3"/>
        </w:rPr>
        <w:t>pre-Christmas </w:t>
      </w:r>
      <w:r>
        <w:rPr/>
        <w:t>BRC </w:t>
      </w:r>
      <w:r>
        <w:rPr>
          <w:spacing w:val="-3"/>
        </w:rPr>
        <w:t>survey had </w:t>
      </w:r>
      <w:r>
        <w:rPr/>
        <w:t>indicated that consumers had waited to make some major purchases out of windfall gains until </w:t>
      </w:r>
      <w:r>
        <w:rPr>
          <w:spacing w:val="-2"/>
        </w:rPr>
        <w:t>the </w:t>
      </w:r>
      <w:r>
        <w:rPr/>
        <w:t>Christmas/New Year period, and that this had been planned last summer, so that the recent data </w:t>
      </w:r>
      <w:r>
        <w:rPr>
          <w:spacing w:val="-2"/>
        </w:rPr>
        <w:t>should </w:t>
      </w:r>
      <w:r>
        <w:rPr/>
        <w:t>not be a surprise. January’s strength had also been accompanied by aggressive discounting by stores, which some commentators attributed to retailers carrying higher-than-expected inventories at the end of 1997. Reports from the Bank’s regional Agents and surveys suggested that while buoyant retail business had </w:t>
      </w:r>
      <w:r>
        <w:rPr>
          <w:spacing w:val="-3"/>
        </w:rPr>
        <w:t>continued into early February, </w:t>
      </w:r>
      <w:r>
        <w:rPr/>
        <w:t>it had </w:t>
      </w:r>
      <w:r>
        <w:rPr>
          <w:spacing w:val="-3"/>
        </w:rPr>
        <w:t>since slowed. Finally, there </w:t>
      </w:r>
      <w:r>
        <w:rPr/>
        <w:t>had </w:t>
      </w:r>
      <w:r>
        <w:rPr>
          <w:spacing w:val="-3"/>
        </w:rPr>
        <w:t>been profit warnings from some </w:t>
      </w:r>
      <w:r>
        <w:rPr/>
        <w:t>retail companies, perhaps suggesting that the underlying position was not as strong as the sales </w:t>
      </w:r>
      <w:r>
        <w:rPr>
          <w:spacing w:val="-2"/>
        </w:rPr>
        <w:t>volume </w:t>
      </w:r>
      <w:r>
        <w:rPr>
          <w:spacing w:val="-4"/>
        </w:rPr>
        <w:t>numbers implied.</w:t>
      </w:r>
    </w:p>
    <w:p>
      <w:pPr>
        <w:pStyle w:val="BodyText"/>
        <w:spacing w:before="8"/>
        <w:rPr>
          <w:sz w:val="36"/>
        </w:rPr>
      </w:pPr>
    </w:p>
    <w:p>
      <w:pPr>
        <w:pStyle w:val="ListParagraph"/>
        <w:numPr>
          <w:ilvl w:val="0"/>
          <w:numId w:val="2"/>
        </w:numPr>
        <w:tabs>
          <w:tab w:pos="573" w:val="left" w:leader="none"/>
        </w:tabs>
        <w:spacing w:line="240" w:lineRule="auto" w:before="0" w:after="0"/>
        <w:ind w:left="572" w:right="0" w:hanging="466"/>
        <w:jc w:val="left"/>
        <w:rPr>
          <w:sz w:val="24"/>
        </w:rPr>
      </w:pPr>
      <w:r>
        <w:rPr>
          <w:sz w:val="24"/>
          <w:u w:val="single"/>
        </w:rPr>
        <w:t>Net</w:t>
      </w:r>
      <w:r>
        <w:rPr>
          <w:spacing w:val="3"/>
          <w:sz w:val="24"/>
          <w:u w:val="single"/>
        </w:rPr>
        <w:t> </w:t>
      </w:r>
      <w:r>
        <w:rPr>
          <w:sz w:val="24"/>
          <w:u w:val="single"/>
        </w:rPr>
        <w:t>trade</w:t>
      </w:r>
    </w:p>
    <w:p>
      <w:pPr>
        <w:pStyle w:val="BodyText"/>
        <w:rPr>
          <w:sz w:val="20"/>
        </w:rPr>
      </w:pPr>
    </w:p>
    <w:p>
      <w:pPr>
        <w:pStyle w:val="BodyText"/>
        <w:spacing w:before="6"/>
        <w:rPr>
          <w:sz w:val="22"/>
        </w:rPr>
      </w:pPr>
    </w:p>
    <w:p>
      <w:pPr>
        <w:pStyle w:val="ListParagraph"/>
        <w:numPr>
          <w:ilvl w:val="0"/>
          <w:numId w:val="1"/>
        </w:numPr>
        <w:tabs>
          <w:tab w:pos="506" w:val="left" w:leader="none"/>
        </w:tabs>
        <w:spacing w:line="372" w:lineRule="auto" w:before="90" w:after="0"/>
        <w:ind w:left="107" w:right="395" w:firstLine="0"/>
        <w:jc w:val="left"/>
        <w:rPr>
          <w:sz w:val="24"/>
        </w:rPr>
      </w:pPr>
      <w:r>
        <w:rPr>
          <w:sz w:val="24"/>
        </w:rPr>
        <w:t>The</w:t>
      </w:r>
      <w:r>
        <w:rPr>
          <w:spacing w:val="-7"/>
          <w:sz w:val="24"/>
        </w:rPr>
        <w:t> </w:t>
      </w:r>
      <w:r>
        <w:rPr>
          <w:sz w:val="24"/>
        </w:rPr>
        <w:t>GDP</w:t>
      </w:r>
      <w:r>
        <w:rPr>
          <w:spacing w:val="-7"/>
          <w:sz w:val="24"/>
        </w:rPr>
        <w:t> </w:t>
      </w:r>
      <w:r>
        <w:rPr>
          <w:sz w:val="24"/>
        </w:rPr>
        <w:t>figures</w:t>
      </w:r>
      <w:r>
        <w:rPr>
          <w:spacing w:val="-7"/>
          <w:sz w:val="24"/>
        </w:rPr>
        <w:t> </w:t>
      </w:r>
      <w:r>
        <w:rPr>
          <w:sz w:val="24"/>
        </w:rPr>
        <w:t>for</w:t>
      </w:r>
      <w:r>
        <w:rPr>
          <w:spacing w:val="-7"/>
          <w:sz w:val="24"/>
        </w:rPr>
        <w:t> </w:t>
      </w:r>
      <w:r>
        <w:rPr>
          <w:sz w:val="24"/>
        </w:rPr>
        <w:t>Q4</w:t>
      </w:r>
      <w:r>
        <w:rPr>
          <w:spacing w:val="-7"/>
          <w:sz w:val="24"/>
        </w:rPr>
        <w:t> </w:t>
      </w:r>
      <w:r>
        <w:rPr>
          <w:sz w:val="24"/>
        </w:rPr>
        <w:t>implied</w:t>
      </w:r>
      <w:r>
        <w:rPr>
          <w:spacing w:val="-6"/>
          <w:sz w:val="24"/>
        </w:rPr>
        <w:t> </w:t>
      </w:r>
      <w:r>
        <w:rPr>
          <w:sz w:val="24"/>
        </w:rPr>
        <w:t>a</w:t>
      </w:r>
      <w:r>
        <w:rPr>
          <w:spacing w:val="-7"/>
          <w:sz w:val="24"/>
        </w:rPr>
        <w:t> </w:t>
      </w:r>
      <w:r>
        <w:rPr>
          <w:sz w:val="24"/>
        </w:rPr>
        <w:t>sharp</w:t>
      </w:r>
      <w:r>
        <w:rPr>
          <w:spacing w:val="-7"/>
          <w:sz w:val="24"/>
        </w:rPr>
        <w:t> </w:t>
      </w:r>
      <w:r>
        <w:rPr>
          <w:sz w:val="24"/>
        </w:rPr>
        <w:t>fall</w:t>
      </w:r>
      <w:r>
        <w:rPr>
          <w:spacing w:val="-7"/>
          <w:sz w:val="24"/>
        </w:rPr>
        <w:t> </w:t>
      </w:r>
      <w:r>
        <w:rPr>
          <w:sz w:val="24"/>
        </w:rPr>
        <w:t>in</w:t>
      </w:r>
      <w:r>
        <w:rPr>
          <w:spacing w:val="-7"/>
          <w:sz w:val="24"/>
        </w:rPr>
        <w:t> </w:t>
      </w:r>
      <w:r>
        <w:rPr>
          <w:sz w:val="24"/>
        </w:rPr>
        <w:t>the</w:t>
      </w:r>
      <w:r>
        <w:rPr>
          <w:spacing w:val="-6"/>
          <w:sz w:val="24"/>
        </w:rPr>
        <w:t> </w:t>
      </w:r>
      <w:r>
        <w:rPr>
          <w:sz w:val="24"/>
        </w:rPr>
        <w:t>trade</w:t>
      </w:r>
      <w:r>
        <w:rPr>
          <w:spacing w:val="-7"/>
          <w:sz w:val="24"/>
        </w:rPr>
        <w:t> </w:t>
      </w:r>
      <w:r>
        <w:rPr>
          <w:sz w:val="24"/>
        </w:rPr>
        <w:t>balance.</w:t>
      </w:r>
      <w:r>
        <w:rPr>
          <w:spacing w:val="49"/>
          <w:sz w:val="24"/>
        </w:rPr>
        <w:t> </w:t>
      </w:r>
      <w:r>
        <w:rPr>
          <w:sz w:val="24"/>
        </w:rPr>
        <w:t>However,</w:t>
      </w:r>
      <w:r>
        <w:rPr>
          <w:spacing w:val="-7"/>
          <w:sz w:val="24"/>
        </w:rPr>
        <w:t> </w:t>
      </w:r>
      <w:r>
        <w:rPr>
          <w:sz w:val="24"/>
        </w:rPr>
        <w:t>the</w:t>
      </w:r>
      <w:r>
        <w:rPr>
          <w:spacing w:val="-7"/>
          <w:sz w:val="24"/>
        </w:rPr>
        <w:t> </w:t>
      </w:r>
      <w:r>
        <w:rPr>
          <w:sz w:val="24"/>
        </w:rPr>
        <w:t>monthly</w:t>
      </w:r>
      <w:r>
        <w:rPr>
          <w:spacing w:val="-7"/>
          <w:sz w:val="24"/>
        </w:rPr>
        <w:t> </w:t>
      </w:r>
      <w:r>
        <w:rPr>
          <w:sz w:val="24"/>
        </w:rPr>
        <w:t>trade</w:t>
      </w:r>
      <w:r>
        <w:rPr>
          <w:spacing w:val="-7"/>
          <w:sz w:val="24"/>
        </w:rPr>
        <w:t> </w:t>
      </w:r>
      <w:r>
        <w:rPr>
          <w:sz w:val="24"/>
        </w:rPr>
        <w:t>data recorded a small increase between Q3 and Q4 in export volumes of goods excluding oil and erratics, suggesting</w:t>
      </w:r>
      <w:r>
        <w:rPr>
          <w:spacing w:val="-4"/>
          <w:sz w:val="24"/>
        </w:rPr>
        <w:t> </w:t>
      </w:r>
      <w:r>
        <w:rPr>
          <w:sz w:val="24"/>
        </w:rPr>
        <w:t>that</w:t>
      </w:r>
      <w:r>
        <w:rPr>
          <w:spacing w:val="-3"/>
          <w:sz w:val="24"/>
        </w:rPr>
        <w:t> </w:t>
      </w:r>
      <w:r>
        <w:rPr>
          <w:sz w:val="24"/>
        </w:rPr>
        <w:t>the</w:t>
      </w:r>
      <w:r>
        <w:rPr>
          <w:spacing w:val="-4"/>
          <w:sz w:val="24"/>
        </w:rPr>
        <w:t> </w:t>
      </w:r>
      <w:r>
        <w:rPr>
          <w:sz w:val="24"/>
        </w:rPr>
        <w:t>net</w:t>
      </w:r>
      <w:r>
        <w:rPr>
          <w:spacing w:val="-3"/>
          <w:sz w:val="24"/>
        </w:rPr>
        <w:t> </w:t>
      </w:r>
      <w:r>
        <w:rPr>
          <w:sz w:val="24"/>
        </w:rPr>
        <w:t>trade</w:t>
      </w:r>
      <w:r>
        <w:rPr>
          <w:spacing w:val="-4"/>
          <w:sz w:val="24"/>
        </w:rPr>
        <w:t> </w:t>
      </w:r>
      <w:r>
        <w:rPr>
          <w:sz w:val="24"/>
        </w:rPr>
        <w:t>weakness</w:t>
      </w:r>
      <w:r>
        <w:rPr>
          <w:spacing w:val="-3"/>
          <w:sz w:val="24"/>
        </w:rPr>
        <w:t> </w:t>
      </w:r>
      <w:r>
        <w:rPr>
          <w:sz w:val="24"/>
        </w:rPr>
        <w:t>stemmed</w:t>
      </w:r>
      <w:r>
        <w:rPr>
          <w:spacing w:val="-4"/>
          <w:sz w:val="24"/>
        </w:rPr>
        <w:t> </w:t>
      </w:r>
      <w:r>
        <w:rPr>
          <w:sz w:val="24"/>
        </w:rPr>
        <w:t>more</w:t>
      </w:r>
      <w:r>
        <w:rPr>
          <w:spacing w:val="-3"/>
          <w:sz w:val="24"/>
        </w:rPr>
        <w:t> </w:t>
      </w:r>
      <w:r>
        <w:rPr>
          <w:sz w:val="24"/>
        </w:rPr>
        <w:t>from</w:t>
      </w:r>
      <w:r>
        <w:rPr>
          <w:spacing w:val="-4"/>
          <w:sz w:val="24"/>
        </w:rPr>
        <w:t> </w:t>
      </w:r>
      <w:r>
        <w:rPr>
          <w:sz w:val="24"/>
        </w:rPr>
        <w:t>strong</w:t>
      </w:r>
      <w:r>
        <w:rPr>
          <w:spacing w:val="-3"/>
          <w:sz w:val="24"/>
        </w:rPr>
        <w:t> </w:t>
      </w:r>
      <w:r>
        <w:rPr>
          <w:sz w:val="24"/>
        </w:rPr>
        <w:t>import</w:t>
      </w:r>
      <w:r>
        <w:rPr>
          <w:spacing w:val="-4"/>
          <w:sz w:val="24"/>
        </w:rPr>
        <w:t> </w:t>
      </w:r>
      <w:r>
        <w:rPr>
          <w:sz w:val="24"/>
        </w:rPr>
        <w:t>growth</w:t>
      </w:r>
      <w:r>
        <w:rPr>
          <w:spacing w:val="-3"/>
          <w:sz w:val="24"/>
        </w:rPr>
        <w:t> </w:t>
      </w:r>
      <w:r>
        <w:rPr>
          <w:sz w:val="24"/>
        </w:rPr>
        <w:t>than</w:t>
      </w:r>
      <w:r>
        <w:rPr>
          <w:spacing w:val="-4"/>
          <w:sz w:val="24"/>
        </w:rPr>
        <w:t> </w:t>
      </w:r>
      <w:r>
        <w:rPr>
          <w:sz w:val="24"/>
        </w:rPr>
        <w:t>falling</w:t>
      </w:r>
      <w:r>
        <w:rPr>
          <w:spacing w:val="-3"/>
          <w:sz w:val="24"/>
        </w:rPr>
        <w:t> </w:t>
      </w:r>
      <w:r>
        <w:rPr>
          <w:sz w:val="24"/>
        </w:rPr>
        <w:t>exports.</w:t>
      </w:r>
    </w:p>
    <w:p>
      <w:pPr>
        <w:pStyle w:val="BodyText"/>
        <w:rPr>
          <w:sz w:val="37"/>
        </w:rPr>
      </w:pPr>
    </w:p>
    <w:p>
      <w:pPr>
        <w:pStyle w:val="ListParagraph"/>
        <w:numPr>
          <w:ilvl w:val="0"/>
          <w:numId w:val="1"/>
        </w:numPr>
        <w:tabs>
          <w:tab w:pos="506" w:val="left" w:leader="none"/>
        </w:tabs>
        <w:spacing w:line="372" w:lineRule="auto" w:before="0" w:after="0"/>
        <w:ind w:left="107" w:right="151" w:firstLine="0"/>
        <w:jc w:val="left"/>
        <w:rPr>
          <w:sz w:val="24"/>
        </w:rPr>
      </w:pPr>
      <w:r>
        <w:rPr>
          <w:sz w:val="24"/>
        </w:rPr>
        <w:t>The</w:t>
      </w:r>
      <w:r>
        <w:rPr>
          <w:spacing w:val="-8"/>
          <w:sz w:val="24"/>
        </w:rPr>
        <w:t> </w:t>
      </w:r>
      <w:r>
        <w:rPr>
          <w:sz w:val="24"/>
        </w:rPr>
        <w:t>Committee</w:t>
      </w:r>
      <w:r>
        <w:rPr>
          <w:spacing w:val="-8"/>
          <w:sz w:val="24"/>
        </w:rPr>
        <w:t> </w:t>
      </w:r>
      <w:r>
        <w:rPr>
          <w:sz w:val="24"/>
        </w:rPr>
        <w:t>discussed</w:t>
      </w:r>
      <w:r>
        <w:rPr>
          <w:spacing w:val="-8"/>
          <w:sz w:val="24"/>
        </w:rPr>
        <w:t> </w:t>
      </w:r>
      <w:r>
        <w:rPr>
          <w:sz w:val="24"/>
        </w:rPr>
        <w:t>the</w:t>
      </w:r>
      <w:r>
        <w:rPr>
          <w:spacing w:val="-8"/>
          <w:sz w:val="24"/>
        </w:rPr>
        <w:t> </w:t>
      </w:r>
      <w:r>
        <w:rPr>
          <w:sz w:val="24"/>
        </w:rPr>
        <w:t>significance</w:t>
      </w:r>
      <w:r>
        <w:rPr>
          <w:spacing w:val="-8"/>
          <w:sz w:val="24"/>
        </w:rPr>
        <w:t> </w:t>
      </w:r>
      <w:r>
        <w:rPr>
          <w:sz w:val="24"/>
        </w:rPr>
        <w:t>of</w:t>
      </w:r>
      <w:r>
        <w:rPr>
          <w:spacing w:val="-8"/>
          <w:sz w:val="24"/>
        </w:rPr>
        <w:t> </w:t>
      </w:r>
      <w:r>
        <w:rPr>
          <w:sz w:val="24"/>
        </w:rPr>
        <w:t>the</w:t>
      </w:r>
      <w:r>
        <w:rPr>
          <w:spacing w:val="-7"/>
          <w:sz w:val="24"/>
        </w:rPr>
        <w:t> </w:t>
      </w:r>
      <w:r>
        <w:rPr>
          <w:sz w:val="24"/>
        </w:rPr>
        <w:t>growth</w:t>
      </w:r>
      <w:r>
        <w:rPr>
          <w:spacing w:val="-8"/>
          <w:sz w:val="24"/>
        </w:rPr>
        <w:t> </w:t>
      </w:r>
      <w:r>
        <w:rPr>
          <w:sz w:val="24"/>
        </w:rPr>
        <w:t>of</w:t>
      </w:r>
      <w:r>
        <w:rPr>
          <w:spacing w:val="-8"/>
          <w:sz w:val="24"/>
        </w:rPr>
        <w:t> </w:t>
      </w:r>
      <w:r>
        <w:rPr>
          <w:sz w:val="24"/>
        </w:rPr>
        <w:t>gross</w:t>
      </w:r>
      <w:r>
        <w:rPr>
          <w:spacing w:val="-8"/>
          <w:sz w:val="24"/>
        </w:rPr>
        <w:t> </w:t>
      </w:r>
      <w:r>
        <w:rPr>
          <w:sz w:val="24"/>
        </w:rPr>
        <w:t>imports</w:t>
      </w:r>
      <w:r>
        <w:rPr>
          <w:spacing w:val="-8"/>
          <w:sz w:val="24"/>
        </w:rPr>
        <w:t> </w:t>
      </w:r>
      <w:r>
        <w:rPr>
          <w:sz w:val="24"/>
        </w:rPr>
        <w:t>and</w:t>
      </w:r>
      <w:r>
        <w:rPr>
          <w:spacing w:val="-8"/>
          <w:sz w:val="24"/>
        </w:rPr>
        <w:t> </w:t>
      </w:r>
      <w:r>
        <w:rPr>
          <w:sz w:val="24"/>
        </w:rPr>
        <w:t>exports</w:t>
      </w:r>
      <w:r>
        <w:rPr>
          <w:spacing w:val="-8"/>
          <w:sz w:val="24"/>
        </w:rPr>
        <w:t> </w:t>
      </w:r>
      <w:r>
        <w:rPr>
          <w:sz w:val="24"/>
        </w:rPr>
        <w:t>compared</w:t>
      </w:r>
      <w:r>
        <w:rPr>
          <w:spacing w:val="-7"/>
          <w:sz w:val="24"/>
        </w:rPr>
        <w:t> </w:t>
      </w:r>
      <w:r>
        <w:rPr>
          <w:sz w:val="24"/>
        </w:rPr>
        <w:t>with that of the overall trade balance. Net trade was not exogenous. Part of the explanation was related to relative income growth in the UK and overseas. Import volumes would be affected by the strength of domestic demand and exports would be affected by external demand, while both would reflect </w:t>
      </w:r>
      <w:r>
        <w:rPr>
          <w:spacing w:val="-2"/>
          <w:sz w:val="24"/>
        </w:rPr>
        <w:t>any </w:t>
      </w:r>
      <w:r>
        <w:rPr>
          <w:sz w:val="24"/>
        </w:rPr>
        <w:t>domestic</w:t>
      </w:r>
      <w:r>
        <w:rPr>
          <w:spacing w:val="-9"/>
          <w:sz w:val="24"/>
        </w:rPr>
        <w:t> </w:t>
      </w:r>
      <w:r>
        <w:rPr>
          <w:sz w:val="24"/>
        </w:rPr>
        <w:t>capacity</w:t>
      </w:r>
      <w:r>
        <w:rPr>
          <w:spacing w:val="-8"/>
          <w:sz w:val="24"/>
        </w:rPr>
        <w:t> </w:t>
      </w:r>
      <w:r>
        <w:rPr>
          <w:sz w:val="24"/>
        </w:rPr>
        <w:t>constraints.</w:t>
      </w:r>
      <w:r>
        <w:rPr>
          <w:spacing w:val="45"/>
          <w:sz w:val="24"/>
        </w:rPr>
        <w:t> </w:t>
      </w:r>
      <w:r>
        <w:rPr>
          <w:sz w:val="24"/>
        </w:rPr>
        <w:t>Less</w:t>
      </w:r>
      <w:r>
        <w:rPr>
          <w:spacing w:val="-8"/>
          <w:sz w:val="24"/>
        </w:rPr>
        <w:t> </w:t>
      </w:r>
      <w:r>
        <w:rPr>
          <w:sz w:val="24"/>
        </w:rPr>
        <w:t>comfort</w:t>
      </w:r>
      <w:r>
        <w:rPr>
          <w:spacing w:val="-8"/>
          <w:sz w:val="24"/>
        </w:rPr>
        <w:t> </w:t>
      </w:r>
      <w:r>
        <w:rPr>
          <w:sz w:val="24"/>
        </w:rPr>
        <w:t>could</w:t>
      </w:r>
      <w:r>
        <w:rPr>
          <w:spacing w:val="-8"/>
          <w:sz w:val="24"/>
        </w:rPr>
        <w:t> </w:t>
      </w:r>
      <w:r>
        <w:rPr>
          <w:sz w:val="24"/>
        </w:rPr>
        <w:t>be</w:t>
      </w:r>
      <w:r>
        <w:rPr>
          <w:spacing w:val="-8"/>
          <w:sz w:val="24"/>
        </w:rPr>
        <w:t> </w:t>
      </w:r>
      <w:r>
        <w:rPr>
          <w:sz w:val="24"/>
        </w:rPr>
        <w:t>taken</w:t>
      </w:r>
      <w:r>
        <w:rPr>
          <w:spacing w:val="-8"/>
          <w:sz w:val="24"/>
        </w:rPr>
        <w:t> </w:t>
      </w:r>
      <w:r>
        <w:rPr>
          <w:sz w:val="24"/>
        </w:rPr>
        <w:t>for</w:t>
      </w:r>
      <w:r>
        <w:rPr>
          <w:spacing w:val="-8"/>
          <w:sz w:val="24"/>
        </w:rPr>
        <w:t> </w:t>
      </w:r>
      <w:r>
        <w:rPr>
          <w:sz w:val="24"/>
        </w:rPr>
        <w:t>the</w:t>
      </w:r>
      <w:r>
        <w:rPr>
          <w:spacing w:val="-8"/>
          <w:sz w:val="24"/>
        </w:rPr>
        <w:t> </w:t>
      </w:r>
      <w:r>
        <w:rPr>
          <w:sz w:val="24"/>
        </w:rPr>
        <w:t>inflation</w:t>
      </w:r>
      <w:r>
        <w:rPr>
          <w:spacing w:val="-8"/>
          <w:sz w:val="24"/>
        </w:rPr>
        <w:t> </w:t>
      </w:r>
      <w:r>
        <w:rPr>
          <w:sz w:val="24"/>
        </w:rPr>
        <w:t>outlook</w:t>
      </w:r>
      <w:r>
        <w:rPr>
          <w:spacing w:val="-8"/>
          <w:sz w:val="24"/>
        </w:rPr>
        <w:t> </w:t>
      </w:r>
      <w:r>
        <w:rPr>
          <w:sz w:val="24"/>
        </w:rPr>
        <w:t>if</w:t>
      </w:r>
      <w:r>
        <w:rPr>
          <w:spacing w:val="-8"/>
          <w:sz w:val="24"/>
        </w:rPr>
        <w:t> </w:t>
      </w:r>
      <w:r>
        <w:rPr>
          <w:sz w:val="24"/>
        </w:rPr>
        <w:t>the</w:t>
      </w:r>
      <w:r>
        <w:rPr>
          <w:spacing w:val="-8"/>
          <w:sz w:val="24"/>
        </w:rPr>
        <w:t> </w:t>
      </w:r>
      <w:r>
        <w:rPr>
          <w:sz w:val="24"/>
        </w:rPr>
        <w:t>contribution</w:t>
      </w:r>
      <w:r>
        <w:rPr>
          <w:spacing w:val="-8"/>
          <w:sz w:val="24"/>
        </w:rPr>
        <w:t> </w:t>
      </w:r>
      <w:r>
        <w:rPr>
          <w:sz w:val="24"/>
        </w:rPr>
        <w:t>of net trade to slowing aggregate demand growth came from rises in imports, since this might signal that domestic demand was not slowing fast</w:t>
      </w:r>
      <w:r>
        <w:rPr>
          <w:spacing w:val="-4"/>
          <w:sz w:val="24"/>
        </w:rPr>
        <w:t> </w:t>
      </w:r>
      <w:r>
        <w:rPr>
          <w:sz w:val="24"/>
        </w:rPr>
        <w:t>enough.</w:t>
      </w:r>
    </w:p>
    <w:p>
      <w:pPr>
        <w:pStyle w:val="BodyText"/>
        <w:spacing w:before="9"/>
        <w:rPr>
          <w:sz w:val="36"/>
        </w:rPr>
      </w:pPr>
    </w:p>
    <w:p>
      <w:pPr>
        <w:pStyle w:val="ListParagraph"/>
        <w:numPr>
          <w:ilvl w:val="0"/>
          <w:numId w:val="1"/>
        </w:numPr>
        <w:tabs>
          <w:tab w:pos="506" w:val="left" w:leader="none"/>
        </w:tabs>
        <w:spacing w:line="372" w:lineRule="auto" w:before="0" w:after="0"/>
        <w:ind w:left="107" w:right="117" w:firstLine="0"/>
        <w:jc w:val="left"/>
        <w:rPr>
          <w:sz w:val="24"/>
        </w:rPr>
      </w:pPr>
      <w:r>
        <w:rPr>
          <w:sz w:val="24"/>
        </w:rPr>
        <w:t>Another part of the explanation for strong import growth was the greater price competitiveness of imported</w:t>
      </w:r>
      <w:r>
        <w:rPr>
          <w:spacing w:val="-8"/>
          <w:sz w:val="24"/>
        </w:rPr>
        <w:t> </w:t>
      </w:r>
      <w:r>
        <w:rPr>
          <w:sz w:val="24"/>
        </w:rPr>
        <w:t>goods</w:t>
      </w:r>
      <w:r>
        <w:rPr>
          <w:spacing w:val="-8"/>
          <w:sz w:val="24"/>
        </w:rPr>
        <w:t> </w:t>
      </w:r>
      <w:r>
        <w:rPr>
          <w:sz w:val="24"/>
        </w:rPr>
        <w:t>and</w:t>
      </w:r>
      <w:r>
        <w:rPr>
          <w:spacing w:val="-8"/>
          <w:sz w:val="24"/>
        </w:rPr>
        <w:t> </w:t>
      </w:r>
      <w:r>
        <w:rPr>
          <w:sz w:val="24"/>
        </w:rPr>
        <w:t>services</w:t>
      </w:r>
      <w:r>
        <w:rPr>
          <w:spacing w:val="-8"/>
          <w:sz w:val="24"/>
        </w:rPr>
        <w:t> </w:t>
      </w:r>
      <w:r>
        <w:rPr>
          <w:sz w:val="24"/>
        </w:rPr>
        <w:t>caused</w:t>
      </w:r>
      <w:r>
        <w:rPr>
          <w:spacing w:val="-8"/>
          <w:sz w:val="24"/>
        </w:rPr>
        <w:t> </w:t>
      </w:r>
      <w:r>
        <w:rPr>
          <w:sz w:val="24"/>
        </w:rPr>
        <w:t>by</w:t>
      </w:r>
      <w:r>
        <w:rPr>
          <w:spacing w:val="-8"/>
          <w:sz w:val="24"/>
        </w:rPr>
        <w:t> </w:t>
      </w:r>
      <w:r>
        <w:rPr>
          <w:sz w:val="24"/>
        </w:rPr>
        <w:t>the</w:t>
      </w:r>
      <w:r>
        <w:rPr>
          <w:spacing w:val="-8"/>
          <w:sz w:val="24"/>
        </w:rPr>
        <w:t> </w:t>
      </w:r>
      <w:r>
        <w:rPr>
          <w:sz w:val="24"/>
        </w:rPr>
        <w:t>strength</w:t>
      </w:r>
      <w:r>
        <w:rPr>
          <w:spacing w:val="-8"/>
          <w:sz w:val="24"/>
        </w:rPr>
        <w:t> </w:t>
      </w:r>
      <w:r>
        <w:rPr>
          <w:sz w:val="24"/>
        </w:rPr>
        <w:t>of</w:t>
      </w:r>
      <w:r>
        <w:rPr>
          <w:spacing w:val="-8"/>
          <w:sz w:val="24"/>
        </w:rPr>
        <w:t> </w:t>
      </w:r>
      <w:r>
        <w:rPr>
          <w:sz w:val="24"/>
        </w:rPr>
        <w:t>sterling.</w:t>
      </w:r>
      <w:r>
        <w:rPr>
          <w:spacing w:val="46"/>
          <w:sz w:val="24"/>
        </w:rPr>
        <w:t> </w:t>
      </w:r>
      <w:r>
        <w:rPr>
          <w:sz w:val="24"/>
        </w:rPr>
        <w:t>With</w:t>
      </w:r>
      <w:r>
        <w:rPr>
          <w:spacing w:val="-8"/>
          <w:sz w:val="24"/>
        </w:rPr>
        <w:t> </w:t>
      </w:r>
      <w:r>
        <w:rPr>
          <w:sz w:val="24"/>
        </w:rPr>
        <w:t>this</w:t>
      </w:r>
      <w:r>
        <w:rPr>
          <w:spacing w:val="-8"/>
          <w:sz w:val="24"/>
        </w:rPr>
        <w:t> </w:t>
      </w:r>
      <w:r>
        <w:rPr>
          <w:sz w:val="24"/>
        </w:rPr>
        <w:t>effect,</w:t>
      </w:r>
      <w:r>
        <w:rPr>
          <w:spacing w:val="-8"/>
          <w:sz w:val="24"/>
        </w:rPr>
        <w:t> </w:t>
      </w:r>
      <w:r>
        <w:rPr>
          <w:sz w:val="24"/>
        </w:rPr>
        <w:t>import</w:t>
      </w:r>
      <w:r>
        <w:rPr>
          <w:spacing w:val="-8"/>
          <w:sz w:val="24"/>
        </w:rPr>
        <w:t> </w:t>
      </w:r>
      <w:r>
        <w:rPr>
          <w:sz w:val="24"/>
        </w:rPr>
        <w:t>demand</w:t>
      </w:r>
      <w:r>
        <w:rPr>
          <w:spacing w:val="-8"/>
          <w:sz w:val="24"/>
        </w:rPr>
        <w:t> </w:t>
      </w:r>
      <w:r>
        <w:rPr>
          <w:sz w:val="24"/>
        </w:rPr>
        <w:t>would</w:t>
      </w:r>
      <w:r>
        <w:rPr>
          <w:spacing w:val="-8"/>
          <w:sz w:val="24"/>
        </w:rPr>
        <w:t> </w:t>
      </w:r>
      <w:r>
        <w:rPr>
          <w:sz w:val="24"/>
        </w:rPr>
        <w:t>be expected to be strong even in the face of slowing domestic demand, as home producers lost market share to</w:t>
      </w:r>
      <w:r>
        <w:rPr>
          <w:spacing w:val="-8"/>
          <w:sz w:val="24"/>
        </w:rPr>
        <w:t> </w:t>
      </w:r>
      <w:r>
        <w:rPr>
          <w:sz w:val="24"/>
        </w:rPr>
        <w:t>importers.</w:t>
      </w:r>
      <w:r>
        <w:rPr>
          <w:spacing w:val="47"/>
          <w:sz w:val="24"/>
        </w:rPr>
        <w:t> </w:t>
      </w:r>
      <w:r>
        <w:rPr>
          <w:sz w:val="24"/>
        </w:rPr>
        <w:t>This</w:t>
      </w:r>
      <w:r>
        <w:rPr>
          <w:spacing w:val="-7"/>
          <w:sz w:val="24"/>
        </w:rPr>
        <w:t> </w:t>
      </w:r>
      <w:r>
        <w:rPr>
          <w:sz w:val="24"/>
        </w:rPr>
        <w:t>effect</w:t>
      </w:r>
      <w:r>
        <w:rPr>
          <w:spacing w:val="-7"/>
          <w:sz w:val="24"/>
        </w:rPr>
        <w:t> </w:t>
      </w:r>
      <w:r>
        <w:rPr>
          <w:sz w:val="24"/>
        </w:rPr>
        <w:t>put</w:t>
      </w:r>
      <w:r>
        <w:rPr>
          <w:spacing w:val="-7"/>
          <w:sz w:val="24"/>
        </w:rPr>
        <w:t> </w:t>
      </w:r>
      <w:r>
        <w:rPr>
          <w:sz w:val="24"/>
        </w:rPr>
        <w:t>direct</w:t>
      </w:r>
      <w:r>
        <w:rPr>
          <w:spacing w:val="-7"/>
          <w:sz w:val="24"/>
        </w:rPr>
        <w:t> </w:t>
      </w:r>
      <w:r>
        <w:rPr>
          <w:sz w:val="24"/>
        </w:rPr>
        <w:t>downward</w:t>
      </w:r>
      <w:r>
        <w:rPr>
          <w:spacing w:val="-8"/>
          <w:sz w:val="24"/>
        </w:rPr>
        <w:t> </w:t>
      </w:r>
      <w:r>
        <w:rPr>
          <w:sz w:val="24"/>
        </w:rPr>
        <w:t>pressure</w:t>
      </w:r>
      <w:r>
        <w:rPr>
          <w:spacing w:val="-7"/>
          <w:sz w:val="24"/>
        </w:rPr>
        <w:t> </w:t>
      </w:r>
      <w:r>
        <w:rPr>
          <w:sz w:val="24"/>
        </w:rPr>
        <w:t>on</w:t>
      </w:r>
      <w:r>
        <w:rPr>
          <w:spacing w:val="-7"/>
          <w:sz w:val="24"/>
        </w:rPr>
        <w:t> </w:t>
      </w:r>
      <w:r>
        <w:rPr>
          <w:sz w:val="24"/>
        </w:rPr>
        <w:t>retail</w:t>
      </w:r>
      <w:r>
        <w:rPr>
          <w:spacing w:val="-7"/>
          <w:sz w:val="24"/>
        </w:rPr>
        <w:t> </w:t>
      </w:r>
      <w:r>
        <w:rPr>
          <w:sz w:val="24"/>
        </w:rPr>
        <w:t>price</w:t>
      </w:r>
      <w:r>
        <w:rPr>
          <w:spacing w:val="-7"/>
          <w:sz w:val="24"/>
        </w:rPr>
        <w:t> </w:t>
      </w:r>
      <w:r>
        <w:rPr>
          <w:sz w:val="24"/>
        </w:rPr>
        <w:t>inflation</w:t>
      </w:r>
      <w:r>
        <w:rPr>
          <w:spacing w:val="-7"/>
          <w:sz w:val="24"/>
        </w:rPr>
        <w:t> </w:t>
      </w:r>
      <w:r>
        <w:rPr>
          <w:sz w:val="24"/>
        </w:rPr>
        <w:t>and</w:t>
      </w:r>
      <w:r>
        <w:rPr>
          <w:spacing w:val="-7"/>
          <w:sz w:val="24"/>
        </w:rPr>
        <w:t> </w:t>
      </w:r>
      <w:r>
        <w:rPr>
          <w:sz w:val="24"/>
        </w:rPr>
        <w:t>indirectly</w:t>
      </w:r>
      <w:r>
        <w:rPr>
          <w:spacing w:val="-7"/>
          <w:sz w:val="24"/>
        </w:rPr>
        <w:t> </w:t>
      </w:r>
      <w:r>
        <w:rPr>
          <w:sz w:val="24"/>
        </w:rPr>
        <w:t>added</w:t>
      </w:r>
      <w:r>
        <w:rPr>
          <w:spacing w:val="-7"/>
          <w:sz w:val="24"/>
        </w:rPr>
        <w:t> </w:t>
      </w:r>
      <w:r>
        <w:rPr>
          <w:sz w:val="24"/>
        </w:rPr>
        <w:t>to</w:t>
      </w:r>
      <w:r>
        <w:rPr>
          <w:spacing w:val="-8"/>
          <w:sz w:val="24"/>
        </w:rPr>
        <w:t> </w:t>
      </w:r>
      <w:r>
        <w:rPr>
          <w:spacing w:val="-2"/>
          <w:sz w:val="24"/>
        </w:rPr>
        <w:t>the </w:t>
      </w:r>
      <w:r>
        <w:rPr>
          <w:sz w:val="24"/>
        </w:rPr>
        <w:t>slowdown in domestic demand as home producers were forced either to cut costs or output. To the extent that import growth was a result of such price, rather than income, effects it did not signal the need to tighten monetary policy</w:t>
      </w:r>
      <w:r>
        <w:rPr>
          <w:spacing w:val="2"/>
          <w:sz w:val="24"/>
        </w:rPr>
        <w:t> </w:t>
      </w:r>
      <w:r>
        <w:rPr>
          <w:sz w:val="24"/>
        </w:rPr>
        <w:t>further.</w:t>
      </w:r>
    </w:p>
    <w:p>
      <w:pPr>
        <w:pStyle w:val="BodyText"/>
        <w:spacing w:before="9"/>
        <w:rPr>
          <w:sz w:val="36"/>
        </w:rPr>
      </w:pPr>
    </w:p>
    <w:p>
      <w:pPr>
        <w:pStyle w:val="ListParagraph"/>
        <w:numPr>
          <w:ilvl w:val="0"/>
          <w:numId w:val="1"/>
        </w:numPr>
        <w:tabs>
          <w:tab w:pos="506" w:val="left" w:leader="none"/>
        </w:tabs>
        <w:spacing w:line="372" w:lineRule="auto" w:before="1" w:after="0"/>
        <w:ind w:left="107" w:right="127" w:firstLine="0"/>
        <w:jc w:val="left"/>
        <w:rPr>
          <w:sz w:val="24"/>
        </w:rPr>
      </w:pPr>
      <w:r>
        <w:rPr>
          <w:sz w:val="24"/>
        </w:rPr>
        <w:t>A </w:t>
      </w:r>
      <w:r>
        <w:rPr>
          <w:spacing w:val="-3"/>
          <w:sz w:val="24"/>
        </w:rPr>
        <w:t>declining trade balance could help </w:t>
      </w:r>
      <w:r>
        <w:rPr>
          <w:sz w:val="24"/>
        </w:rPr>
        <w:t>to </w:t>
      </w:r>
      <w:r>
        <w:rPr>
          <w:spacing w:val="-3"/>
          <w:sz w:val="24"/>
        </w:rPr>
        <w:t>subdue inflationary pressures when domestic demand was </w:t>
      </w:r>
      <w:r>
        <w:rPr>
          <w:sz w:val="24"/>
        </w:rPr>
        <w:t>above</w:t>
      </w:r>
      <w:r>
        <w:rPr>
          <w:spacing w:val="-8"/>
          <w:sz w:val="24"/>
        </w:rPr>
        <w:t> </w:t>
      </w:r>
      <w:r>
        <w:rPr>
          <w:sz w:val="24"/>
        </w:rPr>
        <w:t>trend,</w:t>
      </w:r>
      <w:r>
        <w:rPr>
          <w:spacing w:val="-7"/>
          <w:sz w:val="24"/>
        </w:rPr>
        <w:t> </w:t>
      </w:r>
      <w:r>
        <w:rPr>
          <w:sz w:val="24"/>
        </w:rPr>
        <w:t>since</w:t>
      </w:r>
      <w:r>
        <w:rPr>
          <w:spacing w:val="-7"/>
          <w:sz w:val="24"/>
        </w:rPr>
        <w:t> </w:t>
      </w:r>
      <w:r>
        <w:rPr>
          <w:sz w:val="24"/>
        </w:rPr>
        <w:t>the</w:t>
      </w:r>
      <w:r>
        <w:rPr>
          <w:spacing w:val="-8"/>
          <w:sz w:val="24"/>
        </w:rPr>
        <w:t> </w:t>
      </w:r>
      <w:r>
        <w:rPr>
          <w:sz w:val="24"/>
        </w:rPr>
        <w:t>economy</w:t>
      </w:r>
      <w:r>
        <w:rPr>
          <w:spacing w:val="-7"/>
          <w:sz w:val="24"/>
        </w:rPr>
        <w:t> </w:t>
      </w:r>
      <w:r>
        <w:rPr>
          <w:sz w:val="24"/>
        </w:rPr>
        <w:t>could</w:t>
      </w:r>
      <w:r>
        <w:rPr>
          <w:spacing w:val="-7"/>
          <w:sz w:val="24"/>
        </w:rPr>
        <w:t> </w:t>
      </w:r>
      <w:r>
        <w:rPr>
          <w:sz w:val="24"/>
        </w:rPr>
        <w:t>in</w:t>
      </w:r>
      <w:r>
        <w:rPr>
          <w:spacing w:val="-8"/>
          <w:sz w:val="24"/>
        </w:rPr>
        <w:t> </w:t>
      </w:r>
      <w:r>
        <w:rPr>
          <w:sz w:val="24"/>
        </w:rPr>
        <w:t>effect</w:t>
      </w:r>
      <w:r>
        <w:rPr>
          <w:spacing w:val="-7"/>
          <w:sz w:val="24"/>
        </w:rPr>
        <w:t> </w:t>
      </w:r>
      <w:r>
        <w:rPr>
          <w:sz w:val="24"/>
        </w:rPr>
        <w:t>borrow</w:t>
      </w:r>
      <w:r>
        <w:rPr>
          <w:spacing w:val="-7"/>
          <w:sz w:val="24"/>
        </w:rPr>
        <w:t> </w:t>
      </w:r>
      <w:r>
        <w:rPr>
          <w:sz w:val="24"/>
        </w:rPr>
        <w:t>capacity</w:t>
      </w:r>
      <w:r>
        <w:rPr>
          <w:spacing w:val="-8"/>
          <w:sz w:val="24"/>
        </w:rPr>
        <w:t> </w:t>
      </w:r>
      <w:r>
        <w:rPr>
          <w:sz w:val="24"/>
        </w:rPr>
        <w:t>from</w:t>
      </w:r>
      <w:r>
        <w:rPr>
          <w:spacing w:val="-7"/>
          <w:sz w:val="24"/>
        </w:rPr>
        <w:t> </w:t>
      </w:r>
      <w:r>
        <w:rPr>
          <w:sz w:val="24"/>
        </w:rPr>
        <w:t>overseas.</w:t>
      </w:r>
      <w:r>
        <w:rPr>
          <w:spacing w:val="46"/>
          <w:sz w:val="24"/>
        </w:rPr>
        <w:t> </w:t>
      </w:r>
      <w:r>
        <w:rPr>
          <w:sz w:val="24"/>
        </w:rPr>
        <w:t>Domestic</w:t>
      </w:r>
      <w:r>
        <w:rPr>
          <w:spacing w:val="-7"/>
          <w:sz w:val="24"/>
        </w:rPr>
        <w:t> </w:t>
      </w:r>
      <w:r>
        <w:rPr>
          <w:sz w:val="24"/>
        </w:rPr>
        <w:t>demand</w:t>
      </w:r>
      <w:r>
        <w:rPr>
          <w:spacing w:val="-8"/>
          <w:sz w:val="24"/>
        </w:rPr>
        <w:t> </w:t>
      </w:r>
      <w:r>
        <w:rPr>
          <w:spacing w:val="-2"/>
          <w:sz w:val="24"/>
        </w:rPr>
        <w:t>growth</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72" w:lineRule="auto" w:before="90"/>
        <w:ind w:left="107" w:right="128"/>
      </w:pPr>
      <w:r>
        <w:rPr/>
        <w:t>could then be reduced more gradually. There would be longer run effects since the current account deficits entailed would reduce the UK’s net external assets and thus future levels of consumption. It </w:t>
      </w:r>
      <w:r>
        <w:rPr>
          <w:spacing w:val="-2"/>
        </w:rPr>
        <w:t>was </w:t>
      </w:r>
      <w:r>
        <w:rPr/>
        <w:t>noted,</w:t>
      </w:r>
      <w:r>
        <w:rPr>
          <w:spacing w:val="-8"/>
        </w:rPr>
        <w:t> </w:t>
      </w:r>
      <w:r>
        <w:rPr/>
        <w:t>however,</w:t>
      </w:r>
      <w:r>
        <w:rPr>
          <w:spacing w:val="-7"/>
        </w:rPr>
        <w:t> </w:t>
      </w:r>
      <w:r>
        <w:rPr/>
        <w:t>that</w:t>
      </w:r>
      <w:r>
        <w:rPr>
          <w:spacing w:val="-7"/>
        </w:rPr>
        <w:t> </w:t>
      </w:r>
      <w:r>
        <w:rPr/>
        <w:t>in</w:t>
      </w:r>
      <w:r>
        <w:rPr>
          <w:spacing w:val="-8"/>
        </w:rPr>
        <w:t> </w:t>
      </w:r>
      <w:r>
        <w:rPr/>
        <w:t>the</w:t>
      </w:r>
      <w:r>
        <w:rPr>
          <w:spacing w:val="-7"/>
        </w:rPr>
        <w:t> </w:t>
      </w:r>
      <w:r>
        <w:rPr/>
        <w:t>past</w:t>
      </w:r>
      <w:r>
        <w:rPr>
          <w:spacing w:val="-7"/>
        </w:rPr>
        <w:t> </w:t>
      </w:r>
      <w:r>
        <w:rPr/>
        <w:t>strong</w:t>
      </w:r>
      <w:r>
        <w:rPr>
          <w:spacing w:val="-7"/>
        </w:rPr>
        <w:t> </w:t>
      </w:r>
      <w:r>
        <w:rPr/>
        <w:t>domestic</w:t>
      </w:r>
      <w:r>
        <w:rPr>
          <w:spacing w:val="-8"/>
        </w:rPr>
        <w:t> </w:t>
      </w:r>
      <w:r>
        <w:rPr/>
        <w:t>demand</w:t>
      </w:r>
      <w:r>
        <w:rPr>
          <w:spacing w:val="-7"/>
        </w:rPr>
        <w:t> </w:t>
      </w:r>
      <w:r>
        <w:rPr/>
        <w:t>growth</w:t>
      </w:r>
      <w:r>
        <w:rPr>
          <w:spacing w:val="-7"/>
        </w:rPr>
        <w:t> </w:t>
      </w:r>
      <w:r>
        <w:rPr/>
        <w:t>sucking</w:t>
      </w:r>
      <w:r>
        <w:rPr>
          <w:spacing w:val="-8"/>
        </w:rPr>
        <w:t> </w:t>
      </w:r>
      <w:r>
        <w:rPr/>
        <w:t>in</w:t>
      </w:r>
      <w:r>
        <w:rPr>
          <w:spacing w:val="-7"/>
        </w:rPr>
        <w:t> </w:t>
      </w:r>
      <w:r>
        <w:rPr/>
        <w:t>imports</w:t>
      </w:r>
      <w:r>
        <w:rPr>
          <w:spacing w:val="-7"/>
        </w:rPr>
        <w:t> </w:t>
      </w:r>
      <w:r>
        <w:rPr/>
        <w:t>had</w:t>
      </w:r>
      <w:r>
        <w:rPr>
          <w:spacing w:val="-7"/>
        </w:rPr>
        <w:t> </w:t>
      </w:r>
      <w:r>
        <w:rPr/>
        <w:t>been</w:t>
      </w:r>
      <w:r>
        <w:rPr>
          <w:spacing w:val="-8"/>
        </w:rPr>
        <w:t> </w:t>
      </w:r>
      <w:r>
        <w:rPr/>
        <w:t>an</w:t>
      </w:r>
      <w:r>
        <w:rPr>
          <w:spacing w:val="-7"/>
        </w:rPr>
        <w:t> </w:t>
      </w:r>
      <w:r>
        <w:rPr/>
        <w:t>indicator of masked inflationary pressures; that had been so in the mid-to-late 1980s, when taking comfort from the ability of the external deficit to accommodate strong domestic demand had led to delays in </w:t>
      </w:r>
      <w:r>
        <w:rPr>
          <w:spacing w:val="-2"/>
        </w:rPr>
        <w:t>taking </w:t>
      </w:r>
      <w:r>
        <w:rPr>
          <w:spacing w:val="-3"/>
        </w:rPr>
        <w:t>necessary domestic policy</w:t>
      </w:r>
      <w:r>
        <w:rPr>
          <w:spacing w:val="6"/>
        </w:rPr>
        <w:t> </w:t>
      </w:r>
      <w:r>
        <w:rPr>
          <w:spacing w:val="-3"/>
        </w:rPr>
        <w:t>action.</w:t>
      </w:r>
    </w:p>
    <w:p>
      <w:pPr>
        <w:pStyle w:val="BodyText"/>
        <w:spacing w:before="10"/>
        <w:rPr>
          <w:sz w:val="36"/>
        </w:rPr>
      </w:pPr>
    </w:p>
    <w:p>
      <w:pPr>
        <w:pStyle w:val="ListParagraph"/>
        <w:numPr>
          <w:ilvl w:val="0"/>
          <w:numId w:val="2"/>
        </w:numPr>
        <w:tabs>
          <w:tab w:pos="564" w:val="left" w:leader="none"/>
        </w:tabs>
        <w:spacing w:line="240" w:lineRule="auto" w:before="0" w:after="0"/>
        <w:ind w:left="563" w:right="0" w:hanging="457"/>
        <w:jc w:val="left"/>
        <w:rPr>
          <w:sz w:val="24"/>
        </w:rPr>
      </w:pPr>
      <w:r>
        <w:rPr>
          <w:sz w:val="24"/>
          <w:u w:val="single"/>
        </w:rPr>
        <w:t>Output</w:t>
      </w:r>
      <w:r>
        <w:rPr>
          <w:spacing w:val="3"/>
          <w:sz w:val="24"/>
          <w:u w:val="single"/>
        </w:rPr>
        <w:t> </w:t>
      </w:r>
      <w:r>
        <w:rPr>
          <w:sz w:val="24"/>
          <w:u w:val="single"/>
        </w:rPr>
        <w:t>growth</w:t>
      </w:r>
    </w:p>
    <w:p>
      <w:pPr>
        <w:pStyle w:val="BodyText"/>
        <w:rPr>
          <w:sz w:val="20"/>
        </w:rPr>
      </w:pPr>
    </w:p>
    <w:p>
      <w:pPr>
        <w:pStyle w:val="BodyText"/>
        <w:spacing w:before="6"/>
        <w:rPr>
          <w:sz w:val="22"/>
        </w:rPr>
      </w:pPr>
    </w:p>
    <w:p>
      <w:pPr>
        <w:pStyle w:val="ListParagraph"/>
        <w:numPr>
          <w:ilvl w:val="0"/>
          <w:numId w:val="1"/>
        </w:numPr>
        <w:tabs>
          <w:tab w:pos="506" w:val="left" w:leader="none"/>
        </w:tabs>
        <w:spacing w:line="372" w:lineRule="auto" w:before="90" w:after="0"/>
        <w:ind w:left="107" w:right="208" w:firstLine="0"/>
        <w:jc w:val="left"/>
        <w:rPr>
          <w:sz w:val="24"/>
        </w:rPr>
      </w:pPr>
      <w:r>
        <w:rPr>
          <w:sz w:val="24"/>
        </w:rPr>
        <w:t>The</w:t>
      </w:r>
      <w:r>
        <w:rPr>
          <w:spacing w:val="-9"/>
          <w:sz w:val="24"/>
        </w:rPr>
        <w:t> </w:t>
      </w:r>
      <w:r>
        <w:rPr>
          <w:sz w:val="24"/>
        </w:rPr>
        <w:t>divergence</w:t>
      </w:r>
      <w:r>
        <w:rPr>
          <w:spacing w:val="-8"/>
          <w:sz w:val="24"/>
        </w:rPr>
        <w:t> </w:t>
      </w:r>
      <w:r>
        <w:rPr>
          <w:sz w:val="24"/>
        </w:rPr>
        <w:t>between</w:t>
      </w:r>
      <w:r>
        <w:rPr>
          <w:spacing w:val="-8"/>
          <w:sz w:val="24"/>
        </w:rPr>
        <w:t> </w:t>
      </w:r>
      <w:r>
        <w:rPr>
          <w:sz w:val="24"/>
        </w:rPr>
        <w:t>the</w:t>
      </w:r>
      <w:r>
        <w:rPr>
          <w:spacing w:val="-8"/>
          <w:sz w:val="24"/>
        </w:rPr>
        <w:t> </w:t>
      </w:r>
      <w:r>
        <w:rPr>
          <w:sz w:val="24"/>
        </w:rPr>
        <w:t>ONS</w:t>
      </w:r>
      <w:r>
        <w:rPr>
          <w:spacing w:val="-8"/>
          <w:sz w:val="24"/>
        </w:rPr>
        <w:t> </w:t>
      </w:r>
      <w:r>
        <w:rPr>
          <w:sz w:val="24"/>
        </w:rPr>
        <w:t>data</w:t>
      </w:r>
      <w:r>
        <w:rPr>
          <w:spacing w:val="-8"/>
          <w:sz w:val="24"/>
        </w:rPr>
        <w:t> </w:t>
      </w:r>
      <w:r>
        <w:rPr>
          <w:sz w:val="24"/>
        </w:rPr>
        <w:t>and</w:t>
      </w:r>
      <w:r>
        <w:rPr>
          <w:spacing w:val="-8"/>
          <w:sz w:val="24"/>
        </w:rPr>
        <w:t> </w:t>
      </w:r>
      <w:r>
        <w:rPr>
          <w:sz w:val="24"/>
        </w:rPr>
        <w:t>surveys</w:t>
      </w:r>
      <w:r>
        <w:rPr>
          <w:spacing w:val="-8"/>
          <w:sz w:val="24"/>
        </w:rPr>
        <w:t> </w:t>
      </w:r>
      <w:r>
        <w:rPr>
          <w:sz w:val="24"/>
        </w:rPr>
        <w:t>of</w:t>
      </w:r>
      <w:r>
        <w:rPr>
          <w:spacing w:val="-9"/>
          <w:sz w:val="24"/>
        </w:rPr>
        <w:t> </w:t>
      </w:r>
      <w:r>
        <w:rPr>
          <w:sz w:val="24"/>
        </w:rPr>
        <w:t>manufacturing</w:t>
      </w:r>
      <w:r>
        <w:rPr>
          <w:spacing w:val="-8"/>
          <w:sz w:val="24"/>
        </w:rPr>
        <w:t> </w:t>
      </w:r>
      <w:r>
        <w:rPr>
          <w:sz w:val="24"/>
        </w:rPr>
        <w:t>had</w:t>
      </w:r>
      <w:r>
        <w:rPr>
          <w:spacing w:val="-8"/>
          <w:sz w:val="24"/>
        </w:rPr>
        <w:t> </w:t>
      </w:r>
      <w:r>
        <w:rPr>
          <w:sz w:val="24"/>
        </w:rPr>
        <w:t>become</w:t>
      </w:r>
      <w:r>
        <w:rPr>
          <w:spacing w:val="-8"/>
          <w:sz w:val="24"/>
        </w:rPr>
        <w:t> </w:t>
      </w:r>
      <w:r>
        <w:rPr>
          <w:sz w:val="24"/>
        </w:rPr>
        <w:t>more</w:t>
      </w:r>
      <w:r>
        <w:rPr>
          <w:spacing w:val="-8"/>
          <w:sz w:val="24"/>
        </w:rPr>
        <w:t> </w:t>
      </w:r>
      <w:r>
        <w:rPr>
          <w:sz w:val="24"/>
        </w:rPr>
        <w:t>pronounced. The ONS data recorded a fall of 0.4% in manufacturing output in Q4 over Q3. Surveys, however, indicated</w:t>
      </w:r>
      <w:r>
        <w:rPr>
          <w:spacing w:val="-11"/>
          <w:sz w:val="24"/>
        </w:rPr>
        <w:t> </w:t>
      </w:r>
      <w:r>
        <w:rPr>
          <w:sz w:val="24"/>
        </w:rPr>
        <w:t>positive,</w:t>
      </w:r>
      <w:r>
        <w:rPr>
          <w:spacing w:val="-11"/>
          <w:sz w:val="24"/>
        </w:rPr>
        <w:t> </w:t>
      </w:r>
      <w:r>
        <w:rPr>
          <w:sz w:val="24"/>
        </w:rPr>
        <w:t>albeit</w:t>
      </w:r>
      <w:r>
        <w:rPr>
          <w:spacing w:val="-11"/>
          <w:sz w:val="24"/>
        </w:rPr>
        <w:t> </w:t>
      </w:r>
      <w:r>
        <w:rPr>
          <w:sz w:val="24"/>
        </w:rPr>
        <w:t>weakening,</w:t>
      </w:r>
      <w:r>
        <w:rPr>
          <w:spacing w:val="-11"/>
          <w:sz w:val="24"/>
        </w:rPr>
        <w:t> </w:t>
      </w:r>
      <w:r>
        <w:rPr>
          <w:sz w:val="24"/>
        </w:rPr>
        <w:t>growth;</w:t>
      </w:r>
      <w:r>
        <w:rPr>
          <w:spacing w:val="41"/>
          <w:sz w:val="24"/>
        </w:rPr>
        <w:t> </w:t>
      </w:r>
      <w:r>
        <w:rPr>
          <w:sz w:val="24"/>
        </w:rPr>
        <w:t>Bank</w:t>
      </w:r>
      <w:r>
        <w:rPr>
          <w:spacing w:val="-10"/>
          <w:sz w:val="24"/>
        </w:rPr>
        <w:t> </w:t>
      </w:r>
      <w:r>
        <w:rPr>
          <w:sz w:val="24"/>
        </w:rPr>
        <w:t>staff</w:t>
      </w:r>
      <w:r>
        <w:rPr>
          <w:spacing w:val="-11"/>
          <w:sz w:val="24"/>
        </w:rPr>
        <w:t> </w:t>
      </w:r>
      <w:r>
        <w:rPr>
          <w:sz w:val="24"/>
        </w:rPr>
        <w:t>estimated</w:t>
      </w:r>
      <w:r>
        <w:rPr>
          <w:spacing w:val="-11"/>
          <w:sz w:val="24"/>
        </w:rPr>
        <w:t> </w:t>
      </w:r>
      <w:r>
        <w:rPr>
          <w:sz w:val="24"/>
        </w:rPr>
        <w:t>that</w:t>
      </w:r>
      <w:r>
        <w:rPr>
          <w:spacing w:val="-11"/>
          <w:sz w:val="24"/>
        </w:rPr>
        <w:t> </w:t>
      </w:r>
      <w:r>
        <w:rPr>
          <w:sz w:val="24"/>
        </w:rPr>
        <w:t>the</w:t>
      </w:r>
      <w:r>
        <w:rPr>
          <w:spacing w:val="-10"/>
          <w:sz w:val="24"/>
        </w:rPr>
        <w:t> </w:t>
      </w:r>
      <w:r>
        <w:rPr>
          <w:sz w:val="24"/>
        </w:rPr>
        <w:t>CBI</w:t>
      </w:r>
      <w:r>
        <w:rPr>
          <w:spacing w:val="-11"/>
          <w:sz w:val="24"/>
        </w:rPr>
        <w:t> </w:t>
      </w:r>
      <w:r>
        <w:rPr>
          <w:sz w:val="24"/>
        </w:rPr>
        <w:t>survey</w:t>
      </w:r>
      <w:r>
        <w:rPr>
          <w:spacing w:val="-11"/>
          <w:sz w:val="24"/>
        </w:rPr>
        <w:t> </w:t>
      </w:r>
      <w:r>
        <w:rPr>
          <w:sz w:val="24"/>
        </w:rPr>
        <w:t>responses</w:t>
      </w:r>
      <w:r>
        <w:rPr>
          <w:spacing w:val="-11"/>
          <w:sz w:val="24"/>
        </w:rPr>
        <w:t> </w:t>
      </w:r>
      <w:r>
        <w:rPr>
          <w:sz w:val="24"/>
        </w:rPr>
        <w:t>implied above trend manufacturing growth in</w:t>
      </w:r>
      <w:r>
        <w:rPr>
          <w:spacing w:val="2"/>
          <w:sz w:val="24"/>
        </w:rPr>
        <w:t> </w:t>
      </w:r>
      <w:r>
        <w:rPr>
          <w:spacing w:val="-2"/>
          <w:sz w:val="24"/>
        </w:rPr>
        <w:t>Q4.</w:t>
      </w:r>
    </w:p>
    <w:p>
      <w:pPr>
        <w:pStyle w:val="BodyText"/>
        <w:spacing w:before="10"/>
        <w:rPr>
          <w:sz w:val="36"/>
        </w:rPr>
      </w:pPr>
    </w:p>
    <w:p>
      <w:pPr>
        <w:pStyle w:val="ListParagraph"/>
        <w:numPr>
          <w:ilvl w:val="0"/>
          <w:numId w:val="1"/>
        </w:numPr>
        <w:tabs>
          <w:tab w:pos="506" w:val="left" w:leader="none"/>
        </w:tabs>
        <w:spacing w:line="372" w:lineRule="auto" w:before="1" w:after="0"/>
        <w:ind w:left="107" w:right="448" w:firstLine="0"/>
        <w:jc w:val="left"/>
        <w:rPr>
          <w:sz w:val="24"/>
        </w:rPr>
      </w:pPr>
      <w:r>
        <w:rPr>
          <w:sz w:val="24"/>
        </w:rPr>
        <w:t>There was a range of views on whether the official statistics or surveys should be given greater weight.</w:t>
      </w:r>
      <w:r>
        <w:rPr>
          <w:spacing w:val="49"/>
          <w:sz w:val="24"/>
        </w:rPr>
        <w:t> </w:t>
      </w:r>
      <w:r>
        <w:rPr>
          <w:sz w:val="24"/>
        </w:rPr>
        <w:t>On</w:t>
      </w:r>
      <w:r>
        <w:rPr>
          <w:spacing w:val="-6"/>
          <w:sz w:val="24"/>
        </w:rPr>
        <w:t> </w:t>
      </w:r>
      <w:r>
        <w:rPr>
          <w:sz w:val="24"/>
        </w:rPr>
        <w:t>one</w:t>
      </w:r>
      <w:r>
        <w:rPr>
          <w:spacing w:val="-7"/>
          <w:sz w:val="24"/>
        </w:rPr>
        <w:t> </w:t>
      </w:r>
      <w:r>
        <w:rPr>
          <w:sz w:val="24"/>
        </w:rPr>
        <w:t>view,</w:t>
      </w:r>
      <w:r>
        <w:rPr>
          <w:spacing w:val="-6"/>
          <w:sz w:val="24"/>
        </w:rPr>
        <w:t> </w:t>
      </w:r>
      <w:r>
        <w:rPr>
          <w:sz w:val="24"/>
        </w:rPr>
        <w:t>the</w:t>
      </w:r>
      <w:r>
        <w:rPr>
          <w:spacing w:val="-7"/>
          <w:sz w:val="24"/>
        </w:rPr>
        <w:t> </w:t>
      </w:r>
      <w:r>
        <w:rPr>
          <w:sz w:val="24"/>
        </w:rPr>
        <w:t>ONS’s</w:t>
      </w:r>
      <w:r>
        <w:rPr>
          <w:spacing w:val="-6"/>
          <w:sz w:val="24"/>
        </w:rPr>
        <w:t> </w:t>
      </w:r>
      <w:r>
        <w:rPr>
          <w:sz w:val="24"/>
        </w:rPr>
        <w:t>first</w:t>
      </w:r>
      <w:r>
        <w:rPr>
          <w:spacing w:val="-7"/>
          <w:sz w:val="24"/>
        </w:rPr>
        <w:t> </w:t>
      </w:r>
      <w:r>
        <w:rPr>
          <w:sz w:val="24"/>
        </w:rPr>
        <w:t>estimate</w:t>
      </w:r>
      <w:r>
        <w:rPr>
          <w:spacing w:val="-6"/>
          <w:sz w:val="24"/>
        </w:rPr>
        <w:t> </w:t>
      </w:r>
      <w:r>
        <w:rPr>
          <w:sz w:val="24"/>
        </w:rPr>
        <w:t>of</w:t>
      </w:r>
      <w:r>
        <w:rPr>
          <w:spacing w:val="-6"/>
          <w:sz w:val="24"/>
        </w:rPr>
        <w:t> </w:t>
      </w:r>
      <w:r>
        <w:rPr>
          <w:sz w:val="24"/>
        </w:rPr>
        <w:t>GDP</w:t>
      </w:r>
      <w:r>
        <w:rPr>
          <w:spacing w:val="-7"/>
          <w:sz w:val="24"/>
        </w:rPr>
        <w:t> </w:t>
      </w:r>
      <w:r>
        <w:rPr>
          <w:sz w:val="24"/>
        </w:rPr>
        <w:t>growth</w:t>
      </w:r>
      <w:r>
        <w:rPr>
          <w:spacing w:val="-6"/>
          <w:sz w:val="24"/>
        </w:rPr>
        <w:t> </w:t>
      </w:r>
      <w:r>
        <w:rPr>
          <w:sz w:val="24"/>
        </w:rPr>
        <w:t>should,</w:t>
      </w:r>
      <w:r>
        <w:rPr>
          <w:spacing w:val="-7"/>
          <w:sz w:val="24"/>
        </w:rPr>
        <w:t> </w:t>
      </w:r>
      <w:r>
        <w:rPr>
          <w:sz w:val="24"/>
        </w:rPr>
        <w:t>as</w:t>
      </w:r>
      <w:r>
        <w:rPr>
          <w:spacing w:val="-6"/>
          <w:sz w:val="24"/>
        </w:rPr>
        <w:t> </w:t>
      </w:r>
      <w:r>
        <w:rPr>
          <w:sz w:val="24"/>
        </w:rPr>
        <w:t>a</w:t>
      </w:r>
      <w:r>
        <w:rPr>
          <w:spacing w:val="-7"/>
          <w:sz w:val="24"/>
        </w:rPr>
        <w:t> </w:t>
      </w:r>
      <w:r>
        <w:rPr>
          <w:sz w:val="24"/>
        </w:rPr>
        <w:t>general</w:t>
      </w:r>
      <w:r>
        <w:rPr>
          <w:spacing w:val="-6"/>
          <w:sz w:val="24"/>
        </w:rPr>
        <w:t> </w:t>
      </w:r>
      <w:r>
        <w:rPr>
          <w:sz w:val="24"/>
        </w:rPr>
        <w:t>rule,</w:t>
      </w:r>
      <w:r>
        <w:rPr>
          <w:spacing w:val="-7"/>
          <w:sz w:val="24"/>
        </w:rPr>
        <w:t> </w:t>
      </w:r>
      <w:r>
        <w:rPr>
          <w:sz w:val="24"/>
        </w:rPr>
        <w:t>be</w:t>
      </w:r>
      <w:r>
        <w:rPr>
          <w:spacing w:val="-6"/>
          <w:sz w:val="24"/>
        </w:rPr>
        <w:t> </w:t>
      </w:r>
      <w:r>
        <w:rPr>
          <w:sz w:val="24"/>
        </w:rPr>
        <w:t>given</w:t>
      </w:r>
      <w:r>
        <w:rPr>
          <w:spacing w:val="-7"/>
          <w:sz w:val="24"/>
        </w:rPr>
        <w:t> </w:t>
      </w:r>
      <w:r>
        <w:rPr>
          <w:sz w:val="24"/>
        </w:rPr>
        <w:t>very little weight given the size of revisions. It would be better to treat the early ONS releases as forecasts rather than hard</w:t>
      </w:r>
      <w:r>
        <w:rPr>
          <w:spacing w:val="5"/>
          <w:sz w:val="24"/>
        </w:rPr>
        <w:t> </w:t>
      </w:r>
      <w:r>
        <w:rPr>
          <w:sz w:val="24"/>
        </w:rPr>
        <w:t>data.</w:t>
      </w:r>
    </w:p>
    <w:p>
      <w:pPr>
        <w:pStyle w:val="BodyText"/>
        <w:spacing w:before="10"/>
        <w:rPr>
          <w:sz w:val="36"/>
        </w:rPr>
      </w:pPr>
    </w:p>
    <w:p>
      <w:pPr>
        <w:pStyle w:val="ListParagraph"/>
        <w:numPr>
          <w:ilvl w:val="0"/>
          <w:numId w:val="1"/>
        </w:numPr>
        <w:tabs>
          <w:tab w:pos="506" w:val="left" w:leader="none"/>
        </w:tabs>
        <w:spacing w:line="372" w:lineRule="auto" w:before="1" w:after="0"/>
        <w:ind w:left="107" w:right="227" w:firstLine="0"/>
        <w:jc w:val="both"/>
        <w:rPr>
          <w:sz w:val="24"/>
        </w:rPr>
      </w:pPr>
      <w:r>
        <w:rPr>
          <w:spacing w:val="-3"/>
          <w:sz w:val="24"/>
        </w:rPr>
        <w:t>Another view </w:t>
      </w:r>
      <w:r>
        <w:rPr>
          <w:sz w:val="24"/>
        </w:rPr>
        <w:t>was </w:t>
      </w:r>
      <w:r>
        <w:rPr>
          <w:spacing w:val="-3"/>
          <w:sz w:val="24"/>
        </w:rPr>
        <w:t>that </w:t>
      </w:r>
      <w:r>
        <w:rPr>
          <w:sz w:val="24"/>
        </w:rPr>
        <w:t>the </w:t>
      </w:r>
      <w:r>
        <w:rPr>
          <w:spacing w:val="-3"/>
          <w:sz w:val="24"/>
        </w:rPr>
        <w:t>surveys </w:t>
      </w:r>
      <w:r>
        <w:rPr>
          <w:sz w:val="24"/>
        </w:rPr>
        <w:t>did not </w:t>
      </w:r>
      <w:r>
        <w:rPr>
          <w:spacing w:val="-3"/>
          <w:sz w:val="24"/>
        </w:rPr>
        <w:t>track </w:t>
      </w:r>
      <w:r>
        <w:rPr>
          <w:sz w:val="24"/>
        </w:rPr>
        <w:t>the </w:t>
      </w:r>
      <w:r>
        <w:rPr>
          <w:spacing w:val="-3"/>
          <w:sz w:val="24"/>
        </w:rPr>
        <w:t>finally revised official output numbers very well, </w:t>
      </w:r>
      <w:r>
        <w:rPr>
          <w:sz w:val="24"/>
        </w:rPr>
        <w:t>and</w:t>
      </w:r>
      <w:r>
        <w:rPr>
          <w:spacing w:val="-7"/>
          <w:sz w:val="24"/>
        </w:rPr>
        <w:t> </w:t>
      </w:r>
      <w:r>
        <w:rPr>
          <w:sz w:val="24"/>
        </w:rPr>
        <w:t>thus</w:t>
      </w:r>
      <w:r>
        <w:rPr>
          <w:spacing w:val="-6"/>
          <w:sz w:val="24"/>
        </w:rPr>
        <w:t> </w:t>
      </w:r>
      <w:r>
        <w:rPr>
          <w:sz w:val="24"/>
        </w:rPr>
        <w:t>greater</w:t>
      </w:r>
      <w:r>
        <w:rPr>
          <w:spacing w:val="-6"/>
          <w:sz w:val="24"/>
        </w:rPr>
        <w:t> </w:t>
      </w:r>
      <w:r>
        <w:rPr>
          <w:sz w:val="24"/>
        </w:rPr>
        <w:t>weight</w:t>
      </w:r>
      <w:r>
        <w:rPr>
          <w:spacing w:val="-6"/>
          <w:sz w:val="24"/>
        </w:rPr>
        <w:t> </w:t>
      </w:r>
      <w:r>
        <w:rPr>
          <w:sz w:val="24"/>
        </w:rPr>
        <w:t>should</w:t>
      </w:r>
      <w:r>
        <w:rPr>
          <w:spacing w:val="-6"/>
          <w:sz w:val="24"/>
        </w:rPr>
        <w:t> </w:t>
      </w:r>
      <w:r>
        <w:rPr>
          <w:sz w:val="24"/>
        </w:rPr>
        <w:t>be</w:t>
      </w:r>
      <w:r>
        <w:rPr>
          <w:spacing w:val="-6"/>
          <w:sz w:val="24"/>
        </w:rPr>
        <w:t> </w:t>
      </w:r>
      <w:r>
        <w:rPr>
          <w:sz w:val="24"/>
        </w:rPr>
        <w:t>placed</w:t>
      </w:r>
      <w:r>
        <w:rPr>
          <w:spacing w:val="-6"/>
          <w:sz w:val="24"/>
        </w:rPr>
        <w:t> </w:t>
      </w:r>
      <w:r>
        <w:rPr>
          <w:sz w:val="24"/>
        </w:rPr>
        <w:t>on</w:t>
      </w:r>
      <w:r>
        <w:rPr>
          <w:spacing w:val="-6"/>
          <w:sz w:val="24"/>
        </w:rPr>
        <w:t> </w:t>
      </w:r>
      <w:r>
        <w:rPr>
          <w:sz w:val="24"/>
        </w:rPr>
        <w:t>the</w:t>
      </w:r>
      <w:r>
        <w:rPr>
          <w:spacing w:val="-6"/>
          <w:sz w:val="24"/>
        </w:rPr>
        <w:t> </w:t>
      </w:r>
      <w:r>
        <w:rPr>
          <w:sz w:val="24"/>
        </w:rPr>
        <w:t>ONS</w:t>
      </w:r>
      <w:r>
        <w:rPr>
          <w:spacing w:val="-6"/>
          <w:sz w:val="24"/>
        </w:rPr>
        <w:t> </w:t>
      </w:r>
      <w:r>
        <w:rPr>
          <w:sz w:val="24"/>
        </w:rPr>
        <w:t>data</w:t>
      </w:r>
      <w:r>
        <w:rPr>
          <w:spacing w:val="-7"/>
          <w:sz w:val="24"/>
        </w:rPr>
        <w:t> </w:t>
      </w:r>
      <w:r>
        <w:rPr>
          <w:sz w:val="24"/>
        </w:rPr>
        <w:t>and</w:t>
      </w:r>
      <w:r>
        <w:rPr>
          <w:spacing w:val="-6"/>
          <w:sz w:val="24"/>
        </w:rPr>
        <w:t> </w:t>
      </w:r>
      <w:r>
        <w:rPr>
          <w:sz w:val="24"/>
        </w:rPr>
        <w:t>in</w:t>
      </w:r>
      <w:r>
        <w:rPr>
          <w:spacing w:val="-6"/>
          <w:sz w:val="24"/>
        </w:rPr>
        <w:t> </w:t>
      </w:r>
      <w:r>
        <w:rPr>
          <w:sz w:val="24"/>
        </w:rPr>
        <w:t>particular</w:t>
      </w:r>
      <w:r>
        <w:rPr>
          <w:spacing w:val="-6"/>
          <w:sz w:val="24"/>
        </w:rPr>
        <w:t> </w:t>
      </w:r>
      <w:r>
        <w:rPr>
          <w:sz w:val="24"/>
        </w:rPr>
        <w:t>on</w:t>
      </w:r>
      <w:r>
        <w:rPr>
          <w:spacing w:val="-6"/>
          <w:sz w:val="24"/>
        </w:rPr>
        <w:t> </w:t>
      </w:r>
      <w:r>
        <w:rPr>
          <w:sz w:val="24"/>
        </w:rPr>
        <w:t>the</w:t>
      </w:r>
      <w:r>
        <w:rPr>
          <w:spacing w:val="-6"/>
          <w:sz w:val="24"/>
        </w:rPr>
        <w:t> </w:t>
      </w:r>
      <w:r>
        <w:rPr>
          <w:sz w:val="24"/>
        </w:rPr>
        <w:t>direction</w:t>
      </w:r>
      <w:r>
        <w:rPr>
          <w:spacing w:val="-6"/>
          <w:sz w:val="24"/>
        </w:rPr>
        <w:t> </w:t>
      </w:r>
      <w:r>
        <w:rPr>
          <w:sz w:val="24"/>
        </w:rPr>
        <w:t>of</w:t>
      </w:r>
      <w:r>
        <w:rPr>
          <w:spacing w:val="-6"/>
          <w:sz w:val="24"/>
        </w:rPr>
        <w:t> </w:t>
      </w:r>
      <w:r>
        <w:rPr>
          <w:sz w:val="24"/>
        </w:rPr>
        <w:t>revisions. The output growth data for Q4 had been revised down by 0.1 of a percentage point; this was news</w:t>
      </w:r>
      <w:r>
        <w:rPr>
          <w:spacing w:val="-42"/>
          <w:sz w:val="24"/>
        </w:rPr>
        <w:t> </w:t>
      </w:r>
      <w:r>
        <w:rPr>
          <w:sz w:val="24"/>
        </w:rPr>
        <w:t>since the general expectation had been that there would be upward</w:t>
      </w:r>
      <w:r>
        <w:rPr>
          <w:spacing w:val="-6"/>
          <w:sz w:val="24"/>
        </w:rPr>
        <w:t> </w:t>
      </w:r>
      <w:r>
        <w:rPr>
          <w:sz w:val="24"/>
        </w:rPr>
        <w:t>revisions.</w:t>
      </w:r>
    </w:p>
    <w:p>
      <w:pPr>
        <w:pStyle w:val="BodyText"/>
        <w:spacing w:before="10"/>
        <w:rPr>
          <w:sz w:val="36"/>
        </w:rPr>
      </w:pPr>
    </w:p>
    <w:p>
      <w:pPr>
        <w:pStyle w:val="ListParagraph"/>
        <w:numPr>
          <w:ilvl w:val="0"/>
          <w:numId w:val="1"/>
        </w:numPr>
        <w:tabs>
          <w:tab w:pos="506" w:val="left" w:leader="none"/>
        </w:tabs>
        <w:spacing w:line="372" w:lineRule="auto" w:before="1" w:after="0"/>
        <w:ind w:left="107" w:right="251" w:firstLine="0"/>
        <w:jc w:val="left"/>
        <w:rPr>
          <w:sz w:val="24"/>
        </w:rPr>
      </w:pPr>
      <w:r>
        <w:rPr>
          <w:sz w:val="24"/>
        </w:rPr>
        <w:t>The Committee agreed that recent developments in activity were unclear. It was possible that </w:t>
      </w:r>
      <w:r>
        <w:rPr>
          <w:spacing w:val="-2"/>
          <w:sz w:val="24"/>
        </w:rPr>
        <w:t>the </w:t>
      </w:r>
      <w:r>
        <w:rPr>
          <w:sz w:val="24"/>
        </w:rPr>
        <w:t>path</w:t>
      </w:r>
      <w:r>
        <w:rPr>
          <w:spacing w:val="-7"/>
          <w:sz w:val="24"/>
        </w:rPr>
        <w:t> </w:t>
      </w:r>
      <w:r>
        <w:rPr>
          <w:sz w:val="24"/>
        </w:rPr>
        <w:t>of</w:t>
      </w:r>
      <w:r>
        <w:rPr>
          <w:spacing w:val="-6"/>
          <w:sz w:val="24"/>
        </w:rPr>
        <w:t> </w:t>
      </w:r>
      <w:r>
        <w:rPr>
          <w:sz w:val="24"/>
        </w:rPr>
        <w:t>future</w:t>
      </w:r>
      <w:r>
        <w:rPr>
          <w:spacing w:val="-6"/>
          <w:sz w:val="24"/>
        </w:rPr>
        <w:t> </w:t>
      </w:r>
      <w:r>
        <w:rPr>
          <w:sz w:val="24"/>
        </w:rPr>
        <w:t>output,</w:t>
      </w:r>
      <w:r>
        <w:rPr>
          <w:spacing w:val="-6"/>
          <w:sz w:val="24"/>
        </w:rPr>
        <w:t> </w:t>
      </w:r>
      <w:r>
        <w:rPr>
          <w:sz w:val="24"/>
        </w:rPr>
        <w:t>and</w:t>
      </w:r>
      <w:r>
        <w:rPr>
          <w:spacing w:val="-6"/>
          <w:sz w:val="24"/>
        </w:rPr>
        <w:t> </w:t>
      </w:r>
      <w:r>
        <w:rPr>
          <w:sz w:val="24"/>
        </w:rPr>
        <w:t>inflation,</w:t>
      </w:r>
      <w:r>
        <w:rPr>
          <w:spacing w:val="-6"/>
          <w:sz w:val="24"/>
        </w:rPr>
        <w:t> </w:t>
      </w:r>
      <w:r>
        <w:rPr>
          <w:sz w:val="24"/>
        </w:rPr>
        <w:t>was</w:t>
      </w:r>
      <w:r>
        <w:rPr>
          <w:spacing w:val="-6"/>
          <w:sz w:val="24"/>
        </w:rPr>
        <w:t> </w:t>
      </w:r>
      <w:r>
        <w:rPr>
          <w:sz w:val="24"/>
        </w:rPr>
        <w:t>more</w:t>
      </w:r>
      <w:r>
        <w:rPr>
          <w:spacing w:val="-6"/>
          <w:sz w:val="24"/>
        </w:rPr>
        <w:t> </w:t>
      </w:r>
      <w:r>
        <w:rPr>
          <w:sz w:val="24"/>
        </w:rPr>
        <w:t>uncertain</w:t>
      </w:r>
      <w:r>
        <w:rPr>
          <w:spacing w:val="-6"/>
          <w:sz w:val="24"/>
        </w:rPr>
        <w:t> </w:t>
      </w:r>
      <w:r>
        <w:rPr>
          <w:sz w:val="24"/>
        </w:rPr>
        <w:t>in</w:t>
      </w:r>
      <w:r>
        <w:rPr>
          <w:spacing w:val="-6"/>
          <w:sz w:val="24"/>
        </w:rPr>
        <w:t> </w:t>
      </w:r>
      <w:r>
        <w:rPr>
          <w:sz w:val="24"/>
        </w:rPr>
        <w:t>the</w:t>
      </w:r>
      <w:r>
        <w:rPr>
          <w:spacing w:val="-6"/>
          <w:sz w:val="24"/>
        </w:rPr>
        <w:t> </w:t>
      </w:r>
      <w:r>
        <w:rPr>
          <w:sz w:val="24"/>
        </w:rPr>
        <w:t>short</w:t>
      </w:r>
      <w:r>
        <w:rPr>
          <w:spacing w:val="-6"/>
          <w:sz w:val="24"/>
        </w:rPr>
        <w:t> </w:t>
      </w:r>
      <w:r>
        <w:rPr>
          <w:sz w:val="24"/>
        </w:rPr>
        <w:t>run</w:t>
      </w:r>
      <w:r>
        <w:rPr>
          <w:spacing w:val="-6"/>
          <w:sz w:val="24"/>
        </w:rPr>
        <w:t> </w:t>
      </w:r>
      <w:r>
        <w:rPr>
          <w:sz w:val="24"/>
        </w:rPr>
        <w:t>than</w:t>
      </w:r>
      <w:r>
        <w:rPr>
          <w:spacing w:val="-6"/>
          <w:sz w:val="24"/>
        </w:rPr>
        <w:t> </w:t>
      </w:r>
      <w:r>
        <w:rPr>
          <w:sz w:val="24"/>
        </w:rPr>
        <w:t>suggested</w:t>
      </w:r>
      <w:r>
        <w:rPr>
          <w:spacing w:val="-6"/>
          <w:sz w:val="24"/>
        </w:rPr>
        <w:t> </w:t>
      </w:r>
      <w:r>
        <w:rPr>
          <w:sz w:val="24"/>
        </w:rPr>
        <w:t>in</w:t>
      </w:r>
      <w:r>
        <w:rPr>
          <w:spacing w:val="-6"/>
          <w:sz w:val="24"/>
        </w:rPr>
        <w:t> </w:t>
      </w:r>
      <w:r>
        <w:rPr>
          <w:sz w:val="24"/>
        </w:rPr>
        <w:t>the</w:t>
      </w:r>
      <w:r>
        <w:rPr>
          <w:spacing w:val="-7"/>
          <w:sz w:val="24"/>
        </w:rPr>
        <w:t> </w:t>
      </w:r>
      <w:r>
        <w:rPr>
          <w:sz w:val="24"/>
        </w:rPr>
        <w:t>Bank’s</w:t>
      </w:r>
      <w:r>
        <w:rPr>
          <w:spacing w:val="-6"/>
          <w:sz w:val="24"/>
        </w:rPr>
        <w:t> </w:t>
      </w:r>
      <w:r>
        <w:rPr>
          <w:spacing w:val="-2"/>
          <w:sz w:val="24"/>
        </w:rPr>
        <w:t>fan </w:t>
      </w:r>
      <w:r>
        <w:rPr>
          <w:sz w:val="24"/>
        </w:rPr>
        <w:t>charts since the considerable uncertainty about recent past data - and hence the starting point - was not reflected. It was agreed that this issue should be investigated further for the May Inflation</w:t>
      </w:r>
      <w:r>
        <w:rPr>
          <w:spacing w:val="-9"/>
          <w:sz w:val="24"/>
        </w:rPr>
        <w:t> </w:t>
      </w:r>
      <w:r>
        <w:rPr>
          <w:sz w:val="24"/>
        </w:rPr>
        <w:t>Report.</w:t>
      </w:r>
    </w:p>
    <w:p>
      <w:pPr>
        <w:pStyle w:val="BodyText"/>
        <w:spacing w:before="10"/>
        <w:rPr>
          <w:sz w:val="36"/>
        </w:rPr>
      </w:pPr>
    </w:p>
    <w:p>
      <w:pPr>
        <w:pStyle w:val="ListParagraph"/>
        <w:numPr>
          <w:ilvl w:val="0"/>
          <w:numId w:val="1"/>
        </w:numPr>
        <w:tabs>
          <w:tab w:pos="506" w:val="left" w:leader="none"/>
        </w:tabs>
        <w:spacing w:line="372" w:lineRule="auto" w:before="1" w:after="0"/>
        <w:ind w:left="107" w:right="122" w:firstLine="0"/>
        <w:jc w:val="left"/>
        <w:rPr>
          <w:sz w:val="24"/>
        </w:rPr>
      </w:pPr>
      <w:r>
        <w:rPr>
          <w:sz w:val="24"/>
        </w:rPr>
        <w:t>There was also a range of views on the implications of the contrast between the manufacturing </w:t>
      </w:r>
      <w:r>
        <w:rPr>
          <w:spacing w:val="-2"/>
          <w:sz w:val="24"/>
        </w:rPr>
        <w:t>and </w:t>
      </w:r>
      <w:r>
        <w:rPr>
          <w:sz w:val="24"/>
        </w:rPr>
        <w:t>service</w:t>
      </w:r>
      <w:r>
        <w:rPr>
          <w:spacing w:val="-9"/>
          <w:sz w:val="24"/>
        </w:rPr>
        <w:t> </w:t>
      </w:r>
      <w:r>
        <w:rPr>
          <w:sz w:val="24"/>
        </w:rPr>
        <w:t>sectors.</w:t>
      </w:r>
      <w:r>
        <w:rPr>
          <w:spacing w:val="45"/>
          <w:sz w:val="24"/>
        </w:rPr>
        <w:t> </w:t>
      </w:r>
      <w:r>
        <w:rPr>
          <w:sz w:val="24"/>
        </w:rPr>
        <w:t>On</w:t>
      </w:r>
      <w:r>
        <w:rPr>
          <w:spacing w:val="-8"/>
          <w:sz w:val="24"/>
        </w:rPr>
        <w:t> </w:t>
      </w:r>
      <w:r>
        <w:rPr>
          <w:sz w:val="24"/>
        </w:rPr>
        <w:t>one</w:t>
      </w:r>
      <w:r>
        <w:rPr>
          <w:spacing w:val="-9"/>
          <w:sz w:val="24"/>
        </w:rPr>
        <w:t> </w:t>
      </w:r>
      <w:r>
        <w:rPr>
          <w:sz w:val="24"/>
        </w:rPr>
        <w:t>view,</w:t>
      </w:r>
      <w:r>
        <w:rPr>
          <w:spacing w:val="-8"/>
          <w:sz w:val="24"/>
        </w:rPr>
        <w:t> </w:t>
      </w:r>
      <w:r>
        <w:rPr>
          <w:sz w:val="24"/>
        </w:rPr>
        <w:t>the</w:t>
      </w:r>
      <w:r>
        <w:rPr>
          <w:spacing w:val="-9"/>
          <w:sz w:val="24"/>
        </w:rPr>
        <w:t> </w:t>
      </w:r>
      <w:r>
        <w:rPr>
          <w:sz w:val="24"/>
        </w:rPr>
        <w:t>slowdown</w:t>
      </w:r>
      <w:r>
        <w:rPr>
          <w:spacing w:val="-8"/>
          <w:sz w:val="24"/>
        </w:rPr>
        <w:t> </w:t>
      </w:r>
      <w:r>
        <w:rPr>
          <w:sz w:val="24"/>
        </w:rPr>
        <w:t>in</w:t>
      </w:r>
      <w:r>
        <w:rPr>
          <w:spacing w:val="-9"/>
          <w:sz w:val="24"/>
        </w:rPr>
        <w:t> </w:t>
      </w:r>
      <w:r>
        <w:rPr>
          <w:sz w:val="24"/>
        </w:rPr>
        <w:t>manufacturing</w:t>
      </w:r>
      <w:r>
        <w:rPr>
          <w:spacing w:val="-8"/>
          <w:sz w:val="24"/>
        </w:rPr>
        <w:t> </w:t>
      </w:r>
      <w:r>
        <w:rPr>
          <w:sz w:val="24"/>
        </w:rPr>
        <w:t>growth</w:t>
      </w:r>
      <w:r>
        <w:rPr>
          <w:spacing w:val="-9"/>
          <w:sz w:val="24"/>
        </w:rPr>
        <w:t> </w:t>
      </w:r>
      <w:r>
        <w:rPr>
          <w:sz w:val="24"/>
        </w:rPr>
        <w:t>was</w:t>
      </w:r>
      <w:r>
        <w:rPr>
          <w:spacing w:val="-8"/>
          <w:sz w:val="24"/>
        </w:rPr>
        <w:t> </w:t>
      </w:r>
      <w:r>
        <w:rPr>
          <w:sz w:val="24"/>
        </w:rPr>
        <w:t>likely</w:t>
      </w:r>
      <w:r>
        <w:rPr>
          <w:spacing w:val="-9"/>
          <w:sz w:val="24"/>
        </w:rPr>
        <w:t> </w:t>
      </w:r>
      <w:r>
        <w:rPr>
          <w:sz w:val="24"/>
        </w:rPr>
        <w:t>to</w:t>
      </w:r>
      <w:r>
        <w:rPr>
          <w:spacing w:val="-9"/>
          <w:sz w:val="24"/>
        </w:rPr>
        <w:t> </w:t>
      </w:r>
      <w:r>
        <w:rPr>
          <w:sz w:val="24"/>
        </w:rPr>
        <w:t>have</w:t>
      </w:r>
      <w:r>
        <w:rPr>
          <w:spacing w:val="-8"/>
          <w:sz w:val="24"/>
        </w:rPr>
        <w:t> </w:t>
      </w:r>
      <w:r>
        <w:rPr>
          <w:sz w:val="24"/>
        </w:rPr>
        <w:t>knock-on</w:t>
      </w:r>
      <w:r>
        <w:rPr>
          <w:spacing w:val="-9"/>
          <w:sz w:val="24"/>
        </w:rPr>
        <w:t> </w:t>
      </w:r>
      <w:r>
        <w:rPr>
          <w:sz w:val="24"/>
        </w:rPr>
        <w:t>effects for services, directly through the dependence of business services on the production industries, </w:t>
      </w:r>
      <w:r>
        <w:rPr>
          <w:spacing w:val="-2"/>
          <w:sz w:val="24"/>
        </w:rPr>
        <w:t>and </w:t>
      </w:r>
      <w:r>
        <w:rPr>
          <w:spacing w:val="-3"/>
          <w:sz w:val="24"/>
        </w:rPr>
        <w:t>indirectly </w:t>
      </w:r>
      <w:r>
        <w:rPr>
          <w:sz w:val="24"/>
        </w:rPr>
        <w:t>via </w:t>
      </w:r>
      <w:r>
        <w:rPr>
          <w:spacing w:val="-3"/>
          <w:sz w:val="24"/>
        </w:rPr>
        <w:t>slower personal sector income growth </w:t>
      </w:r>
      <w:r>
        <w:rPr>
          <w:sz w:val="24"/>
        </w:rPr>
        <w:t>if </w:t>
      </w:r>
      <w:r>
        <w:rPr>
          <w:spacing w:val="-3"/>
          <w:sz w:val="24"/>
        </w:rPr>
        <w:t>wage growth </w:t>
      </w:r>
      <w:r>
        <w:rPr>
          <w:sz w:val="24"/>
        </w:rPr>
        <w:t>and </w:t>
      </w:r>
      <w:r>
        <w:rPr>
          <w:spacing w:val="-3"/>
          <w:sz w:val="24"/>
        </w:rPr>
        <w:t>employment fell</w:t>
      </w:r>
      <w:r>
        <w:rPr>
          <w:spacing w:val="32"/>
          <w:sz w:val="24"/>
        </w:rPr>
        <w:t> </w:t>
      </w:r>
      <w:r>
        <w:rPr>
          <w:spacing w:val="-3"/>
          <w:sz w:val="24"/>
        </w:rPr>
        <w:t>in</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72" w:lineRule="auto" w:before="90"/>
        <w:ind w:left="107" w:right="308"/>
      </w:pPr>
      <w:r>
        <w:rPr/>
        <w:t>manufacturing. On the other hand, it was argued that continued buoyancy in the services sector could help to sustain the demand for UK manufactures.</w:t>
      </w:r>
    </w:p>
    <w:p>
      <w:pPr>
        <w:pStyle w:val="BodyText"/>
        <w:spacing w:before="6"/>
        <w:rPr>
          <w:sz w:val="37"/>
        </w:rPr>
      </w:pPr>
    </w:p>
    <w:p>
      <w:pPr>
        <w:pStyle w:val="Heading1"/>
      </w:pPr>
      <w:r>
        <w:rPr/>
        <w:t>Fiscal developments</w:t>
      </w:r>
    </w:p>
    <w:p>
      <w:pPr>
        <w:pStyle w:val="BodyText"/>
        <w:rPr>
          <w:b/>
          <w:sz w:val="26"/>
        </w:rPr>
      </w:pPr>
    </w:p>
    <w:p>
      <w:pPr>
        <w:pStyle w:val="BodyText"/>
        <w:spacing w:before="10"/>
        <w:rPr>
          <w:b/>
          <w:sz w:val="23"/>
        </w:rPr>
      </w:pPr>
    </w:p>
    <w:p>
      <w:pPr>
        <w:pStyle w:val="ListParagraph"/>
        <w:numPr>
          <w:ilvl w:val="0"/>
          <w:numId w:val="1"/>
        </w:numPr>
        <w:tabs>
          <w:tab w:pos="506" w:val="left" w:leader="none"/>
        </w:tabs>
        <w:spacing w:line="372" w:lineRule="auto" w:before="0" w:after="0"/>
        <w:ind w:left="107" w:right="131" w:firstLine="0"/>
        <w:jc w:val="left"/>
        <w:rPr>
          <w:sz w:val="24"/>
        </w:rPr>
      </w:pPr>
      <w:r>
        <w:rPr>
          <w:sz w:val="24"/>
        </w:rPr>
        <w:t>The Committee noted the strong PSDR in January, which some commentators had attributed to higher</w:t>
      </w:r>
      <w:r>
        <w:rPr>
          <w:spacing w:val="-10"/>
          <w:sz w:val="24"/>
        </w:rPr>
        <w:t> </w:t>
      </w:r>
      <w:r>
        <w:rPr>
          <w:sz w:val="24"/>
        </w:rPr>
        <w:t>than</w:t>
      </w:r>
      <w:r>
        <w:rPr>
          <w:spacing w:val="-9"/>
          <w:sz w:val="24"/>
        </w:rPr>
        <w:t> </w:t>
      </w:r>
      <w:r>
        <w:rPr>
          <w:sz w:val="24"/>
        </w:rPr>
        <w:t>expected</w:t>
      </w:r>
      <w:r>
        <w:rPr>
          <w:spacing w:val="-10"/>
          <w:sz w:val="24"/>
        </w:rPr>
        <w:t> </w:t>
      </w:r>
      <w:r>
        <w:rPr>
          <w:sz w:val="24"/>
        </w:rPr>
        <w:t>Inland</w:t>
      </w:r>
      <w:r>
        <w:rPr>
          <w:spacing w:val="-9"/>
          <w:sz w:val="24"/>
        </w:rPr>
        <w:t> </w:t>
      </w:r>
      <w:r>
        <w:rPr>
          <w:sz w:val="24"/>
        </w:rPr>
        <w:t>Revenue</w:t>
      </w:r>
      <w:r>
        <w:rPr>
          <w:spacing w:val="-10"/>
          <w:sz w:val="24"/>
        </w:rPr>
        <w:t> </w:t>
      </w:r>
      <w:r>
        <w:rPr>
          <w:sz w:val="24"/>
        </w:rPr>
        <w:t>receipts</w:t>
      </w:r>
      <w:r>
        <w:rPr>
          <w:spacing w:val="-9"/>
          <w:sz w:val="24"/>
        </w:rPr>
        <w:t> </w:t>
      </w:r>
      <w:r>
        <w:rPr>
          <w:sz w:val="24"/>
        </w:rPr>
        <w:t>from</w:t>
      </w:r>
      <w:r>
        <w:rPr>
          <w:spacing w:val="-10"/>
          <w:sz w:val="24"/>
        </w:rPr>
        <w:t> </w:t>
      </w:r>
      <w:r>
        <w:rPr>
          <w:sz w:val="24"/>
        </w:rPr>
        <w:t>personal</w:t>
      </w:r>
      <w:r>
        <w:rPr>
          <w:spacing w:val="-9"/>
          <w:sz w:val="24"/>
        </w:rPr>
        <w:t> </w:t>
      </w:r>
      <w:r>
        <w:rPr>
          <w:sz w:val="24"/>
        </w:rPr>
        <w:t>tax</w:t>
      </w:r>
      <w:r>
        <w:rPr>
          <w:spacing w:val="-10"/>
          <w:sz w:val="24"/>
        </w:rPr>
        <w:t> </w:t>
      </w:r>
      <w:r>
        <w:rPr>
          <w:sz w:val="24"/>
        </w:rPr>
        <w:t>self</w:t>
      </w:r>
      <w:r>
        <w:rPr>
          <w:spacing w:val="-9"/>
          <w:sz w:val="24"/>
        </w:rPr>
        <w:t> </w:t>
      </w:r>
      <w:r>
        <w:rPr>
          <w:sz w:val="24"/>
        </w:rPr>
        <w:t>assessment,</w:t>
      </w:r>
      <w:r>
        <w:rPr>
          <w:spacing w:val="-10"/>
          <w:sz w:val="24"/>
        </w:rPr>
        <w:t> </w:t>
      </w:r>
      <w:r>
        <w:rPr>
          <w:sz w:val="24"/>
        </w:rPr>
        <w:t>for</w:t>
      </w:r>
      <w:r>
        <w:rPr>
          <w:spacing w:val="-9"/>
          <w:sz w:val="24"/>
        </w:rPr>
        <w:t> </w:t>
      </w:r>
      <w:r>
        <w:rPr>
          <w:sz w:val="24"/>
        </w:rPr>
        <w:t>the</w:t>
      </w:r>
      <w:r>
        <w:rPr>
          <w:spacing w:val="-10"/>
          <w:sz w:val="24"/>
        </w:rPr>
        <w:t> </w:t>
      </w:r>
      <w:r>
        <w:rPr>
          <w:sz w:val="24"/>
        </w:rPr>
        <w:t>tax</w:t>
      </w:r>
      <w:r>
        <w:rPr>
          <w:spacing w:val="-9"/>
          <w:sz w:val="24"/>
        </w:rPr>
        <w:t> </w:t>
      </w:r>
      <w:r>
        <w:rPr>
          <w:sz w:val="24"/>
        </w:rPr>
        <w:t>years</w:t>
      </w:r>
      <w:r>
        <w:rPr>
          <w:spacing w:val="-10"/>
          <w:sz w:val="24"/>
        </w:rPr>
        <w:t> </w:t>
      </w:r>
      <w:r>
        <w:rPr>
          <w:sz w:val="24"/>
        </w:rPr>
        <w:t>1995/96 and 1996/97. When more data were available it would be important to assess whether this was likely to mean that measures of past national income - and so past output levels - would be revised upwards. It would</w:t>
      </w:r>
      <w:r>
        <w:rPr>
          <w:spacing w:val="-7"/>
          <w:sz w:val="24"/>
        </w:rPr>
        <w:t> </w:t>
      </w:r>
      <w:r>
        <w:rPr>
          <w:sz w:val="24"/>
        </w:rPr>
        <w:t>also</w:t>
      </w:r>
      <w:r>
        <w:rPr>
          <w:spacing w:val="-6"/>
          <w:sz w:val="24"/>
        </w:rPr>
        <w:t> </w:t>
      </w:r>
      <w:r>
        <w:rPr>
          <w:sz w:val="24"/>
        </w:rPr>
        <w:t>be</w:t>
      </w:r>
      <w:r>
        <w:rPr>
          <w:spacing w:val="-6"/>
          <w:sz w:val="24"/>
        </w:rPr>
        <w:t> </w:t>
      </w:r>
      <w:r>
        <w:rPr>
          <w:sz w:val="24"/>
        </w:rPr>
        <w:t>necessary</w:t>
      </w:r>
      <w:r>
        <w:rPr>
          <w:spacing w:val="-6"/>
          <w:sz w:val="24"/>
        </w:rPr>
        <w:t> </w:t>
      </w:r>
      <w:r>
        <w:rPr>
          <w:sz w:val="24"/>
        </w:rPr>
        <w:t>to</w:t>
      </w:r>
      <w:r>
        <w:rPr>
          <w:spacing w:val="-6"/>
          <w:sz w:val="24"/>
        </w:rPr>
        <w:t> </w:t>
      </w:r>
      <w:r>
        <w:rPr>
          <w:sz w:val="24"/>
        </w:rPr>
        <w:t>assess</w:t>
      </w:r>
      <w:r>
        <w:rPr>
          <w:spacing w:val="-7"/>
          <w:sz w:val="24"/>
        </w:rPr>
        <w:t> </w:t>
      </w:r>
      <w:r>
        <w:rPr>
          <w:sz w:val="24"/>
        </w:rPr>
        <w:t>whether</w:t>
      </w:r>
      <w:r>
        <w:rPr>
          <w:spacing w:val="-6"/>
          <w:sz w:val="24"/>
        </w:rPr>
        <w:t> </w:t>
      </w:r>
      <w:r>
        <w:rPr>
          <w:sz w:val="24"/>
        </w:rPr>
        <w:t>the</w:t>
      </w:r>
      <w:r>
        <w:rPr>
          <w:spacing w:val="-6"/>
          <w:sz w:val="24"/>
        </w:rPr>
        <w:t> </w:t>
      </w:r>
      <w:r>
        <w:rPr>
          <w:sz w:val="24"/>
        </w:rPr>
        <w:t>effect</w:t>
      </w:r>
      <w:r>
        <w:rPr>
          <w:spacing w:val="-6"/>
          <w:sz w:val="24"/>
        </w:rPr>
        <w:t> </w:t>
      </w:r>
      <w:r>
        <w:rPr>
          <w:sz w:val="24"/>
        </w:rPr>
        <w:t>was</w:t>
      </w:r>
      <w:r>
        <w:rPr>
          <w:spacing w:val="-6"/>
          <w:sz w:val="24"/>
        </w:rPr>
        <w:t> </w:t>
      </w:r>
      <w:r>
        <w:rPr>
          <w:sz w:val="24"/>
        </w:rPr>
        <w:t>cyclical,</w:t>
      </w:r>
      <w:r>
        <w:rPr>
          <w:spacing w:val="-7"/>
          <w:sz w:val="24"/>
        </w:rPr>
        <w:t> </w:t>
      </w:r>
      <w:r>
        <w:rPr>
          <w:sz w:val="24"/>
        </w:rPr>
        <w:t>on</w:t>
      </w:r>
      <w:r>
        <w:rPr>
          <w:spacing w:val="-6"/>
          <w:sz w:val="24"/>
        </w:rPr>
        <w:t> </w:t>
      </w:r>
      <w:r>
        <w:rPr>
          <w:sz w:val="24"/>
        </w:rPr>
        <w:t>account</w:t>
      </w:r>
      <w:r>
        <w:rPr>
          <w:spacing w:val="-6"/>
          <w:sz w:val="24"/>
        </w:rPr>
        <w:t> </w:t>
      </w:r>
      <w:r>
        <w:rPr>
          <w:sz w:val="24"/>
        </w:rPr>
        <w:t>of</w:t>
      </w:r>
      <w:r>
        <w:rPr>
          <w:spacing w:val="-6"/>
          <w:sz w:val="24"/>
        </w:rPr>
        <w:t> </w:t>
      </w:r>
      <w:r>
        <w:rPr>
          <w:sz w:val="24"/>
        </w:rPr>
        <w:t>the</w:t>
      </w:r>
      <w:r>
        <w:rPr>
          <w:spacing w:val="-6"/>
          <w:sz w:val="24"/>
        </w:rPr>
        <w:t> </w:t>
      </w:r>
      <w:r>
        <w:rPr>
          <w:spacing w:val="-3"/>
          <w:sz w:val="24"/>
        </w:rPr>
        <w:t>cyclical-sensitivity</w:t>
      </w:r>
      <w:r>
        <w:rPr>
          <w:spacing w:val="-7"/>
          <w:sz w:val="24"/>
        </w:rPr>
        <w:t> </w:t>
      </w:r>
      <w:r>
        <w:rPr>
          <w:spacing w:val="-4"/>
          <w:sz w:val="24"/>
        </w:rPr>
        <w:t>of </w:t>
      </w:r>
      <w:r>
        <w:rPr>
          <w:spacing w:val="-3"/>
          <w:sz w:val="24"/>
        </w:rPr>
        <w:t>income from investment </w:t>
      </w:r>
      <w:r>
        <w:rPr>
          <w:sz w:val="24"/>
        </w:rPr>
        <w:t>and</w:t>
      </w:r>
      <w:r>
        <w:rPr>
          <w:spacing w:val="5"/>
          <w:sz w:val="24"/>
        </w:rPr>
        <w:t> </w:t>
      </w:r>
      <w:r>
        <w:rPr>
          <w:spacing w:val="-3"/>
          <w:sz w:val="24"/>
        </w:rPr>
        <w:t>self-employment.</w:t>
      </w:r>
    </w:p>
    <w:p>
      <w:pPr>
        <w:pStyle w:val="BodyText"/>
        <w:spacing w:before="10"/>
        <w:rPr>
          <w:sz w:val="36"/>
        </w:rPr>
      </w:pPr>
    </w:p>
    <w:p>
      <w:pPr>
        <w:pStyle w:val="ListParagraph"/>
        <w:numPr>
          <w:ilvl w:val="0"/>
          <w:numId w:val="1"/>
        </w:numPr>
        <w:tabs>
          <w:tab w:pos="506" w:val="left" w:leader="none"/>
        </w:tabs>
        <w:spacing w:line="372" w:lineRule="auto" w:before="0" w:after="0"/>
        <w:ind w:left="107" w:right="174" w:firstLine="0"/>
        <w:jc w:val="left"/>
        <w:rPr>
          <w:sz w:val="24"/>
        </w:rPr>
      </w:pPr>
      <w:r>
        <w:rPr>
          <w:spacing w:val="-3"/>
          <w:sz w:val="24"/>
        </w:rPr>
        <w:t>Preliminary analysis </w:t>
      </w:r>
      <w:r>
        <w:rPr>
          <w:sz w:val="24"/>
        </w:rPr>
        <w:t>by </w:t>
      </w:r>
      <w:r>
        <w:rPr>
          <w:spacing w:val="-3"/>
          <w:sz w:val="24"/>
        </w:rPr>
        <w:t>Bank staff suggested, however, that </w:t>
      </w:r>
      <w:r>
        <w:rPr>
          <w:sz w:val="24"/>
        </w:rPr>
        <w:t>in </w:t>
      </w:r>
      <w:r>
        <w:rPr>
          <w:spacing w:val="-3"/>
          <w:sz w:val="24"/>
        </w:rPr>
        <w:t>terms </w:t>
      </w:r>
      <w:r>
        <w:rPr>
          <w:sz w:val="24"/>
        </w:rPr>
        <w:t>of the </w:t>
      </w:r>
      <w:r>
        <w:rPr>
          <w:spacing w:val="-3"/>
          <w:sz w:val="24"/>
        </w:rPr>
        <w:t>current year’s fiscal position, </w:t>
      </w:r>
      <w:r>
        <w:rPr>
          <w:sz w:val="24"/>
        </w:rPr>
        <w:t>any </w:t>
      </w:r>
      <w:r>
        <w:rPr>
          <w:spacing w:val="-3"/>
          <w:sz w:val="24"/>
        </w:rPr>
        <w:t>extra revenue </w:t>
      </w:r>
      <w:r>
        <w:rPr>
          <w:sz w:val="24"/>
        </w:rPr>
        <w:t>in </w:t>
      </w:r>
      <w:r>
        <w:rPr>
          <w:spacing w:val="-3"/>
          <w:sz w:val="24"/>
        </w:rPr>
        <w:t>January </w:t>
      </w:r>
      <w:r>
        <w:rPr>
          <w:sz w:val="24"/>
        </w:rPr>
        <w:t>and </w:t>
      </w:r>
      <w:r>
        <w:rPr>
          <w:spacing w:val="-3"/>
          <w:sz w:val="24"/>
        </w:rPr>
        <w:t>possibly February from </w:t>
      </w:r>
      <w:r>
        <w:rPr>
          <w:sz w:val="24"/>
        </w:rPr>
        <w:t>the </w:t>
      </w:r>
      <w:r>
        <w:rPr>
          <w:spacing w:val="-3"/>
          <w:sz w:val="24"/>
        </w:rPr>
        <w:t>introduction </w:t>
      </w:r>
      <w:r>
        <w:rPr>
          <w:sz w:val="24"/>
        </w:rPr>
        <w:t>of </w:t>
      </w:r>
      <w:r>
        <w:rPr>
          <w:spacing w:val="-3"/>
          <w:sz w:val="24"/>
        </w:rPr>
        <w:t>self assessment was </w:t>
      </w:r>
      <w:r>
        <w:rPr>
          <w:sz w:val="24"/>
        </w:rPr>
        <w:t>less material than the PSBR shortfall which had accumulated over previous months. The Committee noted that the July 1997 Budget had expected to tighten fiscal policy, on a cyclically adjusted basis, by around 1% of GDP. The PSBR numbers since the Budget suggested that that might prove to be an underestimate, but it was too early to judge whether or not any difference was significant. If it were, </w:t>
      </w:r>
      <w:r>
        <w:rPr>
          <w:spacing w:val="-2"/>
          <w:sz w:val="24"/>
        </w:rPr>
        <w:t>the </w:t>
      </w:r>
      <w:r>
        <w:rPr>
          <w:sz w:val="24"/>
        </w:rPr>
        <w:t>key question was whether any extra revenue was being generated by an increase in the tax base or </w:t>
      </w:r>
      <w:r>
        <w:rPr>
          <w:spacing w:val="-2"/>
          <w:sz w:val="24"/>
        </w:rPr>
        <w:t>the </w:t>
      </w:r>
      <w:r>
        <w:rPr>
          <w:spacing w:val="-3"/>
          <w:sz w:val="24"/>
        </w:rPr>
        <w:t>effective </w:t>
      </w:r>
      <w:r>
        <w:rPr>
          <w:sz w:val="24"/>
        </w:rPr>
        <w:t>tax </w:t>
      </w:r>
      <w:r>
        <w:rPr>
          <w:spacing w:val="-3"/>
          <w:sz w:val="24"/>
        </w:rPr>
        <w:t>yield </w:t>
      </w:r>
      <w:r>
        <w:rPr>
          <w:sz w:val="24"/>
        </w:rPr>
        <w:t>(or </w:t>
      </w:r>
      <w:r>
        <w:rPr>
          <w:spacing w:val="-3"/>
          <w:sz w:val="24"/>
        </w:rPr>
        <w:t>both). </w:t>
      </w:r>
      <w:r>
        <w:rPr>
          <w:sz w:val="24"/>
        </w:rPr>
        <w:t>The </w:t>
      </w:r>
      <w:r>
        <w:rPr>
          <w:spacing w:val="-3"/>
          <w:sz w:val="24"/>
        </w:rPr>
        <w:t>former seemed unlikely judging </w:t>
      </w:r>
      <w:r>
        <w:rPr>
          <w:sz w:val="24"/>
        </w:rPr>
        <w:t>by the GDP </w:t>
      </w:r>
      <w:r>
        <w:rPr>
          <w:spacing w:val="-3"/>
          <w:sz w:val="24"/>
        </w:rPr>
        <w:t>numbers published </w:t>
      </w:r>
      <w:r>
        <w:rPr>
          <w:sz w:val="24"/>
        </w:rPr>
        <w:t>so </w:t>
      </w:r>
      <w:r>
        <w:rPr>
          <w:spacing w:val="-3"/>
          <w:sz w:val="24"/>
        </w:rPr>
        <w:t>far, </w:t>
      </w:r>
      <w:r>
        <w:rPr>
          <w:sz w:val="24"/>
        </w:rPr>
        <w:t>but the National Accounts might be revised if any unexpected strength in tax revenues suggested that income or expenditure was stronger than previously thought. On the other hand, if the explanation lay in the effective tax yield, fiscal policy would be exerting a stronger future contractionary effect than expected. These were potentially important questions, to which the Committee agreed it would need to </w:t>
      </w:r>
      <w:r>
        <w:rPr>
          <w:spacing w:val="-3"/>
          <w:sz w:val="24"/>
        </w:rPr>
        <w:t>return </w:t>
      </w:r>
      <w:r>
        <w:rPr>
          <w:sz w:val="24"/>
        </w:rPr>
        <w:t>as </w:t>
      </w:r>
      <w:r>
        <w:rPr>
          <w:spacing w:val="-3"/>
          <w:sz w:val="24"/>
        </w:rPr>
        <w:t>more information became</w:t>
      </w:r>
      <w:r>
        <w:rPr>
          <w:spacing w:val="9"/>
          <w:sz w:val="24"/>
        </w:rPr>
        <w:t> </w:t>
      </w:r>
      <w:r>
        <w:rPr>
          <w:spacing w:val="-3"/>
          <w:sz w:val="24"/>
        </w:rPr>
        <w:t>available.</w:t>
      </w:r>
    </w:p>
    <w:p>
      <w:pPr>
        <w:pStyle w:val="BodyText"/>
        <w:spacing w:before="10"/>
        <w:rPr>
          <w:sz w:val="36"/>
        </w:rPr>
      </w:pPr>
    </w:p>
    <w:p>
      <w:pPr>
        <w:pStyle w:val="Heading1"/>
      </w:pPr>
      <w:r>
        <w:rPr/>
        <w:t>Labour market developments</w:t>
      </w:r>
    </w:p>
    <w:p>
      <w:pPr>
        <w:pStyle w:val="BodyText"/>
        <w:rPr>
          <w:b/>
          <w:sz w:val="26"/>
        </w:rPr>
      </w:pPr>
    </w:p>
    <w:p>
      <w:pPr>
        <w:pStyle w:val="BodyText"/>
        <w:spacing w:before="10"/>
        <w:rPr>
          <w:b/>
          <w:sz w:val="23"/>
        </w:rPr>
      </w:pPr>
    </w:p>
    <w:p>
      <w:pPr>
        <w:pStyle w:val="ListParagraph"/>
        <w:numPr>
          <w:ilvl w:val="0"/>
          <w:numId w:val="1"/>
        </w:numPr>
        <w:tabs>
          <w:tab w:pos="506" w:val="left" w:leader="none"/>
        </w:tabs>
        <w:spacing w:line="372" w:lineRule="auto" w:before="1" w:after="0"/>
        <w:ind w:left="107" w:right="266" w:firstLine="0"/>
        <w:jc w:val="left"/>
        <w:rPr>
          <w:sz w:val="24"/>
        </w:rPr>
      </w:pPr>
      <w:r>
        <w:rPr>
          <w:spacing w:val="-3"/>
          <w:sz w:val="24"/>
        </w:rPr>
        <w:t>Unemployment </w:t>
      </w:r>
      <w:r>
        <w:rPr>
          <w:sz w:val="24"/>
        </w:rPr>
        <w:t>had </w:t>
      </w:r>
      <w:r>
        <w:rPr>
          <w:spacing w:val="-3"/>
          <w:sz w:val="24"/>
        </w:rPr>
        <w:t>fallen again </w:t>
      </w:r>
      <w:r>
        <w:rPr>
          <w:sz w:val="24"/>
        </w:rPr>
        <w:t>in </w:t>
      </w:r>
      <w:r>
        <w:rPr>
          <w:spacing w:val="-3"/>
          <w:sz w:val="24"/>
        </w:rPr>
        <w:t>January. This </w:t>
      </w:r>
      <w:r>
        <w:rPr>
          <w:sz w:val="24"/>
        </w:rPr>
        <w:t>too was </w:t>
      </w:r>
      <w:r>
        <w:rPr>
          <w:spacing w:val="-3"/>
          <w:sz w:val="24"/>
        </w:rPr>
        <w:t>difficult </w:t>
      </w:r>
      <w:r>
        <w:rPr>
          <w:sz w:val="24"/>
        </w:rPr>
        <w:t>to </w:t>
      </w:r>
      <w:r>
        <w:rPr>
          <w:spacing w:val="-3"/>
          <w:sz w:val="24"/>
        </w:rPr>
        <w:t>interpret. </w:t>
      </w:r>
      <w:r>
        <w:rPr>
          <w:sz w:val="24"/>
        </w:rPr>
        <w:t>On the one </w:t>
      </w:r>
      <w:r>
        <w:rPr>
          <w:spacing w:val="-3"/>
          <w:sz w:val="24"/>
        </w:rPr>
        <w:t>hand, the twelve thousand fall </w:t>
      </w:r>
      <w:r>
        <w:rPr>
          <w:sz w:val="24"/>
        </w:rPr>
        <w:t>in the </w:t>
      </w:r>
      <w:r>
        <w:rPr>
          <w:spacing w:val="-3"/>
          <w:sz w:val="24"/>
        </w:rPr>
        <w:t>claimant count </w:t>
      </w:r>
      <w:r>
        <w:rPr>
          <w:sz w:val="24"/>
        </w:rPr>
        <w:t>was </w:t>
      </w:r>
      <w:r>
        <w:rPr>
          <w:spacing w:val="-3"/>
          <w:sz w:val="24"/>
        </w:rPr>
        <w:t>significantly below </w:t>
      </w:r>
      <w:r>
        <w:rPr>
          <w:sz w:val="24"/>
        </w:rPr>
        <w:t>the </w:t>
      </w:r>
      <w:r>
        <w:rPr>
          <w:spacing w:val="-3"/>
          <w:sz w:val="24"/>
        </w:rPr>
        <w:t>average monthly fall during 1997, </w:t>
      </w:r>
      <w:r>
        <w:rPr>
          <w:sz w:val="24"/>
        </w:rPr>
        <w:t>suggesting that the pace of labour market tightening might be moderating. On the other hand, </w:t>
      </w:r>
      <w:r>
        <w:rPr>
          <w:spacing w:val="-2"/>
          <w:sz w:val="24"/>
        </w:rPr>
        <w:t>the </w:t>
      </w:r>
      <w:r>
        <w:rPr>
          <w:sz w:val="24"/>
        </w:rPr>
        <w:t>Department of Employment thought the true fall might be greater as their statistics had been collected </w:t>
      </w:r>
      <w:r>
        <w:rPr>
          <w:spacing w:val="-3"/>
          <w:sz w:val="24"/>
        </w:rPr>
        <w:t>unusually early </w:t>
      </w:r>
      <w:r>
        <w:rPr>
          <w:sz w:val="24"/>
        </w:rPr>
        <w:t>in the </w:t>
      </w:r>
      <w:r>
        <w:rPr>
          <w:spacing w:val="-3"/>
          <w:sz w:val="24"/>
        </w:rPr>
        <w:t>month, </w:t>
      </w:r>
      <w:r>
        <w:rPr>
          <w:sz w:val="24"/>
        </w:rPr>
        <w:t>and </w:t>
      </w:r>
      <w:r>
        <w:rPr>
          <w:spacing w:val="-3"/>
          <w:sz w:val="24"/>
        </w:rPr>
        <w:t>very soon after </w:t>
      </w:r>
      <w:r>
        <w:rPr>
          <w:sz w:val="24"/>
        </w:rPr>
        <w:t>the </w:t>
      </w:r>
      <w:r>
        <w:rPr>
          <w:spacing w:val="-3"/>
          <w:sz w:val="24"/>
        </w:rPr>
        <w:t>Christmas/New Year</w:t>
      </w:r>
      <w:r>
        <w:rPr>
          <w:spacing w:val="21"/>
          <w:sz w:val="24"/>
        </w:rPr>
        <w:t> </w:t>
      </w:r>
      <w:r>
        <w:rPr>
          <w:spacing w:val="-3"/>
          <w:sz w:val="24"/>
        </w:rPr>
        <w:t>holidays.</w:t>
      </w:r>
    </w:p>
    <w:p>
      <w:pPr>
        <w:spacing w:after="0" w:line="372" w:lineRule="auto"/>
        <w:jc w:val="left"/>
        <w:rPr>
          <w:sz w:val="24"/>
        </w:rPr>
        <w:sectPr>
          <w:pgSz w:w="11900" w:h="16840"/>
          <w:pgMar w:header="753" w:footer="0" w:top="1040" w:bottom="280" w:left="800" w:right="780"/>
        </w:sectPr>
      </w:pPr>
    </w:p>
    <w:p>
      <w:pPr>
        <w:pStyle w:val="BodyText"/>
        <w:spacing w:before="1"/>
        <w:rPr>
          <w:sz w:val="14"/>
        </w:rPr>
      </w:pPr>
    </w:p>
    <w:p>
      <w:pPr>
        <w:pStyle w:val="ListParagraph"/>
        <w:numPr>
          <w:ilvl w:val="0"/>
          <w:numId w:val="1"/>
        </w:numPr>
        <w:tabs>
          <w:tab w:pos="506" w:val="left" w:leader="none"/>
        </w:tabs>
        <w:spacing w:line="372" w:lineRule="auto" w:before="90" w:after="0"/>
        <w:ind w:left="107" w:right="141" w:firstLine="0"/>
        <w:jc w:val="left"/>
        <w:rPr>
          <w:sz w:val="24"/>
        </w:rPr>
      </w:pPr>
      <w:r>
        <w:rPr>
          <w:sz w:val="24"/>
        </w:rPr>
        <w:t>Other</w:t>
      </w:r>
      <w:r>
        <w:rPr>
          <w:spacing w:val="-11"/>
          <w:sz w:val="24"/>
        </w:rPr>
        <w:t> </w:t>
      </w:r>
      <w:r>
        <w:rPr>
          <w:sz w:val="24"/>
        </w:rPr>
        <w:t>indicators</w:t>
      </w:r>
      <w:r>
        <w:rPr>
          <w:spacing w:val="-10"/>
          <w:sz w:val="24"/>
        </w:rPr>
        <w:t> </w:t>
      </w:r>
      <w:r>
        <w:rPr>
          <w:sz w:val="24"/>
        </w:rPr>
        <w:t>were</w:t>
      </w:r>
      <w:r>
        <w:rPr>
          <w:spacing w:val="-11"/>
          <w:sz w:val="24"/>
        </w:rPr>
        <w:t> </w:t>
      </w:r>
      <w:r>
        <w:rPr>
          <w:sz w:val="24"/>
        </w:rPr>
        <w:t>mixed.</w:t>
      </w:r>
      <w:r>
        <w:rPr>
          <w:spacing w:val="42"/>
          <w:sz w:val="24"/>
        </w:rPr>
        <w:t> </w:t>
      </w:r>
      <w:r>
        <w:rPr>
          <w:sz w:val="24"/>
        </w:rPr>
        <w:t>Whole</w:t>
      </w:r>
      <w:r>
        <w:rPr>
          <w:spacing w:val="-10"/>
          <w:sz w:val="24"/>
        </w:rPr>
        <w:t> </w:t>
      </w:r>
      <w:r>
        <w:rPr>
          <w:sz w:val="24"/>
        </w:rPr>
        <w:t>economy</w:t>
      </w:r>
      <w:r>
        <w:rPr>
          <w:spacing w:val="-11"/>
          <w:sz w:val="24"/>
        </w:rPr>
        <w:t> </w:t>
      </w:r>
      <w:r>
        <w:rPr>
          <w:sz w:val="24"/>
        </w:rPr>
        <w:t>underlying</w:t>
      </w:r>
      <w:r>
        <w:rPr>
          <w:spacing w:val="-10"/>
          <w:sz w:val="24"/>
        </w:rPr>
        <w:t> </w:t>
      </w:r>
      <w:r>
        <w:rPr>
          <w:sz w:val="24"/>
        </w:rPr>
        <w:t>average</w:t>
      </w:r>
      <w:r>
        <w:rPr>
          <w:spacing w:val="-10"/>
          <w:sz w:val="24"/>
        </w:rPr>
        <w:t> </w:t>
      </w:r>
      <w:r>
        <w:rPr>
          <w:sz w:val="24"/>
        </w:rPr>
        <w:t>earnings</w:t>
      </w:r>
      <w:r>
        <w:rPr>
          <w:spacing w:val="-11"/>
          <w:sz w:val="24"/>
        </w:rPr>
        <w:t> </w:t>
      </w:r>
      <w:r>
        <w:rPr>
          <w:sz w:val="24"/>
        </w:rPr>
        <w:t>growth</w:t>
      </w:r>
      <w:r>
        <w:rPr>
          <w:spacing w:val="-10"/>
          <w:sz w:val="24"/>
        </w:rPr>
        <w:t> </w:t>
      </w:r>
      <w:r>
        <w:rPr>
          <w:sz w:val="24"/>
        </w:rPr>
        <w:t>was</w:t>
      </w:r>
      <w:r>
        <w:rPr>
          <w:spacing w:val="-10"/>
          <w:sz w:val="24"/>
        </w:rPr>
        <w:t> </w:t>
      </w:r>
      <w:r>
        <w:rPr>
          <w:sz w:val="24"/>
        </w:rPr>
        <w:t>unchanged</w:t>
      </w:r>
      <w:r>
        <w:rPr>
          <w:spacing w:val="-11"/>
          <w:sz w:val="24"/>
        </w:rPr>
        <w:t> </w:t>
      </w:r>
      <w:r>
        <w:rPr>
          <w:sz w:val="24"/>
        </w:rPr>
        <w:t>at 4 3/4%. Wage settlements were still rising faster than a year ago; the three-month employment-weighted median was +3.6% compared with +3.0% in January 1997, and the three-month employment-weighted mean had risen from +3.3% to +4.0% over the same</w:t>
      </w:r>
      <w:r>
        <w:rPr>
          <w:spacing w:val="5"/>
          <w:sz w:val="24"/>
        </w:rPr>
        <w:t> </w:t>
      </w:r>
      <w:r>
        <w:rPr>
          <w:sz w:val="24"/>
        </w:rPr>
        <w:t>period.</w:t>
      </w:r>
    </w:p>
    <w:p>
      <w:pPr>
        <w:pStyle w:val="BodyText"/>
        <w:rPr>
          <w:sz w:val="37"/>
        </w:rPr>
      </w:pPr>
    </w:p>
    <w:p>
      <w:pPr>
        <w:pStyle w:val="ListParagraph"/>
        <w:numPr>
          <w:ilvl w:val="0"/>
          <w:numId w:val="1"/>
        </w:numPr>
        <w:tabs>
          <w:tab w:pos="506" w:val="left" w:leader="none"/>
        </w:tabs>
        <w:spacing w:line="372" w:lineRule="auto" w:before="0" w:after="0"/>
        <w:ind w:left="107" w:right="333" w:firstLine="0"/>
        <w:jc w:val="left"/>
        <w:rPr>
          <w:sz w:val="24"/>
        </w:rPr>
      </w:pPr>
      <w:r>
        <w:rPr>
          <w:sz w:val="24"/>
        </w:rPr>
        <w:t>Wage and earnings data were, however, backward-looking indicators of tightness. As in earlier months</w:t>
      </w:r>
      <w:r>
        <w:rPr>
          <w:spacing w:val="-11"/>
          <w:sz w:val="24"/>
        </w:rPr>
        <w:t> </w:t>
      </w:r>
      <w:r>
        <w:rPr>
          <w:sz w:val="24"/>
        </w:rPr>
        <w:t>the</w:t>
      </w:r>
      <w:r>
        <w:rPr>
          <w:spacing w:val="-11"/>
          <w:sz w:val="24"/>
        </w:rPr>
        <w:t> </w:t>
      </w:r>
      <w:r>
        <w:rPr>
          <w:sz w:val="24"/>
        </w:rPr>
        <w:t>Committee</w:t>
      </w:r>
      <w:r>
        <w:rPr>
          <w:spacing w:val="-10"/>
          <w:sz w:val="24"/>
        </w:rPr>
        <w:t> </w:t>
      </w:r>
      <w:r>
        <w:rPr>
          <w:sz w:val="24"/>
        </w:rPr>
        <w:t>therefore</w:t>
      </w:r>
      <w:r>
        <w:rPr>
          <w:spacing w:val="-11"/>
          <w:sz w:val="24"/>
        </w:rPr>
        <w:t> </w:t>
      </w:r>
      <w:r>
        <w:rPr>
          <w:sz w:val="24"/>
        </w:rPr>
        <w:t>discussed</w:t>
      </w:r>
      <w:r>
        <w:rPr>
          <w:spacing w:val="-10"/>
          <w:sz w:val="24"/>
        </w:rPr>
        <w:t> </w:t>
      </w:r>
      <w:r>
        <w:rPr>
          <w:sz w:val="24"/>
        </w:rPr>
        <w:t>survey</w:t>
      </w:r>
      <w:r>
        <w:rPr>
          <w:spacing w:val="-11"/>
          <w:sz w:val="24"/>
        </w:rPr>
        <w:t> </w:t>
      </w:r>
      <w:r>
        <w:rPr>
          <w:sz w:val="24"/>
        </w:rPr>
        <w:t>measures</w:t>
      </w:r>
      <w:r>
        <w:rPr>
          <w:spacing w:val="-10"/>
          <w:sz w:val="24"/>
        </w:rPr>
        <w:t> </w:t>
      </w:r>
      <w:r>
        <w:rPr>
          <w:sz w:val="24"/>
        </w:rPr>
        <w:t>of</w:t>
      </w:r>
      <w:r>
        <w:rPr>
          <w:spacing w:val="-11"/>
          <w:sz w:val="24"/>
        </w:rPr>
        <w:t> </w:t>
      </w:r>
      <w:r>
        <w:rPr>
          <w:sz w:val="24"/>
        </w:rPr>
        <w:t>tightness.</w:t>
      </w:r>
      <w:r>
        <w:rPr>
          <w:spacing w:val="42"/>
          <w:sz w:val="24"/>
        </w:rPr>
        <w:t> </w:t>
      </w:r>
      <w:r>
        <w:rPr>
          <w:sz w:val="24"/>
        </w:rPr>
        <w:t>Skilled</w:t>
      </w:r>
      <w:r>
        <w:rPr>
          <w:spacing w:val="-11"/>
          <w:sz w:val="24"/>
        </w:rPr>
        <w:t> </w:t>
      </w:r>
      <w:r>
        <w:rPr>
          <w:sz w:val="24"/>
        </w:rPr>
        <w:t>labour</w:t>
      </w:r>
      <w:r>
        <w:rPr>
          <w:spacing w:val="-10"/>
          <w:sz w:val="24"/>
        </w:rPr>
        <w:t> </w:t>
      </w:r>
      <w:r>
        <w:rPr>
          <w:sz w:val="24"/>
        </w:rPr>
        <w:t>shortages</w:t>
      </w:r>
      <w:r>
        <w:rPr>
          <w:spacing w:val="-11"/>
          <w:sz w:val="24"/>
        </w:rPr>
        <w:t> </w:t>
      </w:r>
      <w:r>
        <w:rPr>
          <w:sz w:val="24"/>
        </w:rPr>
        <w:t>were apparently</w:t>
      </w:r>
      <w:r>
        <w:rPr>
          <w:spacing w:val="-10"/>
          <w:sz w:val="24"/>
        </w:rPr>
        <w:t> </w:t>
      </w:r>
      <w:r>
        <w:rPr>
          <w:sz w:val="24"/>
        </w:rPr>
        <w:t>still</w:t>
      </w:r>
      <w:r>
        <w:rPr>
          <w:spacing w:val="-10"/>
          <w:sz w:val="24"/>
        </w:rPr>
        <w:t> </w:t>
      </w:r>
      <w:r>
        <w:rPr>
          <w:sz w:val="24"/>
        </w:rPr>
        <w:t>increasing,</w:t>
      </w:r>
      <w:r>
        <w:rPr>
          <w:spacing w:val="-9"/>
          <w:sz w:val="24"/>
        </w:rPr>
        <w:t> </w:t>
      </w:r>
      <w:r>
        <w:rPr>
          <w:sz w:val="24"/>
        </w:rPr>
        <w:t>as</w:t>
      </w:r>
      <w:r>
        <w:rPr>
          <w:spacing w:val="-10"/>
          <w:sz w:val="24"/>
        </w:rPr>
        <w:t> </w:t>
      </w:r>
      <w:r>
        <w:rPr>
          <w:sz w:val="24"/>
        </w:rPr>
        <w:t>were</w:t>
      </w:r>
      <w:r>
        <w:rPr>
          <w:spacing w:val="-9"/>
          <w:sz w:val="24"/>
        </w:rPr>
        <w:t> </w:t>
      </w:r>
      <w:r>
        <w:rPr>
          <w:sz w:val="24"/>
        </w:rPr>
        <w:t>recruitment</w:t>
      </w:r>
      <w:r>
        <w:rPr>
          <w:spacing w:val="-10"/>
          <w:sz w:val="24"/>
        </w:rPr>
        <w:t> </w:t>
      </w:r>
      <w:r>
        <w:rPr>
          <w:sz w:val="24"/>
        </w:rPr>
        <w:t>intentions.</w:t>
      </w:r>
      <w:r>
        <w:rPr>
          <w:spacing w:val="43"/>
          <w:sz w:val="24"/>
        </w:rPr>
        <w:t> </w:t>
      </w:r>
      <w:r>
        <w:rPr>
          <w:sz w:val="24"/>
        </w:rPr>
        <w:t>The</w:t>
      </w:r>
      <w:r>
        <w:rPr>
          <w:spacing w:val="-9"/>
          <w:sz w:val="24"/>
        </w:rPr>
        <w:t> </w:t>
      </w:r>
      <w:r>
        <w:rPr>
          <w:sz w:val="24"/>
        </w:rPr>
        <w:t>one</w:t>
      </w:r>
      <w:r>
        <w:rPr>
          <w:spacing w:val="-10"/>
          <w:sz w:val="24"/>
        </w:rPr>
        <w:t> </w:t>
      </w:r>
      <w:r>
        <w:rPr>
          <w:sz w:val="24"/>
        </w:rPr>
        <w:t>exception</w:t>
      </w:r>
      <w:r>
        <w:rPr>
          <w:spacing w:val="-9"/>
          <w:sz w:val="24"/>
        </w:rPr>
        <w:t> </w:t>
      </w:r>
      <w:r>
        <w:rPr>
          <w:sz w:val="24"/>
        </w:rPr>
        <w:t>was</w:t>
      </w:r>
      <w:r>
        <w:rPr>
          <w:spacing w:val="-10"/>
          <w:sz w:val="24"/>
        </w:rPr>
        <w:t> </w:t>
      </w:r>
      <w:r>
        <w:rPr>
          <w:sz w:val="24"/>
        </w:rPr>
        <w:t>the</w:t>
      </w:r>
      <w:r>
        <w:rPr>
          <w:spacing w:val="-9"/>
          <w:sz w:val="24"/>
        </w:rPr>
        <w:t> </w:t>
      </w:r>
      <w:r>
        <w:rPr>
          <w:sz w:val="24"/>
        </w:rPr>
        <w:t>CBI’s</w:t>
      </w:r>
      <w:r>
        <w:rPr>
          <w:spacing w:val="-10"/>
          <w:sz w:val="24"/>
        </w:rPr>
        <w:t> </w:t>
      </w:r>
      <w:r>
        <w:rPr>
          <w:sz w:val="24"/>
        </w:rPr>
        <w:t>measure</w:t>
      </w:r>
      <w:r>
        <w:rPr>
          <w:spacing w:val="-10"/>
          <w:sz w:val="24"/>
        </w:rPr>
        <w:t> </w:t>
      </w:r>
      <w:r>
        <w:rPr>
          <w:sz w:val="24"/>
        </w:rPr>
        <w:t>of shortages of skilled labour in the manufacturing sector, which was consistent with other indicators of a slowdown in manufacturing</w:t>
      </w:r>
      <w:r>
        <w:rPr>
          <w:spacing w:val="-2"/>
          <w:sz w:val="24"/>
        </w:rPr>
        <w:t> </w:t>
      </w:r>
      <w:r>
        <w:rPr>
          <w:sz w:val="24"/>
        </w:rPr>
        <w:t>growth.</w:t>
      </w:r>
    </w:p>
    <w:p>
      <w:pPr>
        <w:pStyle w:val="BodyText"/>
        <w:spacing w:before="10"/>
        <w:rPr>
          <w:sz w:val="36"/>
        </w:rPr>
      </w:pPr>
    </w:p>
    <w:p>
      <w:pPr>
        <w:pStyle w:val="ListParagraph"/>
        <w:numPr>
          <w:ilvl w:val="0"/>
          <w:numId w:val="1"/>
        </w:numPr>
        <w:tabs>
          <w:tab w:pos="506" w:val="left" w:leader="none"/>
        </w:tabs>
        <w:spacing w:line="372" w:lineRule="auto" w:before="0" w:after="0"/>
        <w:ind w:left="107" w:right="160" w:firstLine="0"/>
        <w:jc w:val="left"/>
        <w:rPr>
          <w:sz w:val="24"/>
        </w:rPr>
      </w:pPr>
      <w:r>
        <w:rPr>
          <w:sz w:val="24"/>
        </w:rPr>
        <w:t>There was a range of views of what the latest data implied. One interpretation was that, although labour market conditions were still tightening, there were few signs that this was feeding into wages </w:t>
      </w:r>
      <w:r>
        <w:rPr>
          <w:spacing w:val="-2"/>
          <w:sz w:val="24"/>
        </w:rPr>
        <w:t>and </w:t>
      </w:r>
      <w:r>
        <w:rPr>
          <w:sz w:val="24"/>
        </w:rPr>
        <w:t>earnings; after the upturn last summer, growth in settlements had been broadly flat. Since there was </w:t>
      </w:r>
      <w:r>
        <w:rPr>
          <w:spacing w:val="-2"/>
          <w:sz w:val="24"/>
        </w:rPr>
        <w:t>now </w:t>
      </w:r>
      <w:r>
        <w:rPr>
          <w:sz w:val="24"/>
        </w:rPr>
        <w:t>evidence</w:t>
      </w:r>
      <w:r>
        <w:rPr>
          <w:spacing w:val="-7"/>
          <w:sz w:val="24"/>
        </w:rPr>
        <w:t> </w:t>
      </w:r>
      <w:r>
        <w:rPr>
          <w:sz w:val="24"/>
        </w:rPr>
        <w:t>that</w:t>
      </w:r>
      <w:r>
        <w:rPr>
          <w:spacing w:val="-7"/>
          <w:sz w:val="24"/>
        </w:rPr>
        <w:t> </w:t>
      </w:r>
      <w:r>
        <w:rPr>
          <w:sz w:val="24"/>
        </w:rPr>
        <w:t>the</w:t>
      </w:r>
      <w:r>
        <w:rPr>
          <w:spacing w:val="-7"/>
          <w:sz w:val="24"/>
        </w:rPr>
        <w:t> </w:t>
      </w:r>
      <w:r>
        <w:rPr>
          <w:sz w:val="24"/>
        </w:rPr>
        <w:t>economy</w:t>
      </w:r>
      <w:r>
        <w:rPr>
          <w:spacing w:val="-7"/>
          <w:sz w:val="24"/>
        </w:rPr>
        <w:t> </w:t>
      </w:r>
      <w:r>
        <w:rPr>
          <w:sz w:val="24"/>
        </w:rPr>
        <w:t>was</w:t>
      </w:r>
      <w:r>
        <w:rPr>
          <w:spacing w:val="-7"/>
          <w:sz w:val="24"/>
        </w:rPr>
        <w:t> </w:t>
      </w:r>
      <w:r>
        <w:rPr>
          <w:sz w:val="24"/>
        </w:rPr>
        <w:t>slowing,</w:t>
      </w:r>
      <w:r>
        <w:rPr>
          <w:spacing w:val="-6"/>
          <w:sz w:val="24"/>
        </w:rPr>
        <w:t> </w:t>
      </w:r>
      <w:r>
        <w:rPr>
          <w:sz w:val="24"/>
        </w:rPr>
        <w:t>the</w:t>
      </w:r>
      <w:r>
        <w:rPr>
          <w:spacing w:val="-7"/>
          <w:sz w:val="24"/>
        </w:rPr>
        <w:t> </w:t>
      </w:r>
      <w:r>
        <w:rPr>
          <w:sz w:val="24"/>
        </w:rPr>
        <w:t>risks</w:t>
      </w:r>
      <w:r>
        <w:rPr>
          <w:spacing w:val="-7"/>
          <w:sz w:val="24"/>
        </w:rPr>
        <w:t> </w:t>
      </w:r>
      <w:r>
        <w:rPr>
          <w:sz w:val="24"/>
        </w:rPr>
        <w:t>of</w:t>
      </w:r>
      <w:r>
        <w:rPr>
          <w:spacing w:val="-7"/>
          <w:sz w:val="24"/>
        </w:rPr>
        <w:t> </w:t>
      </w:r>
      <w:r>
        <w:rPr>
          <w:sz w:val="24"/>
        </w:rPr>
        <w:t>continued</w:t>
      </w:r>
      <w:r>
        <w:rPr>
          <w:spacing w:val="-7"/>
          <w:sz w:val="24"/>
        </w:rPr>
        <w:t> </w:t>
      </w:r>
      <w:r>
        <w:rPr>
          <w:sz w:val="24"/>
        </w:rPr>
        <w:t>earnings</w:t>
      </w:r>
      <w:r>
        <w:rPr>
          <w:spacing w:val="-7"/>
          <w:sz w:val="24"/>
        </w:rPr>
        <w:t> </w:t>
      </w:r>
      <w:r>
        <w:rPr>
          <w:sz w:val="24"/>
        </w:rPr>
        <w:t>acceleration</w:t>
      </w:r>
      <w:r>
        <w:rPr>
          <w:spacing w:val="-6"/>
          <w:sz w:val="24"/>
        </w:rPr>
        <w:t> </w:t>
      </w:r>
      <w:r>
        <w:rPr>
          <w:sz w:val="24"/>
        </w:rPr>
        <w:t>had</w:t>
      </w:r>
      <w:r>
        <w:rPr>
          <w:spacing w:val="-7"/>
          <w:sz w:val="24"/>
        </w:rPr>
        <w:t> </w:t>
      </w:r>
      <w:r>
        <w:rPr>
          <w:sz w:val="24"/>
        </w:rPr>
        <w:t>diminished.</w:t>
      </w:r>
    </w:p>
    <w:p>
      <w:pPr>
        <w:pStyle w:val="BodyText"/>
        <w:spacing w:before="11"/>
        <w:rPr>
          <w:sz w:val="36"/>
        </w:rPr>
      </w:pPr>
    </w:p>
    <w:p>
      <w:pPr>
        <w:pStyle w:val="ListParagraph"/>
        <w:numPr>
          <w:ilvl w:val="0"/>
          <w:numId w:val="1"/>
        </w:numPr>
        <w:tabs>
          <w:tab w:pos="506" w:val="left" w:leader="none"/>
        </w:tabs>
        <w:spacing w:line="321" w:lineRule="auto" w:before="0" w:after="0"/>
        <w:ind w:left="107" w:right="324" w:firstLine="0"/>
        <w:jc w:val="left"/>
        <w:rPr>
          <w:sz w:val="24"/>
        </w:rPr>
      </w:pPr>
      <w:r>
        <w:rPr>
          <w:sz w:val="24"/>
        </w:rPr>
        <w:t>Another</w:t>
      </w:r>
      <w:r>
        <w:rPr>
          <w:spacing w:val="-8"/>
          <w:sz w:val="24"/>
        </w:rPr>
        <w:t> </w:t>
      </w:r>
      <w:r>
        <w:rPr>
          <w:sz w:val="24"/>
        </w:rPr>
        <w:t>interpretation</w:t>
      </w:r>
      <w:r>
        <w:rPr>
          <w:spacing w:val="-8"/>
          <w:sz w:val="24"/>
        </w:rPr>
        <w:t> </w:t>
      </w:r>
      <w:r>
        <w:rPr>
          <w:sz w:val="24"/>
        </w:rPr>
        <w:t>recalled</w:t>
      </w:r>
      <w:r>
        <w:rPr>
          <w:spacing w:val="-8"/>
          <w:sz w:val="24"/>
        </w:rPr>
        <w:t> </w:t>
      </w:r>
      <w:r>
        <w:rPr>
          <w:sz w:val="24"/>
        </w:rPr>
        <w:t>the</w:t>
      </w:r>
      <w:r>
        <w:rPr>
          <w:spacing w:val="-8"/>
          <w:sz w:val="24"/>
        </w:rPr>
        <w:t> </w:t>
      </w:r>
      <w:r>
        <w:rPr>
          <w:sz w:val="24"/>
        </w:rPr>
        <w:t>advice</w:t>
      </w:r>
      <w:r>
        <w:rPr>
          <w:spacing w:val="-8"/>
          <w:sz w:val="24"/>
        </w:rPr>
        <w:t> </w:t>
      </w:r>
      <w:r>
        <w:rPr>
          <w:sz w:val="24"/>
        </w:rPr>
        <w:t>of</w:t>
      </w:r>
      <w:r>
        <w:rPr>
          <w:spacing w:val="-7"/>
          <w:sz w:val="24"/>
        </w:rPr>
        <w:t> </w:t>
      </w:r>
      <w:r>
        <w:rPr>
          <w:sz w:val="24"/>
        </w:rPr>
        <w:t>Bank</w:t>
      </w:r>
      <w:r>
        <w:rPr>
          <w:spacing w:val="-8"/>
          <w:sz w:val="24"/>
        </w:rPr>
        <w:t> </w:t>
      </w:r>
      <w:r>
        <w:rPr>
          <w:sz w:val="24"/>
        </w:rPr>
        <w:t>staff</w:t>
      </w:r>
      <w:r>
        <w:rPr>
          <w:spacing w:val="-8"/>
          <w:sz w:val="24"/>
        </w:rPr>
        <w:t> </w:t>
      </w:r>
      <w:r>
        <w:rPr>
          <w:sz w:val="24"/>
        </w:rPr>
        <w:t>last</w:t>
      </w:r>
      <w:r>
        <w:rPr>
          <w:spacing w:val="-8"/>
          <w:sz w:val="24"/>
        </w:rPr>
        <w:t> </w:t>
      </w:r>
      <w:r>
        <w:rPr>
          <w:sz w:val="24"/>
        </w:rPr>
        <w:t>summer</w:t>
      </w:r>
      <w:r>
        <w:rPr>
          <w:spacing w:val="-8"/>
          <w:sz w:val="24"/>
        </w:rPr>
        <w:t> </w:t>
      </w:r>
      <w:r>
        <w:rPr>
          <w:sz w:val="24"/>
        </w:rPr>
        <w:t>that</w:t>
      </w:r>
      <w:r>
        <w:rPr>
          <w:spacing w:val="-8"/>
          <w:sz w:val="24"/>
        </w:rPr>
        <w:t> </w:t>
      </w:r>
      <w:r>
        <w:rPr>
          <w:sz w:val="24"/>
        </w:rPr>
        <w:t>great</w:t>
      </w:r>
      <w:r>
        <w:rPr>
          <w:spacing w:val="-7"/>
          <w:sz w:val="24"/>
        </w:rPr>
        <w:t> </w:t>
      </w:r>
      <w:r>
        <w:rPr>
          <w:sz w:val="24"/>
        </w:rPr>
        <w:t>weight</w:t>
      </w:r>
      <w:r>
        <w:rPr>
          <w:spacing w:val="-8"/>
          <w:sz w:val="24"/>
        </w:rPr>
        <w:t> </w:t>
      </w:r>
      <w:r>
        <w:rPr>
          <w:sz w:val="24"/>
        </w:rPr>
        <w:t>should</w:t>
      </w:r>
      <w:r>
        <w:rPr>
          <w:spacing w:val="-8"/>
          <w:sz w:val="24"/>
        </w:rPr>
        <w:t> </w:t>
      </w:r>
      <w:r>
        <w:rPr>
          <w:sz w:val="24"/>
        </w:rPr>
        <w:t>not</w:t>
      </w:r>
      <w:r>
        <w:rPr>
          <w:spacing w:val="-8"/>
          <w:sz w:val="24"/>
        </w:rPr>
        <w:t> </w:t>
      </w:r>
      <w:r>
        <w:rPr>
          <w:sz w:val="24"/>
        </w:rPr>
        <w:t>be put on the upturn in settlements that had been recorded then as there were relatively few settlements during the summer. In that case, there was news in the recent data since it covered a period when there were many settlements, and the best comparison was with the position a year</w:t>
      </w:r>
      <w:r>
        <w:rPr>
          <w:spacing w:val="-17"/>
          <w:sz w:val="24"/>
        </w:rPr>
        <w:t> </w:t>
      </w:r>
      <w:r>
        <w:rPr>
          <w:sz w:val="24"/>
        </w:rPr>
        <w:t>ago.</w:t>
      </w:r>
    </w:p>
    <w:p>
      <w:pPr>
        <w:pStyle w:val="BodyText"/>
        <w:spacing w:before="1"/>
        <w:rPr>
          <w:sz w:val="32"/>
        </w:rPr>
      </w:pPr>
    </w:p>
    <w:p>
      <w:pPr>
        <w:pStyle w:val="ListParagraph"/>
        <w:numPr>
          <w:ilvl w:val="0"/>
          <w:numId w:val="1"/>
        </w:numPr>
        <w:tabs>
          <w:tab w:pos="506" w:val="left" w:leader="none"/>
        </w:tabs>
        <w:spacing w:line="321" w:lineRule="auto" w:before="0" w:after="0"/>
        <w:ind w:left="107" w:right="117" w:firstLine="0"/>
        <w:jc w:val="left"/>
        <w:rPr>
          <w:sz w:val="24"/>
        </w:rPr>
      </w:pPr>
      <w:r>
        <w:rPr>
          <w:sz w:val="24"/>
        </w:rPr>
        <w:t>The </w:t>
      </w:r>
      <w:r>
        <w:rPr>
          <w:spacing w:val="-3"/>
          <w:sz w:val="24"/>
        </w:rPr>
        <w:t>Committee discussed </w:t>
      </w:r>
      <w:r>
        <w:rPr>
          <w:sz w:val="24"/>
        </w:rPr>
        <w:t>the </w:t>
      </w:r>
      <w:r>
        <w:rPr>
          <w:spacing w:val="-3"/>
          <w:sz w:val="24"/>
        </w:rPr>
        <w:t>possible implications </w:t>
      </w:r>
      <w:r>
        <w:rPr>
          <w:sz w:val="24"/>
        </w:rPr>
        <w:t>of the </w:t>
      </w:r>
      <w:r>
        <w:rPr>
          <w:spacing w:val="-3"/>
          <w:sz w:val="24"/>
        </w:rPr>
        <w:t>planned introduction </w:t>
      </w:r>
      <w:r>
        <w:rPr>
          <w:sz w:val="24"/>
        </w:rPr>
        <w:t>of the </w:t>
      </w:r>
      <w:r>
        <w:rPr>
          <w:spacing w:val="-3"/>
          <w:sz w:val="24"/>
        </w:rPr>
        <w:t>Minimum Wage </w:t>
      </w:r>
      <w:r>
        <w:rPr>
          <w:sz w:val="24"/>
        </w:rPr>
        <w:t>in</w:t>
      </w:r>
      <w:r>
        <w:rPr>
          <w:spacing w:val="-7"/>
          <w:sz w:val="24"/>
        </w:rPr>
        <w:t> </w:t>
      </w:r>
      <w:r>
        <w:rPr>
          <w:sz w:val="24"/>
        </w:rPr>
        <w:t>April</w:t>
      </w:r>
      <w:r>
        <w:rPr>
          <w:spacing w:val="-7"/>
          <w:sz w:val="24"/>
        </w:rPr>
        <w:t> </w:t>
      </w:r>
      <w:r>
        <w:rPr>
          <w:sz w:val="24"/>
        </w:rPr>
        <w:t>1999,</w:t>
      </w:r>
      <w:r>
        <w:rPr>
          <w:spacing w:val="-7"/>
          <w:sz w:val="24"/>
        </w:rPr>
        <w:t> </w:t>
      </w:r>
      <w:r>
        <w:rPr>
          <w:sz w:val="24"/>
        </w:rPr>
        <w:t>observing</w:t>
      </w:r>
      <w:r>
        <w:rPr>
          <w:spacing w:val="-7"/>
          <w:sz w:val="24"/>
        </w:rPr>
        <w:t> </w:t>
      </w:r>
      <w:r>
        <w:rPr>
          <w:sz w:val="24"/>
        </w:rPr>
        <w:t>that</w:t>
      </w:r>
      <w:r>
        <w:rPr>
          <w:spacing w:val="-7"/>
          <w:sz w:val="24"/>
        </w:rPr>
        <w:t> </w:t>
      </w:r>
      <w:r>
        <w:rPr>
          <w:sz w:val="24"/>
        </w:rPr>
        <w:t>on</w:t>
      </w:r>
      <w:r>
        <w:rPr>
          <w:spacing w:val="-7"/>
          <w:sz w:val="24"/>
        </w:rPr>
        <w:t> </w:t>
      </w:r>
      <w:r>
        <w:rPr>
          <w:sz w:val="24"/>
        </w:rPr>
        <w:t>its</w:t>
      </w:r>
      <w:r>
        <w:rPr>
          <w:spacing w:val="-7"/>
          <w:sz w:val="24"/>
        </w:rPr>
        <w:t> </w:t>
      </w:r>
      <w:r>
        <w:rPr>
          <w:sz w:val="24"/>
        </w:rPr>
        <w:t>own</w:t>
      </w:r>
      <w:r>
        <w:rPr>
          <w:spacing w:val="-7"/>
          <w:sz w:val="24"/>
        </w:rPr>
        <w:t> </w:t>
      </w:r>
      <w:r>
        <w:rPr>
          <w:sz w:val="24"/>
        </w:rPr>
        <w:t>it</w:t>
      </w:r>
      <w:r>
        <w:rPr>
          <w:spacing w:val="-7"/>
          <w:sz w:val="24"/>
        </w:rPr>
        <w:t> </w:t>
      </w:r>
      <w:r>
        <w:rPr>
          <w:sz w:val="24"/>
        </w:rPr>
        <w:t>would</w:t>
      </w:r>
      <w:r>
        <w:rPr>
          <w:spacing w:val="-7"/>
          <w:sz w:val="24"/>
        </w:rPr>
        <w:t> </w:t>
      </w:r>
      <w:r>
        <w:rPr>
          <w:sz w:val="24"/>
        </w:rPr>
        <w:t>be</w:t>
      </w:r>
      <w:r>
        <w:rPr>
          <w:spacing w:val="-6"/>
          <w:sz w:val="24"/>
        </w:rPr>
        <w:t> </w:t>
      </w:r>
      <w:r>
        <w:rPr>
          <w:sz w:val="24"/>
        </w:rPr>
        <w:t>an</w:t>
      </w:r>
      <w:r>
        <w:rPr>
          <w:spacing w:val="-7"/>
          <w:sz w:val="24"/>
        </w:rPr>
        <w:t> </w:t>
      </w:r>
      <w:r>
        <w:rPr>
          <w:sz w:val="24"/>
        </w:rPr>
        <w:t>adverse</w:t>
      </w:r>
      <w:r>
        <w:rPr>
          <w:spacing w:val="-7"/>
          <w:sz w:val="24"/>
        </w:rPr>
        <w:t> </w:t>
      </w:r>
      <w:r>
        <w:rPr>
          <w:sz w:val="24"/>
        </w:rPr>
        <w:t>supply</w:t>
      </w:r>
      <w:r>
        <w:rPr>
          <w:spacing w:val="-7"/>
          <w:sz w:val="24"/>
        </w:rPr>
        <w:t> </w:t>
      </w:r>
      <w:r>
        <w:rPr>
          <w:sz w:val="24"/>
        </w:rPr>
        <w:t>shock</w:t>
      </w:r>
      <w:r>
        <w:rPr>
          <w:spacing w:val="-7"/>
          <w:sz w:val="24"/>
        </w:rPr>
        <w:t> </w:t>
      </w:r>
      <w:r>
        <w:rPr>
          <w:sz w:val="24"/>
        </w:rPr>
        <w:t>at</w:t>
      </w:r>
      <w:r>
        <w:rPr>
          <w:spacing w:val="-7"/>
          <w:sz w:val="24"/>
        </w:rPr>
        <w:t> </w:t>
      </w:r>
      <w:r>
        <w:rPr>
          <w:sz w:val="24"/>
        </w:rPr>
        <w:t>the</w:t>
      </w:r>
      <w:r>
        <w:rPr>
          <w:spacing w:val="-7"/>
          <w:sz w:val="24"/>
        </w:rPr>
        <w:t> </w:t>
      </w:r>
      <w:r>
        <w:rPr>
          <w:sz w:val="24"/>
        </w:rPr>
        <w:t>aggregate</w:t>
      </w:r>
      <w:r>
        <w:rPr>
          <w:spacing w:val="-7"/>
          <w:sz w:val="24"/>
        </w:rPr>
        <w:t> </w:t>
      </w:r>
      <w:r>
        <w:rPr>
          <w:sz w:val="24"/>
        </w:rPr>
        <w:t>level,</w:t>
      </w:r>
      <w:r>
        <w:rPr>
          <w:spacing w:val="-7"/>
          <w:sz w:val="24"/>
        </w:rPr>
        <w:t> </w:t>
      </w:r>
      <w:r>
        <w:rPr>
          <w:sz w:val="24"/>
        </w:rPr>
        <w:t>which would increase the natural rate of unemployment. It noted recent accounts that some employers were </w:t>
      </w:r>
      <w:r>
        <w:rPr>
          <w:spacing w:val="-3"/>
          <w:sz w:val="24"/>
        </w:rPr>
        <w:t>awarding wage increases </w:t>
      </w:r>
      <w:r>
        <w:rPr>
          <w:sz w:val="24"/>
        </w:rPr>
        <w:t>to the low </w:t>
      </w:r>
      <w:r>
        <w:rPr>
          <w:spacing w:val="-3"/>
          <w:sz w:val="24"/>
        </w:rPr>
        <w:t>paid </w:t>
      </w:r>
      <w:r>
        <w:rPr>
          <w:sz w:val="24"/>
        </w:rPr>
        <w:t>in </w:t>
      </w:r>
      <w:r>
        <w:rPr>
          <w:spacing w:val="-3"/>
          <w:sz w:val="24"/>
        </w:rPr>
        <w:t>anticipation </w:t>
      </w:r>
      <w:r>
        <w:rPr>
          <w:sz w:val="24"/>
        </w:rPr>
        <w:t>of the </w:t>
      </w:r>
      <w:r>
        <w:rPr>
          <w:spacing w:val="-3"/>
          <w:sz w:val="24"/>
        </w:rPr>
        <w:t>Minimum Wage. </w:t>
      </w:r>
      <w:r>
        <w:rPr>
          <w:sz w:val="24"/>
        </w:rPr>
        <w:t>The </w:t>
      </w:r>
      <w:r>
        <w:rPr>
          <w:spacing w:val="-3"/>
          <w:sz w:val="24"/>
        </w:rPr>
        <w:t>Bank’s regional </w:t>
      </w:r>
      <w:r>
        <w:rPr>
          <w:sz w:val="24"/>
        </w:rPr>
        <w:t>Agents were reporting various reasons why this might be so. One was that some firms making </w:t>
      </w:r>
      <w:r>
        <w:rPr>
          <w:spacing w:val="-2"/>
          <w:sz w:val="24"/>
        </w:rPr>
        <w:t>annual </w:t>
      </w:r>
      <w:r>
        <w:rPr>
          <w:sz w:val="24"/>
        </w:rPr>
        <w:t>payment settlements that spanned the minimum wage’s introduction preferred to increase pay now </w:t>
      </w:r>
      <w:r>
        <w:rPr>
          <w:spacing w:val="-2"/>
          <w:sz w:val="24"/>
        </w:rPr>
        <w:t>rather </w:t>
      </w:r>
      <w:r>
        <w:rPr>
          <w:sz w:val="24"/>
        </w:rPr>
        <w:t>than go through a second pay round once the Government had responded to the Low Pay Commission report due in May. A second reason being aired was that some firms felt there would be a </w:t>
      </w:r>
      <w:r>
        <w:rPr>
          <w:spacing w:val="-2"/>
          <w:sz w:val="24"/>
        </w:rPr>
        <w:t>stigma </w:t>
      </w:r>
      <w:r>
        <w:rPr>
          <w:sz w:val="24"/>
        </w:rPr>
        <w:t>attached to having to raise pay once the Minimum Wage was a formal requirement. A third possible </w:t>
      </w:r>
      <w:r>
        <w:rPr>
          <w:spacing w:val="-3"/>
          <w:sz w:val="24"/>
        </w:rPr>
        <w:t>explanation </w:t>
      </w:r>
      <w:r>
        <w:rPr>
          <w:sz w:val="24"/>
        </w:rPr>
        <w:t>was </w:t>
      </w:r>
      <w:r>
        <w:rPr>
          <w:spacing w:val="-3"/>
          <w:sz w:val="24"/>
        </w:rPr>
        <w:t>that some firms were simultaneously increasing </w:t>
      </w:r>
      <w:r>
        <w:rPr>
          <w:sz w:val="24"/>
        </w:rPr>
        <w:t>pay and </w:t>
      </w:r>
      <w:r>
        <w:rPr>
          <w:spacing w:val="-3"/>
          <w:sz w:val="24"/>
        </w:rPr>
        <w:t>trying </w:t>
      </w:r>
      <w:r>
        <w:rPr>
          <w:sz w:val="24"/>
        </w:rPr>
        <w:t>to </w:t>
      </w:r>
      <w:r>
        <w:rPr>
          <w:spacing w:val="-3"/>
          <w:sz w:val="24"/>
        </w:rPr>
        <w:t>raise </w:t>
      </w:r>
      <w:r>
        <w:rPr>
          <w:sz w:val="24"/>
        </w:rPr>
        <w:t>the </w:t>
      </w:r>
      <w:r>
        <w:rPr>
          <w:spacing w:val="-3"/>
          <w:sz w:val="24"/>
        </w:rPr>
        <w:t>quality/skills  </w:t>
      </w:r>
      <w:r>
        <w:rPr>
          <w:sz w:val="24"/>
        </w:rPr>
        <w:t>of their employees, with the goal of reducing employment levels. A fourth was that employers were </w:t>
      </w:r>
      <w:r>
        <w:rPr>
          <w:spacing w:val="-3"/>
          <w:sz w:val="24"/>
        </w:rPr>
        <w:t>consolidating other parts </w:t>
      </w:r>
      <w:r>
        <w:rPr>
          <w:sz w:val="24"/>
        </w:rPr>
        <w:t>of </w:t>
      </w:r>
      <w:r>
        <w:rPr>
          <w:spacing w:val="-3"/>
          <w:sz w:val="24"/>
        </w:rPr>
        <w:t>remuneration into basic </w:t>
      </w:r>
      <w:r>
        <w:rPr>
          <w:sz w:val="24"/>
        </w:rPr>
        <w:t>pay so as to </w:t>
      </w:r>
      <w:r>
        <w:rPr>
          <w:spacing w:val="-3"/>
          <w:sz w:val="24"/>
        </w:rPr>
        <w:t>minimise </w:t>
      </w:r>
      <w:r>
        <w:rPr>
          <w:sz w:val="24"/>
        </w:rPr>
        <w:t>the </w:t>
      </w:r>
      <w:r>
        <w:rPr>
          <w:spacing w:val="-3"/>
          <w:sz w:val="24"/>
        </w:rPr>
        <w:t>effect </w:t>
      </w:r>
      <w:r>
        <w:rPr>
          <w:sz w:val="24"/>
        </w:rPr>
        <w:t>of the </w:t>
      </w:r>
      <w:r>
        <w:rPr>
          <w:spacing w:val="-3"/>
          <w:sz w:val="24"/>
        </w:rPr>
        <w:t>minimum wage </w:t>
      </w:r>
      <w:r>
        <w:rPr>
          <w:sz w:val="24"/>
        </w:rPr>
        <w:t>on the total wage</w:t>
      </w:r>
      <w:r>
        <w:rPr>
          <w:spacing w:val="-1"/>
          <w:sz w:val="24"/>
        </w:rPr>
        <w:t> </w:t>
      </w:r>
      <w:r>
        <w:rPr>
          <w:sz w:val="24"/>
        </w:rPr>
        <w:t>bill.</w:t>
      </w:r>
    </w:p>
    <w:p>
      <w:pPr>
        <w:pStyle w:val="BodyText"/>
        <w:spacing w:before="10"/>
        <w:rPr>
          <w:sz w:val="31"/>
        </w:rPr>
      </w:pPr>
    </w:p>
    <w:p>
      <w:pPr>
        <w:pStyle w:val="ListParagraph"/>
        <w:numPr>
          <w:ilvl w:val="0"/>
          <w:numId w:val="1"/>
        </w:numPr>
        <w:tabs>
          <w:tab w:pos="506" w:val="left" w:leader="none"/>
        </w:tabs>
        <w:spacing w:line="321" w:lineRule="auto" w:before="0" w:after="0"/>
        <w:ind w:left="107" w:right="333" w:firstLine="0"/>
        <w:jc w:val="left"/>
        <w:rPr>
          <w:sz w:val="24"/>
        </w:rPr>
      </w:pPr>
      <w:r>
        <w:rPr>
          <w:sz w:val="24"/>
        </w:rPr>
        <w:t>The Committee concluded that it was not yet in a position to judge whether these effects, if true, </w:t>
      </w:r>
      <w:r>
        <w:rPr>
          <w:spacing w:val="-3"/>
          <w:sz w:val="24"/>
        </w:rPr>
        <w:t>would </w:t>
      </w:r>
      <w:r>
        <w:rPr>
          <w:sz w:val="24"/>
        </w:rPr>
        <w:t>be </w:t>
      </w:r>
      <w:r>
        <w:rPr>
          <w:spacing w:val="-3"/>
          <w:sz w:val="24"/>
        </w:rPr>
        <w:t>significant. </w:t>
      </w:r>
      <w:r>
        <w:rPr>
          <w:sz w:val="24"/>
        </w:rPr>
        <w:t>The </w:t>
      </w:r>
      <w:r>
        <w:rPr>
          <w:spacing w:val="-3"/>
          <w:sz w:val="24"/>
        </w:rPr>
        <w:t>important thing </w:t>
      </w:r>
      <w:r>
        <w:rPr>
          <w:sz w:val="24"/>
        </w:rPr>
        <w:t>at </w:t>
      </w:r>
      <w:r>
        <w:rPr>
          <w:spacing w:val="-3"/>
          <w:sz w:val="24"/>
        </w:rPr>
        <w:t>this stage were </w:t>
      </w:r>
      <w:r>
        <w:rPr>
          <w:sz w:val="24"/>
        </w:rPr>
        <w:t>the </w:t>
      </w:r>
      <w:r>
        <w:rPr>
          <w:spacing w:val="-3"/>
          <w:sz w:val="24"/>
        </w:rPr>
        <w:t>signs that </w:t>
      </w:r>
      <w:r>
        <w:rPr>
          <w:sz w:val="24"/>
        </w:rPr>
        <w:t>the </w:t>
      </w:r>
      <w:r>
        <w:rPr>
          <w:spacing w:val="-3"/>
          <w:sz w:val="24"/>
        </w:rPr>
        <w:t>Minimum Wage might</w:t>
      </w:r>
      <w:r>
        <w:rPr>
          <w:spacing w:val="49"/>
          <w:sz w:val="24"/>
        </w:rPr>
        <w:t> </w:t>
      </w:r>
      <w:r>
        <w:rPr>
          <w:spacing w:val="-3"/>
          <w:sz w:val="24"/>
        </w:rPr>
        <w:t>be</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308"/>
      </w:pPr>
      <w:r>
        <w:rPr/>
        <w:t>affecting labour market conditions earlier than had been expected. The Committee agreed that this needed to be analysed carefully in time for its May Inflation Report.</w:t>
      </w:r>
    </w:p>
    <w:p>
      <w:pPr>
        <w:pStyle w:val="BodyText"/>
        <w:spacing w:before="6"/>
        <w:rPr>
          <w:sz w:val="32"/>
        </w:rPr>
      </w:pPr>
    </w:p>
    <w:p>
      <w:pPr>
        <w:pStyle w:val="Heading1"/>
      </w:pPr>
      <w:r>
        <w:rPr/>
        <w:t>International developments</w:t>
      </w:r>
    </w:p>
    <w:p>
      <w:pPr>
        <w:pStyle w:val="BodyText"/>
        <w:rPr>
          <w:b/>
          <w:sz w:val="26"/>
        </w:rPr>
      </w:pPr>
    </w:p>
    <w:p>
      <w:pPr>
        <w:pStyle w:val="ListParagraph"/>
        <w:numPr>
          <w:ilvl w:val="0"/>
          <w:numId w:val="1"/>
        </w:numPr>
        <w:tabs>
          <w:tab w:pos="506" w:val="left" w:leader="none"/>
        </w:tabs>
        <w:spacing w:line="321" w:lineRule="auto" w:before="160" w:after="0"/>
        <w:ind w:left="107" w:right="237" w:firstLine="0"/>
        <w:jc w:val="left"/>
        <w:rPr>
          <w:sz w:val="24"/>
        </w:rPr>
      </w:pPr>
      <w:r>
        <w:rPr>
          <w:sz w:val="24"/>
        </w:rPr>
        <w:t>Recalling its earlier discussions of the Asian situation, the Committee agreed that there had been relatively</w:t>
      </w:r>
      <w:r>
        <w:rPr>
          <w:spacing w:val="-11"/>
          <w:sz w:val="24"/>
        </w:rPr>
        <w:t> </w:t>
      </w:r>
      <w:r>
        <w:rPr>
          <w:sz w:val="24"/>
        </w:rPr>
        <w:t>few</w:t>
      </w:r>
      <w:r>
        <w:rPr>
          <w:spacing w:val="-10"/>
          <w:sz w:val="24"/>
        </w:rPr>
        <w:t> </w:t>
      </w:r>
      <w:r>
        <w:rPr>
          <w:sz w:val="24"/>
        </w:rPr>
        <w:t>developments</w:t>
      </w:r>
      <w:r>
        <w:rPr>
          <w:spacing w:val="-11"/>
          <w:sz w:val="24"/>
        </w:rPr>
        <w:t> </w:t>
      </w:r>
      <w:r>
        <w:rPr>
          <w:sz w:val="24"/>
        </w:rPr>
        <w:t>since</w:t>
      </w:r>
      <w:r>
        <w:rPr>
          <w:spacing w:val="-10"/>
          <w:sz w:val="24"/>
        </w:rPr>
        <w:t> </w:t>
      </w:r>
      <w:r>
        <w:rPr>
          <w:sz w:val="24"/>
        </w:rPr>
        <w:t>its</w:t>
      </w:r>
      <w:r>
        <w:rPr>
          <w:spacing w:val="-10"/>
          <w:sz w:val="24"/>
        </w:rPr>
        <w:t> </w:t>
      </w:r>
      <w:r>
        <w:rPr>
          <w:sz w:val="24"/>
        </w:rPr>
        <w:t>4-5</w:t>
      </w:r>
      <w:r>
        <w:rPr>
          <w:spacing w:val="-11"/>
          <w:sz w:val="24"/>
        </w:rPr>
        <w:t> </w:t>
      </w:r>
      <w:r>
        <w:rPr>
          <w:sz w:val="24"/>
        </w:rPr>
        <w:t>February</w:t>
      </w:r>
      <w:r>
        <w:rPr>
          <w:spacing w:val="-10"/>
          <w:sz w:val="24"/>
        </w:rPr>
        <w:t> </w:t>
      </w:r>
      <w:r>
        <w:rPr>
          <w:sz w:val="24"/>
        </w:rPr>
        <w:t>meeting.</w:t>
      </w:r>
      <w:r>
        <w:rPr>
          <w:spacing w:val="42"/>
          <w:sz w:val="24"/>
        </w:rPr>
        <w:t> </w:t>
      </w:r>
      <w:r>
        <w:rPr>
          <w:sz w:val="24"/>
        </w:rPr>
        <w:t>Indonesia</w:t>
      </w:r>
      <w:r>
        <w:rPr>
          <w:spacing w:val="-11"/>
          <w:sz w:val="24"/>
        </w:rPr>
        <w:t> </w:t>
      </w:r>
      <w:r>
        <w:rPr>
          <w:sz w:val="24"/>
        </w:rPr>
        <w:t>looked</w:t>
      </w:r>
      <w:r>
        <w:rPr>
          <w:spacing w:val="-10"/>
          <w:sz w:val="24"/>
        </w:rPr>
        <w:t> </w:t>
      </w:r>
      <w:r>
        <w:rPr>
          <w:sz w:val="24"/>
        </w:rPr>
        <w:t>worse,</w:t>
      </w:r>
      <w:r>
        <w:rPr>
          <w:spacing w:val="-10"/>
          <w:sz w:val="24"/>
        </w:rPr>
        <w:t> </w:t>
      </w:r>
      <w:r>
        <w:rPr>
          <w:sz w:val="24"/>
        </w:rPr>
        <w:t>but</w:t>
      </w:r>
      <w:r>
        <w:rPr>
          <w:spacing w:val="-11"/>
          <w:sz w:val="24"/>
        </w:rPr>
        <w:t> </w:t>
      </w:r>
      <w:r>
        <w:rPr>
          <w:sz w:val="24"/>
        </w:rPr>
        <w:t>other</w:t>
      </w:r>
      <w:r>
        <w:rPr>
          <w:spacing w:val="-10"/>
          <w:sz w:val="24"/>
        </w:rPr>
        <w:t> </w:t>
      </w:r>
      <w:r>
        <w:rPr>
          <w:sz w:val="24"/>
        </w:rPr>
        <w:t>countries in</w:t>
      </w:r>
      <w:r>
        <w:rPr>
          <w:spacing w:val="-7"/>
          <w:sz w:val="24"/>
        </w:rPr>
        <w:t> </w:t>
      </w:r>
      <w:r>
        <w:rPr>
          <w:sz w:val="24"/>
        </w:rPr>
        <w:t>Asia</w:t>
      </w:r>
      <w:r>
        <w:rPr>
          <w:spacing w:val="-7"/>
          <w:sz w:val="24"/>
        </w:rPr>
        <w:t> </w:t>
      </w:r>
      <w:r>
        <w:rPr>
          <w:sz w:val="24"/>
        </w:rPr>
        <w:t>appeared</w:t>
      </w:r>
      <w:r>
        <w:rPr>
          <w:spacing w:val="-7"/>
          <w:sz w:val="24"/>
        </w:rPr>
        <w:t> </w:t>
      </w:r>
      <w:r>
        <w:rPr>
          <w:sz w:val="24"/>
        </w:rPr>
        <w:t>to</w:t>
      </w:r>
      <w:r>
        <w:rPr>
          <w:spacing w:val="-6"/>
          <w:sz w:val="24"/>
        </w:rPr>
        <w:t> </w:t>
      </w:r>
      <w:r>
        <w:rPr>
          <w:sz w:val="24"/>
        </w:rPr>
        <w:t>be</w:t>
      </w:r>
      <w:r>
        <w:rPr>
          <w:spacing w:val="-7"/>
          <w:sz w:val="24"/>
        </w:rPr>
        <w:t> </w:t>
      </w:r>
      <w:r>
        <w:rPr>
          <w:sz w:val="24"/>
        </w:rPr>
        <w:t>making</w:t>
      </w:r>
      <w:r>
        <w:rPr>
          <w:spacing w:val="-7"/>
          <w:sz w:val="24"/>
        </w:rPr>
        <w:t> </w:t>
      </w:r>
      <w:r>
        <w:rPr>
          <w:sz w:val="24"/>
        </w:rPr>
        <w:t>progress</w:t>
      </w:r>
      <w:r>
        <w:rPr>
          <w:spacing w:val="-6"/>
          <w:sz w:val="24"/>
        </w:rPr>
        <w:t> </w:t>
      </w:r>
      <w:r>
        <w:rPr>
          <w:sz w:val="24"/>
        </w:rPr>
        <w:t>with</w:t>
      </w:r>
      <w:r>
        <w:rPr>
          <w:spacing w:val="-7"/>
          <w:sz w:val="24"/>
        </w:rPr>
        <w:t> </w:t>
      </w:r>
      <w:r>
        <w:rPr>
          <w:sz w:val="24"/>
        </w:rPr>
        <w:t>their</w:t>
      </w:r>
      <w:r>
        <w:rPr>
          <w:spacing w:val="-7"/>
          <w:sz w:val="24"/>
        </w:rPr>
        <w:t> </w:t>
      </w:r>
      <w:r>
        <w:rPr>
          <w:sz w:val="24"/>
        </w:rPr>
        <w:t>IMF</w:t>
      </w:r>
      <w:r>
        <w:rPr>
          <w:spacing w:val="-6"/>
          <w:sz w:val="24"/>
        </w:rPr>
        <w:t> </w:t>
      </w:r>
      <w:r>
        <w:rPr>
          <w:sz w:val="24"/>
        </w:rPr>
        <w:t>programmes.</w:t>
      </w:r>
      <w:r>
        <w:rPr>
          <w:spacing w:val="47"/>
          <w:sz w:val="24"/>
        </w:rPr>
        <w:t> </w:t>
      </w:r>
      <w:r>
        <w:rPr>
          <w:sz w:val="24"/>
        </w:rPr>
        <w:t>The</w:t>
      </w:r>
      <w:r>
        <w:rPr>
          <w:spacing w:val="-6"/>
          <w:sz w:val="24"/>
        </w:rPr>
        <w:t> </w:t>
      </w:r>
      <w:r>
        <w:rPr>
          <w:sz w:val="24"/>
        </w:rPr>
        <w:t>risks</w:t>
      </w:r>
      <w:r>
        <w:rPr>
          <w:spacing w:val="-7"/>
          <w:sz w:val="24"/>
        </w:rPr>
        <w:t> </w:t>
      </w:r>
      <w:r>
        <w:rPr>
          <w:sz w:val="24"/>
        </w:rPr>
        <w:t>to</w:t>
      </w:r>
      <w:r>
        <w:rPr>
          <w:spacing w:val="-7"/>
          <w:sz w:val="24"/>
        </w:rPr>
        <w:t> </w:t>
      </w:r>
      <w:r>
        <w:rPr>
          <w:sz w:val="24"/>
        </w:rPr>
        <w:t>activity</w:t>
      </w:r>
      <w:r>
        <w:rPr>
          <w:spacing w:val="-6"/>
          <w:sz w:val="24"/>
        </w:rPr>
        <w:t> </w:t>
      </w:r>
      <w:r>
        <w:rPr>
          <w:sz w:val="24"/>
        </w:rPr>
        <w:t>had,</w:t>
      </w:r>
      <w:r>
        <w:rPr>
          <w:spacing w:val="-7"/>
          <w:sz w:val="24"/>
        </w:rPr>
        <w:t> </w:t>
      </w:r>
      <w:r>
        <w:rPr>
          <w:sz w:val="24"/>
        </w:rPr>
        <w:t>however, possibly increased slightly, partly on account of the perception that the Japanese position was </w:t>
      </w:r>
      <w:r>
        <w:rPr>
          <w:spacing w:val="-2"/>
          <w:sz w:val="24"/>
        </w:rPr>
        <w:t>not </w:t>
      </w:r>
      <w:r>
        <w:rPr>
          <w:sz w:val="24"/>
        </w:rPr>
        <w:t>improving. But this might be offset by a marginally better outlook for activity in the EU and USA. </w:t>
      </w:r>
      <w:r>
        <w:rPr>
          <w:spacing w:val="-2"/>
          <w:sz w:val="24"/>
        </w:rPr>
        <w:t>The </w:t>
      </w:r>
      <w:r>
        <w:rPr>
          <w:sz w:val="24"/>
        </w:rPr>
        <w:t>Committee agreed that recent data were broadly in line with its expectations at the time of the February Inflation Report.</w:t>
      </w:r>
    </w:p>
    <w:p>
      <w:pPr>
        <w:pStyle w:val="BodyText"/>
        <w:spacing w:before="5"/>
        <w:rPr>
          <w:sz w:val="32"/>
        </w:rPr>
      </w:pPr>
    </w:p>
    <w:p>
      <w:pPr>
        <w:pStyle w:val="Heading1"/>
      </w:pPr>
      <w:r>
        <w:rPr/>
        <w:t>Cost pressures</w:t>
      </w:r>
    </w:p>
    <w:p>
      <w:pPr>
        <w:pStyle w:val="BodyText"/>
        <w:rPr>
          <w:b/>
          <w:sz w:val="26"/>
        </w:rPr>
      </w:pPr>
    </w:p>
    <w:p>
      <w:pPr>
        <w:pStyle w:val="ListParagraph"/>
        <w:numPr>
          <w:ilvl w:val="0"/>
          <w:numId w:val="1"/>
        </w:numPr>
        <w:tabs>
          <w:tab w:pos="506" w:val="left" w:leader="none"/>
        </w:tabs>
        <w:spacing w:line="321" w:lineRule="auto" w:before="159" w:after="0"/>
        <w:ind w:left="107" w:right="338" w:firstLine="0"/>
        <w:jc w:val="left"/>
        <w:rPr>
          <w:sz w:val="24"/>
        </w:rPr>
      </w:pPr>
      <w:r>
        <w:rPr>
          <w:sz w:val="24"/>
        </w:rPr>
        <w:t>The</w:t>
      </w:r>
      <w:r>
        <w:rPr>
          <w:spacing w:val="-8"/>
          <w:sz w:val="24"/>
        </w:rPr>
        <w:t> </w:t>
      </w:r>
      <w:r>
        <w:rPr>
          <w:sz w:val="24"/>
        </w:rPr>
        <w:t>Committee</w:t>
      </w:r>
      <w:r>
        <w:rPr>
          <w:spacing w:val="-8"/>
          <w:sz w:val="24"/>
        </w:rPr>
        <w:t> </w:t>
      </w:r>
      <w:r>
        <w:rPr>
          <w:sz w:val="24"/>
        </w:rPr>
        <w:t>agreed</w:t>
      </w:r>
      <w:r>
        <w:rPr>
          <w:spacing w:val="-7"/>
          <w:sz w:val="24"/>
        </w:rPr>
        <w:t> </w:t>
      </w:r>
      <w:r>
        <w:rPr>
          <w:sz w:val="24"/>
        </w:rPr>
        <w:t>that</w:t>
      </w:r>
      <w:r>
        <w:rPr>
          <w:spacing w:val="-8"/>
          <w:sz w:val="24"/>
        </w:rPr>
        <w:t> </w:t>
      </w:r>
      <w:r>
        <w:rPr>
          <w:sz w:val="24"/>
        </w:rPr>
        <w:t>developments</w:t>
      </w:r>
      <w:r>
        <w:rPr>
          <w:spacing w:val="-7"/>
          <w:sz w:val="24"/>
        </w:rPr>
        <w:t> </w:t>
      </w:r>
      <w:r>
        <w:rPr>
          <w:sz w:val="24"/>
        </w:rPr>
        <w:t>in</w:t>
      </w:r>
      <w:r>
        <w:rPr>
          <w:spacing w:val="-8"/>
          <w:sz w:val="24"/>
        </w:rPr>
        <w:t> </w:t>
      </w:r>
      <w:r>
        <w:rPr>
          <w:sz w:val="24"/>
        </w:rPr>
        <w:t>Asia</w:t>
      </w:r>
      <w:r>
        <w:rPr>
          <w:spacing w:val="-7"/>
          <w:sz w:val="24"/>
        </w:rPr>
        <w:t> </w:t>
      </w:r>
      <w:r>
        <w:rPr>
          <w:sz w:val="24"/>
        </w:rPr>
        <w:t>had</w:t>
      </w:r>
      <w:r>
        <w:rPr>
          <w:spacing w:val="-8"/>
          <w:sz w:val="24"/>
        </w:rPr>
        <w:t> </w:t>
      </w:r>
      <w:r>
        <w:rPr>
          <w:sz w:val="24"/>
        </w:rPr>
        <w:t>contributed</w:t>
      </w:r>
      <w:r>
        <w:rPr>
          <w:spacing w:val="-8"/>
          <w:sz w:val="24"/>
        </w:rPr>
        <w:t> </w:t>
      </w:r>
      <w:r>
        <w:rPr>
          <w:sz w:val="24"/>
        </w:rPr>
        <w:t>to</w:t>
      </w:r>
      <w:r>
        <w:rPr>
          <w:spacing w:val="-7"/>
          <w:sz w:val="24"/>
        </w:rPr>
        <w:t> </w:t>
      </w:r>
      <w:r>
        <w:rPr>
          <w:sz w:val="24"/>
        </w:rPr>
        <w:t>very</w:t>
      </w:r>
      <w:r>
        <w:rPr>
          <w:spacing w:val="-8"/>
          <w:sz w:val="24"/>
        </w:rPr>
        <w:t> </w:t>
      </w:r>
      <w:r>
        <w:rPr>
          <w:sz w:val="24"/>
        </w:rPr>
        <w:t>benign</w:t>
      </w:r>
      <w:r>
        <w:rPr>
          <w:spacing w:val="-7"/>
          <w:sz w:val="24"/>
        </w:rPr>
        <w:t> </w:t>
      </w:r>
      <w:r>
        <w:rPr>
          <w:sz w:val="24"/>
        </w:rPr>
        <w:t>cost</w:t>
      </w:r>
      <w:r>
        <w:rPr>
          <w:spacing w:val="-8"/>
          <w:sz w:val="24"/>
        </w:rPr>
        <w:t> </w:t>
      </w:r>
      <w:r>
        <w:rPr>
          <w:sz w:val="24"/>
        </w:rPr>
        <w:t>pressures.</w:t>
      </w:r>
      <w:r>
        <w:rPr>
          <w:spacing w:val="46"/>
          <w:sz w:val="24"/>
        </w:rPr>
        <w:t> </w:t>
      </w:r>
      <w:r>
        <w:rPr>
          <w:sz w:val="24"/>
        </w:rPr>
        <w:t>In particular, commodity prices were down 13% on a year ago. Manufacturing output prices (excluding excise duties) had also registered their first ever fall over a twelve-month period (on data constructed back to</w:t>
      </w:r>
      <w:r>
        <w:rPr>
          <w:spacing w:val="6"/>
          <w:sz w:val="24"/>
        </w:rPr>
        <w:t> </w:t>
      </w:r>
      <w:r>
        <w:rPr>
          <w:sz w:val="24"/>
        </w:rPr>
        <w:t>1974).</w:t>
      </w:r>
    </w:p>
    <w:p>
      <w:pPr>
        <w:pStyle w:val="BodyText"/>
        <w:spacing w:before="1"/>
        <w:rPr>
          <w:sz w:val="32"/>
        </w:rPr>
      </w:pPr>
    </w:p>
    <w:p>
      <w:pPr>
        <w:pStyle w:val="ListParagraph"/>
        <w:numPr>
          <w:ilvl w:val="0"/>
          <w:numId w:val="1"/>
        </w:numPr>
        <w:tabs>
          <w:tab w:pos="506" w:val="left" w:leader="none"/>
        </w:tabs>
        <w:spacing w:line="321" w:lineRule="auto" w:before="0" w:after="0"/>
        <w:ind w:left="107" w:right="256" w:firstLine="0"/>
        <w:jc w:val="left"/>
        <w:rPr>
          <w:sz w:val="24"/>
        </w:rPr>
      </w:pPr>
      <w:r>
        <w:rPr>
          <w:sz w:val="24"/>
        </w:rPr>
        <w:t>On one view this was encouraging for the inflation outlook; it took time for lower input prices to feed through to retail prices. The current cost picture could therefore help to sustain low inflation for some time to come. Another view emphasised that, notwithstanding falling commodity prices </w:t>
      </w:r>
      <w:r>
        <w:rPr>
          <w:spacing w:val="-2"/>
          <w:sz w:val="24"/>
        </w:rPr>
        <w:t>and </w:t>
      </w:r>
      <w:r>
        <w:rPr>
          <w:sz w:val="24"/>
        </w:rPr>
        <w:t>sterling’s appreciation, inflation had remained above the target for most of the past year. </w:t>
      </w:r>
      <w:r>
        <w:rPr>
          <w:spacing w:val="-2"/>
          <w:sz w:val="24"/>
        </w:rPr>
        <w:t>Strong </w:t>
      </w:r>
      <w:r>
        <w:rPr>
          <w:sz w:val="24"/>
        </w:rPr>
        <w:t>domestic demand conditions had largely offset favourable cost developments. Looking forwards, there was</w:t>
      </w:r>
      <w:r>
        <w:rPr>
          <w:spacing w:val="-4"/>
          <w:sz w:val="24"/>
        </w:rPr>
        <w:t> </w:t>
      </w:r>
      <w:r>
        <w:rPr>
          <w:sz w:val="24"/>
        </w:rPr>
        <w:t>no</w:t>
      </w:r>
      <w:r>
        <w:rPr>
          <w:spacing w:val="-3"/>
          <w:sz w:val="24"/>
        </w:rPr>
        <w:t> </w:t>
      </w:r>
      <w:r>
        <w:rPr>
          <w:sz w:val="24"/>
        </w:rPr>
        <w:t>reason</w:t>
      </w:r>
      <w:r>
        <w:rPr>
          <w:spacing w:val="-3"/>
          <w:sz w:val="24"/>
        </w:rPr>
        <w:t> </w:t>
      </w:r>
      <w:r>
        <w:rPr>
          <w:sz w:val="24"/>
        </w:rPr>
        <w:t>to</w:t>
      </w:r>
      <w:r>
        <w:rPr>
          <w:spacing w:val="-3"/>
          <w:sz w:val="24"/>
        </w:rPr>
        <w:t> </w:t>
      </w:r>
      <w:r>
        <w:rPr>
          <w:sz w:val="24"/>
        </w:rPr>
        <w:t>expect</w:t>
      </w:r>
      <w:r>
        <w:rPr>
          <w:spacing w:val="-3"/>
          <w:sz w:val="24"/>
        </w:rPr>
        <w:t> </w:t>
      </w:r>
      <w:r>
        <w:rPr>
          <w:sz w:val="24"/>
        </w:rPr>
        <w:t>that</w:t>
      </w:r>
      <w:r>
        <w:rPr>
          <w:spacing w:val="-3"/>
          <w:sz w:val="24"/>
        </w:rPr>
        <w:t> </w:t>
      </w:r>
      <w:r>
        <w:rPr>
          <w:sz w:val="24"/>
        </w:rPr>
        <w:t>commodity</w:t>
      </w:r>
      <w:r>
        <w:rPr>
          <w:spacing w:val="-3"/>
          <w:sz w:val="24"/>
        </w:rPr>
        <w:t> </w:t>
      </w:r>
      <w:r>
        <w:rPr>
          <w:sz w:val="24"/>
        </w:rPr>
        <w:t>prices</w:t>
      </w:r>
      <w:r>
        <w:rPr>
          <w:spacing w:val="-3"/>
          <w:sz w:val="24"/>
        </w:rPr>
        <w:t> </w:t>
      </w:r>
      <w:r>
        <w:rPr>
          <w:sz w:val="24"/>
        </w:rPr>
        <w:t>would</w:t>
      </w:r>
      <w:r>
        <w:rPr>
          <w:spacing w:val="-3"/>
          <w:sz w:val="24"/>
        </w:rPr>
        <w:t> </w:t>
      </w:r>
      <w:r>
        <w:rPr>
          <w:sz w:val="24"/>
        </w:rPr>
        <w:t>continue</w:t>
      </w:r>
      <w:r>
        <w:rPr>
          <w:spacing w:val="-3"/>
          <w:sz w:val="24"/>
        </w:rPr>
        <w:t> </w:t>
      </w:r>
      <w:r>
        <w:rPr>
          <w:sz w:val="24"/>
        </w:rPr>
        <w:t>to</w:t>
      </w:r>
      <w:r>
        <w:rPr>
          <w:spacing w:val="-3"/>
          <w:sz w:val="24"/>
        </w:rPr>
        <w:t> </w:t>
      </w:r>
      <w:r>
        <w:rPr>
          <w:sz w:val="24"/>
        </w:rPr>
        <w:t>fall,</w:t>
      </w:r>
      <w:r>
        <w:rPr>
          <w:spacing w:val="-3"/>
          <w:sz w:val="24"/>
        </w:rPr>
        <w:t> </w:t>
      </w:r>
      <w:r>
        <w:rPr>
          <w:sz w:val="24"/>
        </w:rPr>
        <w:t>or</w:t>
      </w:r>
      <w:r>
        <w:rPr>
          <w:spacing w:val="-3"/>
          <w:sz w:val="24"/>
        </w:rPr>
        <w:t> </w:t>
      </w:r>
      <w:r>
        <w:rPr>
          <w:sz w:val="24"/>
        </w:rPr>
        <w:t>that</w:t>
      </w:r>
      <w:r>
        <w:rPr>
          <w:spacing w:val="-3"/>
          <w:sz w:val="24"/>
        </w:rPr>
        <w:t> </w:t>
      </w:r>
      <w:r>
        <w:rPr>
          <w:sz w:val="24"/>
        </w:rPr>
        <w:t>sterling</w:t>
      </w:r>
      <w:r>
        <w:rPr>
          <w:spacing w:val="-3"/>
          <w:sz w:val="24"/>
        </w:rPr>
        <w:t> </w:t>
      </w:r>
      <w:r>
        <w:rPr>
          <w:sz w:val="24"/>
        </w:rPr>
        <w:t>would</w:t>
      </w:r>
      <w:r>
        <w:rPr>
          <w:spacing w:val="-3"/>
          <w:sz w:val="24"/>
        </w:rPr>
        <w:t> </w:t>
      </w:r>
      <w:r>
        <w:rPr>
          <w:sz w:val="24"/>
        </w:rPr>
        <w:t>continue</w:t>
      </w:r>
      <w:r>
        <w:rPr>
          <w:spacing w:val="-3"/>
          <w:sz w:val="24"/>
        </w:rPr>
        <w:t> </w:t>
      </w:r>
      <w:r>
        <w:rPr>
          <w:sz w:val="24"/>
        </w:rPr>
        <w:t>to appreciate, making the accumulated underlying domestic inflationary pressures more important to </w:t>
      </w:r>
      <w:r>
        <w:rPr>
          <w:spacing w:val="-2"/>
          <w:sz w:val="24"/>
        </w:rPr>
        <w:t>the </w:t>
      </w:r>
      <w:r>
        <w:rPr>
          <w:sz w:val="24"/>
        </w:rPr>
        <w:t>medium-term outlook.</w:t>
      </w:r>
    </w:p>
    <w:p>
      <w:pPr>
        <w:pStyle w:val="BodyText"/>
        <w:spacing w:before="5"/>
        <w:rPr>
          <w:sz w:val="32"/>
        </w:rPr>
      </w:pPr>
    </w:p>
    <w:p>
      <w:pPr>
        <w:pStyle w:val="Heading1"/>
      </w:pPr>
      <w:r>
        <w:rPr/>
        <w:t>What has changed since the February Inflation Report?</w:t>
      </w:r>
    </w:p>
    <w:p>
      <w:pPr>
        <w:pStyle w:val="BodyText"/>
        <w:rPr>
          <w:b/>
          <w:sz w:val="26"/>
        </w:rPr>
      </w:pPr>
    </w:p>
    <w:p>
      <w:pPr>
        <w:pStyle w:val="ListParagraph"/>
        <w:numPr>
          <w:ilvl w:val="0"/>
          <w:numId w:val="1"/>
        </w:numPr>
        <w:tabs>
          <w:tab w:pos="506" w:val="left" w:leader="none"/>
        </w:tabs>
        <w:spacing w:line="321" w:lineRule="auto" w:before="159" w:after="0"/>
        <w:ind w:left="107" w:right="290" w:firstLine="0"/>
        <w:jc w:val="left"/>
        <w:rPr>
          <w:sz w:val="24"/>
        </w:rPr>
      </w:pPr>
      <w:r>
        <w:rPr>
          <w:sz w:val="24"/>
        </w:rPr>
        <w:t>Drawing</w:t>
      </w:r>
      <w:r>
        <w:rPr>
          <w:spacing w:val="-11"/>
          <w:sz w:val="24"/>
        </w:rPr>
        <w:t> </w:t>
      </w:r>
      <w:r>
        <w:rPr>
          <w:sz w:val="24"/>
        </w:rPr>
        <w:t>together</w:t>
      </w:r>
      <w:r>
        <w:rPr>
          <w:spacing w:val="-10"/>
          <w:sz w:val="24"/>
        </w:rPr>
        <w:t> </w:t>
      </w:r>
      <w:r>
        <w:rPr>
          <w:sz w:val="24"/>
        </w:rPr>
        <w:t>its</w:t>
      </w:r>
      <w:r>
        <w:rPr>
          <w:spacing w:val="-10"/>
          <w:sz w:val="24"/>
        </w:rPr>
        <w:t> </w:t>
      </w:r>
      <w:r>
        <w:rPr>
          <w:sz w:val="24"/>
        </w:rPr>
        <w:t>discussion</w:t>
      </w:r>
      <w:r>
        <w:rPr>
          <w:spacing w:val="-10"/>
          <w:sz w:val="24"/>
        </w:rPr>
        <w:t> </w:t>
      </w:r>
      <w:r>
        <w:rPr>
          <w:sz w:val="24"/>
        </w:rPr>
        <w:t>of</w:t>
      </w:r>
      <w:r>
        <w:rPr>
          <w:spacing w:val="-10"/>
          <w:sz w:val="24"/>
        </w:rPr>
        <w:t> </w:t>
      </w:r>
      <w:r>
        <w:rPr>
          <w:sz w:val="24"/>
        </w:rPr>
        <w:t>recent</w:t>
      </w:r>
      <w:r>
        <w:rPr>
          <w:spacing w:val="-10"/>
          <w:sz w:val="24"/>
        </w:rPr>
        <w:t> </w:t>
      </w:r>
      <w:r>
        <w:rPr>
          <w:sz w:val="24"/>
        </w:rPr>
        <w:t>developments,</w:t>
      </w:r>
      <w:r>
        <w:rPr>
          <w:spacing w:val="-10"/>
          <w:sz w:val="24"/>
        </w:rPr>
        <w:t> </w:t>
      </w:r>
      <w:r>
        <w:rPr>
          <w:sz w:val="24"/>
        </w:rPr>
        <w:t>the</w:t>
      </w:r>
      <w:r>
        <w:rPr>
          <w:spacing w:val="-10"/>
          <w:sz w:val="24"/>
        </w:rPr>
        <w:t> </w:t>
      </w:r>
      <w:r>
        <w:rPr>
          <w:sz w:val="24"/>
        </w:rPr>
        <w:t>Committee</w:t>
      </w:r>
      <w:r>
        <w:rPr>
          <w:spacing w:val="-10"/>
          <w:sz w:val="24"/>
        </w:rPr>
        <w:t> </w:t>
      </w:r>
      <w:r>
        <w:rPr>
          <w:sz w:val="24"/>
        </w:rPr>
        <w:t>reviewed</w:t>
      </w:r>
      <w:r>
        <w:rPr>
          <w:spacing w:val="-10"/>
          <w:sz w:val="24"/>
        </w:rPr>
        <w:t> </w:t>
      </w:r>
      <w:r>
        <w:rPr>
          <w:sz w:val="24"/>
        </w:rPr>
        <w:t>what</w:t>
      </w:r>
      <w:r>
        <w:rPr>
          <w:spacing w:val="-10"/>
          <w:sz w:val="24"/>
        </w:rPr>
        <w:t> </w:t>
      </w:r>
      <w:r>
        <w:rPr>
          <w:sz w:val="24"/>
        </w:rPr>
        <w:t>had</w:t>
      </w:r>
      <w:r>
        <w:rPr>
          <w:spacing w:val="-10"/>
          <w:sz w:val="24"/>
        </w:rPr>
        <w:t> </w:t>
      </w:r>
      <w:r>
        <w:rPr>
          <w:sz w:val="24"/>
        </w:rPr>
        <w:t>changed </w:t>
      </w:r>
      <w:r>
        <w:rPr>
          <w:spacing w:val="-3"/>
          <w:sz w:val="24"/>
        </w:rPr>
        <w:t>since </w:t>
      </w:r>
      <w:r>
        <w:rPr>
          <w:sz w:val="24"/>
        </w:rPr>
        <w:t>it </w:t>
      </w:r>
      <w:r>
        <w:rPr>
          <w:spacing w:val="-3"/>
          <w:sz w:val="24"/>
        </w:rPr>
        <w:t>finalised </w:t>
      </w:r>
      <w:r>
        <w:rPr>
          <w:sz w:val="24"/>
        </w:rPr>
        <w:t>its </w:t>
      </w:r>
      <w:r>
        <w:rPr>
          <w:spacing w:val="-3"/>
          <w:sz w:val="24"/>
        </w:rPr>
        <w:t>February Inflation</w:t>
      </w:r>
      <w:r>
        <w:rPr>
          <w:spacing w:val="9"/>
          <w:sz w:val="24"/>
        </w:rPr>
        <w:t> </w:t>
      </w:r>
      <w:r>
        <w:rPr>
          <w:spacing w:val="-3"/>
          <w:sz w:val="24"/>
        </w:rPr>
        <w:t>Report.</w:t>
      </w:r>
    </w:p>
    <w:p>
      <w:pPr>
        <w:pStyle w:val="BodyText"/>
        <w:spacing w:before="1"/>
        <w:rPr>
          <w:sz w:val="32"/>
        </w:rPr>
      </w:pPr>
    </w:p>
    <w:p>
      <w:pPr>
        <w:pStyle w:val="ListParagraph"/>
        <w:numPr>
          <w:ilvl w:val="0"/>
          <w:numId w:val="1"/>
        </w:numPr>
        <w:tabs>
          <w:tab w:pos="506" w:val="left" w:leader="none"/>
        </w:tabs>
        <w:spacing w:line="321" w:lineRule="auto" w:before="0" w:after="0"/>
        <w:ind w:left="107" w:right="189" w:firstLine="0"/>
        <w:jc w:val="left"/>
        <w:rPr>
          <w:sz w:val="24"/>
        </w:rPr>
      </w:pPr>
      <w:r>
        <w:rPr>
          <w:sz w:val="24"/>
        </w:rPr>
        <w:t>That broad money growth had slowed now seemed reasonably clear and offered some </w:t>
      </w:r>
      <w:r>
        <w:rPr>
          <w:spacing w:val="-2"/>
          <w:sz w:val="24"/>
        </w:rPr>
        <w:t>reassurance, </w:t>
      </w:r>
      <w:r>
        <w:rPr>
          <w:sz w:val="24"/>
        </w:rPr>
        <w:t>but</w:t>
      </w:r>
      <w:r>
        <w:rPr>
          <w:spacing w:val="-8"/>
          <w:sz w:val="24"/>
        </w:rPr>
        <w:t> </w:t>
      </w:r>
      <w:r>
        <w:rPr>
          <w:sz w:val="24"/>
        </w:rPr>
        <w:t>the</w:t>
      </w:r>
      <w:r>
        <w:rPr>
          <w:spacing w:val="-8"/>
          <w:sz w:val="24"/>
        </w:rPr>
        <w:t> </w:t>
      </w:r>
      <w:r>
        <w:rPr>
          <w:sz w:val="24"/>
        </w:rPr>
        <w:t>sectoral</w:t>
      </w:r>
      <w:r>
        <w:rPr>
          <w:spacing w:val="-8"/>
          <w:sz w:val="24"/>
        </w:rPr>
        <w:t> </w:t>
      </w:r>
      <w:r>
        <w:rPr>
          <w:sz w:val="24"/>
        </w:rPr>
        <w:t>differences</w:t>
      </w:r>
      <w:r>
        <w:rPr>
          <w:spacing w:val="-8"/>
          <w:sz w:val="24"/>
        </w:rPr>
        <w:t> </w:t>
      </w:r>
      <w:r>
        <w:rPr>
          <w:sz w:val="24"/>
        </w:rPr>
        <w:t>were</w:t>
      </w:r>
      <w:r>
        <w:rPr>
          <w:spacing w:val="-8"/>
          <w:sz w:val="24"/>
        </w:rPr>
        <w:t> </w:t>
      </w:r>
      <w:r>
        <w:rPr>
          <w:sz w:val="24"/>
        </w:rPr>
        <w:t>striking.</w:t>
      </w:r>
      <w:r>
        <w:rPr>
          <w:spacing w:val="45"/>
          <w:sz w:val="24"/>
        </w:rPr>
        <w:t> </w:t>
      </w:r>
      <w:r>
        <w:rPr>
          <w:sz w:val="24"/>
        </w:rPr>
        <w:t>Unchanged</w:t>
      </w:r>
      <w:r>
        <w:rPr>
          <w:spacing w:val="-8"/>
          <w:sz w:val="24"/>
        </w:rPr>
        <w:t> </w:t>
      </w:r>
      <w:r>
        <w:rPr>
          <w:sz w:val="24"/>
        </w:rPr>
        <w:t>personal</w:t>
      </w:r>
      <w:r>
        <w:rPr>
          <w:spacing w:val="-8"/>
          <w:sz w:val="24"/>
        </w:rPr>
        <w:t> </w:t>
      </w:r>
      <w:r>
        <w:rPr>
          <w:sz w:val="24"/>
        </w:rPr>
        <w:t>sector</w:t>
      </w:r>
      <w:r>
        <w:rPr>
          <w:spacing w:val="-7"/>
          <w:sz w:val="24"/>
        </w:rPr>
        <w:t> </w:t>
      </w:r>
      <w:r>
        <w:rPr>
          <w:sz w:val="24"/>
        </w:rPr>
        <w:t>M4</w:t>
      </w:r>
      <w:r>
        <w:rPr>
          <w:spacing w:val="-8"/>
          <w:sz w:val="24"/>
        </w:rPr>
        <w:t> </w:t>
      </w:r>
      <w:r>
        <w:rPr>
          <w:sz w:val="24"/>
        </w:rPr>
        <w:t>growth</w:t>
      </w:r>
      <w:r>
        <w:rPr>
          <w:spacing w:val="-8"/>
          <w:sz w:val="24"/>
        </w:rPr>
        <w:t> </w:t>
      </w:r>
      <w:r>
        <w:rPr>
          <w:sz w:val="24"/>
        </w:rPr>
        <w:t>combined</w:t>
      </w:r>
      <w:r>
        <w:rPr>
          <w:spacing w:val="-8"/>
          <w:sz w:val="24"/>
        </w:rPr>
        <w:t> </w:t>
      </w:r>
      <w:r>
        <w:rPr>
          <w:sz w:val="24"/>
        </w:rPr>
        <w:t>with</w:t>
      </w:r>
      <w:r>
        <w:rPr>
          <w:spacing w:val="-8"/>
          <w:sz w:val="24"/>
        </w:rPr>
        <w:t> </w:t>
      </w:r>
      <w:r>
        <w:rPr>
          <w:sz w:val="24"/>
        </w:rPr>
        <w:t>7%</w:t>
      </w:r>
      <w:r>
        <w:rPr>
          <w:spacing w:val="-8"/>
          <w:sz w:val="24"/>
        </w:rPr>
        <w:t> </w:t>
      </w:r>
      <w:r>
        <w:rPr>
          <w:sz w:val="24"/>
        </w:rPr>
        <w:t>M0 growth</w:t>
      </w:r>
      <w:r>
        <w:rPr>
          <w:spacing w:val="-4"/>
          <w:sz w:val="24"/>
        </w:rPr>
        <w:t> </w:t>
      </w:r>
      <w:r>
        <w:rPr>
          <w:sz w:val="24"/>
        </w:rPr>
        <w:t>and</w:t>
      </w:r>
      <w:r>
        <w:rPr>
          <w:spacing w:val="-4"/>
          <w:sz w:val="24"/>
        </w:rPr>
        <w:t> </w:t>
      </w:r>
      <w:r>
        <w:rPr>
          <w:sz w:val="24"/>
        </w:rPr>
        <w:t>continued</w:t>
      </w:r>
      <w:r>
        <w:rPr>
          <w:spacing w:val="-4"/>
          <w:sz w:val="24"/>
        </w:rPr>
        <w:t> </w:t>
      </w:r>
      <w:r>
        <w:rPr>
          <w:sz w:val="24"/>
        </w:rPr>
        <w:t>strong</w:t>
      </w:r>
      <w:r>
        <w:rPr>
          <w:spacing w:val="-4"/>
          <w:sz w:val="24"/>
        </w:rPr>
        <w:t> </w:t>
      </w:r>
      <w:r>
        <w:rPr>
          <w:sz w:val="24"/>
        </w:rPr>
        <w:t>growth</w:t>
      </w:r>
      <w:r>
        <w:rPr>
          <w:spacing w:val="-3"/>
          <w:sz w:val="24"/>
        </w:rPr>
        <w:t> </w:t>
      </w:r>
      <w:r>
        <w:rPr>
          <w:sz w:val="24"/>
        </w:rPr>
        <w:t>in</w:t>
      </w:r>
      <w:r>
        <w:rPr>
          <w:spacing w:val="-4"/>
          <w:sz w:val="24"/>
        </w:rPr>
        <w:t> </w:t>
      </w:r>
      <w:r>
        <w:rPr>
          <w:sz w:val="24"/>
        </w:rPr>
        <w:t>consumer</w:t>
      </w:r>
      <w:r>
        <w:rPr>
          <w:spacing w:val="-4"/>
          <w:sz w:val="24"/>
        </w:rPr>
        <w:t> </w:t>
      </w:r>
      <w:r>
        <w:rPr>
          <w:sz w:val="24"/>
        </w:rPr>
        <w:t>credit</w:t>
      </w:r>
      <w:r>
        <w:rPr>
          <w:spacing w:val="-4"/>
          <w:sz w:val="24"/>
        </w:rPr>
        <w:t> </w:t>
      </w:r>
      <w:r>
        <w:rPr>
          <w:sz w:val="24"/>
        </w:rPr>
        <w:t>contrasted</w:t>
      </w:r>
      <w:r>
        <w:rPr>
          <w:spacing w:val="-3"/>
          <w:sz w:val="24"/>
        </w:rPr>
        <w:t> </w:t>
      </w:r>
      <w:r>
        <w:rPr>
          <w:sz w:val="24"/>
        </w:rPr>
        <w:t>markedly</w:t>
      </w:r>
      <w:r>
        <w:rPr>
          <w:spacing w:val="-4"/>
          <w:sz w:val="24"/>
        </w:rPr>
        <w:t> </w:t>
      </w:r>
      <w:r>
        <w:rPr>
          <w:sz w:val="24"/>
        </w:rPr>
        <w:t>with</w:t>
      </w:r>
      <w:r>
        <w:rPr>
          <w:spacing w:val="-4"/>
          <w:sz w:val="24"/>
        </w:rPr>
        <w:t> </w:t>
      </w:r>
      <w:r>
        <w:rPr>
          <w:sz w:val="24"/>
        </w:rPr>
        <w:t>weak</w:t>
      </w:r>
      <w:r>
        <w:rPr>
          <w:spacing w:val="-4"/>
          <w:sz w:val="24"/>
        </w:rPr>
        <w:t> </w:t>
      </w:r>
      <w:r>
        <w:rPr>
          <w:sz w:val="24"/>
        </w:rPr>
        <w:t>ICC</w:t>
      </w:r>
      <w:r>
        <w:rPr>
          <w:spacing w:val="-3"/>
          <w:sz w:val="24"/>
        </w:rPr>
        <w:t> </w:t>
      </w:r>
      <w:r>
        <w:rPr>
          <w:sz w:val="24"/>
        </w:rPr>
        <w:t>deposit</w:t>
      </w:r>
      <w:r>
        <w:rPr>
          <w:spacing w:val="-4"/>
          <w:sz w:val="24"/>
        </w:rPr>
        <w:t> </w:t>
      </w:r>
      <w:r>
        <w:rPr>
          <w:sz w:val="24"/>
        </w:rPr>
        <w:t>and bank</w:t>
      </w:r>
      <w:r>
        <w:rPr>
          <w:spacing w:val="-8"/>
          <w:sz w:val="24"/>
        </w:rPr>
        <w:t> </w:t>
      </w:r>
      <w:r>
        <w:rPr>
          <w:sz w:val="24"/>
        </w:rPr>
        <w:t>lending</w:t>
      </w:r>
      <w:r>
        <w:rPr>
          <w:spacing w:val="-7"/>
          <w:sz w:val="24"/>
        </w:rPr>
        <w:t> </w:t>
      </w:r>
      <w:r>
        <w:rPr>
          <w:sz w:val="24"/>
        </w:rPr>
        <w:t>growth.</w:t>
      </w:r>
      <w:r>
        <w:rPr>
          <w:spacing w:val="47"/>
          <w:sz w:val="24"/>
        </w:rPr>
        <w:t> </w:t>
      </w:r>
      <w:r>
        <w:rPr>
          <w:sz w:val="24"/>
        </w:rPr>
        <w:t>Financial</w:t>
      </w:r>
      <w:r>
        <w:rPr>
          <w:spacing w:val="-7"/>
          <w:sz w:val="24"/>
        </w:rPr>
        <w:t> </w:t>
      </w:r>
      <w:r>
        <w:rPr>
          <w:sz w:val="24"/>
        </w:rPr>
        <w:t>asset</w:t>
      </w:r>
      <w:r>
        <w:rPr>
          <w:spacing w:val="-7"/>
          <w:sz w:val="24"/>
        </w:rPr>
        <w:t> </w:t>
      </w:r>
      <w:r>
        <w:rPr>
          <w:sz w:val="24"/>
        </w:rPr>
        <w:t>price</w:t>
      </w:r>
      <w:r>
        <w:rPr>
          <w:spacing w:val="-8"/>
          <w:sz w:val="24"/>
        </w:rPr>
        <w:t> </w:t>
      </w:r>
      <w:r>
        <w:rPr>
          <w:sz w:val="24"/>
        </w:rPr>
        <w:t>growth</w:t>
      </w:r>
      <w:r>
        <w:rPr>
          <w:spacing w:val="-7"/>
          <w:sz w:val="24"/>
        </w:rPr>
        <w:t> </w:t>
      </w:r>
      <w:r>
        <w:rPr>
          <w:sz w:val="24"/>
        </w:rPr>
        <w:t>had</w:t>
      </w:r>
      <w:r>
        <w:rPr>
          <w:spacing w:val="-7"/>
          <w:sz w:val="24"/>
        </w:rPr>
        <w:t> </w:t>
      </w:r>
      <w:r>
        <w:rPr>
          <w:sz w:val="24"/>
        </w:rPr>
        <w:t>persisted,</w:t>
      </w:r>
      <w:r>
        <w:rPr>
          <w:spacing w:val="-7"/>
          <w:sz w:val="24"/>
        </w:rPr>
        <w:t> </w:t>
      </w:r>
      <w:r>
        <w:rPr>
          <w:sz w:val="24"/>
        </w:rPr>
        <w:t>and</w:t>
      </w:r>
      <w:r>
        <w:rPr>
          <w:spacing w:val="-7"/>
          <w:sz w:val="24"/>
        </w:rPr>
        <w:t> </w:t>
      </w:r>
      <w:r>
        <w:rPr>
          <w:sz w:val="24"/>
        </w:rPr>
        <w:t>the</w:t>
      </w:r>
      <w:r>
        <w:rPr>
          <w:spacing w:val="-7"/>
          <w:sz w:val="24"/>
        </w:rPr>
        <w:t> </w:t>
      </w:r>
      <w:r>
        <w:rPr>
          <w:sz w:val="24"/>
        </w:rPr>
        <w:t>exchange</w:t>
      </w:r>
      <w:r>
        <w:rPr>
          <w:spacing w:val="-7"/>
          <w:sz w:val="24"/>
        </w:rPr>
        <w:t> </w:t>
      </w:r>
      <w:r>
        <w:rPr>
          <w:sz w:val="24"/>
        </w:rPr>
        <w:t>rate</w:t>
      </w:r>
      <w:r>
        <w:rPr>
          <w:spacing w:val="-8"/>
          <w:sz w:val="24"/>
        </w:rPr>
        <w:t> </w:t>
      </w:r>
      <w:r>
        <w:rPr>
          <w:sz w:val="24"/>
        </w:rPr>
        <w:t>had</w:t>
      </w:r>
      <w:r>
        <w:rPr>
          <w:spacing w:val="-7"/>
          <w:sz w:val="24"/>
        </w:rPr>
        <w:t> </w:t>
      </w:r>
      <w:r>
        <w:rPr>
          <w:sz w:val="24"/>
        </w:rPr>
        <w:t>appreciated</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209"/>
      </w:pPr>
      <w:r>
        <w:rPr/>
        <w:t>rather than depreciating in line with expectations. Money market conditions had also tightened, with the money market yield curve about 20-25bp higher out to 1999.</w:t>
      </w:r>
    </w:p>
    <w:p>
      <w:pPr>
        <w:pStyle w:val="BodyText"/>
        <w:spacing w:before="1"/>
        <w:rPr>
          <w:sz w:val="32"/>
        </w:rPr>
      </w:pPr>
    </w:p>
    <w:p>
      <w:pPr>
        <w:pStyle w:val="ListParagraph"/>
        <w:numPr>
          <w:ilvl w:val="0"/>
          <w:numId w:val="1"/>
        </w:numPr>
        <w:tabs>
          <w:tab w:pos="506" w:val="left" w:leader="none"/>
        </w:tabs>
        <w:spacing w:line="321" w:lineRule="auto" w:before="1" w:after="0"/>
        <w:ind w:left="107" w:right="155" w:firstLine="0"/>
        <w:jc w:val="left"/>
        <w:rPr>
          <w:sz w:val="24"/>
        </w:rPr>
      </w:pPr>
      <w:r>
        <w:rPr>
          <w:sz w:val="24"/>
        </w:rPr>
        <w:t>In the labour market, developments had not so far been as bad as some had feared. But </w:t>
      </w:r>
      <w:r>
        <w:rPr>
          <w:spacing w:val="-2"/>
          <w:sz w:val="24"/>
        </w:rPr>
        <w:t>pay </w:t>
      </w:r>
      <w:r>
        <w:rPr>
          <w:sz w:val="24"/>
        </w:rPr>
        <w:t>settlements</w:t>
      </w:r>
      <w:r>
        <w:rPr>
          <w:spacing w:val="-8"/>
          <w:sz w:val="24"/>
        </w:rPr>
        <w:t> </w:t>
      </w:r>
      <w:r>
        <w:rPr>
          <w:sz w:val="24"/>
        </w:rPr>
        <w:t>had</w:t>
      </w:r>
      <w:r>
        <w:rPr>
          <w:spacing w:val="-8"/>
          <w:sz w:val="24"/>
        </w:rPr>
        <w:t> </w:t>
      </w:r>
      <w:r>
        <w:rPr>
          <w:sz w:val="24"/>
        </w:rPr>
        <w:t>now</w:t>
      </w:r>
      <w:r>
        <w:rPr>
          <w:spacing w:val="-7"/>
          <w:sz w:val="24"/>
        </w:rPr>
        <w:t> </w:t>
      </w:r>
      <w:r>
        <w:rPr>
          <w:sz w:val="24"/>
        </w:rPr>
        <w:t>been</w:t>
      </w:r>
      <w:r>
        <w:rPr>
          <w:spacing w:val="-8"/>
          <w:sz w:val="24"/>
        </w:rPr>
        <w:t> </w:t>
      </w:r>
      <w:r>
        <w:rPr>
          <w:sz w:val="24"/>
        </w:rPr>
        <w:t>quite</w:t>
      </w:r>
      <w:r>
        <w:rPr>
          <w:spacing w:val="-7"/>
          <w:sz w:val="24"/>
        </w:rPr>
        <w:t> </w:t>
      </w:r>
      <w:r>
        <w:rPr>
          <w:sz w:val="24"/>
        </w:rPr>
        <w:t>high</w:t>
      </w:r>
      <w:r>
        <w:rPr>
          <w:spacing w:val="-8"/>
          <w:sz w:val="24"/>
        </w:rPr>
        <w:t> </w:t>
      </w:r>
      <w:r>
        <w:rPr>
          <w:sz w:val="24"/>
        </w:rPr>
        <w:t>for</w:t>
      </w:r>
      <w:r>
        <w:rPr>
          <w:spacing w:val="-8"/>
          <w:sz w:val="24"/>
        </w:rPr>
        <w:t> </w:t>
      </w:r>
      <w:r>
        <w:rPr>
          <w:sz w:val="24"/>
        </w:rPr>
        <w:t>a</w:t>
      </w:r>
      <w:r>
        <w:rPr>
          <w:spacing w:val="-7"/>
          <w:sz w:val="24"/>
        </w:rPr>
        <w:t> </w:t>
      </w:r>
      <w:r>
        <w:rPr>
          <w:sz w:val="24"/>
        </w:rPr>
        <w:t>prolonged</w:t>
      </w:r>
      <w:r>
        <w:rPr>
          <w:spacing w:val="-8"/>
          <w:sz w:val="24"/>
        </w:rPr>
        <w:t> </w:t>
      </w:r>
      <w:r>
        <w:rPr>
          <w:sz w:val="24"/>
        </w:rPr>
        <w:t>period,</w:t>
      </w:r>
      <w:r>
        <w:rPr>
          <w:spacing w:val="-7"/>
          <w:sz w:val="24"/>
        </w:rPr>
        <w:t> </w:t>
      </w:r>
      <w:r>
        <w:rPr>
          <w:sz w:val="24"/>
        </w:rPr>
        <w:t>and</w:t>
      </w:r>
      <w:r>
        <w:rPr>
          <w:spacing w:val="-8"/>
          <w:sz w:val="24"/>
        </w:rPr>
        <w:t> </w:t>
      </w:r>
      <w:r>
        <w:rPr>
          <w:sz w:val="24"/>
        </w:rPr>
        <w:t>earnings</w:t>
      </w:r>
      <w:r>
        <w:rPr>
          <w:spacing w:val="-7"/>
          <w:sz w:val="24"/>
        </w:rPr>
        <w:t> </w:t>
      </w:r>
      <w:r>
        <w:rPr>
          <w:sz w:val="24"/>
        </w:rPr>
        <w:t>growth</w:t>
      </w:r>
      <w:r>
        <w:rPr>
          <w:spacing w:val="-8"/>
          <w:sz w:val="24"/>
        </w:rPr>
        <w:t> </w:t>
      </w:r>
      <w:r>
        <w:rPr>
          <w:sz w:val="24"/>
        </w:rPr>
        <w:t>was</w:t>
      </w:r>
      <w:r>
        <w:rPr>
          <w:spacing w:val="-8"/>
          <w:sz w:val="24"/>
        </w:rPr>
        <w:t> </w:t>
      </w:r>
      <w:r>
        <w:rPr>
          <w:sz w:val="24"/>
        </w:rPr>
        <w:t>only</w:t>
      </w:r>
      <w:r>
        <w:rPr>
          <w:spacing w:val="-7"/>
          <w:sz w:val="24"/>
        </w:rPr>
        <w:t> </w:t>
      </w:r>
      <w:r>
        <w:rPr>
          <w:sz w:val="24"/>
        </w:rPr>
        <w:t>just</w:t>
      </w:r>
      <w:r>
        <w:rPr>
          <w:spacing w:val="-8"/>
          <w:sz w:val="24"/>
        </w:rPr>
        <w:t> </w:t>
      </w:r>
      <w:r>
        <w:rPr>
          <w:sz w:val="24"/>
        </w:rPr>
        <w:t>consistent with the inflation target. Other cost pressures and price developments were more benign than expected. Given</w:t>
      </w:r>
      <w:r>
        <w:rPr>
          <w:spacing w:val="-4"/>
          <w:sz w:val="24"/>
        </w:rPr>
        <w:t> </w:t>
      </w:r>
      <w:r>
        <w:rPr>
          <w:sz w:val="24"/>
        </w:rPr>
        <w:t>the</w:t>
      </w:r>
      <w:r>
        <w:rPr>
          <w:spacing w:val="-4"/>
          <w:sz w:val="24"/>
        </w:rPr>
        <w:t> </w:t>
      </w:r>
      <w:r>
        <w:rPr>
          <w:sz w:val="24"/>
        </w:rPr>
        <w:t>PSBR</w:t>
      </w:r>
      <w:r>
        <w:rPr>
          <w:spacing w:val="-3"/>
          <w:sz w:val="24"/>
        </w:rPr>
        <w:t> </w:t>
      </w:r>
      <w:r>
        <w:rPr>
          <w:sz w:val="24"/>
        </w:rPr>
        <w:t>numbers,</w:t>
      </w:r>
      <w:r>
        <w:rPr>
          <w:spacing w:val="-4"/>
          <w:sz w:val="24"/>
        </w:rPr>
        <w:t> </w:t>
      </w:r>
      <w:r>
        <w:rPr>
          <w:sz w:val="24"/>
        </w:rPr>
        <w:t>the</w:t>
      </w:r>
      <w:r>
        <w:rPr>
          <w:spacing w:val="-3"/>
          <w:sz w:val="24"/>
        </w:rPr>
        <w:t> </w:t>
      </w:r>
      <w:r>
        <w:rPr>
          <w:sz w:val="24"/>
        </w:rPr>
        <w:t>current</w:t>
      </w:r>
      <w:r>
        <w:rPr>
          <w:spacing w:val="-4"/>
          <w:sz w:val="24"/>
        </w:rPr>
        <w:t> </w:t>
      </w:r>
      <w:r>
        <w:rPr>
          <w:sz w:val="24"/>
        </w:rPr>
        <w:t>fiscal</w:t>
      </w:r>
      <w:r>
        <w:rPr>
          <w:spacing w:val="-3"/>
          <w:sz w:val="24"/>
        </w:rPr>
        <w:t> </w:t>
      </w:r>
      <w:r>
        <w:rPr>
          <w:sz w:val="24"/>
        </w:rPr>
        <w:t>position</w:t>
      </w:r>
      <w:r>
        <w:rPr>
          <w:spacing w:val="-4"/>
          <w:sz w:val="24"/>
        </w:rPr>
        <w:t> </w:t>
      </w:r>
      <w:r>
        <w:rPr>
          <w:sz w:val="24"/>
        </w:rPr>
        <w:t>might</w:t>
      </w:r>
      <w:r>
        <w:rPr>
          <w:spacing w:val="-3"/>
          <w:sz w:val="24"/>
        </w:rPr>
        <w:t> </w:t>
      </w:r>
      <w:r>
        <w:rPr>
          <w:sz w:val="24"/>
        </w:rPr>
        <w:t>be</w:t>
      </w:r>
      <w:r>
        <w:rPr>
          <w:spacing w:val="-4"/>
          <w:sz w:val="24"/>
        </w:rPr>
        <w:t> </w:t>
      </w:r>
      <w:r>
        <w:rPr>
          <w:sz w:val="24"/>
        </w:rPr>
        <w:t>tighter</w:t>
      </w:r>
      <w:r>
        <w:rPr>
          <w:spacing w:val="-3"/>
          <w:sz w:val="24"/>
        </w:rPr>
        <w:t> </w:t>
      </w:r>
      <w:r>
        <w:rPr>
          <w:sz w:val="24"/>
        </w:rPr>
        <w:t>than</w:t>
      </w:r>
      <w:r>
        <w:rPr>
          <w:spacing w:val="-4"/>
          <w:sz w:val="24"/>
        </w:rPr>
        <w:t> </w:t>
      </w:r>
      <w:r>
        <w:rPr>
          <w:sz w:val="24"/>
        </w:rPr>
        <w:t>earlier</w:t>
      </w:r>
      <w:r>
        <w:rPr>
          <w:spacing w:val="-3"/>
          <w:sz w:val="24"/>
        </w:rPr>
        <w:t> </w:t>
      </w:r>
      <w:r>
        <w:rPr>
          <w:sz w:val="24"/>
        </w:rPr>
        <w:t>expected.</w:t>
      </w:r>
    </w:p>
    <w:p>
      <w:pPr>
        <w:pStyle w:val="BodyText"/>
        <w:rPr>
          <w:sz w:val="32"/>
        </w:rPr>
      </w:pPr>
    </w:p>
    <w:p>
      <w:pPr>
        <w:pStyle w:val="ListParagraph"/>
        <w:numPr>
          <w:ilvl w:val="0"/>
          <w:numId w:val="1"/>
        </w:numPr>
        <w:tabs>
          <w:tab w:pos="506" w:val="left" w:leader="none"/>
        </w:tabs>
        <w:spacing w:line="321" w:lineRule="auto" w:before="0" w:after="0"/>
        <w:ind w:left="107" w:right="170" w:firstLine="0"/>
        <w:jc w:val="left"/>
        <w:rPr>
          <w:sz w:val="24"/>
        </w:rPr>
      </w:pPr>
      <w:r>
        <w:rPr>
          <w:sz w:val="24"/>
        </w:rPr>
        <w:t>But little had happened to help clarify the outlook for demand and output. Domestic demand and </w:t>
      </w:r>
      <w:r>
        <w:rPr>
          <w:spacing w:val="-2"/>
          <w:sz w:val="24"/>
        </w:rPr>
        <w:t>the </w:t>
      </w:r>
      <w:r>
        <w:rPr>
          <w:spacing w:val="-3"/>
          <w:sz w:val="24"/>
        </w:rPr>
        <w:t>productive capacity </w:t>
      </w:r>
      <w:r>
        <w:rPr>
          <w:sz w:val="24"/>
        </w:rPr>
        <w:t>of the </w:t>
      </w:r>
      <w:r>
        <w:rPr>
          <w:spacing w:val="-3"/>
          <w:sz w:val="24"/>
        </w:rPr>
        <w:t>economy remained </w:t>
      </w:r>
      <w:r>
        <w:rPr>
          <w:sz w:val="24"/>
        </w:rPr>
        <w:t>the key </w:t>
      </w:r>
      <w:r>
        <w:rPr>
          <w:spacing w:val="-3"/>
          <w:sz w:val="24"/>
        </w:rPr>
        <w:t>issues. Given past monetary </w:t>
      </w:r>
      <w:r>
        <w:rPr>
          <w:sz w:val="24"/>
        </w:rPr>
        <w:t>and </w:t>
      </w:r>
      <w:r>
        <w:rPr>
          <w:spacing w:val="-3"/>
          <w:sz w:val="24"/>
        </w:rPr>
        <w:t>fiscal tightenings, sterling’s level, </w:t>
      </w:r>
      <w:r>
        <w:rPr>
          <w:sz w:val="24"/>
        </w:rPr>
        <w:t>and the </w:t>
      </w:r>
      <w:r>
        <w:rPr>
          <w:spacing w:val="-3"/>
          <w:sz w:val="24"/>
        </w:rPr>
        <w:t>fading effect </w:t>
      </w:r>
      <w:r>
        <w:rPr>
          <w:sz w:val="24"/>
        </w:rPr>
        <w:t>of </w:t>
      </w:r>
      <w:r>
        <w:rPr>
          <w:spacing w:val="-3"/>
          <w:sz w:val="24"/>
        </w:rPr>
        <w:t>windfall gains, Members agreed domestic demand </w:t>
      </w:r>
      <w:r>
        <w:rPr>
          <w:sz w:val="24"/>
        </w:rPr>
        <w:t>was </w:t>
      </w:r>
      <w:r>
        <w:rPr>
          <w:spacing w:val="-3"/>
          <w:sz w:val="24"/>
        </w:rPr>
        <w:t>likely to </w:t>
      </w:r>
      <w:r>
        <w:rPr>
          <w:sz w:val="24"/>
        </w:rPr>
        <w:t>slow. But the pace and extent of the slowdown remained highly</w:t>
      </w:r>
      <w:r>
        <w:rPr>
          <w:spacing w:val="-17"/>
          <w:sz w:val="24"/>
        </w:rPr>
        <w:t> </w:t>
      </w:r>
      <w:r>
        <w:rPr>
          <w:sz w:val="24"/>
        </w:rPr>
        <w:t>uncertain.</w:t>
      </w:r>
    </w:p>
    <w:p>
      <w:pPr>
        <w:pStyle w:val="BodyText"/>
        <w:spacing w:before="6"/>
        <w:rPr>
          <w:sz w:val="32"/>
        </w:rPr>
      </w:pPr>
    </w:p>
    <w:p>
      <w:pPr>
        <w:pStyle w:val="Heading1"/>
      </w:pPr>
      <w:r>
        <w:rPr/>
        <w:t>General considerations bearing on interest rate setting</w:t>
      </w:r>
    </w:p>
    <w:p>
      <w:pPr>
        <w:pStyle w:val="BodyText"/>
        <w:rPr>
          <w:b/>
          <w:sz w:val="26"/>
        </w:rPr>
      </w:pPr>
    </w:p>
    <w:p>
      <w:pPr>
        <w:pStyle w:val="ListParagraph"/>
        <w:numPr>
          <w:ilvl w:val="0"/>
          <w:numId w:val="1"/>
        </w:numPr>
        <w:tabs>
          <w:tab w:pos="506" w:val="left" w:leader="none"/>
        </w:tabs>
        <w:spacing w:line="321" w:lineRule="auto" w:before="159" w:after="0"/>
        <w:ind w:left="107" w:right="199" w:firstLine="0"/>
        <w:jc w:val="left"/>
        <w:rPr>
          <w:sz w:val="24"/>
        </w:rPr>
      </w:pPr>
      <w:r>
        <w:rPr>
          <w:sz w:val="24"/>
        </w:rPr>
        <w:t>Given that the Committee’s assessment of the economic outlook and appropriate policy stance </w:t>
      </w:r>
      <w:r>
        <w:rPr>
          <w:spacing w:val="-2"/>
          <w:sz w:val="24"/>
        </w:rPr>
        <w:t>was </w:t>
      </w:r>
      <w:r>
        <w:rPr>
          <w:spacing w:val="-3"/>
          <w:sz w:val="24"/>
        </w:rPr>
        <w:t>finely balanced, </w:t>
      </w:r>
      <w:r>
        <w:rPr>
          <w:sz w:val="24"/>
        </w:rPr>
        <w:t>the </w:t>
      </w:r>
      <w:r>
        <w:rPr>
          <w:spacing w:val="-3"/>
          <w:sz w:val="24"/>
        </w:rPr>
        <w:t>Committee reviewed some </w:t>
      </w:r>
      <w:r>
        <w:rPr>
          <w:sz w:val="24"/>
        </w:rPr>
        <w:t>of the </w:t>
      </w:r>
      <w:r>
        <w:rPr>
          <w:spacing w:val="-3"/>
          <w:sz w:val="24"/>
        </w:rPr>
        <w:t>general considerations bearing </w:t>
      </w:r>
      <w:r>
        <w:rPr>
          <w:sz w:val="24"/>
        </w:rPr>
        <w:t>on its </w:t>
      </w:r>
      <w:r>
        <w:rPr>
          <w:spacing w:val="-3"/>
          <w:sz w:val="24"/>
        </w:rPr>
        <w:t>choices before turning </w:t>
      </w:r>
      <w:r>
        <w:rPr>
          <w:sz w:val="24"/>
        </w:rPr>
        <w:t>to its </w:t>
      </w:r>
      <w:r>
        <w:rPr>
          <w:spacing w:val="-3"/>
          <w:sz w:val="24"/>
        </w:rPr>
        <w:t>immediate policy</w:t>
      </w:r>
      <w:r>
        <w:rPr>
          <w:spacing w:val="6"/>
          <w:sz w:val="24"/>
        </w:rPr>
        <w:t> </w:t>
      </w:r>
      <w:r>
        <w:rPr>
          <w:spacing w:val="-3"/>
          <w:sz w:val="24"/>
        </w:rPr>
        <w:t>decision.</w:t>
      </w:r>
    </w:p>
    <w:p>
      <w:pPr>
        <w:pStyle w:val="BodyText"/>
        <w:spacing w:before="1"/>
        <w:rPr>
          <w:sz w:val="32"/>
        </w:rPr>
      </w:pPr>
    </w:p>
    <w:p>
      <w:pPr>
        <w:pStyle w:val="ListParagraph"/>
        <w:numPr>
          <w:ilvl w:val="0"/>
          <w:numId w:val="1"/>
        </w:numPr>
        <w:tabs>
          <w:tab w:pos="506" w:val="left" w:leader="none"/>
        </w:tabs>
        <w:spacing w:line="321" w:lineRule="auto" w:before="0" w:after="0"/>
        <w:ind w:left="107" w:right="175" w:firstLine="0"/>
        <w:jc w:val="left"/>
        <w:rPr>
          <w:sz w:val="24"/>
        </w:rPr>
      </w:pPr>
      <w:r>
        <w:rPr>
          <w:spacing w:val="-3"/>
          <w:sz w:val="24"/>
        </w:rPr>
        <w:t>First, </w:t>
      </w:r>
      <w:r>
        <w:rPr>
          <w:sz w:val="24"/>
        </w:rPr>
        <w:t>in any </w:t>
      </w:r>
      <w:r>
        <w:rPr>
          <w:spacing w:val="-3"/>
          <w:sz w:val="24"/>
        </w:rPr>
        <w:t>given circumstances, </w:t>
      </w:r>
      <w:r>
        <w:rPr>
          <w:sz w:val="24"/>
        </w:rPr>
        <w:t>a </w:t>
      </w:r>
      <w:r>
        <w:rPr>
          <w:spacing w:val="-3"/>
          <w:sz w:val="24"/>
        </w:rPr>
        <w:t>variety </w:t>
      </w:r>
      <w:r>
        <w:rPr>
          <w:sz w:val="24"/>
        </w:rPr>
        <w:t>of </w:t>
      </w:r>
      <w:r>
        <w:rPr>
          <w:spacing w:val="-3"/>
          <w:sz w:val="24"/>
        </w:rPr>
        <w:t>different interest rate paths could </w:t>
      </w:r>
      <w:r>
        <w:rPr>
          <w:sz w:val="24"/>
        </w:rPr>
        <w:t>in </w:t>
      </w:r>
      <w:r>
        <w:rPr>
          <w:spacing w:val="-3"/>
          <w:sz w:val="24"/>
        </w:rPr>
        <w:t>principle achieve </w:t>
      </w:r>
      <w:r>
        <w:rPr>
          <w:sz w:val="24"/>
        </w:rPr>
        <w:t>the inflation target. What factors were relevant to the preferred profile of rates? One element of this </w:t>
      </w:r>
      <w:r>
        <w:rPr>
          <w:spacing w:val="-2"/>
          <w:sz w:val="24"/>
        </w:rPr>
        <w:t>was </w:t>
      </w:r>
      <w:r>
        <w:rPr>
          <w:sz w:val="24"/>
        </w:rPr>
        <w:t>the role that the projected path of output should play. There was a broad consensus that the Committee should in principle be concerned about deviations of the level of output from capacity. If the economy operated below capacity, productive resources would be underutilised and inflation would be tending to fall; on the other hand, attempting to operate the economy at above capacity levels of output would be unsustainable and lead to increasing inflation. The desirable rate of growth of output was itself affected by whether the economy was running at or below capacity. In circumstances where the actual level of output was above its capacity level, actual growth would need to be below the growth rate of capacity output for a period in order to bring the economy back to equilibrium. While the Committee agreed that in </w:t>
      </w:r>
      <w:r>
        <w:rPr>
          <w:spacing w:val="-3"/>
          <w:sz w:val="24"/>
        </w:rPr>
        <w:t>principle </w:t>
      </w:r>
      <w:r>
        <w:rPr>
          <w:sz w:val="24"/>
        </w:rPr>
        <w:t>it </w:t>
      </w:r>
      <w:r>
        <w:rPr>
          <w:spacing w:val="-3"/>
          <w:sz w:val="24"/>
        </w:rPr>
        <w:t>should </w:t>
      </w:r>
      <w:r>
        <w:rPr>
          <w:sz w:val="24"/>
        </w:rPr>
        <w:t>be </w:t>
      </w:r>
      <w:r>
        <w:rPr>
          <w:spacing w:val="-3"/>
          <w:sz w:val="24"/>
        </w:rPr>
        <w:t>concerned about minimising deviations from capacity rather than smoothing </w:t>
      </w:r>
      <w:r>
        <w:rPr>
          <w:sz w:val="24"/>
        </w:rPr>
        <w:t>growth rates per se, the practical difficulty was that the trend rate of growth could not be observed with sufficient</w:t>
      </w:r>
      <w:r>
        <w:rPr>
          <w:spacing w:val="-6"/>
          <w:sz w:val="24"/>
        </w:rPr>
        <w:t> </w:t>
      </w:r>
      <w:r>
        <w:rPr>
          <w:sz w:val="24"/>
        </w:rPr>
        <w:t>precision</w:t>
      </w:r>
      <w:r>
        <w:rPr>
          <w:spacing w:val="-6"/>
          <w:sz w:val="24"/>
        </w:rPr>
        <w:t> </w:t>
      </w:r>
      <w:r>
        <w:rPr>
          <w:sz w:val="24"/>
        </w:rPr>
        <w:t>for</w:t>
      </w:r>
      <w:r>
        <w:rPr>
          <w:spacing w:val="-6"/>
          <w:sz w:val="24"/>
        </w:rPr>
        <w:t> </w:t>
      </w:r>
      <w:r>
        <w:rPr>
          <w:sz w:val="24"/>
        </w:rPr>
        <w:t>estimated</w:t>
      </w:r>
      <w:r>
        <w:rPr>
          <w:spacing w:val="-6"/>
          <w:sz w:val="24"/>
        </w:rPr>
        <w:t> </w:t>
      </w:r>
      <w:r>
        <w:rPr>
          <w:sz w:val="24"/>
        </w:rPr>
        <w:t>deviations</w:t>
      </w:r>
      <w:r>
        <w:rPr>
          <w:spacing w:val="-6"/>
          <w:sz w:val="24"/>
        </w:rPr>
        <w:t> </w:t>
      </w:r>
      <w:r>
        <w:rPr>
          <w:sz w:val="24"/>
        </w:rPr>
        <w:t>from</w:t>
      </w:r>
      <w:r>
        <w:rPr>
          <w:spacing w:val="-6"/>
          <w:sz w:val="24"/>
        </w:rPr>
        <w:t> </w:t>
      </w:r>
      <w:r>
        <w:rPr>
          <w:sz w:val="24"/>
        </w:rPr>
        <w:t>capacity</w:t>
      </w:r>
      <w:r>
        <w:rPr>
          <w:spacing w:val="-6"/>
          <w:sz w:val="24"/>
        </w:rPr>
        <w:t> </w:t>
      </w:r>
      <w:r>
        <w:rPr>
          <w:sz w:val="24"/>
        </w:rPr>
        <w:t>output</w:t>
      </w:r>
      <w:r>
        <w:rPr>
          <w:spacing w:val="-6"/>
          <w:sz w:val="24"/>
        </w:rPr>
        <w:t> </w:t>
      </w:r>
      <w:r>
        <w:rPr>
          <w:sz w:val="24"/>
        </w:rPr>
        <w:t>to</w:t>
      </w:r>
      <w:r>
        <w:rPr>
          <w:spacing w:val="-6"/>
          <w:sz w:val="24"/>
        </w:rPr>
        <w:t> </w:t>
      </w:r>
      <w:r>
        <w:rPr>
          <w:sz w:val="24"/>
        </w:rPr>
        <w:t>serve</w:t>
      </w:r>
      <w:r>
        <w:rPr>
          <w:spacing w:val="-5"/>
          <w:sz w:val="24"/>
        </w:rPr>
        <w:t> </w:t>
      </w:r>
      <w:r>
        <w:rPr>
          <w:sz w:val="24"/>
        </w:rPr>
        <w:t>as</w:t>
      </w:r>
      <w:r>
        <w:rPr>
          <w:spacing w:val="-6"/>
          <w:sz w:val="24"/>
        </w:rPr>
        <w:t> </w:t>
      </w:r>
      <w:r>
        <w:rPr>
          <w:sz w:val="24"/>
        </w:rPr>
        <w:t>a</w:t>
      </w:r>
      <w:r>
        <w:rPr>
          <w:spacing w:val="-6"/>
          <w:sz w:val="24"/>
        </w:rPr>
        <w:t> </w:t>
      </w:r>
      <w:r>
        <w:rPr>
          <w:sz w:val="24"/>
        </w:rPr>
        <w:t>clear</w:t>
      </w:r>
      <w:r>
        <w:rPr>
          <w:spacing w:val="-6"/>
          <w:sz w:val="24"/>
        </w:rPr>
        <w:t> </w:t>
      </w:r>
      <w:r>
        <w:rPr>
          <w:sz w:val="24"/>
        </w:rPr>
        <w:t>guide</w:t>
      </w:r>
      <w:r>
        <w:rPr>
          <w:spacing w:val="-6"/>
          <w:sz w:val="24"/>
        </w:rPr>
        <w:t> </w:t>
      </w:r>
      <w:r>
        <w:rPr>
          <w:sz w:val="24"/>
        </w:rPr>
        <w:t>to</w:t>
      </w:r>
      <w:r>
        <w:rPr>
          <w:spacing w:val="-6"/>
          <w:sz w:val="24"/>
        </w:rPr>
        <w:t> </w:t>
      </w:r>
      <w:r>
        <w:rPr>
          <w:sz w:val="24"/>
        </w:rPr>
        <w:t>policy.</w:t>
      </w:r>
    </w:p>
    <w:p>
      <w:pPr>
        <w:pStyle w:val="BodyText"/>
        <w:spacing w:before="11"/>
        <w:rPr>
          <w:sz w:val="31"/>
        </w:rPr>
      </w:pPr>
    </w:p>
    <w:p>
      <w:pPr>
        <w:pStyle w:val="ListParagraph"/>
        <w:numPr>
          <w:ilvl w:val="0"/>
          <w:numId w:val="1"/>
        </w:numPr>
        <w:tabs>
          <w:tab w:pos="506" w:val="left" w:leader="none"/>
        </w:tabs>
        <w:spacing w:line="321" w:lineRule="auto" w:before="0" w:after="0"/>
        <w:ind w:left="107" w:right="127" w:firstLine="0"/>
        <w:jc w:val="left"/>
        <w:rPr>
          <w:sz w:val="24"/>
        </w:rPr>
      </w:pPr>
      <w:r>
        <w:rPr>
          <w:sz w:val="24"/>
        </w:rPr>
        <w:t>The Committee considered the way in which uncertainty entered into the forecast, and </w:t>
      </w:r>
      <w:r>
        <w:rPr>
          <w:spacing w:val="-2"/>
          <w:sz w:val="24"/>
        </w:rPr>
        <w:t>the </w:t>
      </w:r>
      <w:r>
        <w:rPr>
          <w:sz w:val="24"/>
        </w:rPr>
        <w:t>implications of that for the determination of interest rates. Three distinct issues were discussed. The first concerned the meaning of the fan charts published in the Inflation Report. The MPC is committed to publishing</w:t>
      </w:r>
      <w:r>
        <w:rPr>
          <w:spacing w:val="-10"/>
          <w:sz w:val="24"/>
        </w:rPr>
        <w:t> </w:t>
      </w:r>
      <w:r>
        <w:rPr>
          <w:sz w:val="24"/>
        </w:rPr>
        <w:t>forecasts</w:t>
      </w:r>
      <w:r>
        <w:rPr>
          <w:spacing w:val="-9"/>
          <w:sz w:val="24"/>
        </w:rPr>
        <w:t> </w:t>
      </w:r>
      <w:r>
        <w:rPr>
          <w:sz w:val="24"/>
        </w:rPr>
        <w:t>in</w:t>
      </w:r>
      <w:r>
        <w:rPr>
          <w:spacing w:val="-9"/>
          <w:sz w:val="24"/>
        </w:rPr>
        <w:t> </w:t>
      </w:r>
      <w:r>
        <w:rPr>
          <w:sz w:val="24"/>
        </w:rPr>
        <w:t>the</w:t>
      </w:r>
      <w:r>
        <w:rPr>
          <w:spacing w:val="-9"/>
          <w:sz w:val="24"/>
        </w:rPr>
        <w:t> </w:t>
      </w:r>
      <w:r>
        <w:rPr>
          <w:sz w:val="24"/>
        </w:rPr>
        <w:t>form</w:t>
      </w:r>
      <w:r>
        <w:rPr>
          <w:spacing w:val="-9"/>
          <w:sz w:val="24"/>
        </w:rPr>
        <w:t> </w:t>
      </w:r>
      <w:r>
        <w:rPr>
          <w:sz w:val="24"/>
        </w:rPr>
        <w:t>of</w:t>
      </w:r>
      <w:r>
        <w:rPr>
          <w:spacing w:val="-9"/>
          <w:sz w:val="24"/>
        </w:rPr>
        <w:t> </w:t>
      </w:r>
      <w:r>
        <w:rPr>
          <w:sz w:val="24"/>
        </w:rPr>
        <w:t>fan</w:t>
      </w:r>
      <w:r>
        <w:rPr>
          <w:spacing w:val="-9"/>
          <w:sz w:val="24"/>
        </w:rPr>
        <w:t> </w:t>
      </w:r>
      <w:r>
        <w:rPr>
          <w:sz w:val="24"/>
        </w:rPr>
        <w:t>charts</w:t>
      </w:r>
      <w:r>
        <w:rPr>
          <w:spacing w:val="-9"/>
          <w:sz w:val="24"/>
        </w:rPr>
        <w:t> </w:t>
      </w:r>
      <w:r>
        <w:rPr>
          <w:sz w:val="24"/>
        </w:rPr>
        <w:t>because</w:t>
      </w:r>
      <w:r>
        <w:rPr>
          <w:spacing w:val="-9"/>
          <w:sz w:val="24"/>
        </w:rPr>
        <w:t> </w:t>
      </w:r>
      <w:r>
        <w:rPr>
          <w:sz w:val="24"/>
        </w:rPr>
        <w:t>they</w:t>
      </w:r>
      <w:r>
        <w:rPr>
          <w:spacing w:val="-10"/>
          <w:sz w:val="24"/>
        </w:rPr>
        <w:t> </w:t>
      </w:r>
      <w:r>
        <w:rPr>
          <w:sz w:val="24"/>
        </w:rPr>
        <w:t>emphasise</w:t>
      </w:r>
      <w:r>
        <w:rPr>
          <w:spacing w:val="-9"/>
          <w:sz w:val="24"/>
        </w:rPr>
        <w:t> </w:t>
      </w:r>
      <w:r>
        <w:rPr>
          <w:sz w:val="24"/>
        </w:rPr>
        <w:t>the</w:t>
      </w:r>
      <w:r>
        <w:rPr>
          <w:spacing w:val="-9"/>
          <w:sz w:val="24"/>
        </w:rPr>
        <w:t> </w:t>
      </w:r>
      <w:r>
        <w:rPr>
          <w:sz w:val="24"/>
        </w:rPr>
        <w:t>fact</w:t>
      </w:r>
      <w:r>
        <w:rPr>
          <w:spacing w:val="-9"/>
          <w:sz w:val="24"/>
        </w:rPr>
        <w:t> </w:t>
      </w:r>
      <w:r>
        <w:rPr>
          <w:sz w:val="24"/>
        </w:rPr>
        <w:t>that</w:t>
      </w:r>
      <w:r>
        <w:rPr>
          <w:spacing w:val="-9"/>
          <w:sz w:val="24"/>
        </w:rPr>
        <w:t> </w:t>
      </w:r>
      <w:r>
        <w:rPr>
          <w:sz w:val="24"/>
        </w:rPr>
        <w:t>forecasts</w:t>
      </w:r>
      <w:r>
        <w:rPr>
          <w:spacing w:val="-9"/>
          <w:sz w:val="24"/>
        </w:rPr>
        <w:t> </w:t>
      </w:r>
      <w:r>
        <w:rPr>
          <w:sz w:val="24"/>
        </w:rPr>
        <w:t>are</w:t>
      </w:r>
      <w:r>
        <w:rPr>
          <w:spacing w:val="-9"/>
          <w:sz w:val="24"/>
        </w:rPr>
        <w:t> </w:t>
      </w:r>
      <w:r>
        <w:rPr>
          <w:sz w:val="24"/>
        </w:rPr>
        <w:t>statements about probabilities of different outcomes. The charts seek to represent the quantifiable uncertainties about the future paths of inflation and output. The bands in the charts reflect the Committee’s</w:t>
      </w:r>
      <w:r>
        <w:rPr>
          <w:spacing w:val="-42"/>
          <w:sz w:val="24"/>
        </w:rPr>
        <w:t> </w:t>
      </w:r>
      <w:r>
        <w:rPr>
          <w:sz w:val="24"/>
        </w:rPr>
        <w:t>judgment</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49"/>
      </w:pPr>
      <w:r>
        <w:rPr/>
        <w:t>about the risks to the central projection, and can encompass minor differences of view about those risks. But there might be circumstances where the differences among the Committee members about the nature and magnitude of the risks were more significant. In such circumstances, it would be necessary to publish fan charts corresponding to more than one forecast.</w:t>
      </w:r>
    </w:p>
    <w:p>
      <w:pPr>
        <w:pStyle w:val="BodyText"/>
        <w:spacing w:before="1"/>
        <w:rPr>
          <w:sz w:val="32"/>
        </w:rPr>
      </w:pPr>
    </w:p>
    <w:p>
      <w:pPr>
        <w:pStyle w:val="ListParagraph"/>
        <w:numPr>
          <w:ilvl w:val="0"/>
          <w:numId w:val="1"/>
        </w:numPr>
        <w:tabs>
          <w:tab w:pos="506" w:val="left" w:leader="none"/>
        </w:tabs>
        <w:spacing w:line="321" w:lineRule="auto" w:before="0" w:after="0"/>
        <w:ind w:left="107" w:right="261" w:firstLine="0"/>
        <w:jc w:val="left"/>
        <w:rPr>
          <w:sz w:val="24"/>
        </w:rPr>
      </w:pPr>
      <w:r>
        <w:rPr>
          <w:sz w:val="24"/>
        </w:rPr>
        <w:t>A second issue was the relationship between the forecast for inflation over the next two years or so and the decision on the current level of short-term interest rates. Although the fan chart sought to capture all the relevant issues, it could not be used as a mechanical determinant of the policy decision. Since the fan charts were conditioned on particular paths for interest rates over the next two years (for example, constant rates or the path of rates implied by futures markets), the fan charts could indicate no more</w:t>
      </w:r>
      <w:r>
        <w:rPr>
          <w:spacing w:val="-7"/>
          <w:sz w:val="24"/>
        </w:rPr>
        <w:t> </w:t>
      </w:r>
      <w:r>
        <w:rPr>
          <w:sz w:val="24"/>
        </w:rPr>
        <w:t>than</w:t>
      </w:r>
      <w:r>
        <w:rPr>
          <w:spacing w:val="-7"/>
          <w:sz w:val="24"/>
        </w:rPr>
        <w:t> </w:t>
      </w:r>
      <w:r>
        <w:rPr>
          <w:sz w:val="24"/>
        </w:rPr>
        <w:t>the</w:t>
      </w:r>
      <w:r>
        <w:rPr>
          <w:spacing w:val="-7"/>
          <w:sz w:val="24"/>
        </w:rPr>
        <w:t> </w:t>
      </w:r>
      <w:r>
        <w:rPr>
          <w:sz w:val="24"/>
        </w:rPr>
        <w:t>prospects</w:t>
      </w:r>
      <w:r>
        <w:rPr>
          <w:spacing w:val="-6"/>
          <w:sz w:val="24"/>
        </w:rPr>
        <w:t> </w:t>
      </w:r>
      <w:r>
        <w:rPr>
          <w:sz w:val="24"/>
        </w:rPr>
        <w:t>for</w:t>
      </w:r>
      <w:r>
        <w:rPr>
          <w:spacing w:val="-7"/>
          <w:sz w:val="24"/>
        </w:rPr>
        <w:t> </w:t>
      </w:r>
      <w:r>
        <w:rPr>
          <w:sz w:val="24"/>
        </w:rPr>
        <w:t>inflation</w:t>
      </w:r>
      <w:r>
        <w:rPr>
          <w:spacing w:val="-7"/>
          <w:sz w:val="24"/>
        </w:rPr>
        <w:t> </w:t>
      </w:r>
      <w:r>
        <w:rPr>
          <w:sz w:val="24"/>
        </w:rPr>
        <w:t>were</w:t>
      </w:r>
      <w:r>
        <w:rPr>
          <w:spacing w:val="-6"/>
          <w:sz w:val="24"/>
        </w:rPr>
        <w:t> </w:t>
      </w:r>
      <w:r>
        <w:rPr>
          <w:sz w:val="24"/>
        </w:rPr>
        <w:t>one</w:t>
      </w:r>
      <w:r>
        <w:rPr>
          <w:spacing w:val="-7"/>
          <w:sz w:val="24"/>
        </w:rPr>
        <w:t> </w:t>
      </w:r>
      <w:r>
        <w:rPr>
          <w:sz w:val="24"/>
        </w:rPr>
        <w:t>of</w:t>
      </w:r>
      <w:r>
        <w:rPr>
          <w:spacing w:val="-7"/>
          <w:sz w:val="24"/>
        </w:rPr>
        <w:t> </w:t>
      </w:r>
      <w:r>
        <w:rPr>
          <w:sz w:val="24"/>
        </w:rPr>
        <w:t>those</w:t>
      </w:r>
      <w:r>
        <w:rPr>
          <w:spacing w:val="-6"/>
          <w:sz w:val="24"/>
        </w:rPr>
        <w:t> </w:t>
      </w:r>
      <w:r>
        <w:rPr>
          <w:sz w:val="24"/>
        </w:rPr>
        <w:t>paths</w:t>
      </w:r>
      <w:r>
        <w:rPr>
          <w:spacing w:val="-7"/>
          <w:sz w:val="24"/>
        </w:rPr>
        <w:t> </w:t>
      </w:r>
      <w:r>
        <w:rPr>
          <w:sz w:val="24"/>
        </w:rPr>
        <w:t>to</w:t>
      </w:r>
      <w:r>
        <w:rPr>
          <w:spacing w:val="-7"/>
          <w:sz w:val="24"/>
        </w:rPr>
        <w:t> </w:t>
      </w:r>
      <w:r>
        <w:rPr>
          <w:sz w:val="24"/>
        </w:rPr>
        <w:t>be</w:t>
      </w:r>
      <w:r>
        <w:rPr>
          <w:spacing w:val="-6"/>
          <w:sz w:val="24"/>
        </w:rPr>
        <w:t> </w:t>
      </w:r>
      <w:r>
        <w:rPr>
          <w:sz w:val="24"/>
        </w:rPr>
        <w:t>followed.</w:t>
      </w:r>
      <w:r>
        <w:rPr>
          <w:spacing w:val="49"/>
          <w:sz w:val="24"/>
        </w:rPr>
        <w:t> </w:t>
      </w:r>
      <w:r>
        <w:rPr>
          <w:sz w:val="24"/>
        </w:rPr>
        <w:t>They</w:t>
      </w:r>
      <w:r>
        <w:rPr>
          <w:spacing w:val="-7"/>
          <w:sz w:val="24"/>
        </w:rPr>
        <w:t> </w:t>
      </w:r>
      <w:r>
        <w:rPr>
          <w:sz w:val="24"/>
        </w:rPr>
        <w:t>could</w:t>
      </w:r>
      <w:r>
        <w:rPr>
          <w:spacing w:val="-7"/>
          <w:sz w:val="24"/>
        </w:rPr>
        <w:t> </w:t>
      </w:r>
      <w:r>
        <w:rPr>
          <w:sz w:val="24"/>
        </w:rPr>
        <w:t>imply</w:t>
      </w:r>
      <w:r>
        <w:rPr>
          <w:spacing w:val="-6"/>
          <w:sz w:val="24"/>
        </w:rPr>
        <w:t> </w:t>
      </w:r>
      <w:r>
        <w:rPr>
          <w:sz w:val="24"/>
        </w:rPr>
        <w:t>the</w:t>
      </w:r>
      <w:r>
        <w:rPr>
          <w:spacing w:val="-7"/>
          <w:sz w:val="24"/>
        </w:rPr>
        <w:t> </w:t>
      </w:r>
      <w:r>
        <w:rPr>
          <w:sz w:val="24"/>
        </w:rPr>
        <w:t>need for </w:t>
      </w:r>
      <w:r>
        <w:rPr>
          <w:spacing w:val="-3"/>
          <w:sz w:val="24"/>
        </w:rPr>
        <w:t>policy action, </w:t>
      </w:r>
      <w:r>
        <w:rPr>
          <w:sz w:val="24"/>
        </w:rPr>
        <w:t>but did not in </w:t>
      </w:r>
      <w:r>
        <w:rPr>
          <w:spacing w:val="-3"/>
          <w:sz w:val="24"/>
        </w:rPr>
        <w:t>themselves dictate mechanically precisely </w:t>
      </w:r>
      <w:r>
        <w:rPr>
          <w:sz w:val="24"/>
        </w:rPr>
        <w:t>by how </w:t>
      </w:r>
      <w:r>
        <w:rPr>
          <w:spacing w:val="-3"/>
          <w:sz w:val="24"/>
        </w:rPr>
        <w:t>much </w:t>
      </w:r>
      <w:r>
        <w:rPr>
          <w:sz w:val="24"/>
        </w:rPr>
        <w:t>or </w:t>
      </w:r>
      <w:r>
        <w:rPr>
          <w:spacing w:val="-3"/>
          <w:sz w:val="24"/>
        </w:rPr>
        <w:t>when official </w:t>
      </w:r>
      <w:r>
        <w:rPr>
          <w:sz w:val="24"/>
        </w:rPr>
        <w:t>interest rates should</w:t>
      </w:r>
      <w:r>
        <w:rPr>
          <w:spacing w:val="2"/>
          <w:sz w:val="24"/>
        </w:rPr>
        <w:t> </w:t>
      </w:r>
      <w:r>
        <w:rPr>
          <w:sz w:val="24"/>
        </w:rPr>
        <w:t>change.</w:t>
      </w:r>
    </w:p>
    <w:p>
      <w:pPr>
        <w:pStyle w:val="BodyText"/>
        <w:rPr>
          <w:sz w:val="32"/>
        </w:rPr>
      </w:pPr>
    </w:p>
    <w:p>
      <w:pPr>
        <w:pStyle w:val="ListParagraph"/>
        <w:numPr>
          <w:ilvl w:val="0"/>
          <w:numId w:val="1"/>
        </w:numPr>
        <w:tabs>
          <w:tab w:pos="506" w:val="left" w:leader="none"/>
        </w:tabs>
        <w:spacing w:line="321" w:lineRule="auto" w:before="0" w:after="0"/>
        <w:ind w:left="107" w:right="122" w:firstLine="0"/>
        <w:jc w:val="left"/>
        <w:rPr>
          <w:sz w:val="24"/>
        </w:rPr>
      </w:pPr>
      <w:r>
        <w:rPr>
          <w:sz w:val="24"/>
        </w:rPr>
        <w:t>The</w:t>
      </w:r>
      <w:r>
        <w:rPr>
          <w:spacing w:val="-8"/>
          <w:sz w:val="24"/>
        </w:rPr>
        <w:t> </w:t>
      </w:r>
      <w:r>
        <w:rPr>
          <w:sz w:val="24"/>
        </w:rPr>
        <w:t>third</w:t>
      </w:r>
      <w:r>
        <w:rPr>
          <w:spacing w:val="-7"/>
          <w:sz w:val="24"/>
        </w:rPr>
        <w:t> </w:t>
      </w:r>
      <w:r>
        <w:rPr>
          <w:sz w:val="24"/>
        </w:rPr>
        <w:t>issue</w:t>
      </w:r>
      <w:r>
        <w:rPr>
          <w:spacing w:val="-8"/>
          <w:sz w:val="24"/>
        </w:rPr>
        <w:t> </w:t>
      </w:r>
      <w:r>
        <w:rPr>
          <w:sz w:val="24"/>
        </w:rPr>
        <w:t>was</w:t>
      </w:r>
      <w:r>
        <w:rPr>
          <w:spacing w:val="-7"/>
          <w:sz w:val="24"/>
        </w:rPr>
        <w:t> </w:t>
      </w:r>
      <w:r>
        <w:rPr>
          <w:sz w:val="24"/>
        </w:rPr>
        <w:t>whether</w:t>
      </w:r>
      <w:r>
        <w:rPr>
          <w:spacing w:val="-8"/>
          <w:sz w:val="24"/>
        </w:rPr>
        <w:t> </w:t>
      </w:r>
      <w:r>
        <w:rPr>
          <w:sz w:val="24"/>
        </w:rPr>
        <w:t>the</w:t>
      </w:r>
      <w:r>
        <w:rPr>
          <w:spacing w:val="-7"/>
          <w:sz w:val="24"/>
        </w:rPr>
        <w:t> </w:t>
      </w:r>
      <w:r>
        <w:rPr>
          <w:sz w:val="24"/>
        </w:rPr>
        <w:t>existence</w:t>
      </w:r>
      <w:r>
        <w:rPr>
          <w:spacing w:val="-8"/>
          <w:sz w:val="24"/>
        </w:rPr>
        <w:t> </w:t>
      </w:r>
      <w:r>
        <w:rPr>
          <w:sz w:val="24"/>
        </w:rPr>
        <w:t>of</w:t>
      </w:r>
      <w:r>
        <w:rPr>
          <w:spacing w:val="-7"/>
          <w:sz w:val="24"/>
        </w:rPr>
        <w:t> </w:t>
      </w:r>
      <w:r>
        <w:rPr>
          <w:sz w:val="24"/>
        </w:rPr>
        <w:t>uncertainty,</w:t>
      </w:r>
      <w:r>
        <w:rPr>
          <w:spacing w:val="-8"/>
          <w:sz w:val="24"/>
        </w:rPr>
        <w:t> </w:t>
      </w:r>
      <w:r>
        <w:rPr>
          <w:sz w:val="24"/>
        </w:rPr>
        <w:t>or</w:t>
      </w:r>
      <w:r>
        <w:rPr>
          <w:spacing w:val="-7"/>
          <w:sz w:val="24"/>
        </w:rPr>
        <w:t> </w:t>
      </w:r>
      <w:r>
        <w:rPr>
          <w:sz w:val="24"/>
        </w:rPr>
        <w:t>the</w:t>
      </w:r>
      <w:r>
        <w:rPr>
          <w:spacing w:val="-8"/>
          <w:sz w:val="24"/>
        </w:rPr>
        <w:t> </w:t>
      </w:r>
      <w:r>
        <w:rPr>
          <w:sz w:val="24"/>
        </w:rPr>
        <w:t>nature</w:t>
      </w:r>
      <w:r>
        <w:rPr>
          <w:spacing w:val="-7"/>
          <w:sz w:val="24"/>
        </w:rPr>
        <w:t> </w:t>
      </w:r>
      <w:r>
        <w:rPr>
          <w:sz w:val="24"/>
        </w:rPr>
        <w:t>of</w:t>
      </w:r>
      <w:r>
        <w:rPr>
          <w:spacing w:val="-8"/>
          <w:sz w:val="24"/>
        </w:rPr>
        <w:t> </w:t>
      </w:r>
      <w:r>
        <w:rPr>
          <w:sz w:val="24"/>
        </w:rPr>
        <w:t>the</w:t>
      </w:r>
      <w:r>
        <w:rPr>
          <w:spacing w:val="-7"/>
          <w:sz w:val="24"/>
        </w:rPr>
        <w:t> </w:t>
      </w:r>
      <w:r>
        <w:rPr>
          <w:sz w:val="24"/>
        </w:rPr>
        <w:t>uncertainty</w:t>
      </w:r>
      <w:r>
        <w:rPr>
          <w:spacing w:val="-8"/>
          <w:sz w:val="24"/>
        </w:rPr>
        <w:t> </w:t>
      </w:r>
      <w:r>
        <w:rPr>
          <w:sz w:val="24"/>
        </w:rPr>
        <w:t>surrounding inflation, was a reason for delay in taking action that might otherwise seem warranted. Two views were expressed</w:t>
      </w:r>
      <w:r>
        <w:rPr>
          <w:spacing w:val="-8"/>
          <w:sz w:val="24"/>
        </w:rPr>
        <w:t> </w:t>
      </w:r>
      <w:r>
        <w:rPr>
          <w:sz w:val="24"/>
        </w:rPr>
        <w:t>on</w:t>
      </w:r>
      <w:r>
        <w:rPr>
          <w:spacing w:val="-7"/>
          <w:sz w:val="24"/>
        </w:rPr>
        <w:t> </w:t>
      </w:r>
      <w:r>
        <w:rPr>
          <w:sz w:val="24"/>
        </w:rPr>
        <w:t>this.</w:t>
      </w:r>
      <w:r>
        <w:rPr>
          <w:spacing w:val="48"/>
          <w:sz w:val="24"/>
        </w:rPr>
        <w:t> </w:t>
      </w:r>
      <w:r>
        <w:rPr>
          <w:sz w:val="24"/>
        </w:rPr>
        <w:t>The</w:t>
      </w:r>
      <w:r>
        <w:rPr>
          <w:spacing w:val="-7"/>
          <w:sz w:val="24"/>
        </w:rPr>
        <w:t> </w:t>
      </w:r>
      <w:r>
        <w:rPr>
          <w:sz w:val="24"/>
        </w:rPr>
        <w:t>first</w:t>
      </w:r>
      <w:r>
        <w:rPr>
          <w:spacing w:val="-7"/>
          <w:sz w:val="24"/>
        </w:rPr>
        <w:t> </w:t>
      </w:r>
      <w:r>
        <w:rPr>
          <w:sz w:val="24"/>
        </w:rPr>
        <w:t>was</w:t>
      </w:r>
      <w:r>
        <w:rPr>
          <w:spacing w:val="-7"/>
          <w:sz w:val="24"/>
        </w:rPr>
        <w:t> </w:t>
      </w:r>
      <w:r>
        <w:rPr>
          <w:sz w:val="24"/>
        </w:rPr>
        <w:t>that</w:t>
      </w:r>
      <w:r>
        <w:rPr>
          <w:spacing w:val="-8"/>
          <w:sz w:val="24"/>
        </w:rPr>
        <w:t> </w:t>
      </w:r>
      <w:r>
        <w:rPr>
          <w:sz w:val="24"/>
        </w:rPr>
        <w:t>policy</w:t>
      </w:r>
      <w:r>
        <w:rPr>
          <w:spacing w:val="-7"/>
          <w:sz w:val="24"/>
        </w:rPr>
        <w:t> </w:t>
      </w:r>
      <w:r>
        <w:rPr>
          <w:sz w:val="24"/>
        </w:rPr>
        <w:t>should</w:t>
      </w:r>
      <w:r>
        <w:rPr>
          <w:spacing w:val="-7"/>
          <w:sz w:val="24"/>
        </w:rPr>
        <w:t> </w:t>
      </w:r>
      <w:r>
        <w:rPr>
          <w:sz w:val="24"/>
        </w:rPr>
        <w:t>reflect</w:t>
      </w:r>
      <w:r>
        <w:rPr>
          <w:spacing w:val="-7"/>
          <w:sz w:val="24"/>
        </w:rPr>
        <w:t> </w:t>
      </w:r>
      <w:r>
        <w:rPr>
          <w:sz w:val="24"/>
        </w:rPr>
        <w:t>the</w:t>
      </w:r>
      <w:r>
        <w:rPr>
          <w:spacing w:val="-7"/>
          <w:sz w:val="24"/>
        </w:rPr>
        <w:t> </w:t>
      </w:r>
      <w:r>
        <w:rPr>
          <w:sz w:val="24"/>
        </w:rPr>
        <w:t>latest</w:t>
      </w:r>
      <w:r>
        <w:rPr>
          <w:spacing w:val="-8"/>
          <w:sz w:val="24"/>
        </w:rPr>
        <w:t> </w:t>
      </w:r>
      <w:r>
        <w:rPr>
          <w:sz w:val="24"/>
        </w:rPr>
        <w:t>news</w:t>
      </w:r>
      <w:r>
        <w:rPr>
          <w:spacing w:val="-7"/>
          <w:sz w:val="24"/>
        </w:rPr>
        <w:t> </w:t>
      </w:r>
      <w:r>
        <w:rPr>
          <w:sz w:val="24"/>
        </w:rPr>
        <w:t>and</w:t>
      </w:r>
      <w:r>
        <w:rPr>
          <w:spacing w:val="-7"/>
          <w:sz w:val="24"/>
        </w:rPr>
        <w:t> </w:t>
      </w:r>
      <w:r>
        <w:rPr>
          <w:sz w:val="24"/>
        </w:rPr>
        <w:t>that</w:t>
      </w:r>
      <w:r>
        <w:rPr>
          <w:spacing w:val="-7"/>
          <w:sz w:val="24"/>
        </w:rPr>
        <w:t> </w:t>
      </w:r>
      <w:r>
        <w:rPr>
          <w:sz w:val="24"/>
        </w:rPr>
        <w:t>uncertainty</w:t>
      </w:r>
      <w:r>
        <w:rPr>
          <w:spacing w:val="-7"/>
          <w:sz w:val="24"/>
        </w:rPr>
        <w:t> </w:t>
      </w:r>
      <w:r>
        <w:rPr>
          <w:sz w:val="24"/>
        </w:rPr>
        <w:t>in</w:t>
      </w:r>
      <w:r>
        <w:rPr>
          <w:spacing w:val="-8"/>
          <w:sz w:val="24"/>
        </w:rPr>
        <w:t> </w:t>
      </w:r>
      <w:r>
        <w:rPr>
          <w:sz w:val="24"/>
        </w:rPr>
        <w:t>itself</w:t>
      </w:r>
      <w:r>
        <w:rPr>
          <w:spacing w:val="-7"/>
          <w:sz w:val="24"/>
        </w:rPr>
        <w:t> </w:t>
      </w:r>
      <w:r>
        <w:rPr>
          <w:spacing w:val="-2"/>
          <w:sz w:val="24"/>
        </w:rPr>
        <w:t>was </w:t>
      </w:r>
      <w:r>
        <w:rPr>
          <w:sz w:val="24"/>
        </w:rPr>
        <w:t>no reason for delay. The second was that there might be particular cases, where the implied need was </w:t>
      </w:r>
      <w:r>
        <w:rPr>
          <w:spacing w:val="-2"/>
          <w:sz w:val="24"/>
        </w:rPr>
        <w:t>for </w:t>
      </w:r>
      <w:r>
        <w:rPr>
          <w:spacing w:val="-3"/>
          <w:sz w:val="24"/>
        </w:rPr>
        <w:t>only </w:t>
      </w:r>
      <w:r>
        <w:rPr>
          <w:sz w:val="24"/>
        </w:rPr>
        <w:t>a </w:t>
      </w:r>
      <w:r>
        <w:rPr>
          <w:spacing w:val="-3"/>
          <w:sz w:val="24"/>
        </w:rPr>
        <w:t>small interest rate change, when </w:t>
      </w:r>
      <w:r>
        <w:rPr>
          <w:sz w:val="24"/>
        </w:rPr>
        <w:t>the </w:t>
      </w:r>
      <w:r>
        <w:rPr>
          <w:spacing w:val="-3"/>
          <w:sz w:val="24"/>
        </w:rPr>
        <w:t>cost </w:t>
      </w:r>
      <w:r>
        <w:rPr>
          <w:sz w:val="24"/>
        </w:rPr>
        <w:t>of a </w:t>
      </w:r>
      <w:r>
        <w:rPr>
          <w:spacing w:val="-3"/>
          <w:sz w:val="24"/>
        </w:rPr>
        <w:t>short delay would </w:t>
      </w:r>
      <w:r>
        <w:rPr>
          <w:sz w:val="24"/>
        </w:rPr>
        <w:t>be </w:t>
      </w:r>
      <w:r>
        <w:rPr>
          <w:spacing w:val="-3"/>
          <w:sz w:val="24"/>
        </w:rPr>
        <w:t>small </w:t>
      </w:r>
      <w:r>
        <w:rPr>
          <w:sz w:val="24"/>
        </w:rPr>
        <w:t>and new </w:t>
      </w:r>
      <w:r>
        <w:rPr>
          <w:spacing w:val="-3"/>
          <w:sz w:val="24"/>
        </w:rPr>
        <w:t>information  </w:t>
      </w:r>
      <w:r>
        <w:rPr>
          <w:sz w:val="24"/>
        </w:rPr>
        <w:t>might give more confidence about the need for the change, or not. In those circumstances a delay could be warranted to reduce the risk of unnecessary reversals of</w:t>
      </w:r>
      <w:r>
        <w:rPr>
          <w:spacing w:val="-3"/>
          <w:sz w:val="24"/>
        </w:rPr>
        <w:t> </w:t>
      </w:r>
      <w:r>
        <w:rPr>
          <w:sz w:val="24"/>
        </w:rPr>
        <w:t>policy.</w:t>
      </w:r>
    </w:p>
    <w:p>
      <w:pPr>
        <w:pStyle w:val="BodyText"/>
        <w:rPr>
          <w:sz w:val="32"/>
        </w:rPr>
      </w:pPr>
    </w:p>
    <w:p>
      <w:pPr>
        <w:pStyle w:val="ListParagraph"/>
        <w:numPr>
          <w:ilvl w:val="0"/>
          <w:numId w:val="1"/>
        </w:numPr>
        <w:tabs>
          <w:tab w:pos="506" w:val="left" w:leader="none"/>
        </w:tabs>
        <w:spacing w:line="321" w:lineRule="auto" w:before="0" w:after="0"/>
        <w:ind w:left="107" w:right="189" w:firstLine="0"/>
        <w:jc w:val="left"/>
        <w:rPr>
          <w:sz w:val="24"/>
        </w:rPr>
      </w:pPr>
      <w:r>
        <w:rPr>
          <w:sz w:val="24"/>
        </w:rPr>
        <w:t>A further issue was the optimal frequency of changes in interest rates. In particular, members discussed whether there were costs to rapid reversals of policy; eg cutting rates very shortly after </w:t>
      </w:r>
      <w:r>
        <w:rPr>
          <w:spacing w:val="-2"/>
          <w:sz w:val="24"/>
        </w:rPr>
        <w:t>having </w:t>
      </w:r>
      <w:r>
        <w:rPr>
          <w:sz w:val="24"/>
        </w:rPr>
        <w:t>raised them. On one view such reversals could be misunderstood, creating uncertainty both in financial </w:t>
      </w:r>
      <w:r>
        <w:rPr>
          <w:spacing w:val="-3"/>
          <w:sz w:val="24"/>
        </w:rPr>
        <w:t>markets </w:t>
      </w:r>
      <w:r>
        <w:rPr>
          <w:sz w:val="24"/>
        </w:rPr>
        <w:t>and in the </w:t>
      </w:r>
      <w:r>
        <w:rPr>
          <w:spacing w:val="-3"/>
          <w:sz w:val="24"/>
        </w:rPr>
        <w:t>wider economy </w:t>
      </w:r>
      <w:r>
        <w:rPr>
          <w:sz w:val="24"/>
        </w:rPr>
        <w:t>and </w:t>
      </w:r>
      <w:r>
        <w:rPr>
          <w:spacing w:val="-3"/>
          <w:sz w:val="24"/>
        </w:rPr>
        <w:t>damaging </w:t>
      </w:r>
      <w:r>
        <w:rPr>
          <w:sz w:val="24"/>
        </w:rPr>
        <w:t>the </w:t>
      </w:r>
      <w:r>
        <w:rPr>
          <w:spacing w:val="-3"/>
          <w:sz w:val="24"/>
        </w:rPr>
        <w:t>credibility </w:t>
      </w:r>
      <w:r>
        <w:rPr>
          <w:sz w:val="24"/>
        </w:rPr>
        <w:t>of the MPC </w:t>
      </w:r>
      <w:r>
        <w:rPr>
          <w:spacing w:val="-3"/>
          <w:sz w:val="24"/>
        </w:rPr>
        <w:t>process. </w:t>
      </w:r>
      <w:r>
        <w:rPr>
          <w:sz w:val="24"/>
        </w:rPr>
        <w:t>An </w:t>
      </w:r>
      <w:r>
        <w:rPr>
          <w:spacing w:val="-3"/>
          <w:sz w:val="24"/>
        </w:rPr>
        <w:t>alternative view </w:t>
      </w:r>
      <w:r>
        <w:rPr>
          <w:sz w:val="24"/>
        </w:rPr>
        <w:t>was </w:t>
      </w:r>
      <w:r>
        <w:rPr>
          <w:spacing w:val="-3"/>
          <w:sz w:val="24"/>
        </w:rPr>
        <w:t>that this position </w:t>
      </w:r>
      <w:r>
        <w:rPr>
          <w:sz w:val="24"/>
        </w:rPr>
        <w:t>was </w:t>
      </w:r>
      <w:r>
        <w:rPr>
          <w:spacing w:val="-3"/>
          <w:sz w:val="24"/>
        </w:rPr>
        <w:t>irrational. </w:t>
      </w:r>
      <w:r>
        <w:rPr>
          <w:sz w:val="24"/>
        </w:rPr>
        <w:t>So </w:t>
      </w:r>
      <w:r>
        <w:rPr>
          <w:spacing w:val="-3"/>
          <w:sz w:val="24"/>
        </w:rPr>
        <w:t>long </w:t>
      </w:r>
      <w:r>
        <w:rPr>
          <w:sz w:val="24"/>
        </w:rPr>
        <w:t>as any </w:t>
      </w:r>
      <w:r>
        <w:rPr>
          <w:spacing w:val="-3"/>
          <w:sz w:val="24"/>
        </w:rPr>
        <w:t>policy reversals could </w:t>
      </w:r>
      <w:r>
        <w:rPr>
          <w:sz w:val="24"/>
        </w:rPr>
        <w:t>be </w:t>
      </w:r>
      <w:r>
        <w:rPr>
          <w:spacing w:val="-3"/>
          <w:sz w:val="24"/>
        </w:rPr>
        <w:t>properly explained </w:t>
      </w:r>
      <w:r>
        <w:rPr>
          <w:sz w:val="24"/>
        </w:rPr>
        <w:t>by </w:t>
      </w:r>
      <w:r>
        <w:rPr>
          <w:spacing w:val="-3"/>
          <w:sz w:val="24"/>
        </w:rPr>
        <w:t>new </w:t>
      </w:r>
      <w:r>
        <w:rPr>
          <w:sz w:val="24"/>
        </w:rPr>
        <w:t>developments or improved analysis of the outlook, they need not create confusion about policy goals or the</w:t>
      </w:r>
      <w:r>
        <w:rPr>
          <w:spacing w:val="-7"/>
          <w:sz w:val="24"/>
        </w:rPr>
        <w:t> </w:t>
      </w:r>
      <w:r>
        <w:rPr>
          <w:sz w:val="24"/>
        </w:rPr>
        <w:t>MPC’s</w:t>
      </w:r>
      <w:r>
        <w:rPr>
          <w:spacing w:val="-7"/>
          <w:sz w:val="24"/>
        </w:rPr>
        <w:t> </w:t>
      </w:r>
      <w:r>
        <w:rPr>
          <w:sz w:val="24"/>
        </w:rPr>
        <w:t>approach.</w:t>
      </w:r>
      <w:r>
        <w:rPr>
          <w:spacing w:val="49"/>
          <w:sz w:val="24"/>
        </w:rPr>
        <w:t> </w:t>
      </w:r>
      <w:r>
        <w:rPr>
          <w:sz w:val="24"/>
        </w:rPr>
        <w:t>On</w:t>
      </w:r>
      <w:r>
        <w:rPr>
          <w:spacing w:val="-6"/>
          <w:sz w:val="24"/>
        </w:rPr>
        <w:t> </w:t>
      </w:r>
      <w:r>
        <w:rPr>
          <w:sz w:val="24"/>
        </w:rPr>
        <w:t>that</w:t>
      </w:r>
      <w:r>
        <w:rPr>
          <w:spacing w:val="-7"/>
          <w:sz w:val="24"/>
        </w:rPr>
        <w:t> </w:t>
      </w:r>
      <w:r>
        <w:rPr>
          <w:sz w:val="24"/>
        </w:rPr>
        <w:t>view,</w:t>
      </w:r>
      <w:r>
        <w:rPr>
          <w:spacing w:val="-7"/>
          <w:sz w:val="24"/>
        </w:rPr>
        <w:t> </w:t>
      </w:r>
      <w:r>
        <w:rPr>
          <w:sz w:val="24"/>
        </w:rPr>
        <w:t>there</w:t>
      </w:r>
      <w:r>
        <w:rPr>
          <w:spacing w:val="-6"/>
          <w:sz w:val="24"/>
        </w:rPr>
        <w:t> </w:t>
      </w:r>
      <w:r>
        <w:rPr>
          <w:sz w:val="24"/>
        </w:rPr>
        <w:t>were</w:t>
      </w:r>
      <w:r>
        <w:rPr>
          <w:spacing w:val="-7"/>
          <w:sz w:val="24"/>
        </w:rPr>
        <w:t> </w:t>
      </w:r>
      <w:r>
        <w:rPr>
          <w:sz w:val="24"/>
        </w:rPr>
        <w:t>no</w:t>
      </w:r>
      <w:r>
        <w:rPr>
          <w:spacing w:val="-7"/>
          <w:sz w:val="24"/>
        </w:rPr>
        <w:t> </w:t>
      </w:r>
      <w:r>
        <w:rPr>
          <w:sz w:val="24"/>
        </w:rPr>
        <w:t>benefits</w:t>
      </w:r>
      <w:r>
        <w:rPr>
          <w:spacing w:val="-7"/>
          <w:sz w:val="24"/>
        </w:rPr>
        <w:t> </w:t>
      </w:r>
      <w:r>
        <w:rPr>
          <w:sz w:val="24"/>
        </w:rPr>
        <w:t>in</w:t>
      </w:r>
      <w:r>
        <w:rPr>
          <w:spacing w:val="-6"/>
          <w:sz w:val="24"/>
        </w:rPr>
        <w:t> </w:t>
      </w:r>
      <w:r>
        <w:rPr>
          <w:sz w:val="24"/>
        </w:rPr>
        <w:t>delaying</w:t>
      </w:r>
      <w:r>
        <w:rPr>
          <w:spacing w:val="-7"/>
          <w:sz w:val="24"/>
        </w:rPr>
        <w:t> </w:t>
      </w:r>
      <w:r>
        <w:rPr>
          <w:sz w:val="24"/>
        </w:rPr>
        <w:t>changes</w:t>
      </w:r>
      <w:r>
        <w:rPr>
          <w:spacing w:val="-7"/>
          <w:sz w:val="24"/>
        </w:rPr>
        <w:t> </w:t>
      </w:r>
      <w:r>
        <w:rPr>
          <w:sz w:val="24"/>
        </w:rPr>
        <w:t>in</w:t>
      </w:r>
      <w:r>
        <w:rPr>
          <w:spacing w:val="-6"/>
          <w:sz w:val="24"/>
        </w:rPr>
        <w:t> </w:t>
      </w:r>
      <w:r>
        <w:rPr>
          <w:sz w:val="24"/>
        </w:rPr>
        <w:t>rates</w:t>
      </w:r>
      <w:r>
        <w:rPr>
          <w:spacing w:val="-7"/>
          <w:sz w:val="24"/>
        </w:rPr>
        <w:t> </w:t>
      </w:r>
      <w:r>
        <w:rPr>
          <w:sz w:val="24"/>
        </w:rPr>
        <w:t>to</w:t>
      </w:r>
      <w:r>
        <w:rPr>
          <w:spacing w:val="-7"/>
          <w:sz w:val="24"/>
        </w:rPr>
        <w:t> </w:t>
      </w:r>
      <w:r>
        <w:rPr>
          <w:sz w:val="24"/>
        </w:rPr>
        <w:t>reduce</w:t>
      </w:r>
      <w:r>
        <w:rPr>
          <w:spacing w:val="-7"/>
          <w:sz w:val="24"/>
        </w:rPr>
        <w:t> </w:t>
      </w:r>
      <w:r>
        <w:rPr>
          <w:sz w:val="24"/>
        </w:rPr>
        <w:t>the</w:t>
      </w:r>
      <w:r>
        <w:rPr>
          <w:spacing w:val="-6"/>
          <w:sz w:val="24"/>
        </w:rPr>
        <w:t> </w:t>
      </w:r>
      <w:r>
        <w:rPr>
          <w:sz w:val="24"/>
        </w:rPr>
        <w:t>risk of reversals, and it was better to make changes as soon as they appeared necessary. Also, the desire to </w:t>
      </w:r>
      <w:r>
        <w:rPr>
          <w:spacing w:val="-3"/>
          <w:sz w:val="24"/>
        </w:rPr>
        <w:t>minimise </w:t>
      </w:r>
      <w:r>
        <w:rPr>
          <w:sz w:val="24"/>
        </w:rPr>
        <w:t>the </w:t>
      </w:r>
      <w:r>
        <w:rPr>
          <w:spacing w:val="-3"/>
          <w:sz w:val="24"/>
        </w:rPr>
        <w:t>risk </w:t>
      </w:r>
      <w:r>
        <w:rPr>
          <w:sz w:val="24"/>
        </w:rPr>
        <w:t>of </w:t>
      </w:r>
      <w:r>
        <w:rPr>
          <w:spacing w:val="-3"/>
          <w:sz w:val="24"/>
        </w:rPr>
        <w:t>policy reversals </w:t>
      </w:r>
      <w:r>
        <w:rPr>
          <w:sz w:val="24"/>
        </w:rPr>
        <w:t>was </w:t>
      </w:r>
      <w:r>
        <w:rPr>
          <w:spacing w:val="-3"/>
          <w:sz w:val="24"/>
        </w:rPr>
        <w:t>likely </w:t>
      </w:r>
      <w:r>
        <w:rPr>
          <w:sz w:val="24"/>
        </w:rPr>
        <w:t>to </w:t>
      </w:r>
      <w:r>
        <w:rPr>
          <w:spacing w:val="-3"/>
          <w:sz w:val="24"/>
        </w:rPr>
        <w:t>mean that interest rate changes would, </w:t>
      </w:r>
      <w:r>
        <w:rPr>
          <w:sz w:val="24"/>
        </w:rPr>
        <w:t>on </w:t>
      </w:r>
      <w:r>
        <w:rPr>
          <w:spacing w:val="-3"/>
          <w:sz w:val="24"/>
        </w:rPr>
        <w:t>average, be </w:t>
      </w:r>
      <w:r>
        <w:rPr>
          <w:sz w:val="24"/>
        </w:rPr>
        <w:t>made too</w:t>
      </w:r>
      <w:r>
        <w:rPr>
          <w:spacing w:val="4"/>
          <w:sz w:val="24"/>
        </w:rPr>
        <w:t> </w:t>
      </w:r>
      <w:r>
        <w:rPr>
          <w:sz w:val="24"/>
        </w:rPr>
        <w:t>late.</w:t>
      </w:r>
    </w:p>
    <w:p>
      <w:pPr>
        <w:pStyle w:val="BodyText"/>
        <w:spacing w:before="4"/>
        <w:rPr>
          <w:sz w:val="32"/>
        </w:rPr>
      </w:pPr>
    </w:p>
    <w:p>
      <w:pPr>
        <w:pStyle w:val="Heading1"/>
        <w:spacing w:before="1"/>
      </w:pPr>
      <w:r>
        <w:rPr/>
        <w:t>The immediate policy decision</w:t>
      </w:r>
    </w:p>
    <w:p>
      <w:pPr>
        <w:pStyle w:val="BodyText"/>
        <w:rPr>
          <w:b/>
          <w:sz w:val="26"/>
        </w:rPr>
      </w:pPr>
    </w:p>
    <w:p>
      <w:pPr>
        <w:pStyle w:val="ListParagraph"/>
        <w:numPr>
          <w:ilvl w:val="0"/>
          <w:numId w:val="1"/>
        </w:numPr>
        <w:tabs>
          <w:tab w:pos="506" w:val="left" w:leader="none"/>
        </w:tabs>
        <w:spacing w:line="321" w:lineRule="auto" w:before="159" w:after="0"/>
        <w:ind w:left="107" w:right="189" w:firstLine="0"/>
        <w:jc w:val="both"/>
        <w:rPr>
          <w:sz w:val="24"/>
        </w:rPr>
      </w:pPr>
      <w:r>
        <w:rPr>
          <w:sz w:val="24"/>
        </w:rPr>
        <w:t>The Committee discussed its immediate decision about interest rates. Against the background of </w:t>
      </w:r>
      <w:r>
        <w:rPr>
          <w:spacing w:val="-2"/>
          <w:sz w:val="24"/>
        </w:rPr>
        <w:t>the </w:t>
      </w:r>
      <w:r>
        <w:rPr>
          <w:sz w:val="24"/>
        </w:rPr>
        <w:t>Committee’s</w:t>
      </w:r>
      <w:r>
        <w:rPr>
          <w:spacing w:val="-8"/>
          <w:sz w:val="24"/>
        </w:rPr>
        <w:t> </w:t>
      </w:r>
      <w:r>
        <w:rPr>
          <w:sz w:val="24"/>
        </w:rPr>
        <w:t>assessment</w:t>
      </w:r>
      <w:r>
        <w:rPr>
          <w:spacing w:val="-7"/>
          <w:sz w:val="24"/>
        </w:rPr>
        <w:t> </w:t>
      </w:r>
      <w:r>
        <w:rPr>
          <w:sz w:val="24"/>
        </w:rPr>
        <w:t>that</w:t>
      </w:r>
      <w:r>
        <w:rPr>
          <w:spacing w:val="-8"/>
          <w:sz w:val="24"/>
        </w:rPr>
        <w:t> </w:t>
      </w:r>
      <w:r>
        <w:rPr>
          <w:sz w:val="24"/>
        </w:rPr>
        <w:t>there</w:t>
      </w:r>
      <w:r>
        <w:rPr>
          <w:spacing w:val="-7"/>
          <w:sz w:val="24"/>
        </w:rPr>
        <w:t> </w:t>
      </w:r>
      <w:r>
        <w:rPr>
          <w:sz w:val="24"/>
        </w:rPr>
        <w:t>had</w:t>
      </w:r>
      <w:r>
        <w:rPr>
          <w:spacing w:val="-8"/>
          <w:sz w:val="24"/>
        </w:rPr>
        <w:t> </w:t>
      </w:r>
      <w:r>
        <w:rPr>
          <w:sz w:val="24"/>
        </w:rPr>
        <w:t>been</w:t>
      </w:r>
      <w:r>
        <w:rPr>
          <w:spacing w:val="-7"/>
          <w:sz w:val="24"/>
        </w:rPr>
        <w:t> </w:t>
      </w:r>
      <w:r>
        <w:rPr>
          <w:sz w:val="24"/>
        </w:rPr>
        <w:t>only</w:t>
      </w:r>
      <w:r>
        <w:rPr>
          <w:spacing w:val="-8"/>
          <w:sz w:val="24"/>
        </w:rPr>
        <w:t> </w:t>
      </w:r>
      <w:r>
        <w:rPr>
          <w:sz w:val="24"/>
        </w:rPr>
        <w:t>a</w:t>
      </w:r>
      <w:r>
        <w:rPr>
          <w:spacing w:val="-7"/>
          <w:sz w:val="24"/>
        </w:rPr>
        <w:t> </w:t>
      </w:r>
      <w:r>
        <w:rPr>
          <w:sz w:val="24"/>
        </w:rPr>
        <w:t>modest</w:t>
      </w:r>
      <w:r>
        <w:rPr>
          <w:spacing w:val="-7"/>
          <w:sz w:val="24"/>
        </w:rPr>
        <w:t> </w:t>
      </w:r>
      <w:r>
        <w:rPr>
          <w:sz w:val="24"/>
        </w:rPr>
        <w:t>amount</w:t>
      </w:r>
      <w:r>
        <w:rPr>
          <w:spacing w:val="-8"/>
          <w:sz w:val="24"/>
        </w:rPr>
        <w:t> </w:t>
      </w:r>
      <w:r>
        <w:rPr>
          <w:sz w:val="24"/>
        </w:rPr>
        <w:t>of</w:t>
      </w:r>
      <w:r>
        <w:rPr>
          <w:spacing w:val="-7"/>
          <w:sz w:val="24"/>
        </w:rPr>
        <w:t> </w:t>
      </w:r>
      <w:r>
        <w:rPr>
          <w:sz w:val="24"/>
        </w:rPr>
        <w:t>news</w:t>
      </w:r>
      <w:r>
        <w:rPr>
          <w:spacing w:val="-8"/>
          <w:sz w:val="24"/>
        </w:rPr>
        <w:t> </w:t>
      </w:r>
      <w:r>
        <w:rPr>
          <w:sz w:val="24"/>
        </w:rPr>
        <w:t>since</w:t>
      </w:r>
      <w:r>
        <w:rPr>
          <w:spacing w:val="-7"/>
          <w:sz w:val="24"/>
        </w:rPr>
        <w:t> </w:t>
      </w:r>
      <w:r>
        <w:rPr>
          <w:sz w:val="24"/>
        </w:rPr>
        <w:t>it</w:t>
      </w:r>
      <w:r>
        <w:rPr>
          <w:spacing w:val="-8"/>
          <w:sz w:val="24"/>
        </w:rPr>
        <w:t> </w:t>
      </w:r>
      <w:r>
        <w:rPr>
          <w:sz w:val="24"/>
        </w:rPr>
        <w:t>finalised</w:t>
      </w:r>
      <w:r>
        <w:rPr>
          <w:spacing w:val="-7"/>
          <w:sz w:val="24"/>
        </w:rPr>
        <w:t> </w:t>
      </w:r>
      <w:r>
        <w:rPr>
          <w:sz w:val="24"/>
        </w:rPr>
        <w:t>the</w:t>
      </w:r>
      <w:r>
        <w:rPr>
          <w:spacing w:val="-8"/>
          <w:sz w:val="24"/>
        </w:rPr>
        <w:t> </w:t>
      </w:r>
      <w:r>
        <w:rPr>
          <w:spacing w:val="-4"/>
          <w:sz w:val="24"/>
        </w:rPr>
        <w:t>February </w:t>
      </w:r>
      <w:r>
        <w:rPr>
          <w:sz w:val="24"/>
        </w:rPr>
        <w:t>Inflation Report, the considerations were broadly the same as at its 4-5 February</w:t>
      </w:r>
      <w:r>
        <w:rPr>
          <w:spacing w:val="-31"/>
          <w:sz w:val="24"/>
        </w:rPr>
        <w:t> </w:t>
      </w:r>
      <w:r>
        <w:rPr>
          <w:sz w:val="24"/>
        </w:rPr>
        <w:t>meeting.</w:t>
      </w:r>
    </w:p>
    <w:p>
      <w:pPr>
        <w:spacing w:after="0" w:line="321" w:lineRule="auto"/>
        <w:jc w:val="both"/>
        <w:rPr>
          <w:sz w:val="24"/>
        </w:rPr>
        <w:sectPr>
          <w:pgSz w:w="11900" w:h="16840"/>
          <w:pgMar w:header="753" w:footer="0" w:top="1040" w:bottom="280" w:left="800" w:right="780"/>
        </w:sectPr>
      </w:pPr>
    </w:p>
    <w:p>
      <w:pPr>
        <w:pStyle w:val="BodyText"/>
        <w:spacing w:before="1"/>
        <w:rPr>
          <w:sz w:val="14"/>
        </w:rPr>
      </w:pPr>
    </w:p>
    <w:p>
      <w:pPr>
        <w:pStyle w:val="ListParagraph"/>
        <w:numPr>
          <w:ilvl w:val="0"/>
          <w:numId w:val="1"/>
        </w:numPr>
        <w:tabs>
          <w:tab w:pos="506" w:val="left" w:leader="none"/>
        </w:tabs>
        <w:spacing w:line="321" w:lineRule="auto" w:before="90" w:after="0"/>
        <w:ind w:left="107" w:right="194" w:firstLine="0"/>
        <w:jc w:val="left"/>
        <w:rPr>
          <w:sz w:val="24"/>
        </w:rPr>
      </w:pPr>
      <w:r>
        <w:rPr>
          <w:sz w:val="24"/>
        </w:rPr>
        <w:t>A number of arguments were advanced for an interest rate increase now. First, on one view it </w:t>
      </w:r>
      <w:r>
        <w:rPr>
          <w:spacing w:val="-2"/>
          <w:sz w:val="24"/>
        </w:rPr>
        <w:t>was </w:t>
      </w:r>
      <w:r>
        <w:rPr>
          <w:sz w:val="24"/>
        </w:rPr>
        <w:t>more likely than not that the level of output was above trend, and the level of unemployment below </w:t>
      </w:r>
      <w:r>
        <w:rPr>
          <w:spacing w:val="-2"/>
          <w:sz w:val="24"/>
        </w:rPr>
        <w:t>the </w:t>
      </w:r>
      <w:r>
        <w:rPr>
          <w:sz w:val="24"/>
        </w:rPr>
        <w:t>natural</w:t>
      </w:r>
      <w:r>
        <w:rPr>
          <w:spacing w:val="-10"/>
          <w:sz w:val="24"/>
        </w:rPr>
        <w:t> </w:t>
      </w:r>
      <w:r>
        <w:rPr>
          <w:sz w:val="24"/>
        </w:rPr>
        <w:t>rate.</w:t>
      </w:r>
      <w:r>
        <w:rPr>
          <w:spacing w:val="44"/>
          <w:sz w:val="24"/>
        </w:rPr>
        <w:t> </w:t>
      </w:r>
      <w:r>
        <w:rPr>
          <w:sz w:val="24"/>
        </w:rPr>
        <w:t>While</w:t>
      </w:r>
      <w:r>
        <w:rPr>
          <w:spacing w:val="-9"/>
          <w:sz w:val="24"/>
        </w:rPr>
        <w:t> </w:t>
      </w:r>
      <w:r>
        <w:rPr>
          <w:sz w:val="24"/>
        </w:rPr>
        <w:t>earnings</w:t>
      </w:r>
      <w:r>
        <w:rPr>
          <w:spacing w:val="-9"/>
          <w:sz w:val="24"/>
        </w:rPr>
        <w:t> </w:t>
      </w:r>
      <w:r>
        <w:rPr>
          <w:sz w:val="24"/>
        </w:rPr>
        <w:t>growth</w:t>
      </w:r>
      <w:r>
        <w:rPr>
          <w:spacing w:val="-9"/>
          <w:sz w:val="24"/>
        </w:rPr>
        <w:t> </w:t>
      </w:r>
      <w:r>
        <w:rPr>
          <w:sz w:val="24"/>
        </w:rPr>
        <w:t>was</w:t>
      </w:r>
      <w:r>
        <w:rPr>
          <w:spacing w:val="-9"/>
          <w:sz w:val="24"/>
        </w:rPr>
        <w:t> </w:t>
      </w:r>
      <w:r>
        <w:rPr>
          <w:sz w:val="24"/>
        </w:rPr>
        <w:t>still</w:t>
      </w:r>
      <w:r>
        <w:rPr>
          <w:spacing w:val="-10"/>
          <w:sz w:val="24"/>
        </w:rPr>
        <w:t> </w:t>
      </w:r>
      <w:r>
        <w:rPr>
          <w:sz w:val="24"/>
        </w:rPr>
        <w:t>just</w:t>
      </w:r>
      <w:r>
        <w:rPr>
          <w:spacing w:val="-9"/>
          <w:sz w:val="24"/>
        </w:rPr>
        <w:t> </w:t>
      </w:r>
      <w:r>
        <w:rPr>
          <w:sz w:val="24"/>
        </w:rPr>
        <w:t>about</w:t>
      </w:r>
      <w:r>
        <w:rPr>
          <w:spacing w:val="-9"/>
          <w:sz w:val="24"/>
        </w:rPr>
        <w:t> </w:t>
      </w:r>
      <w:r>
        <w:rPr>
          <w:sz w:val="24"/>
        </w:rPr>
        <w:t>consistent</w:t>
      </w:r>
      <w:r>
        <w:rPr>
          <w:spacing w:val="-9"/>
          <w:sz w:val="24"/>
        </w:rPr>
        <w:t> </w:t>
      </w:r>
      <w:r>
        <w:rPr>
          <w:sz w:val="24"/>
        </w:rPr>
        <w:t>with</w:t>
      </w:r>
      <w:r>
        <w:rPr>
          <w:spacing w:val="-9"/>
          <w:sz w:val="24"/>
        </w:rPr>
        <w:t> </w:t>
      </w:r>
      <w:r>
        <w:rPr>
          <w:sz w:val="24"/>
        </w:rPr>
        <w:t>the</w:t>
      </w:r>
      <w:r>
        <w:rPr>
          <w:spacing w:val="-10"/>
          <w:sz w:val="24"/>
        </w:rPr>
        <w:t> </w:t>
      </w:r>
      <w:r>
        <w:rPr>
          <w:sz w:val="24"/>
        </w:rPr>
        <w:t>inflation</w:t>
      </w:r>
      <w:r>
        <w:rPr>
          <w:spacing w:val="-9"/>
          <w:sz w:val="24"/>
        </w:rPr>
        <w:t> </w:t>
      </w:r>
      <w:r>
        <w:rPr>
          <w:sz w:val="24"/>
        </w:rPr>
        <w:t>target,</w:t>
      </w:r>
      <w:r>
        <w:rPr>
          <w:spacing w:val="-9"/>
          <w:sz w:val="24"/>
        </w:rPr>
        <w:t> </w:t>
      </w:r>
      <w:r>
        <w:rPr>
          <w:sz w:val="24"/>
        </w:rPr>
        <w:t>earnings</w:t>
      </w:r>
      <w:r>
        <w:rPr>
          <w:spacing w:val="-9"/>
          <w:sz w:val="24"/>
        </w:rPr>
        <w:t> </w:t>
      </w:r>
      <w:r>
        <w:rPr>
          <w:sz w:val="24"/>
        </w:rPr>
        <w:t>were a lagging indicator of tightness. It was necessary - however difficult - to take a view on where </w:t>
      </w:r>
      <w:r>
        <w:rPr>
          <w:spacing w:val="-2"/>
          <w:sz w:val="24"/>
        </w:rPr>
        <w:t>the </w:t>
      </w:r>
      <w:r>
        <w:rPr>
          <w:sz w:val="24"/>
        </w:rPr>
        <w:t>economy was in relation to trend. Personal sector demand seemed to remain robust, so there was </w:t>
      </w:r>
      <w:r>
        <w:rPr>
          <w:spacing w:val="-2"/>
          <w:sz w:val="24"/>
        </w:rPr>
        <w:t>little </w:t>
      </w:r>
      <w:r>
        <w:rPr>
          <w:sz w:val="24"/>
        </w:rPr>
        <w:t>sign of the level of output returning to trend quickly. On the view that the level of activity was above </w:t>
      </w:r>
      <w:r>
        <w:rPr>
          <w:spacing w:val="-2"/>
          <w:sz w:val="24"/>
        </w:rPr>
        <w:t>its </w:t>
      </w:r>
      <w:r>
        <w:rPr>
          <w:sz w:val="24"/>
        </w:rPr>
        <w:t>capacity level, steps therefore needed to be taken to reduce output growth below trend for a period. The current policy setting should bring output back in line with trend over a period but the slowdown </w:t>
      </w:r>
      <w:r>
        <w:rPr>
          <w:spacing w:val="-2"/>
          <w:sz w:val="24"/>
        </w:rPr>
        <w:t>was </w:t>
      </w:r>
      <w:r>
        <w:rPr>
          <w:spacing w:val="-3"/>
          <w:sz w:val="24"/>
        </w:rPr>
        <w:t>unlikely </w:t>
      </w:r>
      <w:r>
        <w:rPr>
          <w:sz w:val="24"/>
        </w:rPr>
        <w:t>to be </w:t>
      </w:r>
      <w:r>
        <w:rPr>
          <w:spacing w:val="-3"/>
          <w:sz w:val="24"/>
        </w:rPr>
        <w:t>sufficient </w:t>
      </w:r>
      <w:r>
        <w:rPr>
          <w:sz w:val="24"/>
        </w:rPr>
        <w:t>to </w:t>
      </w:r>
      <w:r>
        <w:rPr>
          <w:spacing w:val="-3"/>
          <w:sz w:val="24"/>
        </w:rPr>
        <w:t>avoid inflation rising above </w:t>
      </w:r>
      <w:r>
        <w:rPr>
          <w:sz w:val="24"/>
        </w:rPr>
        <w:t>the </w:t>
      </w:r>
      <w:r>
        <w:rPr>
          <w:spacing w:val="-3"/>
          <w:sz w:val="24"/>
        </w:rPr>
        <w:t>target </w:t>
      </w:r>
      <w:r>
        <w:rPr>
          <w:sz w:val="24"/>
        </w:rPr>
        <w:t>in two </w:t>
      </w:r>
      <w:r>
        <w:rPr>
          <w:spacing w:val="-3"/>
          <w:sz w:val="24"/>
        </w:rPr>
        <w:t>years</w:t>
      </w:r>
      <w:r>
        <w:rPr>
          <w:spacing w:val="21"/>
          <w:sz w:val="24"/>
        </w:rPr>
        <w:t> </w:t>
      </w:r>
      <w:r>
        <w:rPr>
          <w:spacing w:val="-3"/>
          <w:sz w:val="24"/>
        </w:rPr>
        <w:t>time.</w:t>
      </w:r>
    </w:p>
    <w:p>
      <w:pPr>
        <w:pStyle w:val="BodyText"/>
        <w:rPr>
          <w:sz w:val="32"/>
        </w:rPr>
      </w:pPr>
    </w:p>
    <w:p>
      <w:pPr>
        <w:pStyle w:val="ListParagraph"/>
        <w:numPr>
          <w:ilvl w:val="0"/>
          <w:numId w:val="1"/>
        </w:numPr>
        <w:tabs>
          <w:tab w:pos="506" w:val="left" w:leader="none"/>
        </w:tabs>
        <w:spacing w:line="321" w:lineRule="auto" w:before="0" w:after="0"/>
        <w:ind w:left="107" w:right="151" w:firstLine="0"/>
        <w:jc w:val="left"/>
        <w:rPr>
          <w:sz w:val="24"/>
        </w:rPr>
      </w:pPr>
      <w:r>
        <w:rPr>
          <w:sz w:val="24"/>
        </w:rPr>
        <w:t>If</w:t>
      </w:r>
      <w:r>
        <w:rPr>
          <w:spacing w:val="-7"/>
          <w:sz w:val="24"/>
        </w:rPr>
        <w:t> </w:t>
      </w:r>
      <w:r>
        <w:rPr>
          <w:sz w:val="24"/>
        </w:rPr>
        <w:t>output</w:t>
      </w:r>
      <w:r>
        <w:rPr>
          <w:spacing w:val="-6"/>
          <w:sz w:val="24"/>
        </w:rPr>
        <w:t> </w:t>
      </w:r>
      <w:r>
        <w:rPr>
          <w:sz w:val="24"/>
        </w:rPr>
        <w:t>were</w:t>
      </w:r>
      <w:r>
        <w:rPr>
          <w:spacing w:val="-6"/>
          <w:sz w:val="24"/>
        </w:rPr>
        <w:t> </w:t>
      </w:r>
      <w:r>
        <w:rPr>
          <w:sz w:val="24"/>
        </w:rPr>
        <w:t>above</w:t>
      </w:r>
      <w:r>
        <w:rPr>
          <w:spacing w:val="-6"/>
          <w:sz w:val="24"/>
        </w:rPr>
        <w:t> </w:t>
      </w:r>
      <w:r>
        <w:rPr>
          <w:sz w:val="24"/>
        </w:rPr>
        <w:t>trend,</w:t>
      </w:r>
      <w:r>
        <w:rPr>
          <w:spacing w:val="-7"/>
          <w:sz w:val="24"/>
        </w:rPr>
        <w:t> </w:t>
      </w:r>
      <w:r>
        <w:rPr>
          <w:sz w:val="24"/>
        </w:rPr>
        <w:t>there</w:t>
      </w:r>
      <w:r>
        <w:rPr>
          <w:spacing w:val="-6"/>
          <w:sz w:val="24"/>
        </w:rPr>
        <w:t> </w:t>
      </w:r>
      <w:r>
        <w:rPr>
          <w:sz w:val="24"/>
        </w:rPr>
        <w:t>were</w:t>
      </w:r>
      <w:r>
        <w:rPr>
          <w:spacing w:val="-6"/>
          <w:sz w:val="24"/>
        </w:rPr>
        <w:t> </w:t>
      </w:r>
      <w:r>
        <w:rPr>
          <w:sz w:val="24"/>
        </w:rPr>
        <w:t>greater</w:t>
      </w:r>
      <w:r>
        <w:rPr>
          <w:spacing w:val="-6"/>
          <w:sz w:val="24"/>
        </w:rPr>
        <w:t> </w:t>
      </w:r>
      <w:r>
        <w:rPr>
          <w:sz w:val="24"/>
        </w:rPr>
        <w:t>risks</w:t>
      </w:r>
      <w:r>
        <w:rPr>
          <w:spacing w:val="-6"/>
          <w:sz w:val="24"/>
        </w:rPr>
        <w:t> </w:t>
      </w:r>
      <w:r>
        <w:rPr>
          <w:sz w:val="24"/>
        </w:rPr>
        <w:t>involved</w:t>
      </w:r>
      <w:r>
        <w:rPr>
          <w:spacing w:val="-7"/>
          <w:sz w:val="24"/>
        </w:rPr>
        <w:t> </w:t>
      </w:r>
      <w:r>
        <w:rPr>
          <w:sz w:val="24"/>
        </w:rPr>
        <w:t>in</w:t>
      </w:r>
      <w:r>
        <w:rPr>
          <w:spacing w:val="-6"/>
          <w:sz w:val="24"/>
        </w:rPr>
        <w:t> </w:t>
      </w:r>
      <w:r>
        <w:rPr>
          <w:sz w:val="24"/>
        </w:rPr>
        <w:t>delaying</w:t>
      </w:r>
      <w:r>
        <w:rPr>
          <w:spacing w:val="-6"/>
          <w:sz w:val="24"/>
        </w:rPr>
        <w:t> </w:t>
      </w:r>
      <w:r>
        <w:rPr>
          <w:sz w:val="24"/>
        </w:rPr>
        <w:t>a</w:t>
      </w:r>
      <w:r>
        <w:rPr>
          <w:spacing w:val="-6"/>
          <w:sz w:val="24"/>
        </w:rPr>
        <w:t> </w:t>
      </w:r>
      <w:r>
        <w:rPr>
          <w:sz w:val="24"/>
        </w:rPr>
        <w:t>rate</w:t>
      </w:r>
      <w:r>
        <w:rPr>
          <w:spacing w:val="-7"/>
          <w:sz w:val="24"/>
        </w:rPr>
        <w:t> </w:t>
      </w:r>
      <w:r>
        <w:rPr>
          <w:sz w:val="24"/>
        </w:rPr>
        <w:t>increase</w:t>
      </w:r>
      <w:r>
        <w:rPr>
          <w:spacing w:val="-6"/>
          <w:sz w:val="24"/>
        </w:rPr>
        <w:t> </w:t>
      </w:r>
      <w:r>
        <w:rPr>
          <w:sz w:val="24"/>
        </w:rPr>
        <w:t>than</w:t>
      </w:r>
      <w:r>
        <w:rPr>
          <w:spacing w:val="-6"/>
          <w:sz w:val="24"/>
        </w:rPr>
        <w:t> </w:t>
      </w:r>
      <w:r>
        <w:rPr>
          <w:sz w:val="24"/>
        </w:rPr>
        <w:t>in</w:t>
      </w:r>
      <w:r>
        <w:rPr>
          <w:spacing w:val="-6"/>
          <w:sz w:val="24"/>
        </w:rPr>
        <w:t> </w:t>
      </w:r>
      <w:r>
        <w:rPr>
          <w:spacing w:val="-2"/>
          <w:sz w:val="24"/>
        </w:rPr>
        <w:t>acting </w:t>
      </w:r>
      <w:r>
        <w:rPr>
          <w:sz w:val="24"/>
        </w:rPr>
        <w:t>early. If policy were tightened now but this was later reversed on account of news that the slowdown was sharper than currently expected, the net effect would be that output had been brought back to trend earlier than expected. But this needed to happen anyway, so it would simply have accelerated </w:t>
      </w:r>
      <w:r>
        <w:rPr>
          <w:spacing w:val="-2"/>
          <w:sz w:val="24"/>
        </w:rPr>
        <w:t>the </w:t>
      </w:r>
      <w:r>
        <w:rPr>
          <w:sz w:val="24"/>
        </w:rPr>
        <w:t>process. On the other hand, if policy action was delayed but growth continued in line with the central projection, the gap between the level of actual output and trend output would increase. The Committee would then have to tighten policy more sharply in due course, perhaps at a time when output growth </w:t>
      </w:r>
      <w:r>
        <w:rPr>
          <w:spacing w:val="-2"/>
          <w:sz w:val="24"/>
        </w:rPr>
        <w:t>was </w:t>
      </w:r>
      <w:r>
        <w:rPr>
          <w:sz w:val="24"/>
        </w:rPr>
        <w:t>already falling, increasing the risk of aggravating the slowdown. Thus, on the view that the level of output</w:t>
      </w:r>
      <w:r>
        <w:rPr>
          <w:spacing w:val="-7"/>
          <w:sz w:val="24"/>
        </w:rPr>
        <w:t> </w:t>
      </w:r>
      <w:r>
        <w:rPr>
          <w:sz w:val="24"/>
        </w:rPr>
        <w:t>was</w:t>
      </w:r>
      <w:r>
        <w:rPr>
          <w:spacing w:val="-6"/>
          <w:sz w:val="24"/>
        </w:rPr>
        <w:t> </w:t>
      </w:r>
      <w:r>
        <w:rPr>
          <w:sz w:val="24"/>
        </w:rPr>
        <w:t>above</w:t>
      </w:r>
      <w:r>
        <w:rPr>
          <w:spacing w:val="-7"/>
          <w:sz w:val="24"/>
        </w:rPr>
        <w:t> </w:t>
      </w:r>
      <w:r>
        <w:rPr>
          <w:sz w:val="24"/>
        </w:rPr>
        <w:t>trend,</w:t>
      </w:r>
      <w:r>
        <w:rPr>
          <w:spacing w:val="-6"/>
          <w:sz w:val="24"/>
        </w:rPr>
        <w:t> </w:t>
      </w:r>
      <w:r>
        <w:rPr>
          <w:sz w:val="24"/>
        </w:rPr>
        <w:t>the</w:t>
      </w:r>
      <w:r>
        <w:rPr>
          <w:spacing w:val="-7"/>
          <w:sz w:val="24"/>
        </w:rPr>
        <w:t> </w:t>
      </w:r>
      <w:r>
        <w:rPr>
          <w:sz w:val="24"/>
        </w:rPr>
        <w:t>risks</w:t>
      </w:r>
      <w:r>
        <w:rPr>
          <w:spacing w:val="-6"/>
          <w:sz w:val="24"/>
        </w:rPr>
        <w:t> </w:t>
      </w:r>
      <w:r>
        <w:rPr>
          <w:sz w:val="24"/>
        </w:rPr>
        <w:t>run</w:t>
      </w:r>
      <w:r>
        <w:rPr>
          <w:spacing w:val="-6"/>
          <w:sz w:val="24"/>
        </w:rPr>
        <w:t> </w:t>
      </w:r>
      <w:r>
        <w:rPr>
          <w:sz w:val="24"/>
        </w:rPr>
        <w:t>by</w:t>
      </w:r>
      <w:r>
        <w:rPr>
          <w:spacing w:val="-7"/>
          <w:sz w:val="24"/>
        </w:rPr>
        <w:t> </w:t>
      </w:r>
      <w:r>
        <w:rPr>
          <w:sz w:val="24"/>
        </w:rPr>
        <w:t>acting</w:t>
      </w:r>
      <w:r>
        <w:rPr>
          <w:spacing w:val="-6"/>
          <w:sz w:val="24"/>
        </w:rPr>
        <w:t> </w:t>
      </w:r>
      <w:r>
        <w:rPr>
          <w:sz w:val="24"/>
        </w:rPr>
        <w:t>early</w:t>
      </w:r>
      <w:r>
        <w:rPr>
          <w:spacing w:val="-7"/>
          <w:sz w:val="24"/>
        </w:rPr>
        <w:t> </w:t>
      </w:r>
      <w:r>
        <w:rPr>
          <w:sz w:val="24"/>
        </w:rPr>
        <w:t>were</w:t>
      </w:r>
      <w:r>
        <w:rPr>
          <w:spacing w:val="-6"/>
          <w:sz w:val="24"/>
        </w:rPr>
        <w:t> </w:t>
      </w:r>
      <w:r>
        <w:rPr>
          <w:sz w:val="24"/>
        </w:rPr>
        <w:t>small</w:t>
      </w:r>
      <w:r>
        <w:rPr>
          <w:spacing w:val="-6"/>
          <w:sz w:val="24"/>
        </w:rPr>
        <w:t> </w:t>
      </w:r>
      <w:r>
        <w:rPr>
          <w:sz w:val="24"/>
        </w:rPr>
        <w:t>and</w:t>
      </w:r>
      <w:r>
        <w:rPr>
          <w:spacing w:val="-7"/>
          <w:sz w:val="24"/>
        </w:rPr>
        <w:t> </w:t>
      </w:r>
      <w:r>
        <w:rPr>
          <w:sz w:val="24"/>
        </w:rPr>
        <w:t>certainly</w:t>
      </w:r>
      <w:r>
        <w:rPr>
          <w:spacing w:val="-6"/>
          <w:sz w:val="24"/>
        </w:rPr>
        <w:t> </w:t>
      </w:r>
      <w:r>
        <w:rPr>
          <w:sz w:val="24"/>
        </w:rPr>
        <w:t>lower</w:t>
      </w:r>
      <w:r>
        <w:rPr>
          <w:spacing w:val="-7"/>
          <w:sz w:val="24"/>
        </w:rPr>
        <w:t> </w:t>
      </w:r>
      <w:r>
        <w:rPr>
          <w:sz w:val="24"/>
        </w:rPr>
        <w:t>than</w:t>
      </w:r>
      <w:r>
        <w:rPr>
          <w:spacing w:val="-6"/>
          <w:sz w:val="24"/>
        </w:rPr>
        <w:t> </w:t>
      </w:r>
      <w:r>
        <w:rPr>
          <w:sz w:val="24"/>
        </w:rPr>
        <w:t>the</w:t>
      </w:r>
      <w:r>
        <w:rPr>
          <w:spacing w:val="-6"/>
          <w:sz w:val="24"/>
        </w:rPr>
        <w:t> </w:t>
      </w:r>
      <w:r>
        <w:rPr>
          <w:sz w:val="24"/>
        </w:rPr>
        <w:t>risks</w:t>
      </w:r>
      <w:r>
        <w:rPr>
          <w:spacing w:val="-7"/>
          <w:sz w:val="24"/>
        </w:rPr>
        <w:t> </w:t>
      </w:r>
      <w:r>
        <w:rPr>
          <w:sz w:val="24"/>
        </w:rPr>
        <w:t>run</w:t>
      </w:r>
      <w:r>
        <w:rPr>
          <w:spacing w:val="-6"/>
          <w:sz w:val="24"/>
        </w:rPr>
        <w:t> </w:t>
      </w:r>
      <w:r>
        <w:rPr>
          <w:sz w:val="24"/>
        </w:rPr>
        <w:t>by </w:t>
      </w:r>
      <w:r>
        <w:rPr>
          <w:spacing w:val="-4"/>
          <w:sz w:val="24"/>
        </w:rPr>
        <w:t>delaying.</w:t>
      </w:r>
    </w:p>
    <w:p>
      <w:pPr>
        <w:pStyle w:val="BodyText"/>
        <w:spacing w:before="11"/>
        <w:rPr>
          <w:sz w:val="31"/>
        </w:rPr>
      </w:pPr>
    </w:p>
    <w:p>
      <w:pPr>
        <w:pStyle w:val="ListParagraph"/>
        <w:numPr>
          <w:ilvl w:val="0"/>
          <w:numId w:val="1"/>
        </w:numPr>
        <w:tabs>
          <w:tab w:pos="506" w:val="left" w:leader="none"/>
        </w:tabs>
        <w:spacing w:line="321" w:lineRule="auto" w:before="0" w:after="0"/>
        <w:ind w:left="107" w:right="314" w:firstLine="0"/>
        <w:jc w:val="left"/>
        <w:rPr>
          <w:sz w:val="24"/>
        </w:rPr>
      </w:pPr>
      <w:r>
        <w:rPr>
          <w:sz w:val="24"/>
        </w:rPr>
        <w:t>Second, surveys strongly suggested that the general public’s expectations of inflation over the next couple of years were materially above the inflation target, even after adjusting for the fact that most surveys covered the RPI rather than the targeted RPIX. It was the public’s expectations that were </w:t>
      </w:r>
      <w:r>
        <w:rPr>
          <w:spacing w:val="-3"/>
          <w:sz w:val="24"/>
        </w:rPr>
        <w:t>relevant </w:t>
      </w:r>
      <w:r>
        <w:rPr>
          <w:sz w:val="24"/>
        </w:rPr>
        <w:t>to </w:t>
      </w:r>
      <w:r>
        <w:rPr>
          <w:spacing w:val="-3"/>
          <w:sz w:val="24"/>
        </w:rPr>
        <w:t>wage bargaining. Early policy tightening </w:t>
      </w:r>
      <w:r>
        <w:rPr>
          <w:sz w:val="24"/>
        </w:rPr>
        <w:t>was </w:t>
      </w:r>
      <w:r>
        <w:rPr>
          <w:spacing w:val="-3"/>
          <w:sz w:val="24"/>
        </w:rPr>
        <w:t>needed </w:t>
      </w:r>
      <w:r>
        <w:rPr>
          <w:sz w:val="24"/>
        </w:rPr>
        <w:t>to </w:t>
      </w:r>
      <w:r>
        <w:rPr>
          <w:spacing w:val="-3"/>
          <w:sz w:val="24"/>
        </w:rPr>
        <w:t>bring core inflation, </w:t>
      </w:r>
      <w:r>
        <w:rPr>
          <w:sz w:val="24"/>
        </w:rPr>
        <w:t>as </w:t>
      </w:r>
      <w:r>
        <w:rPr>
          <w:spacing w:val="-3"/>
          <w:sz w:val="24"/>
        </w:rPr>
        <w:t>measured by </w:t>
      </w:r>
      <w:r>
        <w:rPr>
          <w:sz w:val="24"/>
        </w:rPr>
        <w:t>the</w:t>
      </w:r>
      <w:r>
        <w:rPr>
          <w:spacing w:val="-8"/>
          <w:sz w:val="24"/>
        </w:rPr>
        <w:t> </w:t>
      </w:r>
      <w:r>
        <w:rPr>
          <w:sz w:val="24"/>
        </w:rPr>
        <w:t>public’s</w:t>
      </w:r>
      <w:r>
        <w:rPr>
          <w:spacing w:val="-8"/>
          <w:sz w:val="24"/>
        </w:rPr>
        <w:t> </w:t>
      </w:r>
      <w:r>
        <w:rPr>
          <w:sz w:val="24"/>
        </w:rPr>
        <w:t>expectations,</w:t>
      </w:r>
      <w:r>
        <w:rPr>
          <w:spacing w:val="-7"/>
          <w:sz w:val="24"/>
        </w:rPr>
        <w:t> </w:t>
      </w:r>
      <w:r>
        <w:rPr>
          <w:sz w:val="24"/>
        </w:rPr>
        <w:t>into</w:t>
      </w:r>
      <w:r>
        <w:rPr>
          <w:spacing w:val="-8"/>
          <w:sz w:val="24"/>
        </w:rPr>
        <w:t> </w:t>
      </w:r>
      <w:r>
        <w:rPr>
          <w:sz w:val="24"/>
        </w:rPr>
        <w:t>line</w:t>
      </w:r>
      <w:r>
        <w:rPr>
          <w:spacing w:val="-8"/>
          <w:sz w:val="24"/>
        </w:rPr>
        <w:t> </w:t>
      </w:r>
      <w:r>
        <w:rPr>
          <w:sz w:val="24"/>
        </w:rPr>
        <w:t>with</w:t>
      </w:r>
      <w:r>
        <w:rPr>
          <w:spacing w:val="-7"/>
          <w:sz w:val="24"/>
        </w:rPr>
        <w:t> </w:t>
      </w:r>
      <w:r>
        <w:rPr>
          <w:sz w:val="24"/>
        </w:rPr>
        <w:t>the</w:t>
      </w:r>
      <w:r>
        <w:rPr>
          <w:spacing w:val="-8"/>
          <w:sz w:val="24"/>
        </w:rPr>
        <w:t> </w:t>
      </w:r>
      <w:r>
        <w:rPr>
          <w:sz w:val="24"/>
        </w:rPr>
        <w:t>target.</w:t>
      </w:r>
      <w:r>
        <w:rPr>
          <w:spacing w:val="46"/>
          <w:sz w:val="24"/>
        </w:rPr>
        <w:t> </w:t>
      </w:r>
      <w:r>
        <w:rPr>
          <w:sz w:val="24"/>
        </w:rPr>
        <w:t>This</w:t>
      </w:r>
      <w:r>
        <w:rPr>
          <w:spacing w:val="-8"/>
          <w:sz w:val="24"/>
        </w:rPr>
        <w:t> </w:t>
      </w:r>
      <w:r>
        <w:rPr>
          <w:sz w:val="24"/>
        </w:rPr>
        <w:t>would</w:t>
      </w:r>
      <w:r>
        <w:rPr>
          <w:spacing w:val="-8"/>
          <w:sz w:val="24"/>
        </w:rPr>
        <w:t> </w:t>
      </w:r>
      <w:r>
        <w:rPr>
          <w:sz w:val="24"/>
        </w:rPr>
        <w:t>require</w:t>
      </w:r>
      <w:r>
        <w:rPr>
          <w:spacing w:val="-7"/>
          <w:sz w:val="24"/>
        </w:rPr>
        <w:t> </w:t>
      </w:r>
      <w:r>
        <w:rPr>
          <w:sz w:val="24"/>
        </w:rPr>
        <w:t>below-trend</w:t>
      </w:r>
      <w:r>
        <w:rPr>
          <w:spacing w:val="-8"/>
          <w:sz w:val="24"/>
        </w:rPr>
        <w:t> </w:t>
      </w:r>
      <w:r>
        <w:rPr>
          <w:sz w:val="24"/>
        </w:rPr>
        <w:t>growth</w:t>
      </w:r>
      <w:r>
        <w:rPr>
          <w:spacing w:val="-8"/>
          <w:sz w:val="24"/>
        </w:rPr>
        <w:t> </w:t>
      </w:r>
      <w:r>
        <w:rPr>
          <w:sz w:val="24"/>
        </w:rPr>
        <w:t>for</w:t>
      </w:r>
      <w:r>
        <w:rPr>
          <w:spacing w:val="-7"/>
          <w:sz w:val="24"/>
        </w:rPr>
        <w:t> </w:t>
      </w:r>
      <w:r>
        <w:rPr>
          <w:sz w:val="24"/>
        </w:rPr>
        <w:t>a</w:t>
      </w:r>
      <w:r>
        <w:rPr>
          <w:spacing w:val="-8"/>
          <w:sz w:val="24"/>
        </w:rPr>
        <w:t> </w:t>
      </w:r>
      <w:r>
        <w:rPr>
          <w:sz w:val="24"/>
        </w:rPr>
        <w:t>period.</w:t>
      </w:r>
    </w:p>
    <w:p>
      <w:pPr>
        <w:pStyle w:val="BodyText"/>
        <w:spacing w:before="1"/>
        <w:rPr>
          <w:sz w:val="32"/>
        </w:rPr>
      </w:pPr>
    </w:p>
    <w:p>
      <w:pPr>
        <w:pStyle w:val="ListParagraph"/>
        <w:numPr>
          <w:ilvl w:val="0"/>
          <w:numId w:val="1"/>
        </w:numPr>
        <w:tabs>
          <w:tab w:pos="506" w:val="left" w:leader="none"/>
        </w:tabs>
        <w:spacing w:line="321" w:lineRule="auto" w:before="0" w:after="0"/>
        <w:ind w:left="107" w:right="377" w:firstLine="0"/>
        <w:jc w:val="left"/>
        <w:rPr>
          <w:sz w:val="24"/>
        </w:rPr>
      </w:pPr>
      <w:r>
        <w:rPr>
          <w:sz w:val="24"/>
        </w:rPr>
        <w:t>Third, as indicated in the February Inflation Report, the risks were clearly on the upside, with </w:t>
      </w:r>
      <w:r>
        <w:rPr>
          <w:spacing w:val="-2"/>
          <w:sz w:val="24"/>
        </w:rPr>
        <w:t>the </w:t>
      </w:r>
      <w:r>
        <w:rPr>
          <w:sz w:val="24"/>
        </w:rPr>
        <w:t>mean</w:t>
      </w:r>
      <w:r>
        <w:rPr>
          <w:spacing w:val="-7"/>
          <w:sz w:val="24"/>
        </w:rPr>
        <w:t> </w:t>
      </w:r>
      <w:r>
        <w:rPr>
          <w:sz w:val="24"/>
        </w:rPr>
        <w:t>inflation</w:t>
      </w:r>
      <w:r>
        <w:rPr>
          <w:spacing w:val="-6"/>
          <w:sz w:val="24"/>
        </w:rPr>
        <w:t> </w:t>
      </w:r>
      <w:r>
        <w:rPr>
          <w:sz w:val="24"/>
        </w:rPr>
        <w:t>rate</w:t>
      </w:r>
      <w:r>
        <w:rPr>
          <w:spacing w:val="-7"/>
          <w:sz w:val="24"/>
        </w:rPr>
        <w:t> </w:t>
      </w:r>
      <w:r>
        <w:rPr>
          <w:sz w:val="24"/>
        </w:rPr>
        <w:t>two</w:t>
      </w:r>
      <w:r>
        <w:rPr>
          <w:spacing w:val="-6"/>
          <w:sz w:val="24"/>
        </w:rPr>
        <w:t> </w:t>
      </w:r>
      <w:r>
        <w:rPr>
          <w:sz w:val="24"/>
        </w:rPr>
        <w:t>or</w:t>
      </w:r>
      <w:r>
        <w:rPr>
          <w:spacing w:val="-6"/>
          <w:sz w:val="24"/>
        </w:rPr>
        <w:t> </w:t>
      </w:r>
      <w:r>
        <w:rPr>
          <w:sz w:val="24"/>
        </w:rPr>
        <w:t>so</w:t>
      </w:r>
      <w:r>
        <w:rPr>
          <w:spacing w:val="-7"/>
          <w:sz w:val="24"/>
        </w:rPr>
        <w:t> </w:t>
      </w:r>
      <w:r>
        <w:rPr>
          <w:sz w:val="24"/>
        </w:rPr>
        <w:t>years</w:t>
      </w:r>
      <w:r>
        <w:rPr>
          <w:spacing w:val="-6"/>
          <w:sz w:val="24"/>
        </w:rPr>
        <w:t> </w:t>
      </w:r>
      <w:r>
        <w:rPr>
          <w:sz w:val="24"/>
        </w:rPr>
        <w:t>ahead</w:t>
      </w:r>
      <w:r>
        <w:rPr>
          <w:spacing w:val="-6"/>
          <w:sz w:val="24"/>
        </w:rPr>
        <w:t> </w:t>
      </w:r>
      <w:r>
        <w:rPr>
          <w:sz w:val="24"/>
        </w:rPr>
        <w:t>materially</w:t>
      </w:r>
      <w:r>
        <w:rPr>
          <w:spacing w:val="-7"/>
          <w:sz w:val="24"/>
        </w:rPr>
        <w:t> </w:t>
      </w:r>
      <w:r>
        <w:rPr>
          <w:sz w:val="24"/>
        </w:rPr>
        <w:t>above</w:t>
      </w:r>
      <w:r>
        <w:rPr>
          <w:spacing w:val="-6"/>
          <w:sz w:val="24"/>
        </w:rPr>
        <w:t> </w:t>
      </w:r>
      <w:r>
        <w:rPr>
          <w:sz w:val="24"/>
        </w:rPr>
        <w:t>the</w:t>
      </w:r>
      <w:r>
        <w:rPr>
          <w:spacing w:val="-6"/>
          <w:sz w:val="24"/>
        </w:rPr>
        <w:t> </w:t>
      </w:r>
      <w:r>
        <w:rPr>
          <w:sz w:val="24"/>
        </w:rPr>
        <w:t>2</w:t>
      </w:r>
      <w:r>
        <w:rPr>
          <w:spacing w:val="-7"/>
          <w:sz w:val="24"/>
        </w:rPr>
        <w:t> </w:t>
      </w:r>
      <w:r>
        <w:rPr>
          <w:sz w:val="24"/>
        </w:rPr>
        <w:t>½%</w:t>
      </w:r>
      <w:r>
        <w:rPr>
          <w:spacing w:val="-6"/>
          <w:sz w:val="24"/>
        </w:rPr>
        <w:t> </w:t>
      </w:r>
      <w:r>
        <w:rPr>
          <w:sz w:val="24"/>
        </w:rPr>
        <w:t>target,</w:t>
      </w:r>
      <w:r>
        <w:rPr>
          <w:spacing w:val="-6"/>
          <w:sz w:val="24"/>
        </w:rPr>
        <w:t> </w:t>
      </w:r>
      <w:r>
        <w:rPr>
          <w:sz w:val="24"/>
        </w:rPr>
        <w:t>and</w:t>
      </w:r>
      <w:r>
        <w:rPr>
          <w:spacing w:val="-7"/>
          <w:sz w:val="24"/>
        </w:rPr>
        <w:t> </w:t>
      </w:r>
      <w:r>
        <w:rPr>
          <w:sz w:val="24"/>
        </w:rPr>
        <w:t>a</w:t>
      </w:r>
      <w:r>
        <w:rPr>
          <w:spacing w:val="-6"/>
          <w:sz w:val="24"/>
        </w:rPr>
        <w:t> </w:t>
      </w:r>
      <w:r>
        <w:rPr>
          <w:sz w:val="24"/>
        </w:rPr>
        <w:t>30%</w:t>
      </w:r>
      <w:r>
        <w:rPr>
          <w:spacing w:val="-6"/>
          <w:sz w:val="24"/>
        </w:rPr>
        <w:t> </w:t>
      </w:r>
      <w:r>
        <w:rPr>
          <w:sz w:val="24"/>
        </w:rPr>
        <w:t>chance</w:t>
      </w:r>
      <w:r>
        <w:rPr>
          <w:spacing w:val="-7"/>
          <w:sz w:val="24"/>
        </w:rPr>
        <w:t> </w:t>
      </w:r>
      <w:r>
        <w:rPr>
          <w:sz w:val="24"/>
        </w:rPr>
        <w:t>of</w:t>
      </w:r>
      <w:r>
        <w:rPr>
          <w:spacing w:val="-6"/>
          <w:sz w:val="24"/>
        </w:rPr>
        <w:t> </w:t>
      </w:r>
      <w:r>
        <w:rPr>
          <w:sz w:val="24"/>
        </w:rPr>
        <w:t>being above 3 ½% in Q1 2000, on the assumption that the Bank’s repo rate remained at</w:t>
      </w:r>
      <w:r>
        <w:rPr>
          <w:spacing w:val="-7"/>
          <w:sz w:val="24"/>
        </w:rPr>
        <w:t> </w:t>
      </w:r>
      <w:r>
        <w:rPr>
          <w:sz w:val="24"/>
        </w:rPr>
        <w:t>7.25%.</w:t>
      </w:r>
    </w:p>
    <w:p>
      <w:pPr>
        <w:pStyle w:val="BodyText"/>
        <w:spacing w:before="1"/>
        <w:rPr>
          <w:sz w:val="32"/>
        </w:rPr>
      </w:pPr>
    </w:p>
    <w:p>
      <w:pPr>
        <w:pStyle w:val="ListParagraph"/>
        <w:numPr>
          <w:ilvl w:val="0"/>
          <w:numId w:val="1"/>
        </w:numPr>
        <w:tabs>
          <w:tab w:pos="506" w:val="left" w:leader="none"/>
        </w:tabs>
        <w:spacing w:line="321" w:lineRule="auto" w:before="0" w:after="0"/>
        <w:ind w:left="107" w:right="247" w:firstLine="0"/>
        <w:jc w:val="left"/>
        <w:rPr>
          <w:sz w:val="24"/>
        </w:rPr>
      </w:pPr>
      <w:r>
        <w:rPr>
          <w:sz w:val="24"/>
        </w:rPr>
        <w:t>A</w:t>
      </w:r>
      <w:r>
        <w:rPr>
          <w:spacing w:val="-9"/>
          <w:sz w:val="24"/>
        </w:rPr>
        <w:t> </w:t>
      </w:r>
      <w:r>
        <w:rPr>
          <w:sz w:val="24"/>
        </w:rPr>
        <w:t>number</w:t>
      </w:r>
      <w:r>
        <w:rPr>
          <w:spacing w:val="-8"/>
          <w:sz w:val="24"/>
        </w:rPr>
        <w:t> </w:t>
      </w:r>
      <w:r>
        <w:rPr>
          <w:sz w:val="24"/>
        </w:rPr>
        <w:t>of</w:t>
      </w:r>
      <w:r>
        <w:rPr>
          <w:spacing w:val="-8"/>
          <w:sz w:val="24"/>
        </w:rPr>
        <w:t> </w:t>
      </w:r>
      <w:r>
        <w:rPr>
          <w:sz w:val="24"/>
        </w:rPr>
        <w:t>arguments</w:t>
      </w:r>
      <w:r>
        <w:rPr>
          <w:spacing w:val="-8"/>
          <w:sz w:val="24"/>
        </w:rPr>
        <w:t> </w:t>
      </w:r>
      <w:r>
        <w:rPr>
          <w:sz w:val="24"/>
        </w:rPr>
        <w:t>were</w:t>
      </w:r>
      <w:r>
        <w:rPr>
          <w:spacing w:val="-8"/>
          <w:sz w:val="24"/>
        </w:rPr>
        <w:t> </w:t>
      </w:r>
      <w:r>
        <w:rPr>
          <w:sz w:val="24"/>
        </w:rPr>
        <w:t>advanced</w:t>
      </w:r>
      <w:r>
        <w:rPr>
          <w:spacing w:val="-8"/>
          <w:sz w:val="24"/>
        </w:rPr>
        <w:t> </w:t>
      </w:r>
      <w:r>
        <w:rPr>
          <w:sz w:val="24"/>
        </w:rPr>
        <w:t>against</w:t>
      </w:r>
      <w:r>
        <w:rPr>
          <w:spacing w:val="-8"/>
          <w:sz w:val="24"/>
        </w:rPr>
        <w:t> </w:t>
      </w:r>
      <w:r>
        <w:rPr>
          <w:sz w:val="24"/>
        </w:rPr>
        <w:t>a</w:t>
      </w:r>
      <w:r>
        <w:rPr>
          <w:spacing w:val="-8"/>
          <w:sz w:val="24"/>
        </w:rPr>
        <w:t> </w:t>
      </w:r>
      <w:r>
        <w:rPr>
          <w:sz w:val="24"/>
        </w:rPr>
        <w:t>rise</w:t>
      </w:r>
      <w:r>
        <w:rPr>
          <w:spacing w:val="-8"/>
          <w:sz w:val="24"/>
        </w:rPr>
        <w:t> </w:t>
      </w:r>
      <w:r>
        <w:rPr>
          <w:sz w:val="24"/>
        </w:rPr>
        <w:t>in</w:t>
      </w:r>
      <w:r>
        <w:rPr>
          <w:spacing w:val="-8"/>
          <w:sz w:val="24"/>
        </w:rPr>
        <w:t> </w:t>
      </w:r>
      <w:r>
        <w:rPr>
          <w:sz w:val="24"/>
        </w:rPr>
        <w:t>rates,</w:t>
      </w:r>
      <w:r>
        <w:rPr>
          <w:spacing w:val="-9"/>
          <w:sz w:val="24"/>
        </w:rPr>
        <w:t> </w:t>
      </w:r>
      <w:r>
        <w:rPr>
          <w:sz w:val="24"/>
        </w:rPr>
        <w:t>at</w:t>
      </w:r>
      <w:r>
        <w:rPr>
          <w:spacing w:val="-8"/>
          <w:sz w:val="24"/>
        </w:rPr>
        <w:t> </w:t>
      </w:r>
      <w:r>
        <w:rPr>
          <w:sz w:val="24"/>
        </w:rPr>
        <w:t>least</w:t>
      </w:r>
      <w:r>
        <w:rPr>
          <w:spacing w:val="-8"/>
          <w:sz w:val="24"/>
        </w:rPr>
        <w:t> </w:t>
      </w:r>
      <w:r>
        <w:rPr>
          <w:sz w:val="24"/>
        </w:rPr>
        <w:t>immediately.</w:t>
      </w:r>
      <w:r>
        <w:rPr>
          <w:spacing w:val="46"/>
          <w:sz w:val="24"/>
        </w:rPr>
        <w:t> </w:t>
      </w:r>
      <w:r>
        <w:rPr>
          <w:sz w:val="24"/>
        </w:rPr>
        <w:t>First,</w:t>
      </w:r>
      <w:r>
        <w:rPr>
          <w:spacing w:val="-8"/>
          <w:sz w:val="24"/>
        </w:rPr>
        <w:t> </w:t>
      </w:r>
      <w:r>
        <w:rPr>
          <w:sz w:val="24"/>
        </w:rPr>
        <w:t>arguments for</w:t>
      </w:r>
      <w:r>
        <w:rPr>
          <w:spacing w:val="-9"/>
          <w:sz w:val="24"/>
        </w:rPr>
        <w:t> </w:t>
      </w:r>
      <w:r>
        <w:rPr>
          <w:sz w:val="24"/>
        </w:rPr>
        <w:t>an</w:t>
      </w:r>
      <w:r>
        <w:rPr>
          <w:spacing w:val="-8"/>
          <w:sz w:val="24"/>
        </w:rPr>
        <w:t> </w:t>
      </w:r>
      <w:r>
        <w:rPr>
          <w:sz w:val="24"/>
        </w:rPr>
        <w:t>immediate</w:t>
      </w:r>
      <w:r>
        <w:rPr>
          <w:spacing w:val="-8"/>
          <w:sz w:val="24"/>
        </w:rPr>
        <w:t> </w:t>
      </w:r>
      <w:r>
        <w:rPr>
          <w:sz w:val="24"/>
        </w:rPr>
        <w:t>tightening</w:t>
      </w:r>
      <w:r>
        <w:rPr>
          <w:spacing w:val="-8"/>
          <w:sz w:val="24"/>
        </w:rPr>
        <w:t> </w:t>
      </w:r>
      <w:r>
        <w:rPr>
          <w:sz w:val="24"/>
        </w:rPr>
        <w:t>placed</w:t>
      </w:r>
      <w:r>
        <w:rPr>
          <w:spacing w:val="-8"/>
          <w:sz w:val="24"/>
        </w:rPr>
        <w:t> </w:t>
      </w:r>
      <w:r>
        <w:rPr>
          <w:sz w:val="24"/>
        </w:rPr>
        <w:t>great</w:t>
      </w:r>
      <w:r>
        <w:rPr>
          <w:spacing w:val="-8"/>
          <w:sz w:val="24"/>
        </w:rPr>
        <w:t> </w:t>
      </w:r>
      <w:r>
        <w:rPr>
          <w:sz w:val="24"/>
        </w:rPr>
        <w:t>weight</w:t>
      </w:r>
      <w:r>
        <w:rPr>
          <w:spacing w:val="-9"/>
          <w:sz w:val="24"/>
        </w:rPr>
        <w:t> </w:t>
      </w:r>
      <w:r>
        <w:rPr>
          <w:sz w:val="24"/>
        </w:rPr>
        <w:t>on</w:t>
      </w:r>
      <w:r>
        <w:rPr>
          <w:spacing w:val="-8"/>
          <w:sz w:val="24"/>
        </w:rPr>
        <w:t> </w:t>
      </w:r>
      <w:r>
        <w:rPr>
          <w:sz w:val="24"/>
        </w:rPr>
        <w:t>the</w:t>
      </w:r>
      <w:r>
        <w:rPr>
          <w:spacing w:val="-8"/>
          <w:sz w:val="24"/>
        </w:rPr>
        <w:t> </w:t>
      </w:r>
      <w:r>
        <w:rPr>
          <w:sz w:val="24"/>
        </w:rPr>
        <w:t>level</w:t>
      </w:r>
      <w:r>
        <w:rPr>
          <w:spacing w:val="-8"/>
          <w:sz w:val="24"/>
        </w:rPr>
        <w:t> </w:t>
      </w:r>
      <w:r>
        <w:rPr>
          <w:sz w:val="24"/>
        </w:rPr>
        <w:t>of</w:t>
      </w:r>
      <w:r>
        <w:rPr>
          <w:spacing w:val="-8"/>
          <w:sz w:val="24"/>
        </w:rPr>
        <w:t> </w:t>
      </w:r>
      <w:r>
        <w:rPr>
          <w:sz w:val="24"/>
        </w:rPr>
        <w:t>output</w:t>
      </w:r>
      <w:r>
        <w:rPr>
          <w:spacing w:val="-8"/>
          <w:sz w:val="24"/>
        </w:rPr>
        <w:t> </w:t>
      </w:r>
      <w:r>
        <w:rPr>
          <w:sz w:val="24"/>
        </w:rPr>
        <w:t>having</w:t>
      </w:r>
      <w:r>
        <w:rPr>
          <w:spacing w:val="-9"/>
          <w:sz w:val="24"/>
        </w:rPr>
        <w:t> </w:t>
      </w:r>
      <w:r>
        <w:rPr>
          <w:sz w:val="24"/>
        </w:rPr>
        <w:t>been</w:t>
      </w:r>
      <w:r>
        <w:rPr>
          <w:spacing w:val="-8"/>
          <w:sz w:val="24"/>
        </w:rPr>
        <w:t> </w:t>
      </w:r>
      <w:r>
        <w:rPr>
          <w:sz w:val="24"/>
        </w:rPr>
        <w:t>above</w:t>
      </w:r>
      <w:r>
        <w:rPr>
          <w:spacing w:val="-8"/>
          <w:sz w:val="24"/>
        </w:rPr>
        <w:t> </w:t>
      </w:r>
      <w:r>
        <w:rPr>
          <w:sz w:val="24"/>
        </w:rPr>
        <w:t>trend</w:t>
      </w:r>
      <w:r>
        <w:rPr>
          <w:spacing w:val="-8"/>
          <w:sz w:val="24"/>
        </w:rPr>
        <w:t> </w:t>
      </w:r>
      <w:r>
        <w:rPr>
          <w:sz w:val="24"/>
        </w:rPr>
        <w:t>since</w:t>
      </w:r>
      <w:r>
        <w:rPr>
          <w:spacing w:val="-8"/>
          <w:sz w:val="24"/>
        </w:rPr>
        <w:t> </w:t>
      </w:r>
      <w:r>
        <w:rPr>
          <w:sz w:val="24"/>
        </w:rPr>
        <w:t>last summer, but this was a highly uncertain judgment. There were major uncertainties about both trend output and the current actual level of output. These uncertainties about the current position of the economy - and in particular about short term downside risks to output - were perhaps not fully captured in the February Inflation</w:t>
      </w:r>
      <w:r>
        <w:rPr>
          <w:spacing w:val="-2"/>
          <w:sz w:val="24"/>
        </w:rPr>
        <w:t> </w:t>
      </w:r>
      <w:r>
        <w:rPr>
          <w:sz w:val="24"/>
        </w:rPr>
        <w:t>Report.</w:t>
      </w:r>
    </w:p>
    <w:p>
      <w:pPr>
        <w:spacing w:after="0" w:line="321" w:lineRule="auto"/>
        <w:jc w:val="left"/>
        <w:rPr>
          <w:sz w:val="24"/>
        </w:rPr>
        <w:sectPr>
          <w:pgSz w:w="11900" w:h="16840"/>
          <w:pgMar w:header="753" w:footer="0" w:top="1040" w:bottom="280" w:left="800" w:right="780"/>
        </w:sectPr>
      </w:pPr>
    </w:p>
    <w:p>
      <w:pPr>
        <w:pStyle w:val="BodyText"/>
        <w:spacing w:before="1"/>
        <w:rPr>
          <w:sz w:val="14"/>
        </w:rPr>
      </w:pPr>
    </w:p>
    <w:p>
      <w:pPr>
        <w:pStyle w:val="ListParagraph"/>
        <w:numPr>
          <w:ilvl w:val="0"/>
          <w:numId w:val="1"/>
        </w:numPr>
        <w:tabs>
          <w:tab w:pos="506" w:val="left" w:leader="none"/>
        </w:tabs>
        <w:spacing w:line="321" w:lineRule="auto" w:before="90" w:after="0"/>
        <w:ind w:left="107" w:right="252" w:firstLine="0"/>
        <w:jc w:val="left"/>
        <w:rPr>
          <w:sz w:val="24"/>
        </w:rPr>
      </w:pPr>
      <w:r>
        <w:rPr>
          <w:sz w:val="24"/>
        </w:rPr>
        <w:t>Second, the central projection was below the target until the latter part of the forecast horizon.</w:t>
      </w:r>
      <w:r>
        <w:rPr>
          <w:spacing w:val="10"/>
          <w:sz w:val="24"/>
        </w:rPr>
        <w:t> </w:t>
      </w:r>
      <w:r>
        <w:rPr>
          <w:sz w:val="24"/>
        </w:rPr>
        <w:t>This partly reflected the assumption of constant interest rates throughout the forecast period. Both these arguments pointed to avoiding using the forecast fan chart</w:t>
      </w:r>
      <w:r>
        <w:rPr>
          <w:spacing w:val="-17"/>
          <w:sz w:val="24"/>
        </w:rPr>
        <w:t> </w:t>
      </w:r>
      <w:r>
        <w:rPr>
          <w:sz w:val="24"/>
        </w:rPr>
        <w:t>mechanically.</w:t>
      </w:r>
    </w:p>
    <w:p>
      <w:pPr>
        <w:pStyle w:val="BodyText"/>
        <w:spacing w:before="1"/>
        <w:rPr>
          <w:sz w:val="32"/>
        </w:rPr>
      </w:pPr>
    </w:p>
    <w:p>
      <w:pPr>
        <w:pStyle w:val="ListParagraph"/>
        <w:numPr>
          <w:ilvl w:val="0"/>
          <w:numId w:val="1"/>
        </w:numPr>
        <w:tabs>
          <w:tab w:pos="506" w:val="left" w:leader="none"/>
        </w:tabs>
        <w:spacing w:line="321" w:lineRule="auto" w:before="0" w:after="0"/>
        <w:ind w:left="107" w:right="175" w:firstLine="0"/>
        <w:jc w:val="left"/>
        <w:rPr>
          <w:sz w:val="24"/>
        </w:rPr>
      </w:pPr>
      <w:r>
        <w:rPr>
          <w:sz w:val="24"/>
        </w:rPr>
        <w:t>Third, even assuming that a tightening would be needed at some point to achieve the target, the best profile</w:t>
      </w:r>
      <w:r>
        <w:rPr>
          <w:spacing w:val="-8"/>
          <w:sz w:val="24"/>
        </w:rPr>
        <w:t> </w:t>
      </w:r>
      <w:r>
        <w:rPr>
          <w:sz w:val="24"/>
        </w:rPr>
        <w:t>over</w:t>
      </w:r>
      <w:r>
        <w:rPr>
          <w:spacing w:val="-8"/>
          <w:sz w:val="24"/>
        </w:rPr>
        <w:t> </w:t>
      </w:r>
      <w:r>
        <w:rPr>
          <w:sz w:val="24"/>
        </w:rPr>
        <w:t>time</w:t>
      </w:r>
      <w:r>
        <w:rPr>
          <w:spacing w:val="-8"/>
          <w:sz w:val="24"/>
        </w:rPr>
        <w:t> </w:t>
      </w:r>
      <w:r>
        <w:rPr>
          <w:sz w:val="24"/>
        </w:rPr>
        <w:t>might</w:t>
      </w:r>
      <w:r>
        <w:rPr>
          <w:spacing w:val="-8"/>
          <w:sz w:val="24"/>
        </w:rPr>
        <w:t> </w:t>
      </w:r>
      <w:r>
        <w:rPr>
          <w:sz w:val="24"/>
        </w:rPr>
        <w:t>involve</w:t>
      </w:r>
      <w:r>
        <w:rPr>
          <w:spacing w:val="-7"/>
          <w:sz w:val="24"/>
        </w:rPr>
        <w:t> </w:t>
      </w:r>
      <w:r>
        <w:rPr>
          <w:sz w:val="24"/>
        </w:rPr>
        <w:t>a</w:t>
      </w:r>
      <w:r>
        <w:rPr>
          <w:spacing w:val="-8"/>
          <w:sz w:val="24"/>
        </w:rPr>
        <w:t> </w:t>
      </w:r>
      <w:r>
        <w:rPr>
          <w:sz w:val="24"/>
        </w:rPr>
        <w:t>delay</w:t>
      </w:r>
      <w:r>
        <w:rPr>
          <w:spacing w:val="-8"/>
          <w:sz w:val="24"/>
        </w:rPr>
        <w:t> </w:t>
      </w:r>
      <w:r>
        <w:rPr>
          <w:sz w:val="24"/>
        </w:rPr>
        <w:t>in</w:t>
      </w:r>
      <w:r>
        <w:rPr>
          <w:spacing w:val="-8"/>
          <w:sz w:val="24"/>
        </w:rPr>
        <w:t> </w:t>
      </w:r>
      <w:r>
        <w:rPr>
          <w:sz w:val="24"/>
        </w:rPr>
        <w:t>raising</w:t>
      </w:r>
      <w:r>
        <w:rPr>
          <w:spacing w:val="-7"/>
          <w:sz w:val="24"/>
        </w:rPr>
        <w:t> </w:t>
      </w:r>
      <w:r>
        <w:rPr>
          <w:sz w:val="24"/>
        </w:rPr>
        <w:t>interest</w:t>
      </w:r>
      <w:r>
        <w:rPr>
          <w:spacing w:val="-8"/>
          <w:sz w:val="24"/>
        </w:rPr>
        <w:t> </w:t>
      </w:r>
      <w:r>
        <w:rPr>
          <w:sz w:val="24"/>
        </w:rPr>
        <w:t>rates.</w:t>
      </w:r>
      <w:r>
        <w:rPr>
          <w:spacing w:val="46"/>
          <w:sz w:val="24"/>
        </w:rPr>
        <w:t> </w:t>
      </w:r>
      <w:r>
        <w:rPr>
          <w:sz w:val="24"/>
        </w:rPr>
        <w:t>The</w:t>
      </w:r>
      <w:r>
        <w:rPr>
          <w:spacing w:val="-8"/>
          <w:sz w:val="24"/>
        </w:rPr>
        <w:t> </w:t>
      </w:r>
      <w:r>
        <w:rPr>
          <w:sz w:val="24"/>
        </w:rPr>
        <w:t>economy</w:t>
      </w:r>
      <w:r>
        <w:rPr>
          <w:spacing w:val="-8"/>
          <w:sz w:val="24"/>
        </w:rPr>
        <w:t> </w:t>
      </w:r>
      <w:r>
        <w:rPr>
          <w:sz w:val="24"/>
        </w:rPr>
        <w:t>was</w:t>
      </w:r>
      <w:r>
        <w:rPr>
          <w:spacing w:val="-7"/>
          <w:sz w:val="24"/>
        </w:rPr>
        <w:t> </w:t>
      </w:r>
      <w:r>
        <w:rPr>
          <w:sz w:val="24"/>
        </w:rPr>
        <w:t>projected</w:t>
      </w:r>
      <w:r>
        <w:rPr>
          <w:spacing w:val="-8"/>
          <w:sz w:val="24"/>
        </w:rPr>
        <w:t> </w:t>
      </w:r>
      <w:r>
        <w:rPr>
          <w:sz w:val="24"/>
        </w:rPr>
        <w:t>to</w:t>
      </w:r>
      <w:r>
        <w:rPr>
          <w:spacing w:val="-8"/>
          <w:sz w:val="24"/>
        </w:rPr>
        <w:t> </w:t>
      </w:r>
      <w:r>
        <w:rPr>
          <w:sz w:val="24"/>
        </w:rPr>
        <w:t>slow</w:t>
      </w:r>
      <w:r>
        <w:rPr>
          <w:spacing w:val="-8"/>
          <w:sz w:val="24"/>
        </w:rPr>
        <w:t> </w:t>
      </w:r>
      <w:r>
        <w:rPr>
          <w:sz w:val="24"/>
        </w:rPr>
        <w:t>from the effects on net trade of sterling’s appreciation and the Asian developments. A later tightening might </w:t>
      </w:r>
      <w:r>
        <w:rPr>
          <w:spacing w:val="-3"/>
          <w:sz w:val="24"/>
        </w:rPr>
        <w:t>affect domestic demand when </w:t>
      </w:r>
      <w:r>
        <w:rPr>
          <w:sz w:val="24"/>
        </w:rPr>
        <w:t>the </w:t>
      </w:r>
      <w:r>
        <w:rPr>
          <w:spacing w:val="-3"/>
          <w:sz w:val="24"/>
        </w:rPr>
        <w:t>dampening effects </w:t>
      </w:r>
      <w:r>
        <w:rPr>
          <w:sz w:val="24"/>
        </w:rPr>
        <w:t>of </w:t>
      </w:r>
      <w:r>
        <w:rPr>
          <w:spacing w:val="-3"/>
          <w:sz w:val="24"/>
        </w:rPr>
        <w:t>sterling’s appreciation </w:t>
      </w:r>
      <w:r>
        <w:rPr>
          <w:sz w:val="24"/>
        </w:rPr>
        <w:t>and </w:t>
      </w:r>
      <w:r>
        <w:rPr>
          <w:spacing w:val="-3"/>
          <w:sz w:val="24"/>
        </w:rPr>
        <w:t>Asia were wearing off. This could potentially avoid exacerbating </w:t>
      </w:r>
      <w:r>
        <w:rPr>
          <w:sz w:val="24"/>
        </w:rPr>
        <w:t>the </w:t>
      </w:r>
      <w:r>
        <w:rPr>
          <w:spacing w:val="-3"/>
          <w:sz w:val="24"/>
        </w:rPr>
        <w:t>incipient slowdown </w:t>
      </w:r>
      <w:r>
        <w:rPr>
          <w:sz w:val="24"/>
        </w:rPr>
        <w:t>in </w:t>
      </w:r>
      <w:r>
        <w:rPr>
          <w:spacing w:val="-3"/>
          <w:sz w:val="24"/>
        </w:rPr>
        <w:t>activity while nevertheless achieving </w:t>
      </w:r>
      <w:r>
        <w:rPr>
          <w:sz w:val="24"/>
        </w:rPr>
        <w:t>the inflation</w:t>
      </w:r>
      <w:r>
        <w:rPr>
          <w:spacing w:val="1"/>
          <w:sz w:val="24"/>
        </w:rPr>
        <w:t> </w:t>
      </w:r>
      <w:r>
        <w:rPr>
          <w:sz w:val="24"/>
        </w:rPr>
        <w:t>target.</w:t>
      </w:r>
    </w:p>
    <w:p>
      <w:pPr>
        <w:pStyle w:val="BodyText"/>
        <w:spacing w:before="1"/>
        <w:rPr>
          <w:sz w:val="32"/>
        </w:rPr>
      </w:pPr>
    </w:p>
    <w:p>
      <w:pPr>
        <w:pStyle w:val="ListParagraph"/>
        <w:numPr>
          <w:ilvl w:val="0"/>
          <w:numId w:val="1"/>
        </w:numPr>
        <w:tabs>
          <w:tab w:pos="506" w:val="left" w:leader="none"/>
        </w:tabs>
        <w:spacing w:line="321" w:lineRule="auto" w:before="0" w:after="0"/>
        <w:ind w:left="107" w:right="365" w:firstLine="0"/>
        <w:jc w:val="left"/>
        <w:rPr>
          <w:sz w:val="24"/>
        </w:rPr>
      </w:pPr>
      <w:r>
        <w:rPr>
          <w:sz w:val="24"/>
        </w:rPr>
        <w:t>Fourth, while there were clear upside risks to inflation, how to react to some of them - such as </w:t>
      </w:r>
      <w:r>
        <w:rPr>
          <w:spacing w:val="-3"/>
          <w:sz w:val="24"/>
        </w:rPr>
        <w:t>sterling depreciating more rapidly than implied </w:t>
      </w:r>
      <w:r>
        <w:rPr>
          <w:sz w:val="24"/>
        </w:rPr>
        <w:t>by </w:t>
      </w:r>
      <w:r>
        <w:rPr>
          <w:spacing w:val="-3"/>
          <w:sz w:val="24"/>
        </w:rPr>
        <w:t>uncovered interest parity </w:t>
      </w:r>
      <w:r>
        <w:rPr>
          <w:sz w:val="24"/>
        </w:rPr>
        <w:t>- was </w:t>
      </w:r>
      <w:r>
        <w:rPr>
          <w:spacing w:val="-3"/>
          <w:sz w:val="24"/>
        </w:rPr>
        <w:t>better assessed </w:t>
      </w:r>
      <w:r>
        <w:rPr>
          <w:sz w:val="24"/>
        </w:rPr>
        <w:t>if </w:t>
      </w:r>
      <w:r>
        <w:rPr>
          <w:spacing w:val="-3"/>
          <w:sz w:val="24"/>
        </w:rPr>
        <w:t>and </w:t>
      </w:r>
      <w:r>
        <w:rPr>
          <w:sz w:val="24"/>
        </w:rPr>
        <w:t>when the risk started to emerge. It was also possible that the downside risks - for example, from Asia - had increased</w:t>
      </w:r>
      <w:r>
        <w:rPr>
          <w:spacing w:val="-1"/>
          <w:sz w:val="24"/>
        </w:rPr>
        <w:t> </w:t>
      </w:r>
      <w:r>
        <w:rPr>
          <w:sz w:val="24"/>
        </w:rPr>
        <w:t>somewhat.</w:t>
      </w:r>
    </w:p>
    <w:p>
      <w:pPr>
        <w:pStyle w:val="BodyText"/>
        <w:rPr>
          <w:sz w:val="32"/>
        </w:rPr>
      </w:pPr>
    </w:p>
    <w:p>
      <w:pPr>
        <w:pStyle w:val="ListParagraph"/>
        <w:numPr>
          <w:ilvl w:val="0"/>
          <w:numId w:val="1"/>
        </w:numPr>
        <w:tabs>
          <w:tab w:pos="506" w:val="left" w:leader="none"/>
        </w:tabs>
        <w:spacing w:line="321" w:lineRule="auto" w:before="1" w:after="0"/>
        <w:ind w:left="107" w:right="146" w:firstLine="0"/>
        <w:jc w:val="left"/>
        <w:rPr>
          <w:sz w:val="24"/>
        </w:rPr>
      </w:pPr>
      <w:r>
        <w:rPr>
          <w:sz w:val="24"/>
        </w:rPr>
        <w:t>Taking these four arguments together, the benefits of waiting to gather information to help resolve the particular uncertainty about the current position of the economy could outweigh the costs. </w:t>
      </w:r>
      <w:r>
        <w:rPr>
          <w:spacing w:val="-3"/>
          <w:sz w:val="24"/>
        </w:rPr>
        <w:t>Responding immediately also </w:t>
      </w:r>
      <w:r>
        <w:rPr>
          <w:sz w:val="24"/>
        </w:rPr>
        <w:t>ran the </w:t>
      </w:r>
      <w:r>
        <w:rPr>
          <w:spacing w:val="-3"/>
          <w:sz w:val="24"/>
        </w:rPr>
        <w:t>risk </w:t>
      </w:r>
      <w:r>
        <w:rPr>
          <w:sz w:val="24"/>
        </w:rPr>
        <w:t>of </w:t>
      </w:r>
      <w:r>
        <w:rPr>
          <w:spacing w:val="-3"/>
          <w:sz w:val="24"/>
        </w:rPr>
        <w:t>having </w:t>
      </w:r>
      <w:r>
        <w:rPr>
          <w:sz w:val="24"/>
        </w:rPr>
        <w:t>to </w:t>
      </w:r>
      <w:r>
        <w:rPr>
          <w:spacing w:val="-3"/>
          <w:sz w:val="24"/>
        </w:rPr>
        <w:t>incur what some members </w:t>
      </w:r>
      <w:r>
        <w:rPr>
          <w:sz w:val="24"/>
        </w:rPr>
        <w:t>saw as the </w:t>
      </w:r>
      <w:r>
        <w:rPr>
          <w:spacing w:val="-3"/>
          <w:sz w:val="24"/>
        </w:rPr>
        <w:t>costs entailed </w:t>
      </w:r>
      <w:r>
        <w:rPr>
          <w:sz w:val="24"/>
        </w:rPr>
        <w:t>by a </w:t>
      </w:r>
      <w:r>
        <w:rPr>
          <w:spacing w:val="-3"/>
          <w:sz w:val="24"/>
        </w:rPr>
        <w:t>quick reversal </w:t>
      </w:r>
      <w:r>
        <w:rPr>
          <w:sz w:val="24"/>
        </w:rPr>
        <w:t>of</w:t>
      </w:r>
      <w:r>
        <w:rPr>
          <w:spacing w:val="1"/>
          <w:sz w:val="24"/>
        </w:rPr>
        <w:t> </w:t>
      </w:r>
      <w:r>
        <w:rPr>
          <w:spacing w:val="-3"/>
          <w:sz w:val="24"/>
        </w:rPr>
        <w:t>policy.</w:t>
      </w:r>
    </w:p>
    <w:p>
      <w:pPr>
        <w:pStyle w:val="BodyText"/>
        <w:rPr>
          <w:sz w:val="32"/>
        </w:rPr>
      </w:pPr>
    </w:p>
    <w:p>
      <w:pPr>
        <w:pStyle w:val="ListParagraph"/>
        <w:numPr>
          <w:ilvl w:val="0"/>
          <w:numId w:val="1"/>
        </w:numPr>
        <w:tabs>
          <w:tab w:pos="506" w:val="left" w:leader="none"/>
        </w:tabs>
        <w:spacing w:line="321" w:lineRule="auto" w:before="0" w:after="0"/>
        <w:ind w:left="107" w:right="141" w:firstLine="0"/>
        <w:jc w:val="left"/>
        <w:rPr>
          <w:sz w:val="24"/>
        </w:rPr>
      </w:pPr>
      <w:r>
        <w:rPr>
          <w:sz w:val="24"/>
        </w:rPr>
        <w:t>Members of the Committee agreed, however, that the gap between the differing points of view </w:t>
      </w:r>
      <w:r>
        <w:rPr>
          <w:spacing w:val="-2"/>
          <w:sz w:val="24"/>
        </w:rPr>
        <w:t>had </w:t>
      </w:r>
      <w:r>
        <w:rPr>
          <w:sz w:val="24"/>
        </w:rPr>
        <w:t>probably narrowed slightly since the February meeting. On the one hand, although the Christmas </w:t>
      </w:r>
      <w:r>
        <w:rPr>
          <w:spacing w:val="-2"/>
          <w:sz w:val="24"/>
        </w:rPr>
        <w:t>period </w:t>
      </w:r>
      <w:r>
        <w:rPr>
          <w:sz w:val="24"/>
        </w:rPr>
        <w:t>seasonal adjustments were difficult to interpret, the most recent data did not offer much support for an immediate slowdown in consumption. On the other hand, monetary growth had started to slow, the </w:t>
      </w:r>
      <w:r>
        <w:rPr>
          <w:spacing w:val="-2"/>
          <w:sz w:val="24"/>
        </w:rPr>
        <w:t>fiscal </w:t>
      </w:r>
      <w:r>
        <w:rPr>
          <w:sz w:val="24"/>
        </w:rPr>
        <w:t>position might be tighter than earlier expected, the labour market position had not deteriorated at the rate </w:t>
      </w:r>
      <w:r>
        <w:rPr>
          <w:spacing w:val="-3"/>
          <w:sz w:val="24"/>
        </w:rPr>
        <w:t>feared </w:t>
      </w:r>
      <w:r>
        <w:rPr>
          <w:sz w:val="24"/>
        </w:rPr>
        <w:t>by </w:t>
      </w:r>
      <w:r>
        <w:rPr>
          <w:spacing w:val="-3"/>
          <w:sz w:val="24"/>
        </w:rPr>
        <w:t>some, </w:t>
      </w:r>
      <w:r>
        <w:rPr>
          <w:sz w:val="24"/>
        </w:rPr>
        <w:t>and </w:t>
      </w:r>
      <w:r>
        <w:rPr>
          <w:spacing w:val="-3"/>
          <w:sz w:val="24"/>
        </w:rPr>
        <w:t>sterling </w:t>
      </w:r>
      <w:r>
        <w:rPr>
          <w:sz w:val="24"/>
        </w:rPr>
        <w:t>had not </w:t>
      </w:r>
      <w:r>
        <w:rPr>
          <w:spacing w:val="-3"/>
          <w:sz w:val="24"/>
        </w:rPr>
        <w:t>fallen </w:t>
      </w:r>
      <w:r>
        <w:rPr>
          <w:sz w:val="24"/>
        </w:rPr>
        <w:t>in </w:t>
      </w:r>
      <w:r>
        <w:rPr>
          <w:spacing w:val="-3"/>
          <w:sz w:val="24"/>
        </w:rPr>
        <w:t>line with </w:t>
      </w:r>
      <w:r>
        <w:rPr>
          <w:sz w:val="24"/>
        </w:rPr>
        <w:t>the </w:t>
      </w:r>
      <w:r>
        <w:rPr>
          <w:spacing w:val="-3"/>
          <w:sz w:val="24"/>
        </w:rPr>
        <w:t>assumption </w:t>
      </w:r>
      <w:r>
        <w:rPr>
          <w:sz w:val="24"/>
        </w:rPr>
        <w:t>in </w:t>
      </w:r>
      <w:r>
        <w:rPr>
          <w:spacing w:val="-3"/>
          <w:sz w:val="24"/>
        </w:rPr>
        <w:t>central projection. The </w:t>
      </w:r>
      <w:r>
        <w:rPr>
          <w:sz w:val="24"/>
        </w:rPr>
        <w:t>Committee agreed that the development of the labour market data over the next few months would be especially important to assessing the position of the economy and the inflation</w:t>
      </w:r>
      <w:r>
        <w:rPr>
          <w:spacing w:val="-37"/>
          <w:sz w:val="24"/>
        </w:rPr>
        <w:t> </w:t>
      </w:r>
      <w:r>
        <w:rPr>
          <w:sz w:val="24"/>
        </w:rPr>
        <w:t>outlook.</w:t>
      </w:r>
    </w:p>
    <w:p>
      <w:pPr>
        <w:pStyle w:val="BodyText"/>
        <w:rPr>
          <w:sz w:val="32"/>
        </w:rPr>
      </w:pPr>
    </w:p>
    <w:p>
      <w:pPr>
        <w:pStyle w:val="ListParagraph"/>
        <w:numPr>
          <w:ilvl w:val="0"/>
          <w:numId w:val="1"/>
        </w:numPr>
        <w:tabs>
          <w:tab w:pos="506" w:val="left" w:leader="none"/>
        </w:tabs>
        <w:spacing w:line="321" w:lineRule="auto" w:before="0" w:after="0"/>
        <w:ind w:left="107" w:right="127" w:firstLine="0"/>
        <w:jc w:val="left"/>
        <w:rPr>
          <w:sz w:val="24"/>
        </w:rPr>
      </w:pPr>
      <w:r>
        <w:rPr>
          <w:sz w:val="24"/>
        </w:rPr>
        <w:t>The</w:t>
      </w:r>
      <w:r>
        <w:rPr>
          <w:spacing w:val="-3"/>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of</w:t>
      </w:r>
      <w:r>
        <w:rPr>
          <w:spacing w:val="-3"/>
          <w:sz w:val="24"/>
        </w:rPr>
        <w:t> </w:t>
      </w:r>
      <w:r>
        <w:rPr>
          <w:sz w:val="24"/>
        </w:rPr>
        <w:t>the</w:t>
      </w:r>
      <w:r>
        <w:rPr>
          <w:spacing w:val="-3"/>
          <w:sz w:val="24"/>
        </w:rPr>
        <w:t> </w:t>
      </w:r>
      <w:r>
        <w:rPr>
          <w:sz w:val="24"/>
        </w:rPr>
        <w:t>Committee</w:t>
      </w:r>
      <w:r>
        <w:rPr>
          <w:spacing w:val="-3"/>
          <w:sz w:val="24"/>
        </w:rPr>
        <w:t> </w:t>
      </w:r>
      <w:r>
        <w:rPr>
          <w:sz w:val="24"/>
        </w:rPr>
        <w:t>to</w:t>
      </w:r>
      <w:r>
        <w:rPr>
          <w:spacing w:val="-3"/>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3"/>
          <w:sz w:val="24"/>
        </w:rPr>
        <w:t> </w:t>
      </w:r>
      <w:r>
        <w:rPr>
          <w:sz w:val="24"/>
        </w:rPr>
        <w:t>that</w:t>
      </w:r>
      <w:r>
        <w:rPr>
          <w:spacing w:val="-3"/>
          <w:sz w:val="24"/>
        </w:rPr>
        <w:t> </w:t>
      </w:r>
      <w:r>
        <w:rPr>
          <w:sz w:val="24"/>
        </w:rPr>
        <w:t>the</w:t>
      </w:r>
      <w:r>
        <w:rPr>
          <w:spacing w:val="-3"/>
          <w:sz w:val="24"/>
        </w:rPr>
        <w:t> </w:t>
      </w:r>
      <w:r>
        <w:rPr>
          <w:sz w:val="24"/>
        </w:rPr>
        <w:t>Bank’s</w:t>
      </w:r>
      <w:r>
        <w:rPr>
          <w:spacing w:val="-3"/>
          <w:sz w:val="24"/>
        </w:rPr>
        <w:t> </w:t>
      </w:r>
      <w:r>
        <w:rPr>
          <w:sz w:val="24"/>
        </w:rPr>
        <w:t>repo</w:t>
      </w:r>
      <w:r>
        <w:rPr>
          <w:spacing w:val="-3"/>
          <w:sz w:val="24"/>
        </w:rPr>
        <w:t> </w:t>
      </w:r>
      <w:r>
        <w:rPr>
          <w:sz w:val="24"/>
        </w:rPr>
        <w:t>rate be left unchanged this month. Four members of the Committee (the Governor, David</w:t>
      </w:r>
      <w:r>
        <w:rPr>
          <w:spacing w:val="4"/>
          <w:sz w:val="24"/>
        </w:rPr>
        <w:t> </w:t>
      </w:r>
      <w:r>
        <w:rPr>
          <w:sz w:val="24"/>
        </w:rPr>
        <w:t>Clementi,</w:t>
      </w:r>
    </w:p>
    <w:p>
      <w:pPr>
        <w:pStyle w:val="BodyText"/>
        <w:spacing w:line="321" w:lineRule="auto"/>
        <w:ind w:left="107" w:right="308"/>
      </w:pPr>
      <w:r>
        <w:rPr>
          <w:spacing w:val="-3"/>
        </w:rPr>
        <w:t>DeAnne Julius </w:t>
      </w:r>
      <w:r>
        <w:rPr/>
        <w:t>and Ian Plenderleith) voted for the proposition, and four (Alan Budd, Willem Buiter, Charles</w:t>
      </w:r>
      <w:r>
        <w:rPr>
          <w:spacing w:val="-11"/>
        </w:rPr>
        <w:t> </w:t>
      </w:r>
      <w:r>
        <w:rPr/>
        <w:t>Goodhart</w:t>
      </w:r>
      <w:r>
        <w:rPr>
          <w:spacing w:val="-10"/>
        </w:rPr>
        <w:t> </w:t>
      </w:r>
      <w:r>
        <w:rPr/>
        <w:t>and</w:t>
      </w:r>
      <w:r>
        <w:rPr>
          <w:spacing w:val="-10"/>
        </w:rPr>
        <w:t> </w:t>
      </w:r>
      <w:r>
        <w:rPr/>
        <w:t>Mervyn</w:t>
      </w:r>
      <w:r>
        <w:rPr>
          <w:spacing w:val="-10"/>
        </w:rPr>
        <w:t> </w:t>
      </w:r>
      <w:r>
        <w:rPr/>
        <w:t>King)</w:t>
      </w:r>
      <w:r>
        <w:rPr>
          <w:spacing w:val="-10"/>
        </w:rPr>
        <w:t> </w:t>
      </w:r>
      <w:r>
        <w:rPr/>
        <w:t>voted</w:t>
      </w:r>
      <w:r>
        <w:rPr>
          <w:spacing w:val="-10"/>
        </w:rPr>
        <w:t> </w:t>
      </w:r>
      <w:r>
        <w:rPr/>
        <w:t>against,</w:t>
      </w:r>
      <w:r>
        <w:rPr>
          <w:spacing w:val="-10"/>
        </w:rPr>
        <w:t> </w:t>
      </w:r>
      <w:r>
        <w:rPr/>
        <w:t>preferring</w:t>
      </w:r>
      <w:r>
        <w:rPr>
          <w:spacing w:val="-10"/>
        </w:rPr>
        <w:t> </w:t>
      </w:r>
      <w:r>
        <w:rPr/>
        <w:t>an</w:t>
      </w:r>
      <w:r>
        <w:rPr>
          <w:spacing w:val="-10"/>
        </w:rPr>
        <w:t> </w:t>
      </w:r>
      <w:r>
        <w:rPr/>
        <w:t>immediate</w:t>
      </w:r>
      <w:r>
        <w:rPr>
          <w:spacing w:val="-10"/>
        </w:rPr>
        <w:t> </w:t>
      </w:r>
      <w:r>
        <w:rPr/>
        <w:t>increase</w:t>
      </w:r>
      <w:r>
        <w:rPr>
          <w:spacing w:val="-10"/>
        </w:rPr>
        <w:t> </w:t>
      </w:r>
      <w:r>
        <w:rPr/>
        <w:t>in</w:t>
      </w:r>
      <w:r>
        <w:rPr>
          <w:spacing w:val="-10"/>
        </w:rPr>
        <w:t> </w:t>
      </w:r>
      <w:r>
        <w:rPr/>
        <w:t>interest</w:t>
      </w:r>
      <w:r>
        <w:rPr>
          <w:spacing w:val="-10"/>
        </w:rPr>
        <w:t> </w:t>
      </w:r>
      <w:r>
        <w:rPr>
          <w:spacing w:val="-2"/>
        </w:rPr>
        <w:t>rates. </w:t>
      </w:r>
      <w:r>
        <w:rPr/>
        <w:t>The Governor exercised his casting vote in favour of the proposition and the repo rate was thus left unchanged.</w:t>
      </w:r>
    </w:p>
    <w:p>
      <w:pPr>
        <w:spacing w:after="0" w:line="321" w:lineRule="auto"/>
        <w:sectPr>
          <w:pgSz w:w="11900" w:h="16840"/>
          <w:pgMar w:header="753" w:footer="0" w:top="1040" w:bottom="280" w:left="800" w:right="780"/>
        </w:sectPr>
      </w:pPr>
    </w:p>
    <w:p>
      <w:pPr>
        <w:pStyle w:val="BodyText"/>
        <w:spacing w:before="1"/>
        <w:rPr>
          <w:sz w:val="14"/>
        </w:rPr>
      </w:pPr>
    </w:p>
    <w:p>
      <w:pPr>
        <w:pStyle w:val="BodyText"/>
        <w:spacing w:line="321" w:lineRule="auto" w:before="90"/>
        <w:ind w:left="107" w:right="4801"/>
      </w:pPr>
      <w:r>
        <w:rPr/>
        <w:t>The following members of the Committee were present: Eddie George (Governor)</w:t>
      </w:r>
    </w:p>
    <w:p>
      <w:pPr>
        <w:pStyle w:val="BodyText"/>
        <w:spacing w:line="321" w:lineRule="auto"/>
        <w:ind w:left="107" w:right="6334"/>
      </w:pPr>
      <w:r>
        <w:rPr/>
        <w:t>David Clementi (Deputy Governor) Alan Budd</w:t>
      </w:r>
    </w:p>
    <w:p>
      <w:pPr>
        <w:pStyle w:val="BodyText"/>
        <w:spacing w:line="321" w:lineRule="auto"/>
        <w:ind w:left="107" w:right="8120"/>
      </w:pPr>
      <w:r>
        <w:rPr/>
        <w:t>Willem Buiter Charles Goodhart DeAnne Julius Mervyn King</w:t>
      </w:r>
    </w:p>
    <w:p>
      <w:pPr>
        <w:pStyle w:val="BodyText"/>
        <w:spacing w:line="275" w:lineRule="exact"/>
        <w:ind w:left="107"/>
      </w:pPr>
      <w:r>
        <w:rPr/>
        <w:t>Ian Plenderleith</w:t>
      </w:r>
    </w:p>
    <w:p>
      <w:pPr>
        <w:pStyle w:val="BodyText"/>
        <w:rPr>
          <w:sz w:val="26"/>
        </w:rPr>
      </w:pPr>
    </w:p>
    <w:p>
      <w:pPr>
        <w:pStyle w:val="BodyText"/>
        <w:spacing w:before="164"/>
        <w:ind w:left="107"/>
      </w:pPr>
      <w:r>
        <w:rPr/>
        <w:t>Gus O’Donnell was also present as the Treasury representative</w:t>
      </w:r>
    </w:p>
    <w:p>
      <w:pPr>
        <w:spacing w:after="0"/>
        <w:sectPr>
          <w:pgSz w:w="11900" w:h="16840"/>
          <w:pgMar w:header="753" w:footer="0" w:top="1040" w:bottom="280" w:left="800" w:right="780"/>
        </w:sectPr>
      </w:pPr>
    </w:p>
    <w:p>
      <w:pPr>
        <w:pStyle w:val="Heading1"/>
        <w:spacing w:line="247" w:lineRule="auto" w:before="107"/>
        <w:ind w:left="640" w:right="292"/>
      </w:pPr>
      <w:r>
        <w:rPr/>
        <w:t>SUMMARY OF DATA PRESENTED TO THE MONETARY POLICY COMMITTEE BY BANK STAFF</w:t>
      </w:r>
    </w:p>
    <w:p>
      <w:pPr>
        <w:pStyle w:val="BodyText"/>
        <w:rPr>
          <w:b/>
        </w:rPr>
      </w:pPr>
    </w:p>
    <w:p>
      <w:pPr>
        <w:pStyle w:val="BodyText"/>
        <w:tabs>
          <w:tab w:pos="1206" w:val="left" w:leader="none"/>
        </w:tabs>
        <w:spacing w:line="321" w:lineRule="auto"/>
        <w:ind w:left="640" w:right="616"/>
      </w:pPr>
      <w:r>
        <w:rPr/>
        <w:t>A1</w:t>
        <w:tab/>
      </w:r>
      <w:r>
        <w:rPr>
          <w:spacing w:val="-3"/>
        </w:rPr>
        <w:t>This Annex summarises </w:t>
      </w:r>
      <w:r>
        <w:rPr/>
        <w:t>the </w:t>
      </w:r>
      <w:r>
        <w:rPr>
          <w:spacing w:val="-3"/>
        </w:rPr>
        <w:t>analysis presented </w:t>
      </w:r>
      <w:r>
        <w:rPr/>
        <w:t>by </w:t>
      </w:r>
      <w:r>
        <w:rPr>
          <w:spacing w:val="-3"/>
        </w:rPr>
        <w:t>Bank staff </w:t>
      </w:r>
      <w:r>
        <w:rPr/>
        <w:t>to the </w:t>
      </w:r>
      <w:r>
        <w:rPr>
          <w:spacing w:val="-3"/>
        </w:rPr>
        <w:t>Monetary Policy </w:t>
      </w:r>
      <w:r>
        <w:rPr/>
        <w:t>Committee on 27 February 1998, in advance of its meeting. It has been updated to incorporate data that subsequently became available to the</w:t>
      </w:r>
      <w:r>
        <w:rPr>
          <w:spacing w:val="-10"/>
        </w:rPr>
        <w:t> </w:t>
      </w:r>
      <w:r>
        <w:rPr/>
        <w:t>Committee.</w:t>
      </w:r>
    </w:p>
    <w:p>
      <w:pPr>
        <w:pStyle w:val="BodyText"/>
        <w:spacing w:before="6"/>
        <w:rPr>
          <w:sz w:val="32"/>
        </w:rPr>
      </w:pPr>
    </w:p>
    <w:p>
      <w:pPr>
        <w:pStyle w:val="Heading1"/>
        <w:numPr>
          <w:ilvl w:val="1"/>
          <w:numId w:val="1"/>
        </w:numPr>
        <w:tabs>
          <w:tab w:pos="859" w:val="left" w:leader="none"/>
        </w:tabs>
        <w:spacing w:line="240" w:lineRule="auto" w:before="0" w:after="0"/>
        <w:ind w:left="858" w:right="0" w:hanging="219"/>
        <w:jc w:val="left"/>
      </w:pPr>
      <w:r>
        <w:rPr/>
        <w:t>Monetary</w:t>
      </w:r>
      <w:r>
        <w:rPr>
          <w:spacing w:val="2"/>
        </w:rPr>
        <w:t> </w:t>
      </w:r>
      <w:r>
        <w:rPr/>
        <w:t>conditions</w:t>
      </w:r>
    </w:p>
    <w:p>
      <w:pPr>
        <w:pStyle w:val="BodyText"/>
        <w:rPr>
          <w:b/>
          <w:sz w:val="26"/>
        </w:rPr>
      </w:pPr>
    </w:p>
    <w:p>
      <w:pPr>
        <w:pStyle w:val="BodyText"/>
        <w:tabs>
          <w:tab w:pos="1206" w:val="left" w:leader="none"/>
        </w:tabs>
        <w:spacing w:line="321" w:lineRule="auto" w:before="159"/>
        <w:ind w:left="640" w:right="328"/>
      </w:pPr>
      <w:r>
        <w:rPr/>
        <w:t>A2</w:t>
        <w:tab/>
        <w:t>Notes</w:t>
      </w:r>
      <w:r>
        <w:rPr>
          <w:spacing w:val="-8"/>
        </w:rPr>
        <w:t> </w:t>
      </w:r>
      <w:r>
        <w:rPr/>
        <w:t>and</w:t>
      </w:r>
      <w:r>
        <w:rPr>
          <w:spacing w:val="-8"/>
        </w:rPr>
        <w:t> </w:t>
      </w:r>
      <w:r>
        <w:rPr/>
        <w:t>coin</w:t>
      </w:r>
      <w:r>
        <w:rPr>
          <w:spacing w:val="-8"/>
        </w:rPr>
        <w:t> </w:t>
      </w:r>
      <w:r>
        <w:rPr/>
        <w:t>grew</w:t>
      </w:r>
      <w:r>
        <w:rPr>
          <w:spacing w:val="-8"/>
        </w:rPr>
        <w:t> </w:t>
      </w:r>
      <w:r>
        <w:rPr/>
        <w:t>by</w:t>
      </w:r>
      <w:r>
        <w:rPr>
          <w:spacing w:val="-8"/>
        </w:rPr>
        <w:t> </w:t>
      </w:r>
      <w:r>
        <w:rPr/>
        <w:t>0.6%</w:t>
      </w:r>
      <w:r>
        <w:rPr>
          <w:spacing w:val="-7"/>
        </w:rPr>
        <w:t> </w:t>
      </w:r>
      <w:r>
        <w:rPr/>
        <w:t>on</w:t>
      </w:r>
      <w:r>
        <w:rPr>
          <w:spacing w:val="-8"/>
        </w:rPr>
        <w:t> </w:t>
      </w:r>
      <w:r>
        <w:rPr/>
        <w:t>the</w:t>
      </w:r>
      <w:r>
        <w:rPr>
          <w:spacing w:val="-8"/>
        </w:rPr>
        <w:t> </w:t>
      </w:r>
      <w:r>
        <w:rPr/>
        <w:t>month</w:t>
      </w:r>
      <w:r>
        <w:rPr>
          <w:spacing w:val="-8"/>
        </w:rPr>
        <w:t> </w:t>
      </w:r>
      <w:r>
        <w:rPr/>
        <w:t>in</w:t>
      </w:r>
      <w:r>
        <w:rPr>
          <w:spacing w:val="-8"/>
        </w:rPr>
        <w:t> </w:t>
      </w:r>
      <w:r>
        <w:rPr/>
        <w:t>January,</w:t>
      </w:r>
      <w:r>
        <w:rPr>
          <w:spacing w:val="-7"/>
        </w:rPr>
        <w:t> </w:t>
      </w:r>
      <w:r>
        <w:rPr/>
        <w:t>and</w:t>
      </w:r>
      <w:r>
        <w:rPr>
          <w:spacing w:val="-8"/>
        </w:rPr>
        <w:t> </w:t>
      </w:r>
      <w:r>
        <w:rPr/>
        <w:t>preliminary</w:t>
      </w:r>
      <w:r>
        <w:rPr>
          <w:spacing w:val="-8"/>
        </w:rPr>
        <w:t> </w:t>
      </w:r>
      <w:r>
        <w:rPr/>
        <w:t>estimates</w:t>
      </w:r>
      <w:r>
        <w:rPr>
          <w:spacing w:val="-8"/>
        </w:rPr>
        <w:t> </w:t>
      </w:r>
      <w:r>
        <w:rPr/>
        <w:t>suggested that growth in February was 0.4%. The twelve-month growth rate rose to 7.1% in February, although</w:t>
      </w:r>
      <w:r>
        <w:rPr>
          <w:spacing w:val="-7"/>
        </w:rPr>
        <w:t> </w:t>
      </w:r>
      <w:r>
        <w:rPr/>
        <w:t>the</w:t>
      </w:r>
      <w:r>
        <w:rPr>
          <w:spacing w:val="-7"/>
        </w:rPr>
        <w:t> </w:t>
      </w:r>
      <w:r>
        <w:rPr/>
        <w:t>introduction</w:t>
      </w:r>
      <w:r>
        <w:rPr>
          <w:spacing w:val="-8"/>
        </w:rPr>
        <w:t> </w:t>
      </w:r>
      <w:r>
        <w:rPr/>
        <w:t>of</w:t>
      </w:r>
      <w:r>
        <w:rPr>
          <w:spacing w:val="-7"/>
        </w:rPr>
        <w:t> </w:t>
      </w:r>
      <w:r>
        <w:rPr/>
        <w:t>the</w:t>
      </w:r>
      <w:r>
        <w:rPr>
          <w:spacing w:val="-7"/>
        </w:rPr>
        <w:t> </w:t>
      </w:r>
      <w:r>
        <w:rPr/>
        <w:t>new</w:t>
      </w:r>
      <w:r>
        <w:rPr>
          <w:spacing w:val="-7"/>
        </w:rPr>
        <w:t> </w:t>
      </w:r>
      <w:r>
        <w:rPr/>
        <w:t>50p</w:t>
      </w:r>
      <w:r>
        <w:rPr>
          <w:spacing w:val="-7"/>
        </w:rPr>
        <w:t> </w:t>
      </w:r>
      <w:r>
        <w:rPr/>
        <w:t>coin</w:t>
      </w:r>
      <w:r>
        <w:rPr>
          <w:spacing w:val="-7"/>
        </w:rPr>
        <w:t> </w:t>
      </w:r>
      <w:r>
        <w:rPr/>
        <w:t>was</w:t>
      </w:r>
      <w:r>
        <w:rPr>
          <w:spacing w:val="-7"/>
        </w:rPr>
        <w:t> </w:t>
      </w:r>
      <w:r>
        <w:rPr/>
        <w:t>still</w:t>
      </w:r>
      <w:r>
        <w:rPr>
          <w:spacing w:val="-7"/>
        </w:rPr>
        <w:t> </w:t>
      </w:r>
      <w:r>
        <w:rPr/>
        <w:t>adding</w:t>
      </w:r>
      <w:r>
        <w:rPr>
          <w:spacing w:val="-7"/>
        </w:rPr>
        <w:t> </w:t>
      </w:r>
      <w:r>
        <w:rPr/>
        <w:t>0.2</w:t>
      </w:r>
      <w:r>
        <w:rPr>
          <w:spacing w:val="-7"/>
        </w:rPr>
        <w:t> </w:t>
      </w:r>
      <w:r>
        <w:rPr/>
        <w:t>percentage</w:t>
      </w:r>
      <w:r>
        <w:rPr>
          <w:spacing w:val="-7"/>
        </w:rPr>
        <w:t> </w:t>
      </w:r>
      <w:r>
        <w:rPr/>
        <w:t>points</w:t>
      </w:r>
      <w:r>
        <w:rPr>
          <w:spacing w:val="-7"/>
        </w:rPr>
        <w:t> </w:t>
      </w:r>
      <w:r>
        <w:rPr/>
        <w:t>to</w:t>
      </w:r>
      <w:r>
        <w:rPr>
          <w:spacing w:val="-7"/>
        </w:rPr>
        <w:t> </w:t>
      </w:r>
      <w:r>
        <w:rPr/>
        <w:t>this</w:t>
      </w:r>
      <w:r>
        <w:rPr>
          <w:spacing w:val="-7"/>
        </w:rPr>
        <w:t> </w:t>
      </w:r>
      <w:r>
        <w:rPr/>
        <w:t>figure. The Royal Mint had reported that around 20% of the old 50p coins were still outstanding. This meant that the upward distortion to the twelve-month rate would continue beyond</w:t>
      </w:r>
      <w:r>
        <w:rPr>
          <w:spacing w:val="-35"/>
        </w:rPr>
        <w:t> </w:t>
      </w:r>
      <w:r>
        <w:rPr/>
        <w:t>February.</w:t>
      </w:r>
    </w:p>
    <w:p>
      <w:pPr>
        <w:pStyle w:val="BodyText"/>
        <w:spacing w:before="1"/>
        <w:rPr>
          <w:sz w:val="32"/>
        </w:rPr>
      </w:pPr>
    </w:p>
    <w:p>
      <w:pPr>
        <w:pStyle w:val="BodyText"/>
        <w:tabs>
          <w:tab w:pos="1206" w:val="left" w:leader="none"/>
        </w:tabs>
        <w:spacing w:line="321" w:lineRule="auto"/>
        <w:ind w:left="639" w:right="458"/>
      </w:pPr>
      <w:r>
        <w:rPr/>
        <w:t>A3</w:t>
        <w:tab/>
        <w:t>The one-month and period growth rates were now indicating a slowdown in M4 growth. M4 rose by 0.2% in January, while three-month and six-month annualised rates fell to 7.8% </w:t>
      </w:r>
      <w:r>
        <w:rPr>
          <w:spacing w:val="-2"/>
        </w:rPr>
        <w:t>and </w:t>
      </w:r>
      <w:r>
        <w:rPr/>
        <w:t>8.1% respectively, down from rates in the 11%-12% range in mid 1997. The slowdown </w:t>
      </w:r>
      <w:r>
        <w:rPr>
          <w:spacing w:val="-2"/>
        </w:rPr>
        <w:t>had </w:t>
      </w:r>
      <w:r>
        <w:rPr/>
        <w:t>become</w:t>
      </w:r>
      <w:r>
        <w:rPr>
          <w:spacing w:val="-8"/>
        </w:rPr>
        <w:t> </w:t>
      </w:r>
      <w:r>
        <w:rPr/>
        <w:t>more</w:t>
      </w:r>
      <w:r>
        <w:rPr>
          <w:spacing w:val="-8"/>
        </w:rPr>
        <w:t> </w:t>
      </w:r>
      <w:r>
        <w:rPr/>
        <w:t>apparent</w:t>
      </w:r>
      <w:r>
        <w:rPr>
          <w:spacing w:val="-8"/>
        </w:rPr>
        <w:t> </w:t>
      </w:r>
      <w:r>
        <w:rPr/>
        <w:t>after</w:t>
      </w:r>
      <w:r>
        <w:rPr>
          <w:spacing w:val="-8"/>
        </w:rPr>
        <w:t> </w:t>
      </w:r>
      <w:r>
        <w:rPr/>
        <w:t>revisions</w:t>
      </w:r>
      <w:r>
        <w:rPr>
          <w:spacing w:val="-7"/>
        </w:rPr>
        <w:t> </w:t>
      </w:r>
      <w:r>
        <w:rPr/>
        <w:t>to</w:t>
      </w:r>
      <w:r>
        <w:rPr>
          <w:spacing w:val="-8"/>
        </w:rPr>
        <w:t> </w:t>
      </w:r>
      <w:r>
        <w:rPr/>
        <w:t>the</w:t>
      </w:r>
      <w:r>
        <w:rPr>
          <w:spacing w:val="-8"/>
        </w:rPr>
        <w:t> </w:t>
      </w:r>
      <w:r>
        <w:rPr/>
        <w:t>1997</w:t>
      </w:r>
      <w:r>
        <w:rPr>
          <w:spacing w:val="-8"/>
        </w:rPr>
        <w:t> </w:t>
      </w:r>
      <w:r>
        <w:rPr/>
        <w:t>data,</w:t>
      </w:r>
      <w:r>
        <w:rPr>
          <w:spacing w:val="-7"/>
        </w:rPr>
        <w:t> </w:t>
      </w:r>
      <w:r>
        <w:rPr/>
        <w:t>reflecting</w:t>
      </w:r>
      <w:r>
        <w:rPr>
          <w:spacing w:val="-8"/>
        </w:rPr>
        <w:t> </w:t>
      </w:r>
      <w:r>
        <w:rPr/>
        <w:t>the</w:t>
      </w:r>
      <w:r>
        <w:rPr>
          <w:spacing w:val="-8"/>
        </w:rPr>
        <w:t> </w:t>
      </w:r>
      <w:r>
        <w:rPr/>
        <w:t>normal</w:t>
      </w:r>
      <w:r>
        <w:rPr>
          <w:spacing w:val="-8"/>
        </w:rPr>
        <w:t> </w:t>
      </w:r>
      <w:r>
        <w:rPr/>
        <w:t>re-estimation</w:t>
      </w:r>
      <w:r>
        <w:rPr>
          <w:spacing w:val="-8"/>
        </w:rPr>
        <w:t> </w:t>
      </w:r>
      <w:r>
        <w:rPr/>
        <w:t>of</w:t>
      </w:r>
      <w:r>
        <w:rPr>
          <w:spacing w:val="-7"/>
        </w:rPr>
        <w:t> </w:t>
      </w:r>
      <w:r>
        <w:rPr>
          <w:spacing w:val="-2"/>
        </w:rPr>
        <w:t>the </w:t>
      </w:r>
      <w:r>
        <w:rPr/>
        <w:t>seasonal adjustments. Real M4 grew by just under 8% in the year to January, but the six-month </w:t>
      </w:r>
      <w:r>
        <w:rPr>
          <w:spacing w:val="-3"/>
        </w:rPr>
        <w:t>annualised rate </w:t>
      </w:r>
      <w:r>
        <w:rPr/>
        <w:t>had </w:t>
      </w:r>
      <w:r>
        <w:rPr>
          <w:spacing w:val="-3"/>
        </w:rPr>
        <w:t>fallen below</w:t>
      </w:r>
      <w:r>
        <w:rPr>
          <w:spacing w:val="9"/>
        </w:rPr>
        <w:t> </w:t>
      </w:r>
      <w:r>
        <w:rPr>
          <w:spacing w:val="-3"/>
        </w:rPr>
        <w:t>6%.</w:t>
      </w:r>
    </w:p>
    <w:p>
      <w:pPr>
        <w:pStyle w:val="BodyText"/>
        <w:rPr>
          <w:sz w:val="32"/>
        </w:rPr>
      </w:pPr>
    </w:p>
    <w:p>
      <w:pPr>
        <w:pStyle w:val="BodyText"/>
        <w:tabs>
          <w:tab w:pos="1206" w:val="left" w:leader="none"/>
        </w:tabs>
        <w:spacing w:line="321" w:lineRule="auto"/>
        <w:ind w:left="639" w:right="376"/>
      </w:pPr>
      <w:r>
        <w:rPr/>
        <w:t>A4</w:t>
        <w:tab/>
        <w:t>The slowdown in M4 growth appeared to be largely accounted for by wholesale deposits. </w:t>
      </w:r>
      <w:r>
        <w:rPr>
          <w:spacing w:val="-3"/>
        </w:rPr>
        <w:t>Although still high, </w:t>
      </w:r>
      <w:r>
        <w:rPr/>
        <w:t>the </w:t>
      </w:r>
      <w:r>
        <w:rPr>
          <w:spacing w:val="-3"/>
        </w:rPr>
        <w:t>six-month annualised growth rate </w:t>
      </w:r>
      <w:r>
        <w:rPr/>
        <w:t>of </w:t>
      </w:r>
      <w:r>
        <w:rPr>
          <w:spacing w:val="-3"/>
        </w:rPr>
        <w:t>wholesale money </w:t>
      </w:r>
      <w:r>
        <w:rPr/>
        <w:t>had </w:t>
      </w:r>
      <w:r>
        <w:rPr>
          <w:spacing w:val="-3"/>
        </w:rPr>
        <w:t>fallen </w:t>
      </w:r>
      <w:r>
        <w:rPr/>
        <w:t>to </w:t>
      </w:r>
      <w:r>
        <w:rPr>
          <w:spacing w:val="-3"/>
        </w:rPr>
        <w:t>12.1% </w:t>
      </w:r>
      <w:r>
        <w:rPr/>
        <w:t>in</w:t>
      </w:r>
      <w:r>
        <w:rPr>
          <w:spacing w:val="-6"/>
        </w:rPr>
        <w:t> </w:t>
      </w:r>
      <w:r>
        <w:rPr/>
        <w:t>January,</w:t>
      </w:r>
      <w:r>
        <w:rPr>
          <w:spacing w:val="-6"/>
        </w:rPr>
        <w:t> </w:t>
      </w:r>
      <w:r>
        <w:rPr/>
        <w:t>down</w:t>
      </w:r>
      <w:r>
        <w:rPr>
          <w:spacing w:val="-5"/>
        </w:rPr>
        <w:t> </w:t>
      </w:r>
      <w:r>
        <w:rPr/>
        <w:t>from</w:t>
      </w:r>
      <w:r>
        <w:rPr>
          <w:spacing w:val="-6"/>
        </w:rPr>
        <w:t> </w:t>
      </w:r>
      <w:r>
        <w:rPr/>
        <w:t>rates</w:t>
      </w:r>
      <w:r>
        <w:rPr>
          <w:spacing w:val="-6"/>
        </w:rPr>
        <w:t> </w:t>
      </w:r>
      <w:r>
        <w:rPr/>
        <w:t>in</w:t>
      </w:r>
      <w:r>
        <w:rPr>
          <w:spacing w:val="-5"/>
        </w:rPr>
        <w:t> </w:t>
      </w:r>
      <w:r>
        <w:rPr/>
        <w:t>excess</w:t>
      </w:r>
      <w:r>
        <w:rPr>
          <w:spacing w:val="-6"/>
        </w:rPr>
        <w:t> </w:t>
      </w:r>
      <w:r>
        <w:rPr/>
        <w:t>of</w:t>
      </w:r>
      <w:r>
        <w:rPr>
          <w:spacing w:val="-6"/>
        </w:rPr>
        <w:t> </w:t>
      </w:r>
      <w:r>
        <w:rPr/>
        <w:t>20%</w:t>
      </w:r>
      <w:r>
        <w:rPr>
          <w:spacing w:val="-5"/>
        </w:rPr>
        <w:t> </w:t>
      </w:r>
      <w:r>
        <w:rPr/>
        <w:t>in</w:t>
      </w:r>
      <w:r>
        <w:rPr>
          <w:spacing w:val="-6"/>
        </w:rPr>
        <w:t> </w:t>
      </w:r>
      <w:r>
        <w:rPr/>
        <w:t>the</w:t>
      </w:r>
      <w:r>
        <w:rPr>
          <w:spacing w:val="-6"/>
        </w:rPr>
        <w:t> </w:t>
      </w:r>
      <w:r>
        <w:rPr/>
        <w:t>first</w:t>
      </w:r>
      <w:r>
        <w:rPr>
          <w:spacing w:val="-5"/>
        </w:rPr>
        <w:t> </w:t>
      </w:r>
      <w:r>
        <w:rPr/>
        <w:t>half</w:t>
      </w:r>
      <w:r>
        <w:rPr>
          <w:spacing w:val="-6"/>
        </w:rPr>
        <w:t> </w:t>
      </w:r>
      <w:r>
        <w:rPr/>
        <w:t>of</w:t>
      </w:r>
      <w:r>
        <w:rPr>
          <w:spacing w:val="-6"/>
        </w:rPr>
        <w:t> </w:t>
      </w:r>
      <w:r>
        <w:rPr/>
        <w:t>1997.</w:t>
      </w:r>
      <w:r>
        <w:rPr>
          <w:spacing w:val="51"/>
        </w:rPr>
        <w:t> </w:t>
      </w:r>
      <w:r>
        <w:rPr/>
        <w:t>This</w:t>
      </w:r>
      <w:r>
        <w:rPr>
          <w:spacing w:val="-6"/>
        </w:rPr>
        <w:t> </w:t>
      </w:r>
      <w:r>
        <w:rPr/>
        <w:t>was</w:t>
      </w:r>
      <w:r>
        <w:rPr>
          <w:spacing w:val="-5"/>
        </w:rPr>
        <w:t> </w:t>
      </w:r>
      <w:r>
        <w:rPr/>
        <w:t>consistent</w:t>
      </w:r>
      <w:r>
        <w:rPr>
          <w:spacing w:val="-6"/>
        </w:rPr>
        <w:t> </w:t>
      </w:r>
      <w:r>
        <w:rPr/>
        <w:t>with</w:t>
      </w:r>
      <w:r>
        <w:rPr>
          <w:spacing w:val="-6"/>
        </w:rPr>
        <w:t> </w:t>
      </w:r>
      <w:r>
        <w:rPr/>
        <w:t>a </w:t>
      </w:r>
      <w:r>
        <w:rPr>
          <w:spacing w:val="-3"/>
        </w:rPr>
        <w:t>‘liability management’ description </w:t>
      </w:r>
      <w:r>
        <w:rPr/>
        <w:t>of </w:t>
      </w:r>
      <w:r>
        <w:rPr>
          <w:spacing w:val="-3"/>
        </w:rPr>
        <w:t>banks’ recent behaviour, with </w:t>
      </w:r>
      <w:r>
        <w:rPr/>
        <w:t>the </w:t>
      </w:r>
      <w:r>
        <w:rPr>
          <w:spacing w:val="-3"/>
        </w:rPr>
        <w:t>slowdown </w:t>
      </w:r>
      <w:r>
        <w:rPr/>
        <w:t>in M4 </w:t>
      </w:r>
      <w:r>
        <w:rPr>
          <w:spacing w:val="-3"/>
        </w:rPr>
        <w:t>lending </w:t>
      </w:r>
      <w:r>
        <w:rPr/>
        <w:t>requiring banks to bid for fewer</w:t>
      </w:r>
      <w:r>
        <w:rPr>
          <w:spacing w:val="2"/>
        </w:rPr>
        <w:t> </w:t>
      </w:r>
      <w:r>
        <w:rPr/>
        <w:t>deposits.</w:t>
      </w:r>
    </w:p>
    <w:p>
      <w:pPr>
        <w:pStyle w:val="BodyText"/>
        <w:spacing w:before="1"/>
        <w:rPr>
          <w:sz w:val="32"/>
        </w:rPr>
      </w:pPr>
    </w:p>
    <w:p>
      <w:pPr>
        <w:pStyle w:val="BodyText"/>
        <w:tabs>
          <w:tab w:pos="1206" w:val="left" w:leader="none"/>
        </w:tabs>
        <w:spacing w:line="321" w:lineRule="auto"/>
        <w:ind w:left="639" w:right="251"/>
      </w:pPr>
      <w:r>
        <w:rPr/>
        <w:t>A5</w:t>
        <w:tab/>
        <w:t>The sectoral data for January showed the twelve-month growth of personal sector money holdings</w:t>
      </w:r>
      <w:r>
        <w:rPr>
          <w:spacing w:val="-8"/>
        </w:rPr>
        <w:t> </w:t>
      </w:r>
      <w:r>
        <w:rPr/>
        <w:t>remaining</w:t>
      </w:r>
      <w:r>
        <w:rPr>
          <w:spacing w:val="-8"/>
        </w:rPr>
        <w:t> </w:t>
      </w:r>
      <w:r>
        <w:rPr/>
        <w:t>steady</w:t>
      </w:r>
      <w:r>
        <w:rPr>
          <w:spacing w:val="-8"/>
        </w:rPr>
        <w:t> </w:t>
      </w:r>
      <w:r>
        <w:rPr/>
        <w:t>at</w:t>
      </w:r>
      <w:r>
        <w:rPr>
          <w:spacing w:val="-8"/>
        </w:rPr>
        <w:t> </w:t>
      </w:r>
      <w:r>
        <w:rPr/>
        <w:t>8.1%.</w:t>
      </w:r>
      <w:r>
        <w:rPr>
          <w:spacing w:val="47"/>
        </w:rPr>
        <w:t> </w:t>
      </w:r>
      <w:r>
        <w:rPr/>
        <w:t>Revisions</w:t>
      </w:r>
      <w:r>
        <w:rPr>
          <w:spacing w:val="-7"/>
        </w:rPr>
        <w:t> </w:t>
      </w:r>
      <w:r>
        <w:rPr/>
        <w:t>to</w:t>
      </w:r>
      <w:r>
        <w:rPr>
          <w:spacing w:val="-8"/>
        </w:rPr>
        <w:t> </w:t>
      </w:r>
      <w:r>
        <w:rPr/>
        <w:t>the</w:t>
      </w:r>
      <w:r>
        <w:rPr>
          <w:spacing w:val="-8"/>
        </w:rPr>
        <w:t> </w:t>
      </w:r>
      <w:r>
        <w:rPr/>
        <w:t>data</w:t>
      </w:r>
      <w:r>
        <w:rPr>
          <w:spacing w:val="-8"/>
        </w:rPr>
        <w:t> </w:t>
      </w:r>
      <w:r>
        <w:rPr/>
        <w:t>had</w:t>
      </w:r>
      <w:r>
        <w:rPr>
          <w:spacing w:val="-8"/>
        </w:rPr>
        <w:t> </w:t>
      </w:r>
      <w:r>
        <w:rPr/>
        <w:t>also</w:t>
      </w:r>
      <w:r>
        <w:rPr>
          <w:spacing w:val="-7"/>
        </w:rPr>
        <w:t> </w:t>
      </w:r>
      <w:r>
        <w:rPr/>
        <w:t>brought</w:t>
      </w:r>
      <w:r>
        <w:rPr>
          <w:spacing w:val="-8"/>
        </w:rPr>
        <w:t> </w:t>
      </w:r>
      <w:r>
        <w:rPr/>
        <w:t>individuals’</w:t>
      </w:r>
      <w:r>
        <w:rPr>
          <w:spacing w:val="-8"/>
        </w:rPr>
        <w:t> </w:t>
      </w:r>
      <w:r>
        <w:rPr/>
        <w:t>M4</w:t>
      </w:r>
      <w:r>
        <w:rPr>
          <w:spacing w:val="-8"/>
        </w:rPr>
        <w:t> </w:t>
      </w:r>
      <w:r>
        <w:rPr>
          <w:spacing w:val="-2"/>
        </w:rPr>
        <w:t>growth </w:t>
      </w:r>
      <w:r>
        <w:rPr/>
        <w:t>more into line with that for the personal sector. By contrast, ICCs’ deposits fell for the fourth time in</w:t>
      </w:r>
      <w:r>
        <w:rPr>
          <w:spacing w:val="-7"/>
        </w:rPr>
        <w:t> </w:t>
      </w:r>
      <w:r>
        <w:rPr/>
        <w:t>five</w:t>
      </w:r>
      <w:r>
        <w:rPr>
          <w:spacing w:val="-7"/>
        </w:rPr>
        <w:t> </w:t>
      </w:r>
      <w:r>
        <w:rPr/>
        <w:t>months.</w:t>
      </w:r>
      <w:r>
        <w:rPr>
          <w:spacing w:val="49"/>
        </w:rPr>
        <w:t> </w:t>
      </w:r>
      <w:r>
        <w:rPr/>
        <w:t>The</w:t>
      </w:r>
      <w:r>
        <w:rPr>
          <w:spacing w:val="-7"/>
        </w:rPr>
        <w:t> </w:t>
      </w:r>
      <w:r>
        <w:rPr/>
        <w:t>twelve-month</w:t>
      </w:r>
      <w:r>
        <w:rPr>
          <w:spacing w:val="-7"/>
        </w:rPr>
        <w:t> </w:t>
      </w:r>
      <w:r>
        <w:rPr/>
        <w:t>growth</w:t>
      </w:r>
      <w:r>
        <w:rPr>
          <w:spacing w:val="-7"/>
        </w:rPr>
        <w:t> </w:t>
      </w:r>
      <w:r>
        <w:rPr/>
        <w:t>rate</w:t>
      </w:r>
      <w:r>
        <w:rPr>
          <w:spacing w:val="-7"/>
        </w:rPr>
        <w:t> </w:t>
      </w:r>
      <w:r>
        <w:rPr/>
        <w:t>came</w:t>
      </w:r>
      <w:r>
        <w:rPr>
          <w:spacing w:val="-7"/>
        </w:rPr>
        <w:t> </w:t>
      </w:r>
      <w:r>
        <w:rPr/>
        <w:t>down</w:t>
      </w:r>
      <w:r>
        <w:rPr>
          <w:spacing w:val="-6"/>
        </w:rPr>
        <w:t> </w:t>
      </w:r>
      <w:r>
        <w:rPr/>
        <w:t>to</w:t>
      </w:r>
      <w:r>
        <w:rPr>
          <w:spacing w:val="-7"/>
        </w:rPr>
        <w:t> </w:t>
      </w:r>
      <w:r>
        <w:rPr/>
        <w:t>5%</w:t>
      </w:r>
      <w:r>
        <w:rPr>
          <w:spacing w:val="-7"/>
        </w:rPr>
        <w:t> </w:t>
      </w:r>
      <w:r>
        <w:rPr/>
        <w:t>in</w:t>
      </w:r>
      <w:r>
        <w:rPr>
          <w:spacing w:val="-7"/>
        </w:rPr>
        <w:t> </w:t>
      </w:r>
      <w:r>
        <w:rPr/>
        <w:t>January,</w:t>
      </w:r>
      <w:r>
        <w:rPr>
          <w:spacing w:val="-7"/>
        </w:rPr>
        <w:t> </w:t>
      </w:r>
      <w:r>
        <w:rPr/>
        <w:t>continuing</w:t>
      </w:r>
      <w:r>
        <w:rPr>
          <w:spacing w:val="-7"/>
        </w:rPr>
        <w:t> </w:t>
      </w:r>
      <w:r>
        <w:rPr/>
        <w:t>the</w:t>
      </w:r>
      <w:r>
        <w:rPr>
          <w:spacing w:val="-7"/>
        </w:rPr>
        <w:t> </w:t>
      </w:r>
      <w:r>
        <w:rPr>
          <w:spacing w:val="-2"/>
        </w:rPr>
        <w:t>steady </w:t>
      </w:r>
      <w:r>
        <w:rPr/>
        <w:t>fall in this rate recorded through 1997. There were signs that the growth of OFIs’ M4 holdings might be slowing as well; the twelve-month growth rate fell to 20.7% in January, down from rates </w:t>
      </w:r>
      <w:r>
        <w:rPr>
          <w:spacing w:val="-3"/>
        </w:rPr>
        <w:t>above </w:t>
      </w:r>
      <w:r>
        <w:rPr/>
        <w:t>25% in mid </w:t>
      </w:r>
      <w:r>
        <w:rPr>
          <w:spacing w:val="-3"/>
        </w:rPr>
        <w:t>1997.  However, </w:t>
      </w:r>
      <w:r>
        <w:rPr/>
        <w:t>the </w:t>
      </w:r>
      <w:r>
        <w:rPr>
          <w:spacing w:val="-3"/>
        </w:rPr>
        <w:t>fall </w:t>
      </w:r>
      <w:r>
        <w:rPr/>
        <w:t>in </w:t>
      </w:r>
      <w:r>
        <w:rPr>
          <w:spacing w:val="-3"/>
        </w:rPr>
        <w:t>January’s annual figure reflected </w:t>
      </w:r>
      <w:r>
        <w:rPr/>
        <w:t>the </w:t>
      </w:r>
      <w:r>
        <w:rPr>
          <w:spacing w:val="-3"/>
        </w:rPr>
        <w:t>large rebound   </w:t>
      </w:r>
      <w:r>
        <w:rPr/>
        <w:t>in repo transactions between banks and the M4 private sector that occurred in January 1997 dropping out of the twelve-month</w:t>
      </w:r>
      <w:r>
        <w:rPr>
          <w:spacing w:val="2"/>
        </w:rPr>
        <w:t> </w:t>
      </w:r>
      <w:r>
        <w:rPr>
          <w:spacing w:val="-2"/>
        </w:rPr>
        <w:t>calculation.</w:t>
      </w:r>
    </w:p>
    <w:p>
      <w:pPr>
        <w:spacing w:after="0" w:line="321" w:lineRule="auto"/>
        <w:sectPr>
          <w:headerReference w:type="default" r:id="rId7"/>
          <w:pgSz w:w="11900" w:h="16840"/>
          <w:pgMar w:header="0" w:footer="0" w:top="1600" w:bottom="280" w:left="800" w:right="780"/>
        </w:sectPr>
      </w:pPr>
    </w:p>
    <w:p>
      <w:pPr>
        <w:pStyle w:val="BodyText"/>
        <w:tabs>
          <w:tab w:pos="1206" w:val="left" w:leader="none"/>
        </w:tabs>
        <w:spacing w:line="321" w:lineRule="auto" w:before="80"/>
        <w:ind w:left="640" w:right="256"/>
      </w:pPr>
      <w:r>
        <w:rPr/>
        <w:t>A6</w:t>
        <w:tab/>
        <w:t>Previous</w:t>
      </w:r>
      <w:r>
        <w:rPr>
          <w:spacing w:val="-8"/>
        </w:rPr>
        <w:t> </w:t>
      </w:r>
      <w:r>
        <w:rPr/>
        <w:t>analysis</w:t>
      </w:r>
      <w:r>
        <w:rPr>
          <w:spacing w:val="-8"/>
        </w:rPr>
        <w:t> </w:t>
      </w:r>
      <w:r>
        <w:rPr/>
        <w:t>by</w:t>
      </w:r>
      <w:r>
        <w:rPr>
          <w:spacing w:val="-8"/>
        </w:rPr>
        <w:t> </w:t>
      </w:r>
      <w:r>
        <w:rPr/>
        <w:t>Bank</w:t>
      </w:r>
      <w:r>
        <w:rPr>
          <w:spacing w:val="-7"/>
        </w:rPr>
        <w:t> </w:t>
      </w:r>
      <w:r>
        <w:rPr/>
        <w:t>staff</w:t>
      </w:r>
      <w:r>
        <w:rPr>
          <w:spacing w:val="-8"/>
        </w:rPr>
        <w:t> </w:t>
      </w:r>
      <w:r>
        <w:rPr/>
        <w:t>had</w:t>
      </w:r>
      <w:r>
        <w:rPr>
          <w:spacing w:val="-8"/>
        </w:rPr>
        <w:t> </w:t>
      </w:r>
      <w:r>
        <w:rPr/>
        <w:t>suggested</w:t>
      </w:r>
      <w:r>
        <w:rPr>
          <w:spacing w:val="-8"/>
        </w:rPr>
        <w:t> </w:t>
      </w:r>
      <w:r>
        <w:rPr/>
        <w:t>that,</w:t>
      </w:r>
      <w:r>
        <w:rPr>
          <w:spacing w:val="-7"/>
        </w:rPr>
        <w:t> </w:t>
      </w:r>
      <w:r>
        <w:rPr/>
        <w:t>within</w:t>
      </w:r>
      <w:r>
        <w:rPr>
          <w:spacing w:val="-8"/>
        </w:rPr>
        <w:t> </w:t>
      </w:r>
      <w:r>
        <w:rPr/>
        <w:t>the</w:t>
      </w:r>
      <w:r>
        <w:rPr>
          <w:spacing w:val="-8"/>
        </w:rPr>
        <w:t> </w:t>
      </w:r>
      <w:r>
        <w:rPr/>
        <w:t>OFI</w:t>
      </w:r>
      <w:r>
        <w:rPr>
          <w:spacing w:val="-7"/>
        </w:rPr>
        <w:t> </w:t>
      </w:r>
      <w:r>
        <w:rPr/>
        <w:t>sector,</w:t>
      </w:r>
      <w:r>
        <w:rPr>
          <w:spacing w:val="-8"/>
        </w:rPr>
        <w:t> </w:t>
      </w:r>
      <w:r>
        <w:rPr/>
        <w:t>life</w:t>
      </w:r>
      <w:r>
        <w:rPr>
          <w:spacing w:val="-8"/>
        </w:rPr>
        <w:t> </w:t>
      </w:r>
      <w:r>
        <w:rPr/>
        <w:t>assurance</w:t>
      </w:r>
      <w:r>
        <w:rPr>
          <w:spacing w:val="-8"/>
        </w:rPr>
        <w:t> </w:t>
      </w:r>
      <w:r>
        <w:rPr>
          <w:spacing w:val="-2"/>
        </w:rPr>
        <w:t>and </w:t>
      </w:r>
      <w:r>
        <w:rPr>
          <w:spacing w:val="-3"/>
        </w:rPr>
        <w:t>pension funds (LAPFs) were holding excess money balances. While money holdings would be </w:t>
      </w:r>
      <w:r>
        <w:rPr/>
        <w:t>expected to rise rapidly with increases in portfolio values, industry surveys suggested holdings of ‘cash’ had been higher than normal during 1997. It was possible that the accumulation of money </w:t>
      </w:r>
      <w:r>
        <w:rPr>
          <w:spacing w:val="-3"/>
        </w:rPr>
        <w:t>balances could have been reinforced </w:t>
      </w:r>
      <w:r>
        <w:rPr/>
        <w:t>by the </w:t>
      </w:r>
      <w:r>
        <w:rPr>
          <w:spacing w:val="-3"/>
        </w:rPr>
        <w:t>practice </w:t>
      </w:r>
      <w:r>
        <w:rPr/>
        <w:t>in </w:t>
      </w:r>
      <w:r>
        <w:rPr>
          <w:spacing w:val="-3"/>
        </w:rPr>
        <w:t>parts </w:t>
      </w:r>
      <w:r>
        <w:rPr/>
        <w:t>of the </w:t>
      </w:r>
      <w:r>
        <w:rPr>
          <w:spacing w:val="-3"/>
        </w:rPr>
        <w:t>fund management industry of </w:t>
      </w:r>
      <w:r>
        <w:rPr/>
        <w:t>reaching asset allocation decisions on the basis of the desired position relative to a ‘benchmark’ based on average asset holdings. This might have contributed to the growth in OFI money holdings. In fact, ex post returns from asset markets had for a while been greater than returns from money. There had recently been reports of ‘cash-rich’ funds underperforming the median. A recent</w:t>
      </w:r>
      <w:r>
        <w:rPr>
          <w:spacing w:val="-10"/>
        </w:rPr>
        <w:t> </w:t>
      </w:r>
      <w:r>
        <w:rPr/>
        <w:t>Merrill</w:t>
      </w:r>
      <w:r>
        <w:rPr>
          <w:spacing w:val="-9"/>
        </w:rPr>
        <w:t> </w:t>
      </w:r>
      <w:r>
        <w:rPr/>
        <w:t>Lynch</w:t>
      </w:r>
      <w:r>
        <w:rPr>
          <w:spacing w:val="-9"/>
        </w:rPr>
        <w:t> </w:t>
      </w:r>
      <w:r>
        <w:rPr/>
        <w:t>survey</w:t>
      </w:r>
      <w:r>
        <w:rPr>
          <w:spacing w:val="-9"/>
        </w:rPr>
        <w:t> </w:t>
      </w:r>
      <w:r>
        <w:rPr/>
        <w:t>of</w:t>
      </w:r>
      <w:r>
        <w:rPr>
          <w:spacing w:val="-9"/>
        </w:rPr>
        <w:t> </w:t>
      </w:r>
      <w:r>
        <w:rPr/>
        <w:t>funds’</w:t>
      </w:r>
      <w:r>
        <w:rPr>
          <w:spacing w:val="-10"/>
        </w:rPr>
        <w:t> </w:t>
      </w:r>
      <w:r>
        <w:rPr/>
        <w:t>asset</w:t>
      </w:r>
      <w:r>
        <w:rPr>
          <w:spacing w:val="-9"/>
        </w:rPr>
        <w:t> </w:t>
      </w:r>
      <w:r>
        <w:rPr/>
        <w:t>allocation</w:t>
      </w:r>
      <w:r>
        <w:rPr>
          <w:spacing w:val="-9"/>
        </w:rPr>
        <w:t> </w:t>
      </w:r>
      <w:r>
        <w:rPr/>
        <w:t>intentions</w:t>
      </w:r>
      <w:r>
        <w:rPr>
          <w:spacing w:val="-9"/>
        </w:rPr>
        <w:t> </w:t>
      </w:r>
      <w:r>
        <w:rPr/>
        <w:t>had</w:t>
      </w:r>
      <w:r>
        <w:rPr>
          <w:spacing w:val="-9"/>
        </w:rPr>
        <w:t> </w:t>
      </w:r>
      <w:r>
        <w:rPr/>
        <w:t>indicated</w:t>
      </w:r>
      <w:r>
        <w:rPr>
          <w:spacing w:val="-10"/>
        </w:rPr>
        <w:t> </w:t>
      </w:r>
      <w:r>
        <w:rPr/>
        <w:t>plans</w:t>
      </w:r>
      <w:r>
        <w:rPr>
          <w:spacing w:val="-9"/>
        </w:rPr>
        <w:t> </w:t>
      </w:r>
      <w:r>
        <w:rPr/>
        <w:t>to</w:t>
      </w:r>
      <w:r>
        <w:rPr>
          <w:spacing w:val="-9"/>
        </w:rPr>
        <w:t> </w:t>
      </w:r>
      <w:r>
        <w:rPr/>
        <w:t>move</w:t>
      </w:r>
      <w:r>
        <w:rPr>
          <w:spacing w:val="-9"/>
        </w:rPr>
        <w:t> </w:t>
      </w:r>
      <w:r>
        <w:rPr/>
        <w:t>out</w:t>
      </w:r>
      <w:r>
        <w:rPr>
          <w:spacing w:val="-9"/>
        </w:rPr>
        <w:t> </w:t>
      </w:r>
      <w:r>
        <w:rPr/>
        <w:t>of money holdings into, among other things, UK</w:t>
      </w:r>
      <w:r>
        <w:rPr>
          <w:spacing w:val="-8"/>
        </w:rPr>
        <w:t> </w:t>
      </w:r>
      <w:r>
        <w:rPr/>
        <w:t>equities.</w:t>
      </w:r>
    </w:p>
    <w:p>
      <w:pPr>
        <w:pStyle w:val="BodyText"/>
        <w:spacing w:before="10"/>
        <w:rPr>
          <w:sz w:val="31"/>
        </w:rPr>
      </w:pPr>
    </w:p>
    <w:p>
      <w:pPr>
        <w:pStyle w:val="BodyText"/>
        <w:tabs>
          <w:tab w:pos="1206" w:val="left" w:leader="none"/>
        </w:tabs>
        <w:spacing w:line="321" w:lineRule="auto"/>
        <w:ind w:left="640" w:right="407"/>
      </w:pPr>
      <w:r>
        <w:rPr/>
        <w:t>A7</w:t>
        <w:tab/>
        <w:t>M4 lending growth continued to show signs of slowing. In January it rose by 0.4% and by 6.3% at a six-month annualised rate. Lending to persons remained steady at 6.9% in the year to </w:t>
      </w:r>
      <w:r>
        <w:rPr>
          <w:spacing w:val="-3"/>
        </w:rPr>
        <w:t>January. Including lending </w:t>
      </w:r>
      <w:r>
        <w:rPr/>
        <w:t>by </w:t>
      </w:r>
      <w:r>
        <w:rPr>
          <w:spacing w:val="-3"/>
        </w:rPr>
        <w:t>institutions other than banks </w:t>
      </w:r>
      <w:r>
        <w:rPr/>
        <w:t>and </w:t>
      </w:r>
      <w:r>
        <w:rPr>
          <w:spacing w:val="-3"/>
        </w:rPr>
        <w:t>building societies, </w:t>
      </w:r>
      <w:r>
        <w:rPr/>
        <w:t>the </w:t>
      </w:r>
      <w:r>
        <w:rPr>
          <w:spacing w:val="-3"/>
        </w:rPr>
        <w:t>three-month </w:t>
      </w:r>
      <w:r>
        <w:rPr/>
        <w:t>annualised growth of secured lending slowed slightly to 5.5%, but unsecured lending </w:t>
      </w:r>
      <w:r>
        <w:rPr>
          <w:spacing w:val="-2"/>
        </w:rPr>
        <w:t>growth </w:t>
      </w:r>
      <w:r>
        <w:rPr/>
        <w:t>continued to rise quickly, by 18.9%. Unsecured credit comprised about 17% of total personal sector credit, but had been growing in importance. Mortgage equity withdrawal had turned positive</w:t>
      </w:r>
      <w:r>
        <w:rPr>
          <w:spacing w:val="-4"/>
        </w:rPr>
        <w:t> </w:t>
      </w:r>
      <w:r>
        <w:rPr/>
        <w:t>again</w:t>
      </w:r>
      <w:r>
        <w:rPr>
          <w:spacing w:val="-3"/>
        </w:rPr>
        <w:t> </w:t>
      </w:r>
      <w:r>
        <w:rPr/>
        <w:t>in</w:t>
      </w:r>
      <w:r>
        <w:rPr>
          <w:spacing w:val="-4"/>
        </w:rPr>
        <w:t> </w:t>
      </w:r>
      <w:r>
        <w:rPr/>
        <w:t>recent</w:t>
      </w:r>
      <w:r>
        <w:rPr>
          <w:spacing w:val="-3"/>
        </w:rPr>
        <w:t> </w:t>
      </w:r>
      <w:r>
        <w:rPr/>
        <w:t>quarters,</w:t>
      </w:r>
      <w:r>
        <w:rPr>
          <w:spacing w:val="-4"/>
        </w:rPr>
        <w:t> </w:t>
      </w:r>
      <w:r>
        <w:rPr/>
        <w:t>although</w:t>
      </w:r>
      <w:r>
        <w:rPr>
          <w:spacing w:val="-3"/>
        </w:rPr>
        <w:t> </w:t>
      </w:r>
      <w:r>
        <w:rPr/>
        <w:t>it</w:t>
      </w:r>
      <w:r>
        <w:rPr>
          <w:spacing w:val="-3"/>
        </w:rPr>
        <w:t> </w:t>
      </w:r>
      <w:r>
        <w:rPr/>
        <w:t>was</w:t>
      </w:r>
      <w:r>
        <w:rPr>
          <w:spacing w:val="-4"/>
        </w:rPr>
        <w:t> </w:t>
      </w:r>
      <w:r>
        <w:rPr/>
        <w:t>still</w:t>
      </w:r>
      <w:r>
        <w:rPr>
          <w:spacing w:val="-3"/>
        </w:rPr>
        <w:t> </w:t>
      </w:r>
      <w:r>
        <w:rPr/>
        <w:t>much</w:t>
      </w:r>
      <w:r>
        <w:rPr>
          <w:spacing w:val="-4"/>
        </w:rPr>
        <w:t> </w:t>
      </w:r>
      <w:r>
        <w:rPr/>
        <w:t>lower</w:t>
      </w:r>
      <w:r>
        <w:rPr>
          <w:spacing w:val="-3"/>
        </w:rPr>
        <w:t> </w:t>
      </w:r>
      <w:r>
        <w:rPr/>
        <w:t>than</w:t>
      </w:r>
      <w:r>
        <w:rPr>
          <w:spacing w:val="-4"/>
        </w:rPr>
        <w:t> </w:t>
      </w:r>
      <w:r>
        <w:rPr/>
        <w:t>in</w:t>
      </w:r>
      <w:r>
        <w:rPr>
          <w:spacing w:val="-3"/>
        </w:rPr>
        <w:t> </w:t>
      </w:r>
      <w:r>
        <w:rPr/>
        <w:t>the</w:t>
      </w:r>
      <w:r>
        <w:rPr>
          <w:spacing w:val="-3"/>
        </w:rPr>
        <w:t> </w:t>
      </w:r>
      <w:r>
        <w:rPr/>
        <w:t>late</w:t>
      </w:r>
      <w:r>
        <w:rPr>
          <w:spacing w:val="-4"/>
        </w:rPr>
        <w:t> </w:t>
      </w:r>
      <w:r>
        <w:rPr>
          <w:spacing w:val="-2"/>
        </w:rPr>
        <w:t>1980s.</w:t>
      </w:r>
    </w:p>
    <w:p>
      <w:pPr>
        <w:pStyle w:val="BodyText"/>
        <w:rPr>
          <w:sz w:val="32"/>
        </w:rPr>
      </w:pPr>
    </w:p>
    <w:p>
      <w:pPr>
        <w:pStyle w:val="BodyText"/>
        <w:tabs>
          <w:tab w:pos="1206" w:val="left" w:leader="none"/>
        </w:tabs>
        <w:spacing w:line="321" w:lineRule="auto" w:before="1"/>
        <w:ind w:left="640" w:right="487"/>
      </w:pPr>
      <w:r>
        <w:rPr/>
        <w:t>A8</w:t>
        <w:tab/>
        <w:t>Lending to ICCs was strong in January, rising by 0.8% on the month. The flow of £1.4 </w:t>
      </w:r>
      <w:r>
        <w:rPr>
          <w:spacing w:val="-5"/>
        </w:rPr>
        <w:t>bn </w:t>
      </w:r>
      <w:r>
        <w:rPr>
          <w:spacing w:val="-3"/>
        </w:rPr>
        <w:t>compared with </w:t>
      </w:r>
      <w:r>
        <w:rPr/>
        <w:t>a </w:t>
      </w:r>
      <w:r>
        <w:rPr>
          <w:spacing w:val="-3"/>
        </w:rPr>
        <w:t>monthly average </w:t>
      </w:r>
      <w:r>
        <w:rPr/>
        <w:t>of </w:t>
      </w:r>
      <w:r>
        <w:rPr>
          <w:spacing w:val="-3"/>
        </w:rPr>
        <w:t>£0.2 </w:t>
      </w:r>
      <w:r>
        <w:rPr/>
        <w:t>bn </w:t>
      </w:r>
      <w:r>
        <w:rPr>
          <w:spacing w:val="-3"/>
        </w:rPr>
        <w:t>during </w:t>
      </w:r>
      <w:r>
        <w:rPr/>
        <w:t>the </w:t>
      </w:r>
      <w:r>
        <w:rPr>
          <w:spacing w:val="-3"/>
        </w:rPr>
        <w:t>second half </w:t>
      </w:r>
      <w:r>
        <w:rPr/>
        <w:t>of </w:t>
      </w:r>
      <w:r>
        <w:rPr>
          <w:spacing w:val="-3"/>
        </w:rPr>
        <w:t>1997. </w:t>
      </w:r>
      <w:r>
        <w:rPr/>
        <w:t>A </w:t>
      </w:r>
      <w:r>
        <w:rPr>
          <w:spacing w:val="-3"/>
        </w:rPr>
        <w:t>fall </w:t>
      </w:r>
      <w:r>
        <w:rPr/>
        <w:t>in</w:t>
      </w:r>
      <w:r>
        <w:rPr>
          <w:spacing w:val="42"/>
        </w:rPr>
        <w:t> </w:t>
      </w:r>
      <w:r>
        <w:rPr>
          <w:spacing w:val="-3"/>
        </w:rPr>
        <w:t>the</w:t>
      </w:r>
    </w:p>
    <w:p>
      <w:pPr>
        <w:pStyle w:val="BodyText"/>
        <w:spacing w:line="321" w:lineRule="auto"/>
        <w:ind w:left="640" w:right="268"/>
      </w:pPr>
      <w:r>
        <w:rPr/>
        <w:t>six-month annualised growth rate of lending to OFIs provided tentative evidence that a slowdown was underway in that sector’s money holdings.</w:t>
      </w:r>
    </w:p>
    <w:p>
      <w:pPr>
        <w:pStyle w:val="BodyText"/>
        <w:rPr>
          <w:sz w:val="32"/>
        </w:rPr>
      </w:pPr>
    </w:p>
    <w:p>
      <w:pPr>
        <w:pStyle w:val="BodyText"/>
        <w:tabs>
          <w:tab w:pos="1206" w:val="left" w:leader="none"/>
        </w:tabs>
        <w:spacing w:line="321" w:lineRule="auto"/>
        <w:ind w:left="640" w:right="655"/>
      </w:pPr>
      <w:r>
        <w:rPr/>
        <w:t>A9</w:t>
        <w:tab/>
        <w:t>January’s</w:t>
      </w:r>
      <w:r>
        <w:rPr>
          <w:spacing w:val="-11"/>
        </w:rPr>
        <w:t> </w:t>
      </w:r>
      <w:r>
        <w:rPr/>
        <w:t>higher-than-expected</w:t>
      </w:r>
      <w:r>
        <w:rPr>
          <w:spacing w:val="-11"/>
        </w:rPr>
        <w:t> </w:t>
      </w:r>
      <w:r>
        <w:rPr/>
        <w:t>public</w:t>
      </w:r>
      <w:r>
        <w:rPr>
          <w:spacing w:val="-11"/>
        </w:rPr>
        <w:t> </w:t>
      </w:r>
      <w:r>
        <w:rPr/>
        <w:t>sector</w:t>
      </w:r>
      <w:r>
        <w:rPr>
          <w:spacing w:val="-11"/>
        </w:rPr>
        <w:t> </w:t>
      </w:r>
      <w:r>
        <w:rPr/>
        <w:t>debt</w:t>
      </w:r>
      <w:r>
        <w:rPr>
          <w:spacing w:val="-11"/>
        </w:rPr>
        <w:t> </w:t>
      </w:r>
      <w:r>
        <w:rPr/>
        <w:t>repayment</w:t>
      </w:r>
      <w:r>
        <w:rPr>
          <w:spacing w:val="-11"/>
        </w:rPr>
        <w:t> </w:t>
      </w:r>
      <w:r>
        <w:rPr/>
        <w:t>made</w:t>
      </w:r>
      <w:r>
        <w:rPr>
          <w:spacing w:val="-11"/>
        </w:rPr>
        <w:t> </w:t>
      </w:r>
      <w:r>
        <w:rPr/>
        <w:t>it</w:t>
      </w:r>
      <w:r>
        <w:rPr>
          <w:spacing w:val="-11"/>
        </w:rPr>
        <w:t> </w:t>
      </w:r>
      <w:r>
        <w:rPr/>
        <w:t>more</w:t>
      </w:r>
      <w:r>
        <w:rPr>
          <w:spacing w:val="-11"/>
        </w:rPr>
        <w:t> </w:t>
      </w:r>
      <w:r>
        <w:rPr/>
        <w:t>likely</w:t>
      </w:r>
      <w:r>
        <w:rPr>
          <w:spacing w:val="-11"/>
        </w:rPr>
        <w:t> </w:t>
      </w:r>
      <w:r>
        <w:rPr/>
        <w:t>that</w:t>
      </w:r>
      <w:r>
        <w:rPr>
          <w:spacing w:val="-11"/>
        </w:rPr>
        <w:t> </w:t>
      </w:r>
      <w:r>
        <w:rPr>
          <w:spacing w:val="-2"/>
        </w:rPr>
        <w:t>the </w:t>
      </w:r>
      <w:r>
        <w:rPr/>
        <w:t>Government would be overfinanced in fiscal year 1997. The effect would be to depress M4 growth during FY</w:t>
      </w:r>
      <w:r>
        <w:rPr>
          <w:spacing w:val="5"/>
        </w:rPr>
        <w:t> </w:t>
      </w:r>
      <w:r>
        <w:rPr/>
        <w:t>1997.</w:t>
      </w:r>
    </w:p>
    <w:p>
      <w:pPr>
        <w:pStyle w:val="BodyText"/>
        <w:spacing w:before="1"/>
        <w:rPr>
          <w:sz w:val="32"/>
        </w:rPr>
      </w:pPr>
    </w:p>
    <w:p>
      <w:pPr>
        <w:pStyle w:val="BodyText"/>
        <w:spacing w:line="321" w:lineRule="auto"/>
        <w:ind w:left="640" w:right="195"/>
      </w:pPr>
      <w:r>
        <w:rPr/>
        <w:t>A10 Longer-term RPI inflation expectations, as derived from nominal and index-linked gilts, were broadly unchanged since the previous MPC meeting, standing at 2.8% and 2.9% at the five and</w:t>
      </w:r>
    </w:p>
    <w:p>
      <w:pPr>
        <w:pStyle w:val="BodyText"/>
        <w:spacing w:line="321" w:lineRule="auto"/>
        <w:ind w:left="640"/>
      </w:pPr>
      <w:r>
        <w:rPr>
          <w:spacing w:val="-3"/>
        </w:rPr>
        <w:t>ten-year horizons respectively. This </w:t>
      </w:r>
      <w:r>
        <w:rPr/>
        <w:t>was </w:t>
      </w:r>
      <w:r>
        <w:rPr>
          <w:spacing w:val="-3"/>
        </w:rPr>
        <w:t>only slightly above </w:t>
      </w:r>
      <w:r>
        <w:rPr/>
        <w:t>the </w:t>
      </w:r>
      <w:r>
        <w:rPr>
          <w:spacing w:val="-3"/>
        </w:rPr>
        <w:t>measure </w:t>
      </w:r>
      <w:r>
        <w:rPr/>
        <w:t>of </w:t>
      </w:r>
      <w:r>
        <w:rPr>
          <w:spacing w:val="-3"/>
        </w:rPr>
        <w:t>long-run inflation </w:t>
      </w:r>
      <w:r>
        <w:rPr/>
        <w:t>expectations taken from the Consensus Economics survey.</w:t>
      </w:r>
    </w:p>
    <w:p>
      <w:pPr>
        <w:pStyle w:val="BodyText"/>
        <w:tabs>
          <w:tab w:pos="10034" w:val="right" w:leader="none"/>
        </w:tabs>
        <w:spacing w:before="369"/>
        <w:ind w:left="640"/>
      </w:pPr>
      <w:r>
        <w:rPr/>
        <w:t>A11 The </w:t>
      </w:r>
      <w:r>
        <w:rPr>
          <w:spacing w:val="-3"/>
        </w:rPr>
        <w:t>sterling effective exchange rate index </w:t>
      </w:r>
      <w:r>
        <w:rPr/>
        <w:t>had </w:t>
      </w:r>
      <w:r>
        <w:rPr>
          <w:spacing w:val="-3"/>
        </w:rPr>
        <w:t>risen </w:t>
      </w:r>
      <w:r>
        <w:rPr/>
        <w:t>by </w:t>
      </w:r>
      <w:r>
        <w:rPr>
          <w:spacing w:val="-3"/>
        </w:rPr>
        <w:t>0.2% between </w:t>
      </w:r>
      <w:r>
        <w:rPr/>
        <w:t>4</w:t>
      </w:r>
      <w:r>
        <w:rPr>
          <w:spacing w:val="4"/>
        </w:rPr>
        <w:t> </w:t>
      </w:r>
      <w:r>
        <w:rPr>
          <w:spacing w:val="-3"/>
        </w:rPr>
        <w:t>February</w:t>
      </w:r>
      <w:r>
        <w:rPr/>
        <w:t> </w:t>
      </w:r>
      <w:r>
        <w:rPr>
          <w:spacing w:val="-3"/>
        </w:rPr>
        <w:t>and</w:t>
        <w:tab/>
      </w:r>
      <w:r>
        <w:rPr/>
        <w:t>4</w:t>
      </w:r>
    </w:p>
    <w:p>
      <w:pPr>
        <w:pStyle w:val="BodyText"/>
        <w:spacing w:line="321" w:lineRule="auto" w:before="94"/>
        <w:ind w:left="640" w:right="470"/>
      </w:pPr>
      <w:r>
        <w:rPr/>
        <w:t>March. There had been little movement in the UK forward interest rate curve relative to the rest of the G7, suggesting that there had not been much monetary ‘news’ during the period.</w:t>
      </w:r>
    </w:p>
    <w:p>
      <w:pPr>
        <w:spacing w:after="0" w:line="321" w:lineRule="auto"/>
        <w:sectPr>
          <w:headerReference w:type="default" r:id="rId8"/>
          <w:pgSz w:w="11900" w:h="16840"/>
          <w:pgMar w:header="733" w:footer="0" w:top="1040" w:bottom="280" w:left="800" w:right="780"/>
          <w:pgNumType w:start="2"/>
        </w:sectPr>
      </w:pPr>
    </w:p>
    <w:p>
      <w:pPr>
        <w:pStyle w:val="Heading1"/>
        <w:numPr>
          <w:ilvl w:val="1"/>
          <w:numId w:val="1"/>
        </w:numPr>
        <w:tabs>
          <w:tab w:pos="952" w:val="left" w:leader="none"/>
        </w:tabs>
        <w:spacing w:line="240" w:lineRule="auto" w:before="84" w:after="0"/>
        <w:ind w:left="951" w:right="0" w:hanging="312"/>
        <w:jc w:val="left"/>
      </w:pPr>
      <w:r>
        <w:rPr/>
        <w:t>Demand and</w:t>
      </w:r>
      <w:r>
        <w:rPr>
          <w:spacing w:val="4"/>
        </w:rPr>
        <w:t> </w:t>
      </w:r>
      <w:r>
        <w:rPr/>
        <w:t>output</w:t>
      </w:r>
    </w:p>
    <w:p>
      <w:pPr>
        <w:pStyle w:val="BodyText"/>
        <w:rPr>
          <w:b/>
          <w:sz w:val="26"/>
        </w:rPr>
      </w:pPr>
    </w:p>
    <w:p>
      <w:pPr>
        <w:pStyle w:val="BodyText"/>
        <w:spacing w:line="321" w:lineRule="auto" w:before="160"/>
        <w:ind w:left="640" w:right="314"/>
      </w:pPr>
      <w:r>
        <w:rPr/>
        <w:t>A12 GDP growth was revised down from 0.5% to 0.4% in 1997 Q4 to stand 3.0% higher than a year earlier. There were other revisions back to the first quarter of 1997 but the estimated level of GDP in Q3 was unchanged. The first expenditure breakdown of GDP in 1997 Q4 showed a growing divergence between domestic and external demand. Net trade made a -1.1 percentage point contribution to GDP growth in Q4. Domestic demand grew strongly, at 1.3% slightly more than expected in the February </w:t>
      </w:r>
      <w:r>
        <w:rPr>
          <w:i/>
        </w:rPr>
        <w:t>Inflation Report</w:t>
      </w:r>
      <w:r>
        <w:rPr/>
        <w:t>. Private consumption also grew by 1.3% in Q4, a </w:t>
      </w:r>
      <w:r>
        <w:rPr>
          <w:spacing w:val="-3"/>
        </w:rPr>
        <w:t>little less than expected </w:t>
      </w:r>
      <w:r>
        <w:rPr/>
        <w:t>in the </w:t>
      </w:r>
      <w:r>
        <w:rPr>
          <w:spacing w:val="-3"/>
        </w:rPr>
        <w:t>February </w:t>
      </w:r>
      <w:r>
        <w:rPr>
          <w:i/>
        </w:rPr>
        <w:t>Inflation Report</w:t>
      </w:r>
      <w:r>
        <w:rPr/>
        <w:t>. The increase in growth of consumption in Q4 was </w:t>
      </w:r>
      <w:r>
        <w:rPr>
          <w:spacing w:val="-3"/>
        </w:rPr>
        <w:t>consistent with </w:t>
      </w:r>
      <w:r>
        <w:rPr/>
        <w:t>an </w:t>
      </w:r>
      <w:r>
        <w:rPr>
          <w:spacing w:val="-3"/>
        </w:rPr>
        <w:t>unwinding </w:t>
      </w:r>
      <w:r>
        <w:rPr/>
        <w:t>of the </w:t>
      </w:r>
      <w:r>
        <w:rPr>
          <w:spacing w:val="-3"/>
        </w:rPr>
        <w:t>effect from Princess Diana’s funeral, </w:t>
      </w:r>
      <w:r>
        <w:rPr/>
        <w:t>but it </w:t>
      </w:r>
      <w:r>
        <w:rPr>
          <w:spacing w:val="-3"/>
        </w:rPr>
        <w:t>was </w:t>
      </w:r>
      <w:r>
        <w:rPr/>
        <w:t>difficult to know what would have happened otherwise, and thus to determine the underlying strength of</w:t>
      </w:r>
      <w:r>
        <w:rPr>
          <w:spacing w:val="1"/>
        </w:rPr>
        <w:t> </w:t>
      </w:r>
      <w:r>
        <w:rPr/>
        <w:t>spending.</w:t>
      </w:r>
    </w:p>
    <w:p>
      <w:pPr>
        <w:pStyle w:val="BodyText"/>
        <w:spacing w:before="11"/>
        <w:rPr>
          <w:sz w:val="31"/>
        </w:rPr>
      </w:pPr>
    </w:p>
    <w:p>
      <w:pPr>
        <w:pStyle w:val="BodyText"/>
        <w:spacing w:line="321" w:lineRule="auto"/>
        <w:ind w:left="640" w:right="261"/>
      </w:pPr>
      <w:r>
        <w:rPr/>
        <w:t>A13 Retail sales were strong at the beginning of 1998 Q1, growing by 1.8% in January, </w:t>
      </w:r>
      <w:r>
        <w:rPr>
          <w:spacing w:val="-2"/>
        </w:rPr>
        <w:t>and </w:t>
      </w:r>
      <w:r>
        <w:rPr/>
        <w:t>taking annual growth to 6.9% - its highest since June 1988. The less volatile </w:t>
      </w:r>
      <w:r>
        <w:rPr>
          <w:spacing w:val="-3"/>
        </w:rPr>
        <w:t>three-month annual </w:t>
      </w:r>
      <w:r>
        <w:rPr/>
        <w:t>rate was 5.7% in the three months to January compared with 5.6% to December.</w:t>
      </w:r>
      <w:r>
        <w:rPr>
          <w:spacing w:val="16"/>
        </w:rPr>
        <w:t> </w:t>
      </w:r>
      <w:r>
        <w:rPr/>
        <w:t>Car registrations also continued to grow strongly in January - 11.6% up on a year earlier - particularly by </w:t>
      </w:r>
      <w:r>
        <w:rPr>
          <w:spacing w:val="-2"/>
        </w:rPr>
        <w:t>the </w:t>
      </w:r>
      <w:r>
        <w:rPr/>
        <w:t>personal sector. Both retail spending and car sales growth may reflect some further “windfall” </w:t>
      </w:r>
      <w:r>
        <w:rPr>
          <w:spacing w:val="-3"/>
        </w:rPr>
        <w:t>spending. </w:t>
      </w:r>
      <w:r>
        <w:rPr/>
        <w:t>But </w:t>
      </w:r>
      <w:r>
        <w:rPr>
          <w:spacing w:val="-3"/>
        </w:rPr>
        <w:t>equally, some </w:t>
      </w:r>
      <w:r>
        <w:rPr/>
        <w:t>of the </w:t>
      </w:r>
      <w:r>
        <w:rPr>
          <w:spacing w:val="-3"/>
        </w:rPr>
        <w:t>recorded strength </w:t>
      </w:r>
      <w:r>
        <w:rPr/>
        <w:t>in </w:t>
      </w:r>
      <w:r>
        <w:rPr>
          <w:spacing w:val="-3"/>
        </w:rPr>
        <w:t>January’s retail sales numbers </w:t>
      </w:r>
      <w:r>
        <w:rPr/>
        <w:t>may </w:t>
      </w:r>
      <w:r>
        <w:rPr>
          <w:spacing w:val="-3"/>
        </w:rPr>
        <w:t>simply have been substitution from spending </w:t>
      </w:r>
      <w:r>
        <w:rPr/>
        <w:t>in </w:t>
      </w:r>
      <w:r>
        <w:rPr>
          <w:spacing w:val="-3"/>
        </w:rPr>
        <w:t>December which showed </w:t>
      </w:r>
      <w:r>
        <w:rPr/>
        <w:t>no </w:t>
      </w:r>
      <w:r>
        <w:rPr>
          <w:spacing w:val="-3"/>
        </w:rPr>
        <w:t>growth </w:t>
      </w:r>
      <w:r>
        <w:rPr/>
        <w:t>on </w:t>
      </w:r>
      <w:r>
        <w:rPr>
          <w:spacing w:val="-3"/>
        </w:rPr>
        <w:t>November’s level </w:t>
      </w:r>
      <w:r>
        <w:rPr/>
        <w:t>after seasonal adjustment. Sales were likely to have been boosted by the extent of price discounting</w:t>
      </w:r>
      <w:r>
        <w:rPr>
          <w:spacing w:val="-7"/>
        </w:rPr>
        <w:t> </w:t>
      </w:r>
      <w:r>
        <w:rPr/>
        <w:t>in</w:t>
      </w:r>
      <w:r>
        <w:rPr>
          <w:spacing w:val="-7"/>
        </w:rPr>
        <w:t> </w:t>
      </w:r>
      <w:r>
        <w:rPr/>
        <w:t>January</w:t>
      </w:r>
      <w:r>
        <w:rPr>
          <w:spacing w:val="-7"/>
        </w:rPr>
        <w:t> </w:t>
      </w:r>
      <w:r>
        <w:rPr/>
        <w:t>as</w:t>
      </w:r>
      <w:r>
        <w:rPr>
          <w:spacing w:val="-7"/>
        </w:rPr>
        <w:t> </w:t>
      </w:r>
      <w:r>
        <w:rPr/>
        <w:t>retailers</w:t>
      </w:r>
      <w:r>
        <w:rPr>
          <w:spacing w:val="-7"/>
        </w:rPr>
        <w:t> </w:t>
      </w:r>
      <w:r>
        <w:rPr/>
        <w:t>cleared</w:t>
      </w:r>
      <w:r>
        <w:rPr>
          <w:spacing w:val="-6"/>
        </w:rPr>
        <w:t> </w:t>
      </w:r>
      <w:r>
        <w:rPr/>
        <w:t>excess</w:t>
      </w:r>
      <w:r>
        <w:rPr>
          <w:spacing w:val="-7"/>
        </w:rPr>
        <w:t> </w:t>
      </w:r>
      <w:r>
        <w:rPr/>
        <w:t>stocks</w:t>
      </w:r>
      <w:r>
        <w:rPr>
          <w:spacing w:val="-7"/>
        </w:rPr>
        <w:t> </w:t>
      </w:r>
      <w:r>
        <w:rPr/>
        <w:t>(especially</w:t>
      </w:r>
      <w:r>
        <w:rPr>
          <w:spacing w:val="-7"/>
        </w:rPr>
        <w:t> </w:t>
      </w:r>
      <w:r>
        <w:rPr/>
        <w:t>in</w:t>
      </w:r>
      <w:r>
        <w:rPr>
          <w:spacing w:val="-7"/>
        </w:rPr>
        <w:t> </w:t>
      </w:r>
      <w:r>
        <w:rPr/>
        <w:t>clothing</w:t>
      </w:r>
      <w:r>
        <w:rPr>
          <w:spacing w:val="-7"/>
        </w:rPr>
        <w:t> </w:t>
      </w:r>
      <w:r>
        <w:rPr/>
        <w:t>and</w:t>
      </w:r>
      <w:r>
        <w:rPr>
          <w:spacing w:val="-6"/>
        </w:rPr>
        <w:t> </w:t>
      </w:r>
      <w:r>
        <w:rPr/>
        <w:t>footwear).</w:t>
      </w:r>
    </w:p>
    <w:p>
      <w:pPr>
        <w:pStyle w:val="BodyText"/>
        <w:spacing w:line="321" w:lineRule="auto"/>
        <w:ind w:left="640"/>
      </w:pPr>
      <w:r>
        <w:rPr>
          <w:spacing w:val="-3"/>
        </w:rPr>
        <w:t>Seasonal adjustment </w:t>
      </w:r>
      <w:r>
        <w:rPr/>
        <w:t>in the </w:t>
      </w:r>
      <w:r>
        <w:rPr>
          <w:spacing w:val="-3"/>
        </w:rPr>
        <w:t>period </w:t>
      </w:r>
      <w:r>
        <w:rPr/>
        <w:t>is </w:t>
      </w:r>
      <w:r>
        <w:rPr>
          <w:spacing w:val="-3"/>
        </w:rPr>
        <w:t>always substantial; nonetheless, seasonally adjusted growth in </w:t>
      </w:r>
      <w:r>
        <w:rPr/>
        <w:t>December and January, taken together, was the strongest since 1989/90. The Bank’s Agents suggested that there had been a fall back in growth in the first few weeks of February.</w:t>
      </w:r>
    </w:p>
    <w:p>
      <w:pPr>
        <w:pStyle w:val="BodyText"/>
        <w:spacing w:before="10"/>
        <w:rPr>
          <w:sz w:val="31"/>
        </w:rPr>
      </w:pPr>
    </w:p>
    <w:p>
      <w:pPr>
        <w:pStyle w:val="BodyText"/>
        <w:spacing w:line="321" w:lineRule="auto"/>
        <w:ind w:left="640" w:right="295"/>
      </w:pPr>
      <w:r>
        <w:rPr/>
        <w:t>A14 Consumer confidence - as measured by the GFK survey - fell in February to +3.6% </w:t>
      </w:r>
      <w:r>
        <w:rPr>
          <w:spacing w:val="-2"/>
        </w:rPr>
        <w:t>(+4.5% </w:t>
      </w:r>
      <w:r>
        <w:rPr/>
        <w:t>in </w:t>
      </w:r>
      <w:r>
        <w:rPr>
          <w:spacing w:val="-3"/>
        </w:rPr>
        <w:t>January). </w:t>
      </w:r>
      <w:r>
        <w:rPr/>
        <w:t>It </w:t>
      </w:r>
      <w:r>
        <w:rPr>
          <w:spacing w:val="-3"/>
        </w:rPr>
        <w:t>remained </w:t>
      </w:r>
      <w:r>
        <w:rPr/>
        <w:t>at </w:t>
      </w:r>
      <w:r>
        <w:rPr>
          <w:spacing w:val="-3"/>
        </w:rPr>
        <w:t>lower levels than </w:t>
      </w:r>
      <w:r>
        <w:rPr/>
        <w:t>mid </w:t>
      </w:r>
      <w:r>
        <w:rPr>
          <w:spacing w:val="-3"/>
        </w:rPr>
        <w:t>1997, </w:t>
      </w:r>
      <w:r>
        <w:rPr/>
        <w:t>but was </w:t>
      </w:r>
      <w:r>
        <w:rPr>
          <w:spacing w:val="-3"/>
        </w:rPr>
        <w:t>still historically high. </w:t>
      </w:r>
      <w:r>
        <w:rPr/>
        <w:t>The </w:t>
      </w:r>
      <w:r>
        <w:rPr>
          <w:spacing w:val="-3"/>
        </w:rPr>
        <w:t>balance </w:t>
      </w:r>
      <w:r>
        <w:rPr/>
        <w:t>of</w:t>
      </w:r>
      <w:r>
        <w:rPr>
          <w:spacing w:val="-8"/>
        </w:rPr>
        <w:t> </w:t>
      </w:r>
      <w:r>
        <w:rPr/>
        <w:t>consumers</w:t>
      </w:r>
      <w:r>
        <w:rPr>
          <w:spacing w:val="-7"/>
        </w:rPr>
        <w:t> </w:t>
      </w:r>
      <w:r>
        <w:rPr/>
        <w:t>thinking</w:t>
      </w:r>
      <w:r>
        <w:rPr>
          <w:spacing w:val="-7"/>
        </w:rPr>
        <w:t> </w:t>
      </w:r>
      <w:r>
        <w:rPr/>
        <w:t>that</w:t>
      </w:r>
      <w:r>
        <w:rPr>
          <w:spacing w:val="-8"/>
        </w:rPr>
        <w:t> </w:t>
      </w:r>
      <w:r>
        <w:rPr/>
        <w:t>there</w:t>
      </w:r>
      <w:r>
        <w:rPr>
          <w:spacing w:val="-7"/>
        </w:rPr>
        <w:t> </w:t>
      </w:r>
      <w:r>
        <w:rPr/>
        <w:t>is</w:t>
      </w:r>
      <w:r>
        <w:rPr>
          <w:spacing w:val="-7"/>
        </w:rPr>
        <w:t> </w:t>
      </w:r>
      <w:r>
        <w:rPr/>
        <w:t>an</w:t>
      </w:r>
      <w:r>
        <w:rPr>
          <w:spacing w:val="-7"/>
        </w:rPr>
        <w:t> </w:t>
      </w:r>
      <w:r>
        <w:rPr/>
        <w:t>advantage</w:t>
      </w:r>
      <w:r>
        <w:rPr>
          <w:spacing w:val="-8"/>
        </w:rPr>
        <w:t> </w:t>
      </w:r>
      <w:r>
        <w:rPr/>
        <w:t>in</w:t>
      </w:r>
      <w:r>
        <w:rPr>
          <w:spacing w:val="-7"/>
        </w:rPr>
        <w:t> </w:t>
      </w:r>
      <w:r>
        <w:rPr/>
        <w:t>making</w:t>
      </w:r>
      <w:r>
        <w:rPr>
          <w:spacing w:val="-7"/>
        </w:rPr>
        <w:t> </w:t>
      </w:r>
      <w:r>
        <w:rPr/>
        <w:t>major</w:t>
      </w:r>
      <w:r>
        <w:rPr>
          <w:spacing w:val="-8"/>
        </w:rPr>
        <w:t> </w:t>
      </w:r>
      <w:r>
        <w:rPr/>
        <w:t>purchases</w:t>
      </w:r>
      <w:r>
        <w:rPr>
          <w:spacing w:val="-7"/>
        </w:rPr>
        <w:t> </w:t>
      </w:r>
      <w:r>
        <w:rPr/>
        <w:t>at</w:t>
      </w:r>
      <w:r>
        <w:rPr>
          <w:spacing w:val="-7"/>
        </w:rPr>
        <w:t> </w:t>
      </w:r>
      <w:r>
        <w:rPr/>
        <w:t>this</w:t>
      </w:r>
      <w:r>
        <w:rPr>
          <w:spacing w:val="-7"/>
        </w:rPr>
        <w:t> </w:t>
      </w:r>
      <w:r>
        <w:rPr/>
        <w:t>time</w:t>
      </w:r>
      <w:r>
        <w:rPr>
          <w:spacing w:val="-8"/>
        </w:rPr>
        <w:t> </w:t>
      </w:r>
      <w:r>
        <w:rPr/>
        <w:t>-</w:t>
      </w:r>
      <w:r>
        <w:rPr>
          <w:spacing w:val="-7"/>
        </w:rPr>
        <w:t> </w:t>
      </w:r>
      <w:r>
        <w:rPr/>
        <w:t>at</w:t>
      </w:r>
      <w:r>
        <w:rPr>
          <w:spacing w:val="-7"/>
        </w:rPr>
        <w:t> </w:t>
      </w:r>
      <w:r>
        <w:rPr/>
        <w:t>19.6%</w:t>
      </w:r>
    </w:p>
    <w:p>
      <w:pPr>
        <w:pStyle w:val="BodyText"/>
        <w:spacing w:line="321" w:lineRule="auto"/>
        <w:ind w:left="640"/>
      </w:pPr>
      <w:r>
        <w:rPr/>
        <w:t>- was not too </w:t>
      </w:r>
      <w:r>
        <w:rPr>
          <w:spacing w:val="-3"/>
        </w:rPr>
        <w:t>different from </w:t>
      </w:r>
      <w:r>
        <w:rPr/>
        <w:t>the </w:t>
      </w:r>
      <w:r>
        <w:rPr>
          <w:spacing w:val="-3"/>
        </w:rPr>
        <w:t>balance over </w:t>
      </w:r>
      <w:r>
        <w:rPr/>
        <w:t>the </w:t>
      </w:r>
      <w:r>
        <w:rPr>
          <w:spacing w:val="-3"/>
        </w:rPr>
        <w:t>summer months when many “windfall” payments </w:t>
      </w:r>
      <w:r>
        <w:rPr/>
        <w:t>were made. There were signs that growth in housing market activity might be moderating.</w:t>
      </w:r>
    </w:p>
    <w:p>
      <w:pPr>
        <w:pStyle w:val="BodyText"/>
        <w:spacing w:line="321" w:lineRule="auto"/>
        <w:ind w:left="640" w:right="308"/>
      </w:pPr>
      <w:r>
        <w:rPr>
          <w:spacing w:val="-3"/>
        </w:rPr>
        <w:t>Particulars delivered fell again </w:t>
      </w:r>
      <w:r>
        <w:rPr/>
        <w:t>in </w:t>
      </w:r>
      <w:r>
        <w:rPr>
          <w:spacing w:val="-3"/>
        </w:rPr>
        <w:t>January </w:t>
      </w:r>
      <w:r>
        <w:rPr/>
        <w:t>and the </w:t>
      </w:r>
      <w:r>
        <w:rPr>
          <w:spacing w:val="-3"/>
        </w:rPr>
        <w:t>RICS survey pointed </w:t>
      </w:r>
      <w:r>
        <w:rPr/>
        <w:t>to a </w:t>
      </w:r>
      <w:r>
        <w:rPr>
          <w:spacing w:val="-3"/>
        </w:rPr>
        <w:t>further fall </w:t>
      </w:r>
      <w:r>
        <w:rPr/>
        <w:t>in </w:t>
      </w:r>
      <w:r>
        <w:rPr>
          <w:spacing w:val="-3"/>
        </w:rPr>
        <w:t>the </w:t>
      </w:r>
      <w:r>
        <w:rPr/>
        <w:t>number of properties sold over the previous three months compared with 1997 levels. Alongside </w:t>
      </w:r>
      <w:r>
        <w:rPr>
          <w:spacing w:val="-3"/>
        </w:rPr>
        <w:t>this possible easing </w:t>
      </w:r>
      <w:r>
        <w:rPr/>
        <w:t>in </w:t>
      </w:r>
      <w:r>
        <w:rPr>
          <w:spacing w:val="-3"/>
        </w:rPr>
        <w:t>activity, house price inflation </w:t>
      </w:r>
      <w:r>
        <w:rPr/>
        <w:t>was </w:t>
      </w:r>
      <w:r>
        <w:rPr>
          <w:spacing w:val="-3"/>
        </w:rPr>
        <w:t>still moderating according </w:t>
      </w:r>
      <w:r>
        <w:rPr/>
        <w:t>to the </w:t>
      </w:r>
      <w:r>
        <w:rPr>
          <w:spacing w:val="-3"/>
        </w:rPr>
        <w:t>Halifax </w:t>
      </w:r>
      <w:r>
        <w:rPr/>
        <w:t>index : the annual rate of increase was 5.1% in February, compared to 12.9% for the Nationwide index. Bank estimates of house price inflation, based on Land Registry data, grew at 9% in </w:t>
      </w:r>
      <w:r>
        <w:rPr>
          <w:spacing w:val="-2"/>
        </w:rPr>
        <w:t>the </w:t>
      </w:r>
      <w:r>
        <w:rPr/>
        <w:t>year to 1997 Q4, similar to the previous two quarters.</w:t>
      </w:r>
    </w:p>
    <w:p>
      <w:pPr>
        <w:spacing w:after="0" w:line="321" w:lineRule="auto"/>
        <w:sectPr>
          <w:pgSz w:w="11900" w:h="16840"/>
          <w:pgMar w:header="733" w:footer="0" w:top="1040" w:bottom="280" w:left="800" w:right="780"/>
        </w:sectPr>
      </w:pPr>
    </w:p>
    <w:p>
      <w:pPr>
        <w:pStyle w:val="BodyText"/>
        <w:spacing w:line="321" w:lineRule="auto" w:before="80"/>
        <w:ind w:left="640" w:right="308"/>
      </w:pPr>
      <w:r>
        <w:rPr/>
        <w:t>A15 Total investment grew by 0.8% in 1997 Q4, to be 2.9% higher than a year earlier. Data on investment spending showed a sharp fall of -9.2% in manufacturing investment in Q4 compared with Q3. Surveys of investment intentions suggest this weakness will continue. Given the overall rise in investment in Q4, service sector investment probably increased significantly.</w:t>
      </w:r>
    </w:p>
    <w:p>
      <w:pPr>
        <w:pStyle w:val="BodyText"/>
        <w:rPr>
          <w:sz w:val="32"/>
        </w:rPr>
      </w:pPr>
    </w:p>
    <w:p>
      <w:pPr>
        <w:pStyle w:val="BodyText"/>
        <w:ind w:left="640"/>
      </w:pPr>
      <w:r>
        <w:rPr/>
        <w:t>A16 Stockbuilding contributed 0.3 percentage points to GDP growth in Q4, with stocks rising by</w:t>
      </w:r>
    </w:p>
    <w:p>
      <w:pPr>
        <w:pStyle w:val="BodyText"/>
        <w:spacing w:line="321" w:lineRule="auto" w:before="94"/>
        <w:ind w:left="640" w:right="355"/>
      </w:pPr>
      <w:r>
        <w:rPr/>
        <w:t>£1006 million at 1990 prices. But disaggregated stocks data implied that much of the overall increase reflected a positive quarterly alignment adjustment (measured expenditure rose by less than measured output). Retailers ran down stocks in Q4 (and revisions show less of a build-up through 1997) resulting in a fall in the retail stock to sales ratio to its lowest level since 1995 Q2.</w:t>
      </w:r>
    </w:p>
    <w:p>
      <w:pPr>
        <w:pStyle w:val="BodyText"/>
        <w:spacing w:before="1"/>
        <w:rPr>
          <w:sz w:val="32"/>
        </w:rPr>
      </w:pPr>
    </w:p>
    <w:p>
      <w:pPr>
        <w:pStyle w:val="BodyText"/>
        <w:spacing w:line="321" w:lineRule="auto"/>
        <w:ind w:left="640" w:right="303"/>
      </w:pPr>
      <w:r>
        <w:rPr/>
        <w:t>A17</w:t>
      </w:r>
      <w:r>
        <w:rPr>
          <w:spacing w:val="18"/>
        </w:rPr>
        <w:t> </w:t>
      </w:r>
      <w:r>
        <w:rPr/>
        <w:t>There</w:t>
      </w:r>
      <w:r>
        <w:rPr>
          <w:spacing w:val="-7"/>
        </w:rPr>
        <w:t> </w:t>
      </w:r>
      <w:r>
        <w:rPr/>
        <w:t>was</w:t>
      </w:r>
      <w:r>
        <w:rPr>
          <w:spacing w:val="-6"/>
        </w:rPr>
        <w:t> </w:t>
      </w:r>
      <w:r>
        <w:rPr/>
        <w:t>large</w:t>
      </w:r>
      <w:r>
        <w:rPr>
          <w:spacing w:val="-7"/>
        </w:rPr>
        <w:t> </w:t>
      </w:r>
      <w:r>
        <w:rPr/>
        <w:t>public</w:t>
      </w:r>
      <w:r>
        <w:rPr>
          <w:spacing w:val="-7"/>
        </w:rPr>
        <w:t> </w:t>
      </w:r>
      <w:r>
        <w:rPr/>
        <w:t>sector</w:t>
      </w:r>
      <w:r>
        <w:rPr>
          <w:spacing w:val="-6"/>
        </w:rPr>
        <w:t> </w:t>
      </w:r>
      <w:r>
        <w:rPr/>
        <w:t>debt</w:t>
      </w:r>
      <w:r>
        <w:rPr>
          <w:spacing w:val="-7"/>
        </w:rPr>
        <w:t> </w:t>
      </w:r>
      <w:r>
        <w:rPr/>
        <w:t>repayment</w:t>
      </w:r>
      <w:r>
        <w:rPr>
          <w:spacing w:val="-7"/>
        </w:rPr>
        <w:t> </w:t>
      </w:r>
      <w:r>
        <w:rPr/>
        <w:t>of</w:t>
      </w:r>
      <w:r>
        <w:rPr>
          <w:spacing w:val="-6"/>
        </w:rPr>
        <w:t> </w:t>
      </w:r>
      <w:r>
        <w:rPr/>
        <w:t>£10.4</w:t>
      </w:r>
      <w:r>
        <w:rPr>
          <w:spacing w:val="-7"/>
        </w:rPr>
        <w:t> </w:t>
      </w:r>
      <w:r>
        <w:rPr/>
        <w:t>billion</w:t>
      </w:r>
      <w:r>
        <w:rPr>
          <w:spacing w:val="-7"/>
        </w:rPr>
        <w:t> </w:t>
      </w:r>
      <w:r>
        <w:rPr/>
        <w:t>in</w:t>
      </w:r>
      <w:r>
        <w:rPr>
          <w:spacing w:val="-6"/>
        </w:rPr>
        <w:t> </w:t>
      </w:r>
      <w:r>
        <w:rPr/>
        <w:t>January,</w:t>
      </w:r>
      <w:r>
        <w:rPr>
          <w:spacing w:val="-7"/>
        </w:rPr>
        <w:t> </w:t>
      </w:r>
      <w:r>
        <w:rPr/>
        <w:t>partly</w:t>
      </w:r>
      <w:r>
        <w:rPr>
          <w:spacing w:val="-7"/>
        </w:rPr>
        <w:t> </w:t>
      </w:r>
      <w:r>
        <w:rPr/>
        <w:t>due</w:t>
      </w:r>
      <w:r>
        <w:rPr>
          <w:spacing w:val="-6"/>
        </w:rPr>
        <w:t> </w:t>
      </w:r>
      <w:r>
        <w:rPr/>
        <w:t>to</w:t>
      </w:r>
      <w:r>
        <w:rPr>
          <w:spacing w:val="-7"/>
        </w:rPr>
        <w:t> </w:t>
      </w:r>
      <w:r>
        <w:rPr>
          <w:spacing w:val="-2"/>
        </w:rPr>
        <w:t>higher </w:t>
      </w:r>
      <w:r>
        <w:rPr/>
        <w:t>than expected receipts under the new self-assessment tax system. Although there are </w:t>
      </w:r>
      <w:r>
        <w:rPr>
          <w:spacing w:val="-2"/>
        </w:rPr>
        <w:t>always </w:t>
      </w:r>
      <w:r>
        <w:rPr/>
        <w:t>uncertainties about expenditure at the year end, the full-year PSBR seemed likely to undershoot the Government’s November 1997/98 forecast. The cumulative effects of higher receipts </w:t>
      </w:r>
      <w:r>
        <w:rPr>
          <w:spacing w:val="-2"/>
        </w:rPr>
        <w:t>and </w:t>
      </w:r>
      <w:r>
        <w:rPr>
          <w:spacing w:val="-3"/>
        </w:rPr>
        <w:t>lower expenditure over </w:t>
      </w:r>
      <w:r>
        <w:rPr/>
        <w:t>a </w:t>
      </w:r>
      <w:r>
        <w:rPr>
          <w:spacing w:val="-3"/>
        </w:rPr>
        <w:t>number </w:t>
      </w:r>
      <w:r>
        <w:rPr/>
        <w:t>of </w:t>
      </w:r>
      <w:r>
        <w:rPr>
          <w:spacing w:val="-3"/>
        </w:rPr>
        <w:t>months </w:t>
      </w:r>
      <w:r>
        <w:rPr/>
        <w:t>was </w:t>
      </w:r>
      <w:r>
        <w:rPr>
          <w:spacing w:val="-3"/>
        </w:rPr>
        <w:t>likely </w:t>
      </w:r>
      <w:r>
        <w:rPr/>
        <w:t>to be a </w:t>
      </w:r>
      <w:r>
        <w:rPr>
          <w:spacing w:val="-3"/>
        </w:rPr>
        <w:t>larger effect </w:t>
      </w:r>
      <w:r>
        <w:rPr/>
        <w:t>in </w:t>
      </w:r>
      <w:r>
        <w:rPr>
          <w:spacing w:val="-3"/>
        </w:rPr>
        <w:t>determining the  </w:t>
      </w:r>
      <w:r>
        <w:rPr/>
        <w:t>97/98 undershoot than the effects of self-assessment tax</w:t>
      </w:r>
      <w:r>
        <w:rPr>
          <w:spacing w:val="-5"/>
        </w:rPr>
        <w:t> </w:t>
      </w:r>
      <w:r>
        <w:rPr/>
        <w:t>system.</w:t>
      </w:r>
    </w:p>
    <w:p>
      <w:pPr>
        <w:pStyle w:val="BodyText"/>
        <w:rPr>
          <w:sz w:val="32"/>
        </w:rPr>
      </w:pPr>
    </w:p>
    <w:p>
      <w:pPr>
        <w:pStyle w:val="BodyText"/>
        <w:spacing w:line="321" w:lineRule="auto"/>
        <w:ind w:left="640" w:right="242"/>
      </w:pPr>
      <w:r>
        <w:rPr/>
        <w:t>A18 Trade data for goods showed a sharp deterioration in the trade balance in 1997 Q4, despite a rebound in exports in December. This deterioration resulted entirely from non-EU trade, </w:t>
      </w:r>
      <w:r>
        <w:rPr>
          <w:spacing w:val="-2"/>
        </w:rPr>
        <w:t>partly </w:t>
      </w:r>
      <w:r>
        <w:rPr>
          <w:spacing w:val="-3"/>
        </w:rPr>
        <w:t>reflecting </w:t>
      </w:r>
      <w:r>
        <w:rPr/>
        <w:t>an </w:t>
      </w:r>
      <w:r>
        <w:rPr>
          <w:spacing w:val="-3"/>
        </w:rPr>
        <w:t>impact from East Asia. Revisions also resulted </w:t>
      </w:r>
      <w:r>
        <w:rPr/>
        <w:t>in a </w:t>
      </w:r>
      <w:r>
        <w:rPr>
          <w:spacing w:val="-3"/>
        </w:rPr>
        <w:t>larger deficit through 1997, which </w:t>
      </w:r>
      <w:r>
        <w:rPr/>
        <w:t>has not yet been reflected in the GDP data. It is not clear yet what the implications will be </w:t>
      </w:r>
      <w:r>
        <w:rPr>
          <w:spacing w:val="-2"/>
        </w:rPr>
        <w:t>for </w:t>
      </w:r>
      <w:r>
        <w:rPr/>
        <w:t>GDP growth in Q4. The monthly data are consistent with a -0.7 percentage point contribution from trade in goods in Q4, compared to an overall net trade contribution of -1.1 percentage points in the latest GDP expenditure breakdown.</w:t>
      </w:r>
    </w:p>
    <w:p>
      <w:pPr>
        <w:pStyle w:val="BodyText"/>
        <w:rPr>
          <w:sz w:val="32"/>
        </w:rPr>
      </w:pPr>
    </w:p>
    <w:p>
      <w:pPr>
        <w:pStyle w:val="BodyText"/>
        <w:spacing w:line="321" w:lineRule="auto"/>
        <w:ind w:left="640" w:right="235"/>
      </w:pPr>
      <w:r>
        <w:rPr/>
        <w:t>A19 On the output side, the contrast between domestic demand and net trade is reflected in continued strong growth in services output (+1.1%) and a fall in manufacturing output (-0.4%) in Q4, the largest quarterly fall since 1991 Q4. Total industrial production fell even more sharply, by 1.1%, reflecting falling energy output. Manufacturing output was some 1% lower in December than its peak in the summer of 1997 and had fallen in each of the previous three months. The recent weakness was widespread but most noticeable in investment and intermediate goods.</w:t>
      </w:r>
    </w:p>
    <w:p>
      <w:pPr>
        <w:pStyle w:val="BodyText"/>
        <w:rPr>
          <w:sz w:val="32"/>
        </w:rPr>
      </w:pPr>
    </w:p>
    <w:p>
      <w:pPr>
        <w:pStyle w:val="BodyText"/>
        <w:spacing w:line="321" w:lineRule="auto" w:before="1"/>
        <w:ind w:left="640" w:right="296"/>
      </w:pPr>
      <w:r>
        <w:rPr/>
        <w:t>A20 Falling manufacturing output contrasted with survey evidence and Agents’ reports that, while growth was slowing, it remained positive. This was true across a range of surveys. But </w:t>
      </w:r>
      <w:r>
        <w:rPr>
          <w:spacing w:val="-2"/>
        </w:rPr>
        <w:t>the </w:t>
      </w:r>
      <w:r>
        <w:rPr/>
        <w:t>surveys did point to a worsening outlook for manufacturing: output expectations balances have </w:t>
      </w:r>
      <w:r>
        <w:rPr>
          <w:spacing w:val="-3"/>
        </w:rPr>
        <w:t>fallen back </w:t>
      </w:r>
      <w:r>
        <w:rPr/>
        <w:t>in the CBI </w:t>
      </w:r>
      <w:r>
        <w:rPr>
          <w:spacing w:val="-3"/>
        </w:rPr>
        <w:t>Industrial Trends survey </w:t>
      </w:r>
      <w:r>
        <w:rPr/>
        <w:t>(+9 in </w:t>
      </w:r>
      <w:r>
        <w:rPr>
          <w:spacing w:val="-3"/>
        </w:rPr>
        <w:t>January) </w:t>
      </w:r>
      <w:r>
        <w:rPr/>
        <w:t>and the </w:t>
      </w:r>
      <w:r>
        <w:rPr>
          <w:spacing w:val="-3"/>
        </w:rPr>
        <w:t>C</w:t>
      </w:r>
      <w:r>
        <w:rPr>
          <w:spacing w:val="-3"/>
          <w:sz w:val="18"/>
        </w:rPr>
        <w:t>IPS </w:t>
      </w:r>
      <w:r>
        <w:rPr/>
        <w:t>survey suggested orders growth was almost zero (index of 50.7 in January). But there remained a large discrepancy between</w:t>
      </w:r>
      <w:r>
        <w:rPr>
          <w:spacing w:val="-4"/>
        </w:rPr>
        <w:t> </w:t>
      </w:r>
      <w:r>
        <w:rPr/>
        <w:t>ONS</w:t>
      </w:r>
      <w:r>
        <w:rPr>
          <w:spacing w:val="-3"/>
        </w:rPr>
        <w:t> </w:t>
      </w:r>
      <w:r>
        <w:rPr/>
        <w:t>and</w:t>
      </w:r>
      <w:r>
        <w:rPr>
          <w:spacing w:val="-3"/>
        </w:rPr>
        <w:t> </w:t>
      </w:r>
      <w:r>
        <w:rPr/>
        <w:t>survey</w:t>
      </w:r>
      <w:r>
        <w:rPr>
          <w:spacing w:val="-4"/>
        </w:rPr>
        <w:t> </w:t>
      </w:r>
      <w:r>
        <w:rPr/>
        <w:t>data</w:t>
      </w:r>
      <w:r>
        <w:rPr>
          <w:spacing w:val="-3"/>
        </w:rPr>
        <w:t> </w:t>
      </w:r>
      <w:r>
        <w:rPr/>
        <w:t>about</w:t>
      </w:r>
      <w:r>
        <w:rPr>
          <w:spacing w:val="-3"/>
        </w:rPr>
        <w:t> </w:t>
      </w:r>
      <w:r>
        <w:rPr/>
        <w:t>whether</w:t>
      </w:r>
      <w:r>
        <w:rPr>
          <w:spacing w:val="-3"/>
        </w:rPr>
        <w:t> </w:t>
      </w:r>
      <w:r>
        <w:rPr/>
        <w:t>this</w:t>
      </w:r>
      <w:r>
        <w:rPr>
          <w:spacing w:val="-4"/>
        </w:rPr>
        <w:t> </w:t>
      </w:r>
      <w:r>
        <w:rPr/>
        <w:t>future</w:t>
      </w:r>
      <w:r>
        <w:rPr>
          <w:spacing w:val="-3"/>
        </w:rPr>
        <w:t> </w:t>
      </w:r>
      <w:r>
        <w:rPr/>
        <w:t>deterioration</w:t>
      </w:r>
      <w:r>
        <w:rPr>
          <w:spacing w:val="-3"/>
        </w:rPr>
        <w:t> </w:t>
      </w:r>
      <w:r>
        <w:rPr/>
        <w:t>would</w:t>
      </w:r>
      <w:r>
        <w:rPr>
          <w:spacing w:val="-3"/>
        </w:rPr>
        <w:t> </w:t>
      </w:r>
      <w:r>
        <w:rPr/>
        <w:t>follow</w:t>
      </w:r>
      <w:r>
        <w:rPr>
          <w:spacing w:val="-4"/>
        </w:rPr>
        <w:t> </w:t>
      </w:r>
      <w:r>
        <w:rPr/>
        <w:t>a</w:t>
      </w:r>
      <w:r>
        <w:rPr>
          <w:spacing w:val="-3"/>
        </w:rPr>
        <w:t> </w:t>
      </w:r>
      <w:r>
        <w:rPr/>
        <w:t>period</w:t>
      </w:r>
      <w:r>
        <w:rPr>
          <w:spacing w:val="-3"/>
        </w:rPr>
        <w:t> </w:t>
      </w:r>
      <w:r>
        <w:rPr>
          <w:spacing w:val="-4"/>
        </w:rPr>
        <w:t>when</w:t>
      </w:r>
    </w:p>
    <w:p>
      <w:pPr>
        <w:spacing w:after="0" w:line="321" w:lineRule="auto"/>
        <w:sectPr>
          <w:pgSz w:w="11900" w:h="16840"/>
          <w:pgMar w:header="733" w:footer="0" w:top="1040" w:bottom="280" w:left="800" w:right="780"/>
        </w:sectPr>
      </w:pPr>
    </w:p>
    <w:p>
      <w:pPr>
        <w:pStyle w:val="BodyText"/>
        <w:spacing w:before="80"/>
        <w:ind w:left="640"/>
      </w:pPr>
      <w:r>
        <w:rPr/>
        <w:t>output had been rising or falling.</w:t>
      </w:r>
    </w:p>
    <w:p>
      <w:pPr>
        <w:pStyle w:val="BodyText"/>
        <w:rPr>
          <w:sz w:val="26"/>
        </w:rPr>
      </w:pPr>
    </w:p>
    <w:p>
      <w:pPr>
        <w:pStyle w:val="BodyText"/>
        <w:spacing w:line="321" w:lineRule="auto" w:before="164"/>
        <w:ind w:left="640" w:right="202"/>
      </w:pPr>
      <w:r>
        <w:rPr/>
        <w:t>A21 Recent data relating to the situation in Asia were considered. The effects of the crisis were beginning to be evident. Exports to the region had been falling sharply, though imports from the region had been less responsive. G7 trade balances with East Asia were deteriorating (Japan, Germany, France, UK). The Agents undertook a special inquiry in February into the effects of the Asia crisis on UK companies. Recent Agents’ reports had mentioned export difficulties amongst some companies, worries about dumping and the impact on inward direct investment. The survey was focused on firms which were expected to be sensitive to the East Asia situation, three quarters of whom were manufacturers. Around 60% said that the situation had already had an impact, two thirds in terms of lost export orders, and a half mentioned some reduction in export prices.</w:t>
      </w:r>
    </w:p>
    <w:p>
      <w:pPr>
        <w:pStyle w:val="BodyText"/>
        <w:spacing w:line="321" w:lineRule="auto"/>
        <w:ind w:left="640" w:right="308"/>
      </w:pPr>
      <w:r>
        <w:rPr/>
        <w:t>Around a quarter had seen a rise in imports from the region; and around a third are benefiting from a fall in their import costs. But around one half had seen a fall in the price of competing imports. Some mentioned the likely wider impact on world commodity prices. Of those who had not yet seen an impact, over three quarters did not expect that to change. In general, a number of respondents and Agents felt it was still too soon to gauge the overall effect on UK business.</w:t>
      </w:r>
    </w:p>
    <w:p>
      <w:pPr>
        <w:pStyle w:val="BodyText"/>
        <w:spacing w:before="3"/>
        <w:rPr>
          <w:sz w:val="32"/>
        </w:rPr>
      </w:pPr>
    </w:p>
    <w:p>
      <w:pPr>
        <w:pStyle w:val="Heading1"/>
        <w:numPr>
          <w:ilvl w:val="1"/>
          <w:numId w:val="1"/>
        </w:numPr>
        <w:tabs>
          <w:tab w:pos="1041" w:val="left" w:leader="none"/>
        </w:tabs>
        <w:spacing w:line="240" w:lineRule="auto" w:before="0" w:after="0"/>
        <w:ind w:left="1040" w:right="0" w:hanging="401"/>
        <w:jc w:val="left"/>
      </w:pPr>
      <w:r>
        <w:rPr/>
        <w:t>The labour</w:t>
      </w:r>
      <w:r>
        <w:rPr>
          <w:spacing w:val="-1"/>
        </w:rPr>
        <w:t> </w:t>
      </w:r>
      <w:r>
        <w:rPr>
          <w:spacing w:val="-2"/>
        </w:rPr>
        <w:t>market</w:t>
      </w:r>
    </w:p>
    <w:p>
      <w:pPr>
        <w:pStyle w:val="BodyText"/>
        <w:rPr>
          <w:b/>
          <w:sz w:val="26"/>
        </w:rPr>
      </w:pPr>
    </w:p>
    <w:p>
      <w:pPr>
        <w:pStyle w:val="BodyText"/>
        <w:spacing w:line="321" w:lineRule="auto" w:before="160"/>
        <w:ind w:left="640" w:right="308"/>
      </w:pPr>
      <w:r>
        <w:rPr/>
        <w:t>A22 Service sector demand for labour remained quite strong: the </w:t>
      </w:r>
      <w:r>
        <w:rPr>
          <w:spacing w:val="-3"/>
        </w:rPr>
        <w:t>C</w:t>
      </w:r>
      <w:r>
        <w:rPr>
          <w:spacing w:val="-3"/>
          <w:sz w:val="18"/>
        </w:rPr>
        <w:t>IPS </w:t>
      </w:r>
      <w:r>
        <w:rPr/>
        <w:t>survey for January </w:t>
      </w:r>
      <w:r>
        <w:rPr>
          <w:spacing w:val="-2"/>
        </w:rPr>
        <w:t>showed </w:t>
      </w:r>
      <w:r>
        <w:rPr/>
        <w:t>the </w:t>
      </w:r>
      <w:r>
        <w:rPr>
          <w:spacing w:val="-3"/>
        </w:rPr>
        <w:t>largest increase </w:t>
      </w:r>
      <w:r>
        <w:rPr/>
        <w:t>in </w:t>
      </w:r>
      <w:r>
        <w:rPr>
          <w:spacing w:val="-3"/>
        </w:rPr>
        <w:t>employment since August, </w:t>
      </w:r>
      <w:r>
        <w:rPr/>
        <w:t>and </w:t>
      </w:r>
      <w:r>
        <w:rPr>
          <w:spacing w:val="-3"/>
        </w:rPr>
        <w:t>there </w:t>
      </w:r>
      <w:r>
        <w:rPr/>
        <w:t>was </w:t>
      </w:r>
      <w:r>
        <w:rPr>
          <w:spacing w:val="-3"/>
        </w:rPr>
        <w:t>only </w:t>
      </w:r>
      <w:r>
        <w:rPr/>
        <w:t>a </w:t>
      </w:r>
      <w:r>
        <w:rPr>
          <w:spacing w:val="-3"/>
        </w:rPr>
        <w:t>marginal slowdown in </w:t>
      </w:r>
      <w:r>
        <w:rPr/>
        <w:t>February. Information from the Bank’s Agents supported the broad picture, although there were </w:t>
      </w:r>
      <w:r>
        <w:rPr>
          <w:spacing w:val="-3"/>
        </w:rPr>
        <w:t>some indications employment growth </w:t>
      </w:r>
      <w:r>
        <w:rPr/>
        <w:t>was </w:t>
      </w:r>
      <w:r>
        <w:rPr>
          <w:spacing w:val="-3"/>
        </w:rPr>
        <w:t>beginning </w:t>
      </w:r>
      <w:r>
        <w:rPr/>
        <w:t>to </w:t>
      </w:r>
      <w:r>
        <w:rPr>
          <w:spacing w:val="-3"/>
        </w:rPr>
        <w:t>fall. There </w:t>
      </w:r>
      <w:r>
        <w:rPr/>
        <w:t>was </w:t>
      </w:r>
      <w:r>
        <w:rPr>
          <w:spacing w:val="-3"/>
        </w:rPr>
        <w:t>mixed evidence on manufacturing. </w:t>
      </w:r>
      <w:r>
        <w:rPr/>
        <w:t>ONS </w:t>
      </w:r>
      <w:r>
        <w:rPr>
          <w:spacing w:val="-3"/>
        </w:rPr>
        <w:t>data indicated </w:t>
      </w:r>
      <w:r>
        <w:rPr/>
        <w:t>a </w:t>
      </w:r>
      <w:r>
        <w:rPr>
          <w:spacing w:val="-3"/>
        </w:rPr>
        <w:t>fall </w:t>
      </w:r>
      <w:r>
        <w:rPr/>
        <w:t>of </w:t>
      </w:r>
      <w:r>
        <w:rPr>
          <w:spacing w:val="-3"/>
        </w:rPr>
        <w:t>17,000 </w:t>
      </w:r>
      <w:r>
        <w:rPr/>
        <w:t>in </w:t>
      </w:r>
      <w:r>
        <w:rPr>
          <w:spacing w:val="-3"/>
        </w:rPr>
        <w:t>manufacturing employees </w:t>
      </w:r>
      <w:r>
        <w:rPr/>
        <w:t>in </w:t>
      </w:r>
      <w:r>
        <w:rPr>
          <w:spacing w:val="-3"/>
        </w:rPr>
        <w:t>employment in </w:t>
      </w:r>
      <w:r>
        <w:rPr/>
        <w:t>December after two small increases in October and November; the monthly data were, however, quite volatile and were often revised when the quarterly Workforce in Employment survey </w:t>
      </w:r>
      <w:r>
        <w:rPr>
          <w:spacing w:val="-2"/>
        </w:rPr>
        <w:t>was </w:t>
      </w:r>
      <w:r>
        <w:rPr/>
        <w:t>released. In contrast, the C</w:t>
      </w:r>
      <w:r>
        <w:rPr>
          <w:sz w:val="18"/>
        </w:rPr>
        <w:t>IPS </w:t>
      </w:r>
      <w:r>
        <w:rPr>
          <w:spacing w:val="-4"/>
        </w:rPr>
        <w:t>survey </w:t>
      </w:r>
      <w:r>
        <w:rPr>
          <w:spacing w:val="-3"/>
        </w:rPr>
        <w:t>was </w:t>
      </w:r>
      <w:r>
        <w:rPr>
          <w:spacing w:val="-4"/>
        </w:rPr>
        <w:t>consistent </w:t>
      </w:r>
      <w:r>
        <w:rPr>
          <w:spacing w:val="-3"/>
        </w:rPr>
        <w:t>with </w:t>
      </w:r>
      <w:r>
        <w:rPr/>
        <w:t>a </w:t>
      </w:r>
      <w:r>
        <w:rPr>
          <w:spacing w:val="-4"/>
        </w:rPr>
        <w:t>small increase </w:t>
      </w:r>
      <w:r>
        <w:rPr/>
        <w:t>in </w:t>
      </w:r>
      <w:r>
        <w:rPr>
          <w:spacing w:val="-4"/>
        </w:rPr>
        <w:t>employment levels in </w:t>
      </w:r>
      <w:r>
        <w:rPr/>
        <w:t>each of the six months to February. The Agents were reporting a flat position overall with small </w:t>
      </w:r>
      <w:r>
        <w:rPr>
          <w:spacing w:val="-3"/>
        </w:rPr>
        <w:t>rises </w:t>
      </w:r>
      <w:r>
        <w:rPr/>
        <w:t>in </w:t>
      </w:r>
      <w:r>
        <w:rPr>
          <w:spacing w:val="-3"/>
        </w:rPr>
        <w:t>some regions </w:t>
      </w:r>
      <w:r>
        <w:rPr/>
        <w:t>and </w:t>
      </w:r>
      <w:r>
        <w:rPr>
          <w:spacing w:val="-3"/>
        </w:rPr>
        <w:t>small falls </w:t>
      </w:r>
      <w:r>
        <w:rPr/>
        <w:t>in </w:t>
      </w:r>
      <w:r>
        <w:rPr>
          <w:spacing w:val="-3"/>
        </w:rPr>
        <w:t>others; this </w:t>
      </w:r>
      <w:r>
        <w:rPr/>
        <w:t>was a </w:t>
      </w:r>
      <w:r>
        <w:rPr>
          <w:spacing w:val="-3"/>
        </w:rPr>
        <w:t>slightly weaker position than </w:t>
      </w:r>
      <w:r>
        <w:rPr/>
        <w:t>in </w:t>
      </w:r>
      <w:r>
        <w:rPr>
          <w:spacing w:val="-3"/>
        </w:rPr>
        <w:t>the </w:t>
      </w:r>
      <w:r>
        <w:rPr/>
        <w:t>autumn. A broadly flat position was the best assessment of the short-term</w:t>
      </w:r>
      <w:r>
        <w:rPr>
          <w:spacing w:val="-13"/>
        </w:rPr>
        <w:t> </w:t>
      </w:r>
      <w:r>
        <w:rPr/>
        <w:t>trend.</w:t>
      </w:r>
    </w:p>
    <w:p>
      <w:pPr>
        <w:pStyle w:val="BodyText"/>
        <w:spacing w:before="10"/>
        <w:rPr>
          <w:sz w:val="31"/>
        </w:rPr>
      </w:pPr>
    </w:p>
    <w:p>
      <w:pPr>
        <w:pStyle w:val="BodyText"/>
        <w:spacing w:line="321" w:lineRule="auto" w:before="1"/>
        <w:ind w:left="640" w:right="296"/>
      </w:pPr>
      <w:r>
        <w:rPr/>
        <w:t>A23   </w:t>
      </w:r>
      <w:r>
        <w:rPr>
          <w:spacing w:val="-3"/>
        </w:rPr>
        <w:t>Claimant unemployment fell </w:t>
      </w:r>
      <w:r>
        <w:rPr/>
        <w:t>by </w:t>
      </w:r>
      <w:r>
        <w:rPr>
          <w:spacing w:val="-3"/>
        </w:rPr>
        <w:t>just over 12,000 </w:t>
      </w:r>
      <w:r>
        <w:rPr/>
        <w:t>in </w:t>
      </w:r>
      <w:r>
        <w:rPr>
          <w:spacing w:val="-3"/>
        </w:rPr>
        <w:t>January, leaving </w:t>
      </w:r>
      <w:r>
        <w:rPr/>
        <w:t>the </w:t>
      </w:r>
      <w:r>
        <w:rPr>
          <w:spacing w:val="-3"/>
        </w:rPr>
        <w:t>rate unchanged at </w:t>
      </w:r>
      <w:r>
        <w:rPr/>
        <w:t>5%.  The </w:t>
      </w:r>
      <w:r>
        <w:rPr>
          <w:spacing w:val="-3"/>
        </w:rPr>
        <w:t>decline </w:t>
      </w:r>
      <w:r>
        <w:rPr/>
        <w:t>was </w:t>
      </w:r>
      <w:r>
        <w:rPr>
          <w:spacing w:val="-3"/>
        </w:rPr>
        <w:t>less than </w:t>
      </w:r>
      <w:r>
        <w:rPr/>
        <w:t>in </w:t>
      </w:r>
      <w:r>
        <w:rPr>
          <w:spacing w:val="-3"/>
        </w:rPr>
        <w:t>previous months.  </w:t>
      </w:r>
      <w:r>
        <w:rPr/>
        <w:t>But the </w:t>
      </w:r>
      <w:r>
        <w:rPr>
          <w:spacing w:val="-3"/>
        </w:rPr>
        <w:t>small fall could </w:t>
      </w:r>
      <w:r>
        <w:rPr/>
        <w:t>at </w:t>
      </w:r>
      <w:r>
        <w:rPr>
          <w:spacing w:val="-3"/>
        </w:rPr>
        <w:t>least partly reflect </w:t>
      </w:r>
      <w:r>
        <w:rPr/>
        <w:t>the early date for the count: the Employment Service had less time than usual in the New Year to </w:t>
      </w:r>
      <w:r>
        <w:rPr>
          <w:spacing w:val="-3"/>
        </w:rPr>
        <w:t>close down </w:t>
      </w:r>
      <w:r>
        <w:rPr/>
        <w:t>the </w:t>
      </w:r>
      <w:r>
        <w:rPr>
          <w:spacing w:val="-3"/>
        </w:rPr>
        <w:t>claims </w:t>
      </w:r>
      <w:r>
        <w:rPr/>
        <w:t>of </w:t>
      </w:r>
      <w:r>
        <w:rPr>
          <w:spacing w:val="-3"/>
        </w:rPr>
        <w:t>those </w:t>
      </w:r>
      <w:r>
        <w:rPr/>
        <w:t>who had </w:t>
      </w:r>
      <w:r>
        <w:rPr>
          <w:spacing w:val="-3"/>
        </w:rPr>
        <w:t>found work. There </w:t>
      </w:r>
      <w:r>
        <w:rPr/>
        <w:t>was a </w:t>
      </w:r>
      <w:r>
        <w:rPr>
          <w:spacing w:val="-3"/>
        </w:rPr>
        <w:t>small rise </w:t>
      </w:r>
      <w:r>
        <w:rPr/>
        <w:t>in </w:t>
      </w:r>
      <w:r>
        <w:rPr>
          <w:spacing w:val="-3"/>
        </w:rPr>
        <w:t>claimant </w:t>
      </w:r>
      <w:r>
        <w:rPr/>
        <w:t>unemployment in the North East, Scotland and Northern Ireland in January. But looking back </w:t>
      </w:r>
      <w:r>
        <w:rPr>
          <w:spacing w:val="-3"/>
        </w:rPr>
        <w:t>over </w:t>
      </w:r>
      <w:r>
        <w:rPr/>
        <w:t>the </w:t>
      </w:r>
      <w:r>
        <w:rPr>
          <w:spacing w:val="-3"/>
        </w:rPr>
        <w:t>past </w:t>
      </w:r>
      <w:r>
        <w:rPr/>
        <w:t>six </w:t>
      </w:r>
      <w:r>
        <w:rPr>
          <w:spacing w:val="-3"/>
        </w:rPr>
        <w:t>months, </w:t>
      </w:r>
      <w:r>
        <w:rPr/>
        <w:t>the </w:t>
      </w:r>
      <w:r>
        <w:rPr>
          <w:spacing w:val="-3"/>
        </w:rPr>
        <w:t>fall </w:t>
      </w:r>
      <w:r>
        <w:rPr/>
        <w:t>in </w:t>
      </w:r>
      <w:r>
        <w:rPr>
          <w:spacing w:val="-3"/>
        </w:rPr>
        <w:t>unemployment across </w:t>
      </w:r>
      <w:r>
        <w:rPr/>
        <w:t>the </w:t>
      </w:r>
      <w:r>
        <w:rPr>
          <w:spacing w:val="-3"/>
        </w:rPr>
        <w:t>regions </w:t>
      </w:r>
      <w:r>
        <w:rPr/>
        <w:t>had </w:t>
      </w:r>
      <w:r>
        <w:rPr>
          <w:spacing w:val="-3"/>
        </w:rPr>
        <w:t>been remarkably uniform </w:t>
      </w:r>
      <w:r>
        <w:rPr/>
        <w:t>outside Northern</w:t>
      </w:r>
      <w:r>
        <w:rPr>
          <w:spacing w:val="1"/>
        </w:rPr>
        <w:t> </w:t>
      </w:r>
      <w:r>
        <w:rPr/>
        <w:t>Ireland.</w:t>
      </w:r>
    </w:p>
    <w:p>
      <w:pPr>
        <w:spacing w:after="0" w:line="321" w:lineRule="auto"/>
        <w:sectPr>
          <w:pgSz w:w="11900" w:h="16840"/>
          <w:pgMar w:header="733" w:footer="0" w:top="1040" w:bottom="280" w:left="800" w:right="780"/>
        </w:sectPr>
      </w:pPr>
    </w:p>
    <w:p>
      <w:pPr>
        <w:pStyle w:val="BodyText"/>
        <w:spacing w:line="321" w:lineRule="auto" w:before="80"/>
        <w:ind w:left="640" w:right="297"/>
      </w:pPr>
      <w:r>
        <w:rPr/>
        <w:t>A24 The stock of vacancies fell by 12,400 in January and was back to the level of early 1997. In contrast to November and December, the decline was not due to the removal of the statistical overcount. But the early count date might have had an influence. Notifications of new vacancies were very weak and were thought to have been affected more than the outflow. A bounce-back in February was quite likely.</w:t>
      </w:r>
    </w:p>
    <w:p>
      <w:pPr>
        <w:pStyle w:val="BodyText"/>
        <w:rPr>
          <w:sz w:val="32"/>
        </w:rPr>
      </w:pPr>
    </w:p>
    <w:p>
      <w:pPr>
        <w:pStyle w:val="BodyText"/>
        <w:spacing w:line="321" w:lineRule="auto"/>
        <w:ind w:left="640" w:right="258"/>
      </w:pPr>
      <w:r>
        <w:rPr/>
        <w:t>A25 There was mixed evidence on skill shortages. The February Reed survey reported that </w:t>
      </w:r>
      <w:r>
        <w:rPr>
          <w:spacing w:val="-2"/>
        </w:rPr>
        <w:t>71% </w:t>
      </w:r>
      <w:r>
        <w:rPr/>
        <w:t>of</w:t>
      </w:r>
      <w:r>
        <w:rPr>
          <w:spacing w:val="-9"/>
        </w:rPr>
        <w:t> </w:t>
      </w:r>
      <w:r>
        <w:rPr/>
        <w:t>firms</w:t>
      </w:r>
      <w:r>
        <w:rPr>
          <w:spacing w:val="-9"/>
        </w:rPr>
        <w:t> </w:t>
      </w:r>
      <w:r>
        <w:rPr/>
        <w:t>were</w:t>
      </w:r>
      <w:r>
        <w:rPr>
          <w:spacing w:val="-9"/>
        </w:rPr>
        <w:t> </w:t>
      </w:r>
      <w:r>
        <w:rPr/>
        <w:t>reporting</w:t>
      </w:r>
      <w:r>
        <w:rPr>
          <w:spacing w:val="-9"/>
        </w:rPr>
        <w:t> </w:t>
      </w:r>
      <w:r>
        <w:rPr/>
        <w:t>shortages</w:t>
      </w:r>
      <w:r>
        <w:rPr>
          <w:spacing w:val="-8"/>
        </w:rPr>
        <w:t> </w:t>
      </w:r>
      <w:r>
        <w:rPr/>
        <w:t>of</w:t>
      </w:r>
      <w:r>
        <w:rPr>
          <w:spacing w:val="-9"/>
        </w:rPr>
        <w:t> </w:t>
      </w:r>
      <w:r>
        <w:rPr/>
        <w:t>suitably</w:t>
      </w:r>
      <w:r>
        <w:rPr>
          <w:spacing w:val="-9"/>
        </w:rPr>
        <w:t> </w:t>
      </w:r>
      <w:r>
        <w:rPr/>
        <w:t>skilled</w:t>
      </w:r>
      <w:r>
        <w:rPr>
          <w:spacing w:val="-9"/>
        </w:rPr>
        <w:t> </w:t>
      </w:r>
      <w:r>
        <w:rPr/>
        <w:t>applicants,</w:t>
      </w:r>
      <w:r>
        <w:rPr>
          <w:spacing w:val="-8"/>
        </w:rPr>
        <w:t> </w:t>
      </w:r>
      <w:r>
        <w:rPr/>
        <w:t>down</w:t>
      </w:r>
      <w:r>
        <w:rPr>
          <w:spacing w:val="-9"/>
        </w:rPr>
        <w:t> </w:t>
      </w:r>
      <w:r>
        <w:rPr/>
        <w:t>6</w:t>
      </w:r>
      <w:r>
        <w:rPr>
          <w:spacing w:val="-9"/>
        </w:rPr>
        <w:t> </w:t>
      </w:r>
      <w:r>
        <w:rPr/>
        <w:t>percentage</w:t>
      </w:r>
      <w:r>
        <w:rPr>
          <w:spacing w:val="-9"/>
        </w:rPr>
        <w:t> </w:t>
      </w:r>
      <w:r>
        <w:rPr/>
        <w:t>points</w:t>
      </w:r>
      <w:r>
        <w:rPr>
          <w:spacing w:val="-9"/>
        </w:rPr>
        <w:t> </w:t>
      </w:r>
      <w:r>
        <w:rPr/>
        <w:t>from</w:t>
      </w:r>
      <w:r>
        <w:rPr>
          <w:spacing w:val="-8"/>
        </w:rPr>
        <w:t> </w:t>
      </w:r>
      <w:r>
        <w:rPr>
          <w:spacing w:val="-2"/>
        </w:rPr>
        <w:t>the </w:t>
      </w:r>
      <w:r>
        <w:rPr/>
        <w:t>previous survey. Skill shortages were more prevalent in the service sector and indeed </w:t>
      </w:r>
      <w:r>
        <w:rPr>
          <w:spacing w:val="-2"/>
        </w:rPr>
        <w:t>had </w:t>
      </w:r>
      <w:r>
        <w:rPr>
          <w:spacing w:val="-3"/>
        </w:rPr>
        <w:t>increased since </w:t>
      </w:r>
      <w:r>
        <w:rPr/>
        <w:t>the </w:t>
      </w:r>
      <w:r>
        <w:rPr>
          <w:spacing w:val="-3"/>
        </w:rPr>
        <w:t>previous survey; </w:t>
      </w:r>
      <w:r>
        <w:rPr/>
        <w:t>the </w:t>
      </w:r>
      <w:r>
        <w:rPr>
          <w:spacing w:val="-3"/>
        </w:rPr>
        <w:t>easing </w:t>
      </w:r>
      <w:r>
        <w:rPr/>
        <w:t>of </w:t>
      </w:r>
      <w:r>
        <w:rPr>
          <w:spacing w:val="-3"/>
        </w:rPr>
        <w:t>shortages </w:t>
      </w:r>
      <w:r>
        <w:rPr/>
        <w:t>in </w:t>
      </w:r>
      <w:r>
        <w:rPr>
          <w:spacing w:val="-3"/>
        </w:rPr>
        <w:t>manufacturing </w:t>
      </w:r>
      <w:r>
        <w:rPr/>
        <w:t>was </w:t>
      </w:r>
      <w:r>
        <w:rPr>
          <w:spacing w:val="-3"/>
        </w:rPr>
        <w:t>sufficient </w:t>
      </w:r>
      <w:r>
        <w:rPr/>
        <w:t>to </w:t>
      </w:r>
      <w:r>
        <w:rPr>
          <w:spacing w:val="-3"/>
        </w:rPr>
        <w:t>pull </w:t>
      </w:r>
      <w:r>
        <w:rPr/>
        <w:t>down the overall average. The Reed data suggesting fewer shortages in manufacturing was in line with the CBI quarterly survey reported in the previous month. But the most recent BCC </w:t>
      </w:r>
      <w:r>
        <w:rPr>
          <w:spacing w:val="-2"/>
        </w:rPr>
        <w:t>survey </w:t>
      </w:r>
      <w:r>
        <w:rPr/>
        <w:t>had</w:t>
      </w:r>
      <w:r>
        <w:rPr>
          <w:spacing w:val="-13"/>
        </w:rPr>
        <w:t> </w:t>
      </w:r>
      <w:r>
        <w:rPr/>
        <w:t>reported</w:t>
      </w:r>
      <w:r>
        <w:rPr>
          <w:spacing w:val="-12"/>
        </w:rPr>
        <w:t> </w:t>
      </w:r>
      <w:r>
        <w:rPr/>
        <w:t>increased</w:t>
      </w:r>
      <w:r>
        <w:rPr>
          <w:spacing w:val="-12"/>
        </w:rPr>
        <w:t> </w:t>
      </w:r>
      <w:r>
        <w:rPr/>
        <w:t>recruitment</w:t>
      </w:r>
      <w:r>
        <w:rPr>
          <w:spacing w:val="-13"/>
        </w:rPr>
        <w:t> </w:t>
      </w:r>
      <w:r>
        <w:rPr/>
        <w:t>difficulties</w:t>
      </w:r>
      <w:r>
        <w:rPr>
          <w:spacing w:val="-12"/>
        </w:rPr>
        <w:t> </w:t>
      </w:r>
      <w:r>
        <w:rPr/>
        <w:t>in</w:t>
      </w:r>
      <w:r>
        <w:rPr>
          <w:spacing w:val="-12"/>
        </w:rPr>
        <w:t> </w:t>
      </w:r>
      <w:r>
        <w:rPr/>
        <w:t>both</w:t>
      </w:r>
      <w:r>
        <w:rPr>
          <w:spacing w:val="-12"/>
        </w:rPr>
        <w:t> </w:t>
      </w:r>
      <w:r>
        <w:rPr/>
        <w:t>services</w:t>
      </w:r>
      <w:r>
        <w:rPr>
          <w:spacing w:val="-13"/>
        </w:rPr>
        <w:t> </w:t>
      </w:r>
      <w:r>
        <w:rPr/>
        <w:t>and</w:t>
      </w:r>
      <w:r>
        <w:rPr>
          <w:spacing w:val="-12"/>
        </w:rPr>
        <w:t> </w:t>
      </w:r>
      <w:r>
        <w:rPr/>
        <w:t>manufacturing</w:t>
      </w:r>
      <w:r>
        <w:rPr>
          <w:spacing w:val="-12"/>
        </w:rPr>
        <w:t> </w:t>
      </w:r>
      <w:r>
        <w:rPr/>
        <w:t>and</w:t>
      </w:r>
      <w:r>
        <w:rPr>
          <w:spacing w:val="-13"/>
        </w:rPr>
        <w:t> </w:t>
      </w:r>
      <w:r>
        <w:rPr/>
        <w:t>the</w:t>
      </w:r>
      <w:r>
        <w:rPr>
          <w:spacing w:val="-12"/>
        </w:rPr>
        <w:t> </w:t>
      </w:r>
      <w:r>
        <w:rPr/>
        <w:t>February </w:t>
      </w:r>
      <w:r>
        <w:rPr>
          <w:spacing w:val="-3"/>
        </w:rPr>
        <w:t>C</w:t>
      </w:r>
      <w:r>
        <w:rPr>
          <w:spacing w:val="-3"/>
          <w:sz w:val="18"/>
        </w:rPr>
        <w:t>IPS </w:t>
      </w:r>
      <w:r>
        <w:rPr/>
        <w:t>survey reported that skill shortages had contributed to a further rise in work outstanding in the service sector. Construction firms were reporting increasing difficulty in attracting suitable applicants. The Agents reported high levels of shortages across a range of skills, but no further intensification in the most recent</w:t>
      </w:r>
      <w:r>
        <w:rPr>
          <w:spacing w:val="-3"/>
        </w:rPr>
        <w:t> </w:t>
      </w:r>
      <w:r>
        <w:rPr>
          <w:spacing w:val="-2"/>
        </w:rPr>
        <w:t>month.</w:t>
      </w:r>
    </w:p>
    <w:p>
      <w:pPr>
        <w:pStyle w:val="BodyText"/>
        <w:spacing w:before="11"/>
        <w:rPr>
          <w:sz w:val="31"/>
        </w:rPr>
      </w:pPr>
    </w:p>
    <w:p>
      <w:pPr>
        <w:pStyle w:val="BodyText"/>
        <w:spacing w:line="321" w:lineRule="auto"/>
        <w:ind w:left="640" w:right="195"/>
      </w:pPr>
      <w:r>
        <w:rPr/>
        <w:t>A26 Whole-economy underlying average earnings growth was unchanged at 4¾% in December. Earnings in manufacturing and services were both rising at this rate; the rise in the private sector remained above 5%. High bonuses had pushed earnings growth up; earnings in the financial intermediation sector were 9.6% higher than in December 1996. But there had also been a modest pick-up in recent months in the earnings measures which smoothed out the effect of bonus payments: the Kalman filter estimate was up 4.7% in the year to December and the estimate which smoothed erratic movements at the industrial level had increased to 4.55%.</w:t>
      </w:r>
    </w:p>
    <w:p>
      <w:pPr>
        <w:pStyle w:val="BodyText"/>
        <w:rPr>
          <w:sz w:val="32"/>
        </w:rPr>
      </w:pPr>
    </w:p>
    <w:p>
      <w:pPr>
        <w:pStyle w:val="BodyText"/>
        <w:spacing w:line="321" w:lineRule="auto"/>
        <w:ind w:left="640" w:right="241"/>
      </w:pPr>
      <w:r>
        <w:rPr/>
        <w:t>A27 Further information confirmed that wage settlements had increased in January, though by a smaller amount than the provisional estimate known at the time of the February </w:t>
      </w:r>
      <w:r>
        <w:rPr>
          <w:i/>
        </w:rPr>
        <w:t>Inflation Report</w:t>
      </w:r>
      <w:r>
        <w:rPr/>
        <w:t>. Based on 125 settlements covering 74% of the employees expected to settle in January, the three month employment-weighted median settlement in the Bank’s database was 3.6% in January, up from 3% a year earlier. The twelve-month mean settlement had risen to 3.4% in January from 3.3%, and in the private sector had increased to 3.8%. The one-month weighted median was 0.5% points higher than in January 1997. Longitudinal analysis of companies settling in January in both years confirmed the general trend but also revealed some exceptions: just under a quarter of firms had achieved a lower settlement in 1998 than in 1997.</w:t>
      </w:r>
    </w:p>
    <w:p>
      <w:pPr>
        <w:pStyle w:val="BodyText"/>
        <w:rPr>
          <w:sz w:val="32"/>
        </w:rPr>
      </w:pPr>
    </w:p>
    <w:p>
      <w:pPr>
        <w:pStyle w:val="BodyText"/>
        <w:spacing w:line="321" w:lineRule="auto"/>
        <w:ind w:left="640"/>
      </w:pPr>
      <w:r>
        <w:rPr/>
        <w:t>A28 The staff presented an analysis of wage drift - the difference between earnings growth and settlements. Previous Bank analysis had suggested that settlements do not necessarily lead wage drift; if anything the reverse tends to be the case. But the rise in performance-related pay systems</w:t>
      </w:r>
    </w:p>
    <w:p>
      <w:pPr>
        <w:spacing w:after="0" w:line="321" w:lineRule="auto"/>
        <w:sectPr>
          <w:pgSz w:w="11900" w:h="16840"/>
          <w:pgMar w:header="733" w:footer="0" w:top="1040" w:bottom="280" w:left="800" w:right="780"/>
        </w:sectPr>
      </w:pPr>
    </w:p>
    <w:p>
      <w:pPr>
        <w:pStyle w:val="BodyText"/>
        <w:spacing w:line="321" w:lineRule="auto" w:before="80"/>
        <w:ind w:left="640" w:right="128"/>
      </w:pPr>
      <w:r>
        <w:rPr/>
        <w:t>meant that there was a risk of a permanent gap emerging between basic pay settlements and total </w:t>
      </w:r>
      <w:r>
        <w:rPr>
          <w:spacing w:val="-3"/>
        </w:rPr>
        <w:t>earnings. This might have been offset </w:t>
      </w:r>
      <w:r>
        <w:rPr/>
        <w:t>in </w:t>
      </w:r>
      <w:r>
        <w:rPr>
          <w:spacing w:val="-3"/>
        </w:rPr>
        <w:t>recent years </w:t>
      </w:r>
      <w:r>
        <w:rPr/>
        <w:t>by the </w:t>
      </w:r>
      <w:r>
        <w:rPr>
          <w:spacing w:val="-3"/>
        </w:rPr>
        <w:t>structural decline </w:t>
      </w:r>
      <w:r>
        <w:rPr/>
        <w:t>in </w:t>
      </w:r>
      <w:r>
        <w:rPr>
          <w:spacing w:val="-3"/>
        </w:rPr>
        <w:t>more traditional </w:t>
      </w:r>
      <w:r>
        <w:rPr/>
        <w:t>forms of non-basic pay such as overtime and piece-work. But in the short term such payments might rise as a result of labour market tightness. Several special factors such as the phasing out of tax </w:t>
      </w:r>
      <w:r>
        <w:rPr>
          <w:spacing w:val="-3"/>
        </w:rPr>
        <w:t>relief </w:t>
      </w:r>
      <w:r>
        <w:rPr/>
        <w:t>on PRP and the </w:t>
      </w:r>
      <w:r>
        <w:rPr>
          <w:spacing w:val="-3"/>
        </w:rPr>
        <w:t>prospect </w:t>
      </w:r>
      <w:r>
        <w:rPr/>
        <w:t>of a </w:t>
      </w:r>
      <w:r>
        <w:rPr>
          <w:spacing w:val="-3"/>
        </w:rPr>
        <w:t>national minimum wage might also </w:t>
      </w:r>
      <w:r>
        <w:rPr/>
        <w:t>be </w:t>
      </w:r>
      <w:r>
        <w:rPr>
          <w:spacing w:val="-3"/>
        </w:rPr>
        <w:t>affecting settlements.</w:t>
      </w:r>
    </w:p>
    <w:p>
      <w:pPr>
        <w:pStyle w:val="BodyText"/>
        <w:rPr>
          <w:sz w:val="32"/>
        </w:rPr>
      </w:pPr>
    </w:p>
    <w:p>
      <w:pPr>
        <w:pStyle w:val="BodyText"/>
        <w:spacing w:line="321" w:lineRule="auto"/>
        <w:ind w:left="640" w:right="349"/>
      </w:pPr>
      <w:r>
        <w:rPr/>
        <w:t>A29 Although higher settlements would underpin the basic component of pay in 1998, the outlook for earnings would also depend on the various factors affecting the different components of wage drift. The pace and extent of the slowdown in activity would also be a major element.</w:t>
      </w:r>
    </w:p>
    <w:p>
      <w:pPr>
        <w:pStyle w:val="BodyText"/>
        <w:spacing w:before="6"/>
        <w:rPr>
          <w:sz w:val="32"/>
        </w:rPr>
      </w:pPr>
    </w:p>
    <w:p>
      <w:pPr>
        <w:pStyle w:val="Heading1"/>
        <w:numPr>
          <w:ilvl w:val="1"/>
          <w:numId w:val="1"/>
        </w:numPr>
        <w:tabs>
          <w:tab w:pos="1028" w:val="left" w:leader="none"/>
        </w:tabs>
        <w:spacing w:line="240" w:lineRule="auto" w:before="0" w:after="0"/>
        <w:ind w:left="1027" w:right="0" w:hanging="388"/>
        <w:jc w:val="left"/>
      </w:pPr>
      <w:r>
        <w:rPr>
          <w:spacing w:val="-2"/>
        </w:rPr>
        <w:t>Prices</w:t>
      </w:r>
    </w:p>
    <w:p>
      <w:pPr>
        <w:pStyle w:val="BodyText"/>
        <w:rPr>
          <w:b/>
          <w:sz w:val="26"/>
        </w:rPr>
      </w:pPr>
    </w:p>
    <w:p>
      <w:pPr>
        <w:pStyle w:val="BodyText"/>
        <w:spacing w:line="321" w:lineRule="auto" w:before="159"/>
        <w:ind w:left="640" w:right="407"/>
      </w:pPr>
      <w:r>
        <w:rPr/>
        <w:t>A30 The </w:t>
      </w:r>
      <w:r>
        <w:rPr>
          <w:spacing w:val="-3"/>
        </w:rPr>
        <w:t>latest data showed </w:t>
      </w:r>
      <w:r>
        <w:rPr/>
        <w:t>a </w:t>
      </w:r>
      <w:r>
        <w:rPr>
          <w:spacing w:val="-3"/>
        </w:rPr>
        <w:t>further fall </w:t>
      </w:r>
      <w:r>
        <w:rPr/>
        <w:t>in </w:t>
      </w:r>
      <w:r>
        <w:rPr>
          <w:spacing w:val="-3"/>
        </w:rPr>
        <w:t>commodity prices </w:t>
      </w:r>
      <w:r>
        <w:rPr/>
        <w:t>in </w:t>
      </w:r>
      <w:r>
        <w:rPr>
          <w:spacing w:val="-3"/>
        </w:rPr>
        <w:t>January. </w:t>
      </w:r>
      <w:r>
        <w:rPr/>
        <w:t>The </w:t>
      </w:r>
      <w:r>
        <w:rPr>
          <w:spacing w:val="-3"/>
        </w:rPr>
        <w:t>Bank index fell provisionally </w:t>
      </w:r>
      <w:r>
        <w:rPr/>
        <w:t>by </w:t>
      </w:r>
      <w:r>
        <w:rPr>
          <w:spacing w:val="-3"/>
        </w:rPr>
        <w:t>1.7%, largely accounted </w:t>
      </w:r>
      <w:r>
        <w:rPr/>
        <w:t>for by </w:t>
      </w:r>
      <w:r>
        <w:rPr>
          <w:spacing w:val="-3"/>
        </w:rPr>
        <w:t>falling </w:t>
      </w:r>
      <w:r>
        <w:rPr/>
        <w:t>oil and </w:t>
      </w:r>
      <w:r>
        <w:rPr>
          <w:spacing w:val="-3"/>
        </w:rPr>
        <w:t>metal prices, taking </w:t>
      </w:r>
      <w:r>
        <w:rPr/>
        <w:t>the </w:t>
      </w:r>
      <w:r>
        <w:rPr>
          <w:spacing w:val="-3"/>
        </w:rPr>
        <w:t>annual rate </w:t>
      </w:r>
      <w:r>
        <w:rPr/>
        <w:t>to -13.3% (-8.2% </w:t>
      </w:r>
      <w:r>
        <w:rPr>
          <w:spacing w:val="-3"/>
        </w:rPr>
        <w:t>excluding oil). Domestic agricultural prices </w:t>
      </w:r>
      <w:r>
        <w:rPr/>
        <w:t>- </w:t>
      </w:r>
      <w:r>
        <w:rPr>
          <w:spacing w:val="-3"/>
        </w:rPr>
        <w:t>assumed flat </w:t>
      </w:r>
      <w:r>
        <w:rPr/>
        <w:t>in the </w:t>
      </w:r>
      <w:r>
        <w:rPr>
          <w:spacing w:val="-3"/>
        </w:rPr>
        <w:t>provisional </w:t>
      </w:r>
      <w:r>
        <w:rPr/>
        <w:t>estimate</w:t>
      </w:r>
      <w:r>
        <w:rPr>
          <w:spacing w:val="-9"/>
        </w:rPr>
        <w:t> </w:t>
      </w:r>
      <w:r>
        <w:rPr/>
        <w:t>-</w:t>
      </w:r>
      <w:r>
        <w:rPr>
          <w:spacing w:val="-8"/>
        </w:rPr>
        <w:t> </w:t>
      </w:r>
      <w:r>
        <w:rPr/>
        <w:t>were</w:t>
      </w:r>
      <w:r>
        <w:rPr>
          <w:spacing w:val="-8"/>
        </w:rPr>
        <w:t> </w:t>
      </w:r>
      <w:r>
        <w:rPr/>
        <w:t>likely</w:t>
      </w:r>
      <w:r>
        <w:rPr>
          <w:spacing w:val="-8"/>
        </w:rPr>
        <w:t> </w:t>
      </w:r>
      <w:r>
        <w:rPr/>
        <w:t>to</w:t>
      </w:r>
      <w:r>
        <w:rPr>
          <w:spacing w:val="-8"/>
        </w:rPr>
        <w:t> </w:t>
      </w:r>
      <w:r>
        <w:rPr/>
        <w:t>have</w:t>
      </w:r>
      <w:r>
        <w:rPr>
          <w:spacing w:val="-8"/>
        </w:rPr>
        <w:t> </w:t>
      </w:r>
      <w:r>
        <w:rPr/>
        <w:t>fallen</w:t>
      </w:r>
      <w:r>
        <w:rPr>
          <w:spacing w:val="-8"/>
        </w:rPr>
        <w:t> </w:t>
      </w:r>
      <w:r>
        <w:rPr/>
        <w:t>again</w:t>
      </w:r>
      <w:r>
        <w:rPr>
          <w:spacing w:val="-8"/>
        </w:rPr>
        <w:t> </w:t>
      </w:r>
      <w:r>
        <w:rPr/>
        <w:t>in</w:t>
      </w:r>
      <w:r>
        <w:rPr>
          <w:spacing w:val="-8"/>
        </w:rPr>
        <w:t> </w:t>
      </w:r>
      <w:r>
        <w:rPr/>
        <w:t>January,</w:t>
      </w:r>
      <w:r>
        <w:rPr>
          <w:spacing w:val="-8"/>
        </w:rPr>
        <w:t> </w:t>
      </w:r>
      <w:r>
        <w:rPr/>
        <w:t>based</w:t>
      </w:r>
      <w:r>
        <w:rPr>
          <w:spacing w:val="-8"/>
        </w:rPr>
        <w:t> </w:t>
      </w:r>
      <w:r>
        <w:rPr/>
        <w:t>on</w:t>
      </w:r>
      <w:r>
        <w:rPr>
          <w:spacing w:val="-8"/>
        </w:rPr>
        <w:t> </w:t>
      </w:r>
      <w:r>
        <w:rPr/>
        <w:t>producer</w:t>
      </w:r>
      <w:r>
        <w:rPr>
          <w:spacing w:val="-8"/>
        </w:rPr>
        <w:t> </w:t>
      </w:r>
      <w:r>
        <w:rPr/>
        <w:t>price</w:t>
      </w:r>
      <w:r>
        <w:rPr>
          <w:spacing w:val="-8"/>
        </w:rPr>
        <w:t> </w:t>
      </w:r>
      <w:r>
        <w:rPr/>
        <w:t>data</w:t>
      </w:r>
      <w:r>
        <w:rPr>
          <w:spacing w:val="-8"/>
        </w:rPr>
        <w:t> </w:t>
      </w:r>
      <w:r>
        <w:rPr/>
        <w:t>covering</w:t>
      </w:r>
      <w:r>
        <w:rPr>
          <w:spacing w:val="-8"/>
        </w:rPr>
        <w:t> </w:t>
      </w:r>
      <w:r>
        <w:rPr/>
        <w:t>food manufacturing</w:t>
      </w:r>
      <w:r>
        <w:rPr>
          <w:spacing w:val="-9"/>
        </w:rPr>
        <w:t> </w:t>
      </w:r>
      <w:r>
        <w:rPr/>
        <w:t>materials.</w:t>
      </w:r>
      <w:r>
        <w:rPr>
          <w:spacing w:val="47"/>
        </w:rPr>
        <w:t> </w:t>
      </w:r>
      <w:r>
        <w:rPr/>
        <w:t>UK</w:t>
      </w:r>
      <w:r>
        <w:rPr>
          <w:spacing w:val="-9"/>
        </w:rPr>
        <w:t> </w:t>
      </w:r>
      <w:r>
        <w:rPr/>
        <w:t>agricultural</w:t>
      </w:r>
      <w:r>
        <w:rPr>
          <w:spacing w:val="-8"/>
        </w:rPr>
        <w:t> </w:t>
      </w:r>
      <w:r>
        <w:rPr/>
        <w:t>prices</w:t>
      </w:r>
      <w:r>
        <w:rPr>
          <w:spacing w:val="-8"/>
        </w:rPr>
        <w:t> </w:t>
      </w:r>
      <w:r>
        <w:rPr/>
        <w:t>fell</w:t>
      </w:r>
      <w:r>
        <w:rPr>
          <w:spacing w:val="-8"/>
        </w:rPr>
        <w:t> </w:t>
      </w:r>
      <w:r>
        <w:rPr/>
        <w:t>by</w:t>
      </w:r>
      <w:r>
        <w:rPr>
          <w:spacing w:val="-8"/>
        </w:rPr>
        <w:t> </w:t>
      </w:r>
      <w:r>
        <w:rPr/>
        <w:t>14.5%</w:t>
      </w:r>
      <w:r>
        <w:rPr>
          <w:spacing w:val="-8"/>
        </w:rPr>
        <w:t> </w:t>
      </w:r>
      <w:r>
        <w:rPr/>
        <w:t>over</w:t>
      </w:r>
      <w:r>
        <w:rPr>
          <w:spacing w:val="-9"/>
        </w:rPr>
        <w:t> </w:t>
      </w:r>
      <w:r>
        <w:rPr/>
        <w:t>the</w:t>
      </w:r>
      <w:r>
        <w:rPr>
          <w:spacing w:val="-8"/>
        </w:rPr>
        <w:t> </w:t>
      </w:r>
      <w:r>
        <w:rPr/>
        <w:t>year</w:t>
      </w:r>
      <w:r>
        <w:rPr>
          <w:spacing w:val="-8"/>
        </w:rPr>
        <w:t> </w:t>
      </w:r>
      <w:r>
        <w:rPr/>
        <w:t>to</w:t>
      </w:r>
      <w:r>
        <w:rPr>
          <w:spacing w:val="-8"/>
        </w:rPr>
        <w:t> </w:t>
      </w:r>
      <w:r>
        <w:rPr/>
        <w:t>December</w:t>
      </w:r>
      <w:r>
        <w:rPr>
          <w:spacing w:val="-8"/>
        </w:rPr>
        <w:t> </w:t>
      </w:r>
      <w:r>
        <w:rPr/>
        <w:t>1997.</w:t>
      </w:r>
    </w:p>
    <w:p>
      <w:pPr>
        <w:pStyle w:val="BodyText"/>
        <w:spacing w:before="1"/>
        <w:rPr>
          <w:sz w:val="32"/>
        </w:rPr>
      </w:pPr>
    </w:p>
    <w:p>
      <w:pPr>
        <w:pStyle w:val="BodyText"/>
        <w:spacing w:line="321" w:lineRule="auto"/>
        <w:ind w:left="640" w:right="350"/>
      </w:pPr>
      <w:r>
        <w:rPr/>
        <w:t>A31 Oil </w:t>
      </w:r>
      <w:r>
        <w:rPr>
          <w:spacing w:val="-3"/>
        </w:rPr>
        <w:t>prices fell further </w:t>
      </w:r>
      <w:r>
        <w:rPr/>
        <w:t>in </w:t>
      </w:r>
      <w:r>
        <w:rPr>
          <w:spacing w:val="-3"/>
        </w:rPr>
        <w:t>February </w:t>
      </w:r>
      <w:r>
        <w:rPr/>
        <w:t>- the </w:t>
      </w:r>
      <w:r>
        <w:rPr>
          <w:spacing w:val="-3"/>
        </w:rPr>
        <w:t>fourth consecutive monthly fall </w:t>
      </w:r>
      <w:r>
        <w:rPr/>
        <w:t>- to </w:t>
      </w:r>
      <w:r>
        <w:rPr>
          <w:spacing w:val="-3"/>
        </w:rPr>
        <w:t>below $14pb by </w:t>
      </w:r>
      <w:r>
        <w:rPr/>
        <w:t>the end of the month. Higher OPEC quotas and the UN/Iraq deal, alongside lower demand due</w:t>
      </w:r>
      <w:r>
        <w:rPr>
          <w:spacing w:val="-42"/>
        </w:rPr>
        <w:t> </w:t>
      </w:r>
      <w:r>
        <w:rPr/>
        <w:t>to a </w:t>
      </w:r>
      <w:r>
        <w:rPr>
          <w:spacing w:val="-3"/>
        </w:rPr>
        <w:t>relatively mild northern hemisphere winter, </w:t>
      </w:r>
      <w:r>
        <w:rPr/>
        <w:t>had </w:t>
      </w:r>
      <w:r>
        <w:rPr>
          <w:spacing w:val="-3"/>
        </w:rPr>
        <w:t>resulted </w:t>
      </w:r>
      <w:r>
        <w:rPr/>
        <w:t>in </w:t>
      </w:r>
      <w:r>
        <w:rPr>
          <w:spacing w:val="-3"/>
        </w:rPr>
        <w:t>rising stocks </w:t>
      </w:r>
      <w:r>
        <w:rPr/>
        <w:t>and </w:t>
      </w:r>
      <w:r>
        <w:rPr>
          <w:spacing w:val="-3"/>
        </w:rPr>
        <w:t>falling</w:t>
      </w:r>
      <w:r>
        <w:rPr>
          <w:spacing w:val="17"/>
        </w:rPr>
        <w:t> </w:t>
      </w:r>
      <w:r>
        <w:rPr>
          <w:spacing w:val="-3"/>
        </w:rPr>
        <w:t>prices.</w:t>
      </w:r>
    </w:p>
    <w:p>
      <w:pPr>
        <w:pStyle w:val="BodyText"/>
        <w:spacing w:before="1"/>
        <w:rPr>
          <w:sz w:val="32"/>
        </w:rPr>
      </w:pPr>
    </w:p>
    <w:p>
      <w:pPr>
        <w:pStyle w:val="BodyText"/>
        <w:spacing w:line="321" w:lineRule="auto"/>
        <w:ind w:left="640" w:right="242"/>
      </w:pPr>
      <w:r>
        <w:rPr/>
        <w:t>A32 Manufacturers’ input prices fell by 0.9% in January - taking the annual rate to -9.7% - </w:t>
      </w:r>
      <w:r>
        <w:rPr>
          <w:spacing w:val="-3"/>
        </w:rPr>
        <w:t>reflecting falls </w:t>
      </w:r>
      <w:r>
        <w:rPr/>
        <w:t>in </w:t>
      </w:r>
      <w:r>
        <w:rPr>
          <w:spacing w:val="-3"/>
        </w:rPr>
        <w:t>oil, food </w:t>
      </w:r>
      <w:r>
        <w:rPr/>
        <w:t>and </w:t>
      </w:r>
      <w:r>
        <w:rPr>
          <w:spacing w:val="-3"/>
        </w:rPr>
        <w:t>imported material prices. </w:t>
      </w:r>
      <w:r>
        <w:rPr/>
        <w:t>The </w:t>
      </w:r>
      <w:r>
        <w:rPr>
          <w:spacing w:val="-3"/>
        </w:rPr>
        <w:t>C</w:t>
      </w:r>
      <w:r>
        <w:rPr>
          <w:spacing w:val="-3"/>
          <w:sz w:val="18"/>
        </w:rPr>
        <w:t>IPS </w:t>
      </w:r>
      <w:r>
        <w:rPr/>
        <w:t>PMI survey for February </w:t>
      </w:r>
      <w:r>
        <w:rPr>
          <w:spacing w:val="-3"/>
        </w:rPr>
        <w:t>indicated further falls </w:t>
      </w:r>
      <w:r>
        <w:rPr/>
        <w:t>in </w:t>
      </w:r>
      <w:r>
        <w:rPr>
          <w:spacing w:val="-3"/>
        </w:rPr>
        <w:t>material prices.   Manufacturers output price inflation remained low.   Output prices excluding excise duties (PPIY) fell </w:t>
      </w:r>
      <w:r>
        <w:rPr/>
        <w:t>by </w:t>
      </w:r>
      <w:r>
        <w:rPr>
          <w:spacing w:val="-3"/>
        </w:rPr>
        <w:t>0.2% </w:t>
      </w:r>
      <w:r>
        <w:rPr/>
        <w:t>in </w:t>
      </w:r>
      <w:r>
        <w:rPr>
          <w:spacing w:val="-3"/>
        </w:rPr>
        <w:t>January reflecting falling petroleum </w:t>
      </w:r>
      <w:r>
        <w:rPr/>
        <w:t>product prices. Annual PPIY inflation was negative (0.1%) for the first time since 1974 (the start of the series). The CBI Industrial Trends survey suggested a continuation of the recent trend - the balance of firms expecting to raise prices over the next four months remained negative (-7) in January. Overall, UK producer output price inflation was the lowest of the main European economies.</w:t>
      </w:r>
      <w:r>
        <w:rPr>
          <w:spacing w:val="45"/>
        </w:rPr>
        <w:t> </w:t>
      </w:r>
      <w:r>
        <w:rPr/>
        <w:t>But</w:t>
      </w:r>
      <w:r>
        <w:rPr>
          <w:spacing w:val="-8"/>
        </w:rPr>
        <w:t> </w:t>
      </w:r>
      <w:r>
        <w:rPr/>
        <w:t>it</w:t>
      </w:r>
      <w:r>
        <w:rPr>
          <w:spacing w:val="-9"/>
        </w:rPr>
        <w:t> </w:t>
      </w:r>
      <w:r>
        <w:rPr/>
        <w:t>was</w:t>
      </w:r>
      <w:r>
        <w:rPr>
          <w:spacing w:val="-8"/>
        </w:rPr>
        <w:t> </w:t>
      </w:r>
      <w:r>
        <w:rPr/>
        <w:t>above</w:t>
      </w:r>
      <w:r>
        <w:rPr>
          <w:spacing w:val="-9"/>
        </w:rPr>
        <w:t> </w:t>
      </w:r>
      <w:r>
        <w:rPr/>
        <w:t>US</w:t>
      </w:r>
      <w:r>
        <w:rPr>
          <w:spacing w:val="-8"/>
        </w:rPr>
        <w:t> </w:t>
      </w:r>
      <w:r>
        <w:rPr/>
        <w:t>producer</w:t>
      </w:r>
      <w:r>
        <w:rPr>
          <w:spacing w:val="-9"/>
        </w:rPr>
        <w:t> </w:t>
      </w:r>
      <w:r>
        <w:rPr/>
        <w:t>price</w:t>
      </w:r>
      <w:r>
        <w:rPr>
          <w:spacing w:val="-8"/>
        </w:rPr>
        <w:t> </w:t>
      </w:r>
      <w:r>
        <w:rPr/>
        <w:t>inflation</w:t>
      </w:r>
      <w:r>
        <w:rPr>
          <w:spacing w:val="-9"/>
        </w:rPr>
        <w:t> </w:t>
      </w:r>
      <w:r>
        <w:rPr/>
        <w:t>(-1.9%)</w:t>
      </w:r>
      <w:r>
        <w:rPr>
          <w:spacing w:val="-8"/>
        </w:rPr>
        <w:t> </w:t>
      </w:r>
      <w:r>
        <w:rPr/>
        <w:t>which,</w:t>
      </w:r>
      <w:r>
        <w:rPr>
          <w:spacing w:val="-9"/>
        </w:rPr>
        <w:t> </w:t>
      </w:r>
      <w:r>
        <w:rPr/>
        <w:t>like</w:t>
      </w:r>
      <w:r>
        <w:rPr>
          <w:spacing w:val="-8"/>
        </w:rPr>
        <w:t> </w:t>
      </w:r>
      <w:r>
        <w:rPr/>
        <w:t>the</w:t>
      </w:r>
      <w:r>
        <w:rPr>
          <w:spacing w:val="-9"/>
        </w:rPr>
        <w:t> </w:t>
      </w:r>
      <w:r>
        <w:rPr/>
        <w:t>United</w:t>
      </w:r>
      <w:r>
        <w:rPr>
          <w:spacing w:val="-8"/>
        </w:rPr>
        <w:t> </w:t>
      </w:r>
      <w:r>
        <w:rPr/>
        <w:t>Kingdom, had </w:t>
      </w:r>
      <w:r>
        <w:rPr>
          <w:spacing w:val="-3"/>
        </w:rPr>
        <w:t>been influenced </w:t>
      </w:r>
      <w:r>
        <w:rPr/>
        <w:t>by </w:t>
      </w:r>
      <w:r>
        <w:rPr>
          <w:spacing w:val="-3"/>
        </w:rPr>
        <w:t>currency</w:t>
      </w:r>
      <w:r>
        <w:rPr>
          <w:spacing w:val="1"/>
        </w:rPr>
        <w:t> </w:t>
      </w:r>
      <w:r>
        <w:rPr>
          <w:spacing w:val="-3"/>
        </w:rPr>
        <w:t>appreciation.</w:t>
      </w:r>
    </w:p>
    <w:p>
      <w:pPr>
        <w:pStyle w:val="BodyText"/>
        <w:spacing w:before="11"/>
        <w:rPr>
          <w:sz w:val="31"/>
        </w:rPr>
      </w:pPr>
    </w:p>
    <w:p>
      <w:pPr>
        <w:pStyle w:val="BodyText"/>
        <w:spacing w:line="321" w:lineRule="auto"/>
        <w:ind w:left="640" w:right="308"/>
      </w:pPr>
      <w:r>
        <w:rPr/>
        <w:t>A33</w:t>
      </w:r>
      <w:r>
        <w:rPr>
          <w:spacing w:val="14"/>
        </w:rPr>
        <w:t> </w:t>
      </w:r>
      <w:r>
        <w:rPr/>
        <w:t>Corporate</w:t>
      </w:r>
      <w:r>
        <w:rPr>
          <w:spacing w:val="-8"/>
        </w:rPr>
        <w:t> </w:t>
      </w:r>
      <w:r>
        <w:rPr/>
        <w:t>service</w:t>
      </w:r>
      <w:r>
        <w:rPr>
          <w:spacing w:val="-8"/>
        </w:rPr>
        <w:t> </w:t>
      </w:r>
      <w:r>
        <w:rPr/>
        <w:t>sector</w:t>
      </w:r>
      <w:r>
        <w:rPr>
          <w:spacing w:val="-8"/>
        </w:rPr>
        <w:t> </w:t>
      </w:r>
      <w:r>
        <w:rPr/>
        <w:t>price</w:t>
      </w:r>
      <w:r>
        <w:rPr>
          <w:spacing w:val="-8"/>
        </w:rPr>
        <w:t> </w:t>
      </w:r>
      <w:r>
        <w:rPr/>
        <w:t>indices</w:t>
      </w:r>
      <w:r>
        <w:rPr>
          <w:spacing w:val="-8"/>
        </w:rPr>
        <w:t> </w:t>
      </w:r>
      <w:r>
        <w:rPr/>
        <w:t>published</w:t>
      </w:r>
      <w:r>
        <w:rPr>
          <w:spacing w:val="-9"/>
        </w:rPr>
        <w:t> </w:t>
      </w:r>
      <w:r>
        <w:rPr/>
        <w:t>by</w:t>
      </w:r>
      <w:r>
        <w:rPr>
          <w:spacing w:val="-8"/>
        </w:rPr>
        <w:t> </w:t>
      </w:r>
      <w:r>
        <w:rPr/>
        <w:t>the</w:t>
      </w:r>
      <w:r>
        <w:rPr>
          <w:spacing w:val="-8"/>
        </w:rPr>
        <w:t> </w:t>
      </w:r>
      <w:r>
        <w:rPr/>
        <w:t>ONS,</w:t>
      </w:r>
      <w:r>
        <w:rPr>
          <w:spacing w:val="-8"/>
        </w:rPr>
        <w:t> </w:t>
      </w:r>
      <w:r>
        <w:rPr/>
        <w:t>covering</w:t>
      </w:r>
      <w:r>
        <w:rPr>
          <w:spacing w:val="-8"/>
        </w:rPr>
        <w:t> </w:t>
      </w:r>
      <w:r>
        <w:rPr/>
        <w:t>services</w:t>
      </w:r>
      <w:r>
        <w:rPr>
          <w:spacing w:val="-8"/>
        </w:rPr>
        <w:t> </w:t>
      </w:r>
      <w:r>
        <w:rPr/>
        <w:t>such</w:t>
      </w:r>
      <w:r>
        <w:rPr>
          <w:spacing w:val="-8"/>
        </w:rPr>
        <w:t> </w:t>
      </w:r>
      <w:r>
        <w:rPr/>
        <w:t>as</w:t>
      </w:r>
      <w:r>
        <w:rPr>
          <w:spacing w:val="-9"/>
        </w:rPr>
        <w:t> </w:t>
      </w:r>
      <w:r>
        <w:rPr/>
        <w:t>road freight</w:t>
      </w:r>
      <w:r>
        <w:rPr>
          <w:spacing w:val="-11"/>
        </w:rPr>
        <w:t> </w:t>
      </w:r>
      <w:r>
        <w:rPr/>
        <w:t>transport</w:t>
      </w:r>
      <w:r>
        <w:rPr>
          <w:spacing w:val="-11"/>
        </w:rPr>
        <w:t> </w:t>
      </w:r>
      <w:r>
        <w:rPr/>
        <w:t>and</w:t>
      </w:r>
      <w:r>
        <w:rPr>
          <w:spacing w:val="-11"/>
        </w:rPr>
        <w:t> </w:t>
      </w:r>
      <w:r>
        <w:rPr/>
        <w:t>industrial</w:t>
      </w:r>
      <w:r>
        <w:rPr>
          <w:spacing w:val="-10"/>
        </w:rPr>
        <w:t> </w:t>
      </w:r>
      <w:r>
        <w:rPr/>
        <w:t>cleaning,</w:t>
      </w:r>
      <w:r>
        <w:rPr>
          <w:spacing w:val="-11"/>
        </w:rPr>
        <w:t> </w:t>
      </w:r>
      <w:r>
        <w:rPr/>
        <w:t>suggested</w:t>
      </w:r>
      <w:r>
        <w:rPr>
          <w:spacing w:val="-11"/>
        </w:rPr>
        <w:t> </w:t>
      </w:r>
      <w:r>
        <w:rPr/>
        <w:t>that</w:t>
      </w:r>
      <w:r>
        <w:rPr>
          <w:spacing w:val="-11"/>
        </w:rPr>
        <w:t> </w:t>
      </w:r>
      <w:r>
        <w:rPr/>
        <w:t>inflation</w:t>
      </w:r>
      <w:r>
        <w:rPr>
          <w:spacing w:val="-10"/>
        </w:rPr>
        <w:t> </w:t>
      </w:r>
      <w:r>
        <w:rPr/>
        <w:t>in</w:t>
      </w:r>
      <w:r>
        <w:rPr>
          <w:spacing w:val="-11"/>
        </w:rPr>
        <w:t> </w:t>
      </w:r>
      <w:r>
        <w:rPr/>
        <w:t>the</w:t>
      </w:r>
      <w:r>
        <w:rPr>
          <w:spacing w:val="-11"/>
        </w:rPr>
        <w:t> </w:t>
      </w:r>
      <w:r>
        <w:rPr/>
        <w:t>business</w:t>
      </w:r>
      <w:r>
        <w:rPr>
          <w:spacing w:val="-10"/>
        </w:rPr>
        <w:t> </w:t>
      </w:r>
      <w:r>
        <w:rPr/>
        <w:t>service</w:t>
      </w:r>
      <w:r>
        <w:rPr>
          <w:spacing w:val="-11"/>
        </w:rPr>
        <w:t> </w:t>
      </w:r>
      <w:r>
        <w:rPr/>
        <w:t>sector</w:t>
      </w:r>
      <w:r>
        <w:rPr>
          <w:spacing w:val="-11"/>
        </w:rPr>
        <w:t> </w:t>
      </w:r>
      <w:r>
        <w:rPr>
          <w:spacing w:val="-2"/>
        </w:rPr>
        <w:t>was </w:t>
      </w:r>
      <w:r>
        <w:rPr/>
        <w:t>higher than in the manufacturing sector (measured by producer price indices). Survey evidence and the Bank’s Agents suggested a similar contrast between the different</w:t>
      </w:r>
      <w:r>
        <w:rPr>
          <w:spacing w:val="-24"/>
        </w:rPr>
        <w:t> </w:t>
      </w:r>
      <w:r>
        <w:rPr/>
        <w:t>sectors.</w:t>
      </w:r>
    </w:p>
    <w:p>
      <w:pPr>
        <w:spacing w:after="0" w:line="321" w:lineRule="auto"/>
        <w:sectPr>
          <w:pgSz w:w="11900" w:h="16840"/>
          <w:pgMar w:header="733" w:footer="0" w:top="1040" w:bottom="280" w:left="800" w:right="780"/>
        </w:sectPr>
      </w:pPr>
    </w:p>
    <w:p>
      <w:pPr>
        <w:pStyle w:val="BodyText"/>
        <w:spacing w:line="321" w:lineRule="auto" w:before="80"/>
        <w:ind w:left="640" w:right="458"/>
      </w:pPr>
      <w:r>
        <w:rPr/>
        <w:t>A34 </w:t>
      </w:r>
      <w:r>
        <w:rPr>
          <w:spacing w:val="-3"/>
        </w:rPr>
        <w:t>Trade prices fell further </w:t>
      </w:r>
      <w:r>
        <w:rPr/>
        <w:t>in </w:t>
      </w:r>
      <w:r>
        <w:rPr>
          <w:spacing w:val="-3"/>
        </w:rPr>
        <w:t>December. Export prices fell </w:t>
      </w:r>
      <w:r>
        <w:rPr/>
        <w:t>by </w:t>
      </w:r>
      <w:r>
        <w:rPr>
          <w:spacing w:val="-3"/>
        </w:rPr>
        <w:t>0.5% (excluding </w:t>
      </w:r>
      <w:r>
        <w:rPr/>
        <w:t>oil </w:t>
      </w:r>
      <w:r>
        <w:rPr>
          <w:spacing w:val="-3"/>
        </w:rPr>
        <w:t>and </w:t>
      </w:r>
      <w:r>
        <w:rPr/>
        <w:t>seasonally unadjusted); and import prices by 0.2%. Annual rates stood at -4.2% and -4.3% </w:t>
      </w:r>
      <w:r>
        <w:rPr>
          <w:spacing w:val="-3"/>
        </w:rPr>
        <w:t>respectively (excluding oil). Revisions </w:t>
      </w:r>
      <w:r>
        <w:rPr/>
        <w:t>to </w:t>
      </w:r>
      <w:r>
        <w:rPr>
          <w:spacing w:val="-3"/>
        </w:rPr>
        <w:t>trade prices meant import prices </w:t>
      </w:r>
      <w:r>
        <w:rPr/>
        <w:t>had </w:t>
      </w:r>
      <w:r>
        <w:rPr>
          <w:spacing w:val="-3"/>
        </w:rPr>
        <w:t>fallen </w:t>
      </w:r>
      <w:r>
        <w:rPr/>
        <w:t>a </w:t>
      </w:r>
      <w:r>
        <w:rPr>
          <w:spacing w:val="-3"/>
        </w:rPr>
        <w:t>little more </w:t>
      </w:r>
      <w:r>
        <w:rPr/>
        <w:t>since the start of the appreciation than previously recorded. But the overall fall remained only a little more than half that expected on the basis of past behaviour.</w:t>
      </w:r>
    </w:p>
    <w:p>
      <w:pPr>
        <w:pStyle w:val="BodyText"/>
        <w:rPr>
          <w:sz w:val="32"/>
        </w:rPr>
      </w:pPr>
    </w:p>
    <w:p>
      <w:pPr>
        <w:pStyle w:val="BodyText"/>
        <w:spacing w:line="321" w:lineRule="auto"/>
        <w:ind w:left="640" w:right="314"/>
      </w:pPr>
      <w:r>
        <w:rPr/>
        <w:t>A35 A number of factors may have accounted for the sluggish response of import prices to sterling’s appreciation in 1997. In sterling terms, export prices in the major six overseas economies had deviated significantly from UK import prices since the appreciation. But other factors were more in line with the behaviour of import prices so far. Expectations in 1997 that </w:t>
      </w:r>
      <w:r>
        <w:rPr>
          <w:spacing w:val="-2"/>
        </w:rPr>
        <w:t>the </w:t>
      </w:r>
      <w:r>
        <w:rPr/>
        <w:t>appreciation would be temporary and reversed may have delayed the response of prices. </w:t>
      </w:r>
      <w:r>
        <w:rPr>
          <w:spacing w:val="-2"/>
        </w:rPr>
        <w:t>And </w:t>
      </w:r>
      <w:r>
        <w:rPr>
          <w:spacing w:val="-3"/>
        </w:rPr>
        <w:t>strong relative demand </w:t>
      </w:r>
      <w:r>
        <w:rPr/>
        <w:t>in the </w:t>
      </w:r>
      <w:r>
        <w:rPr>
          <w:spacing w:val="-3"/>
        </w:rPr>
        <w:t>United Kingdom </w:t>
      </w:r>
      <w:r>
        <w:rPr/>
        <w:t>may </w:t>
      </w:r>
      <w:r>
        <w:rPr>
          <w:spacing w:val="-3"/>
        </w:rPr>
        <w:t>also have enabled import prices </w:t>
      </w:r>
      <w:r>
        <w:rPr/>
        <w:t>to </w:t>
      </w:r>
      <w:r>
        <w:rPr>
          <w:spacing w:val="-3"/>
        </w:rPr>
        <w:t>remain </w:t>
      </w:r>
      <w:r>
        <w:rPr/>
        <w:t>above world prices in the short term. Furthermore, the dollar - against which sterling </w:t>
      </w:r>
      <w:r>
        <w:rPr>
          <w:spacing w:val="-2"/>
        </w:rPr>
        <w:t>has </w:t>
      </w:r>
      <w:r>
        <w:rPr/>
        <w:t>appreciated by considerably less than the ERI as a whole - may account for a greater volume of UK trade than is implied by its ERI weight (16%). Developing countries and particular sectors - for example commodities and aerospace - traded world-wide in dollars. Evidence suggests that this may increase the dollar’s significance in UK trade to around 20-25%. So using the ERI to </w:t>
      </w:r>
      <w:r>
        <w:rPr>
          <w:spacing w:val="-3"/>
        </w:rPr>
        <w:t>estimate </w:t>
      </w:r>
      <w:r>
        <w:rPr/>
        <w:t>the </w:t>
      </w:r>
      <w:r>
        <w:rPr>
          <w:spacing w:val="-3"/>
        </w:rPr>
        <w:t>expected fall </w:t>
      </w:r>
      <w:r>
        <w:rPr/>
        <w:t>in </w:t>
      </w:r>
      <w:r>
        <w:rPr>
          <w:spacing w:val="-3"/>
        </w:rPr>
        <w:t>import prices </w:t>
      </w:r>
      <w:r>
        <w:rPr/>
        <w:t>may </w:t>
      </w:r>
      <w:r>
        <w:rPr>
          <w:spacing w:val="-3"/>
        </w:rPr>
        <w:t>underweight </w:t>
      </w:r>
      <w:r>
        <w:rPr/>
        <w:t>the </w:t>
      </w:r>
      <w:r>
        <w:rPr>
          <w:spacing w:val="-3"/>
        </w:rPr>
        <w:t>dollar’s influence, </w:t>
      </w:r>
      <w:r>
        <w:rPr/>
        <w:t>at </w:t>
      </w:r>
      <w:r>
        <w:rPr>
          <w:spacing w:val="-3"/>
        </w:rPr>
        <w:t>least on </w:t>
      </w:r>
      <w:r>
        <w:rPr/>
        <w:t>shorter-run import price movements.</w:t>
      </w:r>
    </w:p>
    <w:p>
      <w:pPr>
        <w:pStyle w:val="BodyText"/>
        <w:spacing w:before="10"/>
        <w:rPr>
          <w:sz w:val="31"/>
        </w:rPr>
      </w:pPr>
    </w:p>
    <w:p>
      <w:pPr>
        <w:pStyle w:val="BodyText"/>
        <w:spacing w:line="321" w:lineRule="auto" w:before="1"/>
        <w:ind w:left="640" w:right="248"/>
      </w:pPr>
      <w:r>
        <w:rPr/>
        <w:t>A36 The implications of the analysis were that the factors which might have accounted for the slow response of import prices in 1997 were unlikely to persist. While some depreciation of sterling was still anticipated, market exchange rate expectations were now much closer to current levels. And relatively strong demand growth in the United Kingdom was likely to moderate as the economy slowed this year. The dollar effect was unlikely to persist as competitive pressures require firms to adjust dollar prices. So further downward pressure on import prices - and in turn retail prices - seemed likely in 1998, as was assumed in the February </w:t>
      </w:r>
      <w:r>
        <w:rPr>
          <w:i/>
        </w:rPr>
        <w:t>Inflation Report </w:t>
      </w:r>
      <w:r>
        <w:rPr/>
        <w:t>forecast.</w:t>
      </w:r>
    </w:p>
    <w:p>
      <w:pPr>
        <w:pStyle w:val="BodyText"/>
        <w:spacing w:before="11"/>
        <w:rPr>
          <w:sz w:val="31"/>
        </w:rPr>
      </w:pPr>
    </w:p>
    <w:p>
      <w:pPr>
        <w:pStyle w:val="BodyText"/>
        <w:spacing w:line="321" w:lineRule="auto"/>
        <w:ind w:left="640" w:right="237"/>
      </w:pPr>
      <w:r>
        <w:rPr/>
        <w:t>A37   </w:t>
      </w:r>
      <w:r>
        <w:rPr>
          <w:spacing w:val="-3"/>
        </w:rPr>
        <w:t>Retail price inflation fell </w:t>
      </w:r>
      <w:r>
        <w:rPr/>
        <w:t>in </w:t>
      </w:r>
      <w:r>
        <w:rPr>
          <w:spacing w:val="-3"/>
        </w:rPr>
        <w:t>January.  RPIX fell </w:t>
      </w:r>
      <w:r>
        <w:rPr/>
        <w:t>to </w:t>
      </w:r>
      <w:r>
        <w:rPr>
          <w:spacing w:val="-3"/>
        </w:rPr>
        <w:t>2.5% from 2.7% </w:t>
      </w:r>
      <w:r>
        <w:rPr/>
        <w:t>in </w:t>
      </w:r>
      <w:r>
        <w:rPr>
          <w:spacing w:val="-3"/>
        </w:rPr>
        <w:t>December.</w:t>
      </w:r>
      <w:r>
        <w:rPr>
          <w:spacing w:val="54"/>
        </w:rPr>
        <w:t> </w:t>
      </w:r>
      <w:r>
        <w:rPr/>
        <w:t>The </w:t>
      </w:r>
      <w:r>
        <w:rPr>
          <w:spacing w:val="-3"/>
        </w:rPr>
        <w:t>fall</w:t>
      </w:r>
      <w:r>
        <w:rPr>
          <w:spacing w:val="54"/>
        </w:rPr>
        <w:t> </w:t>
      </w:r>
      <w:r>
        <w:rPr/>
        <w:t>was consistent with the central projection in the February </w:t>
      </w:r>
      <w:r>
        <w:rPr>
          <w:i/>
        </w:rPr>
        <w:t>Inflation Report</w:t>
      </w:r>
      <w:r>
        <w:rPr/>
        <w:t>. RPIX goods price </w:t>
      </w:r>
      <w:r>
        <w:rPr>
          <w:spacing w:val="-3"/>
        </w:rPr>
        <w:t>inflation </w:t>
      </w:r>
      <w:r>
        <w:rPr/>
        <w:t>was </w:t>
      </w:r>
      <w:r>
        <w:rPr>
          <w:spacing w:val="-3"/>
        </w:rPr>
        <w:t>lower </w:t>
      </w:r>
      <w:r>
        <w:rPr/>
        <w:t>in </w:t>
      </w:r>
      <w:r>
        <w:rPr>
          <w:spacing w:val="-3"/>
        </w:rPr>
        <w:t>January, falling </w:t>
      </w:r>
      <w:r>
        <w:rPr/>
        <w:t>to </w:t>
      </w:r>
      <w:r>
        <w:rPr>
          <w:spacing w:val="-3"/>
        </w:rPr>
        <w:t>1.7% from 2.1%.  RPIX services price inflation fell to  </w:t>
      </w:r>
      <w:r>
        <w:rPr/>
        <w:t>2.8%</w:t>
      </w:r>
      <w:r>
        <w:rPr>
          <w:spacing w:val="-9"/>
        </w:rPr>
        <w:t> </w:t>
      </w:r>
      <w:r>
        <w:rPr/>
        <w:t>from</w:t>
      </w:r>
      <w:r>
        <w:rPr>
          <w:spacing w:val="-8"/>
        </w:rPr>
        <w:t> </w:t>
      </w:r>
      <w:r>
        <w:rPr/>
        <w:t>2.9%.</w:t>
      </w:r>
      <w:r>
        <w:rPr>
          <w:spacing w:val="45"/>
        </w:rPr>
        <w:t> </w:t>
      </w:r>
      <w:r>
        <w:rPr/>
        <w:t>The</w:t>
      </w:r>
      <w:r>
        <w:rPr>
          <w:spacing w:val="-8"/>
        </w:rPr>
        <w:t> </w:t>
      </w:r>
      <w:r>
        <w:rPr/>
        <w:t>sharp</w:t>
      </w:r>
      <w:r>
        <w:rPr>
          <w:spacing w:val="-8"/>
        </w:rPr>
        <w:t> </w:t>
      </w:r>
      <w:r>
        <w:rPr/>
        <w:t>fall</w:t>
      </w:r>
      <w:r>
        <w:rPr>
          <w:spacing w:val="-9"/>
        </w:rPr>
        <w:t> </w:t>
      </w:r>
      <w:r>
        <w:rPr/>
        <w:t>in</w:t>
      </w:r>
      <w:r>
        <w:rPr>
          <w:spacing w:val="-8"/>
        </w:rPr>
        <w:t> </w:t>
      </w:r>
      <w:r>
        <w:rPr/>
        <w:t>goods</w:t>
      </w:r>
      <w:r>
        <w:rPr>
          <w:spacing w:val="-8"/>
        </w:rPr>
        <w:t> </w:t>
      </w:r>
      <w:r>
        <w:rPr/>
        <w:t>inflation</w:t>
      </w:r>
      <w:r>
        <w:rPr>
          <w:spacing w:val="-8"/>
        </w:rPr>
        <w:t> </w:t>
      </w:r>
      <w:r>
        <w:rPr/>
        <w:t>reflected</w:t>
      </w:r>
      <w:r>
        <w:rPr>
          <w:spacing w:val="-9"/>
        </w:rPr>
        <w:t> </w:t>
      </w:r>
      <w:r>
        <w:rPr/>
        <w:t>record</w:t>
      </w:r>
      <w:r>
        <w:rPr>
          <w:spacing w:val="-8"/>
        </w:rPr>
        <w:t> </w:t>
      </w:r>
      <w:r>
        <w:rPr/>
        <w:t>discounting</w:t>
      </w:r>
      <w:r>
        <w:rPr>
          <w:spacing w:val="-8"/>
        </w:rPr>
        <w:t> </w:t>
      </w:r>
      <w:r>
        <w:rPr/>
        <w:t>in</w:t>
      </w:r>
      <w:r>
        <w:rPr>
          <w:spacing w:val="-8"/>
        </w:rPr>
        <w:t> </w:t>
      </w:r>
      <w:r>
        <w:rPr/>
        <w:t>the</w:t>
      </w:r>
      <w:r>
        <w:rPr>
          <w:spacing w:val="-9"/>
        </w:rPr>
        <w:t> </w:t>
      </w:r>
      <w:r>
        <w:rPr/>
        <w:t>January</w:t>
      </w:r>
      <w:r>
        <w:rPr>
          <w:spacing w:val="-8"/>
        </w:rPr>
        <w:t> </w:t>
      </w:r>
      <w:r>
        <w:rPr/>
        <w:t>sales and lower food prices. In both cases, it is not clear whether these effects will persist. Typically </w:t>
      </w:r>
      <w:r>
        <w:rPr>
          <w:spacing w:val="-2"/>
        </w:rPr>
        <w:t>the </w:t>
      </w:r>
      <w:r>
        <w:rPr/>
        <w:t>larger the discounts in January, the larger the subsequent prices increases in February. So it </w:t>
      </w:r>
      <w:r>
        <w:rPr>
          <w:spacing w:val="-2"/>
        </w:rPr>
        <w:t>was </w:t>
      </w:r>
      <w:r>
        <w:rPr/>
        <w:t>not</w:t>
      </w:r>
      <w:r>
        <w:rPr>
          <w:spacing w:val="-8"/>
        </w:rPr>
        <w:t> </w:t>
      </w:r>
      <w:r>
        <w:rPr/>
        <w:t>clear</w:t>
      </w:r>
      <w:r>
        <w:rPr>
          <w:spacing w:val="-7"/>
        </w:rPr>
        <w:t> </w:t>
      </w:r>
      <w:r>
        <w:rPr/>
        <w:t>whether</w:t>
      </w:r>
      <w:r>
        <w:rPr>
          <w:spacing w:val="-7"/>
        </w:rPr>
        <w:t> </w:t>
      </w:r>
      <w:r>
        <w:rPr/>
        <w:t>some</w:t>
      </w:r>
      <w:r>
        <w:rPr>
          <w:spacing w:val="-7"/>
        </w:rPr>
        <w:t> </w:t>
      </w:r>
      <w:r>
        <w:rPr/>
        <w:t>of</w:t>
      </w:r>
      <w:r>
        <w:rPr>
          <w:spacing w:val="-7"/>
        </w:rPr>
        <w:t> </w:t>
      </w:r>
      <w:r>
        <w:rPr/>
        <w:t>the</w:t>
      </w:r>
      <w:r>
        <w:rPr>
          <w:spacing w:val="-7"/>
        </w:rPr>
        <w:t> </w:t>
      </w:r>
      <w:r>
        <w:rPr/>
        <w:t>fall</w:t>
      </w:r>
      <w:r>
        <w:rPr>
          <w:spacing w:val="-7"/>
        </w:rPr>
        <w:t> </w:t>
      </w:r>
      <w:r>
        <w:rPr/>
        <w:t>in</w:t>
      </w:r>
      <w:r>
        <w:rPr>
          <w:spacing w:val="-7"/>
        </w:rPr>
        <w:t> </w:t>
      </w:r>
      <w:r>
        <w:rPr/>
        <w:t>goods</w:t>
      </w:r>
      <w:r>
        <w:rPr>
          <w:spacing w:val="-7"/>
        </w:rPr>
        <w:t> </w:t>
      </w:r>
      <w:r>
        <w:rPr/>
        <w:t>price</w:t>
      </w:r>
      <w:r>
        <w:rPr>
          <w:spacing w:val="-7"/>
        </w:rPr>
        <w:t> </w:t>
      </w:r>
      <w:r>
        <w:rPr/>
        <w:t>inflation</w:t>
      </w:r>
      <w:r>
        <w:rPr>
          <w:spacing w:val="-7"/>
        </w:rPr>
        <w:t> </w:t>
      </w:r>
      <w:r>
        <w:rPr/>
        <w:t>in</w:t>
      </w:r>
      <w:r>
        <w:rPr>
          <w:spacing w:val="-7"/>
        </w:rPr>
        <w:t> </w:t>
      </w:r>
      <w:r>
        <w:rPr/>
        <w:t>January</w:t>
      </w:r>
      <w:r>
        <w:rPr>
          <w:spacing w:val="-7"/>
        </w:rPr>
        <w:t> </w:t>
      </w:r>
      <w:r>
        <w:rPr/>
        <w:t>reflected</w:t>
      </w:r>
      <w:r>
        <w:rPr>
          <w:spacing w:val="-7"/>
        </w:rPr>
        <w:t> </w:t>
      </w:r>
      <w:r>
        <w:rPr/>
        <w:t>further</w:t>
      </w:r>
      <w:r>
        <w:rPr>
          <w:spacing w:val="-8"/>
        </w:rPr>
        <w:t> </w:t>
      </w:r>
      <w:r>
        <w:rPr>
          <w:spacing w:val="-2"/>
        </w:rPr>
        <w:t>pass-through </w:t>
      </w:r>
      <w:r>
        <w:rPr/>
        <w:t>from lower import prices. February and March would be important months to note this effect in the </w:t>
      </w:r>
      <w:r>
        <w:rPr>
          <w:spacing w:val="-3"/>
        </w:rPr>
        <w:t>post “sales” period. </w:t>
      </w:r>
      <w:r>
        <w:rPr/>
        <w:t>The </w:t>
      </w:r>
      <w:r>
        <w:rPr>
          <w:spacing w:val="-3"/>
        </w:rPr>
        <w:t>fall </w:t>
      </w:r>
      <w:r>
        <w:rPr/>
        <w:t>in </w:t>
      </w:r>
      <w:r>
        <w:rPr>
          <w:spacing w:val="-3"/>
        </w:rPr>
        <w:t>services inflation </w:t>
      </w:r>
      <w:r>
        <w:rPr/>
        <w:t>was due </w:t>
      </w:r>
      <w:r>
        <w:rPr>
          <w:spacing w:val="-3"/>
        </w:rPr>
        <w:t>mainly </w:t>
      </w:r>
      <w:r>
        <w:rPr/>
        <w:t>to a </w:t>
      </w:r>
      <w:r>
        <w:rPr>
          <w:spacing w:val="-3"/>
        </w:rPr>
        <w:t>smaller rise </w:t>
      </w:r>
      <w:r>
        <w:rPr/>
        <w:t>in </w:t>
      </w:r>
      <w:r>
        <w:rPr>
          <w:spacing w:val="-3"/>
        </w:rPr>
        <w:t>repair and maintenance charges than last year, </w:t>
      </w:r>
      <w:r>
        <w:rPr/>
        <w:t>and </w:t>
      </w:r>
      <w:r>
        <w:rPr>
          <w:spacing w:val="-3"/>
        </w:rPr>
        <w:t>falling </w:t>
      </w:r>
      <w:r>
        <w:rPr/>
        <w:t>gas </w:t>
      </w:r>
      <w:r>
        <w:rPr>
          <w:spacing w:val="-3"/>
        </w:rPr>
        <w:t>prices. </w:t>
      </w:r>
      <w:r>
        <w:rPr/>
        <w:t>Car </w:t>
      </w:r>
      <w:r>
        <w:rPr>
          <w:spacing w:val="-3"/>
        </w:rPr>
        <w:t>insurance premiums increased in </w:t>
      </w:r>
      <w:r>
        <w:rPr/>
        <w:t>January and a range of services prices were still rising at an annual rate of over 4%.</w:t>
      </w:r>
      <w:r>
        <w:rPr>
          <w:spacing w:val="8"/>
        </w:rPr>
        <w:t> </w:t>
      </w:r>
      <w:r>
        <w:rPr>
          <w:spacing w:val="-2"/>
        </w:rPr>
        <w:t>The</w:t>
      </w:r>
    </w:p>
    <w:p>
      <w:pPr>
        <w:spacing w:after="0" w:line="321" w:lineRule="auto"/>
        <w:sectPr>
          <w:pgSz w:w="11900" w:h="16840"/>
          <w:pgMar w:header="733" w:footer="0" w:top="1040" w:bottom="280" w:left="800" w:right="780"/>
        </w:sectPr>
      </w:pPr>
    </w:p>
    <w:p>
      <w:pPr>
        <w:pStyle w:val="BodyText"/>
        <w:spacing w:line="321" w:lineRule="auto" w:before="80"/>
        <w:ind w:left="640" w:right="308"/>
      </w:pPr>
      <w:r>
        <w:rPr/>
        <w:t>differential</w:t>
      </w:r>
      <w:r>
        <w:rPr>
          <w:spacing w:val="-8"/>
        </w:rPr>
        <w:t> </w:t>
      </w:r>
      <w:r>
        <w:rPr/>
        <w:t>between</w:t>
      </w:r>
      <w:r>
        <w:rPr>
          <w:spacing w:val="-7"/>
        </w:rPr>
        <w:t> </w:t>
      </w:r>
      <w:r>
        <w:rPr/>
        <w:t>goods</w:t>
      </w:r>
      <w:r>
        <w:rPr>
          <w:spacing w:val="-7"/>
        </w:rPr>
        <w:t> </w:t>
      </w:r>
      <w:r>
        <w:rPr/>
        <w:t>and</w:t>
      </w:r>
      <w:r>
        <w:rPr>
          <w:spacing w:val="-7"/>
        </w:rPr>
        <w:t> </w:t>
      </w:r>
      <w:r>
        <w:rPr/>
        <w:t>services</w:t>
      </w:r>
      <w:r>
        <w:rPr>
          <w:spacing w:val="-8"/>
        </w:rPr>
        <w:t> </w:t>
      </w:r>
      <w:r>
        <w:rPr/>
        <w:t>inflation</w:t>
      </w:r>
      <w:r>
        <w:rPr>
          <w:spacing w:val="-7"/>
        </w:rPr>
        <w:t> </w:t>
      </w:r>
      <w:r>
        <w:rPr/>
        <w:t>was</w:t>
      </w:r>
      <w:r>
        <w:rPr>
          <w:spacing w:val="-7"/>
        </w:rPr>
        <w:t> </w:t>
      </w:r>
      <w:r>
        <w:rPr/>
        <w:t>1.1%</w:t>
      </w:r>
      <w:r>
        <w:rPr>
          <w:spacing w:val="-7"/>
        </w:rPr>
        <w:t> </w:t>
      </w:r>
      <w:r>
        <w:rPr/>
        <w:t>on</w:t>
      </w:r>
      <w:r>
        <w:rPr>
          <w:spacing w:val="-7"/>
        </w:rPr>
        <w:t> </w:t>
      </w:r>
      <w:r>
        <w:rPr/>
        <w:t>an</w:t>
      </w:r>
      <w:r>
        <w:rPr>
          <w:spacing w:val="-8"/>
        </w:rPr>
        <w:t> </w:t>
      </w:r>
      <w:r>
        <w:rPr/>
        <w:t>RPIX</w:t>
      </w:r>
      <w:r>
        <w:rPr>
          <w:spacing w:val="-7"/>
        </w:rPr>
        <w:t> </w:t>
      </w:r>
      <w:r>
        <w:rPr/>
        <w:t>basis,</w:t>
      </w:r>
      <w:r>
        <w:rPr>
          <w:spacing w:val="-7"/>
        </w:rPr>
        <w:t> </w:t>
      </w:r>
      <w:r>
        <w:rPr/>
        <w:t>but</w:t>
      </w:r>
      <w:r>
        <w:rPr>
          <w:spacing w:val="-7"/>
        </w:rPr>
        <w:t> </w:t>
      </w:r>
      <w:r>
        <w:rPr/>
        <w:t>over</w:t>
      </w:r>
      <w:r>
        <w:rPr>
          <w:spacing w:val="-7"/>
        </w:rPr>
        <w:t> </w:t>
      </w:r>
      <w:r>
        <w:rPr/>
        <w:t>2%</w:t>
      </w:r>
      <w:r>
        <w:rPr>
          <w:spacing w:val="-8"/>
        </w:rPr>
        <w:t> </w:t>
      </w:r>
      <w:r>
        <w:rPr/>
        <w:t>on</w:t>
      </w:r>
      <w:r>
        <w:rPr>
          <w:spacing w:val="-7"/>
        </w:rPr>
        <w:t> </w:t>
      </w:r>
      <w:r>
        <w:rPr/>
        <w:t>a RPIY</w:t>
      </w:r>
      <w:r>
        <w:rPr>
          <w:spacing w:val="-1"/>
        </w:rPr>
        <w:t> </w:t>
      </w:r>
      <w:r>
        <w:rPr>
          <w:spacing w:val="-2"/>
        </w:rPr>
        <w:t>basis.</w:t>
      </w:r>
    </w:p>
    <w:p>
      <w:pPr>
        <w:pStyle w:val="BodyText"/>
        <w:spacing w:before="1"/>
        <w:rPr>
          <w:sz w:val="32"/>
        </w:rPr>
      </w:pPr>
    </w:p>
    <w:p>
      <w:pPr>
        <w:pStyle w:val="BodyText"/>
        <w:spacing w:line="321" w:lineRule="auto"/>
        <w:ind w:left="640" w:right="308"/>
      </w:pPr>
      <w:r>
        <w:rPr/>
        <w:t>A38 Other inflation measures also moderated. HARP and THARP inflation rates were closer to RPIX inflation as house price inflation moderated. And the UK EU harmonised price index rose by 1.5% in the year to January (1.8% in December) compared to the EU average rate of 1.6% (December).</w:t>
      </w:r>
    </w:p>
    <w:p>
      <w:pPr>
        <w:pStyle w:val="BodyText"/>
        <w:rPr>
          <w:sz w:val="32"/>
        </w:rPr>
      </w:pPr>
    </w:p>
    <w:p>
      <w:pPr>
        <w:pStyle w:val="BodyText"/>
        <w:spacing w:line="321" w:lineRule="auto" w:before="1"/>
        <w:ind w:left="640" w:right="868"/>
      </w:pPr>
      <w:r>
        <w:rPr/>
        <w:t>A39 The short-term outlook for RPIX inflation would depend significantly on the scale and timing of any Budget changes to excise duties.</w:t>
      </w:r>
    </w:p>
    <w:p>
      <w:pPr>
        <w:pStyle w:val="BodyText"/>
        <w:spacing w:before="5"/>
        <w:rPr>
          <w:sz w:val="32"/>
        </w:rPr>
      </w:pPr>
    </w:p>
    <w:p>
      <w:pPr>
        <w:pStyle w:val="Heading1"/>
        <w:numPr>
          <w:ilvl w:val="1"/>
          <w:numId w:val="1"/>
        </w:numPr>
        <w:tabs>
          <w:tab w:pos="937" w:val="left" w:leader="none"/>
        </w:tabs>
        <w:spacing w:line="240" w:lineRule="auto" w:before="1" w:after="0"/>
        <w:ind w:left="936" w:right="0" w:hanging="297"/>
        <w:jc w:val="left"/>
      </w:pPr>
      <w:r>
        <w:rPr/>
        <w:t>Financial markets</w:t>
      </w:r>
    </w:p>
    <w:p>
      <w:pPr>
        <w:pStyle w:val="BodyText"/>
        <w:rPr>
          <w:b/>
          <w:sz w:val="26"/>
        </w:rPr>
      </w:pPr>
    </w:p>
    <w:p>
      <w:pPr>
        <w:pStyle w:val="BodyText"/>
        <w:spacing w:line="321" w:lineRule="auto" w:before="159"/>
        <w:ind w:left="640" w:right="289"/>
      </w:pPr>
      <w:r>
        <w:rPr/>
        <w:t>A40 On the whole it had been a quiet month in the foreign exchange markets, despite quite a lot of news (eg from the Gulf and the G7 meeting). Sterling and the US dollar had traded in narrow ranges. The Deutsche Mark had also been stable. Of the major currencies, the yen had been the most volatile. Early in the month it had rallied on the prospect of a meaningful fiscal package and some abatement of concerns in Asia, but it weakened subsequently as hopes of a fiscal stimulus proved unfounded with the announcement of no new tax cuts either before or at the G7 meeting. With renewed weakness in the Nikkei in the second half of the month and downgrades of three more Japanese banks, the yen was 1.9% lower against the dollar and 1.4% lower against the DM compared with the position at the previous month’s MPC meeting. Elsewhere in Asia conditions had been a little more stable.</w:t>
      </w:r>
    </w:p>
    <w:p>
      <w:pPr>
        <w:pStyle w:val="BodyText"/>
        <w:spacing w:before="11"/>
        <w:rPr>
          <w:sz w:val="31"/>
        </w:rPr>
      </w:pPr>
    </w:p>
    <w:p>
      <w:pPr>
        <w:pStyle w:val="BodyText"/>
        <w:spacing w:line="321" w:lineRule="auto"/>
        <w:ind w:left="640" w:right="243"/>
      </w:pPr>
      <w:r>
        <w:rPr/>
        <w:t>A41  </w:t>
      </w:r>
      <w:r>
        <w:rPr>
          <w:spacing w:val="-3"/>
        </w:rPr>
        <w:t>Over </w:t>
      </w:r>
      <w:r>
        <w:rPr/>
        <w:t>the </w:t>
      </w:r>
      <w:r>
        <w:rPr>
          <w:spacing w:val="-3"/>
        </w:rPr>
        <w:t>month </w:t>
      </w:r>
      <w:r>
        <w:rPr/>
        <w:t>as a </w:t>
      </w:r>
      <w:r>
        <w:rPr>
          <w:spacing w:val="-3"/>
        </w:rPr>
        <w:t>whole, </w:t>
      </w:r>
      <w:r>
        <w:rPr/>
        <w:t>the </w:t>
      </w:r>
      <w:r>
        <w:rPr>
          <w:spacing w:val="-3"/>
        </w:rPr>
        <w:t>sterling effective exchange rate </w:t>
      </w:r>
      <w:r>
        <w:rPr/>
        <w:t>had </w:t>
      </w:r>
      <w:r>
        <w:rPr>
          <w:spacing w:val="-3"/>
        </w:rPr>
        <w:t>risen very slightly.  Using </w:t>
      </w:r>
      <w:r>
        <w:rPr/>
        <w:t>a </w:t>
      </w:r>
      <w:r>
        <w:rPr>
          <w:spacing w:val="-3"/>
        </w:rPr>
        <w:t>simplified definition </w:t>
      </w:r>
      <w:r>
        <w:rPr/>
        <w:t>of the ERI </w:t>
      </w:r>
      <w:r>
        <w:rPr>
          <w:spacing w:val="-3"/>
        </w:rPr>
        <w:t>based </w:t>
      </w:r>
      <w:r>
        <w:rPr/>
        <w:t>on the </w:t>
      </w:r>
      <w:r>
        <w:rPr>
          <w:spacing w:val="-3"/>
        </w:rPr>
        <w:t>Deutsche Mark, </w:t>
      </w:r>
      <w:r>
        <w:rPr/>
        <w:t>US </w:t>
      </w:r>
      <w:r>
        <w:rPr>
          <w:spacing w:val="-3"/>
        </w:rPr>
        <w:t>dollar </w:t>
      </w:r>
      <w:r>
        <w:rPr/>
        <w:t>and yen and </w:t>
      </w:r>
      <w:r>
        <w:rPr>
          <w:spacing w:val="-3"/>
        </w:rPr>
        <w:t>implied </w:t>
      </w:r>
      <w:r>
        <w:rPr/>
        <w:t>volatilities from options on bilateral exchange rates, it appeared that one-month and </w:t>
      </w:r>
      <w:r>
        <w:rPr>
          <w:spacing w:val="-2"/>
        </w:rPr>
        <w:t>twelve-month </w:t>
      </w:r>
      <w:r>
        <w:rPr/>
        <w:t>uncertainty on sterling had declined since the previous MPC meeting, though longer-term uncertainty remained greater than short-term </w:t>
      </w:r>
      <w:r>
        <w:rPr>
          <w:spacing w:val="-2"/>
        </w:rPr>
        <w:t>uncertainty.</w:t>
      </w:r>
    </w:p>
    <w:p>
      <w:pPr>
        <w:pStyle w:val="BodyText"/>
        <w:rPr>
          <w:sz w:val="32"/>
        </w:rPr>
      </w:pPr>
    </w:p>
    <w:p>
      <w:pPr>
        <w:pStyle w:val="BodyText"/>
        <w:spacing w:line="321" w:lineRule="auto" w:before="1"/>
        <w:ind w:left="640" w:right="231"/>
      </w:pPr>
      <w:r>
        <w:rPr/>
        <w:t>A42 In Europe spot exchange rates were, in general, approaching their ERM parities. In the case of forward exchange rates, the apparent divergence with central rates was smaller. The implied twelve-month correlation between the DM and the French franc remained very close to unity and correlations between the DM and the Spanish peseta and between the DM and the Italian lira were at or above 0.98.</w:t>
      </w:r>
    </w:p>
    <w:p>
      <w:pPr>
        <w:pStyle w:val="BodyText"/>
        <w:rPr>
          <w:sz w:val="32"/>
        </w:rPr>
      </w:pPr>
    </w:p>
    <w:p>
      <w:pPr>
        <w:pStyle w:val="BodyText"/>
        <w:spacing w:line="321" w:lineRule="auto"/>
        <w:ind w:left="640" w:right="223"/>
      </w:pPr>
      <w:r>
        <w:rPr/>
        <w:t>A43 Short-term UK interest rate expectations were higher than a month ago. The interest rates implied</w:t>
      </w:r>
      <w:r>
        <w:rPr>
          <w:spacing w:val="-9"/>
        </w:rPr>
        <w:t> </w:t>
      </w:r>
      <w:r>
        <w:rPr/>
        <w:t>by</w:t>
      </w:r>
      <w:r>
        <w:rPr>
          <w:spacing w:val="-9"/>
        </w:rPr>
        <w:t> </w:t>
      </w:r>
      <w:r>
        <w:rPr/>
        <w:t>the</w:t>
      </w:r>
      <w:r>
        <w:rPr>
          <w:spacing w:val="-9"/>
        </w:rPr>
        <w:t> </w:t>
      </w:r>
      <w:r>
        <w:rPr/>
        <w:t>June,</w:t>
      </w:r>
      <w:r>
        <w:rPr>
          <w:spacing w:val="-9"/>
        </w:rPr>
        <w:t> </w:t>
      </w:r>
      <w:r>
        <w:rPr/>
        <w:t>September</w:t>
      </w:r>
      <w:r>
        <w:rPr>
          <w:spacing w:val="-9"/>
        </w:rPr>
        <w:t> </w:t>
      </w:r>
      <w:r>
        <w:rPr/>
        <w:t>and</w:t>
      </w:r>
      <w:r>
        <w:rPr>
          <w:spacing w:val="-9"/>
        </w:rPr>
        <w:t> </w:t>
      </w:r>
      <w:r>
        <w:rPr/>
        <w:t>December</w:t>
      </w:r>
      <w:r>
        <w:rPr>
          <w:spacing w:val="-9"/>
        </w:rPr>
        <w:t> </w:t>
      </w:r>
      <w:r>
        <w:rPr/>
        <w:t>1998</w:t>
      </w:r>
      <w:r>
        <w:rPr>
          <w:spacing w:val="-9"/>
        </w:rPr>
        <w:t> </w:t>
      </w:r>
      <w:r>
        <w:rPr/>
        <w:t>sterling</w:t>
      </w:r>
      <w:r>
        <w:rPr>
          <w:spacing w:val="-9"/>
        </w:rPr>
        <w:t> </w:t>
      </w:r>
      <w:r>
        <w:rPr/>
        <w:t>futures</w:t>
      </w:r>
      <w:r>
        <w:rPr>
          <w:spacing w:val="-9"/>
        </w:rPr>
        <w:t> </w:t>
      </w:r>
      <w:r>
        <w:rPr/>
        <w:t>contracts</w:t>
      </w:r>
      <w:r>
        <w:rPr>
          <w:spacing w:val="-9"/>
        </w:rPr>
        <w:t> </w:t>
      </w:r>
      <w:r>
        <w:rPr/>
        <w:t>this</w:t>
      </w:r>
      <w:r>
        <w:rPr>
          <w:spacing w:val="-9"/>
        </w:rPr>
        <w:t> </w:t>
      </w:r>
      <w:r>
        <w:rPr/>
        <w:t>year</w:t>
      </w:r>
      <w:r>
        <w:rPr>
          <w:spacing w:val="-9"/>
        </w:rPr>
        <w:t> </w:t>
      </w:r>
      <w:r>
        <w:rPr/>
        <w:t>had</w:t>
      </w:r>
      <w:r>
        <w:rPr>
          <w:spacing w:val="-9"/>
        </w:rPr>
        <w:t> </w:t>
      </w:r>
      <w:r>
        <w:rPr/>
        <w:t>risen</w:t>
      </w:r>
      <w:r>
        <w:rPr>
          <w:spacing w:val="-8"/>
        </w:rPr>
        <w:t> </w:t>
      </w:r>
      <w:r>
        <w:rPr/>
        <w:t>by around</w:t>
      </w:r>
      <w:r>
        <w:rPr>
          <w:spacing w:val="-5"/>
        </w:rPr>
        <w:t> </w:t>
      </w:r>
      <w:r>
        <w:rPr/>
        <w:t>20</w:t>
      </w:r>
      <w:r>
        <w:rPr>
          <w:spacing w:val="-5"/>
        </w:rPr>
        <w:t> </w:t>
      </w:r>
      <w:r>
        <w:rPr/>
        <w:t>basis</w:t>
      </w:r>
      <w:r>
        <w:rPr>
          <w:spacing w:val="-4"/>
        </w:rPr>
        <w:t> </w:t>
      </w:r>
      <w:r>
        <w:rPr/>
        <w:t>points,</w:t>
      </w:r>
      <w:r>
        <w:rPr>
          <w:spacing w:val="-5"/>
        </w:rPr>
        <w:t> </w:t>
      </w:r>
      <w:r>
        <w:rPr/>
        <w:t>but</w:t>
      </w:r>
      <w:r>
        <w:rPr>
          <w:spacing w:val="-4"/>
        </w:rPr>
        <w:t> </w:t>
      </w:r>
      <w:r>
        <w:rPr/>
        <w:t>a</w:t>
      </w:r>
      <w:r>
        <w:rPr>
          <w:spacing w:val="-5"/>
        </w:rPr>
        <w:t> </w:t>
      </w:r>
      <w:r>
        <w:rPr/>
        <w:t>downward</w:t>
      </w:r>
      <w:r>
        <w:rPr>
          <w:spacing w:val="-4"/>
        </w:rPr>
        <w:t> </w:t>
      </w:r>
      <w:r>
        <w:rPr/>
        <w:t>trend</w:t>
      </w:r>
      <w:r>
        <w:rPr>
          <w:spacing w:val="-5"/>
        </w:rPr>
        <w:t> </w:t>
      </w:r>
      <w:r>
        <w:rPr/>
        <w:t>in</w:t>
      </w:r>
      <w:r>
        <w:rPr>
          <w:spacing w:val="-4"/>
        </w:rPr>
        <w:t> </w:t>
      </w:r>
      <w:r>
        <w:rPr/>
        <w:t>the</w:t>
      </w:r>
      <w:r>
        <w:rPr>
          <w:spacing w:val="-5"/>
        </w:rPr>
        <w:t> </w:t>
      </w:r>
      <w:r>
        <w:rPr/>
        <w:t>level</w:t>
      </w:r>
      <w:r>
        <w:rPr>
          <w:spacing w:val="-4"/>
        </w:rPr>
        <w:t> </w:t>
      </w:r>
      <w:r>
        <w:rPr/>
        <w:t>of</w:t>
      </w:r>
      <w:r>
        <w:rPr>
          <w:spacing w:val="-5"/>
        </w:rPr>
        <w:t> </w:t>
      </w:r>
      <w:r>
        <w:rPr/>
        <w:t>rates</w:t>
      </w:r>
      <w:r>
        <w:rPr>
          <w:spacing w:val="-4"/>
        </w:rPr>
        <w:t> </w:t>
      </w:r>
      <w:r>
        <w:rPr/>
        <w:t>was</w:t>
      </w:r>
      <w:r>
        <w:rPr>
          <w:spacing w:val="-5"/>
        </w:rPr>
        <w:t> </w:t>
      </w:r>
      <w:r>
        <w:rPr/>
        <w:t>still</w:t>
      </w:r>
      <w:r>
        <w:rPr>
          <w:spacing w:val="-4"/>
        </w:rPr>
        <w:t> </w:t>
      </w:r>
      <w:r>
        <w:rPr/>
        <w:t>foreseen</w:t>
      </w:r>
      <w:r>
        <w:rPr>
          <w:spacing w:val="-5"/>
        </w:rPr>
        <w:t> </w:t>
      </w:r>
      <w:r>
        <w:rPr/>
        <w:t>later</w:t>
      </w:r>
      <w:r>
        <w:rPr>
          <w:spacing w:val="-4"/>
        </w:rPr>
        <w:t> </w:t>
      </w:r>
      <w:r>
        <w:rPr/>
        <w:t>in</w:t>
      </w:r>
      <w:r>
        <w:rPr>
          <w:spacing w:val="-5"/>
        </w:rPr>
        <w:t> </w:t>
      </w:r>
      <w:r>
        <w:rPr>
          <w:spacing w:val="-2"/>
        </w:rPr>
        <w:t>the</w:t>
      </w:r>
    </w:p>
    <w:p>
      <w:pPr>
        <w:spacing w:after="0" w:line="321" w:lineRule="auto"/>
        <w:sectPr>
          <w:pgSz w:w="11900" w:h="16840"/>
          <w:pgMar w:header="733" w:footer="0" w:top="1040" w:bottom="280" w:left="800" w:right="780"/>
        </w:sectPr>
      </w:pPr>
    </w:p>
    <w:p>
      <w:pPr>
        <w:pStyle w:val="BodyText"/>
        <w:spacing w:line="321" w:lineRule="auto" w:before="80"/>
        <w:ind w:left="640" w:right="515"/>
      </w:pPr>
      <w:r>
        <w:rPr/>
        <w:t>year. Market participants who believed the MPC would not raise rates at its 4-5 March meeting pointed to doubts about the strength of retail sales, the weak international outlook, the</w:t>
      </w:r>
    </w:p>
    <w:p>
      <w:pPr>
        <w:pStyle w:val="BodyText"/>
        <w:spacing w:line="321" w:lineRule="auto"/>
        <w:ind w:left="640" w:right="231"/>
      </w:pPr>
      <w:r>
        <w:rPr/>
        <w:t>lower-than-expected RPI figures and the imminence of the Budget. Those who expected a rise pointed</w:t>
      </w:r>
      <w:r>
        <w:rPr>
          <w:spacing w:val="-6"/>
        </w:rPr>
        <w:t> </w:t>
      </w:r>
      <w:r>
        <w:rPr/>
        <w:t>to</w:t>
      </w:r>
      <w:r>
        <w:rPr>
          <w:spacing w:val="-6"/>
        </w:rPr>
        <w:t> </w:t>
      </w:r>
      <w:r>
        <w:rPr/>
        <w:t>the</w:t>
      </w:r>
      <w:r>
        <w:rPr>
          <w:spacing w:val="-6"/>
        </w:rPr>
        <w:t> </w:t>
      </w:r>
      <w:r>
        <w:rPr/>
        <w:t>finely</w:t>
      </w:r>
      <w:r>
        <w:rPr>
          <w:spacing w:val="-6"/>
        </w:rPr>
        <w:t> </w:t>
      </w:r>
      <w:r>
        <w:rPr/>
        <w:t>balanced</w:t>
      </w:r>
      <w:r>
        <w:rPr>
          <w:spacing w:val="-6"/>
        </w:rPr>
        <w:t> </w:t>
      </w:r>
      <w:r>
        <w:rPr/>
        <w:t>January</w:t>
      </w:r>
      <w:r>
        <w:rPr>
          <w:spacing w:val="-6"/>
        </w:rPr>
        <w:t> </w:t>
      </w:r>
      <w:r>
        <w:rPr/>
        <w:t>MPC</w:t>
      </w:r>
      <w:r>
        <w:rPr>
          <w:spacing w:val="-5"/>
        </w:rPr>
        <w:t> </w:t>
      </w:r>
      <w:r>
        <w:rPr/>
        <w:t>vote,</w:t>
      </w:r>
      <w:r>
        <w:rPr>
          <w:spacing w:val="-6"/>
        </w:rPr>
        <w:t> </w:t>
      </w:r>
      <w:r>
        <w:rPr/>
        <w:t>the</w:t>
      </w:r>
      <w:r>
        <w:rPr>
          <w:spacing w:val="-6"/>
        </w:rPr>
        <w:t> </w:t>
      </w:r>
      <w:r>
        <w:rPr/>
        <w:t>warning</w:t>
      </w:r>
      <w:r>
        <w:rPr>
          <w:spacing w:val="-6"/>
        </w:rPr>
        <w:t> </w:t>
      </w:r>
      <w:r>
        <w:rPr/>
        <w:t>in</w:t>
      </w:r>
      <w:r>
        <w:rPr>
          <w:spacing w:val="-6"/>
        </w:rPr>
        <w:t> </w:t>
      </w:r>
      <w:r>
        <w:rPr/>
        <w:t>the</w:t>
      </w:r>
      <w:r>
        <w:rPr>
          <w:spacing w:val="-5"/>
        </w:rPr>
        <w:t> </w:t>
      </w:r>
      <w:r>
        <w:rPr>
          <w:i/>
        </w:rPr>
        <w:t>Inflation</w:t>
      </w:r>
      <w:r>
        <w:rPr>
          <w:i/>
          <w:spacing w:val="-4"/>
        </w:rPr>
        <w:t> </w:t>
      </w:r>
      <w:r>
        <w:rPr>
          <w:i/>
        </w:rPr>
        <w:t>Report</w:t>
      </w:r>
      <w:r>
        <w:rPr>
          <w:i/>
          <w:spacing w:val="-3"/>
        </w:rPr>
        <w:t> </w:t>
      </w:r>
      <w:r>
        <w:rPr/>
        <w:t>over</w:t>
      </w:r>
      <w:r>
        <w:rPr>
          <w:spacing w:val="-5"/>
        </w:rPr>
        <w:t> </w:t>
      </w:r>
      <w:r>
        <w:rPr/>
        <w:t>the</w:t>
      </w:r>
      <w:r>
        <w:rPr>
          <w:spacing w:val="-5"/>
        </w:rPr>
        <w:t> </w:t>
      </w:r>
      <w:r>
        <w:rPr/>
        <w:t>need for a further rate rise and continuing wage pressures. There appeared to be a spread of views on the</w:t>
      </w:r>
      <w:r>
        <w:rPr>
          <w:spacing w:val="-8"/>
        </w:rPr>
        <w:t> </w:t>
      </w:r>
      <w:r>
        <w:rPr/>
        <w:t>strong</w:t>
      </w:r>
      <w:r>
        <w:rPr>
          <w:spacing w:val="-8"/>
        </w:rPr>
        <w:t> </w:t>
      </w:r>
      <w:r>
        <w:rPr/>
        <w:t>Public</w:t>
      </w:r>
      <w:r>
        <w:rPr>
          <w:spacing w:val="-7"/>
        </w:rPr>
        <w:t> </w:t>
      </w:r>
      <w:r>
        <w:rPr/>
        <w:t>Sector</w:t>
      </w:r>
      <w:r>
        <w:rPr>
          <w:spacing w:val="-8"/>
        </w:rPr>
        <w:t> </w:t>
      </w:r>
      <w:r>
        <w:rPr/>
        <w:t>Debt</w:t>
      </w:r>
      <w:r>
        <w:rPr>
          <w:spacing w:val="-8"/>
        </w:rPr>
        <w:t> </w:t>
      </w:r>
      <w:r>
        <w:rPr/>
        <w:t>Repayment</w:t>
      </w:r>
      <w:r>
        <w:rPr>
          <w:spacing w:val="-7"/>
        </w:rPr>
        <w:t> </w:t>
      </w:r>
      <w:r>
        <w:rPr/>
        <w:t>figures</w:t>
      </w:r>
      <w:r>
        <w:rPr>
          <w:spacing w:val="-8"/>
        </w:rPr>
        <w:t> </w:t>
      </w:r>
      <w:r>
        <w:rPr/>
        <w:t>announced</w:t>
      </w:r>
      <w:r>
        <w:rPr>
          <w:spacing w:val="-8"/>
        </w:rPr>
        <w:t> </w:t>
      </w:r>
      <w:r>
        <w:rPr/>
        <w:t>during</w:t>
      </w:r>
      <w:r>
        <w:rPr>
          <w:spacing w:val="-7"/>
        </w:rPr>
        <w:t> </w:t>
      </w:r>
      <w:r>
        <w:rPr/>
        <w:t>the</w:t>
      </w:r>
      <w:r>
        <w:rPr>
          <w:spacing w:val="-8"/>
        </w:rPr>
        <w:t> </w:t>
      </w:r>
      <w:r>
        <w:rPr/>
        <w:t>month;</w:t>
      </w:r>
      <w:r>
        <w:rPr>
          <w:spacing w:val="-7"/>
        </w:rPr>
        <w:t> </w:t>
      </w:r>
      <w:r>
        <w:rPr/>
        <w:t>some</w:t>
      </w:r>
      <w:r>
        <w:rPr>
          <w:spacing w:val="-8"/>
        </w:rPr>
        <w:t> </w:t>
      </w:r>
      <w:r>
        <w:rPr/>
        <w:t>in</w:t>
      </w:r>
      <w:r>
        <w:rPr>
          <w:spacing w:val="-8"/>
        </w:rPr>
        <w:t> </w:t>
      </w:r>
      <w:r>
        <w:rPr/>
        <w:t>the</w:t>
      </w:r>
      <w:r>
        <w:rPr>
          <w:spacing w:val="-7"/>
        </w:rPr>
        <w:t> </w:t>
      </w:r>
      <w:r>
        <w:rPr>
          <w:spacing w:val="-2"/>
        </w:rPr>
        <w:t>market </w:t>
      </w:r>
      <w:r>
        <w:rPr/>
        <w:t>suggesting it was a negative windfall for the personal sector and others thinking it a backward- looking reflection of strong economic</w:t>
      </w:r>
      <w:r>
        <w:rPr>
          <w:spacing w:val="1"/>
        </w:rPr>
        <w:t> </w:t>
      </w:r>
      <w:r>
        <w:rPr/>
        <w:t>growth.</w:t>
      </w:r>
    </w:p>
    <w:p>
      <w:pPr>
        <w:pStyle w:val="BodyText"/>
        <w:spacing w:before="11"/>
        <w:rPr>
          <w:sz w:val="31"/>
        </w:rPr>
      </w:pPr>
    </w:p>
    <w:p>
      <w:pPr>
        <w:pStyle w:val="BodyText"/>
        <w:spacing w:line="321" w:lineRule="auto"/>
        <w:ind w:left="640" w:right="322"/>
      </w:pPr>
      <w:r>
        <w:rPr/>
        <w:t>A44 The </w:t>
      </w:r>
      <w:r>
        <w:rPr>
          <w:spacing w:val="-3"/>
        </w:rPr>
        <w:t>yield curve </w:t>
      </w:r>
      <w:r>
        <w:rPr/>
        <w:t>had </w:t>
      </w:r>
      <w:r>
        <w:rPr>
          <w:spacing w:val="-3"/>
        </w:rPr>
        <w:t>become slightly more inverted.  Zero coupon gilt yields </w:t>
      </w:r>
      <w:r>
        <w:rPr/>
        <w:t>had </w:t>
      </w:r>
      <w:r>
        <w:rPr>
          <w:spacing w:val="-3"/>
        </w:rPr>
        <w:t>fallen over </w:t>
      </w:r>
      <w:r>
        <w:rPr/>
        <w:t>the first part of the month, by close to 20 basis points from ten years out. The peak had come on the</w:t>
      </w:r>
      <w:r>
        <w:rPr>
          <w:spacing w:val="-8"/>
        </w:rPr>
        <w:t> </w:t>
      </w:r>
      <w:r>
        <w:rPr/>
        <w:t>day</w:t>
      </w:r>
      <w:r>
        <w:rPr>
          <w:spacing w:val="-7"/>
        </w:rPr>
        <w:t> </w:t>
      </w:r>
      <w:r>
        <w:rPr/>
        <w:t>that</w:t>
      </w:r>
      <w:r>
        <w:rPr>
          <w:spacing w:val="-7"/>
        </w:rPr>
        <w:t> </w:t>
      </w:r>
      <w:r>
        <w:rPr/>
        <w:t>the</w:t>
      </w:r>
      <w:r>
        <w:rPr>
          <w:spacing w:val="-7"/>
        </w:rPr>
        <w:t> </w:t>
      </w:r>
      <w:r>
        <w:rPr/>
        <w:t>unexpectedly</w:t>
      </w:r>
      <w:r>
        <w:rPr>
          <w:spacing w:val="-7"/>
        </w:rPr>
        <w:t> </w:t>
      </w:r>
      <w:r>
        <w:rPr/>
        <w:t>large</w:t>
      </w:r>
      <w:r>
        <w:rPr>
          <w:spacing w:val="-7"/>
        </w:rPr>
        <w:t> </w:t>
      </w:r>
      <w:r>
        <w:rPr/>
        <w:t>PSDR</w:t>
      </w:r>
      <w:r>
        <w:rPr>
          <w:spacing w:val="-7"/>
        </w:rPr>
        <w:t> </w:t>
      </w:r>
      <w:r>
        <w:rPr/>
        <w:t>was</w:t>
      </w:r>
      <w:r>
        <w:rPr>
          <w:spacing w:val="-7"/>
        </w:rPr>
        <w:t> </w:t>
      </w:r>
      <w:r>
        <w:rPr/>
        <w:t>announced,</w:t>
      </w:r>
      <w:r>
        <w:rPr>
          <w:spacing w:val="-7"/>
        </w:rPr>
        <w:t> </w:t>
      </w:r>
      <w:r>
        <w:rPr/>
        <w:t>opening</w:t>
      </w:r>
      <w:r>
        <w:rPr>
          <w:spacing w:val="-7"/>
        </w:rPr>
        <w:t> </w:t>
      </w:r>
      <w:r>
        <w:rPr/>
        <w:t>up</w:t>
      </w:r>
      <w:r>
        <w:rPr>
          <w:spacing w:val="-7"/>
        </w:rPr>
        <w:t> </w:t>
      </w:r>
      <w:r>
        <w:rPr/>
        <w:t>the</w:t>
      </w:r>
      <w:r>
        <w:rPr>
          <w:spacing w:val="-7"/>
        </w:rPr>
        <w:t> </w:t>
      </w:r>
      <w:r>
        <w:rPr/>
        <w:t>prospect</w:t>
      </w:r>
      <w:r>
        <w:rPr>
          <w:spacing w:val="-7"/>
        </w:rPr>
        <w:t> </w:t>
      </w:r>
      <w:r>
        <w:rPr/>
        <w:t>of</w:t>
      </w:r>
      <w:r>
        <w:rPr>
          <w:spacing w:val="-7"/>
        </w:rPr>
        <w:t> </w:t>
      </w:r>
      <w:r>
        <w:rPr/>
        <w:t>reduced</w:t>
      </w:r>
      <w:r>
        <w:rPr>
          <w:spacing w:val="-7"/>
        </w:rPr>
        <w:t> </w:t>
      </w:r>
      <w:r>
        <w:rPr/>
        <w:t>gilt </w:t>
      </w:r>
      <w:r>
        <w:rPr>
          <w:spacing w:val="-3"/>
        </w:rPr>
        <w:t>supply, </w:t>
      </w:r>
      <w:r>
        <w:rPr/>
        <w:t>but </w:t>
      </w:r>
      <w:r>
        <w:rPr>
          <w:spacing w:val="-3"/>
        </w:rPr>
        <w:t>over half </w:t>
      </w:r>
      <w:r>
        <w:rPr/>
        <w:t>of </w:t>
      </w:r>
      <w:r>
        <w:rPr>
          <w:spacing w:val="-3"/>
        </w:rPr>
        <w:t>these gains </w:t>
      </w:r>
      <w:r>
        <w:rPr/>
        <w:t>had </w:t>
      </w:r>
      <w:r>
        <w:rPr>
          <w:spacing w:val="-3"/>
        </w:rPr>
        <w:t>subsequently been</w:t>
      </w:r>
      <w:r>
        <w:rPr>
          <w:spacing w:val="18"/>
        </w:rPr>
        <w:t> </w:t>
      </w:r>
      <w:r>
        <w:rPr>
          <w:spacing w:val="-3"/>
        </w:rPr>
        <w:t>lost.</w:t>
      </w:r>
    </w:p>
    <w:p>
      <w:pPr>
        <w:pStyle w:val="BodyText"/>
        <w:spacing w:before="1"/>
        <w:rPr>
          <w:sz w:val="32"/>
        </w:rPr>
      </w:pPr>
    </w:p>
    <w:p>
      <w:pPr>
        <w:pStyle w:val="BodyText"/>
        <w:spacing w:line="321" w:lineRule="auto"/>
        <w:ind w:left="640" w:right="232"/>
      </w:pPr>
      <w:r>
        <w:rPr/>
        <w:t>A45 </w:t>
      </w:r>
      <w:r>
        <w:rPr>
          <w:spacing w:val="-3"/>
        </w:rPr>
        <w:t>Zero coupon yields </w:t>
      </w:r>
      <w:r>
        <w:rPr/>
        <w:t>on </w:t>
      </w:r>
      <w:r>
        <w:rPr>
          <w:spacing w:val="-3"/>
        </w:rPr>
        <w:t>indexed gilts </w:t>
      </w:r>
      <w:r>
        <w:rPr/>
        <w:t>had </w:t>
      </w:r>
      <w:r>
        <w:rPr>
          <w:spacing w:val="-3"/>
        </w:rPr>
        <w:t>fallen again </w:t>
      </w:r>
      <w:r>
        <w:rPr/>
        <w:t>in </w:t>
      </w:r>
      <w:r>
        <w:rPr>
          <w:spacing w:val="-3"/>
        </w:rPr>
        <w:t>February, </w:t>
      </w:r>
      <w:r>
        <w:rPr/>
        <w:t>by </w:t>
      </w:r>
      <w:r>
        <w:rPr>
          <w:spacing w:val="-3"/>
        </w:rPr>
        <w:t>around </w:t>
      </w:r>
      <w:r>
        <w:rPr/>
        <w:t>10 </w:t>
      </w:r>
      <w:r>
        <w:rPr>
          <w:spacing w:val="-3"/>
        </w:rPr>
        <w:t>basis points at </w:t>
      </w:r>
      <w:r>
        <w:rPr/>
        <w:t>10 years and by more at shorter maturities. Part of the parallel fall in redemption yields appeared to</w:t>
      </w:r>
      <w:r>
        <w:rPr>
          <w:spacing w:val="-9"/>
        </w:rPr>
        <w:t> </w:t>
      </w:r>
      <w:r>
        <w:rPr/>
        <w:t>have</w:t>
      </w:r>
      <w:r>
        <w:rPr>
          <w:spacing w:val="-9"/>
        </w:rPr>
        <w:t> </w:t>
      </w:r>
      <w:r>
        <w:rPr/>
        <w:t>been</w:t>
      </w:r>
      <w:r>
        <w:rPr>
          <w:spacing w:val="-8"/>
        </w:rPr>
        <w:t> </w:t>
      </w:r>
      <w:r>
        <w:rPr/>
        <w:t>a</w:t>
      </w:r>
      <w:r>
        <w:rPr>
          <w:spacing w:val="-9"/>
        </w:rPr>
        <w:t> </w:t>
      </w:r>
      <w:r>
        <w:rPr/>
        <w:t>statistical</w:t>
      </w:r>
      <w:r>
        <w:rPr>
          <w:spacing w:val="-8"/>
        </w:rPr>
        <w:t> </w:t>
      </w:r>
      <w:r>
        <w:rPr/>
        <w:t>artefact,</w:t>
      </w:r>
      <w:r>
        <w:rPr>
          <w:spacing w:val="-9"/>
        </w:rPr>
        <w:t> </w:t>
      </w:r>
      <w:r>
        <w:rPr/>
        <w:t>reflecting</w:t>
      </w:r>
      <w:r>
        <w:rPr>
          <w:spacing w:val="-9"/>
        </w:rPr>
        <w:t> </w:t>
      </w:r>
      <w:r>
        <w:rPr/>
        <w:t>the</w:t>
      </w:r>
      <w:r>
        <w:rPr>
          <w:spacing w:val="-8"/>
        </w:rPr>
        <w:t> </w:t>
      </w:r>
      <w:r>
        <w:rPr/>
        <w:t>fact</w:t>
      </w:r>
      <w:r>
        <w:rPr>
          <w:spacing w:val="-9"/>
        </w:rPr>
        <w:t> </w:t>
      </w:r>
      <w:r>
        <w:rPr/>
        <w:t>that</w:t>
      </w:r>
      <w:r>
        <w:rPr>
          <w:spacing w:val="-8"/>
        </w:rPr>
        <w:t> </w:t>
      </w:r>
      <w:r>
        <w:rPr/>
        <w:t>the</w:t>
      </w:r>
      <w:r>
        <w:rPr>
          <w:spacing w:val="-9"/>
        </w:rPr>
        <w:t> </w:t>
      </w:r>
      <w:r>
        <w:rPr/>
        <w:t>month-on-month</w:t>
      </w:r>
      <w:r>
        <w:rPr>
          <w:spacing w:val="-8"/>
        </w:rPr>
        <w:t> </w:t>
      </w:r>
      <w:r>
        <w:rPr/>
        <w:t>RPI</w:t>
      </w:r>
      <w:r>
        <w:rPr>
          <w:spacing w:val="-9"/>
        </w:rPr>
        <w:t> </w:t>
      </w:r>
      <w:r>
        <w:rPr/>
        <w:t>inflation</w:t>
      </w:r>
      <w:r>
        <w:rPr>
          <w:spacing w:val="-9"/>
        </w:rPr>
        <w:t> </w:t>
      </w:r>
      <w:r>
        <w:rPr>
          <w:spacing w:val="-2"/>
        </w:rPr>
        <w:t>number </w:t>
      </w:r>
      <w:r>
        <w:rPr/>
        <w:t>was </w:t>
      </w:r>
      <w:r>
        <w:rPr>
          <w:spacing w:val="-3"/>
        </w:rPr>
        <w:t>different from </w:t>
      </w:r>
      <w:r>
        <w:rPr/>
        <w:t>the 3% </w:t>
      </w:r>
      <w:r>
        <w:rPr>
          <w:spacing w:val="-3"/>
        </w:rPr>
        <w:t>annual assumption </w:t>
      </w:r>
      <w:r>
        <w:rPr/>
        <w:t>the </w:t>
      </w:r>
      <w:r>
        <w:rPr>
          <w:spacing w:val="-3"/>
        </w:rPr>
        <w:t>market conventionally uses </w:t>
      </w:r>
      <w:r>
        <w:rPr/>
        <w:t>in </w:t>
      </w:r>
      <w:r>
        <w:rPr>
          <w:spacing w:val="-3"/>
        </w:rPr>
        <w:t>calculating IG yields. </w:t>
      </w:r>
      <w:r>
        <w:rPr/>
        <w:t>But </w:t>
      </w:r>
      <w:r>
        <w:rPr>
          <w:spacing w:val="-3"/>
        </w:rPr>
        <w:t>this </w:t>
      </w:r>
      <w:r>
        <w:rPr/>
        <w:t>was not an </w:t>
      </w:r>
      <w:r>
        <w:rPr>
          <w:spacing w:val="-3"/>
        </w:rPr>
        <w:t>explanation </w:t>
      </w:r>
      <w:r>
        <w:rPr/>
        <w:t>for the </w:t>
      </w:r>
      <w:r>
        <w:rPr>
          <w:spacing w:val="-3"/>
        </w:rPr>
        <w:t>fall </w:t>
      </w:r>
      <w:r>
        <w:rPr/>
        <w:t>in </w:t>
      </w:r>
      <w:r>
        <w:rPr>
          <w:spacing w:val="-3"/>
        </w:rPr>
        <w:t>real yields over </w:t>
      </w:r>
      <w:r>
        <w:rPr/>
        <w:t>the </w:t>
      </w:r>
      <w:r>
        <w:rPr>
          <w:spacing w:val="-3"/>
        </w:rPr>
        <w:t>year </w:t>
      </w:r>
      <w:r>
        <w:rPr/>
        <w:t>as a </w:t>
      </w:r>
      <w:r>
        <w:rPr>
          <w:spacing w:val="-3"/>
        </w:rPr>
        <w:t>whole, where </w:t>
      </w:r>
      <w:r>
        <w:rPr/>
        <w:t>annualised RPI outturns had been reasonably close to the 3% assumption. Long-dated real </w:t>
      </w:r>
      <w:r>
        <w:rPr>
          <w:spacing w:val="-3"/>
        </w:rPr>
        <w:t>redemption yields </w:t>
      </w:r>
      <w:r>
        <w:rPr/>
        <w:t>in the </w:t>
      </w:r>
      <w:r>
        <w:rPr>
          <w:spacing w:val="-3"/>
        </w:rPr>
        <w:t>United Kingdom </w:t>
      </w:r>
      <w:r>
        <w:rPr/>
        <w:t>had </w:t>
      </w:r>
      <w:r>
        <w:rPr>
          <w:spacing w:val="-3"/>
        </w:rPr>
        <w:t>fallen </w:t>
      </w:r>
      <w:r>
        <w:rPr/>
        <w:t>by </w:t>
      </w:r>
      <w:r>
        <w:rPr>
          <w:spacing w:val="-3"/>
        </w:rPr>
        <w:t>some </w:t>
      </w:r>
      <w:r>
        <w:rPr/>
        <w:t>60 </w:t>
      </w:r>
      <w:r>
        <w:rPr>
          <w:spacing w:val="-3"/>
        </w:rPr>
        <w:t>basis points since </w:t>
      </w:r>
      <w:r>
        <w:rPr/>
        <w:t>the </w:t>
      </w:r>
      <w:r>
        <w:rPr>
          <w:spacing w:val="-3"/>
        </w:rPr>
        <w:t>start of </w:t>
      </w:r>
      <w:r>
        <w:rPr/>
        <w:t>September, while US real redemption yields had risen by 10 around basis points. There were three possible reasons why UK long-term real redemption rates had fallen over this period. </w:t>
      </w:r>
      <w:r>
        <w:rPr>
          <w:spacing w:val="-2"/>
        </w:rPr>
        <w:t>One </w:t>
      </w:r>
      <w:r>
        <w:rPr>
          <w:spacing w:val="-3"/>
        </w:rPr>
        <w:t>possibility </w:t>
      </w:r>
      <w:r>
        <w:rPr/>
        <w:t>was </w:t>
      </w:r>
      <w:r>
        <w:rPr>
          <w:spacing w:val="-3"/>
        </w:rPr>
        <w:t>that </w:t>
      </w:r>
      <w:r>
        <w:rPr/>
        <w:t>it </w:t>
      </w:r>
      <w:r>
        <w:rPr>
          <w:spacing w:val="-3"/>
        </w:rPr>
        <w:t>might reflect microeconomic changes associated with </w:t>
      </w:r>
      <w:r>
        <w:rPr/>
        <w:t>the </w:t>
      </w:r>
      <w:r>
        <w:rPr>
          <w:spacing w:val="-3"/>
        </w:rPr>
        <w:t>Minimum Funding </w:t>
      </w:r>
      <w:r>
        <w:rPr/>
        <w:t>Requirement (MFR), introduced as part of the Pensions Act, which meant that pension fund managers were willing to accept a lower real return on index-linked debt. Another possible cause was the impact of the Asia crisis, which could have led investors to expect a looser monetary </w:t>
      </w:r>
      <w:r>
        <w:rPr>
          <w:spacing w:val="-3"/>
        </w:rPr>
        <w:t>stance </w:t>
      </w:r>
      <w:r>
        <w:rPr/>
        <w:t>and </w:t>
      </w:r>
      <w:r>
        <w:rPr>
          <w:spacing w:val="-3"/>
        </w:rPr>
        <w:t>possibly increased </w:t>
      </w:r>
      <w:r>
        <w:rPr/>
        <w:t>the </w:t>
      </w:r>
      <w:r>
        <w:rPr>
          <w:spacing w:val="-3"/>
        </w:rPr>
        <w:t>relative attractiveness </w:t>
      </w:r>
      <w:r>
        <w:rPr/>
        <w:t>of </w:t>
      </w:r>
      <w:r>
        <w:rPr>
          <w:spacing w:val="-3"/>
        </w:rPr>
        <w:t>index-linked bonds against riskier </w:t>
      </w:r>
      <w:r>
        <w:rPr/>
        <w:t>equities and conventionals. However, it was not clear why this should affect the United Kingdom more than the United States. The third possibility was that the fall in real yields reflected </w:t>
      </w:r>
      <w:r>
        <w:rPr>
          <w:spacing w:val="-2"/>
        </w:rPr>
        <w:t>the </w:t>
      </w:r>
      <w:r>
        <w:rPr>
          <w:spacing w:val="-3"/>
        </w:rPr>
        <w:t>increased probability </w:t>
      </w:r>
      <w:r>
        <w:rPr/>
        <w:t>of the </w:t>
      </w:r>
      <w:r>
        <w:rPr>
          <w:spacing w:val="-3"/>
        </w:rPr>
        <w:t>United Kingdom joining EMU, since </w:t>
      </w:r>
      <w:r>
        <w:rPr/>
        <w:t>EMU </w:t>
      </w:r>
      <w:r>
        <w:rPr>
          <w:spacing w:val="-3"/>
        </w:rPr>
        <w:t>membership would imply </w:t>
      </w:r>
      <w:r>
        <w:rPr>
          <w:spacing w:val="-4"/>
        </w:rPr>
        <w:t>convergence </w:t>
      </w:r>
      <w:r>
        <w:rPr/>
        <w:t>in </w:t>
      </w:r>
      <w:r>
        <w:rPr>
          <w:spacing w:val="-4"/>
        </w:rPr>
        <w:t>nominal yields </w:t>
      </w:r>
      <w:r>
        <w:rPr>
          <w:spacing w:val="-3"/>
        </w:rPr>
        <w:t>but not </w:t>
      </w:r>
      <w:r>
        <w:rPr>
          <w:spacing w:val="-4"/>
        </w:rPr>
        <w:t>necessarily initially </w:t>
      </w:r>
      <w:r>
        <w:rPr/>
        <w:t>in </w:t>
      </w:r>
      <w:r>
        <w:rPr>
          <w:spacing w:val="-4"/>
        </w:rPr>
        <w:t>inflation performance. While </w:t>
      </w:r>
      <w:r>
        <w:rPr>
          <w:spacing w:val="-3"/>
        </w:rPr>
        <w:t>the </w:t>
      </w:r>
      <w:r>
        <w:rPr>
          <w:spacing w:val="-4"/>
        </w:rPr>
        <w:t>EMU </w:t>
      </w:r>
      <w:r>
        <w:rPr>
          <w:spacing w:val="-3"/>
        </w:rPr>
        <w:t>story </w:t>
      </w:r>
      <w:r>
        <w:rPr/>
        <w:t>did not </w:t>
      </w:r>
      <w:r>
        <w:rPr>
          <w:spacing w:val="-3"/>
        </w:rPr>
        <w:t>have </w:t>
      </w:r>
      <w:r>
        <w:rPr/>
        <w:t>any </w:t>
      </w:r>
      <w:r>
        <w:rPr>
          <w:spacing w:val="-3"/>
        </w:rPr>
        <w:t>implications </w:t>
      </w:r>
      <w:r>
        <w:rPr/>
        <w:t>for </w:t>
      </w:r>
      <w:r>
        <w:rPr>
          <w:spacing w:val="-3"/>
        </w:rPr>
        <w:t>risk </w:t>
      </w:r>
      <w:r>
        <w:rPr/>
        <w:t>or </w:t>
      </w:r>
      <w:r>
        <w:rPr>
          <w:spacing w:val="-3"/>
        </w:rPr>
        <w:t>scarcity premia </w:t>
      </w:r>
      <w:r>
        <w:rPr/>
        <w:t>on </w:t>
      </w:r>
      <w:r>
        <w:rPr>
          <w:spacing w:val="-3"/>
        </w:rPr>
        <w:t>index-linked debt, </w:t>
      </w:r>
      <w:r>
        <w:rPr/>
        <w:t>the </w:t>
      </w:r>
      <w:r>
        <w:rPr>
          <w:spacing w:val="-3"/>
        </w:rPr>
        <w:t>MFR </w:t>
      </w:r>
      <w:r>
        <w:rPr/>
        <w:t>explanation might do so; to the extent that this was material, the Bank’s measures of implied inflation rates from the bond market might be biased</w:t>
      </w:r>
      <w:r>
        <w:rPr>
          <w:spacing w:val="-12"/>
        </w:rPr>
        <w:t> </w:t>
      </w:r>
      <w:r>
        <w:rPr/>
        <w:t>upwards.</w:t>
      </w:r>
    </w:p>
    <w:p>
      <w:pPr>
        <w:pStyle w:val="BodyText"/>
        <w:spacing w:before="8"/>
        <w:rPr>
          <w:sz w:val="31"/>
        </w:rPr>
      </w:pPr>
    </w:p>
    <w:p>
      <w:pPr>
        <w:pStyle w:val="BodyText"/>
        <w:spacing w:line="321" w:lineRule="auto" w:before="1"/>
        <w:ind w:left="640" w:right="470"/>
      </w:pPr>
      <w:r>
        <w:rPr/>
        <w:t>A46 The All Share Index had risen 3% since the previous month’s MPC meeting. Industry sectors continued to diverge. Relative to the All Share Index, General Industrials - the closest match to the manufacturing sector - had performed poorly since last year, perhaps reflecting the</w:t>
      </w:r>
    </w:p>
    <w:p>
      <w:pPr>
        <w:spacing w:after="0" w:line="321" w:lineRule="auto"/>
        <w:sectPr>
          <w:pgSz w:w="11900" w:h="16840"/>
          <w:pgMar w:header="733" w:footer="0" w:top="1040" w:bottom="280" w:left="800" w:right="780"/>
        </w:sectPr>
      </w:pPr>
    </w:p>
    <w:p>
      <w:pPr>
        <w:pStyle w:val="BodyText"/>
        <w:spacing w:line="321" w:lineRule="auto" w:before="80"/>
        <w:ind w:left="640" w:right="261"/>
      </w:pPr>
      <w:r>
        <w:rPr/>
        <w:t>weakness of manufacturing output, but there had been no further deterioration since the Committee’s February meeting. By contrast, Financials had continued to outperform. </w:t>
      </w:r>
      <w:r>
        <w:rPr>
          <w:spacing w:val="-2"/>
        </w:rPr>
        <w:t>The </w:t>
      </w:r>
      <w:r>
        <w:rPr/>
        <w:t>negative skew (measured by the difference between mean and mode) in the probabilities attached to</w:t>
      </w:r>
      <w:r>
        <w:rPr>
          <w:spacing w:val="-8"/>
        </w:rPr>
        <w:t> </w:t>
      </w:r>
      <w:r>
        <w:rPr/>
        <w:t>future</w:t>
      </w:r>
      <w:r>
        <w:rPr>
          <w:spacing w:val="-8"/>
        </w:rPr>
        <w:t> </w:t>
      </w:r>
      <w:r>
        <w:rPr/>
        <w:t>levels</w:t>
      </w:r>
      <w:r>
        <w:rPr>
          <w:spacing w:val="-8"/>
        </w:rPr>
        <w:t> </w:t>
      </w:r>
      <w:r>
        <w:rPr/>
        <w:t>of</w:t>
      </w:r>
      <w:r>
        <w:rPr>
          <w:spacing w:val="-7"/>
        </w:rPr>
        <w:t> </w:t>
      </w:r>
      <w:r>
        <w:rPr/>
        <w:t>the</w:t>
      </w:r>
      <w:r>
        <w:rPr>
          <w:spacing w:val="-8"/>
        </w:rPr>
        <w:t> </w:t>
      </w:r>
      <w:r>
        <w:rPr/>
        <w:t>FT-SE</w:t>
      </w:r>
      <w:r>
        <w:rPr>
          <w:spacing w:val="-8"/>
        </w:rPr>
        <w:t> </w:t>
      </w:r>
      <w:r>
        <w:rPr/>
        <w:t>100,</w:t>
      </w:r>
      <w:r>
        <w:rPr>
          <w:spacing w:val="-7"/>
        </w:rPr>
        <w:t> </w:t>
      </w:r>
      <w:r>
        <w:rPr/>
        <w:t>which</w:t>
      </w:r>
      <w:r>
        <w:rPr>
          <w:spacing w:val="-8"/>
        </w:rPr>
        <w:t> </w:t>
      </w:r>
      <w:r>
        <w:rPr/>
        <w:t>had</w:t>
      </w:r>
      <w:r>
        <w:rPr>
          <w:spacing w:val="-8"/>
        </w:rPr>
        <w:t> </w:t>
      </w:r>
      <w:r>
        <w:rPr/>
        <w:t>worsened</w:t>
      </w:r>
      <w:r>
        <w:rPr>
          <w:spacing w:val="-8"/>
        </w:rPr>
        <w:t> </w:t>
      </w:r>
      <w:r>
        <w:rPr/>
        <w:t>dramatically</w:t>
      </w:r>
      <w:r>
        <w:rPr>
          <w:spacing w:val="-7"/>
        </w:rPr>
        <w:t> </w:t>
      </w:r>
      <w:r>
        <w:rPr/>
        <w:t>with</w:t>
      </w:r>
      <w:r>
        <w:rPr>
          <w:spacing w:val="-8"/>
        </w:rPr>
        <w:t> </w:t>
      </w:r>
      <w:r>
        <w:rPr/>
        <w:t>the</w:t>
      </w:r>
      <w:r>
        <w:rPr>
          <w:spacing w:val="-8"/>
        </w:rPr>
        <w:t> </w:t>
      </w:r>
      <w:r>
        <w:rPr/>
        <w:t>outbreak</w:t>
      </w:r>
      <w:r>
        <w:rPr>
          <w:spacing w:val="-7"/>
        </w:rPr>
        <w:t> </w:t>
      </w:r>
      <w:r>
        <w:rPr/>
        <w:t>of</w:t>
      </w:r>
      <w:r>
        <w:rPr>
          <w:spacing w:val="-8"/>
        </w:rPr>
        <w:t> </w:t>
      </w:r>
      <w:r>
        <w:rPr/>
        <w:t>the</w:t>
      </w:r>
      <w:r>
        <w:rPr>
          <w:spacing w:val="-8"/>
        </w:rPr>
        <w:t> </w:t>
      </w:r>
      <w:r>
        <w:rPr/>
        <w:t>Asian crisis,</w:t>
      </w:r>
      <w:r>
        <w:rPr>
          <w:spacing w:val="-9"/>
        </w:rPr>
        <w:t> </w:t>
      </w:r>
      <w:r>
        <w:rPr/>
        <w:t>had</w:t>
      </w:r>
      <w:r>
        <w:rPr>
          <w:spacing w:val="-8"/>
        </w:rPr>
        <w:t> </w:t>
      </w:r>
      <w:r>
        <w:rPr/>
        <w:t>returned</w:t>
      </w:r>
      <w:r>
        <w:rPr>
          <w:spacing w:val="-8"/>
        </w:rPr>
        <w:t> </w:t>
      </w:r>
      <w:r>
        <w:rPr/>
        <w:t>to</w:t>
      </w:r>
      <w:r>
        <w:rPr>
          <w:spacing w:val="-9"/>
        </w:rPr>
        <w:t> </w:t>
      </w:r>
      <w:r>
        <w:rPr/>
        <w:t>its</w:t>
      </w:r>
      <w:r>
        <w:rPr>
          <w:spacing w:val="-8"/>
        </w:rPr>
        <w:t> </w:t>
      </w:r>
      <w:r>
        <w:rPr/>
        <w:t>five</w:t>
      </w:r>
      <w:r>
        <w:rPr>
          <w:spacing w:val="-8"/>
        </w:rPr>
        <w:t> </w:t>
      </w:r>
      <w:r>
        <w:rPr/>
        <w:t>year</w:t>
      </w:r>
      <w:r>
        <w:rPr>
          <w:spacing w:val="-8"/>
        </w:rPr>
        <w:t> </w:t>
      </w:r>
      <w:r>
        <w:rPr/>
        <w:t>average</w:t>
      </w:r>
      <w:r>
        <w:rPr>
          <w:spacing w:val="-9"/>
        </w:rPr>
        <w:t> </w:t>
      </w:r>
      <w:r>
        <w:rPr/>
        <w:t>level</w:t>
      </w:r>
      <w:r>
        <w:rPr>
          <w:spacing w:val="-8"/>
        </w:rPr>
        <w:t> </w:t>
      </w:r>
      <w:r>
        <w:rPr/>
        <w:t>over</w:t>
      </w:r>
      <w:r>
        <w:rPr>
          <w:spacing w:val="-8"/>
        </w:rPr>
        <w:t> </w:t>
      </w:r>
      <w:r>
        <w:rPr/>
        <w:t>the</w:t>
      </w:r>
      <w:r>
        <w:rPr>
          <w:spacing w:val="-9"/>
        </w:rPr>
        <w:t> </w:t>
      </w:r>
      <w:r>
        <w:rPr/>
        <w:t>month.</w:t>
      </w:r>
      <w:r>
        <w:rPr>
          <w:spacing w:val="-8"/>
        </w:rPr>
        <w:t> </w:t>
      </w:r>
      <w:r>
        <w:rPr/>
        <w:t>One</w:t>
      </w:r>
      <w:r>
        <w:rPr>
          <w:spacing w:val="-8"/>
        </w:rPr>
        <w:t> </w:t>
      </w:r>
      <w:r>
        <w:rPr/>
        <w:t>possible</w:t>
      </w:r>
      <w:r>
        <w:rPr>
          <w:spacing w:val="-8"/>
        </w:rPr>
        <w:t> </w:t>
      </w:r>
      <w:r>
        <w:rPr/>
        <w:t>explanation</w:t>
      </w:r>
      <w:r>
        <w:rPr>
          <w:spacing w:val="-9"/>
        </w:rPr>
        <w:t> </w:t>
      </w:r>
      <w:r>
        <w:rPr/>
        <w:t>was</w:t>
      </w:r>
      <w:r>
        <w:rPr>
          <w:spacing w:val="-8"/>
        </w:rPr>
        <w:t> </w:t>
      </w:r>
      <w:r>
        <w:rPr/>
        <w:t>that </w:t>
      </w:r>
      <w:r>
        <w:rPr>
          <w:spacing w:val="-3"/>
        </w:rPr>
        <w:t>this reflected reduced concern over Asia, since </w:t>
      </w:r>
      <w:r>
        <w:rPr/>
        <w:t>the </w:t>
      </w:r>
      <w:r>
        <w:rPr>
          <w:spacing w:val="-3"/>
        </w:rPr>
        <w:t>fall </w:t>
      </w:r>
      <w:r>
        <w:rPr/>
        <w:t>had in </w:t>
      </w:r>
      <w:r>
        <w:rPr>
          <w:spacing w:val="-3"/>
        </w:rPr>
        <w:t>part coincided with </w:t>
      </w:r>
      <w:r>
        <w:rPr/>
        <w:t>a </w:t>
      </w:r>
      <w:r>
        <w:rPr>
          <w:spacing w:val="-3"/>
        </w:rPr>
        <w:t>decline in </w:t>
      </w:r>
      <w:r>
        <w:rPr/>
        <w:t>spreads on Korean corporate</w:t>
      </w:r>
      <w:r>
        <w:rPr>
          <w:spacing w:val="8"/>
        </w:rPr>
        <w:t> </w:t>
      </w:r>
      <w:r>
        <w:rPr/>
        <w:t>debt.</w:t>
      </w:r>
    </w:p>
    <w:sectPr>
      <w:pgSz w:w="11900" w:h="16840"/>
      <w:pgMar w:header="733" w:footer="0" w:top="104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080017pt;margin-top:36.62664pt;width:18pt;height:15.3pt;mso-position-horizontal-relative:page;mso-position-vertical-relative:page;z-index:-2520719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320007pt;margin-top:35.666641pt;width:18pt;height:15.3pt;mso-position-horizontal-relative:page;mso-position-vertical-relative:page;z-index:-2520709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63" w:hanging="456"/>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536" w:hanging="456"/>
      </w:pPr>
      <w:rPr>
        <w:rFonts w:hint="default"/>
      </w:rPr>
    </w:lvl>
    <w:lvl w:ilvl="2">
      <w:start w:val="0"/>
      <w:numFmt w:val="bullet"/>
      <w:lvlText w:val="•"/>
      <w:lvlJc w:val="left"/>
      <w:pPr>
        <w:ind w:left="2512" w:hanging="456"/>
      </w:pPr>
      <w:rPr>
        <w:rFonts w:hint="default"/>
      </w:rPr>
    </w:lvl>
    <w:lvl w:ilvl="3">
      <w:start w:val="0"/>
      <w:numFmt w:val="bullet"/>
      <w:lvlText w:val="•"/>
      <w:lvlJc w:val="left"/>
      <w:pPr>
        <w:ind w:left="3488" w:hanging="456"/>
      </w:pPr>
      <w:rPr>
        <w:rFonts w:hint="default"/>
      </w:rPr>
    </w:lvl>
    <w:lvl w:ilvl="4">
      <w:start w:val="0"/>
      <w:numFmt w:val="bullet"/>
      <w:lvlText w:val="•"/>
      <w:lvlJc w:val="left"/>
      <w:pPr>
        <w:ind w:left="4464" w:hanging="456"/>
      </w:pPr>
      <w:rPr>
        <w:rFonts w:hint="default"/>
      </w:rPr>
    </w:lvl>
    <w:lvl w:ilvl="5">
      <w:start w:val="0"/>
      <w:numFmt w:val="bullet"/>
      <w:lvlText w:val="•"/>
      <w:lvlJc w:val="left"/>
      <w:pPr>
        <w:ind w:left="5440" w:hanging="456"/>
      </w:pPr>
      <w:rPr>
        <w:rFonts w:hint="default"/>
      </w:rPr>
    </w:lvl>
    <w:lvl w:ilvl="6">
      <w:start w:val="0"/>
      <w:numFmt w:val="bullet"/>
      <w:lvlText w:val="•"/>
      <w:lvlJc w:val="left"/>
      <w:pPr>
        <w:ind w:left="6416" w:hanging="456"/>
      </w:pPr>
      <w:rPr>
        <w:rFonts w:hint="default"/>
      </w:rPr>
    </w:lvl>
    <w:lvl w:ilvl="7">
      <w:start w:val="0"/>
      <w:numFmt w:val="bullet"/>
      <w:lvlText w:val="•"/>
      <w:lvlJc w:val="left"/>
      <w:pPr>
        <w:ind w:left="7392" w:hanging="456"/>
      </w:pPr>
      <w:rPr>
        <w:rFonts w:hint="default"/>
      </w:rPr>
    </w:lvl>
    <w:lvl w:ilvl="8">
      <w:start w:val="0"/>
      <w:numFmt w:val="bullet"/>
      <w:lvlText w:val="•"/>
      <w:lvlJc w:val="left"/>
      <w:pPr>
        <w:ind w:left="8368" w:hanging="456"/>
      </w:pPr>
      <w:rPr>
        <w:rFonts w:hint="default"/>
      </w:rPr>
    </w:lvl>
  </w:abstractNum>
  <w:abstractNum w:abstractNumId="0">
    <w:multiLevelType w:val="hybridMultilevel"/>
    <w:lvl w:ilvl="0">
      <w:start w:val="1"/>
      <w:numFmt w:val="decimal"/>
      <w:lvlText w:val="%1."/>
      <w:lvlJc w:val="left"/>
      <w:pPr>
        <w:ind w:left="107" w:hanging="399"/>
        <w:jc w:val="left"/>
      </w:pPr>
      <w:rPr>
        <w:rFonts w:hint="default" w:ascii="Times New Roman" w:hAnsi="Times New Roman" w:eastAsia="Times New Roman" w:cs="Times New Roman"/>
        <w:spacing w:val="-2"/>
        <w:w w:val="100"/>
        <w:sz w:val="24"/>
        <w:szCs w:val="24"/>
      </w:rPr>
    </w:lvl>
    <w:lvl w:ilvl="1">
      <w:start w:val="1"/>
      <w:numFmt w:val="upperRoman"/>
      <w:lvlText w:val="%2"/>
      <w:lvlJc w:val="left"/>
      <w:pPr>
        <w:ind w:left="858" w:hanging="219"/>
        <w:jc w:val="left"/>
      </w:pPr>
      <w:rPr>
        <w:rFonts w:hint="default" w:ascii="Times New Roman" w:hAnsi="Times New Roman" w:eastAsia="Times New Roman" w:cs="Times New Roman"/>
        <w:b/>
        <w:bCs/>
        <w:w w:val="99"/>
        <w:sz w:val="24"/>
        <w:szCs w:val="24"/>
      </w:rPr>
    </w:lvl>
    <w:lvl w:ilvl="2">
      <w:start w:val="0"/>
      <w:numFmt w:val="bullet"/>
      <w:lvlText w:val="•"/>
      <w:lvlJc w:val="left"/>
      <w:pPr>
        <w:ind w:left="1911" w:hanging="219"/>
      </w:pPr>
      <w:rPr>
        <w:rFonts w:hint="default"/>
      </w:rPr>
    </w:lvl>
    <w:lvl w:ilvl="3">
      <w:start w:val="0"/>
      <w:numFmt w:val="bullet"/>
      <w:lvlText w:val="•"/>
      <w:lvlJc w:val="left"/>
      <w:pPr>
        <w:ind w:left="2962" w:hanging="219"/>
      </w:pPr>
      <w:rPr>
        <w:rFonts w:hint="default"/>
      </w:rPr>
    </w:lvl>
    <w:lvl w:ilvl="4">
      <w:start w:val="0"/>
      <w:numFmt w:val="bullet"/>
      <w:lvlText w:val="•"/>
      <w:lvlJc w:val="left"/>
      <w:pPr>
        <w:ind w:left="4013" w:hanging="219"/>
      </w:pPr>
      <w:rPr>
        <w:rFonts w:hint="default"/>
      </w:rPr>
    </w:lvl>
    <w:lvl w:ilvl="5">
      <w:start w:val="0"/>
      <w:numFmt w:val="bullet"/>
      <w:lvlText w:val="•"/>
      <w:lvlJc w:val="left"/>
      <w:pPr>
        <w:ind w:left="5064" w:hanging="219"/>
      </w:pPr>
      <w:rPr>
        <w:rFonts w:hint="default"/>
      </w:rPr>
    </w:lvl>
    <w:lvl w:ilvl="6">
      <w:start w:val="0"/>
      <w:numFmt w:val="bullet"/>
      <w:lvlText w:val="•"/>
      <w:lvlJc w:val="left"/>
      <w:pPr>
        <w:ind w:left="6115" w:hanging="219"/>
      </w:pPr>
      <w:rPr>
        <w:rFonts w:hint="default"/>
      </w:rPr>
    </w:lvl>
    <w:lvl w:ilvl="7">
      <w:start w:val="0"/>
      <w:numFmt w:val="bullet"/>
      <w:lvlText w:val="•"/>
      <w:lvlJc w:val="left"/>
      <w:pPr>
        <w:ind w:left="7166" w:hanging="219"/>
      </w:pPr>
      <w:rPr>
        <w:rFonts w:hint="default"/>
      </w:rPr>
    </w:lvl>
    <w:lvl w:ilvl="8">
      <w:start w:val="0"/>
      <w:numFmt w:val="bullet"/>
      <w:lvlText w:val="•"/>
      <w:lvlJc w:val="left"/>
      <w:pPr>
        <w:ind w:left="8217" w:hanging="2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Penny</dc:creator>
  <dc:title>66955.PDF</dc:title>
  <dcterms:created xsi:type="dcterms:W3CDTF">2020-06-02T20:45:49Z</dcterms:created>
  <dcterms:modified xsi:type="dcterms:W3CDTF">2020-06-02T20:45:49Z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