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19 July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227" w:right="3239" w:firstLine="0"/>
        <w:jc w:val="center"/>
        <w:rPr>
          <w:rFonts w:ascii="Palatino Linotype"/>
          <w:b/>
          <w:sz w:val="48"/>
        </w:rPr>
      </w:pPr>
      <w:r>
        <w:rPr>
          <w:rFonts w:ascii="Palatino Linotype"/>
          <w:b/>
          <w:color w:val="231F20"/>
          <w:sz w:val="48"/>
        </w:rPr>
        <w:t>5 and 6 July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5 and 6 July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mpc0007.pdf).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2 and 3 August will be published</w:t>
      </w:r>
      <w:r>
        <w:rPr>
          <w:rFonts w:ascii="Palatino Linotype" w:hAnsi="Palatino Linotype"/>
          <w:color w:val="231F20"/>
          <w:spacing w:val="56"/>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16 August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35" w:lineRule="auto" w:before="104"/>
        <w:ind w:left="265" w:right="978"/>
      </w:pPr>
      <w:r>
        <w:rPr>
          <w:spacing w:val="-4"/>
        </w:rPr>
        <w:t>MINUTES </w:t>
      </w:r>
      <w:r>
        <w:rPr/>
        <w:t>OF </w:t>
      </w:r>
      <w:r>
        <w:rPr>
          <w:spacing w:val="-4"/>
        </w:rPr>
        <w:t>MONETARY POLICY COMMITTEE MEETING HELD</w:t>
      </w:r>
      <w:r>
        <w:rPr>
          <w:spacing w:val="62"/>
        </w:rPr>
        <w:t> </w:t>
      </w:r>
      <w:r>
        <w:rPr/>
        <w:t>ON 5-6 </w:t>
      </w:r>
      <w:r>
        <w:rPr>
          <w:spacing w:val="-3"/>
        </w:rPr>
        <w:t>JULY 2000</w:t>
      </w:r>
    </w:p>
    <w:p>
      <w:pPr>
        <w:pStyle w:val="BodyText"/>
        <w:rPr>
          <w:b/>
          <w:sz w:val="32"/>
        </w:rPr>
      </w:pPr>
    </w:p>
    <w:p>
      <w:pPr>
        <w:pStyle w:val="BodyText"/>
        <w:spacing w:before="6"/>
        <w:rPr>
          <w:b/>
          <w:sz w:val="34"/>
        </w:rPr>
      </w:pPr>
    </w:p>
    <w:p>
      <w:pPr>
        <w:pStyle w:val="ListParagraph"/>
        <w:numPr>
          <w:ilvl w:val="0"/>
          <w:numId w:val="1"/>
        </w:numPr>
        <w:tabs>
          <w:tab w:pos="714" w:val="left" w:leader="none"/>
          <w:tab w:pos="715" w:val="left" w:leader="none"/>
        </w:tabs>
        <w:spacing w:line="357" w:lineRule="auto" w:before="1" w:after="0"/>
        <w:ind w:left="265" w:right="533" w:firstLine="0"/>
        <w:jc w:val="left"/>
        <w:rPr>
          <w:sz w:val="24"/>
        </w:rPr>
      </w:pPr>
      <w:r>
        <w:rPr>
          <w:sz w:val="24"/>
        </w:rPr>
        <w:t>Before turning to its immediate policy decision, the Committee discussed demand and output; the labour market; monetary and financial conditions; the world economy; prices and costs; </w:t>
      </w:r>
      <w:r>
        <w:rPr>
          <w:spacing w:val="-2"/>
          <w:sz w:val="24"/>
        </w:rPr>
        <w:t>and </w:t>
      </w:r>
      <w:r>
        <w:rPr>
          <w:sz w:val="24"/>
        </w:rPr>
        <w:t>any tactical considerations relevant to its</w:t>
      </w:r>
      <w:r>
        <w:rPr>
          <w:spacing w:val="23"/>
          <w:sz w:val="24"/>
        </w:rPr>
        <w:t> </w:t>
      </w:r>
      <w:r>
        <w:rPr>
          <w:sz w:val="24"/>
        </w:rPr>
        <w:t>decision.</w:t>
      </w:r>
    </w:p>
    <w:p>
      <w:pPr>
        <w:pStyle w:val="BodyText"/>
        <w:spacing w:before="3"/>
        <w:rPr>
          <w:sz w:val="32"/>
        </w:rPr>
      </w:pPr>
    </w:p>
    <w:p>
      <w:pPr>
        <w:pStyle w:val="Heading2"/>
        <w:ind w:firstLine="0"/>
      </w:pPr>
      <w:r>
        <w:rPr/>
        <w:t>Demand and output</w:t>
      </w:r>
    </w:p>
    <w:p>
      <w:pPr>
        <w:pStyle w:val="BodyText"/>
        <w:rPr>
          <w:b/>
          <w:sz w:val="26"/>
        </w:rPr>
      </w:pPr>
    </w:p>
    <w:p>
      <w:pPr>
        <w:pStyle w:val="ListParagraph"/>
        <w:numPr>
          <w:ilvl w:val="0"/>
          <w:numId w:val="1"/>
        </w:numPr>
        <w:tabs>
          <w:tab w:pos="714" w:val="left" w:leader="none"/>
          <w:tab w:pos="715" w:val="left" w:leader="none"/>
        </w:tabs>
        <w:spacing w:line="360" w:lineRule="auto" w:before="205" w:after="0"/>
        <w:ind w:left="265" w:right="263" w:firstLine="0"/>
        <w:jc w:val="left"/>
        <w:rPr>
          <w:sz w:val="24"/>
        </w:rPr>
      </w:pPr>
      <w:r>
        <w:rPr>
          <w:sz w:val="24"/>
        </w:rPr>
        <w:t>In the latest National Accounts, the level of real GDP at market prices had been revised up by </w:t>
      </w:r>
      <w:r>
        <w:rPr>
          <w:spacing w:val="-3"/>
          <w:sz w:val="24"/>
        </w:rPr>
        <w:t>0.6% </w:t>
      </w:r>
      <w:r>
        <w:rPr>
          <w:sz w:val="24"/>
        </w:rPr>
        <w:t>in </w:t>
      </w:r>
      <w:r>
        <w:rPr>
          <w:spacing w:val="-3"/>
          <w:sz w:val="24"/>
        </w:rPr>
        <w:t>2000 </w:t>
      </w:r>
      <w:r>
        <w:rPr>
          <w:sz w:val="24"/>
        </w:rPr>
        <w:t>Q1, with the GDP deflator lowered by almost as much. The revisions principally reflected higher figures for household consumption, following the Annual Retailing Inquiry. Most of the </w:t>
      </w:r>
      <w:r>
        <w:rPr>
          <w:spacing w:val="-3"/>
          <w:sz w:val="24"/>
        </w:rPr>
        <w:t>changes </w:t>
      </w:r>
      <w:r>
        <w:rPr>
          <w:sz w:val="24"/>
        </w:rPr>
        <w:t>had </w:t>
      </w:r>
      <w:r>
        <w:rPr>
          <w:spacing w:val="-3"/>
          <w:sz w:val="24"/>
        </w:rPr>
        <w:t>been </w:t>
      </w:r>
      <w:r>
        <w:rPr>
          <w:sz w:val="24"/>
        </w:rPr>
        <w:t>to </w:t>
      </w:r>
      <w:r>
        <w:rPr>
          <w:spacing w:val="-3"/>
          <w:sz w:val="24"/>
        </w:rPr>
        <w:t>growth </w:t>
      </w:r>
      <w:r>
        <w:rPr>
          <w:sz w:val="24"/>
        </w:rPr>
        <w:t>in </w:t>
      </w:r>
      <w:r>
        <w:rPr>
          <w:spacing w:val="-3"/>
          <w:sz w:val="24"/>
        </w:rPr>
        <w:t>1998; indeed real </w:t>
      </w:r>
      <w:r>
        <w:rPr>
          <w:sz w:val="24"/>
        </w:rPr>
        <w:t>GDP in </w:t>
      </w:r>
      <w:r>
        <w:rPr>
          <w:spacing w:val="-3"/>
          <w:sz w:val="24"/>
        </w:rPr>
        <w:t>1998 </w:t>
      </w:r>
      <w:r>
        <w:rPr>
          <w:sz w:val="24"/>
        </w:rPr>
        <w:t>Q4 was now 0.8% higher than earlier estimated. The recent revisions showed quarterly growth peaking in 1999 Q3. The slowdown since then had been marginally more rapid than on the earlier data, but might not continue in</w:t>
      </w:r>
      <w:r>
        <w:rPr>
          <w:spacing w:val="-15"/>
          <w:sz w:val="24"/>
        </w:rPr>
        <w:t> </w:t>
      </w:r>
      <w:r>
        <w:rPr>
          <w:spacing w:val="-2"/>
          <w:sz w:val="24"/>
        </w:rPr>
        <w:t>Q2.</w:t>
      </w:r>
    </w:p>
    <w:p>
      <w:pPr>
        <w:pStyle w:val="BodyText"/>
        <w:spacing w:before="6"/>
        <w:rPr>
          <w:sz w:val="30"/>
        </w:rPr>
      </w:pPr>
    </w:p>
    <w:p>
      <w:pPr>
        <w:pStyle w:val="ListParagraph"/>
        <w:numPr>
          <w:ilvl w:val="0"/>
          <w:numId w:val="1"/>
        </w:numPr>
        <w:tabs>
          <w:tab w:pos="714" w:val="left" w:leader="none"/>
          <w:tab w:pos="715" w:val="left" w:leader="none"/>
        </w:tabs>
        <w:spacing w:line="360" w:lineRule="auto" w:before="0" w:after="0"/>
        <w:ind w:left="265" w:right="427" w:firstLine="0"/>
        <w:jc w:val="left"/>
        <w:rPr>
          <w:sz w:val="24"/>
        </w:rPr>
      </w:pPr>
      <w:r>
        <w:rPr>
          <w:spacing w:val="-3"/>
          <w:sz w:val="24"/>
        </w:rPr>
        <w:t>Upwards revisions </w:t>
      </w:r>
      <w:r>
        <w:rPr>
          <w:sz w:val="24"/>
        </w:rPr>
        <w:t>to the level of GDP might imply </w:t>
      </w:r>
      <w:r>
        <w:rPr>
          <w:spacing w:val="-3"/>
          <w:sz w:val="24"/>
        </w:rPr>
        <w:t>greater pressure </w:t>
      </w:r>
      <w:r>
        <w:rPr>
          <w:sz w:val="24"/>
        </w:rPr>
        <w:t>on </w:t>
      </w:r>
      <w:r>
        <w:rPr>
          <w:spacing w:val="-3"/>
          <w:sz w:val="24"/>
        </w:rPr>
        <w:t>capacity </w:t>
      </w:r>
      <w:r>
        <w:rPr>
          <w:sz w:val="24"/>
        </w:rPr>
        <w:t>in </w:t>
      </w:r>
      <w:r>
        <w:rPr>
          <w:spacing w:val="-3"/>
          <w:sz w:val="24"/>
        </w:rPr>
        <w:t>the </w:t>
      </w:r>
      <w:r>
        <w:rPr>
          <w:sz w:val="24"/>
        </w:rPr>
        <w:t>economy. However, since most of the changes dated back to 1998, and in the absence of other indications of such pressure, it was also possible that the economy’s capacity for non-inflationary growth was higher than previously believed, or that the short-run trade-off between output </w:t>
      </w:r>
      <w:r>
        <w:rPr>
          <w:spacing w:val="-6"/>
          <w:sz w:val="24"/>
        </w:rPr>
        <w:t>and </w:t>
      </w:r>
      <w:r>
        <w:rPr>
          <w:sz w:val="24"/>
        </w:rPr>
        <w:t>inflation was more favourable than indicated by previous data. In practice it was difficult to distinguish between these hypotheses. In accounting terms, measured productivity had improved in line with the increase in estimated output, with the rather puzzling slowdown a couple of years </w:t>
      </w:r>
      <w:r>
        <w:rPr>
          <w:spacing w:val="-2"/>
          <w:sz w:val="24"/>
        </w:rPr>
        <w:t>ago </w:t>
      </w:r>
      <w:r>
        <w:rPr>
          <w:sz w:val="24"/>
        </w:rPr>
        <w:t>now less apparent. Whether this suggested any improvement in trend productivity growth which could be extrapolated into the future was</w:t>
      </w:r>
      <w:r>
        <w:rPr>
          <w:spacing w:val="35"/>
          <w:sz w:val="24"/>
        </w:rPr>
        <w:t> </w:t>
      </w:r>
      <w:r>
        <w:rPr>
          <w:sz w:val="24"/>
        </w:rPr>
        <w:t>unclear.</w:t>
      </w:r>
    </w:p>
    <w:p>
      <w:pPr>
        <w:pStyle w:val="BodyText"/>
        <w:spacing w:before="1"/>
        <w:rPr>
          <w:sz w:val="32"/>
        </w:rPr>
      </w:pPr>
    </w:p>
    <w:p>
      <w:pPr>
        <w:pStyle w:val="ListParagraph"/>
        <w:numPr>
          <w:ilvl w:val="0"/>
          <w:numId w:val="1"/>
        </w:numPr>
        <w:tabs>
          <w:tab w:pos="714" w:val="left" w:leader="none"/>
          <w:tab w:pos="715" w:val="left" w:leader="none"/>
        </w:tabs>
        <w:spacing w:line="360" w:lineRule="auto" w:before="1" w:after="0"/>
        <w:ind w:left="265" w:right="350" w:firstLine="0"/>
        <w:jc w:val="left"/>
        <w:rPr>
          <w:sz w:val="24"/>
        </w:rPr>
      </w:pPr>
      <w:r>
        <w:rPr>
          <w:sz w:val="24"/>
        </w:rPr>
        <w:t>Estimates for GDP </w:t>
      </w:r>
      <w:r>
        <w:rPr>
          <w:spacing w:val="-3"/>
          <w:sz w:val="24"/>
        </w:rPr>
        <w:t>growth </w:t>
      </w:r>
      <w:r>
        <w:rPr>
          <w:sz w:val="24"/>
        </w:rPr>
        <w:t>in </w:t>
      </w:r>
      <w:r>
        <w:rPr>
          <w:spacing w:val="-3"/>
          <w:sz w:val="24"/>
        </w:rPr>
        <w:t>2000 </w:t>
      </w:r>
      <w:r>
        <w:rPr>
          <w:sz w:val="24"/>
        </w:rPr>
        <w:t>Q1 were unchanged, at 0.5% on the quarter, with final domestic demand now thought to have grown by only 0.1%, or by 2.8% on a year earlier, compared </w:t>
      </w:r>
      <w:r>
        <w:rPr>
          <w:spacing w:val="-3"/>
          <w:sz w:val="24"/>
        </w:rPr>
        <w:t>with 4.6% </w:t>
      </w:r>
      <w:r>
        <w:rPr>
          <w:sz w:val="24"/>
        </w:rPr>
        <w:t>in </w:t>
      </w:r>
      <w:r>
        <w:rPr>
          <w:spacing w:val="-3"/>
          <w:sz w:val="24"/>
        </w:rPr>
        <w:t>the year </w:t>
      </w:r>
      <w:r>
        <w:rPr>
          <w:sz w:val="24"/>
        </w:rPr>
        <w:t>to </w:t>
      </w:r>
      <w:r>
        <w:rPr>
          <w:spacing w:val="-3"/>
          <w:sz w:val="24"/>
        </w:rPr>
        <w:t>1999 </w:t>
      </w:r>
      <w:r>
        <w:rPr>
          <w:sz w:val="24"/>
        </w:rPr>
        <w:t>Q4. Quarterly growth in household consumption was still put at 0.6% in Q1, having been revised up in the previous quarter from 1.1% to 1.5%. The household </w:t>
      </w:r>
      <w:r>
        <w:rPr>
          <w:spacing w:val="-2"/>
          <w:sz w:val="24"/>
        </w:rPr>
        <w:t>saving </w:t>
      </w:r>
      <w:r>
        <w:rPr>
          <w:sz w:val="24"/>
        </w:rPr>
        <w:t>ratio, at 3.8% in Q1, was now at its lowest level since 1988 Q3. Investment had been revised down </w:t>
      </w:r>
      <w:r>
        <w:rPr>
          <w:spacing w:val="-3"/>
          <w:sz w:val="24"/>
        </w:rPr>
        <w:t>sharply,</w:t>
      </w:r>
      <w:r>
        <w:rPr>
          <w:spacing w:val="4"/>
          <w:sz w:val="24"/>
        </w:rPr>
        <w:t> </w:t>
      </w:r>
      <w:r>
        <w:rPr>
          <w:sz w:val="24"/>
        </w:rPr>
        <w:t>to</w:t>
      </w:r>
      <w:r>
        <w:rPr>
          <w:spacing w:val="5"/>
          <w:sz w:val="24"/>
        </w:rPr>
        <w:t> </w:t>
      </w:r>
      <w:r>
        <w:rPr>
          <w:spacing w:val="-3"/>
          <w:sz w:val="24"/>
        </w:rPr>
        <w:t>show</w:t>
      </w:r>
      <w:r>
        <w:rPr>
          <w:spacing w:val="4"/>
          <w:sz w:val="24"/>
        </w:rPr>
        <w:t> </w:t>
      </w:r>
      <w:r>
        <w:rPr>
          <w:sz w:val="24"/>
        </w:rPr>
        <w:t>a</w:t>
      </w:r>
      <w:r>
        <w:rPr>
          <w:spacing w:val="5"/>
          <w:sz w:val="24"/>
        </w:rPr>
        <w:t> </w:t>
      </w:r>
      <w:r>
        <w:rPr>
          <w:spacing w:val="-3"/>
          <w:sz w:val="24"/>
        </w:rPr>
        <w:t>fall</w:t>
      </w:r>
      <w:r>
        <w:rPr>
          <w:spacing w:val="4"/>
          <w:sz w:val="24"/>
        </w:rPr>
        <w:t> </w:t>
      </w:r>
      <w:r>
        <w:rPr>
          <w:sz w:val="24"/>
        </w:rPr>
        <w:t>of</w:t>
      </w:r>
      <w:r>
        <w:rPr>
          <w:spacing w:val="5"/>
          <w:sz w:val="24"/>
        </w:rPr>
        <w:t> </w:t>
      </w:r>
      <w:r>
        <w:rPr>
          <w:spacing w:val="-3"/>
          <w:sz w:val="24"/>
        </w:rPr>
        <w:t>more</w:t>
      </w:r>
      <w:r>
        <w:rPr>
          <w:spacing w:val="5"/>
          <w:sz w:val="24"/>
        </w:rPr>
        <w:t> </w:t>
      </w:r>
      <w:r>
        <w:rPr>
          <w:spacing w:val="-3"/>
          <w:sz w:val="24"/>
        </w:rPr>
        <w:t>than</w:t>
      </w:r>
      <w:r>
        <w:rPr>
          <w:spacing w:val="4"/>
          <w:sz w:val="24"/>
        </w:rPr>
        <w:t> </w:t>
      </w:r>
      <w:r>
        <w:rPr>
          <w:sz w:val="24"/>
        </w:rPr>
        <w:t>1%</w:t>
      </w:r>
      <w:r>
        <w:rPr>
          <w:spacing w:val="5"/>
          <w:sz w:val="24"/>
        </w:rPr>
        <w:t> </w:t>
      </w:r>
      <w:r>
        <w:rPr>
          <w:sz w:val="24"/>
        </w:rPr>
        <w:t>in</w:t>
      </w:r>
      <w:r>
        <w:rPr>
          <w:spacing w:val="4"/>
          <w:sz w:val="24"/>
        </w:rPr>
        <w:t> </w:t>
      </w:r>
      <w:r>
        <w:rPr>
          <w:sz w:val="24"/>
        </w:rPr>
        <w:t>Q1.</w:t>
      </w:r>
      <w:r>
        <w:rPr>
          <w:spacing w:val="12"/>
          <w:sz w:val="24"/>
        </w:rPr>
        <w:t> </w:t>
      </w:r>
      <w:r>
        <w:rPr>
          <w:sz w:val="24"/>
        </w:rPr>
        <w:t>The</w:t>
      </w:r>
      <w:r>
        <w:rPr>
          <w:spacing w:val="5"/>
          <w:sz w:val="24"/>
        </w:rPr>
        <w:t> </w:t>
      </w:r>
      <w:r>
        <w:rPr>
          <w:spacing w:val="-3"/>
          <w:sz w:val="24"/>
        </w:rPr>
        <w:t>latest</w:t>
      </w:r>
      <w:r>
        <w:rPr>
          <w:spacing w:val="5"/>
          <w:sz w:val="24"/>
        </w:rPr>
        <w:t> </w:t>
      </w:r>
      <w:r>
        <w:rPr>
          <w:spacing w:val="-3"/>
          <w:sz w:val="24"/>
        </w:rPr>
        <w:t>figures</w:t>
      </w:r>
      <w:r>
        <w:rPr>
          <w:spacing w:val="4"/>
          <w:sz w:val="24"/>
        </w:rPr>
        <w:t> </w:t>
      </w:r>
      <w:r>
        <w:rPr>
          <w:sz w:val="24"/>
        </w:rPr>
        <w:t>for</w:t>
      </w:r>
      <w:r>
        <w:rPr>
          <w:spacing w:val="5"/>
          <w:sz w:val="24"/>
        </w:rPr>
        <w:t> </w:t>
      </w:r>
      <w:r>
        <w:rPr>
          <w:sz w:val="24"/>
        </w:rPr>
        <w:t>net</w:t>
      </w:r>
      <w:r>
        <w:rPr>
          <w:spacing w:val="4"/>
          <w:sz w:val="24"/>
        </w:rPr>
        <w:t> </w:t>
      </w:r>
      <w:r>
        <w:rPr>
          <w:spacing w:val="-3"/>
          <w:sz w:val="24"/>
        </w:rPr>
        <w:t>trade</w:t>
      </w:r>
      <w:r>
        <w:rPr>
          <w:spacing w:val="5"/>
          <w:sz w:val="24"/>
        </w:rPr>
        <w:t> </w:t>
      </w:r>
      <w:r>
        <w:rPr>
          <w:spacing w:val="-3"/>
          <w:sz w:val="24"/>
        </w:rPr>
        <w:t>continued</w:t>
      </w:r>
      <w:r>
        <w:rPr>
          <w:spacing w:val="5"/>
          <w:sz w:val="24"/>
        </w:rPr>
        <w:t> </w:t>
      </w:r>
      <w:r>
        <w:rPr>
          <w:sz w:val="24"/>
        </w:rPr>
        <w:t>to</w:t>
      </w:r>
      <w:r>
        <w:rPr>
          <w:spacing w:val="4"/>
          <w:sz w:val="24"/>
        </w:rPr>
        <w:t> </w:t>
      </w:r>
      <w:r>
        <w:rPr>
          <w:spacing w:val="-3"/>
          <w:sz w:val="24"/>
        </w:rPr>
        <w:t>suggest</w:t>
      </w:r>
      <w:r>
        <w:rPr>
          <w:spacing w:val="5"/>
          <w:sz w:val="24"/>
        </w:rPr>
        <w:t> </w:t>
      </w:r>
      <w:r>
        <w:rPr>
          <w:sz w:val="24"/>
        </w:rPr>
        <w:t>a</w:t>
      </w:r>
    </w:p>
    <w:p>
      <w:pPr>
        <w:spacing w:after="0" w:line="360" w:lineRule="auto"/>
        <w:jc w:val="left"/>
        <w:rPr>
          <w:sz w:val="24"/>
        </w:rPr>
        <w:sectPr>
          <w:pgSz w:w="12240" w:h="15840"/>
          <w:pgMar w:top="1500" w:bottom="280" w:left="1340" w:right="620"/>
        </w:sectPr>
      </w:pPr>
    </w:p>
    <w:p>
      <w:pPr>
        <w:pStyle w:val="BodyText"/>
        <w:spacing w:line="352" w:lineRule="auto" w:before="91"/>
        <w:ind w:left="265"/>
      </w:pPr>
      <w:r>
        <w:rPr/>
        <w:t>positive contribution to growth in Q1, despite the strength of the exchange rate, while government consumption was now estimated to have fallen by 0.6%.</w:t>
      </w:r>
    </w:p>
    <w:p>
      <w:pPr>
        <w:pStyle w:val="BodyText"/>
        <w:spacing w:before="5"/>
        <w:rPr>
          <w:sz w:val="32"/>
        </w:rPr>
      </w:pPr>
    </w:p>
    <w:p>
      <w:pPr>
        <w:pStyle w:val="ListParagraph"/>
        <w:numPr>
          <w:ilvl w:val="0"/>
          <w:numId w:val="1"/>
        </w:numPr>
        <w:tabs>
          <w:tab w:pos="714" w:val="left" w:leader="none"/>
          <w:tab w:pos="715" w:val="left" w:leader="none"/>
        </w:tabs>
        <w:spacing w:line="360" w:lineRule="auto" w:before="0" w:after="0"/>
        <w:ind w:left="265" w:right="323" w:firstLine="0"/>
        <w:jc w:val="left"/>
        <w:rPr>
          <w:sz w:val="24"/>
        </w:rPr>
      </w:pPr>
      <w:r>
        <w:rPr>
          <w:sz w:val="24"/>
        </w:rPr>
        <w:t>The fallback in investment was puzzling, although investment was an inherently volatile series, representing as it did the rate of change in the capital stock. Government and business investment had both fallen in Q1, in particular in transport equipment, although manufacturing investment </w:t>
      </w:r>
      <w:r>
        <w:rPr>
          <w:spacing w:val="-2"/>
          <w:sz w:val="24"/>
        </w:rPr>
        <w:t>had </w:t>
      </w:r>
      <w:r>
        <w:rPr>
          <w:sz w:val="24"/>
        </w:rPr>
        <w:t>risen somewhat for the second quarter in succession after a long period of decline. It was possible that</w:t>
      </w:r>
      <w:r>
        <w:rPr>
          <w:spacing w:val="-4"/>
          <w:sz w:val="24"/>
        </w:rPr>
        <w:t> </w:t>
      </w:r>
      <w:r>
        <w:rPr>
          <w:sz w:val="24"/>
        </w:rPr>
        <w:t>the</w:t>
      </w:r>
      <w:r>
        <w:rPr>
          <w:spacing w:val="-3"/>
          <w:sz w:val="24"/>
        </w:rPr>
        <w:t> </w:t>
      </w:r>
      <w:r>
        <w:rPr>
          <w:sz w:val="24"/>
        </w:rPr>
        <w:t>path</w:t>
      </w:r>
      <w:r>
        <w:rPr>
          <w:spacing w:val="-4"/>
          <w:sz w:val="24"/>
        </w:rPr>
        <w:t> </w:t>
      </w:r>
      <w:r>
        <w:rPr>
          <w:sz w:val="24"/>
        </w:rPr>
        <w:t>of</w:t>
      </w:r>
      <w:r>
        <w:rPr>
          <w:spacing w:val="-3"/>
          <w:sz w:val="24"/>
        </w:rPr>
        <w:t> </w:t>
      </w:r>
      <w:r>
        <w:rPr>
          <w:sz w:val="24"/>
        </w:rPr>
        <w:t>business</w:t>
      </w:r>
      <w:r>
        <w:rPr>
          <w:spacing w:val="-4"/>
          <w:sz w:val="24"/>
        </w:rPr>
        <w:t> </w:t>
      </w:r>
      <w:r>
        <w:rPr>
          <w:sz w:val="24"/>
        </w:rPr>
        <w:t>investment</w:t>
      </w:r>
      <w:r>
        <w:rPr>
          <w:spacing w:val="-3"/>
          <w:sz w:val="24"/>
        </w:rPr>
        <w:t> </w:t>
      </w:r>
      <w:r>
        <w:rPr>
          <w:sz w:val="24"/>
        </w:rPr>
        <w:t>in</w:t>
      </w:r>
      <w:r>
        <w:rPr>
          <w:spacing w:val="-4"/>
          <w:sz w:val="24"/>
        </w:rPr>
        <w:t> </w:t>
      </w:r>
      <w:r>
        <w:rPr>
          <w:sz w:val="24"/>
        </w:rPr>
        <w:t>recent</w:t>
      </w:r>
      <w:r>
        <w:rPr>
          <w:spacing w:val="-3"/>
          <w:sz w:val="24"/>
        </w:rPr>
        <w:t> </w:t>
      </w:r>
      <w:r>
        <w:rPr>
          <w:sz w:val="24"/>
        </w:rPr>
        <w:t>quarters</w:t>
      </w:r>
      <w:r>
        <w:rPr>
          <w:spacing w:val="-4"/>
          <w:sz w:val="24"/>
        </w:rPr>
        <w:t> </w:t>
      </w:r>
      <w:r>
        <w:rPr>
          <w:sz w:val="24"/>
        </w:rPr>
        <w:t>had</w:t>
      </w:r>
      <w:r>
        <w:rPr>
          <w:spacing w:val="-3"/>
          <w:sz w:val="24"/>
        </w:rPr>
        <w:t> </w:t>
      </w:r>
      <w:r>
        <w:rPr>
          <w:sz w:val="24"/>
        </w:rPr>
        <w:t>been</w:t>
      </w:r>
      <w:r>
        <w:rPr>
          <w:spacing w:val="-4"/>
          <w:sz w:val="24"/>
        </w:rPr>
        <w:t> </w:t>
      </w:r>
      <w:r>
        <w:rPr>
          <w:sz w:val="24"/>
        </w:rPr>
        <w:t>influenced</w:t>
      </w:r>
      <w:r>
        <w:rPr>
          <w:spacing w:val="-3"/>
          <w:sz w:val="24"/>
        </w:rPr>
        <w:t> </w:t>
      </w:r>
      <w:r>
        <w:rPr>
          <w:sz w:val="24"/>
        </w:rPr>
        <w:t>by</w:t>
      </w:r>
      <w:r>
        <w:rPr>
          <w:spacing w:val="-4"/>
          <w:sz w:val="24"/>
        </w:rPr>
        <w:t> </w:t>
      </w:r>
      <w:r>
        <w:rPr>
          <w:sz w:val="24"/>
        </w:rPr>
        <w:t>a</w:t>
      </w:r>
      <w:r>
        <w:rPr>
          <w:spacing w:val="-3"/>
          <w:sz w:val="24"/>
        </w:rPr>
        <w:t> </w:t>
      </w:r>
      <w:r>
        <w:rPr>
          <w:sz w:val="24"/>
        </w:rPr>
        <w:t>clustering</w:t>
      </w:r>
      <w:r>
        <w:rPr>
          <w:spacing w:val="-4"/>
          <w:sz w:val="24"/>
        </w:rPr>
        <w:t> </w:t>
      </w:r>
      <w:r>
        <w:rPr>
          <w:sz w:val="24"/>
        </w:rPr>
        <w:t>of</w:t>
      </w:r>
      <w:r>
        <w:rPr>
          <w:spacing w:val="-3"/>
          <w:sz w:val="24"/>
        </w:rPr>
        <w:t> </w:t>
      </w:r>
      <w:r>
        <w:rPr>
          <w:sz w:val="24"/>
        </w:rPr>
        <w:t>projects ahead of the new millennium. On the one hand, the share of investment in GDP had been abnormally high and might revert to more normal levels, especially given the continuing squeeze on margins and low profitability in some sectors. On the other hand, it was noted that the high share of investment might persist if, for example, the relative price of some capital goods – for </w:t>
      </w:r>
      <w:r>
        <w:rPr>
          <w:spacing w:val="-3"/>
          <w:sz w:val="24"/>
        </w:rPr>
        <w:t>instance </w:t>
      </w:r>
      <w:r>
        <w:rPr>
          <w:sz w:val="24"/>
        </w:rPr>
        <w:t>information technology – continued to</w:t>
      </w:r>
      <w:r>
        <w:rPr>
          <w:spacing w:val="-5"/>
          <w:sz w:val="24"/>
        </w:rPr>
        <w:t> </w:t>
      </w:r>
      <w:r>
        <w:rPr>
          <w:sz w:val="24"/>
        </w:rPr>
        <w:t>fall.</w:t>
      </w:r>
    </w:p>
    <w:p>
      <w:pPr>
        <w:pStyle w:val="BodyText"/>
        <w:spacing w:before="4"/>
        <w:rPr>
          <w:sz w:val="31"/>
        </w:rPr>
      </w:pPr>
    </w:p>
    <w:p>
      <w:pPr>
        <w:pStyle w:val="ListParagraph"/>
        <w:numPr>
          <w:ilvl w:val="0"/>
          <w:numId w:val="1"/>
        </w:numPr>
        <w:tabs>
          <w:tab w:pos="714" w:val="left" w:leader="none"/>
          <w:tab w:pos="715" w:val="left" w:leader="none"/>
        </w:tabs>
        <w:spacing w:line="357" w:lineRule="auto" w:before="0" w:after="0"/>
        <w:ind w:left="265" w:right="277" w:firstLine="0"/>
        <w:jc w:val="left"/>
        <w:rPr>
          <w:sz w:val="24"/>
        </w:rPr>
      </w:pPr>
      <w:r>
        <w:rPr>
          <w:sz w:val="24"/>
        </w:rPr>
        <w:t>Stockbuilding had been rather faster than expected in 2000 Q1, but the National Accounts estimates suggested it had fallen in manufacturing, in contrast to the results of a survey by the </w:t>
      </w:r>
      <w:r>
        <w:rPr>
          <w:spacing w:val="-2"/>
          <w:sz w:val="24"/>
        </w:rPr>
        <w:t>Bank’s </w:t>
      </w:r>
      <w:r>
        <w:rPr>
          <w:sz w:val="24"/>
        </w:rPr>
        <w:t>regional Agents. The picture was therefore confused, but in any case stockbuilding was a volatile series which was particularly prone to revision. In Q1 it also included a large (and negative) alignment adjustment, and it would be unwise to put too much weight on the data</w:t>
      </w:r>
      <w:r>
        <w:rPr>
          <w:spacing w:val="18"/>
          <w:sz w:val="24"/>
        </w:rPr>
        <w:t> </w:t>
      </w:r>
      <w:r>
        <w:rPr>
          <w:sz w:val="24"/>
        </w:rPr>
        <w:t>yet.</w:t>
      </w:r>
    </w:p>
    <w:p>
      <w:pPr>
        <w:pStyle w:val="BodyText"/>
        <w:spacing w:before="6"/>
        <w:rPr>
          <w:sz w:val="32"/>
        </w:rPr>
      </w:pPr>
    </w:p>
    <w:p>
      <w:pPr>
        <w:pStyle w:val="ListParagraph"/>
        <w:numPr>
          <w:ilvl w:val="0"/>
          <w:numId w:val="1"/>
        </w:numPr>
        <w:tabs>
          <w:tab w:pos="715" w:val="left" w:leader="none"/>
        </w:tabs>
        <w:spacing w:line="357" w:lineRule="auto" w:before="0" w:after="0"/>
        <w:ind w:left="265" w:right="383" w:firstLine="0"/>
        <w:jc w:val="both"/>
        <w:rPr>
          <w:sz w:val="24"/>
        </w:rPr>
      </w:pPr>
      <w:r>
        <w:rPr>
          <w:sz w:val="24"/>
        </w:rPr>
        <w:t>The net trade picture remained puzzling, although export volume growth appeared to reflect</w:t>
      </w:r>
      <w:r>
        <w:rPr>
          <w:spacing w:val="-27"/>
          <w:sz w:val="24"/>
        </w:rPr>
        <w:t> </w:t>
      </w:r>
      <w:r>
        <w:rPr>
          <w:sz w:val="24"/>
        </w:rPr>
        <w:t>the strength of demand in overseas markets. On the basis of data currently available, however, net trade seemed unlikely to make a positive contribution to GDP growth in 2000</w:t>
      </w:r>
      <w:r>
        <w:rPr>
          <w:spacing w:val="26"/>
          <w:sz w:val="24"/>
        </w:rPr>
        <w:t> </w:t>
      </w:r>
      <w:r>
        <w:rPr>
          <w:spacing w:val="7"/>
          <w:sz w:val="24"/>
        </w:rPr>
        <w:t>Q2.</w:t>
      </w:r>
    </w:p>
    <w:p>
      <w:pPr>
        <w:pStyle w:val="BodyText"/>
        <w:spacing w:before="3"/>
        <w:rPr>
          <w:sz w:val="32"/>
        </w:rPr>
      </w:pPr>
    </w:p>
    <w:p>
      <w:pPr>
        <w:pStyle w:val="ListParagraph"/>
        <w:numPr>
          <w:ilvl w:val="0"/>
          <w:numId w:val="1"/>
        </w:numPr>
        <w:tabs>
          <w:tab w:pos="714" w:val="left" w:leader="none"/>
          <w:tab w:pos="715" w:val="left" w:leader="none"/>
        </w:tabs>
        <w:spacing w:line="357" w:lineRule="auto" w:before="1" w:after="0"/>
        <w:ind w:left="265" w:right="248" w:firstLine="0"/>
        <w:jc w:val="left"/>
        <w:rPr>
          <w:sz w:val="24"/>
        </w:rPr>
      </w:pPr>
      <w:r>
        <w:rPr>
          <w:sz w:val="24"/>
        </w:rPr>
        <w:t>Preliminary indicators for final domestic demand in Q2 suggested rather moderate growth, if </w:t>
      </w:r>
      <w:r>
        <w:rPr>
          <w:spacing w:val="-2"/>
          <w:sz w:val="24"/>
        </w:rPr>
        <w:t>not </w:t>
      </w:r>
      <w:r>
        <w:rPr>
          <w:sz w:val="24"/>
        </w:rPr>
        <w:t>as low as in the </w:t>
      </w:r>
      <w:r>
        <w:rPr>
          <w:spacing w:val="-3"/>
          <w:sz w:val="24"/>
        </w:rPr>
        <w:t>previous quarter. Retail sales volumes </w:t>
      </w:r>
      <w:r>
        <w:rPr>
          <w:sz w:val="24"/>
        </w:rPr>
        <w:t>in May had </w:t>
      </w:r>
      <w:r>
        <w:rPr>
          <w:spacing w:val="-3"/>
          <w:sz w:val="24"/>
        </w:rPr>
        <w:t>risen </w:t>
      </w:r>
      <w:r>
        <w:rPr>
          <w:sz w:val="24"/>
        </w:rPr>
        <w:t>by </w:t>
      </w:r>
      <w:r>
        <w:rPr>
          <w:spacing w:val="-3"/>
          <w:sz w:val="24"/>
        </w:rPr>
        <w:t>less than expected and  </w:t>
      </w:r>
      <w:r>
        <w:rPr>
          <w:sz w:val="24"/>
        </w:rPr>
        <w:t>were now 3½% up on a year earlier, compared with 6.3% in January, when the pattern of spending might have been distorted by millennium-related effects. The CBI Distributive Trades Survey showed the balance on retail sales volumes falling from +45 in May to +15 in June, which was below its </w:t>
      </w:r>
      <w:r>
        <w:rPr>
          <w:spacing w:val="-4"/>
          <w:sz w:val="24"/>
        </w:rPr>
        <w:t>long-run </w:t>
      </w:r>
      <w:r>
        <w:rPr>
          <w:sz w:val="24"/>
        </w:rPr>
        <w:t>average for the first time since October 1999. Consumer confidence, as measured by </w:t>
      </w:r>
      <w:r>
        <w:rPr>
          <w:spacing w:val="-2"/>
          <w:sz w:val="24"/>
        </w:rPr>
        <w:t>the </w:t>
      </w:r>
      <w:r>
        <w:rPr>
          <w:sz w:val="24"/>
        </w:rPr>
        <w:t>GfK survey, had also fallen back, although this might well reflect seasonal</w:t>
      </w:r>
      <w:r>
        <w:rPr>
          <w:spacing w:val="15"/>
          <w:sz w:val="24"/>
        </w:rPr>
        <w:t> </w:t>
      </w:r>
      <w:r>
        <w:rPr>
          <w:sz w:val="24"/>
        </w:rPr>
        <w:t>factors.</w:t>
      </w:r>
    </w:p>
    <w:p>
      <w:pPr>
        <w:spacing w:after="0" w:line="357" w:lineRule="auto"/>
        <w:jc w:val="left"/>
        <w:rPr>
          <w:sz w:val="24"/>
        </w:rPr>
        <w:sectPr>
          <w:headerReference w:type="default" r:id="rId7"/>
          <w:pgSz w:w="12240" w:h="15840"/>
          <w:pgMar w:header="521" w:footer="0" w:top="1500" w:bottom="280" w:left="1340" w:right="620"/>
          <w:pgNumType w:start="2"/>
        </w:sectPr>
      </w:pPr>
    </w:p>
    <w:p>
      <w:pPr>
        <w:pStyle w:val="ListParagraph"/>
        <w:numPr>
          <w:ilvl w:val="0"/>
          <w:numId w:val="1"/>
        </w:numPr>
        <w:tabs>
          <w:tab w:pos="714" w:val="left" w:leader="none"/>
          <w:tab w:pos="715" w:val="left" w:leader="none"/>
        </w:tabs>
        <w:spacing w:line="240" w:lineRule="auto" w:before="91" w:after="0"/>
        <w:ind w:left="715" w:right="0" w:hanging="450"/>
        <w:jc w:val="left"/>
        <w:rPr>
          <w:sz w:val="24"/>
        </w:rPr>
      </w:pPr>
      <w:r>
        <w:rPr>
          <w:sz w:val="24"/>
        </w:rPr>
        <w:t>Recent movement in asset prices might also lead to some moderation in consumption</w:t>
      </w:r>
      <w:r>
        <w:rPr>
          <w:spacing w:val="17"/>
          <w:sz w:val="24"/>
        </w:rPr>
        <w:t> </w:t>
      </w:r>
      <w:r>
        <w:rPr>
          <w:sz w:val="24"/>
        </w:rPr>
        <w:t>growth.</w:t>
      </w:r>
    </w:p>
    <w:p>
      <w:pPr>
        <w:pStyle w:val="BodyText"/>
        <w:spacing w:line="360" w:lineRule="auto" w:before="129"/>
        <w:ind w:left="265" w:right="298"/>
      </w:pPr>
      <w:r>
        <w:rPr/>
        <w:t>In particular, most indices of house prices had decelerated by more than had been expected, with little if any increase in prices reported in the most recent months. The preliminary survey balance</w:t>
      </w:r>
      <w:r>
        <w:rPr>
          <w:spacing w:val="-20"/>
        </w:rPr>
        <w:t> </w:t>
      </w:r>
      <w:r>
        <w:rPr>
          <w:spacing w:val="-2"/>
        </w:rPr>
        <w:t>for </w:t>
      </w:r>
      <w:r>
        <w:rPr/>
        <w:t>house prices produced by the Royal Institute of Chartered Surveyors (RICS) had fallen, on the basis of a 90% sample, from +26 in May to single figures in June, having been at +61 as recently as March. There were some signs that housing activity might be slowing, with the House Builders’ </w:t>
      </w:r>
      <w:r>
        <w:rPr>
          <w:spacing w:val="-3"/>
        </w:rPr>
        <w:t>Federation reporting that </w:t>
      </w:r>
      <w:r>
        <w:rPr/>
        <w:t>net </w:t>
      </w:r>
      <w:r>
        <w:rPr>
          <w:spacing w:val="-3"/>
        </w:rPr>
        <w:t>reservations </w:t>
      </w:r>
      <w:r>
        <w:rPr/>
        <w:t>and </w:t>
      </w:r>
      <w:r>
        <w:rPr>
          <w:spacing w:val="-3"/>
        </w:rPr>
        <w:t>site visits </w:t>
      </w:r>
      <w:r>
        <w:rPr/>
        <w:t>had </w:t>
      </w:r>
      <w:r>
        <w:rPr>
          <w:spacing w:val="-3"/>
        </w:rPr>
        <w:t>fallen </w:t>
      </w:r>
      <w:r>
        <w:rPr/>
        <w:t>in </w:t>
      </w:r>
      <w:r>
        <w:rPr>
          <w:spacing w:val="-3"/>
        </w:rPr>
        <w:t>May, </w:t>
      </w:r>
      <w:r>
        <w:rPr/>
        <w:t>in the </w:t>
      </w:r>
      <w:r>
        <w:rPr>
          <w:spacing w:val="-3"/>
        </w:rPr>
        <w:t>latter case </w:t>
      </w:r>
      <w:r>
        <w:rPr/>
        <w:t>to </w:t>
      </w:r>
      <w:r>
        <w:rPr>
          <w:spacing w:val="-3"/>
        </w:rPr>
        <w:t>the </w:t>
      </w:r>
      <w:r>
        <w:rPr/>
        <w:t>lowest level since August</w:t>
      </w:r>
      <w:r>
        <w:rPr>
          <w:spacing w:val="5"/>
        </w:rPr>
        <w:t> </w:t>
      </w:r>
      <w:r>
        <w:rPr/>
        <w:t>1995.</w:t>
      </w:r>
    </w:p>
    <w:p>
      <w:pPr>
        <w:pStyle w:val="BodyText"/>
        <w:spacing w:before="4"/>
        <w:rPr>
          <w:sz w:val="32"/>
        </w:rPr>
      </w:pPr>
    </w:p>
    <w:p>
      <w:pPr>
        <w:pStyle w:val="ListParagraph"/>
        <w:numPr>
          <w:ilvl w:val="0"/>
          <w:numId w:val="1"/>
        </w:numPr>
        <w:tabs>
          <w:tab w:pos="714" w:val="left" w:leader="none"/>
          <w:tab w:pos="715" w:val="left" w:leader="none"/>
        </w:tabs>
        <w:spacing w:line="357" w:lineRule="auto" w:before="0" w:after="0"/>
        <w:ind w:left="265" w:right="442" w:firstLine="0"/>
        <w:jc w:val="left"/>
        <w:rPr>
          <w:sz w:val="24"/>
        </w:rPr>
      </w:pPr>
      <w:r>
        <w:rPr>
          <w:sz w:val="24"/>
        </w:rPr>
        <w:t>Survey data for manufacturing output suggested a further slowing in growth. The Chartered Institute of Purchasing and Supply (CIPS) survey had fallen to just above the ‘no change’ 50 </w:t>
      </w:r>
      <w:r>
        <w:rPr>
          <w:spacing w:val="-2"/>
          <w:sz w:val="24"/>
        </w:rPr>
        <w:t>level, </w:t>
      </w:r>
      <w:r>
        <w:rPr>
          <w:sz w:val="24"/>
        </w:rPr>
        <w:t>and the output expectations balance was slightly lower in the June CBI survey. The Engineering Employers’ Federation had reported a sharp fall in its output survey, with signs that growth </w:t>
      </w:r>
      <w:r>
        <w:rPr>
          <w:spacing w:val="-2"/>
          <w:sz w:val="24"/>
        </w:rPr>
        <w:t>was </w:t>
      </w:r>
      <w:r>
        <w:rPr>
          <w:sz w:val="24"/>
        </w:rPr>
        <w:t>slowing in parts of the ‘new’ economy. Nevertheless, manufacturing and industrial production</w:t>
      </w:r>
      <w:r>
        <w:rPr>
          <w:spacing w:val="-30"/>
          <w:sz w:val="24"/>
        </w:rPr>
        <w:t> </w:t>
      </w:r>
      <w:r>
        <w:rPr>
          <w:sz w:val="24"/>
        </w:rPr>
        <w:t>data from the Office for National Statistics had been stronger than expected in May, with manufacturing output up 0.4% on the month, and with energy output falling less than expected after April’s strong rise. Both series were around 2% higher than a year earlier, despite sterling’s strength over that period.</w:t>
      </w:r>
    </w:p>
    <w:p>
      <w:pPr>
        <w:pStyle w:val="BodyText"/>
        <w:spacing w:before="11"/>
        <w:rPr>
          <w:sz w:val="32"/>
        </w:rPr>
      </w:pPr>
    </w:p>
    <w:p>
      <w:pPr>
        <w:pStyle w:val="ListParagraph"/>
        <w:numPr>
          <w:ilvl w:val="0"/>
          <w:numId w:val="1"/>
        </w:numPr>
        <w:tabs>
          <w:tab w:pos="714" w:val="left" w:leader="none"/>
          <w:tab w:pos="715" w:val="left" w:leader="none"/>
        </w:tabs>
        <w:spacing w:line="360" w:lineRule="auto" w:before="0" w:after="0"/>
        <w:ind w:left="265" w:right="263" w:firstLine="0"/>
        <w:jc w:val="left"/>
        <w:rPr>
          <w:sz w:val="24"/>
        </w:rPr>
      </w:pPr>
      <w:r>
        <w:rPr>
          <w:sz w:val="24"/>
        </w:rPr>
        <w:t>There were some signs that growth might be moderating elsewhere in the economy, with </w:t>
      </w:r>
      <w:r>
        <w:rPr>
          <w:spacing w:val="-2"/>
          <w:sz w:val="24"/>
        </w:rPr>
        <w:t>the </w:t>
      </w:r>
      <w:r>
        <w:rPr>
          <w:sz w:val="24"/>
        </w:rPr>
        <w:t>business activity index in the CIPS services survey having fallen, as had the CIPS new orders index for construction, although both remained well above the 50 level. The CBI/PriceWaterhouseCoopers measure of optimism in financial services was down sharply, from +36 in March to -6 in June. There were also reports from the Bank’s regional Agents of a slowdown in business travel and road haulage, although financial services, IT and telecommunications remained</w:t>
      </w:r>
      <w:r>
        <w:rPr>
          <w:spacing w:val="18"/>
          <w:sz w:val="24"/>
        </w:rPr>
        <w:t> </w:t>
      </w:r>
      <w:r>
        <w:rPr>
          <w:sz w:val="24"/>
        </w:rPr>
        <w:t>robust.</w:t>
      </w:r>
    </w:p>
    <w:p>
      <w:pPr>
        <w:pStyle w:val="BodyText"/>
        <w:spacing w:before="6"/>
        <w:rPr>
          <w:sz w:val="30"/>
        </w:rPr>
      </w:pPr>
    </w:p>
    <w:p>
      <w:pPr>
        <w:pStyle w:val="ListParagraph"/>
        <w:numPr>
          <w:ilvl w:val="0"/>
          <w:numId w:val="1"/>
        </w:numPr>
        <w:tabs>
          <w:tab w:pos="714" w:val="left" w:leader="none"/>
          <w:tab w:pos="715" w:val="left" w:leader="none"/>
        </w:tabs>
        <w:spacing w:line="360" w:lineRule="auto" w:before="0" w:after="0"/>
        <w:ind w:left="265" w:right="308" w:firstLine="0"/>
        <w:jc w:val="left"/>
        <w:rPr>
          <w:sz w:val="24"/>
        </w:rPr>
      </w:pPr>
      <w:r>
        <w:rPr>
          <w:sz w:val="24"/>
        </w:rPr>
        <w:t>Public spending seemed likely to support growth over the medium term. The Treasury representative said that the government’s three-year spending review would be concluded later in July, and the Committee would be briefed in detail on its contents ahead of its August meeting. At this point it was clear that current spending would grow within the 2½% envelope, and capital spending would rise to 1.8% of GDP as announced in the Budget. There would be a switch away from</w:t>
      </w:r>
      <w:r>
        <w:rPr>
          <w:spacing w:val="-7"/>
          <w:sz w:val="24"/>
        </w:rPr>
        <w:t> </w:t>
      </w:r>
      <w:r>
        <w:rPr>
          <w:sz w:val="24"/>
        </w:rPr>
        <w:t>Annually</w:t>
      </w:r>
      <w:r>
        <w:rPr>
          <w:spacing w:val="-6"/>
          <w:sz w:val="24"/>
        </w:rPr>
        <w:t> </w:t>
      </w:r>
      <w:r>
        <w:rPr>
          <w:sz w:val="24"/>
        </w:rPr>
        <w:t>Managed</w:t>
      </w:r>
      <w:r>
        <w:rPr>
          <w:spacing w:val="-6"/>
          <w:sz w:val="24"/>
        </w:rPr>
        <w:t> </w:t>
      </w:r>
      <w:r>
        <w:rPr>
          <w:sz w:val="24"/>
        </w:rPr>
        <w:t>Expenditure</w:t>
      </w:r>
      <w:r>
        <w:rPr>
          <w:spacing w:val="-5"/>
          <w:sz w:val="24"/>
        </w:rPr>
        <w:t> </w:t>
      </w:r>
      <w:r>
        <w:rPr>
          <w:sz w:val="24"/>
        </w:rPr>
        <w:t>(reflecting</w:t>
      </w:r>
      <w:r>
        <w:rPr>
          <w:spacing w:val="-6"/>
          <w:sz w:val="24"/>
        </w:rPr>
        <w:t> </w:t>
      </w:r>
      <w:r>
        <w:rPr>
          <w:sz w:val="24"/>
        </w:rPr>
        <w:t>lower</w:t>
      </w:r>
      <w:r>
        <w:rPr>
          <w:spacing w:val="-6"/>
          <w:sz w:val="24"/>
        </w:rPr>
        <w:t> </w:t>
      </w:r>
      <w:r>
        <w:rPr>
          <w:sz w:val="24"/>
        </w:rPr>
        <w:t>unemployment</w:t>
      </w:r>
      <w:r>
        <w:rPr>
          <w:spacing w:val="-6"/>
          <w:sz w:val="24"/>
        </w:rPr>
        <w:t> </w:t>
      </w:r>
      <w:r>
        <w:rPr>
          <w:sz w:val="24"/>
        </w:rPr>
        <w:t>and</w:t>
      </w:r>
      <w:r>
        <w:rPr>
          <w:spacing w:val="-6"/>
          <w:sz w:val="24"/>
        </w:rPr>
        <w:t> </w:t>
      </w:r>
      <w:r>
        <w:rPr>
          <w:sz w:val="24"/>
        </w:rPr>
        <w:t>debt</w:t>
      </w:r>
      <w:r>
        <w:rPr>
          <w:spacing w:val="-6"/>
          <w:sz w:val="24"/>
        </w:rPr>
        <w:t> </w:t>
      </w:r>
      <w:r>
        <w:rPr>
          <w:sz w:val="24"/>
        </w:rPr>
        <w:t>interest</w:t>
      </w:r>
      <w:r>
        <w:rPr>
          <w:spacing w:val="-5"/>
          <w:sz w:val="24"/>
        </w:rPr>
        <w:t> </w:t>
      </w:r>
      <w:r>
        <w:rPr>
          <w:sz w:val="24"/>
        </w:rPr>
        <w:t>payments,</w:t>
      </w:r>
      <w:r>
        <w:rPr>
          <w:spacing w:val="-6"/>
          <w:sz w:val="24"/>
        </w:rPr>
        <w:t> </w:t>
      </w:r>
      <w:r>
        <w:rPr>
          <w:sz w:val="24"/>
        </w:rPr>
        <w:t>as a result of lower market interest rates and the decision to use the mobile phone spectrum</w:t>
      </w:r>
      <w:r>
        <w:rPr>
          <w:spacing w:val="7"/>
          <w:sz w:val="24"/>
        </w:rPr>
        <w:t> </w:t>
      </w:r>
      <w:r>
        <w:rPr>
          <w:sz w:val="24"/>
        </w:rPr>
        <w:t>auction</w:t>
      </w:r>
    </w:p>
    <w:p>
      <w:pPr>
        <w:spacing w:after="0" w:line="360" w:lineRule="auto"/>
        <w:jc w:val="left"/>
        <w:rPr>
          <w:sz w:val="24"/>
        </w:rPr>
        <w:sectPr>
          <w:pgSz w:w="12240" w:h="15840"/>
          <w:pgMar w:header="521" w:footer="0" w:top="1500" w:bottom="280" w:left="1340" w:right="620"/>
        </w:sectPr>
      </w:pPr>
    </w:p>
    <w:p>
      <w:pPr>
        <w:pStyle w:val="BodyText"/>
        <w:spacing w:line="357" w:lineRule="auto" w:before="91"/>
        <w:ind w:left="265"/>
      </w:pPr>
      <w:r>
        <w:rPr/>
        <w:t>proceeds to reduce debt) and towards spending subject to Departmental Expenditure Limits. It was unclear how quickly, and to what extent, departmental underspends from earlier years would be reversed, which would slightly change the path of total spending within the Budget envelope.</w:t>
      </w:r>
    </w:p>
    <w:p>
      <w:pPr>
        <w:pStyle w:val="BodyText"/>
        <w:spacing w:before="3"/>
        <w:rPr>
          <w:sz w:val="32"/>
        </w:rPr>
      </w:pPr>
    </w:p>
    <w:p>
      <w:pPr>
        <w:pStyle w:val="ListParagraph"/>
        <w:numPr>
          <w:ilvl w:val="0"/>
          <w:numId w:val="1"/>
        </w:numPr>
        <w:tabs>
          <w:tab w:pos="714" w:val="left" w:leader="none"/>
          <w:tab w:pos="715" w:val="left" w:leader="none"/>
        </w:tabs>
        <w:spacing w:line="357" w:lineRule="auto" w:before="0" w:after="0"/>
        <w:ind w:left="265" w:right="413" w:firstLine="0"/>
        <w:jc w:val="left"/>
        <w:rPr>
          <w:sz w:val="24"/>
        </w:rPr>
      </w:pPr>
      <w:r>
        <w:rPr>
          <w:sz w:val="24"/>
        </w:rPr>
        <w:t>The Committee agreed that some slowing in domestic demand growth had been required; earlier rates had been unsustainable, especially since net trade could not continue to act as a drag on GDP growth for the indefinite future. Prospects for external demand now seemed rather stronger </w:t>
      </w:r>
      <w:r>
        <w:rPr>
          <w:spacing w:val="-3"/>
          <w:sz w:val="24"/>
        </w:rPr>
        <w:t>than they </w:t>
      </w:r>
      <w:r>
        <w:rPr>
          <w:sz w:val="24"/>
        </w:rPr>
        <w:t>had at the </w:t>
      </w:r>
      <w:r>
        <w:rPr>
          <w:spacing w:val="-3"/>
          <w:sz w:val="24"/>
        </w:rPr>
        <w:t>time </w:t>
      </w:r>
      <w:r>
        <w:rPr>
          <w:sz w:val="24"/>
        </w:rPr>
        <w:t>of the May </w:t>
      </w:r>
      <w:r>
        <w:rPr>
          <w:i/>
          <w:sz w:val="24"/>
        </w:rPr>
        <w:t>Inflation Report</w:t>
      </w:r>
      <w:r>
        <w:rPr>
          <w:sz w:val="24"/>
        </w:rPr>
        <w:t>, </w:t>
      </w:r>
      <w:r>
        <w:rPr>
          <w:spacing w:val="-3"/>
          <w:sz w:val="24"/>
        </w:rPr>
        <w:t>following </w:t>
      </w:r>
      <w:r>
        <w:rPr>
          <w:sz w:val="24"/>
        </w:rPr>
        <w:t>the </w:t>
      </w:r>
      <w:r>
        <w:rPr>
          <w:spacing w:val="-3"/>
          <w:sz w:val="24"/>
        </w:rPr>
        <w:t>fall </w:t>
      </w:r>
      <w:r>
        <w:rPr>
          <w:sz w:val="24"/>
        </w:rPr>
        <w:t>in </w:t>
      </w:r>
      <w:r>
        <w:rPr>
          <w:spacing w:val="-3"/>
          <w:sz w:val="24"/>
        </w:rPr>
        <w:t>sterling, </w:t>
      </w:r>
      <w:r>
        <w:rPr>
          <w:sz w:val="24"/>
        </w:rPr>
        <w:t>and so </w:t>
      </w:r>
      <w:r>
        <w:rPr>
          <w:spacing w:val="-3"/>
          <w:sz w:val="24"/>
        </w:rPr>
        <w:t>the </w:t>
      </w:r>
      <w:r>
        <w:rPr>
          <w:sz w:val="24"/>
        </w:rPr>
        <w:t>question was whether domestic demand growth would fall back faster than had been assumed in </w:t>
      </w:r>
      <w:r>
        <w:rPr>
          <w:spacing w:val="-2"/>
          <w:sz w:val="24"/>
        </w:rPr>
        <w:t>the </w:t>
      </w:r>
      <w:r>
        <w:rPr>
          <w:i/>
          <w:sz w:val="24"/>
        </w:rPr>
        <w:t>Report</w:t>
      </w:r>
      <w:r>
        <w:rPr>
          <w:sz w:val="24"/>
        </w:rPr>
        <w:t>. To date, the evidence of a slowdown in the underlying growth of consumption appeared more compelling than for investment, where the Q1 data might have been</w:t>
      </w:r>
      <w:r>
        <w:rPr>
          <w:spacing w:val="21"/>
          <w:sz w:val="24"/>
        </w:rPr>
        <w:t> </w:t>
      </w:r>
      <w:r>
        <w:rPr>
          <w:sz w:val="24"/>
        </w:rPr>
        <w:t>erratic.</w:t>
      </w:r>
    </w:p>
    <w:p>
      <w:pPr>
        <w:pStyle w:val="BodyText"/>
        <w:spacing w:before="8"/>
        <w:rPr>
          <w:sz w:val="32"/>
        </w:rPr>
      </w:pPr>
    </w:p>
    <w:p>
      <w:pPr>
        <w:pStyle w:val="Heading2"/>
        <w:spacing w:before="1"/>
        <w:ind w:firstLine="0"/>
      </w:pPr>
      <w:r>
        <w:rPr/>
        <w:t>The labour market</w:t>
      </w:r>
    </w:p>
    <w:p>
      <w:pPr>
        <w:pStyle w:val="BodyText"/>
        <w:rPr>
          <w:b/>
          <w:sz w:val="26"/>
        </w:rPr>
      </w:pPr>
    </w:p>
    <w:p>
      <w:pPr>
        <w:pStyle w:val="ListParagraph"/>
        <w:numPr>
          <w:ilvl w:val="0"/>
          <w:numId w:val="1"/>
        </w:numPr>
        <w:tabs>
          <w:tab w:pos="714" w:val="left" w:leader="none"/>
          <w:tab w:pos="715" w:val="left" w:leader="none"/>
        </w:tabs>
        <w:spacing w:line="360" w:lineRule="auto" w:before="190" w:after="0"/>
        <w:ind w:left="265" w:right="533" w:firstLine="0"/>
        <w:jc w:val="left"/>
        <w:rPr>
          <w:sz w:val="24"/>
        </w:rPr>
      </w:pPr>
      <w:r>
        <w:rPr>
          <w:sz w:val="24"/>
        </w:rPr>
        <w:t>The Committee discussed the recent surprisingly benign labour market data. According to </w:t>
      </w:r>
      <w:r>
        <w:rPr>
          <w:spacing w:val="-2"/>
          <w:sz w:val="24"/>
        </w:rPr>
        <w:t>the </w:t>
      </w:r>
      <w:r>
        <w:rPr>
          <w:sz w:val="24"/>
        </w:rPr>
        <w:t>Labour Force Survey (LFS), employment had increased by around 110,000 in the three months to April compared with the previous three months (although the increase was less in full-time equivalent terms, at around 60,000). Over the same period, LFS unemployment had fallen</w:t>
      </w:r>
      <w:r>
        <w:rPr>
          <w:spacing w:val="3"/>
          <w:sz w:val="24"/>
        </w:rPr>
        <w:t> </w:t>
      </w:r>
      <w:r>
        <w:rPr>
          <w:sz w:val="24"/>
        </w:rPr>
        <w:t>by</w:t>
      </w:r>
    </w:p>
    <w:p>
      <w:pPr>
        <w:pStyle w:val="BodyText"/>
        <w:spacing w:line="357" w:lineRule="auto" w:before="9"/>
        <w:ind w:left="265" w:right="271"/>
      </w:pPr>
      <w:r>
        <w:rPr/>
        <w:t>0.2 percentage points to 5.7%; the claimant count measure was also lower. But despite this evidence of an apparently tightening labour market, the Average Earnings Index (AEI) showed earnings growth falling sharply, from 5.7% to 5.1% on the three-month ‘headline’ basis, and from 5.2% in the year to March to 4.4% in the year to April.</w:t>
      </w:r>
    </w:p>
    <w:p>
      <w:pPr>
        <w:pStyle w:val="BodyText"/>
        <w:spacing w:before="8"/>
        <w:rPr>
          <w:sz w:val="31"/>
        </w:rPr>
      </w:pPr>
    </w:p>
    <w:p>
      <w:pPr>
        <w:pStyle w:val="ListParagraph"/>
        <w:numPr>
          <w:ilvl w:val="0"/>
          <w:numId w:val="1"/>
        </w:numPr>
        <w:tabs>
          <w:tab w:pos="714" w:val="left" w:leader="none"/>
          <w:tab w:pos="715" w:val="left" w:leader="none"/>
        </w:tabs>
        <w:spacing w:line="360" w:lineRule="auto" w:before="1" w:after="0"/>
        <w:ind w:left="265" w:right="369" w:firstLine="0"/>
        <w:jc w:val="left"/>
        <w:rPr>
          <w:sz w:val="24"/>
        </w:rPr>
      </w:pPr>
      <w:r>
        <w:rPr>
          <w:sz w:val="24"/>
        </w:rPr>
        <w:t>Much of the rise in employment was reflected in a reduction in the numbers of the long-term unemployed and a decline in the inactivity rate. Since 1995 </w:t>
      </w:r>
      <w:r>
        <w:rPr>
          <w:spacing w:val="-3"/>
          <w:sz w:val="24"/>
        </w:rPr>
        <w:t>short-term </w:t>
      </w:r>
      <w:r>
        <w:rPr>
          <w:sz w:val="24"/>
        </w:rPr>
        <w:t>unemployment rates </w:t>
      </w:r>
      <w:r>
        <w:rPr>
          <w:spacing w:val="-2"/>
          <w:sz w:val="24"/>
        </w:rPr>
        <w:t>had </w:t>
      </w:r>
      <w:r>
        <w:rPr>
          <w:sz w:val="24"/>
        </w:rPr>
        <w:t>fallen from around 5% to 4%, while </w:t>
      </w:r>
      <w:r>
        <w:rPr>
          <w:spacing w:val="-4"/>
          <w:sz w:val="24"/>
        </w:rPr>
        <w:t>long-run </w:t>
      </w:r>
      <w:r>
        <w:rPr>
          <w:sz w:val="24"/>
        </w:rPr>
        <w:t>unemployment had declined from nearly 4% to </w:t>
      </w:r>
      <w:r>
        <w:rPr>
          <w:spacing w:val="-9"/>
          <w:sz w:val="24"/>
        </w:rPr>
        <w:t>around </w:t>
      </w:r>
      <w:r>
        <w:rPr>
          <w:sz w:val="24"/>
        </w:rPr>
        <w:t>1½%. This might suggest that the various labour market reforms over this period had increased </w:t>
      </w:r>
      <w:r>
        <w:rPr>
          <w:spacing w:val="-2"/>
          <w:sz w:val="24"/>
        </w:rPr>
        <w:t>the </w:t>
      </w:r>
      <w:r>
        <w:rPr>
          <w:sz w:val="24"/>
        </w:rPr>
        <w:t>supply of those available for work, allowing rather faster employment growth for any given rate of wage inflation. If this pool of labour should become depleted, however, and the short-run unemployment rate dropped steeply, there might be increased pressure on earnings growth. More generally, although changes in employment tended to lag changes in output, the present strength of employment did not suggest that employers expected a sharp slowdown in the</w:t>
      </w:r>
      <w:r>
        <w:rPr>
          <w:spacing w:val="7"/>
          <w:sz w:val="24"/>
        </w:rPr>
        <w:t> </w:t>
      </w:r>
      <w:r>
        <w:rPr>
          <w:sz w:val="24"/>
        </w:rPr>
        <w:t>economy.</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428" w:firstLine="0"/>
        <w:jc w:val="left"/>
        <w:rPr>
          <w:sz w:val="24"/>
        </w:rPr>
      </w:pPr>
      <w:r>
        <w:rPr>
          <w:sz w:val="24"/>
        </w:rPr>
        <w:t>Not all of the quantity indicators for the labour market pointed in the same direction. </w:t>
      </w:r>
      <w:r>
        <w:rPr>
          <w:spacing w:val="-2"/>
          <w:sz w:val="24"/>
        </w:rPr>
        <w:t>The </w:t>
      </w:r>
      <w:r>
        <w:rPr>
          <w:sz w:val="24"/>
        </w:rPr>
        <w:t>Workforce Jobs measure of employment had fallen in Q1, but this was a more volatile series, </w:t>
      </w:r>
      <w:r>
        <w:rPr>
          <w:spacing w:val="-2"/>
          <w:sz w:val="24"/>
        </w:rPr>
        <w:t>and </w:t>
      </w:r>
      <w:r>
        <w:rPr>
          <w:sz w:val="24"/>
        </w:rPr>
        <w:t>was </w:t>
      </w:r>
      <w:r>
        <w:rPr>
          <w:spacing w:val="-3"/>
          <w:sz w:val="24"/>
        </w:rPr>
        <w:t>based </w:t>
      </w:r>
      <w:r>
        <w:rPr>
          <w:sz w:val="24"/>
        </w:rPr>
        <w:t>on a </w:t>
      </w:r>
      <w:r>
        <w:rPr>
          <w:spacing w:val="-3"/>
          <w:sz w:val="24"/>
        </w:rPr>
        <w:t>single day’s sample. </w:t>
      </w:r>
      <w:r>
        <w:rPr>
          <w:sz w:val="24"/>
        </w:rPr>
        <w:t>Total </w:t>
      </w:r>
      <w:r>
        <w:rPr>
          <w:spacing w:val="-3"/>
          <w:sz w:val="24"/>
        </w:rPr>
        <w:t>hours worked </w:t>
      </w:r>
      <w:r>
        <w:rPr>
          <w:sz w:val="24"/>
        </w:rPr>
        <w:t>had </w:t>
      </w:r>
      <w:r>
        <w:rPr>
          <w:spacing w:val="-3"/>
          <w:sz w:val="24"/>
        </w:rPr>
        <w:t>risen </w:t>
      </w:r>
      <w:r>
        <w:rPr>
          <w:sz w:val="24"/>
        </w:rPr>
        <w:t>in </w:t>
      </w:r>
      <w:r>
        <w:rPr>
          <w:spacing w:val="-3"/>
          <w:sz w:val="24"/>
        </w:rPr>
        <w:t>April, </w:t>
      </w:r>
      <w:r>
        <w:rPr>
          <w:sz w:val="24"/>
        </w:rPr>
        <w:t>but </w:t>
      </w:r>
      <w:r>
        <w:rPr>
          <w:spacing w:val="-3"/>
          <w:sz w:val="24"/>
        </w:rPr>
        <w:t>over </w:t>
      </w:r>
      <w:r>
        <w:rPr>
          <w:sz w:val="24"/>
        </w:rPr>
        <w:t>the </w:t>
      </w:r>
      <w:r>
        <w:rPr>
          <w:spacing w:val="-3"/>
          <w:sz w:val="24"/>
        </w:rPr>
        <w:t>past two </w:t>
      </w:r>
      <w:r>
        <w:rPr>
          <w:sz w:val="24"/>
        </w:rPr>
        <w:t>years average hours worked had fallen by around 2% for those in </w:t>
      </w:r>
      <w:r>
        <w:rPr>
          <w:spacing w:val="-5"/>
          <w:sz w:val="24"/>
        </w:rPr>
        <w:t>full-time </w:t>
      </w:r>
      <w:r>
        <w:rPr>
          <w:sz w:val="24"/>
        </w:rPr>
        <w:t>employment, pushing up estimates of the growth in productivity and pay per hour relative to the ‘per head’</w:t>
      </w:r>
      <w:r>
        <w:rPr>
          <w:spacing w:val="-4"/>
          <w:sz w:val="24"/>
        </w:rPr>
        <w:t> </w:t>
      </w:r>
      <w:r>
        <w:rPr>
          <w:sz w:val="24"/>
        </w:rPr>
        <w:t>measures.</w:t>
      </w:r>
    </w:p>
    <w:p>
      <w:pPr>
        <w:pStyle w:val="BodyText"/>
        <w:spacing w:before="5"/>
        <w:rPr>
          <w:sz w:val="32"/>
        </w:rPr>
      </w:pPr>
    </w:p>
    <w:p>
      <w:pPr>
        <w:pStyle w:val="ListParagraph"/>
        <w:numPr>
          <w:ilvl w:val="0"/>
          <w:numId w:val="1"/>
        </w:numPr>
        <w:tabs>
          <w:tab w:pos="714" w:val="left" w:leader="none"/>
          <w:tab w:pos="715" w:val="left" w:leader="none"/>
        </w:tabs>
        <w:spacing w:line="357" w:lineRule="auto" w:before="1" w:after="0"/>
        <w:ind w:left="265" w:right="653" w:firstLine="0"/>
        <w:jc w:val="left"/>
        <w:rPr>
          <w:sz w:val="24"/>
        </w:rPr>
      </w:pPr>
      <w:r>
        <w:rPr>
          <w:sz w:val="24"/>
        </w:rPr>
        <w:t>The Bank’s regional Agents reported little change in skill shortages over the past </w:t>
      </w:r>
      <w:r>
        <w:rPr>
          <w:spacing w:val="-2"/>
          <w:sz w:val="24"/>
        </w:rPr>
        <w:t>month, </w:t>
      </w:r>
      <w:r>
        <w:rPr>
          <w:sz w:val="24"/>
        </w:rPr>
        <w:t>although these remained a concern to many employers. The Recruitment and Employment Confederation suggested that these shortages had intensified in June, but the NatWest SBRT quarterly Small Business Survey indicated an easing over the past two quarters, albeit from</w:t>
      </w:r>
      <w:r>
        <w:rPr>
          <w:spacing w:val="-28"/>
          <w:sz w:val="24"/>
        </w:rPr>
        <w:t> </w:t>
      </w:r>
      <w:r>
        <w:rPr>
          <w:sz w:val="24"/>
        </w:rPr>
        <w:t>rather high levels, and other surveys suggested a largely unchanged</w:t>
      </w:r>
      <w:r>
        <w:rPr>
          <w:spacing w:val="27"/>
          <w:sz w:val="24"/>
        </w:rPr>
        <w:t> </w:t>
      </w:r>
      <w:r>
        <w:rPr>
          <w:sz w:val="24"/>
        </w:rPr>
        <w:t>picture.</w:t>
      </w:r>
    </w:p>
    <w:p>
      <w:pPr>
        <w:pStyle w:val="BodyText"/>
        <w:spacing w:before="5"/>
        <w:rPr>
          <w:sz w:val="32"/>
        </w:rPr>
      </w:pPr>
    </w:p>
    <w:p>
      <w:pPr>
        <w:pStyle w:val="ListParagraph"/>
        <w:numPr>
          <w:ilvl w:val="0"/>
          <w:numId w:val="1"/>
        </w:numPr>
        <w:tabs>
          <w:tab w:pos="714" w:val="left" w:leader="none"/>
          <w:tab w:pos="715" w:val="left" w:leader="none"/>
        </w:tabs>
        <w:spacing w:line="360" w:lineRule="auto" w:before="1" w:after="0"/>
        <w:ind w:left="265" w:right="293" w:firstLine="0"/>
        <w:jc w:val="left"/>
        <w:rPr>
          <w:sz w:val="24"/>
        </w:rPr>
      </w:pPr>
      <w:r>
        <w:rPr>
          <w:sz w:val="24"/>
        </w:rPr>
        <w:t>The AEI data showed an unexpectedly sharp slowing in earnings growth in April. In part this was due to bonus payments, which had reduced earnings by 0.2 percentage points in the year to April, but growth in regular pay had also slowed, from 5.1% in the year to February to 4.4% in </w:t>
      </w:r>
      <w:r>
        <w:rPr>
          <w:spacing w:val="-2"/>
          <w:sz w:val="24"/>
        </w:rPr>
        <w:t>April. </w:t>
      </w:r>
      <w:r>
        <w:rPr>
          <w:sz w:val="24"/>
        </w:rPr>
        <w:t>The most recent data were consistent with the view that the pick-up in earnings around the end of </w:t>
      </w:r>
      <w:r>
        <w:rPr>
          <w:spacing w:val="-2"/>
          <w:sz w:val="24"/>
        </w:rPr>
        <w:t>the </w:t>
      </w:r>
      <w:r>
        <w:rPr>
          <w:sz w:val="24"/>
        </w:rPr>
        <w:t>year might have been even more influenced by bonuses and </w:t>
      </w:r>
      <w:r>
        <w:rPr>
          <w:spacing w:val="-3"/>
          <w:sz w:val="24"/>
        </w:rPr>
        <w:t>millennium-related </w:t>
      </w:r>
      <w:r>
        <w:rPr>
          <w:sz w:val="24"/>
        </w:rPr>
        <w:t>payments than had been thought at the time. The Committee had noted at its previous meetings that the rise in earnings around the </w:t>
      </w:r>
      <w:r>
        <w:rPr>
          <w:spacing w:val="-4"/>
          <w:sz w:val="24"/>
        </w:rPr>
        <w:t>year-end </w:t>
      </w:r>
      <w:r>
        <w:rPr>
          <w:sz w:val="24"/>
        </w:rPr>
        <w:t>might well reflect temporary factors, and therefore needed to be treated with caution; so too did the latest figures. While there seemed to be some news in the recent data, which were lower than assumed in the May </w:t>
      </w:r>
      <w:r>
        <w:rPr>
          <w:i/>
          <w:sz w:val="24"/>
        </w:rPr>
        <w:t>Inflation Report </w:t>
      </w:r>
      <w:r>
        <w:rPr>
          <w:spacing w:val="-3"/>
          <w:sz w:val="24"/>
        </w:rPr>
        <w:t>for 2000 </w:t>
      </w:r>
      <w:r>
        <w:rPr>
          <w:sz w:val="24"/>
        </w:rPr>
        <w:t>Q1, and in all likelihood for Q2, </w:t>
      </w:r>
      <w:r>
        <w:rPr>
          <w:spacing w:val="-2"/>
          <w:sz w:val="24"/>
        </w:rPr>
        <w:t>the </w:t>
      </w:r>
      <w:r>
        <w:rPr>
          <w:i/>
          <w:spacing w:val="-4"/>
          <w:sz w:val="24"/>
        </w:rPr>
        <w:t>Report </w:t>
      </w:r>
      <w:r>
        <w:rPr>
          <w:sz w:val="24"/>
        </w:rPr>
        <w:t>had assumed that earnings growth would fall back quickly and have little impact on inflation two years out. Looking back over the past two years, there now appeared to have been two peaks in earnings</w:t>
      </w:r>
      <w:r>
        <w:rPr>
          <w:spacing w:val="-5"/>
          <w:sz w:val="24"/>
        </w:rPr>
        <w:t> </w:t>
      </w:r>
      <w:r>
        <w:rPr>
          <w:sz w:val="24"/>
        </w:rPr>
        <w:t>growth</w:t>
      </w:r>
      <w:r>
        <w:rPr>
          <w:spacing w:val="-5"/>
          <w:sz w:val="24"/>
        </w:rPr>
        <w:t> </w:t>
      </w:r>
      <w:r>
        <w:rPr>
          <w:sz w:val="24"/>
        </w:rPr>
        <w:t>which</w:t>
      </w:r>
      <w:r>
        <w:rPr>
          <w:spacing w:val="-5"/>
          <w:sz w:val="24"/>
        </w:rPr>
        <w:t> </w:t>
      </w:r>
      <w:r>
        <w:rPr>
          <w:sz w:val="24"/>
        </w:rPr>
        <w:t>had</w:t>
      </w:r>
      <w:r>
        <w:rPr>
          <w:spacing w:val="-5"/>
          <w:sz w:val="24"/>
        </w:rPr>
        <w:t> </w:t>
      </w:r>
      <w:r>
        <w:rPr>
          <w:sz w:val="24"/>
        </w:rPr>
        <w:t>since</w:t>
      </w:r>
      <w:r>
        <w:rPr>
          <w:spacing w:val="-5"/>
          <w:sz w:val="24"/>
        </w:rPr>
        <w:t> </w:t>
      </w:r>
      <w:r>
        <w:rPr>
          <w:sz w:val="24"/>
        </w:rPr>
        <w:t>been</w:t>
      </w:r>
      <w:r>
        <w:rPr>
          <w:spacing w:val="-5"/>
          <w:sz w:val="24"/>
        </w:rPr>
        <w:t> </w:t>
      </w:r>
      <w:r>
        <w:rPr>
          <w:sz w:val="24"/>
        </w:rPr>
        <w:t>reversed,</w:t>
      </w:r>
      <w:r>
        <w:rPr>
          <w:spacing w:val="-5"/>
          <w:sz w:val="24"/>
        </w:rPr>
        <w:t> </w:t>
      </w:r>
      <w:r>
        <w:rPr>
          <w:sz w:val="24"/>
        </w:rPr>
        <w:t>giving</w:t>
      </w:r>
      <w:r>
        <w:rPr>
          <w:spacing w:val="-5"/>
          <w:sz w:val="24"/>
        </w:rPr>
        <w:t> </w:t>
      </w:r>
      <w:r>
        <w:rPr>
          <w:sz w:val="24"/>
        </w:rPr>
        <w:t>a</w:t>
      </w:r>
      <w:r>
        <w:rPr>
          <w:spacing w:val="-4"/>
          <w:sz w:val="24"/>
        </w:rPr>
        <w:t> </w:t>
      </w:r>
      <w:r>
        <w:rPr>
          <w:sz w:val="24"/>
        </w:rPr>
        <w:t>rather</w:t>
      </w:r>
      <w:r>
        <w:rPr>
          <w:spacing w:val="-5"/>
          <w:sz w:val="24"/>
        </w:rPr>
        <w:t> </w:t>
      </w:r>
      <w:r>
        <w:rPr>
          <w:sz w:val="24"/>
        </w:rPr>
        <w:t>flatter</w:t>
      </w:r>
      <w:r>
        <w:rPr>
          <w:spacing w:val="-5"/>
          <w:sz w:val="24"/>
        </w:rPr>
        <w:t> </w:t>
      </w:r>
      <w:r>
        <w:rPr>
          <w:sz w:val="24"/>
        </w:rPr>
        <w:t>picture</w:t>
      </w:r>
      <w:r>
        <w:rPr>
          <w:spacing w:val="-5"/>
          <w:sz w:val="24"/>
        </w:rPr>
        <w:t> </w:t>
      </w:r>
      <w:r>
        <w:rPr>
          <w:sz w:val="24"/>
        </w:rPr>
        <w:t>for</w:t>
      </w:r>
      <w:r>
        <w:rPr>
          <w:spacing w:val="-5"/>
          <w:sz w:val="24"/>
        </w:rPr>
        <w:t> </w:t>
      </w:r>
      <w:r>
        <w:rPr>
          <w:sz w:val="24"/>
        </w:rPr>
        <w:t>underlying</w:t>
      </w:r>
      <w:r>
        <w:rPr>
          <w:spacing w:val="-5"/>
          <w:sz w:val="24"/>
        </w:rPr>
        <w:t> </w:t>
      </w:r>
      <w:r>
        <w:rPr>
          <w:sz w:val="24"/>
        </w:rPr>
        <w:t>earnings growth than the steady increase seen from 1995 to</w:t>
      </w:r>
      <w:r>
        <w:rPr>
          <w:spacing w:val="45"/>
          <w:sz w:val="24"/>
        </w:rPr>
        <w:t> </w:t>
      </w:r>
      <w:r>
        <w:rPr>
          <w:sz w:val="24"/>
        </w:rPr>
        <w:t>1998.</w:t>
      </w:r>
    </w:p>
    <w:p>
      <w:pPr>
        <w:pStyle w:val="BodyText"/>
        <w:spacing w:before="3"/>
        <w:rPr>
          <w:sz w:val="30"/>
        </w:rPr>
      </w:pPr>
    </w:p>
    <w:p>
      <w:pPr>
        <w:pStyle w:val="ListParagraph"/>
        <w:numPr>
          <w:ilvl w:val="0"/>
          <w:numId w:val="1"/>
        </w:numPr>
        <w:tabs>
          <w:tab w:pos="714" w:val="left" w:leader="none"/>
          <w:tab w:pos="715" w:val="left" w:leader="none"/>
        </w:tabs>
        <w:spacing w:line="362" w:lineRule="auto" w:before="0" w:after="0"/>
        <w:ind w:left="265" w:right="278" w:firstLine="0"/>
        <w:jc w:val="left"/>
        <w:rPr>
          <w:sz w:val="24"/>
        </w:rPr>
      </w:pPr>
      <w:r>
        <w:rPr>
          <w:sz w:val="24"/>
        </w:rPr>
        <w:t>As usual, there were relatively few new pay settlements in May. There continued to be reports that the pay round this year might be more difficult with RPIX and, more particularly, RPI increasing </w:t>
      </w:r>
      <w:r>
        <w:rPr>
          <w:spacing w:val="-3"/>
          <w:sz w:val="24"/>
        </w:rPr>
        <w:t>more rapidly than last year, </w:t>
      </w:r>
      <w:r>
        <w:rPr>
          <w:sz w:val="24"/>
        </w:rPr>
        <w:t>and the </w:t>
      </w:r>
      <w:r>
        <w:rPr>
          <w:spacing w:val="-3"/>
          <w:sz w:val="24"/>
        </w:rPr>
        <w:t>labour market remaining tight.   </w:t>
      </w:r>
      <w:r>
        <w:rPr>
          <w:sz w:val="24"/>
        </w:rPr>
        <w:t>But as yet </w:t>
      </w:r>
      <w:r>
        <w:rPr>
          <w:spacing w:val="-3"/>
          <w:sz w:val="24"/>
        </w:rPr>
        <w:t>there </w:t>
      </w:r>
      <w:r>
        <w:rPr>
          <w:sz w:val="24"/>
        </w:rPr>
        <w:t>was </w:t>
      </w:r>
      <w:r>
        <w:rPr>
          <w:spacing w:val="-3"/>
          <w:sz w:val="24"/>
        </w:rPr>
        <w:t>little   evidence </w:t>
      </w:r>
      <w:r>
        <w:rPr>
          <w:sz w:val="24"/>
        </w:rPr>
        <w:t>of </w:t>
      </w:r>
      <w:r>
        <w:rPr>
          <w:spacing w:val="-3"/>
          <w:sz w:val="24"/>
        </w:rPr>
        <w:t>this </w:t>
      </w:r>
      <w:r>
        <w:rPr>
          <w:sz w:val="24"/>
        </w:rPr>
        <w:t>in the twelve-month numbers, although on a </w:t>
      </w:r>
      <w:r>
        <w:rPr>
          <w:spacing w:val="-3"/>
          <w:sz w:val="24"/>
        </w:rPr>
        <w:t>three-month </w:t>
      </w:r>
      <w:r>
        <w:rPr>
          <w:sz w:val="24"/>
        </w:rPr>
        <w:t>basis settlements were no longer below</w:t>
      </w:r>
      <w:r>
        <w:rPr>
          <w:spacing w:val="-5"/>
          <w:sz w:val="24"/>
        </w:rPr>
        <w:t> </w:t>
      </w:r>
      <w:r>
        <w:rPr>
          <w:spacing w:val="-2"/>
          <w:sz w:val="24"/>
        </w:rPr>
        <w:t>3%.</w:t>
      </w:r>
    </w:p>
    <w:p>
      <w:pPr>
        <w:spacing w:after="0" w:line="362"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473" w:firstLine="0"/>
        <w:jc w:val="left"/>
        <w:rPr>
          <w:sz w:val="24"/>
        </w:rPr>
      </w:pPr>
      <w:r>
        <w:rPr>
          <w:sz w:val="24"/>
        </w:rPr>
        <w:t>Productivity</w:t>
      </w:r>
      <w:r>
        <w:rPr>
          <w:spacing w:val="-4"/>
          <w:sz w:val="24"/>
        </w:rPr>
        <w:t> </w:t>
      </w:r>
      <w:r>
        <w:rPr>
          <w:sz w:val="24"/>
        </w:rPr>
        <w:t>growth</w:t>
      </w:r>
      <w:r>
        <w:rPr>
          <w:spacing w:val="-4"/>
          <w:sz w:val="24"/>
        </w:rPr>
        <w:t> </w:t>
      </w:r>
      <w:r>
        <w:rPr>
          <w:sz w:val="24"/>
        </w:rPr>
        <w:t>per</w:t>
      </w:r>
      <w:r>
        <w:rPr>
          <w:spacing w:val="-4"/>
          <w:sz w:val="24"/>
        </w:rPr>
        <w:t> </w:t>
      </w:r>
      <w:r>
        <w:rPr>
          <w:sz w:val="24"/>
        </w:rPr>
        <w:t>head</w:t>
      </w:r>
      <w:r>
        <w:rPr>
          <w:spacing w:val="-4"/>
          <w:sz w:val="24"/>
        </w:rPr>
        <w:t> </w:t>
      </w:r>
      <w:r>
        <w:rPr>
          <w:sz w:val="24"/>
        </w:rPr>
        <w:t>based</w:t>
      </w:r>
      <w:r>
        <w:rPr>
          <w:spacing w:val="-4"/>
          <w:sz w:val="24"/>
        </w:rPr>
        <w:t> </w:t>
      </w:r>
      <w:r>
        <w:rPr>
          <w:sz w:val="24"/>
        </w:rPr>
        <w:t>on</w:t>
      </w:r>
      <w:r>
        <w:rPr>
          <w:spacing w:val="-4"/>
          <w:sz w:val="24"/>
        </w:rPr>
        <w:t> </w:t>
      </w:r>
      <w:r>
        <w:rPr>
          <w:sz w:val="24"/>
        </w:rPr>
        <w:t>the</w:t>
      </w:r>
      <w:r>
        <w:rPr>
          <w:spacing w:val="-4"/>
          <w:sz w:val="24"/>
        </w:rPr>
        <w:t> </w:t>
      </w:r>
      <w:r>
        <w:rPr>
          <w:sz w:val="24"/>
        </w:rPr>
        <w:t>Workforce</w:t>
      </w:r>
      <w:r>
        <w:rPr>
          <w:spacing w:val="-4"/>
          <w:sz w:val="24"/>
        </w:rPr>
        <w:t> </w:t>
      </w:r>
      <w:r>
        <w:rPr>
          <w:sz w:val="24"/>
        </w:rPr>
        <w:t>Jobs</w:t>
      </w:r>
      <w:r>
        <w:rPr>
          <w:spacing w:val="-4"/>
          <w:sz w:val="24"/>
        </w:rPr>
        <w:t> </w:t>
      </w:r>
      <w:r>
        <w:rPr>
          <w:sz w:val="24"/>
        </w:rPr>
        <w:t>numbers</w:t>
      </w:r>
      <w:r>
        <w:rPr>
          <w:spacing w:val="-4"/>
          <w:sz w:val="24"/>
        </w:rPr>
        <w:t> </w:t>
      </w:r>
      <w:r>
        <w:rPr>
          <w:sz w:val="24"/>
        </w:rPr>
        <w:t>was</w:t>
      </w:r>
      <w:r>
        <w:rPr>
          <w:spacing w:val="-4"/>
          <w:sz w:val="24"/>
        </w:rPr>
        <w:t> </w:t>
      </w:r>
      <w:r>
        <w:rPr>
          <w:sz w:val="24"/>
        </w:rPr>
        <w:t>now</w:t>
      </w:r>
      <w:r>
        <w:rPr>
          <w:spacing w:val="-4"/>
          <w:sz w:val="24"/>
        </w:rPr>
        <w:t> </w:t>
      </w:r>
      <w:r>
        <w:rPr>
          <w:sz w:val="24"/>
        </w:rPr>
        <w:t>somewhat</w:t>
      </w:r>
      <w:r>
        <w:rPr>
          <w:spacing w:val="-4"/>
          <w:sz w:val="24"/>
        </w:rPr>
        <w:t> </w:t>
      </w:r>
      <w:r>
        <w:rPr>
          <w:sz w:val="24"/>
        </w:rPr>
        <w:t>above its previous trend, at 2.2%, with unit labour costs growing at just below 3%. But using </w:t>
      </w:r>
      <w:r>
        <w:rPr>
          <w:spacing w:val="-2"/>
          <w:sz w:val="24"/>
        </w:rPr>
        <w:t>LFS </w:t>
      </w:r>
      <w:r>
        <w:rPr>
          <w:sz w:val="24"/>
        </w:rPr>
        <w:t>employment figures, growth in productivity per head was lower, at 1.7%. The share of labour in national income had continued to rise, although this seemed to be flattening off a little and had </w:t>
      </w:r>
      <w:r>
        <w:rPr>
          <w:spacing w:val="-2"/>
          <w:sz w:val="24"/>
        </w:rPr>
        <w:t>not </w:t>
      </w:r>
      <w:r>
        <w:rPr>
          <w:sz w:val="24"/>
        </w:rPr>
        <w:t>yet reached its early 1990s</w:t>
      </w:r>
      <w:r>
        <w:rPr>
          <w:spacing w:val="17"/>
          <w:sz w:val="24"/>
        </w:rPr>
        <w:t> </w:t>
      </w:r>
      <w:r>
        <w:rPr>
          <w:sz w:val="24"/>
        </w:rPr>
        <w:t>peak.</w:t>
      </w:r>
    </w:p>
    <w:p>
      <w:pPr>
        <w:pStyle w:val="BodyText"/>
        <w:spacing w:before="5"/>
        <w:rPr>
          <w:sz w:val="32"/>
        </w:rPr>
      </w:pPr>
    </w:p>
    <w:p>
      <w:pPr>
        <w:pStyle w:val="Heading2"/>
        <w:spacing w:before="1"/>
        <w:ind w:firstLine="0"/>
      </w:pPr>
      <w:r>
        <w:rPr/>
        <w:t>Monetary and financial conditions</w:t>
      </w:r>
    </w:p>
    <w:p>
      <w:pPr>
        <w:pStyle w:val="BodyText"/>
        <w:rPr>
          <w:b/>
          <w:sz w:val="26"/>
        </w:rPr>
      </w:pPr>
    </w:p>
    <w:p>
      <w:pPr>
        <w:pStyle w:val="ListParagraph"/>
        <w:numPr>
          <w:ilvl w:val="0"/>
          <w:numId w:val="1"/>
        </w:numPr>
        <w:tabs>
          <w:tab w:pos="714" w:val="left" w:leader="none"/>
          <w:tab w:pos="715" w:val="left" w:leader="none"/>
        </w:tabs>
        <w:spacing w:line="360" w:lineRule="auto" w:before="190" w:after="0"/>
        <w:ind w:left="265" w:right="743" w:firstLine="0"/>
        <w:jc w:val="left"/>
        <w:rPr>
          <w:sz w:val="24"/>
        </w:rPr>
      </w:pPr>
      <w:r>
        <w:rPr>
          <w:spacing w:val="-3"/>
          <w:sz w:val="24"/>
        </w:rPr>
        <w:t>Notes </w:t>
      </w:r>
      <w:r>
        <w:rPr>
          <w:sz w:val="24"/>
        </w:rPr>
        <w:t>and </w:t>
      </w:r>
      <w:r>
        <w:rPr>
          <w:spacing w:val="-3"/>
          <w:sz w:val="24"/>
        </w:rPr>
        <w:t>coin </w:t>
      </w:r>
      <w:r>
        <w:rPr>
          <w:sz w:val="24"/>
        </w:rPr>
        <w:t>had </w:t>
      </w:r>
      <w:r>
        <w:rPr>
          <w:spacing w:val="-3"/>
          <w:sz w:val="24"/>
        </w:rPr>
        <w:t>grown </w:t>
      </w:r>
      <w:r>
        <w:rPr>
          <w:sz w:val="24"/>
        </w:rPr>
        <w:t>by 7½% in the </w:t>
      </w:r>
      <w:r>
        <w:rPr>
          <w:spacing w:val="-3"/>
          <w:sz w:val="24"/>
        </w:rPr>
        <w:t>year </w:t>
      </w:r>
      <w:r>
        <w:rPr>
          <w:sz w:val="24"/>
        </w:rPr>
        <w:t>to </w:t>
      </w:r>
      <w:r>
        <w:rPr>
          <w:spacing w:val="-3"/>
          <w:sz w:val="24"/>
        </w:rPr>
        <w:t>June, with growth </w:t>
      </w:r>
      <w:r>
        <w:rPr>
          <w:sz w:val="24"/>
        </w:rPr>
        <w:t>now </w:t>
      </w:r>
      <w:r>
        <w:rPr>
          <w:spacing w:val="-3"/>
          <w:sz w:val="24"/>
        </w:rPr>
        <w:t>clearly below the </w:t>
      </w:r>
      <w:r>
        <w:rPr>
          <w:sz w:val="24"/>
        </w:rPr>
        <w:t>underlying 8-9% range seen since November 1999. The three-month annualised rate was a little lower, at just below 7%. Such a slowdown in narrow money growth could be consistent with a </w:t>
      </w:r>
      <w:r>
        <w:rPr>
          <w:spacing w:val="-3"/>
          <w:sz w:val="24"/>
        </w:rPr>
        <w:t>moderation </w:t>
      </w:r>
      <w:r>
        <w:rPr>
          <w:sz w:val="24"/>
        </w:rPr>
        <w:t>in </w:t>
      </w:r>
      <w:r>
        <w:rPr>
          <w:spacing w:val="-3"/>
          <w:sz w:val="24"/>
        </w:rPr>
        <w:t>nominal retail sales</w:t>
      </w:r>
      <w:r>
        <w:rPr>
          <w:spacing w:val="39"/>
          <w:sz w:val="24"/>
        </w:rPr>
        <w:t> </w:t>
      </w:r>
      <w:r>
        <w:rPr>
          <w:spacing w:val="-3"/>
          <w:sz w:val="24"/>
        </w:rPr>
        <w:t>growth.</w:t>
      </w:r>
    </w:p>
    <w:p>
      <w:pPr>
        <w:pStyle w:val="BodyText"/>
        <w:spacing w:before="1"/>
        <w:rPr>
          <w:sz w:val="32"/>
        </w:rPr>
      </w:pPr>
    </w:p>
    <w:p>
      <w:pPr>
        <w:pStyle w:val="ListParagraph"/>
        <w:numPr>
          <w:ilvl w:val="0"/>
          <w:numId w:val="1"/>
        </w:numPr>
        <w:tabs>
          <w:tab w:pos="714" w:val="left" w:leader="none"/>
          <w:tab w:pos="715" w:val="left" w:leader="none"/>
        </w:tabs>
        <w:spacing w:line="357" w:lineRule="auto" w:before="0" w:after="0"/>
        <w:ind w:left="265" w:right="412" w:firstLine="0"/>
        <w:jc w:val="left"/>
        <w:rPr>
          <w:sz w:val="24"/>
        </w:rPr>
      </w:pPr>
      <w:r>
        <w:rPr>
          <w:sz w:val="24"/>
        </w:rPr>
        <w:t>A rather different picture emerged from the figures for M4 lending. While household M4 </w:t>
      </w:r>
      <w:r>
        <w:rPr>
          <w:spacing w:val="-2"/>
          <w:sz w:val="24"/>
        </w:rPr>
        <w:t>had </w:t>
      </w:r>
      <w:r>
        <w:rPr>
          <w:sz w:val="24"/>
        </w:rPr>
        <w:t>been weak in May, M4 lending to households had continued to grow by around 10% on a year earlier. Growth in both secured and unsecured borrowing had increased, with the number of mortgage approvals also higher over the month. As a result of the new set of National Accounts, estimates of mortgage equity withdrawal had been revised up to £2.3 billion in Q1, but total lending for consumption, which included unsecured lending as well as mortgage equity withdrawal, </w:t>
      </w:r>
      <w:r>
        <w:rPr>
          <w:spacing w:val="-2"/>
          <w:sz w:val="24"/>
        </w:rPr>
        <w:t>had </w:t>
      </w:r>
      <w:r>
        <w:rPr>
          <w:sz w:val="24"/>
        </w:rPr>
        <w:t>nevertheless slowed since the second half of</w:t>
      </w:r>
      <w:r>
        <w:rPr>
          <w:spacing w:val="28"/>
          <w:sz w:val="24"/>
        </w:rPr>
        <w:t> </w:t>
      </w:r>
      <w:r>
        <w:rPr>
          <w:sz w:val="24"/>
        </w:rPr>
        <w:t>1999.</w:t>
      </w:r>
    </w:p>
    <w:p>
      <w:pPr>
        <w:pStyle w:val="BodyText"/>
        <w:spacing w:before="8"/>
        <w:rPr>
          <w:sz w:val="32"/>
        </w:rPr>
      </w:pPr>
    </w:p>
    <w:p>
      <w:pPr>
        <w:pStyle w:val="ListParagraph"/>
        <w:numPr>
          <w:ilvl w:val="0"/>
          <w:numId w:val="1"/>
        </w:numPr>
        <w:tabs>
          <w:tab w:pos="714" w:val="left" w:leader="none"/>
          <w:tab w:pos="715" w:val="left" w:leader="none"/>
        </w:tabs>
        <w:spacing w:line="360" w:lineRule="auto" w:before="0" w:after="0"/>
        <w:ind w:left="265" w:right="322" w:firstLine="0"/>
        <w:jc w:val="left"/>
        <w:rPr>
          <w:sz w:val="24"/>
        </w:rPr>
      </w:pPr>
      <w:r>
        <w:rPr>
          <w:sz w:val="24"/>
        </w:rPr>
        <w:t>Although there had been no further acceleration in household borrowing over the past </w:t>
      </w:r>
      <w:r>
        <w:rPr>
          <w:spacing w:val="-2"/>
          <w:sz w:val="24"/>
        </w:rPr>
        <w:t>few </w:t>
      </w:r>
      <w:r>
        <w:rPr>
          <w:sz w:val="24"/>
        </w:rPr>
        <w:t>months, its continuing strength raised doubts about the extent of the slowdown in consumption. </w:t>
      </w:r>
      <w:r>
        <w:rPr>
          <w:spacing w:val="-2"/>
          <w:sz w:val="24"/>
        </w:rPr>
        <w:t>The </w:t>
      </w:r>
      <w:r>
        <w:rPr>
          <w:sz w:val="24"/>
        </w:rPr>
        <w:t>financial balance for households was now in deficit, and at its lowest levels since the late </w:t>
      </w:r>
      <w:r>
        <w:rPr>
          <w:spacing w:val="-2"/>
          <w:sz w:val="24"/>
        </w:rPr>
        <w:t>1980s; </w:t>
      </w:r>
      <w:r>
        <w:rPr>
          <w:sz w:val="24"/>
        </w:rPr>
        <w:t>gearing measures were, however, rather low, with income gearing reflecting relatively low interest rates and capital gearing the sharp increase in wealth in recent years. While household borrowing might increase if the economy slowed suddenly, this would usually be in response to </w:t>
      </w:r>
      <w:r>
        <w:rPr>
          <w:spacing w:val="-2"/>
          <w:sz w:val="24"/>
        </w:rPr>
        <w:t>higher </w:t>
      </w:r>
      <w:r>
        <w:rPr>
          <w:sz w:val="24"/>
        </w:rPr>
        <w:t>unemployment; ‘distress borrowing’ of this type did not seem to be significant at present. It </w:t>
      </w:r>
      <w:r>
        <w:rPr>
          <w:spacing w:val="-2"/>
          <w:sz w:val="24"/>
        </w:rPr>
        <w:t>was </w:t>
      </w:r>
      <w:r>
        <w:rPr>
          <w:sz w:val="24"/>
        </w:rPr>
        <w:t>possible that some borrowing might have been on the basis of expected increases in wealth, either in equities or (more especially) housing, which might not now materialise; surveys on house prices </w:t>
      </w:r>
      <w:r>
        <w:rPr>
          <w:spacing w:val="-2"/>
          <w:sz w:val="24"/>
        </w:rPr>
        <w:t>and </w:t>
      </w:r>
      <w:r>
        <w:rPr>
          <w:sz w:val="24"/>
        </w:rPr>
        <w:t>housing market activity increasingly suggested that the peak in growth had now</w:t>
      </w:r>
      <w:r>
        <w:rPr>
          <w:spacing w:val="36"/>
          <w:sz w:val="24"/>
        </w:rPr>
        <w:t> </w:t>
      </w:r>
      <w:r>
        <w:rPr>
          <w:sz w:val="24"/>
        </w:rPr>
        <w:t>passed.</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338" w:firstLine="0"/>
        <w:jc w:val="left"/>
        <w:rPr>
          <w:sz w:val="24"/>
        </w:rPr>
      </w:pPr>
      <w:r>
        <w:rPr>
          <w:sz w:val="24"/>
        </w:rPr>
        <w:t>The </w:t>
      </w:r>
      <w:r>
        <w:rPr>
          <w:spacing w:val="-3"/>
          <w:sz w:val="24"/>
        </w:rPr>
        <w:t>Committee noted that since February, when </w:t>
      </w:r>
      <w:r>
        <w:rPr>
          <w:sz w:val="24"/>
        </w:rPr>
        <w:t>it had </w:t>
      </w:r>
      <w:r>
        <w:rPr>
          <w:spacing w:val="-3"/>
          <w:sz w:val="24"/>
        </w:rPr>
        <w:t>last raised </w:t>
      </w:r>
      <w:r>
        <w:rPr>
          <w:sz w:val="24"/>
        </w:rPr>
        <w:t>the </w:t>
      </w:r>
      <w:r>
        <w:rPr>
          <w:spacing w:val="-3"/>
          <w:sz w:val="24"/>
        </w:rPr>
        <w:t>repo rate, </w:t>
      </w:r>
      <w:r>
        <w:rPr>
          <w:sz w:val="24"/>
        </w:rPr>
        <w:t>fixed-rate </w:t>
      </w:r>
      <w:r>
        <w:rPr>
          <w:spacing w:val="2"/>
          <w:sz w:val="24"/>
        </w:rPr>
        <w:t>yields </w:t>
      </w:r>
      <w:r>
        <w:rPr>
          <w:sz w:val="24"/>
        </w:rPr>
        <w:t>had fallen by around 50 basis points at five years, although longer yields, particularly on corporate paper, had moved by less. Similarly, while the repo rate had increased by 100 basis points since last August, rates on retail borrowing and deposits had typically risen much less. For mortgages, however, the standard variable rate had risen by almost as much as the repo</w:t>
      </w:r>
      <w:r>
        <w:rPr>
          <w:spacing w:val="36"/>
          <w:sz w:val="24"/>
        </w:rPr>
        <w:t> </w:t>
      </w:r>
      <w:r>
        <w:rPr>
          <w:sz w:val="24"/>
        </w:rPr>
        <w:t>rate.</w:t>
      </w:r>
    </w:p>
    <w:p>
      <w:pPr>
        <w:pStyle w:val="BodyText"/>
        <w:spacing w:before="5"/>
        <w:rPr>
          <w:sz w:val="32"/>
        </w:rPr>
      </w:pPr>
    </w:p>
    <w:p>
      <w:pPr>
        <w:pStyle w:val="ListParagraph"/>
        <w:numPr>
          <w:ilvl w:val="0"/>
          <w:numId w:val="1"/>
        </w:numPr>
        <w:tabs>
          <w:tab w:pos="714" w:val="left" w:leader="none"/>
          <w:tab w:pos="715" w:val="left" w:leader="none"/>
        </w:tabs>
        <w:spacing w:line="360" w:lineRule="auto" w:before="1" w:after="0"/>
        <w:ind w:left="265" w:right="307" w:firstLine="0"/>
        <w:jc w:val="left"/>
        <w:rPr>
          <w:sz w:val="24"/>
        </w:rPr>
      </w:pPr>
      <w:r>
        <w:rPr>
          <w:sz w:val="24"/>
        </w:rPr>
        <w:t>M4 lending to the private </w:t>
      </w:r>
      <w:r>
        <w:rPr>
          <w:spacing w:val="-5"/>
          <w:sz w:val="24"/>
        </w:rPr>
        <w:t>non-financial </w:t>
      </w:r>
      <w:r>
        <w:rPr>
          <w:sz w:val="24"/>
        </w:rPr>
        <w:t>sector had also picked up in May, although much of this was to finance mobile phone spectrum auction payments. Some members noted that part of </w:t>
      </w:r>
      <w:r>
        <w:rPr>
          <w:spacing w:val="-2"/>
          <w:sz w:val="24"/>
        </w:rPr>
        <w:t>the </w:t>
      </w:r>
      <w:r>
        <w:rPr>
          <w:sz w:val="24"/>
        </w:rPr>
        <w:t>borrowing might reflect pressures within the corporate sector, with evidence of greater dispersion than usual in company profitability and capital gearing, as set out in the June issue of the </w:t>
      </w:r>
      <w:r>
        <w:rPr>
          <w:spacing w:val="-2"/>
          <w:sz w:val="24"/>
        </w:rPr>
        <w:t>Bank’s </w:t>
      </w:r>
      <w:r>
        <w:rPr>
          <w:i/>
          <w:sz w:val="24"/>
        </w:rPr>
        <w:t>Financial Stability Review</w:t>
      </w:r>
      <w:r>
        <w:rPr>
          <w:sz w:val="24"/>
        </w:rPr>
        <w:t>. The </w:t>
      </w:r>
      <w:r>
        <w:rPr>
          <w:spacing w:val="-3"/>
          <w:sz w:val="24"/>
        </w:rPr>
        <w:t>numbers needed </w:t>
      </w:r>
      <w:r>
        <w:rPr>
          <w:sz w:val="24"/>
        </w:rPr>
        <w:t>to be </w:t>
      </w:r>
      <w:r>
        <w:rPr>
          <w:spacing w:val="-3"/>
          <w:sz w:val="24"/>
        </w:rPr>
        <w:t>looked </w:t>
      </w:r>
      <w:r>
        <w:rPr>
          <w:sz w:val="24"/>
        </w:rPr>
        <w:t>at </w:t>
      </w:r>
      <w:r>
        <w:rPr>
          <w:spacing w:val="-3"/>
          <w:sz w:val="24"/>
        </w:rPr>
        <w:t>carefully; </w:t>
      </w:r>
      <w:r>
        <w:rPr>
          <w:sz w:val="24"/>
        </w:rPr>
        <w:t>for </w:t>
      </w:r>
      <w:r>
        <w:rPr>
          <w:spacing w:val="-3"/>
          <w:sz w:val="24"/>
        </w:rPr>
        <w:t>instance where </w:t>
      </w:r>
      <w:r>
        <w:rPr>
          <w:sz w:val="24"/>
        </w:rPr>
        <w:t>intangible assets were important, capital gearing measured on a market-value basis might be very different from that on a replacement-cost measure. To the extent that the differences in profitability reflected greater competition, and resources from less successful companies were absorbed by those which were more successful, the macroeconomic effects over the medium term should not be damaging. But over the shorter term there was a risk of greater fragility than was apparent from data for the corporate sector as a whole. While there was little sign yet of widespread corporate distress, the</w:t>
      </w:r>
      <w:r>
        <w:rPr>
          <w:spacing w:val="-5"/>
          <w:sz w:val="24"/>
        </w:rPr>
        <w:t> </w:t>
      </w:r>
      <w:r>
        <w:rPr>
          <w:sz w:val="24"/>
        </w:rPr>
        <w:t>combination</w:t>
      </w:r>
      <w:r>
        <w:rPr>
          <w:spacing w:val="-4"/>
          <w:sz w:val="24"/>
        </w:rPr>
        <w:t> </w:t>
      </w:r>
      <w:r>
        <w:rPr>
          <w:sz w:val="24"/>
        </w:rPr>
        <w:t>of</w:t>
      </w:r>
      <w:r>
        <w:rPr>
          <w:spacing w:val="-4"/>
          <w:sz w:val="24"/>
        </w:rPr>
        <w:t> </w:t>
      </w:r>
      <w:r>
        <w:rPr>
          <w:sz w:val="24"/>
        </w:rPr>
        <w:t>heavy</w:t>
      </w:r>
      <w:r>
        <w:rPr>
          <w:spacing w:val="-5"/>
          <w:sz w:val="24"/>
        </w:rPr>
        <w:t> </w:t>
      </w:r>
      <w:r>
        <w:rPr>
          <w:sz w:val="24"/>
        </w:rPr>
        <w:t>borrowing</w:t>
      </w:r>
      <w:r>
        <w:rPr>
          <w:spacing w:val="-4"/>
          <w:sz w:val="24"/>
        </w:rPr>
        <w:t> </w:t>
      </w:r>
      <w:r>
        <w:rPr>
          <w:sz w:val="24"/>
        </w:rPr>
        <w:t>with</w:t>
      </w:r>
      <w:r>
        <w:rPr>
          <w:spacing w:val="-4"/>
          <w:sz w:val="24"/>
        </w:rPr>
        <w:t> </w:t>
      </w:r>
      <w:r>
        <w:rPr>
          <w:sz w:val="24"/>
        </w:rPr>
        <w:t>low</w:t>
      </w:r>
      <w:r>
        <w:rPr>
          <w:spacing w:val="-5"/>
          <w:sz w:val="24"/>
        </w:rPr>
        <w:t> </w:t>
      </w:r>
      <w:r>
        <w:rPr>
          <w:sz w:val="24"/>
        </w:rPr>
        <w:t>investment</w:t>
      </w:r>
      <w:r>
        <w:rPr>
          <w:spacing w:val="-4"/>
          <w:sz w:val="24"/>
        </w:rPr>
        <w:t> </w:t>
      </w:r>
      <w:r>
        <w:rPr>
          <w:sz w:val="24"/>
        </w:rPr>
        <w:t>in</w:t>
      </w:r>
      <w:r>
        <w:rPr>
          <w:spacing w:val="-4"/>
          <w:sz w:val="24"/>
        </w:rPr>
        <w:t> </w:t>
      </w:r>
      <w:r>
        <w:rPr>
          <w:sz w:val="24"/>
        </w:rPr>
        <w:t>the</w:t>
      </w:r>
      <w:r>
        <w:rPr>
          <w:spacing w:val="-5"/>
          <w:sz w:val="24"/>
        </w:rPr>
        <w:t> </w:t>
      </w:r>
      <w:r>
        <w:rPr>
          <w:sz w:val="24"/>
        </w:rPr>
        <w:t>aggregate</w:t>
      </w:r>
      <w:r>
        <w:rPr>
          <w:spacing w:val="-4"/>
          <w:sz w:val="24"/>
        </w:rPr>
        <w:t> </w:t>
      </w:r>
      <w:r>
        <w:rPr>
          <w:sz w:val="24"/>
        </w:rPr>
        <w:t>figures</w:t>
      </w:r>
      <w:r>
        <w:rPr>
          <w:spacing w:val="-4"/>
          <w:sz w:val="24"/>
        </w:rPr>
        <w:t> </w:t>
      </w:r>
      <w:r>
        <w:rPr>
          <w:sz w:val="24"/>
        </w:rPr>
        <w:t>remained</w:t>
      </w:r>
      <w:r>
        <w:rPr>
          <w:spacing w:val="-5"/>
          <w:sz w:val="24"/>
        </w:rPr>
        <w:t> </w:t>
      </w:r>
      <w:r>
        <w:rPr>
          <w:sz w:val="24"/>
        </w:rPr>
        <w:t>a</w:t>
      </w:r>
      <w:r>
        <w:rPr>
          <w:spacing w:val="-4"/>
          <w:sz w:val="24"/>
        </w:rPr>
        <w:t> </w:t>
      </w:r>
      <w:r>
        <w:rPr>
          <w:sz w:val="24"/>
        </w:rPr>
        <w:t>puzzle.</w:t>
      </w:r>
    </w:p>
    <w:p>
      <w:pPr>
        <w:pStyle w:val="BodyText"/>
        <w:rPr>
          <w:sz w:val="31"/>
        </w:rPr>
      </w:pPr>
    </w:p>
    <w:p>
      <w:pPr>
        <w:pStyle w:val="ListParagraph"/>
        <w:numPr>
          <w:ilvl w:val="0"/>
          <w:numId w:val="1"/>
        </w:numPr>
        <w:tabs>
          <w:tab w:pos="714" w:val="left" w:leader="none"/>
          <w:tab w:pos="715" w:val="left" w:leader="none"/>
        </w:tabs>
        <w:spacing w:line="357" w:lineRule="auto" w:before="1" w:after="0"/>
        <w:ind w:left="265" w:right="278" w:firstLine="0"/>
        <w:jc w:val="left"/>
        <w:rPr>
          <w:sz w:val="24"/>
        </w:rPr>
      </w:pPr>
      <w:r>
        <w:rPr>
          <w:spacing w:val="-3"/>
          <w:sz w:val="24"/>
        </w:rPr>
        <w:t>Sterling’s exchange rate index </w:t>
      </w:r>
      <w:r>
        <w:rPr>
          <w:sz w:val="24"/>
        </w:rPr>
        <w:t>had </w:t>
      </w:r>
      <w:r>
        <w:rPr>
          <w:spacing w:val="-3"/>
          <w:sz w:val="24"/>
        </w:rPr>
        <w:t>moved very little over </w:t>
      </w:r>
      <w:r>
        <w:rPr>
          <w:sz w:val="24"/>
        </w:rPr>
        <w:t>the </w:t>
      </w:r>
      <w:r>
        <w:rPr>
          <w:spacing w:val="-3"/>
          <w:sz w:val="24"/>
        </w:rPr>
        <w:t>past month after </w:t>
      </w:r>
      <w:r>
        <w:rPr>
          <w:sz w:val="24"/>
        </w:rPr>
        <w:t>its </w:t>
      </w:r>
      <w:r>
        <w:rPr>
          <w:spacing w:val="-3"/>
          <w:sz w:val="24"/>
        </w:rPr>
        <w:t>sharp fall in  </w:t>
      </w:r>
      <w:r>
        <w:rPr>
          <w:sz w:val="24"/>
        </w:rPr>
        <w:t>May, which had taken it back to its levels of early November 1999. Sterling remained relatively strong against the euro, but by recent standards was rather weak against the dollar.  The exchange rate</w:t>
      </w:r>
      <w:r>
        <w:rPr>
          <w:spacing w:val="9"/>
          <w:sz w:val="24"/>
        </w:rPr>
        <w:t> </w:t>
      </w:r>
      <w:r>
        <w:rPr>
          <w:sz w:val="24"/>
        </w:rPr>
        <w:t>index</w:t>
      </w:r>
      <w:r>
        <w:rPr>
          <w:spacing w:val="-32"/>
          <w:sz w:val="24"/>
        </w:rPr>
        <w:t> </w:t>
      </w:r>
      <w:r>
        <w:rPr>
          <w:sz w:val="24"/>
        </w:rPr>
        <w:t>–</w:t>
      </w:r>
      <w:r>
        <w:rPr>
          <w:spacing w:val="-4"/>
          <w:sz w:val="24"/>
        </w:rPr>
        <w:t> </w:t>
      </w:r>
      <w:r>
        <w:rPr>
          <w:sz w:val="24"/>
        </w:rPr>
        <w:t>at</w:t>
      </w:r>
      <w:r>
        <w:rPr>
          <w:spacing w:val="-5"/>
          <w:sz w:val="24"/>
        </w:rPr>
        <w:t> </w:t>
      </w:r>
      <w:r>
        <w:rPr>
          <w:sz w:val="24"/>
        </w:rPr>
        <w:t>around</w:t>
      </w:r>
      <w:r>
        <w:rPr>
          <w:spacing w:val="-4"/>
          <w:sz w:val="24"/>
        </w:rPr>
        <w:t> </w:t>
      </w:r>
      <w:r>
        <w:rPr>
          <w:sz w:val="24"/>
        </w:rPr>
        <w:t>105</w:t>
      </w:r>
      <w:r>
        <w:rPr>
          <w:spacing w:val="-1"/>
          <w:sz w:val="24"/>
        </w:rPr>
        <w:t> </w:t>
      </w:r>
      <w:r>
        <w:rPr>
          <w:sz w:val="24"/>
        </w:rPr>
        <w:t>–</w:t>
      </w:r>
      <w:r>
        <w:rPr>
          <w:spacing w:val="-1"/>
          <w:sz w:val="24"/>
        </w:rPr>
        <w:t> </w:t>
      </w:r>
      <w:r>
        <w:rPr>
          <w:sz w:val="24"/>
        </w:rPr>
        <w:t>was</w:t>
      </w:r>
      <w:r>
        <w:rPr>
          <w:spacing w:val="-2"/>
          <w:sz w:val="24"/>
        </w:rPr>
        <w:t> </w:t>
      </w:r>
      <w:r>
        <w:rPr>
          <w:sz w:val="24"/>
        </w:rPr>
        <w:t>now</w:t>
      </w:r>
      <w:r>
        <w:rPr>
          <w:spacing w:val="-2"/>
          <w:sz w:val="24"/>
        </w:rPr>
        <w:t> </w:t>
      </w:r>
      <w:r>
        <w:rPr>
          <w:sz w:val="24"/>
        </w:rPr>
        <w:t>close</w:t>
      </w:r>
      <w:r>
        <w:rPr>
          <w:spacing w:val="-1"/>
          <w:sz w:val="24"/>
        </w:rPr>
        <w:t> </w:t>
      </w:r>
      <w:r>
        <w:rPr>
          <w:sz w:val="24"/>
        </w:rPr>
        <w:t>to</w:t>
      </w:r>
      <w:r>
        <w:rPr>
          <w:spacing w:val="-2"/>
          <w:sz w:val="24"/>
        </w:rPr>
        <w:t> </w:t>
      </w:r>
      <w:r>
        <w:rPr>
          <w:sz w:val="24"/>
        </w:rPr>
        <w:t>its</w:t>
      </w:r>
      <w:r>
        <w:rPr>
          <w:spacing w:val="-1"/>
          <w:sz w:val="24"/>
        </w:rPr>
        <w:t> </w:t>
      </w:r>
      <w:r>
        <w:rPr>
          <w:sz w:val="24"/>
        </w:rPr>
        <w:t>average</w:t>
      </w:r>
      <w:r>
        <w:rPr>
          <w:spacing w:val="-2"/>
          <w:sz w:val="24"/>
        </w:rPr>
        <w:t> </w:t>
      </w:r>
      <w:r>
        <w:rPr>
          <w:sz w:val="24"/>
        </w:rPr>
        <w:t>over</w:t>
      </w:r>
      <w:r>
        <w:rPr>
          <w:spacing w:val="-2"/>
          <w:sz w:val="24"/>
        </w:rPr>
        <w:t> </w:t>
      </w:r>
      <w:r>
        <w:rPr>
          <w:sz w:val="24"/>
        </w:rPr>
        <w:t>the</w:t>
      </w:r>
      <w:r>
        <w:rPr>
          <w:spacing w:val="-1"/>
          <w:sz w:val="24"/>
        </w:rPr>
        <w:t> </w:t>
      </w:r>
      <w:r>
        <w:rPr>
          <w:sz w:val="24"/>
        </w:rPr>
        <w:t>past</w:t>
      </w:r>
      <w:r>
        <w:rPr>
          <w:spacing w:val="-2"/>
          <w:sz w:val="24"/>
        </w:rPr>
        <w:t> </w:t>
      </w:r>
      <w:r>
        <w:rPr>
          <w:sz w:val="24"/>
        </w:rPr>
        <w:t>three</w:t>
      </w:r>
      <w:r>
        <w:rPr>
          <w:spacing w:val="-1"/>
          <w:sz w:val="24"/>
        </w:rPr>
        <w:t> </w:t>
      </w:r>
      <w:r>
        <w:rPr>
          <w:sz w:val="24"/>
        </w:rPr>
        <w:t>years,</w:t>
      </w:r>
      <w:r>
        <w:rPr>
          <w:spacing w:val="-2"/>
          <w:sz w:val="24"/>
        </w:rPr>
        <w:t> </w:t>
      </w:r>
      <w:r>
        <w:rPr>
          <w:sz w:val="24"/>
        </w:rPr>
        <w:t>but</w:t>
      </w:r>
      <w:r>
        <w:rPr>
          <w:spacing w:val="-1"/>
          <w:sz w:val="24"/>
        </w:rPr>
        <w:t> </w:t>
      </w:r>
      <w:r>
        <w:rPr>
          <w:sz w:val="24"/>
        </w:rPr>
        <w:t>remained</w:t>
      </w:r>
      <w:r>
        <w:rPr>
          <w:spacing w:val="-2"/>
          <w:sz w:val="24"/>
        </w:rPr>
        <w:t> </w:t>
      </w:r>
      <w:r>
        <w:rPr>
          <w:sz w:val="24"/>
        </w:rPr>
        <w:t>well </w:t>
      </w:r>
      <w:r>
        <w:rPr>
          <w:spacing w:val="-3"/>
          <w:sz w:val="24"/>
        </w:rPr>
        <w:t>above </w:t>
      </w:r>
      <w:r>
        <w:rPr>
          <w:sz w:val="24"/>
        </w:rPr>
        <w:t>the </w:t>
      </w:r>
      <w:r>
        <w:rPr>
          <w:spacing w:val="-3"/>
          <w:sz w:val="24"/>
        </w:rPr>
        <w:t>levels </w:t>
      </w:r>
      <w:r>
        <w:rPr>
          <w:sz w:val="24"/>
        </w:rPr>
        <w:t>of</w:t>
      </w:r>
      <w:r>
        <w:rPr>
          <w:spacing w:val="21"/>
          <w:sz w:val="24"/>
        </w:rPr>
        <w:t> </w:t>
      </w:r>
      <w:r>
        <w:rPr>
          <w:sz w:val="24"/>
        </w:rPr>
        <w:t>1993-96.</w:t>
      </w:r>
    </w:p>
    <w:p>
      <w:pPr>
        <w:pStyle w:val="BodyText"/>
        <w:spacing w:before="5"/>
        <w:rPr>
          <w:sz w:val="32"/>
        </w:rPr>
      </w:pPr>
    </w:p>
    <w:p>
      <w:pPr>
        <w:pStyle w:val="ListParagraph"/>
        <w:numPr>
          <w:ilvl w:val="0"/>
          <w:numId w:val="1"/>
        </w:numPr>
        <w:tabs>
          <w:tab w:pos="714" w:val="left" w:leader="none"/>
          <w:tab w:pos="715" w:val="left" w:leader="none"/>
        </w:tabs>
        <w:spacing w:line="360" w:lineRule="auto" w:before="1" w:after="0"/>
        <w:ind w:left="265" w:right="278" w:firstLine="0"/>
        <w:jc w:val="left"/>
        <w:rPr>
          <w:sz w:val="24"/>
        </w:rPr>
      </w:pPr>
      <w:r>
        <w:rPr>
          <w:sz w:val="24"/>
        </w:rPr>
        <w:t>Implied interest rates from forward curves suggested that the market expected higher official rates in the euro area, the United States and Japan later in 2000. Official rates were now lower in </w:t>
      </w:r>
      <w:r>
        <w:rPr>
          <w:spacing w:val="-2"/>
          <w:sz w:val="24"/>
        </w:rPr>
        <w:t>the </w:t>
      </w:r>
      <w:r>
        <w:rPr>
          <w:sz w:val="24"/>
        </w:rPr>
        <w:t>United Kingdom than the United States;</w:t>
      </w:r>
      <w:r>
        <w:rPr>
          <w:spacing w:val="11"/>
          <w:sz w:val="24"/>
        </w:rPr>
        <w:t> </w:t>
      </w:r>
      <w:r>
        <w:rPr>
          <w:sz w:val="24"/>
        </w:rPr>
        <w:t>this had not been the case for any length of time since 1984. If rate expectations overseas changed vis-à-vis the United </w:t>
      </w:r>
      <w:r>
        <w:rPr>
          <w:spacing w:val="2"/>
          <w:sz w:val="24"/>
        </w:rPr>
        <w:t>Kingdom, </w:t>
      </w:r>
      <w:r>
        <w:rPr>
          <w:spacing w:val="-4"/>
          <w:sz w:val="24"/>
        </w:rPr>
        <w:t>this might lead </w:t>
      </w:r>
      <w:r>
        <w:rPr>
          <w:spacing w:val="-3"/>
          <w:sz w:val="24"/>
        </w:rPr>
        <w:t>to </w:t>
      </w:r>
      <w:r>
        <w:rPr>
          <w:spacing w:val="-5"/>
          <w:sz w:val="24"/>
        </w:rPr>
        <w:t>further </w:t>
      </w:r>
      <w:r>
        <w:rPr>
          <w:sz w:val="24"/>
        </w:rPr>
        <w:t>movements in </w:t>
      </w:r>
      <w:r>
        <w:rPr>
          <w:spacing w:val="-3"/>
          <w:sz w:val="24"/>
        </w:rPr>
        <w:t>sterling. </w:t>
      </w:r>
      <w:r>
        <w:rPr>
          <w:sz w:val="24"/>
        </w:rPr>
        <w:t>It was </w:t>
      </w:r>
      <w:r>
        <w:rPr>
          <w:spacing w:val="-3"/>
          <w:sz w:val="24"/>
        </w:rPr>
        <w:t>also possible </w:t>
      </w:r>
      <w:r>
        <w:rPr>
          <w:sz w:val="24"/>
        </w:rPr>
        <w:t>that a </w:t>
      </w:r>
      <w:r>
        <w:rPr>
          <w:spacing w:val="-3"/>
          <w:sz w:val="24"/>
        </w:rPr>
        <w:t>sharp </w:t>
      </w:r>
      <w:r>
        <w:rPr>
          <w:sz w:val="24"/>
        </w:rPr>
        <w:t>move in the </w:t>
      </w:r>
      <w:r>
        <w:rPr>
          <w:spacing w:val="-3"/>
          <w:sz w:val="24"/>
        </w:rPr>
        <w:t>euro against </w:t>
      </w:r>
      <w:r>
        <w:rPr>
          <w:sz w:val="24"/>
        </w:rPr>
        <w:t>the </w:t>
      </w:r>
      <w:r>
        <w:rPr>
          <w:spacing w:val="-3"/>
          <w:sz w:val="24"/>
        </w:rPr>
        <w:t>dollar would  </w:t>
      </w:r>
      <w:r>
        <w:rPr>
          <w:sz w:val="24"/>
        </w:rPr>
        <w:t>itself influence sterling’s exchange rate index, with the size of the effect depending on how </w:t>
      </w:r>
      <w:r>
        <w:rPr>
          <w:spacing w:val="-2"/>
          <w:sz w:val="24"/>
        </w:rPr>
        <w:t>far </w:t>
      </w:r>
      <w:r>
        <w:rPr>
          <w:sz w:val="24"/>
        </w:rPr>
        <w:t>sterling followed the dollar as opposed to the euro, and on the relative weightings of the dollar and </w:t>
      </w:r>
      <w:r>
        <w:rPr>
          <w:spacing w:val="-3"/>
          <w:sz w:val="24"/>
        </w:rPr>
        <w:t>the euro </w:t>
      </w:r>
      <w:r>
        <w:rPr>
          <w:sz w:val="24"/>
        </w:rPr>
        <w:t>in </w:t>
      </w:r>
      <w:r>
        <w:rPr>
          <w:spacing w:val="-3"/>
          <w:sz w:val="24"/>
        </w:rPr>
        <w:t>the</w:t>
      </w:r>
      <w:r>
        <w:rPr>
          <w:spacing w:val="33"/>
          <w:sz w:val="24"/>
        </w:rPr>
        <w:t> </w:t>
      </w:r>
      <w:r>
        <w:rPr>
          <w:spacing w:val="-4"/>
          <w:sz w:val="24"/>
        </w:rPr>
        <w:t>index.</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531" w:firstLine="0"/>
        <w:jc w:val="left"/>
        <w:rPr>
          <w:sz w:val="24"/>
        </w:rPr>
      </w:pPr>
      <w:r>
        <w:rPr>
          <w:sz w:val="24"/>
        </w:rPr>
        <w:t>The Committee noted that sterling’s exchange rate index was based on trade in manufactures, and that the euro had a weight in it four times that of the dollar. To some, this seemed somewhat overstated. Much of UK trade which was not invoiced in sterling was invoiced in dollars, and this might have some effect on import prices, if only in the short term. Earlier work by Bank staff </w:t>
      </w:r>
      <w:r>
        <w:rPr>
          <w:spacing w:val="-2"/>
          <w:sz w:val="24"/>
        </w:rPr>
        <w:t>had </w:t>
      </w:r>
      <w:r>
        <w:rPr>
          <w:sz w:val="24"/>
        </w:rPr>
        <w:t>suggested</w:t>
      </w:r>
      <w:r>
        <w:rPr>
          <w:spacing w:val="-4"/>
          <w:sz w:val="24"/>
        </w:rPr>
        <w:t> </w:t>
      </w:r>
      <w:r>
        <w:rPr>
          <w:sz w:val="24"/>
        </w:rPr>
        <w:t>that</w:t>
      </w:r>
      <w:r>
        <w:rPr>
          <w:spacing w:val="-4"/>
          <w:sz w:val="24"/>
        </w:rPr>
        <w:t> </w:t>
      </w:r>
      <w:r>
        <w:rPr>
          <w:sz w:val="24"/>
        </w:rPr>
        <w:t>altering</w:t>
      </w:r>
      <w:r>
        <w:rPr>
          <w:spacing w:val="-3"/>
          <w:sz w:val="24"/>
        </w:rPr>
        <w:t> </w:t>
      </w:r>
      <w:r>
        <w:rPr>
          <w:sz w:val="24"/>
        </w:rPr>
        <w:t>the</w:t>
      </w:r>
      <w:r>
        <w:rPr>
          <w:spacing w:val="-4"/>
          <w:sz w:val="24"/>
        </w:rPr>
        <w:t> </w:t>
      </w:r>
      <w:r>
        <w:rPr>
          <w:sz w:val="24"/>
        </w:rPr>
        <w:t>weights</w:t>
      </w:r>
      <w:r>
        <w:rPr>
          <w:spacing w:val="-3"/>
          <w:sz w:val="24"/>
        </w:rPr>
        <w:t> </w:t>
      </w:r>
      <w:r>
        <w:rPr>
          <w:sz w:val="24"/>
        </w:rPr>
        <w:t>to</w:t>
      </w:r>
      <w:r>
        <w:rPr>
          <w:spacing w:val="-4"/>
          <w:sz w:val="24"/>
        </w:rPr>
        <w:t> </w:t>
      </w:r>
      <w:r>
        <w:rPr>
          <w:sz w:val="24"/>
        </w:rPr>
        <w:t>take</w:t>
      </w:r>
      <w:r>
        <w:rPr>
          <w:spacing w:val="-3"/>
          <w:sz w:val="24"/>
        </w:rPr>
        <w:t> </w:t>
      </w:r>
      <w:r>
        <w:rPr>
          <w:sz w:val="24"/>
        </w:rPr>
        <w:t>account,</w:t>
      </w:r>
      <w:r>
        <w:rPr>
          <w:spacing w:val="-4"/>
          <w:sz w:val="24"/>
        </w:rPr>
        <w:t> </w:t>
      </w:r>
      <w:r>
        <w:rPr>
          <w:sz w:val="24"/>
        </w:rPr>
        <w:t>for</w:t>
      </w:r>
      <w:r>
        <w:rPr>
          <w:spacing w:val="-3"/>
          <w:sz w:val="24"/>
        </w:rPr>
        <w:t> </w:t>
      </w:r>
      <w:r>
        <w:rPr>
          <w:sz w:val="24"/>
        </w:rPr>
        <w:t>instance,</w:t>
      </w:r>
      <w:r>
        <w:rPr>
          <w:spacing w:val="-4"/>
          <w:sz w:val="24"/>
        </w:rPr>
        <w:t> </w:t>
      </w:r>
      <w:r>
        <w:rPr>
          <w:sz w:val="24"/>
        </w:rPr>
        <w:t>of</w:t>
      </w:r>
      <w:r>
        <w:rPr>
          <w:spacing w:val="-3"/>
          <w:sz w:val="24"/>
        </w:rPr>
        <w:t> </w:t>
      </w:r>
      <w:r>
        <w:rPr>
          <w:sz w:val="24"/>
        </w:rPr>
        <w:t>trade</w:t>
      </w:r>
      <w:r>
        <w:rPr>
          <w:spacing w:val="-4"/>
          <w:sz w:val="24"/>
        </w:rPr>
        <w:t> </w:t>
      </w:r>
      <w:r>
        <w:rPr>
          <w:sz w:val="24"/>
        </w:rPr>
        <w:t>in</w:t>
      </w:r>
      <w:r>
        <w:rPr>
          <w:spacing w:val="-3"/>
          <w:sz w:val="24"/>
        </w:rPr>
        <w:t> </w:t>
      </w:r>
      <w:r>
        <w:rPr>
          <w:sz w:val="24"/>
        </w:rPr>
        <w:t>services</w:t>
      </w:r>
      <w:r>
        <w:rPr>
          <w:spacing w:val="-4"/>
          <w:sz w:val="24"/>
        </w:rPr>
        <w:t> </w:t>
      </w:r>
      <w:r>
        <w:rPr>
          <w:sz w:val="24"/>
        </w:rPr>
        <w:t>did</w:t>
      </w:r>
      <w:r>
        <w:rPr>
          <w:spacing w:val="-3"/>
          <w:sz w:val="24"/>
        </w:rPr>
        <w:t> </w:t>
      </w:r>
      <w:r>
        <w:rPr>
          <w:sz w:val="24"/>
        </w:rPr>
        <w:t>not</w:t>
      </w:r>
      <w:r>
        <w:rPr>
          <w:spacing w:val="-4"/>
          <w:sz w:val="24"/>
        </w:rPr>
        <w:t> </w:t>
      </w:r>
      <w:r>
        <w:rPr>
          <w:sz w:val="24"/>
        </w:rPr>
        <w:t>make</w:t>
      </w:r>
      <w:r>
        <w:rPr>
          <w:spacing w:val="-3"/>
          <w:sz w:val="24"/>
        </w:rPr>
        <w:t> </w:t>
      </w:r>
      <w:r>
        <w:rPr>
          <w:sz w:val="24"/>
        </w:rPr>
        <w:t>a great difference to the index. The Committee agreed to look at these calculations again in </w:t>
      </w:r>
      <w:r>
        <w:rPr>
          <w:spacing w:val="-2"/>
          <w:sz w:val="24"/>
        </w:rPr>
        <w:t>the </w:t>
      </w:r>
      <w:r>
        <w:rPr>
          <w:spacing w:val="-3"/>
          <w:sz w:val="24"/>
        </w:rPr>
        <w:t>coming</w:t>
      </w:r>
      <w:r>
        <w:rPr>
          <w:spacing w:val="12"/>
          <w:sz w:val="24"/>
        </w:rPr>
        <w:t> </w:t>
      </w:r>
      <w:r>
        <w:rPr>
          <w:spacing w:val="-3"/>
          <w:sz w:val="24"/>
        </w:rPr>
        <w:t>months.</w:t>
      </w:r>
    </w:p>
    <w:p>
      <w:pPr>
        <w:pStyle w:val="BodyText"/>
        <w:spacing w:before="8"/>
        <w:rPr>
          <w:sz w:val="32"/>
        </w:rPr>
      </w:pPr>
    </w:p>
    <w:p>
      <w:pPr>
        <w:pStyle w:val="ListParagraph"/>
        <w:numPr>
          <w:ilvl w:val="0"/>
          <w:numId w:val="1"/>
        </w:numPr>
        <w:tabs>
          <w:tab w:pos="714" w:val="left" w:leader="none"/>
          <w:tab w:pos="715" w:val="left" w:leader="none"/>
        </w:tabs>
        <w:spacing w:line="360" w:lineRule="auto" w:before="0" w:after="0"/>
        <w:ind w:left="265" w:right="503" w:firstLine="0"/>
        <w:jc w:val="left"/>
        <w:rPr>
          <w:sz w:val="24"/>
        </w:rPr>
      </w:pPr>
      <w:r>
        <w:rPr>
          <w:sz w:val="24"/>
        </w:rPr>
        <w:t>The </w:t>
      </w:r>
      <w:r>
        <w:rPr>
          <w:spacing w:val="-3"/>
          <w:sz w:val="24"/>
        </w:rPr>
        <w:t>impact </w:t>
      </w:r>
      <w:r>
        <w:rPr>
          <w:sz w:val="24"/>
        </w:rPr>
        <w:t>of the </w:t>
      </w:r>
      <w:r>
        <w:rPr>
          <w:spacing w:val="-3"/>
          <w:sz w:val="24"/>
        </w:rPr>
        <w:t>lower exchange rate </w:t>
      </w:r>
      <w:r>
        <w:rPr>
          <w:sz w:val="24"/>
        </w:rPr>
        <w:t>on </w:t>
      </w:r>
      <w:r>
        <w:rPr>
          <w:spacing w:val="-3"/>
          <w:sz w:val="24"/>
        </w:rPr>
        <w:t>RPIX depended </w:t>
      </w:r>
      <w:r>
        <w:rPr>
          <w:sz w:val="24"/>
        </w:rPr>
        <w:t>in </w:t>
      </w:r>
      <w:r>
        <w:rPr>
          <w:spacing w:val="-3"/>
          <w:sz w:val="24"/>
        </w:rPr>
        <w:t>part </w:t>
      </w:r>
      <w:r>
        <w:rPr>
          <w:sz w:val="24"/>
        </w:rPr>
        <w:t>on how </w:t>
      </w:r>
      <w:r>
        <w:rPr>
          <w:spacing w:val="-3"/>
          <w:sz w:val="24"/>
        </w:rPr>
        <w:t>much </w:t>
      </w:r>
      <w:r>
        <w:rPr>
          <w:sz w:val="24"/>
        </w:rPr>
        <w:t>of the </w:t>
      </w:r>
      <w:r>
        <w:rPr>
          <w:spacing w:val="-3"/>
          <w:sz w:val="24"/>
        </w:rPr>
        <w:t>earlier </w:t>
      </w:r>
      <w:r>
        <w:rPr>
          <w:sz w:val="24"/>
        </w:rPr>
        <w:t>appreciation had fed through into import and retail prices, and on how far this differed from </w:t>
      </w:r>
      <w:r>
        <w:rPr>
          <w:spacing w:val="-2"/>
          <w:sz w:val="24"/>
        </w:rPr>
        <w:t>the </w:t>
      </w:r>
      <w:r>
        <w:rPr>
          <w:spacing w:val="-3"/>
          <w:sz w:val="24"/>
        </w:rPr>
        <w:t>assumptions made </w:t>
      </w:r>
      <w:r>
        <w:rPr>
          <w:sz w:val="24"/>
        </w:rPr>
        <w:t>in the May </w:t>
      </w:r>
      <w:r>
        <w:rPr>
          <w:i/>
          <w:sz w:val="24"/>
        </w:rPr>
        <w:t>Inflation Report</w:t>
      </w:r>
      <w:r>
        <w:rPr>
          <w:sz w:val="24"/>
        </w:rPr>
        <w:t>. To the </w:t>
      </w:r>
      <w:r>
        <w:rPr>
          <w:spacing w:val="-3"/>
          <w:sz w:val="24"/>
        </w:rPr>
        <w:t>extent that </w:t>
      </w:r>
      <w:r>
        <w:rPr>
          <w:sz w:val="24"/>
        </w:rPr>
        <w:t>the </w:t>
      </w:r>
      <w:r>
        <w:rPr>
          <w:spacing w:val="-3"/>
          <w:sz w:val="24"/>
        </w:rPr>
        <w:t>market </w:t>
      </w:r>
      <w:r>
        <w:rPr>
          <w:sz w:val="24"/>
        </w:rPr>
        <w:t>had </w:t>
      </w:r>
      <w:r>
        <w:rPr>
          <w:spacing w:val="-3"/>
          <w:sz w:val="24"/>
        </w:rPr>
        <w:t>correctly </w:t>
      </w:r>
      <w:r>
        <w:rPr>
          <w:sz w:val="24"/>
        </w:rPr>
        <w:t>anticipated that the earlier rise in the exchange rate would be reversed rapidly, the feedthrough</w:t>
      </w:r>
      <w:r>
        <w:rPr>
          <w:spacing w:val="-35"/>
          <w:sz w:val="24"/>
        </w:rPr>
        <w:t> </w:t>
      </w:r>
      <w:r>
        <w:rPr>
          <w:sz w:val="24"/>
        </w:rPr>
        <w:t>into prices might be less than otherwise. That said, </w:t>
      </w:r>
      <w:r>
        <w:rPr>
          <w:spacing w:val="-6"/>
          <w:sz w:val="24"/>
        </w:rPr>
        <w:t>non-oil </w:t>
      </w:r>
      <w:r>
        <w:rPr>
          <w:sz w:val="24"/>
        </w:rPr>
        <w:t>commodity prices had risen sharply in </w:t>
      </w:r>
      <w:r>
        <w:rPr>
          <w:spacing w:val="-3"/>
          <w:sz w:val="24"/>
        </w:rPr>
        <w:t>sterling terms </w:t>
      </w:r>
      <w:r>
        <w:rPr>
          <w:sz w:val="24"/>
        </w:rPr>
        <w:t>in</w:t>
      </w:r>
      <w:r>
        <w:rPr>
          <w:spacing w:val="12"/>
          <w:sz w:val="24"/>
        </w:rPr>
        <w:t> </w:t>
      </w:r>
      <w:r>
        <w:rPr>
          <w:spacing w:val="-3"/>
          <w:sz w:val="24"/>
        </w:rPr>
        <w:t>May.</w:t>
      </w:r>
    </w:p>
    <w:p>
      <w:pPr>
        <w:pStyle w:val="BodyText"/>
        <w:spacing w:before="10"/>
        <w:rPr>
          <w:sz w:val="31"/>
        </w:rPr>
      </w:pPr>
    </w:p>
    <w:p>
      <w:pPr>
        <w:pStyle w:val="Heading2"/>
        <w:ind w:firstLine="0"/>
      </w:pPr>
      <w:r>
        <w:rPr/>
        <w:t>The international environment</w:t>
      </w:r>
    </w:p>
    <w:p>
      <w:pPr>
        <w:pStyle w:val="BodyText"/>
        <w:rPr>
          <w:b/>
          <w:sz w:val="26"/>
        </w:rPr>
      </w:pPr>
    </w:p>
    <w:p>
      <w:pPr>
        <w:pStyle w:val="ListParagraph"/>
        <w:numPr>
          <w:ilvl w:val="0"/>
          <w:numId w:val="1"/>
        </w:numPr>
        <w:tabs>
          <w:tab w:pos="714" w:val="left" w:leader="none"/>
          <w:tab w:pos="715" w:val="left" w:leader="none"/>
        </w:tabs>
        <w:spacing w:line="364" w:lineRule="auto" w:before="190" w:after="0"/>
        <w:ind w:left="265" w:right="952" w:firstLine="0"/>
        <w:jc w:val="left"/>
        <w:rPr>
          <w:sz w:val="24"/>
        </w:rPr>
      </w:pPr>
      <w:r>
        <w:rPr>
          <w:sz w:val="24"/>
        </w:rPr>
        <w:t>There</w:t>
      </w:r>
      <w:r>
        <w:rPr>
          <w:spacing w:val="-5"/>
          <w:sz w:val="24"/>
        </w:rPr>
        <w:t> </w:t>
      </w:r>
      <w:r>
        <w:rPr>
          <w:sz w:val="24"/>
        </w:rPr>
        <w:t>was</w:t>
      </w:r>
      <w:r>
        <w:rPr>
          <w:spacing w:val="-4"/>
          <w:sz w:val="24"/>
        </w:rPr>
        <w:t> </w:t>
      </w:r>
      <w:r>
        <w:rPr>
          <w:sz w:val="24"/>
        </w:rPr>
        <w:t>some</w:t>
      </w:r>
      <w:r>
        <w:rPr>
          <w:spacing w:val="-4"/>
          <w:sz w:val="24"/>
        </w:rPr>
        <w:t> </w:t>
      </w:r>
      <w:r>
        <w:rPr>
          <w:sz w:val="24"/>
        </w:rPr>
        <w:t>evidence</w:t>
      </w:r>
      <w:r>
        <w:rPr>
          <w:spacing w:val="-4"/>
          <w:sz w:val="24"/>
        </w:rPr>
        <w:t> </w:t>
      </w:r>
      <w:r>
        <w:rPr>
          <w:sz w:val="24"/>
        </w:rPr>
        <w:t>that</w:t>
      </w:r>
      <w:r>
        <w:rPr>
          <w:spacing w:val="-4"/>
          <w:sz w:val="24"/>
        </w:rPr>
        <w:t> </w:t>
      </w:r>
      <w:r>
        <w:rPr>
          <w:sz w:val="24"/>
        </w:rPr>
        <w:t>the</w:t>
      </w:r>
      <w:r>
        <w:rPr>
          <w:spacing w:val="-4"/>
          <w:sz w:val="24"/>
        </w:rPr>
        <w:t> </w:t>
      </w:r>
      <w:r>
        <w:rPr>
          <w:sz w:val="24"/>
        </w:rPr>
        <w:t>US</w:t>
      </w:r>
      <w:r>
        <w:rPr>
          <w:spacing w:val="-4"/>
          <w:sz w:val="24"/>
        </w:rPr>
        <w:t> </w:t>
      </w:r>
      <w:r>
        <w:rPr>
          <w:sz w:val="24"/>
        </w:rPr>
        <w:t>economy</w:t>
      </w:r>
      <w:r>
        <w:rPr>
          <w:spacing w:val="-4"/>
          <w:sz w:val="24"/>
        </w:rPr>
        <w:t> </w:t>
      </w:r>
      <w:r>
        <w:rPr>
          <w:sz w:val="24"/>
        </w:rPr>
        <w:t>was</w:t>
      </w:r>
      <w:r>
        <w:rPr>
          <w:spacing w:val="-4"/>
          <w:sz w:val="24"/>
        </w:rPr>
        <w:t> </w:t>
      </w:r>
      <w:r>
        <w:rPr>
          <w:sz w:val="24"/>
        </w:rPr>
        <w:t>beginning</w:t>
      </w:r>
      <w:r>
        <w:rPr>
          <w:spacing w:val="-4"/>
          <w:sz w:val="24"/>
        </w:rPr>
        <w:t> </w:t>
      </w:r>
      <w:r>
        <w:rPr>
          <w:sz w:val="24"/>
        </w:rPr>
        <w:t>to</w:t>
      </w:r>
      <w:r>
        <w:rPr>
          <w:spacing w:val="-4"/>
          <w:sz w:val="24"/>
        </w:rPr>
        <w:t> </w:t>
      </w:r>
      <w:r>
        <w:rPr>
          <w:sz w:val="24"/>
        </w:rPr>
        <w:t>slow,</w:t>
      </w:r>
      <w:r>
        <w:rPr>
          <w:spacing w:val="-4"/>
          <w:sz w:val="24"/>
        </w:rPr>
        <w:t> </w:t>
      </w:r>
      <w:r>
        <w:rPr>
          <w:sz w:val="24"/>
        </w:rPr>
        <w:t>on</w:t>
      </w:r>
      <w:r>
        <w:rPr>
          <w:spacing w:val="-4"/>
          <w:sz w:val="24"/>
        </w:rPr>
        <w:t> </w:t>
      </w:r>
      <w:r>
        <w:rPr>
          <w:sz w:val="24"/>
        </w:rPr>
        <w:t>the</w:t>
      </w:r>
      <w:r>
        <w:rPr>
          <w:spacing w:val="-4"/>
          <w:sz w:val="24"/>
        </w:rPr>
        <w:t> </w:t>
      </w:r>
      <w:r>
        <w:rPr>
          <w:sz w:val="24"/>
        </w:rPr>
        <w:t>basis</w:t>
      </w:r>
      <w:r>
        <w:rPr>
          <w:spacing w:val="-4"/>
          <w:sz w:val="24"/>
        </w:rPr>
        <w:t> </w:t>
      </w:r>
      <w:r>
        <w:rPr>
          <w:sz w:val="24"/>
        </w:rPr>
        <w:t>of</w:t>
      </w:r>
      <w:r>
        <w:rPr>
          <w:spacing w:val="-4"/>
          <w:sz w:val="24"/>
        </w:rPr>
        <w:t> </w:t>
      </w:r>
      <w:r>
        <w:rPr>
          <w:spacing w:val="-2"/>
          <w:sz w:val="24"/>
        </w:rPr>
        <w:t>the </w:t>
      </w:r>
      <w:r>
        <w:rPr>
          <w:spacing w:val="-3"/>
          <w:sz w:val="24"/>
        </w:rPr>
        <w:t>non-farm </w:t>
      </w:r>
      <w:r>
        <w:rPr>
          <w:sz w:val="24"/>
        </w:rPr>
        <w:t>payrolls data, retail sales and industrial confidence, as measured by the</w:t>
      </w:r>
      <w:r>
        <w:rPr>
          <w:spacing w:val="27"/>
          <w:sz w:val="24"/>
        </w:rPr>
        <w:t> </w:t>
      </w:r>
      <w:r>
        <w:rPr>
          <w:sz w:val="24"/>
        </w:rPr>
        <w:t>National</w:t>
      </w:r>
    </w:p>
    <w:p>
      <w:pPr>
        <w:pStyle w:val="BodyText"/>
        <w:spacing w:line="362" w:lineRule="auto"/>
        <w:ind w:left="265" w:right="291"/>
      </w:pPr>
      <w:r>
        <w:rPr/>
        <w:t>Association of Purchasing Managers. Such a slowdown had long been expected, but growth in the United States seemed likely to remain relatively robust by historical standards, with core CPI inflation so far remaining subdued. The recovery in the euro area also appeared to be on track, with private sector forecasters now expecting growth of around 3¼% this year, with the harmonised index of consumer prices rising by close to 2%.</w:t>
      </w:r>
    </w:p>
    <w:p>
      <w:pPr>
        <w:pStyle w:val="BodyText"/>
        <w:spacing w:before="10"/>
        <w:rPr>
          <w:sz w:val="28"/>
        </w:rPr>
      </w:pPr>
    </w:p>
    <w:p>
      <w:pPr>
        <w:pStyle w:val="ListParagraph"/>
        <w:numPr>
          <w:ilvl w:val="0"/>
          <w:numId w:val="1"/>
        </w:numPr>
        <w:tabs>
          <w:tab w:pos="714" w:val="left" w:leader="none"/>
          <w:tab w:pos="715" w:val="left" w:leader="none"/>
        </w:tabs>
        <w:spacing w:line="360" w:lineRule="auto" w:before="0" w:after="0"/>
        <w:ind w:left="265" w:right="472" w:firstLine="0"/>
        <w:jc w:val="left"/>
        <w:rPr>
          <w:sz w:val="24"/>
        </w:rPr>
      </w:pPr>
      <w:r>
        <w:rPr>
          <w:sz w:val="24"/>
        </w:rPr>
        <w:t>In Japan the Tankan survey had been, if anything, a little stronger than expected, with much speculation about when the zero interest rate policy might end.</w:t>
      </w:r>
      <w:r>
        <w:rPr>
          <w:spacing w:val="10"/>
          <w:sz w:val="24"/>
        </w:rPr>
        <w:t> </w:t>
      </w:r>
      <w:r>
        <w:rPr>
          <w:sz w:val="24"/>
        </w:rPr>
        <w:t>While a change in monetary policy, in Japan as elsewhere, inevitably brought with it the risks that markets would extrapolate any move </w:t>
      </w:r>
      <w:r>
        <w:rPr>
          <w:spacing w:val="-3"/>
          <w:sz w:val="24"/>
        </w:rPr>
        <w:t>unduly </w:t>
      </w:r>
      <w:r>
        <w:rPr>
          <w:sz w:val="24"/>
        </w:rPr>
        <w:t>and </w:t>
      </w:r>
      <w:r>
        <w:rPr>
          <w:spacing w:val="-3"/>
          <w:sz w:val="24"/>
        </w:rPr>
        <w:t>hence react </w:t>
      </w:r>
      <w:r>
        <w:rPr>
          <w:sz w:val="24"/>
        </w:rPr>
        <w:t>in an </w:t>
      </w:r>
      <w:r>
        <w:rPr>
          <w:spacing w:val="-3"/>
          <w:sz w:val="24"/>
        </w:rPr>
        <w:t>exaggerated fashion, </w:t>
      </w:r>
      <w:r>
        <w:rPr>
          <w:sz w:val="24"/>
        </w:rPr>
        <w:t>the </w:t>
      </w:r>
      <w:r>
        <w:rPr>
          <w:spacing w:val="-3"/>
          <w:sz w:val="24"/>
        </w:rPr>
        <w:t>move when </w:t>
      </w:r>
      <w:r>
        <w:rPr>
          <w:sz w:val="24"/>
        </w:rPr>
        <w:t>it </w:t>
      </w:r>
      <w:r>
        <w:rPr>
          <w:spacing w:val="-3"/>
          <w:sz w:val="24"/>
        </w:rPr>
        <w:t>came </w:t>
      </w:r>
      <w:r>
        <w:rPr>
          <w:sz w:val="24"/>
        </w:rPr>
        <w:t>was </w:t>
      </w:r>
      <w:r>
        <w:rPr>
          <w:spacing w:val="-3"/>
          <w:sz w:val="24"/>
        </w:rPr>
        <w:t>unlikely </w:t>
      </w:r>
      <w:r>
        <w:rPr>
          <w:sz w:val="24"/>
        </w:rPr>
        <w:t>to be a surprise. In any case, the direct effects on the United Kingdom would probably </w:t>
      </w:r>
      <w:r>
        <w:rPr>
          <w:spacing w:val="-3"/>
          <w:sz w:val="24"/>
        </w:rPr>
        <w:t>not </w:t>
      </w:r>
      <w:r>
        <w:rPr>
          <w:sz w:val="24"/>
        </w:rPr>
        <w:t>be </w:t>
      </w:r>
      <w:r>
        <w:rPr>
          <w:spacing w:val="-4"/>
          <w:sz w:val="24"/>
        </w:rPr>
        <w:t>large, and </w:t>
      </w:r>
      <w:r>
        <w:rPr>
          <w:sz w:val="24"/>
        </w:rPr>
        <w:t>would depend on the reaction of the yen to any change in interest</w:t>
      </w:r>
      <w:r>
        <w:rPr>
          <w:spacing w:val="33"/>
          <w:sz w:val="24"/>
        </w:rPr>
        <w:t> </w:t>
      </w:r>
      <w:r>
        <w:rPr>
          <w:spacing w:val="-2"/>
          <w:sz w:val="24"/>
        </w:rPr>
        <w:t>rates.</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353" w:firstLine="0"/>
        <w:jc w:val="left"/>
        <w:rPr>
          <w:sz w:val="24"/>
        </w:rPr>
      </w:pPr>
      <w:r>
        <w:rPr>
          <w:sz w:val="24"/>
        </w:rPr>
        <w:t>Among the emerging market economies there were signs that growth in industrial production had peaked, after a rapid recovery in several of these countries, but the level of output remained</w:t>
      </w:r>
      <w:r>
        <w:rPr>
          <w:spacing w:val="-34"/>
          <w:sz w:val="24"/>
        </w:rPr>
        <w:t> </w:t>
      </w:r>
      <w:r>
        <w:rPr>
          <w:sz w:val="24"/>
        </w:rPr>
        <w:t>well above that of a year</w:t>
      </w:r>
      <w:r>
        <w:rPr>
          <w:spacing w:val="18"/>
          <w:sz w:val="24"/>
        </w:rPr>
        <w:t> </w:t>
      </w:r>
      <w:r>
        <w:rPr>
          <w:sz w:val="24"/>
        </w:rPr>
        <w:t>earlier.</w:t>
      </w:r>
    </w:p>
    <w:p>
      <w:pPr>
        <w:pStyle w:val="BodyText"/>
        <w:spacing w:before="3"/>
        <w:rPr>
          <w:sz w:val="32"/>
        </w:rPr>
      </w:pPr>
    </w:p>
    <w:p>
      <w:pPr>
        <w:pStyle w:val="Heading2"/>
        <w:ind w:firstLine="0"/>
      </w:pPr>
      <w:r>
        <w:rPr/>
        <w:t>Prices and costs</w:t>
      </w:r>
    </w:p>
    <w:p>
      <w:pPr>
        <w:pStyle w:val="BodyText"/>
        <w:rPr>
          <w:b/>
          <w:sz w:val="26"/>
        </w:rPr>
      </w:pPr>
    </w:p>
    <w:p>
      <w:pPr>
        <w:pStyle w:val="ListParagraph"/>
        <w:numPr>
          <w:ilvl w:val="0"/>
          <w:numId w:val="1"/>
        </w:numPr>
        <w:tabs>
          <w:tab w:pos="714" w:val="left" w:leader="none"/>
          <w:tab w:pos="715" w:val="left" w:leader="none"/>
        </w:tabs>
        <w:spacing w:line="362" w:lineRule="auto" w:before="190" w:after="0"/>
        <w:ind w:left="265" w:right="323" w:firstLine="0"/>
        <w:jc w:val="left"/>
        <w:rPr>
          <w:sz w:val="24"/>
        </w:rPr>
      </w:pPr>
      <w:r>
        <w:rPr>
          <w:sz w:val="24"/>
        </w:rPr>
        <w:t>The oil </w:t>
      </w:r>
      <w:r>
        <w:rPr>
          <w:spacing w:val="-3"/>
          <w:sz w:val="24"/>
        </w:rPr>
        <w:t>price </w:t>
      </w:r>
      <w:r>
        <w:rPr>
          <w:sz w:val="24"/>
        </w:rPr>
        <w:t>had </w:t>
      </w:r>
      <w:r>
        <w:rPr>
          <w:spacing w:val="-3"/>
          <w:sz w:val="24"/>
        </w:rPr>
        <w:t>stayed higher </w:t>
      </w:r>
      <w:r>
        <w:rPr>
          <w:sz w:val="24"/>
        </w:rPr>
        <w:t>for </w:t>
      </w:r>
      <w:r>
        <w:rPr>
          <w:spacing w:val="-3"/>
          <w:sz w:val="24"/>
        </w:rPr>
        <w:t>longer than assumed </w:t>
      </w:r>
      <w:r>
        <w:rPr>
          <w:sz w:val="24"/>
        </w:rPr>
        <w:t>in the May </w:t>
      </w:r>
      <w:r>
        <w:rPr>
          <w:i/>
          <w:sz w:val="24"/>
        </w:rPr>
        <w:t>Inflation Report</w:t>
      </w:r>
      <w:r>
        <w:rPr>
          <w:sz w:val="24"/>
        </w:rPr>
        <w:t>, averaging </w:t>
      </w:r>
      <w:r>
        <w:rPr>
          <w:spacing w:val="-3"/>
          <w:sz w:val="24"/>
        </w:rPr>
        <w:t>around </w:t>
      </w:r>
      <w:r>
        <w:rPr>
          <w:sz w:val="24"/>
        </w:rPr>
        <w:t>$27 per barrel in 2000 Q2, as against just over $23 per barrel assumed in May. To the extent that the proceeds from higher oil prices were not spent by the producers, or by governments which enjoyed higher </w:t>
      </w:r>
      <w:r>
        <w:rPr>
          <w:spacing w:val="-3"/>
          <w:sz w:val="24"/>
        </w:rPr>
        <w:t>oil-related </w:t>
      </w:r>
      <w:r>
        <w:rPr>
          <w:sz w:val="24"/>
        </w:rPr>
        <w:t>tax revenues, this would reduce demand, in a similar way to an increase in indirect</w:t>
      </w:r>
      <w:r>
        <w:rPr>
          <w:spacing w:val="-2"/>
          <w:sz w:val="24"/>
        </w:rPr>
        <w:t> </w:t>
      </w:r>
      <w:r>
        <w:rPr>
          <w:sz w:val="24"/>
        </w:rPr>
        <w:t>taxes.</w:t>
      </w:r>
    </w:p>
    <w:p>
      <w:pPr>
        <w:pStyle w:val="BodyText"/>
        <w:spacing w:before="1"/>
        <w:rPr>
          <w:sz w:val="30"/>
        </w:rPr>
      </w:pPr>
    </w:p>
    <w:p>
      <w:pPr>
        <w:pStyle w:val="ListParagraph"/>
        <w:numPr>
          <w:ilvl w:val="0"/>
          <w:numId w:val="1"/>
        </w:numPr>
        <w:tabs>
          <w:tab w:pos="715" w:val="left" w:leader="none"/>
        </w:tabs>
        <w:spacing w:line="240" w:lineRule="auto" w:before="1" w:after="0"/>
        <w:ind w:left="715" w:right="0" w:hanging="450"/>
        <w:jc w:val="both"/>
        <w:rPr>
          <w:sz w:val="24"/>
        </w:rPr>
      </w:pPr>
      <w:r>
        <w:rPr>
          <w:sz w:val="24"/>
        </w:rPr>
        <w:t>The direct impact on RPIX was more obvious, with higher petrol prices</w:t>
      </w:r>
      <w:r>
        <w:rPr>
          <w:spacing w:val="31"/>
          <w:sz w:val="24"/>
        </w:rPr>
        <w:t> </w:t>
      </w:r>
      <w:r>
        <w:rPr>
          <w:spacing w:val="-2"/>
          <w:sz w:val="24"/>
        </w:rPr>
        <w:t>contributing</w:t>
      </w:r>
    </w:p>
    <w:p>
      <w:pPr>
        <w:pStyle w:val="BodyText"/>
        <w:spacing w:line="357" w:lineRule="auto" w:before="144"/>
        <w:ind w:left="265" w:right="488"/>
        <w:jc w:val="both"/>
      </w:pPr>
      <w:r>
        <w:rPr/>
        <w:t>0.5 </w:t>
      </w:r>
      <w:r>
        <w:rPr>
          <w:spacing w:val="-4"/>
        </w:rPr>
        <w:t>percentage </w:t>
      </w:r>
      <w:r>
        <w:rPr/>
        <w:t>points to the annual inflation rate in May. While the outlook for oil prices remained uncertain,</w:t>
      </w:r>
      <w:r>
        <w:rPr>
          <w:spacing w:val="-4"/>
        </w:rPr>
        <w:t> </w:t>
      </w:r>
      <w:r>
        <w:rPr/>
        <w:t>it</w:t>
      </w:r>
      <w:r>
        <w:rPr>
          <w:spacing w:val="-4"/>
        </w:rPr>
        <w:t> </w:t>
      </w:r>
      <w:r>
        <w:rPr/>
        <w:t>was</w:t>
      </w:r>
      <w:r>
        <w:rPr>
          <w:spacing w:val="-4"/>
        </w:rPr>
        <w:t> </w:t>
      </w:r>
      <w:r>
        <w:rPr/>
        <w:t>possible</w:t>
      </w:r>
      <w:r>
        <w:rPr>
          <w:spacing w:val="-4"/>
        </w:rPr>
        <w:t> </w:t>
      </w:r>
      <w:r>
        <w:rPr/>
        <w:t>that</w:t>
      </w:r>
      <w:r>
        <w:rPr>
          <w:spacing w:val="-3"/>
        </w:rPr>
        <w:t> </w:t>
      </w:r>
      <w:r>
        <w:rPr/>
        <w:t>recent</w:t>
      </w:r>
      <w:r>
        <w:rPr>
          <w:spacing w:val="-4"/>
        </w:rPr>
        <w:t> </w:t>
      </w:r>
      <w:r>
        <w:rPr/>
        <w:t>announcements</w:t>
      </w:r>
      <w:r>
        <w:rPr>
          <w:spacing w:val="-4"/>
        </w:rPr>
        <w:t> </w:t>
      </w:r>
      <w:r>
        <w:rPr/>
        <w:t>of</w:t>
      </w:r>
      <w:r>
        <w:rPr>
          <w:spacing w:val="-4"/>
        </w:rPr>
        <w:t> </w:t>
      </w:r>
      <w:r>
        <w:rPr/>
        <w:t>increased</w:t>
      </w:r>
      <w:r>
        <w:rPr>
          <w:spacing w:val="-4"/>
        </w:rPr>
        <w:t> </w:t>
      </w:r>
      <w:r>
        <w:rPr/>
        <w:t>production</w:t>
      </w:r>
      <w:r>
        <w:rPr>
          <w:spacing w:val="-3"/>
        </w:rPr>
        <w:t> </w:t>
      </w:r>
      <w:r>
        <w:rPr/>
        <w:t>would</w:t>
      </w:r>
      <w:r>
        <w:rPr>
          <w:spacing w:val="-4"/>
        </w:rPr>
        <w:t> </w:t>
      </w:r>
      <w:r>
        <w:rPr/>
        <w:t>lead</w:t>
      </w:r>
      <w:r>
        <w:rPr>
          <w:spacing w:val="-4"/>
        </w:rPr>
        <w:t> </w:t>
      </w:r>
      <w:r>
        <w:rPr/>
        <w:t>to</w:t>
      </w:r>
      <w:r>
        <w:rPr>
          <w:spacing w:val="-4"/>
        </w:rPr>
        <w:t> </w:t>
      </w:r>
      <w:r>
        <w:rPr/>
        <w:t>a</w:t>
      </w:r>
      <w:r>
        <w:rPr>
          <w:spacing w:val="-3"/>
        </w:rPr>
        <w:t> </w:t>
      </w:r>
      <w:r>
        <w:rPr/>
        <w:t>fall</w:t>
      </w:r>
      <w:r>
        <w:rPr>
          <w:spacing w:val="-4"/>
        </w:rPr>
        <w:t> </w:t>
      </w:r>
      <w:r>
        <w:rPr/>
        <w:t>in prices, although perhaps not to the levels assumed in the May </w:t>
      </w:r>
      <w:r>
        <w:rPr>
          <w:i/>
        </w:rPr>
        <w:t>Inflation</w:t>
      </w:r>
      <w:r>
        <w:rPr>
          <w:i/>
          <w:spacing w:val="-23"/>
        </w:rPr>
        <w:t> </w:t>
      </w:r>
      <w:r>
        <w:rPr>
          <w:i/>
        </w:rPr>
        <w:t>Report</w:t>
      </w:r>
      <w:r>
        <w:rPr/>
        <w:t>.</w:t>
      </w:r>
    </w:p>
    <w:p>
      <w:pPr>
        <w:pStyle w:val="BodyText"/>
        <w:spacing w:before="3"/>
        <w:rPr>
          <w:sz w:val="32"/>
        </w:rPr>
      </w:pPr>
    </w:p>
    <w:p>
      <w:pPr>
        <w:pStyle w:val="ListParagraph"/>
        <w:numPr>
          <w:ilvl w:val="0"/>
          <w:numId w:val="1"/>
        </w:numPr>
        <w:tabs>
          <w:tab w:pos="714" w:val="left" w:leader="none"/>
          <w:tab w:pos="715" w:val="left" w:leader="none"/>
        </w:tabs>
        <w:spacing w:line="357" w:lineRule="auto" w:before="0" w:after="0"/>
        <w:ind w:left="265" w:right="533" w:firstLine="0"/>
        <w:jc w:val="left"/>
        <w:rPr>
          <w:sz w:val="24"/>
        </w:rPr>
      </w:pPr>
      <w:r>
        <w:rPr>
          <w:sz w:val="24"/>
        </w:rPr>
        <w:t>To the extent that higher oil prices had already fed through into retail prices, or would do so shortly, the effect might be to raise the short-term profile of RPIX inflation closer to target, while reducing pressure on prices further ahead. This might be more likely if the rise in oil prices</w:t>
      </w:r>
      <w:r>
        <w:rPr>
          <w:spacing w:val="-29"/>
          <w:sz w:val="24"/>
        </w:rPr>
        <w:t> </w:t>
      </w:r>
      <w:r>
        <w:rPr>
          <w:spacing w:val="-2"/>
          <w:sz w:val="24"/>
        </w:rPr>
        <w:t>indeed </w:t>
      </w:r>
      <w:r>
        <w:rPr>
          <w:spacing w:val="-4"/>
          <w:sz w:val="24"/>
        </w:rPr>
        <w:t>proved </w:t>
      </w:r>
      <w:r>
        <w:rPr>
          <w:spacing w:val="-3"/>
          <w:sz w:val="24"/>
        </w:rPr>
        <w:t>short-lived, </w:t>
      </w:r>
      <w:r>
        <w:rPr>
          <w:sz w:val="24"/>
        </w:rPr>
        <w:t>although it was possible that there would nevertheless be second-round effects from higher oil prices, in which case the effects would be less</w:t>
      </w:r>
      <w:r>
        <w:rPr>
          <w:spacing w:val="27"/>
          <w:sz w:val="24"/>
        </w:rPr>
        <w:t> </w:t>
      </w:r>
      <w:r>
        <w:rPr>
          <w:sz w:val="24"/>
        </w:rPr>
        <w:t>benign.</w:t>
      </w:r>
    </w:p>
    <w:p>
      <w:pPr>
        <w:pStyle w:val="BodyText"/>
        <w:spacing w:before="2"/>
        <w:rPr>
          <w:sz w:val="31"/>
        </w:rPr>
      </w:pPr>
    </w:p>
    <w:p>
      <w:pPr>
        <w:pStyle w:val="ListParagraph"/>
        <w:numPr>
          <w:ilvl w:val="0"/>
          <w:numId w:val="1"/>
        </w:numPr>
        <w:tabs>
          <w:tab w:pos="714" w:val="left" w:leader="none"/>
          <w:tab w:pos="715" w:val="left" w:leader="none"/>
        </w:tabs>
        <w:spacing w:line="362" w:lineRule="auto" w:before="0" w:after="0"/>
        <w:ind w:left="265" w:right="263" w:firstLine="0"/>
        <w:jc w:val="left"/>
        <w:rPr>
          <w:sz w:val="24"/>
        </w:rPr>
      </w:pPr>
      <w:r>
        <w:rPr>
          <w:sz w:val="24"/>
        </w:rPr>
        <w:t>RPIX had risen by 2.0% in the year to May. This included upwards effects from higher </w:t>
      </w:r>
      <w:r>
        <w:rPr>
          <w:spacing w:val="-2"/>
          <w:sz w:val="24"/>
        </w:rPr>
        <w:t>oil </w:t>
      </w:r>
      <w:r>
        <w:rPr>
          <w:sz w:val="24"/>
        </w:rPr>
        <w:t>prices and house price inflation, and dampening effects from lower utilities prices and the exchange rate. Some members noted that some measures of core inflation were below actual inflation, suggesting that inflation would fall for a time. For example, the twelve-month change in RPIX excluding food, drink, tobacco, petroleum and other energy products had now fallen to 1.7%. But it was unclear how much information about the prospects for inflation could be gleaned from such a disaggregation; the aggregate price level should not be affected in the medium term by relative shifts in its</w:t>
      </w:r>
      <w:r>
        <w:rPr>
          <w:spacing w:val="9"/>
          <w:sz w:val="24"/>
        </w:rPr>
        <w:t> </w:t>
      </w:r>
      <w:r>
        <w:rPr>
          <w:sz w:val="24"/>
        </w:rPr>
        <w:t>components.</w:t>
      </w:r>
    </w:p>
    <w:p>
      <w:pPr>
        <w:spacing w:after="0" w:line="362"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57" w:lineRule="auto" w:before="91" w:after="0"/>
        <w:ind w:left="265" w:right="368" w:firstLine="0"/>
        <w:jc w:val="left"/>
        <w:rPr>
          <w:sz w:val="24"/>
        </w:rPr>
      </w:pPr>
      <w:r>
        <w:rPr>
          <w:sz w:val="24"/>
        </w:rPr>
        <w:t>There was some evidence from the CBI Distributive Trades survey that downward pressures on retail prices had intensified, with the balance in 2000 Q2 at –6, as against +18 in 1999 Q2. By contrast, surveys of manufacturing and services prices by the British Chambers of Commerce suggested that output price pressures were much stronger in 2000 Q1 than in 1999 Q2. It remained to be seen whether this pressure on margins would be</w:t>
      </w:r>
      <w:r>
        <w:rPr>
          <w:spacing w:val="13"/>
          <w:sz w:val="24"/>
        </w:rPr>
        <w:t> </w:t>
      </w:r>
      <w:r>
        <w:rPr>
          <w:sz w:val="24"/>
        </w:rPr>
        <w:t>sustained.</w:t>
      </w:r>
    </w:p>
    <w:p>
      <w:pPr>
        <w:pStyle w:val="BodyText"/>
        <w:spacing w:before="5"/>
        <w:rPr>
          <w:sz w:val="32"/>
        </w:rPr>
      </w:pPr>
    </w:p>
    <w:p>
      <w:pPr>
        <w:pStyle w:val="ListParagraph"/>
        <w:numPr>
          <w:ilvl w:val="0"/>
          <w:numId w:val="1"/>
        </w:numPr>
        <w:tabs>
          <w:tab w:pos="714" w:val="left" w:leader="none"/>
          <w:tab w:pos="715" w:val="left" w:leader="none"/>
        </w:tabs>
        <w:spacing w:line="357" w:lineRule="auto" w:before="1" w:after="0"/>
        <w:ind w:left="265" w:right="337" w:firstLine="0"/>
        <w:jc w:val="left"/>
        <w:rPr>
          <w:sz w:val="24"/>
        </w:rPr>
      </w:pPr>
      <w:r>
        <w:rPr>
          <w:sz w:val="24"/>
        </w:rPr>
        <w:t>As a result of higher oil prices and a weaker exchange rate, the Committee agreed that inflation over the rest of this year might move closer to the 2½% target than had seemed likely at the time of the May </w:t>
      </w:r>
      <w:r>
        <w:rPr>
          <w:i/>
          <w:sz w:val="24"/>
        </w:rPr>
        <w:t>Inflation Report</w:t>
      </w:r>
      <w:r>
        <w:rPr>
          <w:sz w:val="24"/>
        </w:rPr>
        <w:t>. If inflation over the medium term were likely to be above its target, </w:t>
      </w:r>
      <w:r>
        <w:rPr>
          <w:spacing w:val="-2"/>
          <w:sz w:val="24"/>
        </w:rPr>
        <w:t>rather </w:t>
      </w:r>
      <w:r>
        <w:rPr>
          <w:sz w:val="24"/>
        </w:rPr>
        <w:t>higher inflation now might mean that the Committee had less time to wait before it needed to raise </w:t>
      </w:r>
      <w:r>
        <w:rPr>
          <w:spacing w:val="-3"/>
          <w:sz w:val="24"/>
        </w:rPr>
        <w:t>rates. </w:t>
      </w:r>
      <w:r>
        <w:rPr>
          <w:sz w:val="24"/>
        </w:rPr>
        <w:t>But it was </w:t>
      </w:r>
      <w:r>
        <w:rPr>
          <w:spacing w:val="-3"/>
          <w:sz w:val="24"/>
        </w:rPr>
        <w:t>unclear whether </w:t>
      </w:r>
      <w:r>
        <w:rPr>
          <w:sz w:val="24"/>
        </w:rPr>
        <w:t>the </w:t>
      </w:r>
      <w:r>
        <w:rPr>
          <w:spacing w:val="-3"/>
          <w:sz w:val="24"/>
        </w:rPr>
        <w:t>risks </w:t>
      </w:r>
      <w:r>
        <w:rPr>
          <w:sz w:val="24"/>
        </w:rPr>
        <w:t>to </w:t>
      </w:r>
      <w:r>
        <w:rPr>
          <w:spacing w:val="-3"/>
          <w:sz w:val="24"/>
        </w:rPr>
        <w:t>inflation over </w:t>
      </w:r>
      <w:r>
        <w:rPr>
          <w:sz w:val="24"/>
        </w:rPr>
        <w:t>the </w:t>
      </w:r>
      <w:r>
        <w:rPr>
          <w:spacing w:val="-3"/>
          <w:sz w:val="24"/>
        </w:rPr>
        <w:t>medium term were </w:t>
      </w:r>
      <w:r>
        <w:rPr>
          <w:sz w:val="24"/>
        </w:rPr>
        <w:t>on the </w:t>
      </w:r>
      <w:r>
        <w:rPr>
          <w:spacing w:val="-3"/>
          <w:sz w:val="24"/>
        </w:rPr>
        <w:t>upside, or </w:t>
      </w:r>
      <w:r>
        <w:rPr>
          <w:sz w:val="24"/>
        </w:rPr>
        <w:t>indeed whether higher-than-expected retail prices in the short term had significant implications for inflation further</w:t>
      </w:r>
      <w:r>
        <w:rPr>
          <w:spacing w:val="11"/>
          <w:sz w:val="24"/>
        </w:rPr>
        <w:t> </w:t>
      </w:r>
      <w:r>
        <w:rPr>
          <w:spacing w:val="-2"/>
          <w:sz w:val="24"/>
        </w:rPr>
        <w:t>ahead.</w:t>
      </w:r>
    </w:p>
    <w:p>
      <w:pPr>
        <w:pStyle w:val="BodyText"/>
        <w:spacing w:before="8"/>
        <w:rPr>
          <w:sz w:val="32"/>
        </w:rPr>
      </w:pPr>
    </w:p>
    <w:p>
      <w:pPr>
        <w:pStyle w:val="Heading2"/>
        <w:ind w:firstLine="0"/>
      </w:pPr>
      <w:r>
        <w:rPr/>
        <w:t>Tactical considerations</w:t>
      </w:r>
    </w:p>
    <w:p>
      <w:pPr>
        <w:pStyle w:val="BodyText"/>
        <w:rPr>
          <w:b/>
          <w:sz w:val="26"/>
        </w:rPr>
      </w:pPr>
    </w:p>
    <w:p>
      <w:pPr>
        <w:pStyle w:val="ListParagraph"/>
        <w:numPr>
          <w:ilvl w:val="0"/>
          <w:numId w:val="1"/>
        </w:numPr>
        <w:tabs>
          <w:tab w:pos="714" w:val="left" w:leader="none"/>
          <w:tab w:pos="715" w:val="left" w:leader="none"/>
        </w:tabs>
        <w:spacing w:line="360" w:lineRule="auto" w:before="205" w:after="0"/>
        <w:ind w:left="265" w:right="293" w:firstLine="0"/>
        <w:jc w:val="left"/>
        <w:rPr>
          <w:sz w:val="24"/>
        </w:rPr>
      </w:pPr>
      <w:r>
        <w:rPr>
          <w:sz w:val="24"/>
        </w:rPr>
        <w:t>The Committee noted that there was very little expectation in the market of a change in the repo rate this month, and that neither the FOMC nor the European Central Bank was expected to move rates in the immediate future. Against that background, there was a risk that any change in UK rates would lead to a larger movement in interest rate expectations than would be warranted, with a corresponding effect on the exchange rate. While this might be a reason for leaving rates at 6%, it did not of </w:t>
      </w:r>
      <w:r>
        <w:rPr>
          <w:spacing w:val="-3"/>
          <w:sz w:val="24"/>
        </w:rPr>
        <w:t>itself preclude </w:t>
      </w:r>
      <w:r>
        <w:rPr>
          <w:sz w:val="24"/>
        </w:rPr>
        <w:t>a </w:t>
      </w:r>
      <w:r>
        <w:rPr>
          <w:spacing w:val="-3"/>
          <w:sz w:val="24"/>
        </w:rPr>
        <w:t>change </w:t>
      </w:r>
      <w:r>
        <w:rPr>
          <w:sz w:val="24"/>
        </w:rPr>
        <w:t>in </w:t>
      </w:r>
      <w:r>
        <w:rPr>
          <w:spacing w:val="-3"/>
          <w:sz w:val="24"/>
        </w:rPr>
        <w:t>rates this month </w:t>
      </w:r>
      <w:r>
        <w:rPr>
          <w:sz w:val="24"/>
        </w:rPr>
        <w:t>if </w:t>
      </w:r>
      <w:r>
        <w:rPr>
          <w:spacing w:val="-3"/>
          <w:sz w:val="24"/>
        </w:rPr>
        <w:t>there were good reasons </w:t>
      </w:r>
      <w:r>
        <w:rPr>
          <w:sz w:val="24"/>
        </w:rPr>
        <w:t>to </w:t>
      </w:r>
      <w:r>
        <w:rPr>
          <w:spacing w:val="-3"/>
          <w:sz w:val="24"/>
        </w:rPr>
        <w:t>move </w:t>
      </w:r>
      <w:r>
        <w:rPr>
          <w:sz w:val="24"/>
        </w:rPr>
        <w:t>in </w:t>
      </w:r>
      <w:r>
        <w:rPr>
          <w:spacing w:val="-3"/>
          <w:sz w:val="24"/>
        </w:rPr>
        <w:t>terms of </w:t>
      </w:r>
      <w:r>
        <w:rPr>
          <w:sz w:val="24"/>
        </w:rPr>
        <w:t>the outlook for inflation. As always, if rates were to be changed unexpectedly, it would be necessary to set out clearly the reasons for the Committee’s</w:t>
      </w:r>
      <w:r>
        <w:rPr>
          <w:spacing w:val="16"/>
          <w:sz w:val="24"/>
        </w:rPr>
        <w:t> </w:t>
      </w:r>
      <w:r>
        <w:rPr>
          <w:sz w:val="24"/>
        </w:rPr>
        <w:t>decision.</w:t>
      </w:r>
    </w:p>
    <w:p>
      <w:pPr>
        <w:pStyle w:val="BodyText"/>
        <w:spacing w:before="3"/>
        <w:rPr>
          <w:sz w:val="30"/>
        </w:rPr>
      </w:pPr>
    </w:p>
    <w:p>
      <w:pPr>
        <w:pStyle w:val="ListParagraph"/>
        <w:numPr>
          <w:ilvl w:val="0"/>
          <w:numId w:val="1"/>
        </w:numPr>
        <w:tabs>
          <w:tab w:pos="714" w:val="left" w:leader="none"/>
          <w:tab w:pos="715" w:val="left" w:leader="none"/>
        </w:tabs>
        <w:spacing w:line="360" w:lineRule="auto" w:before="1" w:after="0"/>
        <w:ind w:left="265" w:right="398" w:firstLine="0"/>
        <w:jc w:val="left"/>
        <w:rPr>
          <w:sz w:val="24"/>
        </w:rPr>
      </w:pPr>
      <w:r>
        <w:rPr>
          <w:sz w:val="24"/>
        </w:rPr>
        <w:t>The Committee agreed that it was difficult to calibrate the effects of the recent slowdown in domestic demand on inflation prospects over the medium term. By comparison some felt that </w:t>
      </w:r>
      <w:r>
        <w:rPr>
          <w:spacing w:val="-2"/>
          <w:sz w:val="24"/>
        </w:rPr>
        <w:t>the </w:t>
      </w:r>
      <w:r>
        <w:rPr>
          <w:sz w:val="24"/>
        </w:rPr>
        <w:t>effects of the weaker exchange rate and lower-than-expected average earnings would be easier to calibrate, although even in these cases it would be necessary to re-examine some of the assumptions </w:t>
      </w:r>
      <w:r>
        <w:rPr>
          <w:spacing w:val="-3"/>
          <w:sz w:val="24"/>
        </w:rPr>
        <w:t>made about </w:t>
      </w:r>
      <w:r>
        <w:rPr>
          <w:sz w:val="24"/>
        </w:rPr>
        <w:t>the </w:t>
      </w:r>
      <w:r>
        <w:rPr>
          <w:spacing w:val="-3"/>
          <w:sz w:val="24"/>
        </w:rPr>
        <w:t>pass-through </w:t>
      </w:r>
      <w:r>
        <w:rPr>
          <w:sz w:val="24"/>
        </w:rPr>
        <w:t>into prices over the medium term. The forthcoming forecast round provided an opportunity to assess the relative impacts of these developments in some detail, and the </w:t>
      </w:r>
      <w:r>
        <w:rPr>
          <w:spacing w:val="-4"/>
          <w:sz w:val="24"/>
        </w:rPr>
        <w:t>August </w:t>
      </w:r>
      <w:r>
        <w:rPr>
          <w:i/>
          <w:sz w:val="24"/>
        </w:rPr>
        <w:t>Inflation Report </w:t>
      </w:r>
      <w:r>
        <w:rPr>
          <w:sz w:val="24"/>
        </w:rPr>
        <w:t>a </w:t>
      </w:r>
      <w:r>
        <w:rPr>
          <w:spacing w:val="-3"/>
          <w:sz w:val="24"/>
        </w:rPr>
        <w:t>means </w:t>
      </w:r>
      <w:r>
        <w:rPr>
          <w:sz w:val="24"/>
        </w:rPr>
        <w:t>of </w:t>
      </w:r>
      <w:r>
        <w:rPr>
          <w:spacing w:val="-3"/>
          <w:sz w:val="24"/>
        </w:rPr>
        <w:t>explaining </w:t>
      </w:r>
      <w:r>
        <w:rPr>
          <w:sz w:val="24"/>
        </w:rPr>
        <w:t>how </w:t>
      </w:r>
      <w:r>
        <w:rPr>
          <w:spacing w:val="-3"/>
          <w:sz w:val="24"/>
        </w:rPr>
        <w:t>this analysis </w:t>
      </w:r>
      <w:r>
        <w:rPr>
          <w:sz w:val="24"/>
        </w:rPr>
        <w:t>had </w:t>
      </w:r>
      <w:r>
        <w:rPr>
          <w:spacing w:val="-3"/>
          <w:sz w:val="24"/>
        </w:rPr>
        <w:t>influenced </w:t>
      </w:r>
      <w:r>
        <w:rPr>
          <w:sz w:val="24"/>
        </w:rPr>
        <w:t>the </w:t>
      </w:r>
      <w:r>
        <w:rPr>
          <w:spacing w:val="-3"/>
          <w:sz w:val="24"/>
        </w:rPr>
        <w:t>views </w:t>
      </w:r>
      <w:r>
        <w:rPr>
          <w:sz w:val="24"/>
        </w:rPr>
        <w:t>of </w:t>
      </w:r>
      <w:r>
        <w:rPr>
          <w:spacing w:val="-3"/>
          <w:sz w:val="24"/>
        </w:rPr>
        <w:t>the </w:t>
      </w:r>
      <w:r>
        <w:rPr>
          <w:sz w:val="24"/>
        </w:rPr>
        <w:t>Committee.</w:t>
      </w:r>
    </w:p>
    <w:p>
      <w:pPr>
        <w:spacing w:after="0" w:line="360" w:lineRule="auto"/>
        <w:jc w:val="left"/>
        <w:rPr>
          <w:sz w:val="24"/>
        </w:rPr>
        <w:sectPr>
          <w:pgSz w:w="12240" w:h="15840"/>
          <w:pgMar w:header="521" w:footer="0" w:top="1500" w:bottom="280" w:left="1340" w:right="620"/>
        </w:sectPr>
      </w:pPr>
    </w:p>
    <w:p>
      <w:pPr>
        <w:pStyle w:val="Heading2"/>
        <w:spacing w:before="91"/>
        <w:ind w:firstLine="0"/>
      </w:pPr>
      <w:r>
        <w:rPr/>
        <w:t>The immediate policy decision</w:t>
      </w:r>
    </w:p>
    <w:p>
      <w:pPr>
        <w:pStyle w:val="BodyText"/>
        <w:rPr>
          <w:b/>
          <w:sz w:val="26"/>
        </w:rPr>
      </w:pPr>
    </w:p>
    <w:p>
      <w:pPr>
        <w:pStyle w:val="ListParagraph"/>
        <w:numPr>
          <w:ilvl w:val="0"/>
          <w:numId w:val="1"/>
        </w:numPr>
        <w:tabs>
          <w:tab w:pos="714" w:val="left" w:leader="none"/>
          <w:tab w:pos="715" w:val="left" w:leader="none"/>
        </w:tabs>
        <w:spacing w:line="364" w:lineRule="auto" w:before="190" w:after="0"/>
        <w:ind w:left="265" w:right="622" w:firstLine="0"/>
        <w:jc w:val="left"/>
        <w:rPr>
          <w:sz w:val="24"/>
        </w:rPr>
      </w:pPr>
      <w:r>
        <w:rPr>
          <w:sz w:val="24"/>
        </w:rPr>
        <w:t>The Committee agreed that the news on the month was weaker than expected, with signs of</w:t>
      </w:r>
      <w:r>
        <w:rPr>
          <w:spacing w:val="-24"/>
          <w:sz w:val="24"/>
        </w:rPr>
        <w:t> </w:t>
      </w:r>
      <w:r>
        <w:rPr>
          <w:sz w:val="24"/>
        </w:rPr>
        <w:t>a </w:t>
      </w:r>
      <w:r>
        <w:rPr>
          <w:spacing w:val="-3"/>
          <w:sz w:val="24"/>
        </w:rPr>
        <w:t>slowdown</w:t>
      </w:r>
      <w:r>
        <w:rPr>
          <w:spacing w:val="7"/>
          <w:sz w:val="24"/>
        </w:rPr>
        <w:t> </w:t>
      </w:r>
      <w:r>
        <w:rPr>
          <w:sz w:val="24"/>
        </w:rPr>
        <w:t>in</w:t>
      </w:r>
      <w:r>
        <w:rPr>
          <w:spacing w:val="6"/>
          <w:sz w:val="24"/>
        </w:rPr>
        <w:t> </w:t>
      </w:r>
      <w:r>
        <w:rPr>
          <w:spacing w:val="-3"/>
          <w:sz w:val="24"/>
        </w:rPr>
        <w:t>domestic</w:t>
      </w:r>
      <w:r>
        <w:rPr>
          <w:spacing w:val="7"/>
          <w:sz w:val="24"/>
        </w:rPr>
        <w:t> </w:t>
      </w:r>
      <w:r>
        <w:rPr>
          <w:spacing w:val="-3"/>
          <w:sz w:val="24"/>
        </w:rPr>
        <w:t>demand,</w:t>
      </w:r>
      <w:r>
        <w:rPr>
          <w:spacing w:val="7"/>
          <w:sz w:val="24"/>
        </w:rPr>
        <w:t> </w:t>
      </w:r>
      <w:r>
        <w:rPr>
          <w:sz w:val="24"/>
        </w:rPr>
        <w:t>for</w:t>
      </w:r>
      <w:r>
        <w:rPr>
          <w:spacing w:val="7"/>
          <w:sz w:val="24"/>
        </w:rPr>
        <w:t> </w:t>
      </w:r>
      <w:r>
        <w:rPr>
          <w:spacing w:val="-3"/>
          <w:sz w:val="24"/>
        </w:rPr>
        <w:t>instance</w:t>
      </w:r>
      <w:r>
        <w:rPr>
          <w:spacing w:val="7"/>
          <w:sz w:val="24"/>
        </w:rPr>
        <w:t> </w:t>
      </w:r>
      <w:r>
        <w:rPr>
          <w:sz w:val="24"/>
        </w:rPr>
        <w:t>in</w:t>
      </w:r>
      <w:r>
        <w:rPr>
          <w:spacing w:val="7"/>
          <w:sz w:val="24"/>
        </w:rPr>
        <w:t> </w:t>
      </w:r>
      <w:r>
        <w:rPr>
          <w:spacing w:val="-3"/>
          <w:sz w:val="24"/>
        </w:rPr>
        <w:t>retail</w:t>
      </w:r>
      <w:r>
        <w:rPr>
          <w:spacing w:val="7"/>
          <w:sz w:val="24"/>
        </w:rPr>
        <w:t> </w:t>
      </w:r>
      <w:r>
        <w:rPr>
          <w:spacing w:val="-3"/>
          <w:sz w:val="24"/>
        </w:rPr>
        <w:t>sales</w:t>
      </w:r>
      <w:r>
        <w:rPr>
          <w:spacing w:val="7"/>
          <w:sz w:val="24"/>
        </w:rPr>
        <w:t> </w:t>
      </w:r>
      <w:r>
        <w:rPr>
          <w:sz w:val="24"/>
        </w:rPr>
        <w:t>and</w:t>
      </w:r>
      <w:r>
        <w:rPr>
          <w:spacing w:val="7"/>
          <w:sz w:val="24"/>
        </w:rPr>
        <w:t> </w:t>
      </w:r>
      <w:r>
        <w:rPr>
          <w:sz w:val="24"/>
        </w:rPr>
        <w:t>the</w:t>
      </w:r>
      <w:r>
        <w:rPr>
          <w:spacing w:val="7"/>
          <w:sz w:val="24"/>
        </w:rPr>
        <w:t> </w:t>
      </w:r>
      <w:r>
        <w:rPr>
          <w:spacing w:val="-3"/>
          <w:sz w:val="24"/>
        </w:rPr>
        <w:t>housing</w:t>
      </w:r>
      <w:r>
        <w:rPr>
          <w:spacing w:val="7"/>
          <w:sz w:val="24"/>
        </w:rPr>
        <w:t> </w:t>
      </w:r>
      <w:r>
        <w:rPr>
          <w:spacing w:val="-3"/>
          <w:sz w:val="24"/>
        </w:rPr>
        <w:t>market,</w:t>
      </w:r>
      <w:r>
        <w:rPr>
          <w:spacing w:val="7"/>
          <w:sz w:val="24"/>
        </w:rPr>
        <w:t> </w:t>
      </w:r>
      <w:r>
        <w:rPr>
          <w:spacing w:val="-3"/>
          <w:sz w:val="24"/>
        </w:rPr>
        <w:t>and</w:t>
      </w:r>
    </w:p>
    <w:p>
      <w:pPr>
        <w:pStyle w:val="BodyText"/>
        <w:spacing w:line="357" w:lineRule="auto" w:before="1"/>
        <w:ind w:left="265" w:right="298"/>
      </w:pPr>
      <w:r>
        <w:rPr/>
        <w:t>lower-than-expected, although possibly erratic, average earnings numbers. The question for some was rather whether the news in the two months since the May </w:t>
      </w:r>
      <w:r>
        <w:rPr>
          <w:i/>
        </w:rPr>
        <w:t>Inflation Report </w:t>
      </w:r>
      <w:r>
        <w:rPr/>
        <w:t>warranted an increase in interest rates to keep prospective inflation in line with the target over the medium term.</w:t>
      </w:r>
    </w:p>
    <w:p>
      <w:pPr>
        <w:pStyle w:val="BodyText"/>
        <w:spacing w:before="11"/>
        <w:rPr>
          <w:sz w:val="30"/>
        </w:rPr>
      </w:pPr>
    </w:p>
    <w:p>
      <w:pPr>
        <w:pStyle w:val="ListParagraph"/>
        <w:numPr>
          <w:ilvl w:val="0"/>
          <w:numId w:val="1"/>
        </w:numPr>
        <w:tabs>
          <w:tab w:pos="714" w:val="left" w:leader="none"/>
          <w:tab w:pos="715" w:val="left" w:leader="none"/>
        </w:tabs>
        <w:spacing w:line="360" w:lineRule="auto" w:before="0" w:after="0"/>
        <w:ind w:left="265" w:right="292" w:firstLine="0"/>
        <w:jc w:val="left"/>
        <w:rPr>
          <w:sz w:val="24"/>
        </w:rPr>
      </w:pPr>
      <w:r>
        <w:rPr>
          <w:sz w:val="24"/>
        </w:rPr>
        <w:t>Various arguments were advanced by members for leaving the repo rate unchanged at 6% this month. Many of the determinants of consumption (such as house prices and earnings) appeared to be slowing, while the buoyant borrowing figures for households and corporates, although they </w:t>
      </w:r>
      <w:r>
        <w:rPr>
          <w:spacing w:val="-2"/>
          <w:sz w:val="24"/>
        </w:rPr>
        <w:t>needed </w:t>
      </w:r>
      <w:r>
        <w:rPr>
          <w:sz w:val="24"/>
        </w:rPr>
        <w:t>to be watched carefully, might not in the short run be a reliable guide to consumption or investment. Upwards revisions to the level of GDP, for a given rate of inflation, suggested to some members that the disinflationary forces in the economy might be rather greater than previously supposed. </w:t>
      </w:r>
      <w:r>
        <w:rPr>
          <w:spacing w:val="-2"/>
          <w:sz w:val="24"/>
        </w:rPr>
        <w:t>The </w:t>
      </w:r>
      <w:r>
        <w:rPr>
          <w:sz w:val="24"/>
        </w:rPr>
        <w:t>slowdown in the housing market appeared broadly based, being reflected not just in the house price indices, but also in the more forward-looking RICS survey and in measures of activity at the start of the housing chain, such as site visits and net reservations. The average earnings figures were much lower than expected, even allowing for the erratic nature of the series, with little sign yet of much of an increase in pay settlements during a period in which they had been expected to come under upward</w:t>
      </w:r>
      <w:r>
        <w:rPr>
          <w:spacing w:val="-3"/>
          <w:sz w:val="24"/>
        </w:rPr>
        <w:t> </w:t>
      </w:r>
      <w:r>
        <w:rPr>
          <w:sz w:val="24"/>
        </w:rPr>
        <w:t>pressure.</w:t>
      </w:r>
    </w:p>
    <w:p>
      <w:pPr>
        <w:pStyle w:val="BodyText"/>
        <w:spacing w:before="1"/>
        <w:rPr>
          <w:sz w:val="31"/>
        </w:rPr>
      </w:pPr>
    </w:p>
    <w:p>
      <w:pPr>
        <w:pStyle w:val="ListParagraph"/>
        <w:numPr>
          <w:ilvl w:val="0"/>
          <w:numId w:val="1"/>
        </w:numPr>
        <w:tabs>
          <w:tab w:pos="714" w:val="left" w:leader="none"/>
          <w:tab w:pos="715" w:val="left" w:leader="none"/>
        </w:tabs>
        <w:spacing w:line="360" w:lineRule="auto" w:before="0" w:after="0"/>
        <w:ind w:left="265" w:right="293" w:firstLine="0"/>
        <w:jc w:val="left"/>
        <w:rPr>
          <w:sz w:val="24"/>
        </w:rPr>
      </w:pPr>
      <w:r>
        <w:rPr>
          <w:sz w:val="24"/>
        </w:rPr>
        <w:t>So far as external influences were concerned, if oil prices fell from their recent peaks, this would, other things being equal, reduce inflation in the short term.  The fall in the exchange rate since May would tend to increase inflation, but to the extent that it represented a rather rapid reversal </w:t>
      </w:r>
      <w:r>
        <w:rPr>
          <w:spacing w:val="-3"/>
          <w:sz w:val="24"/>
        </w:rPr>
        <w:t>of </w:t>
      </w:r>
      <w:r>
        <w:rPr>
          <w:sz w:val="24"/>
        </w:rPr>
        <w:t>a </w:t>
      </w:r>
      <w:r>
        <w:rPr>
          <w:spacing w:val="-4"/>
          <w:sz w:val="24"/>
        </w:rPr>
        <w:t>short-run </w:t>
      </w:r>
      <w:r>
        <w:rPr>
          <w:sz w:val="24"/>
        </w:rPr>
        <w:t>spike it might have less of an effect, while the </w:t>
      </w:r>
      <w:r>
        <w:rPr>
          <w:spacing w:val="-3"/>
          <w:sz w:val="24"/>
        </w:rPr>
        <w:t>long-term </w:t>
      </w:r>
      <w:r>
        <w:rPr>
          <w:sz w:val="24"/>
        </w:rPr>
        <w:t>negative impact on  investment decisions of sterling’s appreciation since 1996 may not yet have been fully felt. It also appeared to some that the current monetary policy stance was slightly contractionary and that this might no longer be appropriate; with nominal rates at 6%, given most current measures of inflationary expectations, real interest rates were 3½% or more. With little expectation of an </w:t>
      </w:r>
      <w:r>
        <w:rPr>
          <w:spacing w:val="-3"/>
          <w:sz w:val="24"/>
        </w:rPr>
        <w:t>immediate move </w:t>
      </w:r>
      <w:r>
        <w:rPr>
          <w:sz w:val="24"/>
        </w:rPr>
        <w:t>in </w:t>
      </w:r>
      <w:r>
        <w:rPr>
          <w:spacing w:val="-3"/>
          <w:sz w:val="24"/>
        </w:rPr>
        <w:t>rates either here </w:t>
      </w:r>
      <w:r>
        <w:rPr>
          <w:sz w:val="24"/>
        </w:rPr>
        <w:t>or in the </w:t>
      </w:r>
      <w:r>
        <w:rPr>
          <w:spacing w:val="-3"/>
          <w:sz w:val="24"/>
        </w:rPr>
        <w:t>UK’s major trading partners, </w:t>
      </w:r>
      <w:r>
        <w:rPr>
          <w:sz w:val="24"/>
        </w:rPr>
        <w:t>it was </w:t>
      </w:r>
      <w:r>
        <w:rPr>
          <w:spacing w:val="-3"/>
          <w:sz w:val="24"/>
        </w:rPr>
        <w:t>best </w:t>
      </w:r>
      <w:r>
        <w:rPr>
          <w:sz w:val="24"/>
        </w:rPr>
        <w:t>to </w:t>
      </w:r>
      <w:r>
        <w:rPr>
          <w:spacing w:val="-3"/>
          <w:sz w:val="24"/>
        </w:rPr>
        <w:t>leave the   </w:t>
      </w:r>
      <w:r>
        <w:rPr>
          <w:sz w:val="24"/>
        </w:rPr>
        <w:t>repo rate unchanged at 6% this</w:t>
      </w:r>
      <w:r>
        <w:rPr>
          <w:spacing w:val="15"/>
          <w:sz w:val="24"/>
        </w:rPr>
        <w:t> </w:t>
      </w:r>
      <w:r>
        <w:rPr>
          <w:spacing w:val="-2"/>
          <w:sz w:val="24"/>
        </w:rPr>
        <w:t>month.</w:t>
      </w:r>
    </w:p>
    <w:p>
      <w:pPr>
        <w:spacing w:after="0" w:line="360"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360" w:lineRule="auto" w:before="91" w:after="0"/>
        <w:ind w:left="265" w:right="353" w:firstLine="0"/>
        <w:jc w:val="left"/>
        <w:rPr>
          <w:sz w:val="24"/>
        </w:rPr>
      </w:pPr>
      <w:r>
        <w:rPr>
          <w:sz w:val="24"/>
        </w:rPr>
        <w:t>For </w:t>
      </w:r>
      <w:r>
        <w:rPr>
          <w:spacing w:val="-3"/>
          <w:sz w:val="24"/>
        </w:rPr>
        <w:t>some other </w:t>
      </w:r>
      <w:r>
        <w:rPr>
          <w:sz w:val="24"/>
        </w:rPr>
        <w:t>members, </w:t>
      </w:r>
      <w:r>
        <w:rPr>
          <w:spacing w:val="-3"/>
          <w:sz w:val="24"/>
        </w:rPr>
        <w:t>given </w:t>
      </w:r>
      <w:r>
        <w:rPr>
          <w:sz w:val="24"/>
        </w:rPr>
        <w:t>the </w:t>
      </w:r>
      <w:r>
        <w:rPr>
          <w:spacing w:val="-3"/>
          <w:sz w:val="24"/>
        </w:rPr>
        <w:t>news since May, while </w:t>
      </w:r>
      <w:r>
        <w:rPr>
          <w:sz w:val="24"/>
        </w:rPr>
        <w:t>there was no </w:t>
      </w:r>
      <w:r>
        <w:rPr>
          <w:spacing w:val="-3"/>
          <w:sz w:val="24"/>
        </w:rPr>
        <w:t>need </w:t>
      </w:r>
      <w:r>
        <w:rPr>
          <w:sz w:val="24"/>
        </w:rPr>
        <w:t>to </w:t>
      </w:r>
      <w:r>
        <w:rPr>
          <w:spacing w:val="-3"/>
          <w:sz w:val="24"/>
        </w:rPr>
        <w:t>raise </w:t>
      </w:r>
      <w:r>
        <w:rPr>
          <w:sz w:val="24"/>
        </w:rPr>
        <w:t>the </w:t>
      </w:r>
      <w:r>
        <w:rPr>
          <w:spacing w:val="-3"/>
          <w:sz w:val="24"/>
        </w:rPr>
        <w:t>repo </w:t>
      </w:r>
      <w:r>
        <w:rPr>
          <w:sz w:val="24"/>
        </w:rPr>
        <w:t>rate this month, it might be necessary to raise rates later to keep prospective inflation on </w:t>
      </w:r>
      <w:r>
        <w:rPr>
          <w:spacing w:val="-2"/>
          <w:sz w:val="24"/>
        </w:rPr>
        <w:t>track. </w:t>
      </w:r>
      <w:r>
        <w:rPr>
          <w:sz w:val="24"/>
        </w:rPr>
        <w:t>While there was some evidence of a slowdown in the growth of domestic demand and average earnings, the latter series remained erratic. Little weight had been placed on the acceleration in </w:t>
      </w:r>
      <w:r>
        <w:rPr>
          <w:spacing w:val="-2"/>
          <w:sz w:val="24"/>
        </w:rPr>
        <w:t>the </w:t>
      </w:r>
      <w:r>
        <w:rPr>
          <w:sz w:val="24"/>
        </w:rPr>
        <w:t>AEI in previous months, and little should be placed on its deceleration; the labour market remained tight and, if anything, pay settlements were creeping up. The fall in investment was puzzling, especially given heavy borrowing by the corporate sector, and might prove temporary. Borrowing by households remained strong, which did not seem consistent with a sharp fall in consumption; </w:t>
      </w:r>
      <w:r>
        <w:rPr>
          <w:spacing w:val="-2"/>
          <w:sz w:val="24"/>
        </w:rPr>
        <w:t>nor </w:t>
      </w:r>
      <w:r>
        <w:rPr>
          <w:sz w:val="24"/>
        </w:rPr>
        <w:t>did the recent pick-up in the growth of employment. Much of the apparent </w:t>
      </w:r>
      <w:r>
        <w:rPr>
          <w:spacing w:val="-5"/>
          <w:sz w:val="24"/>
        </w:rPr>
        <w:t>slowdown </w:t>
      </w:r>
      <w:r>
        <w:rPr>
          <w:sz w:val="24"/>
        </w:rPr>
        <w:t>in domestic demand might represent an unwinding of end-year effects, which now appeared to have boosted retail sales, average earnings and investment, if only temporarily, by more than had previously been thought. Looking forward, given the likely increases in public spending over the next two </w:t>
      </w:r>
      <w:r>
        <w:rPr>
          <w:spacing w:val="-2"/>
          <w:sz w:val="24"/>
        </w:rPr>
        <w:t>years, </w:t>
      </w:r>
      <w:r>
        <w:rPr>
          <w:sz w:val="24"/>
        </w:rPr>
        <w:t>private sector spending needed to slow further if the inflation target were to be</w:t>
      </w:r>
      <w:r>
        <w:rPr>
          <w:spacing w:val="42"/>
          <w:sz w:val="24"/>
        </w:rPr>
        <w:t> </w:t>
      </w:r>
      <w:r>
        <w:rPr>
          <w:sz w:val="24"/>
        </w:rPr>
        <w:t>met.</w:t>
      </w:r>
    </w:p>
    <w:p>
      <w:pPr>
        <w:pStyle w:val="BodyText"/>
        <w:spacing w:before="6"/>
        <w:rPr>
          <w:sz w:val="31"/>
        </w:rPr>
      </w:pPr>
    </w:p>
    <w:p>
      <w:pPr>
        <w:pStyle w:val="ListParagraph"/>
        <w:numPr>
          <w:ilvl w:val="0"/>
          <w:numId w:val="1"/>
        </w:numPr>
        <w:tabs>
          <w:tab w:pos="714" w:val="left" w:leader="none"/>
          <w:tab w:pos="715" w:val="left" w:leader="none"/>
        </w:tabs>
        <w:spacing w:line="360" w:lineRule="auto" w:before="1" w:after="0"/>
        <w:ind w:left="265" w:right="308" w:firstLine="0"/>
        <w:jc w:val="left"/>
        <w:rPr>
          <w:sz w:val="24"/>
        </w:rPr>
      </w:pPr>
      <w:r>
        <w:rPr>
          <w:sz w:val="24"/>
        </w:rPr>
        <w:t>The </w:t>
      </w:r>
      <w:r>
        <w:rPr>
          <w:spacing w:val="-3"/>
          <w:sz w:val="24"/>
        </w:rPr>
        <w:t>exchange rate </w:t>
      </w:r>
      <w:r>
        <w:rPr>
          <w:sz w:val="24"/>
        </w:rPr>
        <w:t>had not </w:t>
      </w:r>
      <w:r>
        <w:rPr>
          <w:spacing w:val="-3"/>
          <w:sz w:val="24"/>
        </w:rPr>
        <w:t>fallen </w:t>
      </w:r>
      <w:r>
        <w:rPr>
          <w:sz w:val="24"/>
        </w:rPr>
        <w:t>any </w:t>
      </w:r>
      <w:r>
        <w:rPr>
          <w:spacing w:val="-3"/>
          <w:sz w:val="24"/>
        </w:rPr>
        <w:t>further over </w:t>
      </w:r>
      <w:r>
        <w:rPr>
          <w:sz w:val="24"/>
        </w:rPr>
        <w:t>the </w:t>
      </w:r>
      <w:r>
        <w:rPr>
          <w:spacing w:val="-3"/>
          <w:sz w:val="24"/>
        </w:rPr>
        <w:t>past month, </w:t>
      </w:r>
      <w:r>
        <w:rPr>
          <w:sz w:val="24"/>
        </w:rPr>
        <w:t>but was 5% </w:t>
      </w:r>
      <w:r>
        <w:rPr>
          <w:spacing w:val="-3"/>
          <w:sz w:val="24"/>
        </w:rPr>
        <w:t>lower than </w:t>
      </w:r>
      <w:r>
        <w:rPr>
          <w:sz w:val="24"/>
        </w:rPr>
        <w:t>in </w:t>
      </w:r>
      <w:r>
        <w:rPr>
          <w:spacing w:val="-3"/>
          <w:sz w:val="24"/>
        </w:rPr>
        <w:t>the </w:t>
      </w:r>
      <w:r>
        <w:rPr>
          <w:i/>
          <w:sz w:val="24"/>
        </w:rPr>
        <w:t>Inflation Report</w:t>
      </w:r>
      <w:r>
        <w:rPr>
          <w:sz w:val="24"/>
        </w:rPr>
        <w:t>.  This provided some </w:t>
      </w:r>
      <w:r>
        <w:rPr>
          <w:spacing w:val="-4"/>
          <w:sz w:val="24"/>
        </w:rPr>
        <w:t>much-needed </w:t>
      </w:r>
      <w:r>
        <w:rPr>
          <w:sz w:val="24"/>
        </w:rPr>
        <w:t>relief for the externally-exposed sectors, and with it the prospect of a better-balanced economy but, taken by itself, it added to pressures on inflation in the medium term. As a result, for these members it was important that measures of domestic inflationary pressures fell back from their present levels of around 3% for the inflation </w:t>
      </w:r>
      <w:r>
        <w:rPr>
          <w:spacing w:val="-3"/>
          <w:sz w:val="24"/>
        </w:rPr>
        <w:t>target </w:t>
      </w:r>
      <w:r>
        <w:rPr>
          <w:sz w:val="24"/>
        </w:rPr>
        <w:t>to be </w:t>
      </w:r>
      <w:r>
        <w:rPr>
          <w:spacing w:val="-3"/>
          <w:sz w:val="24"/>
        </w:rPr>
        <w:t>met.   While </w:t>
      </w:r>
      <w:r>
        <w:rPr>
          <w:sz w:val="24"/>
        </w:rPr>
        <w:t>it now </w:t>
      </w:r>
      <w:r>
        <w:rPr>
          <w:spacing w:val="-3"/>
          <w:sz w:val="24"/>
        </w:rPr>
        <w:t>seemed rather more likely that domestic demand growth would slow,   </w:t>
      </w:r>
      <w:r>
        <w:rPr>
          <w:sz w:val="24"/>
        </w:rPr>
        <w:t>it was less clear that this would be by more than assumed in the May </w:t>
      </w:r>
      <w:r>
        <w:rPr>
          <w:i/>
          <w:sz w:val="24"/>
        </w:rPr>
        <w:t>Inflation Report</w:t>
      </w:r>
      <w:r>
        <w:rPr>
          <w:sz w:val="24"/>
        </w:rPr>
        <w:t>, as it </w:t>
      </w:r>
      <w:r>
        <w:rPr>
          <w:spacing w:val="-4"/>
          <w:sz w:val="24"/>
        </w:rPr>
        <w:t>needed to </w:t>
      </w:r>
      <w:r>
        <w:rPr>
          <w:sz w:val="24"/>
        </w:rPr>
        <w:t>be </w:t>
      </w:r>
      <w:r>
        <w:rPr>
          <w:spacing w:val="-3"/>
          <w:sz w:val="24"/>
        </w:rPr>
        <w:t>given </w:t>
      </w:r>
      <w:r>
        <w:rPr>
          <w:sz w:val="24"/>
        </w:rPr>
        <w:t>the </w:t>
      </w:r>
      <w:r>
        <w:rPr>
          <w:spacing w:val="-3"/>
          <w:sz w:val="24"/>
        </w:rPr>
        <w:t>improved prospects </w:t>
      </w:r>
      <w:r>
        <w:rPr>
          <w:sz w:val="24"/>
        </w:rPr>
        <w:t>for net </w:t>
      </w:r>
      <w:r>
        <w:rPr>
          <w:spacing w:val="-3"/>
          <w:sz w:val="24"/>
        </w:rPr>
        <w:t>trade. </w:t>
      </w:r>
      <w:r>
        <w:rPr>
          <w:sz w:val="24"/>
        </w:rPr>
        <w:t>The </w:t>
      </w:r>
      <w:r>
        <w:rPr>
          <w:spacing w:val="-3"/>
          <w:sz w:val="24"/>
        </w:rPr>
        <w:t>August </w:t>
      </w:r>
      <w:r>
        <w:rPr>
          <w:i/>
          <w:sz w:val="24"/>
        </w:rPr>
        <w:t>Inflation Report </w:t>
      </w:r>
      <w:r>
        <w:rPr>
          <w:sz w:val="24"/>
        </w:rPr>
        <w:t>provided an opportunity to assess the extent of the slowdown in domestic demand (and the weakness of consumption and investment in relation to their underlying determinants) and weigh this against the effects of higher oil prices and lower sterling. While the position might have been more comfortable if rates had been </w:t>
      </w:r>
      <w:r>
        <w:rPr>
          <w:spacing w:val="-3"/>
          <w:sz w:val="24"/>
        </w:rPr>
        <w:t>raised </w:t>
      </w:r>
      <w:r>
        <w:rPr>
          <w:sz w:val="24"/>
        </w:rPr>
        <w:t>a </w:t>
      </w:r>
      <w:r>
        <w:rPr>
          <w:spacing w:val="-3"/>
          <w:sz w:val="24"/>
        </w:rPr>
        <w:t>little higher earlier </w:t>
      </w:r>
      <w:r>
        <w:rPr>
          <w:sz w:val="24"/>
        </w:rPr>
        <w:t>it was now </w:t>
      </w:r>
      <w:r>
        <w:rPr>
          <w:spacing w:val="-3"/>
          <w:sz w:val="24"/>
        </w:rPr>
        <w:t>best </w:t>
      </w:r>
      <w:r>
        <w:rPr>
          <w:sz w:val="24"/>
        </w:rPr>
        <w:t>to </w:t>
      </w:r>
      <w:r>
        <w:rPr>
          <w:spacing w:val="-3"/>
          <w:sz w:val="24"/>
        </w:rPr>
        <w:t>wait until August </w:t>
      </w:r>
      <w:r>
        <w:rPr>
          <w:sz w:val="24"/>
        </w:rPr>
        <w:t>for </w:t>
      </w:r>
      <w:r>
        <w:rPr>
          <w:spacing w:val="-3"/>
          <w:sz w:val="24"/>
        </w:rPr>
        <w:t>more news, </w:t>
      </w:r>
      <w:r>
        <w:rPr>
          <w:sz w:val="24"/>
        </w:rPr>
        <w:t>and </w:t>
      </w:r>
      <w:r>
        <w:rPr>
          <w:spacing w:val="-3"/>
          <w:sz w:val="24"/>
        </w:rPr>
        <w:t>analysis, </w:t>
      </w:r>
      <w:r>
        <w:rPr>
          <w:sz w:val="24"/>
        </w:rPr>
        <w:t>in </w:t>
      </w:r>
      <w:r>
        <w:rPr>
          <w:spacing w:val="-3"/>
          <w:sz w:val="24"/>
        </w:rPr>
        <w:t>the context </w:t>
      </w:r>
      <w:r>
        <w:rPr>
          <w:sz w:val="24"/>
        </w:rPr>
        <w:t>of the </w:t>
      </w:r>
      <w:r>
        <w:rPr>
          <w:i/>
          <w:sz w:val="24"/>
        </w:rPr>
        <w:t>Inflation Report</w:t>
      </w:r>
      <w:r>
        <w:rPr>
          <w:sz w:val="24"/>
        </w:rPr>
        <w:t>. For these members too, the repo rate should stay at 6% this</w:t>
      </w:r>
      <w:r>
        <w:rPr>
          <w:spacing w:val="-28"/>
          <w:sz w:val="24"/>
        </w:rPr>
        <w:t> </w:t>
      </w:r>
      <w:r>
        <w:rPr>
          <w:spacing w:val="-2"/>
          <w:sz w:val="24"/>
        </w:rPr>
        <w:t>month.</w:t>
      </w:r>
    </w:p>
    <w:p>
      <w:pPr>
        <w:pStyle w:val="BodyText"/>
        <w:spacing w:before="3"/>
        <w:rPr>
          <w:sz w:val="30"/>
        </w:rPr>
      </w:pPr>
    </w:p>
    <w:p>
      <w:pPr>
        <w:pStyle w:val="ListParagraph"/>
        <w:numPr>
          <w:ilvl w:val="0"/>
          <w:numId w:val="1"/>
        </w:numPr>
        <w:tabs>
          <w:tab w:pos="714" w:val="left" w:leader="none"/>
          <w:tab w:pos="715" w:val="left" w:leader="none"/>
        </w:tabs>
        <w:spacing w:line="364" w:lineRule="auto" w:before="0" w:after="0"/>
        <w:ind w:left="265" w:right="1328" w:firstLine="0"/>
        <w:jc w:val="left"/>
        <w:rPr>
          <w:sz w:val="24"/>
        </w:rPr>
      </w:pPr>
      <w:r>
        <w:rPr>
          <w:sz w:val="24"/>
        </w:rPr>
        <w:t>The Governor invited members to vote on the proposition that the Bank’s repo rate</w:t>
      </w:r>
      <w:r>
        <w:rPr>
          <w:spacing w:val="-39"/>
          <w:sz w:val="24"/>
        </w:rPr>
        <w:t> </w:t>
      </w:r>
      <w:r>
        <w:rPr>
          <w:sz w:val="24"/>
        </w:rPr>
        <w:t>be maintained at 6.0%. The Committee voted unanimously in favour of the</w:t>
      </w:r>
      <w:r>
        <w:rPr>
          <w:spacing w:val="-5"/>
          <w:sz w:val="24"/>
        </w:rPr>
        <w:t> </w:t>
      </w:r>
      <w:r>
        <w:rPr>
          <w:spacing w:val="-2"/>
          <w:sz w:val="24"/>
        </w:rPr>
        <w:t>proposition.</w:t>
      </w:r>
    </w:p>
    <w:p>
      <w:pPr>
        <w:pStyle w:val="BodyText"/>
        <w:spacing w:before="1"/>
        <w:rPr>
          <w:sz w:val="30"/>
        </w:rPr>
      </w:pPr>
    </w:p>
    <w:p>
      <w:pPr>
        <w:pStyle w:val="ListParagraph"/>
        <w:numPr>
          <w:ilvl w:val="0"/>
          <w:numId w:val="1"/>
        </w:numPr>
        <w:tabs>
          <w:tab w:pos="714" w:val="left" w:leader="none"/>
          <w:tab w:pos="715" w:val="left" w:leader="none"/>
        </w:tabs>
        <w:spacing w:line="364" w:lineRule="auto" w:before="0" w:after="0"/>
        <w:ind w:left="265" w:right="803" w:firstLine="0"/>
        <w:jc w:val="left"/>
        <w:rPr>
          <w:sz w:val="24"/>
        </w:rPr>
      </w:pPr>
      <w:r>
        <w:rPr>
          <w:sz w:val="24"/>
        </w:rPr>
        <w:t>The</w:t>
      </w:r>
      <w:r>
        <w:rPr>
          <w:spacing w:val="-5"/>
          <w:sz w:val="24"/>
        </w:rPr>
        <w:t> </w:t>
      </w:r>
      <w:r>
        <w:rPr>
          <w:sz w:val="24"/>
        </w:rPr>
        <w:t>Committee</w:t>
      </w:r>
      <w:r>
        <w:rPr>
          <w:spacing w:val="-4"/>
          <w:sz w:val="24"/>
        </w:rPr>
        <w:t> </w:t>
      </w:r>
      <w:r>
        <w:rPr>
          <w:sz w:val="24"/>
        </w:rPr>
        <w:t>congratulated</w:t>
      </w:r>
      <w:r>
        <w:rPr>
          <w:spacing w:val="-5"/>
          <w:sz w:val="24"/>
        </w:rPr>
        <w:t> </w:t>
      </w:r>
      <w:r>
        <w:rPr>
          <w:sz w:val="24"/>
        </w:rPr>
        <w:t>the</w:t>
      </w:r>
      <w:r>
        <w:rPr>
          <w:spacing w:val="-4"/>
          <w:sz w:val="24"/>
        </w:rPr>
        <w:t> </w:t>
      </w:r>
      <w:r>
        <w:rPr>
          <w:sz w:val="24"/>
        </w:rPr>
        <w:t>Governor</w:t>
      </w:r>
      <w:r>
        <w:rPr>
          <w:spacing w:val="-5"/>
          <w:sz w:val="24"/>
        </w:rPr>
        <w:t> </w:t>
      </w:r>
      <w:r>
        <w:rPr>
          <w:sz w:val="24"/>
        </w:rPr>
        <w:t>on</w:t>
      </w:r>
      <w:r>
        <w:rPr>
          <w:spacing w:val="-4"/>
          <w:sz w:val="24"/>
        </w:rPr>
        <w:t> </w:t>
      </w:r>
      <w:r>
        <w:rPr>
          <w:sz w:val="24"/>
        </w:rPr>
        <w:t>his</w:t>
      </w:r>
      <w:r>
        <w:rPr>
          <w:spacing w:val="-5"/>
          <w:sz w:val="24"/>
        </w:rPr>
        <w:t> </w:t>
      </w:r>
      <w:r>
        <w:rPr>
          <w:sz w:val="24"/>
        </w:rPr>
        <w:t>being</w:t>
      </w:r>
      <w:r>
        <w:rPr>
          <w:spacing w:val="-4"/>
          <w:sz w:val="24"/>
        </w:rPr>
        <w:t> </w:t>
      </w:r>
      <w:r>
        <w:rPr>
          <w:sz w:val="24"/>
        </w:rPr>
        <w:t>made</w:t>
      </w:r>
      <w:r>
        <w:rPr>
          <w:spacing w:val="-4"/>
          <w:sz w:val="24"/>
        </w:rPr>
        <w:t> </w:t>
      </w:r>
      <w:r>
        <w:rPr>
          <w:sz w:val="24"/>
        </w:rPr>
        <w:t>a</w:t>
      </w:r>
      <w:r>
        <w:rPr>
          <w:spacing w:val="-5"/>
          <w:sz w:val="24"/>
        </w:rPr>
        <w:t> </w:t>
      </w:r>
      <w:r>
        <w:rPr>
          <w:sz w:val="24"/>
        </w:rPr>
        <w:t>Knight</w:t>
      </w:r>
      <w:r>
        <w:rPr>
          <w:spacing w:val="-4"/>
          <w:sz w:val="24"/>
        </w:rPr>
        <w:t> </w:t>
      </w:r>
      <w:r>
        <w:rPr>
          <w:sz w:val="24"/>
        </w:rPr>
        <w:t>Grand</w:t>
      </w:r>
      <w:r>
        <w:rPr>
          <w:spacing w:val="-5"/>
          <w:sz w:val="24"/>
        </w:rPr>
        <w:t> </w:t>
      </w:r>
      <w:r>
        <w:rPr>
          <w:sz w:val="24"/>
        </w:rPr>
        <w:t>Cross</w:t>
      </w:r>
      <w:r>
        <w:rPr>
          <w:spacing w:val="-4"/>
          <w:sz w:val="24"/>
        </w:rPr>
        <w:t> </w:t>
      </w:r>
      <w:r>
        <w:rPr>
          <w:sz w:val="24"/>
        </w:rPr>
        <w:t>of</w:t>
      </w:r>
      <w:r>
        <w:rPr>
          <w:spacing w:val="-5"/>
          <w:sz w:val="24"/>
        </w:rPr>
        <w:t> </w:t>
      </w:r>
      <w:r>
        <w:rPr>
          <w:spacing w:val="-2"/>
          <w:sz w:val="24"/>
        </w:rPr>
        <w:t>the </w:t>
      </w:r>
      <w:r>
        <w:rPr>
          <w:sz w:val="24"/>
        </w:rPr>
        <w:t>British Empire in the Birthday Honours</w:t>
      </w:r>
      <w:r>
        <w:rPr>
          <w:spacing w:val="31"/>
          <w:sz w:val="24"/>
        </w:rPr>
        <w:t> </w:t>
      </w:r>
      <w:r>
        <w:rPr>
          <w:sz w:val="24"/>
        </w:rPr>
        <w:t>List.</w:t>
      </w:r>
    </w:p>
    <w:p>
      <w:pPr>
        <w:spacing w:after="0" w:line="364" w:lineRule="auto"/>
        <w:jc w:val="left"/>
        <w:rPr>
          <w:sz w:val="24"/>
        </w:rPr>
        <w:sectPr>
          <w:pgSz w:w="12240" w:h="15840"/>
          <w:pgMar w:header="521" w:footer="0" w:top="1500" w:bottom="280" w:left="1340" w:right="620"/>
        </w:sectPr>
      </w:pPr>
    </w:p>
    <w:p>
      <w:pPr>
        <w:pStyle w:val="ListParagraph"/>
        <w:numPr>
          <w:ilvl w:val="0"/>
          <w:numId w:val="1"/>
        </w:numPr>
        <w:tabs>
          <w:tab w:pos="714" w:val="left" w:leader="none"/>
          <w:tab w:pos="715" w:val="left" w:leader="none"/>
        </w:tabs>
        <w:spacing w:line="240" w:lineRule="auto" w:before="91" w:after="0"/>
        <w:ind w:left="715" w:right="0" w:hanging="45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spacing w:before="205"/>
        <w:ind w:left="265"/>
      </w:pPr>
      <w:r>
        <w:rPr/>
        <w:t>Eddie George, Governor</w:t>
      </w:r>
    </w:p>
    <w:p>
      <w:pPr>
        <w:pStyle w:val="BodyText"/>
        <w:spacing w:line="235" w:lineRule="auto" w:before="13"/>
        <w:ind w:left="265" w:right="3436"/>
      </w:pPr>
      <w:r>
        <w:rPr/>
        <w:t>Mervyn King, Deputy Governor responsible for monetary policy David Clementi, Deputy Governor responsible for financial stability Christopher Allsopp</w:t>
      </w:r>
    </w:p>
    <w:p>
      <w:pPr>
        <w:pStyle w:val="BodyText"/>
        <w:spacing w:line="237" w:lineRule="auto" w:before="12"/>
        <w:ind w:left="265" w:right="8188"/>
      </w:pPr>
      <w:r>
        <w:rPr/>
        <w:t>DeAnne Julius Stephen Nickell Ian Plenderleith John Vickers Sushil Wadhwani</w:t>
      </w:r>
    </w:p>
    <w:p>
      <w:pPr>
        <w:pStyle w:val="BodyText"/>
        <w:spacing w:before="5"/>
      </w:pPr>
    </w:p>
    <w:p>
      <w:pPr>
        <w:pStyle w:val="BodyText"/>
        <w:ind w:left="265"/>
      </w:pPr>
      <w:r>
        <w:rPr/>
        <w:t>Gus O’Donnell was present as the Treasury representative.</w:t>
      </w:r>
    </w:p>
    <w:p>
      <w:pPr>
        <w:spacing w:after="0"/>
        <w:sectPr>
          <w:pgSz w:w="12240" w:h="15840"/>
          <w:pgMar w:header="521" w:footer="0" w:top="1500" w:bottom="280" w:left="1340" w:right="620"/>
        </w:sectPr>
      </w:pPr>
    </w:p>
    <w:p>
      <w:pPr>
        <w:pStyle w:val="BodyText"/>
        <w:rPr>
          <w:sz w:val="20"/>
        </w:rPr>
      </w:pPr>
    </w:p>
    <w:p>
      <w:pPr>
        <w:pStyle w:val="BodyText"/>
        <w:spacing w:before="3"/>
        <w:rPr>
          <w:sz w:val="22"/>
        </w:rPr>
      </w:pPr>
    </w:p>
    <w:p>
      <w:pPr>
        <w:pStyle w:val="Heading1"/>
      </w:pPr>
      <w:r>
        <w:rPr/>
        <w:t>ANNEX: SUMMARY OF DATA PRESENTED BY BANK STAFF</w:t>
      </w:r>
    </w:p>
    <w:p>
      <w:pPr>
        <w:pStyle w:val="BodyText"/>
        <w:spacing w:before="8"/>
        <w:rPr>
          <w:b/>
          <w:sz w:val="45"/>
        </w:rPr>
      </w:pPr>
    </w:p>
    <w:p>
      <w:pPr>
        <w:pStyle w:val="BodyText"/>
        <w:tabs>
          <w:tab w:pos="819" w:val="left" w:leader="none"/>
        </w:tabs>
        <w:spacing w:line="360" w:lineRule="auto"/>
        <w:ind w:left="100" w:right="127"/>
      </w:pPr>
      <w:r>
        <w:rPr>
          <w:spacing w:val="-6"/>
        </w:rPr>
        <w:t>A1</w:t>
        <w:tab/>
      </w:r>
      <w:r>
        <w:rPr/>
        <w:t>This Annex summarises the analysis presented by Bank staff to the Monetary Policy Committee on 30 June in advance of its meeting on 5-6 July 2000. At the start of the Committee meeting itself, members were made aware of information that had subsequently become available, and that information </w:t>
      </w:r>
      <w:r>
        <w:rPr>
          <w:spacing w:val="-3"/>
        </w:rPr>
        <w:t>is </w:t>
      </w:r>
      <w:r>
        <w:rPr>
          <w:spacing w:val="-5"/>
        </w:rPr>
        <w:t>included </w:t>
      </w:r>
      <w:r>
        <w:rPr>
          <w:spacing w:val="-3"/>
        </w:rPr>
        <w:t>in </w:t>
      </w:r>
      <w:r>
        <w:rPr>
          <w:spacing w:val="-4"/>
        </w:rPr>
        <w:t>this</w:t>
      </w:r>
      <w:r>
        <w:rPr>
          <w:spacing w:val="51"/>
        </w:rPr>
        <w:t> </w:t>
      </w:r>
      <w:r>
        <w:rPr>
          <w:spacing w:val="-5"/>
        </w:rPr>
        <w:t>Annex.</w:t>
      </w:r>
    </w:p>
    <w:p>
      <w:pPr>
        <w:pStyle w:val="BodyText"/>
        <w:spacing w:before="9"/>
        <w:rPr>
          <w:sz w:val="30"/>
        </w:rPr>
      </w:pPr>
    </w:p>
    <w:p>
      <w:pPr>
        <w:pStyle w:val="Heading2"/>
        <w:numPr>
          <w:ilvl w:val="0"/>
          <w:numId w:val="2"/>
        </w:numPr>
        <w:tabs>
          <w:tab w:pos="819" w:val="left" w:leader="none"/>
          <w:tab w:pos="820" w:val="left" w:leader="none"/>
        </w:tabs>
        <w:spacing w:line="240" w:lineRule="auto" w:before="0" w:after="0"/>
        <w:ind w:left="820" w:right="0" w:hanging="720"/>
        <w:jc w:val="left"/>
      </w:pPr>
      <w:r>
        <w:rPr/>
        <w:t>The international</w:t>
      </w:r>
      <w:r>
        <w:rPr>
          <w:spacing w:val="-3"/>
        </w:rPr>
        <w:t> </w:t>
      </w:r>
      <w:r>
        <w:rPr/>
        <w:t>environment</w:t>
      </w:r>
    </w:p>
    <w:p>
      <w:pPr>
        <w:pStyle w:val="BodyText"/>
        <w:rPr>
          <w:b/>
          <w:sz w:val="26"/>
        </w:rPr>
      </w:pPr>
    </w:p>
    <w:p>
      <w:pPr>
        <w:pStyle w:val="BodyText"/>
        <w:tabs>
          <w:tab w:pos="819" w:val="left" w:leader="none"/>
        </w:tabs>
        <w:spacing w:line="360" w:lineRule="auto" w:before="205"/>
        <w:ind w:left="100" w:right="271"/>
      </w:pPr>
      <w:r>
        <w:rPr>
          <w:spacing w:val="-6"/>
        </w:rPr>
        <w:t>A2</w:t>
        <w:tab/>
      </w:r>
      <w:r>
        <w:rPr/>
        <w:t>Evidence of a slowdown in US domestic demand growth remained inconc lusive. Industrial production in May had risen by 0.4% on the previous month, and by 5.8% on a year earlier. </w:t>
      </w:r>
      <w:r>
        <w:rPr>
          <w:spacing w:val="-2"/>
        </w:rPr>
        <w:t>But </w:t>
      </w:r>
      <w:r>
        <w:rPr/>
        <w:t>industrial confidence, as measured by the National Association of Purchasing Managers’ index, </w:t>
      </w:r>
      <w:r>
        <w:rPr>
          <w:spacing w:val="-2"/>
        </w:rPr>
        <w:t>had </w:t>
      </w:r>
      <w:r>
        <w:rPr>
          <w:spacing w:val="-3"/>
        </w:rPr>
        <w:t>fallen </w:t>
      </w:r>
      <w:r>
        <w:rPr/>
        <w:t>to </w:t>
      </w:r>
      <w:r>
        <w:rPr>
          <w:spacing w:val="-3"/>
        </w:rPr>
        <w:t>51.8 </w:t>
      </w:r>
      <w:r>
        <w:rPr/>
        <w:t>in </w:t>
      </w:r>
      <w:r>
        <w:rPr>
          <w:spacing w:val="-3"/>
        </w:rPr>
        <w:t>June from 53.2 </w:t>
      </w:r>
      <w:r>
        <w:rPr/>
        <w:t>in </w:t>
      </w:r>
      <w:r>
        <w:rPr>
          <w:spacing w:val="-3"/>
        </w:rPr>
        <w:t>May. </w:t>
      </w:r>
      <w:r>
        <w:rPr/>
        <w:t>New </w:t>
      </w:r>
      <w:r>
        <w:rPr>
          <w:spacing w:val="-3"/>
        </w:rPr>
        <w:t>house building permits </w:t>
      </w:r>
      <w:r>
        <w:rPr/>
        <w:t>had </w:t>
      </w:r>
      <w:r>
        <w:rPr>
          <w:spacing w:val="-3"/>
        </w:rPr>
        <w:t>fallen </w:t>
      </w:r>
      <w:r>
        <w:rPr/>
        <w:t>by 9% in the </w:t>
      </w:r>
      <w:r>
        <w:rPr>
          <w:spacing w:val="-3"/>
        </w:rPr>
        <w:t>year to  </w:t>
      </w:r>
      <w:r>
        <w:rPr/>
        <w:t>May, and the Federal Reserve Senior Loan Officer Survey had indicated a tightening in lending standards. Consumer confidence had fallen, from 144.7 in May to 138.8 in June, but had remained at a historically high level. Real consumption had risen by 0.2% in the month to May, but nominal </w:t>
      </w:r>
      <w:r>
        <w:rPr>
          <w:spacing w:val="-2"/>
        </w:rPr>
        <w:t>retail </w:t>
      </w:r>
      <w:r>
        <w:rPr>
          <w:spacing w:val="-3"/>
        </w:rPr>
        <w:t>sales </w:t>
      </w:r>
      <w:r>
        <w:rPr/>
        <w:t>had </w:t>
      </w:r>
      <w:r>
        <w:rPr>
          <w:spacing w:val="-3"/>
        </w:rPr>
        <w:t>fallen </w:t>
      </w:r>
      <w:r>
        <w:rPr/>
        <w:t>by </w:t>
      </w:r>
      <w:r>
        <w:rPr>
          <w:spacing w:val="-3"/>
        </w:rPr>
        <w:t>0.3% </w:t>
      </w:r>
      <w:r>
        <w:rPr/>
        <w:t>– the second consecutive monthly fall. GDP growth had slowed in Q2 in each of the two previous years. Some commentators had suggested that this might reflect an emerging seasonal effect from higher income tax payments. But an expenditure breakdown gave little support to this hypothesis. Private </w:t>
      </w:r>
      <w:r>
        <w:rPr>
          <w:spacing w:val="-5"/>
        </w:rPr>
        <w:t>non-farm </w:t>
      </w:r>
      <w:r>
        <w:rPr/>
        <w:t>payrolls had fallen by 126,000 in May, but total payrolls had risen by 231,000, partly reflecting extra employment by the national census authorities. Annual consumer price </w:t>
      </w:r>
      <w:r>
        <w:rPr>
          <w:spacing w:val="-3"/>
        </w:rPr>
        <w:t>inflation </w:t>
      </w:r>
      <w:r>
        <w:rPr/>
        <w:t>had </w:t>
      </w:r>
      <w:r>
        <w:rPr>
          <w:spacing w:val="-3"/>
        </w:rPr>
        <w:t>been 3.1% </w:t>
      </w:r>
      <w:r>
        <w:rPr/>
        <w:t>in</w:t>
      </w:r>
      <w:r>
        <w:rPr>
          <w:spacing w:val="39"/>
        </w:rPr>
        <w:t> </w:t>
      </w:r>
      <w:r>
        <w:rPr>
          <w:spacing w:val="-3"/>
        </w:rPr>
        <w:t>May.</w:t>
      </w:r>
    </w:p>
    <w:p>
      <w:pPr>
        <w:pStyle w:val="BodyText"/>
        <w:spacing w:before="7"/>
        <w:rPr>
          <w:sz w:val="31"/>
        </w:rPr>
      </w:pPr>
    </w:p>
    <w:p>
      <w:pPr>
        <w:pStyle w:val="BodyText"/>
        <w:tabs>
          <w:tab w:pos="819" w:val="left" w:leader="none"/>
        </w:tabs>
        <w:spacing w:line="360" w:lineRule="auto"/>
        <w:ind w:left="100" w:right="298"/>
      </w:pPr>
      <w:r>
        <w:rPr>
          <w:spacing w:val="-6"/>
        </w:rPr>
        <w:t>A3</w:t>
        <w:tab/>
      </w:r>
      <w:r>
        <w:rPr/>
        <w:t>Euro-area GDP had increased by 0.7% in Q1, according to the first estimate. Consumption </w:t>
      </w:r>
      <w:r>
        <w:rPr>
          <w:spacing w:val="-2"/>
        </w:rPr>
        <w:t>had </w:t>
      </w:r>
      <w:r>
        <w:rPr/>
        <w:t>been flat on the quarter, somewhat weaker than confidence surveys and the improving labour </w:t>
      </w:r>
      <w:r>
        <w:rPr>
          <w:spacing w:val="-2"/>
        </w:rPr>
        <w:t>market </w:t>
      </w:r>
      <w:r>
        <w:rPr/>
        <w:t>might have suggested. Consumer confidence had fallen by two percentage points in June, though it remained high by historical standards, and industrial confidence had risen by four percentage</w:t>
      </w:r>
      <w:r>
        <w:rPr>
          <w:spacing w:val="-42"/>
        </w:rPr>
        <w:t> </w:t>
      </w:r>
      <w:r>
        <w:rPr/>
        <w:t>points.</w:t>
      </w:r>
    </w:p>
    <w:p>
      <w:pPr>
        <w:pStyle w:val="BodyText"/>
        <w:spacing w:line="360" w:lineRule="auto"/>
        <w:ind w:left="100" w:right="188"/>
      </w:pPr>
      <w:r>
        <w:rPr/>
        <w:t>Industrial production had risen by 0.7% in April. The unemployment rate had remained unchanged in May. Import and export trade volumes in the euro area had continued to increase strongly in Q1. HICP inflation had remained at 1.9% in May, and core inflation had not increased. Hourly nominal labour costs in Q1 had been 3.5% higher than a year earlier.</w:t>
      </w:r>
    </w:p>
    <w:p>
      <w:pPr>
        <w:spacing w:after="0" w:line="360" w:lineRule="auto"/>
        <w:sectPr>
          <w:headerReference w:type="default" r:id="rId8"/>
          <w:pgSz w:w="12240" w:h="15840"/>
          <w:pgMar w:header="0" w:footer="0" w:top="1500" w:bottom="280" w:left="1340" w:right="620"/>
        </w:sectPr>
      </w:pPr>
    </w:p>
    <w:p>
      <w:pPr>
        <w:pStyle w:val="BodyText"/>
        <w:rPr>
          <w:sz w:val="20"/>
        </w:rPr>
      </w:pPr>
    </w:p>
    <w:p>
      <w:pPr>
        <w:pStyle w:val="BodyText"/>
        <w:spacing w:before="1"/>
        <w:rPr>
          <w:sz w:val="23"/>
        </w:rPr>
      </w:pPr>
    </w:p>
    <w:p>
      <w:pPr>
        <w:pStyle w:val="BodyText"/>
        <w:tabs>
          <w:tab w:pos="819" w:val="left" w:leader="none"/>
        </w:tabs>
        <w:spacing w:line="357" w:lineRule="auto" w:before="90"/>
        <w:ind w:left="100" w:right="271"/>
      </w:pPr>
      <w:r>
        <w:rPr>
          <w:spacing w:val="-6"/>
        </w:rPr>
        <w:t>A4</w:t>
        <w:tab/>
      </w:r>
      <w:r>
        <w:rPr/>
        <w:t>Japanese GDP had increased by 2.4% in Q1, driven by net trade and private investment, after two consecutive quarters of negative growth. Corporate profits – a leading indicator of future investment – had risen by 38% on a year earlier. Retail sales had declined by 2.4% in the year to</w:t>
      </w:r>
      <w:r>
        <w:rPr>
          <w:spacing w:val="-32"/>
        </w:rPr>
        <w:t> </w:t>
      </w:r>
      <w:r>
        <w:rPr/>
        <w:t>May, while employees’ wages had risen by 0.5% in the same period. Consumer prices had declined by 0.7% in the year to May. The Tankan survey results had been better than expected, confirming that </w:t>
      </w:r>
      <w:r>
        <w:rPr>
          <w:spacing w:val="-2"/>
        </w:rPr>
        <w:t>the </w:t>
      </w:r>
      <w:r>
        <w:rPr/>
        <w:t>corporate sector was healthy. Business conditions had continued to improve, though concerns </w:t>
      </w:r>
      <w:r>
        <w:rPr>
          <w:spacing w:val="-2"/>
        </w:rPr>
        <w:t>had </w:t>
      </w:r>
      <w:r>
        <w:rPr/>
        <w:t>remained for some sectors, particularly small non-manufacturing</w:t>
      </w:r>
      <w:r>
        <w:rPr>
          <w:spacing w:val="22"/>
        </w:rPr>
        <w:t> </w:t>
      </w:r>
      <w:r>
        <w:rPr>
          <w:spacing w:val="-2"/>
        </w:rPr>
        <w:t>firms.</w:t>
      </w:r>
    </w:p>
    <w:p>
      <w:pPr>
        <w:pStyle w:val="BodyText"/>
        <w:spacing w:before="9"/>
        <w:rPr>
          <w:sz w:val="32"/>
        </w:rPr>
      </w:pPr>
    </w:p>
    <w:p>
      <w:pPr>
        <w:pStyle w:val="BodyText"/>
        <w:tabs>
          <w:tab w:pos="819" w:val="left" w:leader="none"/>
        </w:tabs>
        <w:ind w:left="100"/>
      </w:pPr>
      <w:r>
        <w:rPr>
          <w:spacing w:val="-6"/>
        </w:rPr>
        <w:t>A5</w:t>
        <w:tab/>
      </w:r>
      <w:r>
        <w:rPr/>
        <w:t>One-month and six-month Brent oil price futures had increased in June to an average</w:t>
      </w:r>
      <w:r>
        <w:rPr>
          <w:spacing w:val="42"/>
        </w:rPr>
        <w:t> </w:t>
      </w:r>
      <w:r>
        <w:rPr/>
        <w:t>of</w:t>
      </w:r>
    </w:p>
    <w:p>
      <w:pPr>
        <w:pStyle w:val="BodyText"/>
        <w:spacing w:line="352" w:lineRule="auto" w:before="144"/>
        <w:ind w:left="100" w:right="530"/>
      </w:pPr>
      <w:r>
        <w:rPr/>
        <w:t>$29.55 per barrel and $26.33 per barrel respectively, from $27.41 per barrel and $25.12 per barrel in May. Stocks of oil and petroleum were lower than average.</w:t>
      </w:r>
    </w:p>
    <w:p>
      <w:pPr>
        <w:pStyle w:val="BodyText"/>
        <w:spacing w:before="5"/>
        <w:rPr>
          <w:sz w:val="32"/>
        </w:rPr>
      </w:pPr>
    </w:p>
    <w:p>
      <w:pPr>
        <w:pStyle w:val="BodyText"/>
        <w:tabs>
          <w:tab w:pos="819" w:val="left" w:leader="none"/>
        </w:tabs>
        <w:spacing w:line="357" w:lineRule="auto"/>
        <w:ind w:left="100" w:right="188"/>
      </w:pPr>
      <w:r>
        <w:rPr>
          <w:spacing w:val="-6"/>
        </w:rPr>
        <w:t>A6</w:t>
        <w:tab/>
      </w:r>
      <w:r>
        <w:rPr/>
        <w:t>Since the previous MPC meeting the S&amp;P 500 index had fallen by 0.6%, and the DJ Euro Stoxx index had fallen by 2.5%. By contrast, the Nikkei 225 had increased by 1.5% and the </w:t>
      </w:r>
      <w:r>
        <w:rPr>
          <w:spacing w:val="-2"/>
        </w:rPr>
        <w:t>NASDAQ </w:t>
      </w:r>
      <w:r>
        <w:rPr/>
        <w:t>Composite had risen by 1.7%.</w:t>
      </w:r>
      <w:r>
        <w:rPr>
          <w:spacing w:val="13"/>
        </w:rPr>
        <w:t> </w:t>
      </w:r>
      <w:r>
        <w:rPr/>
        <w:t>Policy interest rates implied by futures contracts in the United States </w:t>
      </w:r>
      <w:r>
        <w:rPr>
          <w:spacing w:val="-2"/>
        </w:rPr>
        <w:t>had </w:t>
      </w:r>
      <w:r>
        <w:rPr/>
        <w:t>decreased for July and August, but had risen for the period after October. Implied policy rates in </w:t>
      </w:r>
      <w:r>
        <w:rPr>
          <w:spacing w:val="-2"/>
        </w:rPr>
        <w:t>the </w:t>
      </w:r>
      <w:r>
        <w:rPr>
          <w:spacing w:val="-3"/>
        </w:rPr>
        <w:t>euro area had</w:t>
      </w:r>
      <w:r>
        <w:rPr>
          <w:spacing w:val="39"/>
        </w:rPr>
        <w:t> </w:t>
      </w:r>
      <w:r>
        <w:rPr>
          <w:spacing w:val="-4"/>
        </w:rPr>
        <w:t>fallen.</w:t>
      </w:r>
    </w:p>
    <w:p>
      <w:pPr>
        <w:pStyle w:val="BodyText"/>
        <w:spacing w:before="6"/>
        <w:rPr>
          <w:sz w:val="32"/>
        </w:rPr>
      </w:pPr>
    </w:p>
    <w:p>
      <w:pPr>
        <w:pStyle w:val="Heading2"/>
        <w:numPr>
          <w:ilvl w:val="0"/>
          <w:numId w:val="2"/>
        </w:numPr>
        <w:tabs>
          <w:tab w:pos="819" w:val="left" w:leader="none"/>
          <w:tab w:pos="820" w:val="left" w:leader="none"/>
        </w:tabs>
        <w:spacing w:line="240" w:lineRule="auto" w:before="0" w:after="0"/>
        <w:ind w:left="820" w:right="0" w:hanging="720"/>
        <w:jc w:val="left"/>
      </w:pPr>
      <w:r>
        <w:rPr/>
        <w:t>Monetary and financial</w:t>
      </w:r>
      <w:r>
        <w:rPr>
          <w:spacing w:val="7"/>
        </w:rPr>
        <w:t> </w:t>
      </w:r>
      <w:r>
        <w:rPr/>
        <w:t>conditions</w:t>
      </w:r>
    </w:p>
    <w:p>
      <w:pPr>
        <w:pStyle w:val="BodyText"/>
        <w:rPr>
          <w:b/>
          <w:sz w:val="26"/>
        </w:rPr>
      </w:pPr>
    </w:p>
    <w:p>
      <w:pPr>
        <w:pStyle w:val="BodyText"/>
        <w:tabs>
          <w:tab w:pos="819" w:val="left" w:leader="none"/>
        </w:tabs>
        <w:spacing w:line="364" w:lineRule="auto" w:before="191"/>
        <w:ind w:left="100" w:right="382"/>
      </w:pPr>
      <w:r>
        <w:rPr>
          <w:spacing w:val="-3"/>
        </w:rPr>
        <w:t>A7</w:t>
        <w:tab/>
      </w:r>
      <w:r>
        <w:rPr/>
        <w:t>The twelve-month growth rate of notes and coin had fallen from 7.9% in May to 7.5% in</w:t>
      </w:r>
      <w:r>
        <w:rPr>
          <w:spacing w:val="-28"/>
        </w:rPr>
        <w:t> </w:t>
      </w:r>
      <w:r>
        <w:rPr/>
        <w:t>June. The three-month annualised rate had been lower still, at</w:t>
      </w:r>
      <w:r>
        <w:rPr>
          <w:spacing w:val="15"/>
        </w:rPr>
        <w:t> </w:t>
      </w:r>
      <w:r>
        <w:rPr/>
        <w:t>6.9%.</w:t>
      </w:r>
    </w:p>
    <w:p>
      <w:pPr>
        <w:pStyle w:val="BodyText"/>
        <w:spacing w:before="4"/>
        <w:rPr>
          <w:sz w:val="31"/>
        </w:rPr>
      </w:pPr>
    </w:p>
    <w:p>
      <w:pPr>
        <w:pStyle w:val="BodyText"/>
        <w:tabs>
          <w:tab w:pos="819" w:val="left" w:leader="none"/>
        </w:tabs>
        <w:spacing w:line="357" w:lineRule="auto"/>
        <w:ind w:left="100" w:right="277"/>
      </w:pPr>
      <w:r>
        <w:rPr>
          <w:spacing w:val="-3"/>
        </w:rPr>
        <w:t>A8</w:t>
        <w:tab/>
      </w:r>
      <w:r>
        <w:rPr/>
        <w:t>M4 had increased by £5.4 billion (0.7%) in May, raising the twelve-month growth rate to</w:t>
      </w:r>
      <w:r>
        <w:rPr>
          <w:spacing w:val="-17"/>
        </w:rPr>
        <w:t> </w:t>
      </w:r>
      <w:r>
        <w:rPr/>
        <w:t>5.0%. But the pick-up in growth had been mostly driven by other financial corporations (OFCs). </w:t>
      </w:r>
      <w:r>
        <w:rPr>
          <w:spacing w:val="-2"/>
        </w:rPr>
        <w:t>Annual </w:t>
      </w:r>
      <w:r>
        <w:rPr>
          <w:spacing w:val="-3"/>
        </w:rPr>
        <w:t>growth </w:t>
      </w:r>
      <w:r>
        <w:rPr/>
        <w:t>in M4 </w:t>
      </w:r>
      <w:r>
        <w:rPr>
          <w:spacing w:val="-3"/>
        </w:rPr>
        <w:t>excluding OFCs </w:t>
      </w:r>
      <w:r>
        <w:rPr/>
        <w:t>had </w:t>
      </w:r>
      <w:r>
        <w:rPr>
          <w:spacing w:val="-3"/>
        </w:rPr>
        <w:t>softened </w:t>
      </w:r>
      <w:r>
        <w:rPr/>
        <w:t>in</w:t>
      </w:r>
      <w:r>
        <w:rPr>
          <w:spacing w:val="51"/>
        </w:rPr>
        <w:t> </w:t>
      </w:r>
      <w:r>
        <w:rPr>
          <w:spacing w:val="-3"/>
        </w:rPr>
        <w:t>May.</w:t>
      </w:r>
    </w:p>
    <w:p>
      <w:pPr>
        <w:pStyle w:val="BodyText"/>
        <w:rPr>
          <w:sz w:val="31"/>
        </w:rPr>
      </w:pPr>
    </w:p>
    <w:p>
      <w:pPr>
        <w:pStyle w:val="BodyText"/>
        <w:tabs>
          <w:tab w:pos="819" w:val="left" w:leader="none"/>
        </w:tabs>
        <w:spacing w:line="364" w:lineRule="auto"/>
        <w:ind w:left="100" w:right="188"/>
      </w:pPr>
      <w:r>
        <w:rPr>
          <w:spacing w:val="-3"/>
        </w:rPr>
        <w:t>A9</w:t>
        <w:tab/>
      </w:r>
      <w:r>
        <w:rPr/>
        <w:t>By comparison, aggregate M4 lending (excluding the effects of securitisations) had been very strong in May, increasing by £15.4 billion (1.5%) on the month, and raising the twelve-month </w:t>
      </w:r>
      <w:r>
        <w:rPr>
          <w:spacing w:val="-2"/>
        </w:rPr>
        <w:t>growth </w:t>
      </w:r>
      <w:r>
        <w:rPr/>
        <w:t>rate to 12.1%, its highest since February 1991. The rise had partly reflected strong borrowing by</w:t>
      </w:r>
      <w:r>
        <w:rPr>
          <w:spacing w:val="-5"/>
        </w:rPr>
        <w:t> </w:t>
      </w:r>
      <w:r>
        <w:rPr/>
        <w:t>OFCs.</w:t>
      </w:r>
    </w:p>
    <w:p>
      <w:pPr>
        <w:spacing w:after="0" w:line="364" w:lineRule="auto"/>
        <w:sectPr>
          <w:headerReference w:type="default" r:id="rId9"/>
          <w:pgSz w:w="12240" w:h="15840"/>
          <w:pgMar w:header="731" w:footer="0" w:top="1500" w:bottom="280" w:left="1340" w:right="620"/>
          <w:pgNumType w:start="2"/>
        </w:sectPr>
      </w:pPr>
    </w:p>
    <w:p>
      <w:pPr>
        <w:pStyle w:val="BodyText"/>
        <w:rPr>
          <w:sz w:val="20"/>
        </w:rPr>
      </w:pPr>
    </w:p>
    <w:p>
      <w:pPr>
        <w:pStyle w:val="BodyText"/>
        <w:spacing w:before="1"/>
        <w:rPr>
          <w:sz w:val="23"/>
        </w:rPr>
      </w:pPr>
    </w:p>
    <w:p>
      <w:pPr>
        <w:pStyle w:val="BodyText"/>
        <w:spacing w:line="352" w:lineRule="auto" w:before="90"/>
        <w:ind w:left="100"/>
      </w:pPr>
      <w:r>
        <w:rPr/>
        <w:t>But borrowing by private non-financial corporations (PNFCs) had also risen further, and household borrowing had rebounded.</w:t>
      </w:r>
    </w:p>
    <w:p>
      <w:pPr>
        <w:pStyle w:val="BodyText"/>
        <w:spacing w:before="6"/>
        <w:rPr>
          <w:sz w:val="32"/>
        </w:rPr>
      </w:pPr>
    </w:p>
    <w:p>
      <w:pPr>
        <w:pStyle w:val="BodyText"/>
        <w:tabs>
          <w:tab w:pos="819" w:val="left" w:leader="none"/>
        </w:tabs>
        <w:spacing w:line="357" w:lineRule="auto"/>
        <w:ind w:left="100" w:right="530"/>
      </w:pPr>
      <w:r>
        <w:rPr/>
        <w:t>A10</w:t>
        <w:tab/>
        <w:t>Household M4 had been weak in May. Although recent outturns had been erratic, there </w:t>
      </w:r>
      <w:r>
        <w:rPr>
          <w:spacing w:val="-4"/>
        </w:rPr>
        <w:t>were </w:t>
      </w:r>
      <w:r>
        <w:rPr/>
        <w:t>now fairly clear signs of slower growth since the start of the year in a range of household money measures, including notes and coin, retail M4, households’ M4 and households’</w:t>
      </w:r>
      <w:r>
        <w:rPr>
          <w:spacing w:val="8"/>
        </w:rPr>
        <w:t> </w:t>
      </w:r>
      <w:r>
        <w:rPr/>
        <w:t>Divisia.</w:t>
      </w:r>
    </w:p>
    <w:p>
      <w:pPr>
        <w:pStyle w:val="BodyText"/>
        <w:spacing w:before="3"/>
        <w:rPr>
          <w:sz w:val="32"/>
        </w:rPr>
      </w:pPr>
    </w:p>
    <w:p>
      <w:pPr>
        <w:pStyle w:val="BodyText"/>
        <w:tabs>
          <w:tab w:pos="819" w:val="left" w:leader="none"/>
        </w:tabs>
        <w:spacing w:line="360" w:lineRule="auto"/>
        <w:ind w:left="100" w:right="113"/>
      </w:pPr>
      <w:r>
        <w:rPr/>
        <w:t>A11</w:t>
        <w:tab/>
        <w:t>M4 lending to households (excluding securitisations) had bounced back in May, though </w:t>
      </w:r>
      <w:r>
        <w:rPr>
          <w:spacing w:val="-2"/>
        </w:rPr>
        <w:t>the </w:t>
      </w:r>
      <w:r>
        <w:rPr/>
        <w:t>annual growth rate had remained broadly stable at around 10%.  Both secured lending and mortgage loan approvals had rebounded after a weaker April, perhaps reflecting the relatively low number of working days in April. Total unsecured lending had also been relatively strong in May, driven by a sharp rise in net credit card borrowing. But credit card borrowing could be volatile month to month, </w:t>
      </w:r>
      <w:r>
        <w:rPr>
          <w:spacing w:val="-2"/>
        </w:rPr>
        <w:t>and </w:t>
      </w:r>
      <w:r>
        <w:rPr/>
        <w:t>other types of unsecured lending had been slightly weaker. A broader measure of total lending </w:t>
      </w:r>
      <w:r>
        <w:rPr>
          <w:spacing w:val="-2"/>
        </w:rPr>
        <w:t>for </w:t>
      </w:r>
      <w:r>
        <w:rPr/>
        <w:t>consumption, which included mortgage equity withdrawal (MEW), was still estimated to have fallen in 2000 Q1 compared with the second half of 1999, though the Bank’s staff estimate of Q1 MEW had been revised up, from £1.8 billion to £2.3 billion, following the National Accounts</w:t>
      </w:r>
      <w:r>
        <w:rPr>
          <w:spacing w:val="23"/>
        </w:rPr>
        <w:t> </w:t>
      </w:r>
      <w:r>
        <w:rPr/>
        <w:t>release.</w:t>
      </w:r>
    </w:p>
    <w:p>
      <w:pPr>
        <w:pStyle w:val="BodyText"/>
        <w:spacing w:before="9"/>
        <w:rPr>
          <w:sz w:val="30"/>
        </w:rPr>
      </w:pPr>
    </w:p>
    <w:p>
      <w:pPr>
        <w:pStyle w:val="BodyText"/>
        <w:tabs>
          <w:tab w:pos="819" w:val="left" w:leader="none"/>
        </w:tabs>
        <w:spacing w:line="360" w:lineRule="auto" w:before="1"/>
        <w:ind w:left="100" w:right="173"/>
      </w:pPr>
      <w:r>
        <w:rPr/>
        <w:t>A12</w:t>
        <w:tab/>
        <w:t>Total external finance raised by PNFCs had been strong again in May, increasing by £7.4 billion on the month. Some £4 billion of the £4.7 billion rise in bank borrowing had been publicly identified as reflecting finance for 3G licence payments. PNFCs’ deposits had also risen in May by £2.5 billion, partly offsetting the impact of stronger gross borrowing on firms’ net recourse to banks. The </w:t>
      </w:r>
      <w:r>
        <w:rPr>
          <w:spacing w:val="-2"/>
        </w:rPr>
        <w:t>latest </w:t>
      </w:r>
      <w:r>
        <w:rPr/>
        <w:t>National Accounts had suggested that PNFCs’ net financial deficit had been broadly unchanged in </w:t>
      </w:r>
      <w:r>
        <w:rPr>
          <w:spacing w:val="-2"/>
        </w:rPr>
        <w:t>Q1, </w:t>
      </w:r>
      <w:r>
        <w:rPr/>
        <w:t>though strong subsequent borrowing might suggest a higher deficit in</w:t>
      </w:r>
      <w:r>
        <w:rPr>
          <w:spacing w:val="42"/>
        </w:rPr>
        <w:t> </w:t>
      </w:r>
      <w:r>
        <w:rPr>
          <w:spacing w:val="-2"/>
        </w:rPr>
        <w:t>Q2.</w:t>
      </w:r>
    </w:p>
    <w:p>
      <w:pPr>
        <w:pStyle w:val="BodyText"/>
        <w:spacing w:before="9"/>
        <w:rPr>
          <w:sz w:val="31"/>
        </w:rPr>
      </w:pPr>
    </w:p>
    <w:p>
      <w:pPr>
        <w:pStyle w:val="BodyText"/>
        <w:tabs>
          <w:tab w:pos="819" w:val="left" w:leader="none"/>
        </w:tabs>
        <w:spacing w:line="352" w:lineRule="auto"/>
        <w:ind w:left="100" w:right="922"/>
      </w:pPr>
      <w:r>
        <w:rPr/>
        <w:t>A13</w:t>
        <w:tab/>
        <w:t>Annual growth rates of OFCs’ M4 and M4 lending had risen in May, to 4.6% and 16.5% </w:t>
      </w:r>
      <w:r>
        <w:rPr>
          <w:spacing w:val="-3"/>
        </w:rPr>
        <w:t>respectively.</w:t>
      </w:r>
    </w:p>
    <w:p>
      <w:pPr>
        <w:pStyle w:val="BodyText"/>
        <w:spacing w:before="6"/>
        <w:rPr>
          <w:sz w:val="32"/>
        </w:rPr>
      </w:pPr>
    </w:p>
    <w:p>
      <w:pPr>
        <w:pStyle w:val="BodyText"/>
        <w:tabs>
          <w:tab w:pos="819" w:val="left" w:leader="none"/>
        </w:tabs>
        <w:spacing w:line="360" w:lineRule="auto"/>
        <w:ind w:left="100" w:right="143"/>
      </w:pPr>
      <w:r>
        <w:rPr/>
        <w:t>A14</w:t>
        <w:tab/>
        <w:t>Since the previous MPC meeting, interest rate expectations, as measured by the two-week gilt repo curve, had fallen a little at the short end. Longer nominal interest rates had risen only slightly.</w:t>
      </w:r>
      <w:r>
        <w:rPr>
          <w:spacing w:val="19"/>
        </w:rPr>
        <w:t> </w:t>
      </w:r>
      <w:r>
        <w:rPr>
          <w:spacing w:val="-2"/>
        </w:rPr>
        <w:t>The </w:t>
      </w:r>
      <w:r>
        <w:rPr/>
        <w:t>term structure of corporate yields had also flattened. Retail rates had been little changed in June, </w:t>
      </w:r>
      <w:r>
        <w:rPr>
          <w:spacing w:val="-2"/>
        </w:rPr>
        <w:t>though </w:t>
      </w:r>
      <w:r>
        <w:rPr/>
        <w:t>two-year fixed-rate mortgage rates had returned to April levels after a small fall in</w:t>
      </w:r>
      <w:r>
        <w:rPr>
          <w:spacing w:val="25"/>
        </w:rPr>
        <w:t> </w:t>
      </w:r>
      <w:r>
        <w:rPr/>
        <w:t>May.</w:t>
      </w:r>
    </w:p>
    <w:p>
      <w:pPr>
        <w:spacing w:after="0" w:line="360"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tabs>
          <w:tab w:pos="819" w:val="left" w:leader="none"/>
        </w:tabs>
        <w:spacing w:line="357" w:lineRule="auto" w:before="90"/>
        <w:ind w:left="100" w:right="298"/>
      </w:pPr>
      <w:r>
        <w:rPr/>
        <w:t>A15</w:t>
        <w:tab/>
        <w:t>One-year inflation expectations from the Consensus survey had risen from 2.2% in March to 2.4% in June. There had been a slight easing in survey-based real rates in the latest quarter, a period in </w:t>
      </w:r>
      <w:r>
        <w:rPr>
          <w:spacing w:val="-3"/>
        </w:rPr>
        <w:t>which </w:t>
      </w:r>
      <w:r>
        <w:rPr/>
        <w:t>the </w:t>
      </w:r>
      <w:r>
        <w:rPr>
          <w:spacing w:val="-3"/>
        </w:rPr>
        <w:t>official repo rate </w:t>
      </w:r>
      <w:r>
        <w:rPr/>
        <w:t>had </w:t>
      </w:r>
      <w:r>
        <w:rPr>
          <w:spacing w:val="-3"/>
        </w:rPr>
        <w:t>remained</w:t>
      </w:r>
      <w:r>
        <w:rPr>
          <w:spacing w:val="11"/>
        </w:rPr>
        <w:t> </w:t>
      </w:r>
      <w:r>
        <w:rPr>
          <w:spacing w:val="-3"/>
        </w:rPr>
        <w:t>fixed.</w:t>
      </w:r>
    </w:p>
    <w:p>
      <w:pPr>
        <w:pStyle w:val="BodyText"/>
        <w:spacing w:before="3"/>
        <w:rPr>
          <w:sz w:val="32"/>
        </w:rPr>
      </w:pPr>
    </w:p>
    <w:p>
      <w:pPr>
        <w:pStyle w:val="BodyText"/>
        <w:tabs>
          <w:tab w:pos="819" w:val="left" w:leader="none"/>
        </w:tabs>
        <w:spacing w:line="357" w:lineRule="auto" w:before="1"/>
        <w:ind w:left="100" w:right="503"/>
      </w:pPr>
      <w:r>
        <w:rPr/>
        <w:t>A16</w:t>
        <w:tab/>
        <w:t>The FTSE All-Share index had fallen by 1.7% since the previous MPC meeting, although </w:t>
      </w:r>
      <w:r>
        <w:rPr>
          <w:spacing w:val="-2"/>
        </w:rPr>
        <w:t>the </w:t>
      </w:r>
      <w:r>
        <w:rPr/>
        <w:t>Small Cap index had risen by 3.1%. The IT sector and non-cyclical services (mainly telecommunications) had fallen by around 11% and 8% respectively over the same</w:t>
      </w:r>
      <w:r>
        <w:rPr>
          <w:spacing w:val="-2"/>
        </w:rPr>
        <w:t> </w:t>
      </w:r>
      <w:r>
        <w:rPr/>
        <w:t>period.</w:t>
      </w:r>
    </w:p>
    <w:p>
      <w:pPr>
        <w:pStyle w:val="BodyText"/>
        <w:spacing w:before="11"/>
        <w:rPr>
          <w:sz w:val="30"/>
        </w:rPr>
      </w:pPr>
    </w:p>
    <w:p>
      <w:pPr>
        <w:pStyle w:val="BodyText"/>
        <w:tabs>
          <w:tab w:pos="819" w:val="left" w:leader="none"/>
        </w:tabs>
        <w:spacing w:line="360" w:lineRule="auto"/>
        <w:ind w:left="100" w:right="338"/>
      </w:pPr>
      <w:r>
        <w:rPr/>
        <w:t>A17</w:t>
        <w:tab/>
        <w:t>Since the previous MPC meeting, the sterling ERI had been little changed. Despite </w:t>
      </w:r>
      <w:r>
        <w:rPr>
          <w:spacing w:val="-2"/>
        </w:rPr>
        <w:t>the </w:t>
      </w:r>
      <w:r>
        <w:rPr/>
        <w:t>depreciation in May, longer-term Consensus forecasts suggested that the expected value of the</w:t>
      </w:r>
      <w:r>
        <w:rPr>
          <w:spacing w:val="-23"/>
        </w:rPr>
        <w:t> </w:t>
      </w:r>
      <w:r>
        <w:rPr/>
        <w:t>sterling ERI six years out had been little changed since February, though the expected sterling/dollar rate </w:t>
      </w:r>
      <w:r>
        <w:rPr>
          <w:spacing w:val="-2"/>
        </w:rPr>
        <w:t>was </w:t>
      </w:r>
      <w:r>
        <w:rPr/>
        <w:t>now somewhat lower, and the sterling/euro rate somewhat higher, than</w:t>
      </w:r>
      <w:r>
        <w:rPr>
          <w:spacing w:val="18"/>
        </w:rPr>
        <w:t> </w:t>
      </w:r>
      <w:r>
        <w:rPr/>
        <w:t>before.</w:t>
      </w:r>
    </w:p>
    <w:p>
      <w:pPr>
        <w:pStyle w:val="BodyText"/>
        <w:spacing w:before="1"/>
        <w:rPr>
          <w:sz w:val="32"/>
        </w:rPr>
      </w:pPr>
    </w:p>
    <w:p>
      <w:pPr>
        <w:pStyle w:val="Heading2"/>
        <w:numPr>
          <w:ilvl w:val="0"/>
          <w:numId w:val="2"/>
        </w:numPr>
        <w:tabs>
          <w:tab w:pos="819" w:val="left" w:leader="none"/>
          <w:tab w:pos="820" w:val="left" w:leader="none"/>
        </w:tabs>
        <w:spacing w:line="240" w:lineRule="auto" w:before="0" w:after="0"/>
        <w:ind w:left="820" w:right="0" w:hanging="720"/>
        <w:jc w:val="left"/>
      </w:pPr>
      <w:r>
        <w:rPr/>
        <w:t>Demand and</w:t>
      </w:r>
      <w:r>
        <w:rPr>
          <w:spacing w:val="-5"/>
        </w:rPr>
        <w:t> </w:t>
      </w:r>
      <w:r>
        <w:rPr>
          <w:spacing w:val="-2"/>
        </w:rPr>
        <w:t>output</w:t>
      </w:r>
    </w:p>
    <w:p>
      <w:pPr>
        <w:pStyle w:val="BodyText"/>
        <w:rPr>
          <w:b/>
          <w:sz w:val="26"/>
        </w:rPr>
      </w:pPr>
    </w:p>
    <w:p>
      <w:pPr>
        <w:pStyle w:val="BodyText"/>
        <w:tabs>
          <w:tab w:pos="819" w:val="left" w:leader="none"/>
        </w:tabs>
        <w:spacing w:line="360" w:lineRule="auto" w:before="190"/>
        <w:ind w:left="100" w:right="113"/>
      </w:pPr>
      <w:r>
        <w:rPr/>
        <w:t>A18</w:t>
        <w:tab/>
        <w:t>The National Accounts, published on 29 June, had included revisions to GDP and </w:t>
      </w:r>
      <w:r>
        <w:rPr>
          <w:spacing w:val="-2"/>
        </w:rPr>
        <w:t>its </w:t>
      </w:r>
      <w:r>
        <w:rPr/>
        <w:t>components, the cumulative impact of which had been to increase the estimated level of GDP at </w:t>
      </w:r>
      <w:r>
        <w:rPr>
          <w:spacing w:val="-2"/>
        </w:rPr>
        <w:t>market </w:t>
      </w:r>
      <w:r>
        <w:rPr/>
        <w:t>prices in 2000 Q1 by 0.6%. Most of the upward revisions had been to 1998 growth, reflecting </w:t>
      </w:r>
      <w:r>
        <w:rPr>
          <w:spacing w:val="-2"/>
        </w:rPr>
        <w:t>higher </w:t>
      </w:r>
      <w:r>
        <w:rPr/>
        <w:t>estimates of consumption as a result of the latest Annual Retailing Inquiry. Annual GDP growth in 1998 had been revised up to 2.6% from 2.2%, and the level of household consumption in 2000 Q1 had been revised up by 1.7%, reflecting the cumulative effect of revisions to growth rates in previous</w:t>
      </w:r>
      <w:r>
        <w:rPr>
          <w:spacing w:val="-33"/>
        </w:rPr>
        <w:t> </w:t>
      </w:r>
      <w:r>
        <w:rPr/>
        <w:t>periods.</w:t>
      </w:r>
    </w:p>
    <w:p>
      <w:pPr>
        <w:pStyle w:val="BodyText"/>
        <w:spacing w:line="364" w:lineRule="auto" w:before="6"/>
        <w:ind w:left="100" w:right="298"/>
      </w:pPr>
      <w:r>
        <w:rPr/>
        <w:t>GDP growth in 1999 had remained unchanged at 2.1%. Revisions to nominal GDP had been smaller than those for real GDP.</w:t>
      </w:r>
    </w:p>
    <w:p>
      <w:pPr>
        <w:pStyle w:val="BodyText"/>
        <w:spacing w:before="1"/>
        <w:rPr>
          <w:sz w:val="30"/>
        </w:rPr>
      </w:pPr>
    </w:p>
    <w:p>
      <w:pPr>
        <w:pStyle w:val="BodyText"/>
        <w:tabs>
          <w:tab w:pos="819" w:val="left" w:leader="none"/>
        </w:tabs>
        <w:spacing w:line="360" w:lineRule="auto" w:before="1"/>
        <w:ind w:left="100" w:right="143"/>
      </w:pPr>
      <w:r>
        <w:rPr/>
        <w:t>A19</w:t>
        <w:tab/>
        <w:t>Revisions to the income measure of GDP had been relatively small. Estimates of employees’ compensation had been revised downward, particularly in 1998, while gross operating surpluses </w:t>
      </w:r>
      <w:r>
        <w:rPr>
          <w:spacing w:val="-2"/>
        </w:rPr>
        <w:t>had </w:t>
      </w:r>
      <w:r>
        <w:rPr/>
        <w:t>been revised up. Due to the relatively larger upward revisions to nominal consumption, there had been</w:t>
      </w:r>
      <w:r>
        <w:rPr>
          <w:spacing w:val="-33"/>
        </w:rPr>
        <w:t> </w:t>
      </w:r>
      <w:r>
        <w:rPr/>
        <w:t>a marked downward revision to the household sector saving ratio. Turning to the output measure of GDP, the level of manufacturing output had been revised up in 1998 by 0.2%, and the level of services </w:t>
      </w:r>
      <w:r>
        <w:rPr>
          <w:spacing w:val="-2"/>
        </w:rPr>
        <w:t>output </w:t>
      </w:r>
      <w:r>
        <w:rPr/>
        <w:t>had been revised up by 0.5%. But there had been very little change to the pattern of growth</w:t>
      </w:r>
      <w:r>
        <w:rPr>
          <w:spacing w:val="-12"/>
        </w:rPr>
        <w:t> </w:t>
      </w:r>
      <w:r>
        <w:rPr/>
        <w:t>through</w:t>
      </w:r>
    </w:p>
    <w:p>
      <w:pPr>
        <w:spacing w:after="0" w:line="360"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52" w:lineRule="auto" w:before="90"/>
        <w:ind w:left="100" w:right="530"/>
      </w:pPr>
      <w:r>
        <w:rPr/>
        <w:t>1999. The unusually large discrepancy between the output and expenditure measures of GDP in 2000 Q1, seen in the earlier estimate, had been revised down.</w:t>
      </w:r>
    </w:p>
    <w:p>
      <w:pPr>
        <w:pStyle w:val="BodyText"/>
        <w:spacing w:before="6"/>
        <w:rPr>
          <w:sz w:val="32"/>
        </w:rPr>
      </w:pPr>
    </w:p>
    <w:p>
      <w:pPr>
        <w:pStyle w:val="BodyText"/>
        <w:tabs>
          <w:tab w:pos="819" w:val="left" w:leader="none"/>
        </w:tabs>
        <w:spacing w:line="360" w:lineRule="auto"/>
        <w:ind w:left="100" w:right="158"/>
      </w:pPr>
      <w:r>
        <w:rPr/>
        <w:t>A20</w:t>
        <w:tab/>
        <w:t>Estimated GDP growth in 2000 Q1 had been unrevised at 0.5%. The overall pattern of expenditure in recent quarters had remained broadly intact, although domestic demand had been revised down slightly in Q1, from 0.4% to 0.2%. Final domestic demand growth had also been revised down, and was now shown to have been broadly flat between Q4 and Q1. Household consumption growth </w:t>
      </w:r>
      <w:r>
        <w:rPr>
          <w:spacing w:val="-2"/>
        </w:rPr>
        <w:t>had </w:t>
      </w:r>
      <w:r>
        <w:rPr/>
        <w:t>remained unchanged in Q1 at 0.6%, but growth in investment and government consumption had both been revised downward. The new government consumption profile was also flatter through 1999. </w:t>
      </w:r>
      <w:r>
        <w:rPr>
          <w:spacing w:val="-2"/>
        </w:rPr>
        <w:t>The </w:t>
      </w:r>
      <w:r>
        <w:rPr/>
        <w:t>contribution to GDP growth from net trade in Q1 had been fractionally weaker than previously estimated, while that from stockbuilding had been slightly</w:t>
      </w:r>
      <w:r>
        <w:rPr>
          <w:spacing w:val="25"/>
        </w:rPr>
        <w:t> </w:t>
      </w:r>
      <w:r>
        <w:rPr/>
        <w:t>stronger.</w:t>
      </w:r>
    </w:p>
    <w:p>
      <w:pPr>
        <w:pStyle w:val="BodyText"/>
        <w:spacing w:before="6"/>
        <w:rPr>
          <w:sz w:val="31"/>
        </w:rPr>
      </w:pPr>
    </w:p>
    <w:p>
      <w:pPr>
        <w:pStyle w:val="BodyText"/>
        <w:tabs>
          <w:tab w:pos="819" w:val="left" w:leader="none"/>
        </w:tabs>
        <w:spacing w:line="360" w:lineRule="auto" w:before="1"/>
        <w:ind w:left="100" w:right="173"/>
      </w:pPr>
      <w:r>
        <w:rPr/>
        <w:t>A21</w:t>
        <w:tab/>
        <w:t>Turning</w:t>
      </w:r>
      <w:r>
        <w:rPr>
          <w:spacing w:val="-6"/>
        </w:rPr>
        <w:t> </w:t>
      </w:r>
      <w:r>
        <w:rPr/>
        <w:t>to</w:t>
      </w:r>
      <w:r>
        <w:rPr>
          <w:spacing w:val="-5"/>
        </w:rPr>
        <w:t> </w:t>
      </w:r>
      <w:r>
        <w:rPr/>
        <w:t>indicators</w:t>
      </w:r>
      <w:r>
        <w:rPr>
          <w:spacing w:val="-5"/>
        </w:rPr>
        <w:t> </w:t>
      </w:r>
      <w:r>
        <w:rPr/>
        <w:t>of</w:t>
      </w:r>
      <w:r>
        <w:rPr>
          <w:spacing w:val="-5"/>
        </w:rPr>
        <w:t> </w:t>
      </w:r>
      <w:r>
        <w:rPr/>
        <w:t>Q2</w:t>
      </w:r>
      <w:r>
        <w:rPr>
          <w:spacing w:val="-5"/>
        </w:rPr>
        <w:t> </w:t>
      </w:r>
      <w:r>
        <w:rPr/>
        <w:t>activity,</w:t>
      </w:r>
      <w:r>
        <w:rPr>
          <w:spacing w:val="-5"/>
        </w:rPr>
        <w:t> </w:t>
      </w:r>
      <w:r>
        <w:rPr/>
        <w:t>overall</w:t>
      </w:r>
      <w:r>
        <w:rPr>
          <w:spacing w:val="-5"/>
        </w:rPr>
        <w:t> </w:t>
      </w:r>
      <w:r>
        <w:rPr/>
        <w:t>industrial</w:t>
      </w:r>
      <w:r>
        <w:rPr>
          <w:spacing w:val="-5"/>
        </w:rPr>
        <w:t> </w:t>
      </w:r>
      <w:r>
        <w:rPr/>
        <w:t>production</w:t>
      </w:r>
      <w:r>
        <w:rPr>
          <w:spacing w:val="-5"/>
        </w:rPr>
        <w:t> </w:t>
      </w:r>
      <w:r>
        <w:rPr/>
        <w:t>had</w:t>
      </w:r>
      <w:r>
        <w:rPr>
          <w:spacing w:val="-6"/>
        </w:rPr>
        <w:t> </w:t>
      </w:r>
      <w:r>
        <w:rPr/>
        <w:t>increased</w:t>
      </w:r>
      <w:r>
        <w:rPr>
          <w:spacing w:val="-5"/>
        </w:rPr>
        <w:t> </w:t>
      </w:r>
      <w:r>
        <w:rPr/>
        <w:t>by</w:t>
      </w:r>
      <w:r>
        <w:rPr>
          <w:spacing w:val="-5"/>
        </w:rPr>
        <w:t> </w:t>
      </w:r>
      <w:r>
        <w:rPr/>
        <w:t>0.1%</w:t>
      </w:r>
      <w:r>
        <w:rPr>
          <w:spacing w:val="-5"/>
        </w:rPr>
        <w:t> </w:t>
      </w:r>
      <w:r>
        <w:rPr/>
        <w:t>in</w:t>
      </w:r>
      <w:r>
        <w:rPr>
          <w:spacing w:val="-5"/>
        </w:rPr>
        <w:t> </w:t>
      </w:r>
      <w:r>
        <w:rPr/>
        <w:t>May. Manufacturing output had risen by 0.4%, but had been mostly offset by a decline in energy output, which had unwound following particularly strong growth in April. But recent survey evidence </w:t>
      </w:r>
      <w:r>
        <w:rPr>
          <w:spacing w:val="-2"/>
        </w:rPr>
        <w:t>had </w:t>
      </w:r>
      <w:r>
        <w:rPr/>
        <w:t>suggested a continuation of weaker manufacturing output in coming months. The manufacturing output expectations balance in the Confederation of British Industry (CBI) Monthly Trends survey had fallen slightly further, to –7 in June from –6 in May. The Chartered Institute of Purchasing and Supply </w:t>
      </w:r>
      <w:r>
        <w:rPr>
          <w:spacing w:val="-2"/>
        </w:rPr>
        <w:t>(CIPS) </w:t>
      </w:r>
      <w:r>
        <w:rPr>
          <w:spacing w:val="-3"/>
        </w:rPr>
        <w:t>manufacturing survey output index </w:t>
      </w:r>
      <w:r>
        <w:rPr/>
        <w:t>had </w:t>
      </w:r>
      <w:r>
        <w:rPr>
          <w:spacing w:val="-3"/>
        </w:rPr>
        <w:t>fallen </w:t>
      </w:r>
      <w:r>
        <w:rPr/>
        <w:t>to </w:t>
      </w:r>
      <w:r>
        <w:rPr>
          <w:spacing w:val="-3"/>
        </w:rPr>
        <w:t>50.5 </w:t>
      </w:r>
      <w:r>
        <w:rPr/>
        <w:t>in </w:t>
      </w:r>
      <w:r>
        <w:rPr>
          <w:spacing w:val="-3"/>
        </w:rPr>
        <w:t>June from 50.9 </w:t>
      </w:r>
      <w:r>
        <w:rPr/>
        <w:t>in </w:t>
      </w:r>
      <w:r>
        <w:rPr>
          <w:spacing w:val="-3"/>
        </w:rPr>
        <w:t>May, </w:t>
      </w:r>
      <w:r>
        <w:rPr/>
        <w:t>and the </w:t>
      </w:r>
      <w:r>
        <w:rPr>
          <w:spacing w:val="-3"/>
        </w:rPr>
        <w:t>June   </w:t>
      </w:r>
      <w:r>
        <w:rPr/>
        <w:t>Engineering Employers’ Federation (EEF) manufacturing output balance had fallen to –2, from +8 in </w:t>
      </w:r>
      <w:r>
        <w:rPr>
          <w:spacing w:val="-5"/>
        </w:rPr>
        <w:t>March.</w:t>
      </w:r>
    </w:p>
    <w:p>
      <w:pPr>
        <w:pStyle w:val="BodyText"/>
        <w:spacing w:before="9"/>
        <w:rPr>
          <w:sz w:val="30"/>
        </w:rPr>
      </w:pPr>
    </w:p>
    <w:p>
      <w:pPr>
        <w:pStyle w:val="BodyText"/>
        <w:tabs>
          <w:tab w:pos="819" w:val="left" w:leader="none"/>
        </w:tabs>
        <w:spacing w:line="360" w:lineRule="auto"/>
        <w:ind w:left="100" w:right="298"/>
      </w:pPr>
      <w:r>
        <w:rPr/>
        <w:t>A22</w:t>
        <w:tab/>
        <w:t>In the services sector, retail sales volumes had risen by 0.4% in May, but annual growth </w:t>
      </w:r>
      <w:r>
        <w:rPr>
          <w:spacing w:val="-2"/>
        </w:rPr>
        <w:t>had </w:t>
      </w:r>
      <w:r>
        <w:rPr/>
        <w:t>slowed considerably, to 3.6% from 4.7%. Looking ahead, the CBI Distributive Trades survey </w:t>
      </w:r>
      <w:r>
        <w:rPr>
          <w:spacing w:val="-2"/>
        </w:rPr>
        <w:t>had </w:t>
      </w:r>
      <w:r>
        <w:rPr/>
        <w:t>shown a considerable slowing in reported annual retail sales growth in June, with the total balance </w:t>
      </w:r>
      <w:r>
        <w:rPr>
          <w:spacing w:val="-3"/>
        </w:rPr>
        <w:t>falling </w:t>
      </w:r>
      <w:r>
        <w:rPr/>
        <w:t>to </w:t>
      </w:r>
      <w:r>
        <w:rPr>
          <w:spacing w:val="-3"/>
        </w:rPr>
        <w:t>+15, from </w:t>
      </w:r>
      <w:r>
        <w:rPr/>
        <w:t>+45 in </w:t>
      </w:r>
      <w:r>
        <w:rPr>
          <w:spacing w:val="-3"/>
        </w:rPr>
        <w:t>May. </w:t>
      </w:r>
      <w:r>
        <w:rPr/>
        <w:t>The GfK </w:t>
      </w:r>
      <w:r>
        <w:rPr>
          <w:spacing w:val="-3"/>
        </w:rPr>
        <w:t>confidence index </w:t>
      </w:r>
      <w:r>
        <w:rPr/>
        <w:t>had </w:t>
      </w:r>
      <w:r>
        <w:rPr>
          <w:spacing w:val="-3"/>
        </w:rPr>
        <w:t>eased </w:t>
      </w:r>
      <w:r>
        <w:rPr/>
        <w:t>to </w:t>
      </w:r>
      <w:r>
        <w:rPr>
          <w:spacing w:val="-3"/>
        </w:rPr>
        <w:t>+0.1 </w:t>
      </w:r>
      <w:r>
        <w:rPr/>
        <w:t>in </w:t>
      </w:r>
      <w:r>
        <w:rPr>
          <w:spacing w:val="-3"/>
        </w:rPr>
        <w:t>June from +2.7 in  </w:t>
      </w:r>
      <w:r>
        <w:rPr/>
        <w:t>May. Private new car registrations in the three months to May had fallen by 2.1% on a year earlier, while total new registrations had increased by 4.8%. There had also been some indications of slowing activity in other areas of the services sector. The CBI/PriceWaterhouseCoopers financial services optimism balance had fallen to –6 in June, from +36 in</w:t>
      </w:r>
      <w:r>
        <w:rPr>
          <w:spacing w:val="33"/>
        </w:rPr>
        <w:t> </w:t>
      </w:r>
      <w:r>
        <w:rPr>
          <w:spacing w:val="-2"/>
        </w:rPr>
        <w:t>March.</w:t>
      </w:r>
    </w:p>
    <w:p>
      <w:pPr>
        <w:spacing w:after="0" w:line="360"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tabs>
          <w:tab w:pos="819" w:val="left" w:leader="none"/>
        </w:tabs>
        <w:spacing w:line="360" w:lineRule="auto" w:before="90"/>
        <w:ind w:left="100" w:right="173"/>
      </w:pPr>
      <w:r>
        <w:rPr/>
        <w:t>A23</w:t>
        <w:tab/>
        <w:t>Earlier evidence of a slowdown in house price inflation had been confirmed. Although </w:t>
      </w:r>
      <w:r>
        <w:rPr>
          <w:spacing w:val="-2"/>
        </w:rPr>
        <w:t>the </w:t>
      </w:r>
      <w:r>
        <w:rPr/>
        <w:t>Nationwide price index had risen by 0.4% in June, annual growth had continued to ease to </w:t>
      </w:r>
      <w:r>
        <w:rPr>
          <w:spacing w:val="-2"/>
        </w:rPr>
        <w:t>15.1%. </w:t>
      </w:r>
      <w:r>
        <w:rPr>
          <w:spacing w:val="-3"/>
        </w:rPr>
        <w:t>Annual growth </w:t>
      </w:r>
      <w:r>
        <w:rPr/>
        <w:t>in the </w:t>
      </w:r>
      <w:r>
        <w:rPr>
          <w:spacing w:val="-3"/>
        </w:rPr>
        <w:t>Halifax house price index </w:t>
      </w:r>
      <w:r>
        <w:rPr/>
        <w:t>had </w:t>
      </w:r>
      <w:r>
        <w:rPr>
          <w:spacing w:val="-3"/>
        </w:rPr>
        <w:t>also slowed </w:t>
      </w:r>
      <w:r>
        <w:rPr/>
        <w:t>in </w:t>
      </w:r>
      <w:r>
        <w:rPr>
          <w:spacing w:val="-3"/>
        </w:rPr>
        <w:t>June, </w:t>
      </w:r>
      <w:r>
        <w:rPr/>
        <w:t>to </w:t>
      </w:r>
      <w:r>
        <w:rPr>
          <w:spacing w:val="-3"/>
        </w:rPr>
        <w:t>9.2% from 11.2% </w:t>
      </w:r>
      <w:r>
        <w:rPr/>
        <w:t>in </w:t>
      </w:r>
      <w:r>
        <w:rPr>
          <w:spacing w:val="-3"/>
        </w:rPr>
        <w:t>May.  </w:t>
      </w:r>
      <w:r>
        <w:rPr/>
        <w:t>The</w:t>
      </w:r>
      <w:r>
        <w:rPr>
          <w:spacing w:val="-6"/>
        </w:rPr>
        <w:t> </w:t>
      </w:r>
      <w:r>
        <w:rPr/>
        <w:t>Royal</w:t>
      </w:r>
      <w:r>
        <w:rPr>
          <w:spacing w:val="-5"/>
        </w:rPr>
        <w:t> </w:t>
      </w:r>
      <w:r>
        <w:rPr/>
        <w:t>Institute</w:t>
      </w:r>
      <w:r>
        <w:rPr>
          <w:spacing w:val="-5"/>
        </w:rPr>
        <w:t> </w:t>
      </w:r>
      <w:r>
        <w:rPr/>
        <w:t>of</w:t>
      </w:r>
      <w:r>
        <w:rPr>
          <w:spacing w:val="-5"/>
        </w:rPr>
        <w:t> </w:t>
      </w:r>
      <w:r>
        <w:rPr/>
        <w:t>Chartered</w:t>
      </w:r>
      <w:r>
        <w:rPr>
          <w:spacing w:val="-5"/>
        </w:rPr>
        <w:t> </w:t>
      </w:r>
      <w:r>
        <w:rPr/>
        <w:t>Surveyors</w:t>
      </w:r>
      <w:r>
        <w:rPr>
          <w:spacing w:val="-5"/>
        </w:rPr>
        <w:t> </w:t>
      </w:r>
      <w:r>
        <w:rPr/>
        <w:t>(RICS)</w:t>
      </w:r>
      <w:r>
        <w:rPr>
          <w:spacing w:val="-5"/>
        </w:rPr>
        <w:t> </w:t>
      </w:r>
      <w:r>
        <w:rPr/>
        <w:t>survey</w:t>
      </w:r>
      <w:r>
        <w:rPr>
          <w:spacing w:val="-5"/>
        </w:rPr>
        <w:t> </w:t>
      </w:r>
      <w:r>
        <w:rPr/>
        <w:t>balance</w:t>
      </w:r>
      <w:r>
        <w:rPr>
          <w:spacing w:val="-5"/>
        </w:rPr>
        <w:t> </w:t>
      </w:r>
      <w:r>
        <w:rPr/>
        <w:t>for</w:t>
      </w:r>
      <w:r>
        <w:rPr>
          <w:spacing w:val="-6"/>
        </w:rPr>
        <w:t> </w:t>
      </w:r>
      <w:r>
        <w:rPr/>
        <w:t>house</w:t>
      </w:r>
      <w:r>
        <w:rPr>
          <w:spacing w:val="-5"/>
        </w:rPr>
        <w:t> </w:t>
      </w:r>
      <w:r>
        <w:rPr/>
        <w:t>price</w:t>
      </w:r>
      <w:r>
        <w:rPr>
          <w:spacing w:val="-5"/>
        </w:rPr>
        <w:t> </w:t>
      </w:r>
      <w:r>
        <w:rPr/>
        <w:t>inflation</w:t>
      </w:r>
      <w:r>
        <w:rPr>
          <w:spacing w:val="-5"/>
        </w:rPr>
        <w:t> </w:t>
      </w:r>
      <w:r>
        <w:rPr/>
        <w:t>had</w:t>
      </w:r>
      <w:r>
        <w:rPr>
          <w:spacing w:val="-5"/>
        </w:rPr>
        <w:t> </w:t>
      </w:r>
      <w:r>
        <w:rPr/>
        <w:t>fallen</w:t>
      </w:r>
      <w:r>
        <w:rPr>
          <w:spacing w:val="-5"/>
        </w:rPr>
        <w:t> </w:t>
      </w:r>
      <w:r>
        <w:rPr/>
        <w:t>to</w:t>
      </w:r>
    </w:p>
    <w:p>
      <w:pPr>
        <w:pStyle w:val="BodyText"/>
        <w:spacing w:line="360" w:lineRule="auto"/>
        <w:ind w:left="100" w:right="117"/>
      </w:pPr>
      <w:r>
        <w:rPr/>
        <w:t>+26 in May from +37 in April, and the House Builders’ Federation (HBF) inflation balance had fallen from +33 to +21. Indicators of housing activity growth had also shown a further slowdown. The HBF site visits and net reservations balances had fallen in May – site visits to their lowest level in almost five years.</w:t>
      </w:r>
    </w:p>
    <w:p>
      <w:pPr>
        <w:pStyle w:val="BodyText"/>
        <w:spacing w:before="7"/>
        <w:rPr>
          <w:sz w:val="31"/>
        </w:rPr>
      </w:pPr>
    </w:p>
    <w:p>
      <w:pPr>
        <w:pStyle w:val="Heading2"/>
        <w:numPr>
          <w:ilvl w:val="0"/>
          <w:numId w:val="2"/>
        </w:numPr>
        <w:tabs>
          <w:tab w:pos="819" w:val="left" w:leader="none"/>
          <w:tab w:pos="820" w:val="left" w:leader="none"/>
        </w:tabs>
        <w:spacing w:line="240" w:lineRule="auto" w:before="0" w:after="0"/>
        <w:ind w:left="820" w:right="0" w:hanging="720"/>
        <w:jc w:val="left"/>
      </w:pPr>
      <w:r>
        <w:rPr/>
        <w:t>Labour</w:t>
      </w:r>
      <w:r>
        <w:rPr>
          <w:spacing w:val="13"/>
        </w:rPr>
        <w:t> </w:t>
      </w:r>
      <w:r>
        <w:rPr/>
        <w:t>market</w:t>
      </w:r>
    </w:p>
    <w:p>
      <w:pPr>
        <w:pStyle w:val="BodyText"/>
        <w:rPr>
          <w:b/>
          <w:sz w:val="26"/>
        </w:rPr>
      </w:pPr>
    </w:p>
    <w:p>
      <w:pPr>
        <w:pStyle w:val="BodyText"/>
        <w:tabs>
          <w:tab w:pos="819" w:val="left" w:leader="none"/>
        </w:tabs>
        <w:spacing w:line="360" w:lineRule="auto" w:before="190"/>
        <w:ind w:left="100" w:right="173"/>
      </w:pPr>
      <w:r>
        <w:rPr/>
        <w:t>A24</w:t>
        <w:tab/>
        <w:t>According to the Labour Force Survey (LFS), there had been an increase in employment of 112,000 (0.4%) in the three months to April, following growth of 82,000 (0.3%) in the previous three months. The rise in the three months to April had been the largest since September 1998. Workforce Jobs – a more volatile series, sampled on a single day in each quarter – had fallen by 35,000 in </w:t>
      </w:r>
      <w:r>
        <w:rPr>
          <w:spacing w:val="-2"/>
        </w:rPr>
        <w:t>Q1, </w:t>
      </w:r>
      <w:r>
        <w:rPr/>
        <w:t>largely accounted for by a decline in service sector jobs of 52,000. As in the previous two months, most of the increase in LFS employment had been in part-time employment, which had risen by </w:t>
      </w:r>
      <w:r>
        <w:rPr>
          <w:spacing w:val="-2"/>
        </w:rPr>
        <w:t>92,000 </w:t>
      </w:r>
      <w:r>
        <w:rPr/>
        <w:t>(1.3%). </w:t>
      </w:r>
      <w:r>
        <w:rPr>
          <w:spacing w:val="-3"/>
        </w:rPr>
        <w:t>Full-time </w:t>
      </w:r>
      <w:r>
        <w:rPr/>
        <w:t>employment had grown by 20,000. As a result, although employment growth</w:t>
      </w:r>
      <w:r>
        <w:rPr>
          <w:spacing w:val="38"/>
        </w:rPr>
        <w:t> </w:t>
      </w:r>
      <w:r>
        <w:rPr/>
        <w:t>in</w:t>
      </w:r>
    </w:p>
    <w:p>
      <w:pPr>
        <w:pStyle w:val="BodyText"/>
        <w:spacing w:line="364" w:lineRule="auto"/>
        <w:ind w:left="100"/>
      </w:pPr>
      <w:r>
        <w:rPr/>
        <w:t>full-time equivalent terms had picked up, it continued to be much slower than growth in the number of those employed.</w:t>
      </w:r>
    </w:p>
    <w:p>
      <w:pPr>
        <w:pStyle w:val="BodyText"/>
        <w:spacing w:before="2"/>
        <w:rPr>
          <w:sz w:val="31"/>
        </w:rPr>
      </w:pPr>
    </w:p>
    <w:p>
      <w:pPr>
        <w:pStyle w:val="BodyText"/>
        <w:tabs>
          <w:tab w:pos="819" w:val="left" w:leader="none"/>
        </w:tabs>
        <w:spacing w:line="357" w:lineRule="auto"/>
        <w:ind w:left="100" w:right="367"/>
      </w:pPr>
      <w:r>
        <w:rPr/>
        <w:t>A25</w:t>
        <w:tab/>
        <w:t>The strong growth in employment had contributed to the 0.3% rise in total hours worked in</w:t>
      </w:r>
      <w:r>
        <w:rPr>
          <w:spacing w:val="-34"/>
        </w:rPr>
        <w:t> </w:t>
      </w:r>
      <w:r>
        <w:rPr>
          <w:spacing w:val="-2"/>
        </w:rPr>
        <w:t>the </w:t>
      </w:r>
      <w:r>
        <w:rPr/>
        <w:t>three months to April. Average working hours had declined slightly, largely accounted for by lower average hours worked by people in second</w:t>
      </w:r>
      <w:r>
        <w:rPr>
          <w:spacing w:val="36"/>
        </w:rPr>
        <w:t> </w:t>
      </w:r>
      <w:r>
        <w:rPr/>
        <w:t>jobs.</w:t>
      </w:r>
    </w:p>
    <w:p>
      <w:pPr>
        <w:pStyle w:val="BodyText"/>
        <w:rPr>
          <w:sz w:val="31"/>
        </w:rPr>
      </w:pPr>
    </w:p>
    <w:p>
      <w:pPr>
        <w:pStyle w:val="BodyText"/>
        <w:tabs>
          <w:tab w:pos="819" w:val="left" w:leader="none"/>
        </w:tabs>
        <w:spacing w:line="362" w:lineRule="auto"/>
        <w:ind w:left="100" w:right="112"/>
      </w:pPr>
      <w:r>
        <w:rPr/>
        <w:t>A26</w:t>
        <w:tab/>
        <w:t>CIPS survey measures of employment growth had been little changed in June. The surveys </w:t>
      </w:r>
      <w:r>
        <w:rPr>
          <w:spacing w:val="-2"/>
        </w:rPr>
        <w:t>had </w:t>
      </w:r>
      <w:r>
        <w:rPr/>
        <w:t>indicated that employment growth in construction and services had slowed slightly, while</w:t>
      </w:r>
      <w:r>
        <w:rPr>
          <w:spacing w:val="-17"/>
        </w:rPr>
        <w:t> </w:t>
      </w:r>
      <w:r>
        <w:rPr/>
        <w:t>manufacturing employment had declined at a slightly faster rate than in previous months. The Recruitment </w:t>
      </w:r>
      <w:r>
        <w:rPr>
          <w:spacing w:val="-2"/>
        </w:rPr>
        <w:t>and </w:t>
      </w:r>
      <w:r>
        <w:rPr/>
        <w:t>Employment Confederation (REC) survey had indicated that shortages of both temporary and permanent staff had intensified in June, but the Bank's regional Agents had reported little change in overall</w:t>
      </w:r>
      <w:r>
        <w:rPr>
          <w:spacing w:val="7"/>
        </w:rPr>
        <w:t> </w:t>
      </w:r>
      <w:r>
        <w:rPr/>
        <w:t>skill</w:t>
      </w:r>
    </w:p>
    <w:p>
      <w:pPr>
        <w:spacing w:after="0" w:line="362"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52" w:lineRule="auto" w:before="90"/>
        <w:ind w:left="100"/>
      </w:pPr>
      <w:r>
        <w:rPr/>
        <w:t>shortages. The CBI/Deloitte &amp; Touche Service Sector survey and the CBI/PriceWaterhouseCoopers Financial Services Survey had also suggested a largely unchanged picture.</w:t>
      </w:r>
    </w:p>
    <w:p>
      <w:pPr>
        <w:pStyle w:val="BodyText"/>
        <w:spacing w:before="6"/>
        <w:rPr>
          <w:sz w:val="32"/>
        </w:rPr>
      </w:pPr>
    </w:p>
    <w:p>
      <w:pPr>
        <w:pStyle w:val="BodyText"/>
        <w:tabs>
          <w:tab w:pos="819" w:val="left" w:leader="none"/>
        </w:tabs>
        <w:spacing w:line="360" w:lineRule="auto"/>
        <w:ind w:left="100" w:right="413"/>
      </w:pPr>
      <w:r>
        <w:rPr/>
        <w:t>A27</w:t>
        <w:tab/>
        <w:t>New vacancies notified to Jobcentres and Jobcentre placings had both fallen sharply in May. However, this had been affected by three closely spaced public holidays in the accounting period, as well as a change in the criteria for including a notified vacancy in the official figures.</w:t>
      </w:r>
      <w:r>
        <w:rPr>
          <w:spacing w:val="15"/>
        </w:rPr>
        <w:t> </w:t>
      </w:r>
      <w:r>
        <w:rPr/>
        <w:t>The underlying falls were probably much</w:t>
      </w:r>
      <w:r>
        <w:rPr>
          <w:spacing w:val="6"/>
        </w:rPr>
        <w:t> </w:t>
      </w:r>
      <w:r>
        <w:rPr/>
        <w:t>smaller.</w:t>
      </w:r>
    </w:p>
    <w:p>
      <w:pPr>
        <w:pStyle w:val="BodyText"/>
        <w:spacing w:before="9"/>
        <w:rPr>
          <w:sz w:val="30"/>
        </w:rPr>
      </w:pPr>
    </w:p>
    <w:p>
      <w:pPr>
        <w:pStyle w:val="BodyText"/>
        <w:tabs>
          <w:tab w:pos="819" w:val="left" w:leader="none"/>
        </w:tabs>
        <w:spacing w:line="360" w:lineRule="auto"/>
        <w:ind w:left="100" w:right="188"/>
      </w:pPr>
      <w:r>
        <w:rPr/>
        <w:t>A28</w:t>
        <w:tab/>
        <w:t>Unemployment had continued to fall on both the LFS and claimant count measures. </w:t>
      </w:r>
      <w:r>
        <w:rPr>
          <w:spacing w:val="-2"/>
        </w:rPr>
        <w:t>LFS </w:t>
      </w:r>
      <w:r>
        <w:rPr/>
        <w:t>unemployment had fallen by 60,000, and the unemployment rate by 0.2 percentage points, in the three months to April compared with the previous three months. Claimant count unemployment had fallen </w:t>
      </w:r>
      <w:r>
        <w:rPr>
          <w:spacing w:val="-8"/>
        </w:rPr>
        <w:t>by </w:t>
      </w:r>
      <w:r>
        <w:rPr>
          <w:spacing w:val="-3"/>
        </w:rPr>
        <w:t>8,600 </w:t>
      </w:r>
      <w:r>
        <w:rPr/>
        <w:t>in May </w:t>
      </w:r>
      <w:r>
        <w:rPr>
          <w:spacing w:val="-3"/>
        </w:rPr>
        <w:t>from </w:t>
      </w:r>
      <w:r>
        <w:rPr/>
        <w:t>the </w:t>
      </w:r>
      <w:r>
        <w:rPr>
          <w:spacing w:val="-3"/>
        </w:rPr>
        <w:t>previous </w:t>
      </w:r>
      <w:r>
        <w:rPr/>
        <w:t>month, leaving the </w:t>
      </w:r>
      <w:r>
        <w:rPr>
          <w:spacing w:val="-3"/>
        </w:rPr>
        <w:t>rate unchanged </w:t>
      </w:r>
      <w:r>
        <w:rPr/>
        <w:t>at </w:t>
      </w:r>
      <w:r>
        <w:rPr>
          <w:spacing w:val="-3"/>
        </w:rPr>
        <w:t>3.9%. </w:t>
      </w:r>
      <w:r>
        <w:rPr/>
        <w:t>As in Q1, the </w:t>
      </w:r>
      <w:r>
        <w:rPr>
          <w:spacing w:val="-3"/>
        </w:rPr>
        <w:t>fall </w:t>
      </w:r>
      <w:r>
        <w:rPr/>
        <w:t>in </w:t>
      </w:r>
      <w:r>
        <w:rPr>
          <w:spacing w:val="-3"/>
        </w:rPr>
        <w:t>LFS </w:t>
      </w:r>
      <w:r>
        <w:rPr/>
        <w:t>unemployment had been largely accounted for by lower long-term unemployment. Dispersion of unemployment across regions had risen slightly in Q1, but county-level dispersion had continued to </w:t>
      </w:r>
      <w:r>
        <w:rPr>
          <w:spacing w:val="-3"/>
        </w:rPr>
        <w:t>decline.</w:t>
      </w:r>
    </w:p>
    <w:p>
      <w:pPr>
        <w:pStyle w:val="BodyText"/>
        <w:spacing w:before="4"/>
        <w:rPr>
          <w:sz w:val="32"/>
        </w:rPr>
      </w:pPr>
    </w:p>
    <w:p>
      <w:pPr>
        <w:pStyle w:val="BodyText"/>
        <w:tabs>
          <w:tab w:pos="819" w:val="left" w:leader="none"/>
        </w:tabs>
        <w:spacing w:line="352" w:lineRule="auto"/>
        <w:ind w:left="100" w:right="503"/>
      </w:pPr>
      <w:r>
        <w:rPr/>
        <w:t>A29</w:t>
        <w:tab/>
        <w:t>Inactivity had fallen by 15,000 in the three months to April compared with the previous three months, reflecting a 24,000 decline in female inactivity. Male inactivity had risen by</w:t>
      </w:r>
      <w:r>
        <w:rPr>
          <w:spacing w:val="22"/>
        </w:rPr>
        <w:t> </w:t>
      </w:r>
      <w:r>
        <w:rPr>
          <w:spacing w:val="-2"/>
        </w:rPr>
        <w:t>8,000.</w:t>
      </w:r>
    </w:p>
    <w:p>
      <w:pPr>
        <w:pStyle w:val="BodyText"/>
        <w:spacing w:before="6"/>
        <w:rPr>
          <w:sz w:val="32"/>
        </w:rPr>
      </w:pPr>
    </w:p>
    <w:p>
      <w:pPr>
        <w:pStyle w:val="BodyText"/>
        <w:tabs>
          <w:tab w:pos="819" w:val="left" w:leader="none"/>
        </w:tabs>
        <w:spacing w:line="357" w:lineRule="auto"/>
        <w:ind w:left="100" w:right="113"/>
      </w:pPr>
      <w:r>
        <w:rPr/>
        <w:t>A30</w:t>
        <w:tab/>
        <w:t>Headline earnings growth, as measured by the Average Earnings Index (AEI), had declined sharply in most sectors. Whole-economy headline earnings growth had fallen by 0.6 percentage points in April to 5.1%, with the private sector accounting for all of this decrease (down by 0.8 percentage points to 5.3%). Within the private sector, headline earnings growth had fallen in both private services and manufacturing, to 5.6% and 4.3% respectively. Headline public sector earnings growth had risen</w:t>
      </w:r>
      <w:r>
        <w:rPr>
          <w:spacing w:val="-10"/>
        </w:rPr>
        <w:t> </w:t>
      </w:r>
      <w:r>
        <w:rPr/>
        <w:t>by</w:t>
      </w:r>
    </w:p>
    <w:p>
      <w:pPr>
        <w:pStyle w:val="BodyText"/>
        <w:spacing w:before="14"/>
        <w:ind w:left="100"/>
      </w:pPr>
      <w:r>
        <w:rPr/>
        <w:t>0.1 percentage points to 4.3%.</w:t>
      </w:r>
    </w:p>
    <w:p>
      <w:pPr>
        <w:pStyle w:val="BodyText"/>
        <w:rPr>
          <w:sz w:val="26"/>
        </w:rPr>
      </w:pPr>
    </w:p>
    <w:p>
      <w:pPr>
        <w:pStyle w:val="BodyText"/>
        <w:tabs>
          <w:tab w:pos="819" w:val="left" w:leader="none"/>
        </w:tabs>
        <w:spacing w:line="362" w:lineRule="auto" w:before="190"/>
        <w:ind w:left="100" w:right="413"/>
      </w:pPr>
      <w:r>
        <w:rPr/>
        <w:t>A31</w:t>
        <w:tab/>
        <w:t>Actual</w:t>
      </w:r>
      <w:r>
        <w:rPr>
          <w:spacing w:val="-4"/>
        </w:rPr>
        <w:t> </w:t>
      </w:r>
      <w:r>
        <w:rPr/>
        <w:t>earnings</w:t>
      </w:r>
      <w:r>
        <w:rPr>
          <w:spacing w:val="-4"/>
        </w:rPr>
        <w:t> </w:t>
      </w:r>
      <w:r>
        <w:rPr/>
        <w:t>growth</w:t>
      </w:r>
      <w:r>
        <w:rPr>
          <w:spacing w:val="-4"/>
        </w:rPr>
        <w:t> </w:t>
      </w:r>
      <w:r>
        <w:rPr/>
        <w:t>had</w:t>
      </w:r>
      <w:r>
        <w:rPr>
          <w:spacing w:val="-4"/>
        </w:rPr>
        <w:t> </w:t>
      </w:r>
      <w:r>
        <w:rPr/>
        <w:t>declined</w:t>
      </w:r>
      <w:r>
        <w:rPr>
          <w:spacing w:val="-4"/>
        </w:rPr>
        <w:t> </w:t>
      </w:r>
      <w:r>
        <w:rPr/>
        <w:t>by</w:t>
      </w:r>
      <w:r>
        <w:rPr>
          <w:spacing w:val="-3"/>
        </w:rPr>
        <w:t> </w:t>
      </w:r>
      <w:r>
        <w:rPr/>
        <w:t>0.8</w:t>
      </w:r>
      <w:r>
        <w:rPr>
          <w:spacing w:val="-4"/>
        </w:rPr>
        <w:t> </w:t>
      </w:r>
      <w:r>
        <w:rPr/>
        <w:t>percentage</w:t>
      </w:r>
      <w:r>
        <w:rPr>
          <w:spacing w:val="-4"/>
        </w:rPr>
        <w:t> </w:t>
      </w:r>
      <w:r>
        <w:rPr/>
        <w:t>points</w:t>
      </w:r>
      <w:r>
        <w:rPr>
          <w:spacing w:val="-4"/>
        </w:rPr>
        <w:t> </w:t>
      </w:r>
      <w:r>
        <w:rPr/>
        <w:t>to</w:t>
      </w:r>
      <w:r>
        <w:rPr>
          <w:spacing w:val="-4"/>
        </w:rPr>
        <w:t> </w:t>
      </w:r>
      <w:r>
        <w:rPr/>
        <w:t>4.4%</w:t>
      </w:r>
      <w:r>
        <w:rPr>
          <w:spacing w:val="-4"/>
        </w:rPr>
        <w:t> </w:t>
      </w:r>
      <w:r>
        <w:rPr/>
        <w:t>in</w:t>
      </w:r>
      <w:r>
        <w:rPr>
          <w:spacing w:val="-3"/>
        </w:rPr>
        <w:t> </w:t>
      </w:r>
      <w:r>
        <w:rPr/>
        <w:t>the</w:t>
      </w:r>
      <w:r>
        <w:rPr>
          <w:spacing w:val="-4"/>
        </w:rPr>
        <w:t> </w:t>
      </w:r>
      <w:r>
        <w:rPr/>
        <w:t>twelve</w:t>
      </w:r>
      <w:r>
        <w:rPr>
          <w:spacing w:val="-4"/>
        </w:rPr>
        <w:t> </w:t>
      </w:r>
      <w:r>
        <w:rPr/>
        <w:t>months</w:t>
      </w:r>
      <w:r>
        <w:rPr>
          <w:spacing w:val="-4"/>
        </w:rPr>
        <w:t> </w:t>
      </w:r>
      <w:r>
        <w:rPr/>
        <w:t>to April. The private sector had accounted for all of this decrease (down by 0.8 percentage points to 4.4%): public sector earnings growth had risen by 0.9 percentage points to 4.7%. Growth in regular pay, ie, excluding bonuses, had fallen to 4.4% in April from 4.7% in March (not seasonally adjusted). Bonuses had reduced earnings growth by 0.2 percentage points in April (not seasonally</w:t>
      </w:r>
      <w:r>
        <w:rPr>
          <w:spacing w:val="-37"/>
        </w:rPr>
        <w:t> </w:t>
      </w:r>
      <w:r>
        <w:rPr/>
        <w:t>adjusted),</w:t>
      </w:r>
    </w:p>
    <w:p>
      <w:pPr>
        <w:spacing w:after="0" w:line="362"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57" w:lineRule="auto" w:before="90"/>
        <w:ind w:left="100" w:right="113"/>
      </w:pPr>
      <w:r>
        <w:rPr/>
        <w:t>compared with a positive contribution of 0.9 percentage points in March. The Bank's estimate of growth in earnings per hour had also fallen back, to below 6% in April, with the increase in average hours narrowing the gap between heads and hours-based measures.</w:t>
      </w:r>
    </w:p>
    <w:p>
      <w:pPr>
        <w:pStyle w:val="BodyText"/>
        <w:spacing w:before="3"/>
        <w:rPr>
          <w:sz w:val="32"/>
        </w:rPr>
      </w:pPr>
    </w:p>
    <w:p>
      <w:pPr>
        <w:pStyle w:val="BodyText"/>
        <w:tabs>
          <w:tab w:pos="819" w:val="left" w:leader="none"/>
        </w:tabs>
        <w:spacing w:line="352" w:lineRule="auto" w:before="1"/>
        <w:ind w:left="100" w:right="443"/>
      </w:pPr>
      <w:r>
        <w:rPr/>
        <w:t>A32</w:t>
        <w:tab/>
        <w:t>The REC survey had indicated a pick-up in the rate of growth of permanent agency</w:t>
      </w:r>
      <w:r>
        <w:rPr>
          <w:spacing w:val="-43"/>
        </w:rPr>
        <w:t> </w:t>
      </w:r>
      <w:r>
        <w:rPr/>
        <w:t>placement salaries in June. Growth rates for temporary staff had also</w:t>
      </w:r>
      <w:r>
        <w:rPr>
          <w:spacing w:val="49"/>
        </w:rPr>
        <w:t> </w:t>
      </w:r>
      <w:r>
        <w:rPr/>
        <w:t>increased.</w:t>
      </w:r>
    </w:p>
    <w:p>
      <w:pPr>
        <w:pStyle w:val="BodyText"/>
        <w:spacing w:before="5"/>
        <w:rPr>
          <w:sz w:val="32"/>
        </w:rPr>
      </w:pPr>
    </w:p>
    <w:p>
      <w:pPr>
        <w:pStyle w:val="BodyText"/>
        <w:tabs>
          <w:tab w:pos="819" w:val="left" w:leader="none"/>
        </w:tabs>
        <w:spacing w:line="357" w:lineRule="auto"/>
        <w:ind w:left="100" w:right="113"/>
      </w:pPr>
      <w:r>
        <w:rPr/>
        <w:t>A33</w:t>
        <w:tab/>
        <w:t>The</w:t>
      </w:r>
      <w:r>
        <w:rPr>
          <w:spacing w:val="-4"/>
        </w:rPr>
        <w:t> </w:t>
      </w:r>
      <w:r>
        <w:rPr/>
        <w:t>growth</w:t>
      </w:r>
      <w:r>
        <w:rPr>
          <w:spacing w:val="-3"/>
        </w:rPr>
        <w:t> </w:t>
      </w:r>
      <w:r>
        <w:rPr/>
        <w:t>of</w:t>
      </w:r>
      <w:r>
        <w:rPr>
          <w:spacing w:val="-3"/>
        </w:rPr>
        <w:t> </w:t>
      </w:r>
      <w:r>
        <w:rPr/>
        <w:t>wages</w:t>
      </w:r>
      <w:r>
        <w:rPr>
          <w:spacing w:val="-3"/>
        </w:rPr>
        <w:t> </w:t>
      </w:r>
      <w:r>
        <w:rPr/>
        <w:t>and</w:t>
      </w:r>
      <w:r>
        <w:rPr>
          <w:spacing w:val="-3"/>
        </w:rPr>
        <w:t> </w:t>
      </w:r>
      <w:r>
        <w:rPr/>
        <w:t>salaries</w:t>
      </w:r>
      <w:r>
        <w:rPr>
          <w:spacing w:val="-3"/>
        </w:rPr>
        <w:t> </w:t>
      </w:r>
      <w:r>
        <w:rPr/>
        <w:t>per</w:t>
      </w:r>
      <w:r>
        <w:rPr>
          <w:spacing w:val="-4"/>
        </w:rPr>
        <w:t> </w:t>
      </w:r>
      <w:r>
        <w:rPr/>
        <w:t>head,</w:t>
      </w:r>
      <w:r>
        <w:rPr>
          <w:spacing w:val="-3"/>
        </w:rPr>
        <w:t> </w:t>
      </w:r>
      <w:r>
        <w:rPr/>
        <w:t>calculated</w:t>
      </w:r>
      <w:r>
        <w:rPr>
          <w:spacing w:val="-3"/>
        </w:rPr>
        <w:t> </w:t>
      </w:r>
      <w:r>
        <w:rPr/>
        <w:t>from</w:t>
      </w:r>
      <w:r>
        <w:rPr>
          <w:spacing w:val="-3"/>
        </w:rPr>
        <w:t> </w:t>
      </w:r>
      <w:r>
        <w:rPr/>
        <w:t>the</w:t>
      </w:r>
      <w:r>
        <w:rPr>
          <w:spacing w:val="-3"/>
        </w:rPr>
        <w:t> </w:t>
      </w:r>
      <w:r>
        <w:rPr/>
        <w:t>National</w:t>
      </w:r>
      <w:r>
        <w:rPr>
          <w:spacing w:val="-3"/>
        </w:rPr>
        <w:t> </w:t>
      </w:r>
      <w:r>
        <w:rPr/>
        <w:t>Accounts,</w:t>
      </w:r>
      <w:r>
        <w:rPr>
          <w:spacing w:val="-4"/>
        </w:rPr>
        <w:t> </w:t>
      </w:r>
      <w:r>
        <w:rPr/>
        <w:t>had</w:t>
      </w:r>
      <w:r>
        <w:rPr>
          <w:spacing w:val="-3"/>
        </w:rPr>
        <w:t> </w:t>
      </w:r>
      <w:r>
        <w:rPr/>
        <w:t>increased slightly to 5.2% in Q1, broadly in line with the AEI over the period. But the growth rate of unit wage costs had fallen slightly, reflecting the offsetting influence of whole-economy productivity growth, which had been 2.2% in Q1. The broad trend of the labour share of national income had continued </w:t>
      </w:r>
      <w:r>
        <w:rPr>
          <w:spacing w:val="-3"/>
        </w:rPr>
        <w:t>upwards, though </w:t>
      </w:r>
      <w:r>
        <w:rPr/>
        <w:t>it had yet to </w:t>
      </w:r>
      <w:r>
        <w:rPr>
          <w:spacing w:val="-3"/>
        </w:rPr>
        <w:t>reach </w:t>
      </w:r>
      <w:r>
        <w:rPr/>
        <w:t>the </w:t>
      </w:r>
      <w:r>
        <w:rPr>
          <w:spacing w:val="-3"/>
        </w:rPr>
        <w:t>early-1990s</w:t>
      </w:r>
      <w:r>
        <w:rPr>
          <w:spacing w:val="13"/>
        </w:rPr>
        <w:t> </w:t>
      </w:r>
      <w:r>
        <w:rPr>
          <w:spacing w:val="-3"/>
        </w:rPr>
        <w:t>peak.</w:t>
      </w:r>
    </w:p>
    <w:p>
      <w:pPr>
        <w:pStyle w:val="BodyText"/>
        <w:spacing w:before="6"/>
        <w:rPr>
          <w:sz w:val="32"/>
        </w:rPr>
      </w:pPr>
    </w:p>
    <w:p>
      <w:pPr>
        <w:pStyle w:val="BodyText"/>
        <w:tabs>
          <w:tab w:pos="819" w:val="left" w:leader="none"/>
        </w:tabs>
        <w:spacing w:line="357" w:lineRule="auto"/>
        <w:ind w:left="100" w:right="143"/>
      </w:pPr>
      <w:r>
        <w:rPr/>
        <w:t>A34</w:t>
        <w:tab/>
        <w:t>As was </w:t>
      </w:r>
      <w:r>
        <w:rPr>
          <w:spacing w:val="-3"/>
        </w:rPr>
        <w:t>usual </w:t>
      </w:r>
      <w:r>
        <w:rPr/>
        <w:t>for </w:t>
      </w:r>
      <w:r>
        <w:rPr>
          <w:spacing w:val="-3"/>
        </w:rPr>
        <w:t>this time </w:t>
      </w:r>
      <w:r>
        <w:rPr/>
        <w:t>of the </w:t>
      </w:r>
      <w:r>
        <w:rPr>
          <w:spacing w:val="-3"/>
        </w:rPr>
        <w:t>year, there </w:t>
      </w:r>
      <w:r>
        <w:rPr/>
        <w:t>had </w:t>
      </w:r>
      <w:r>
        <w:rPr>
          <w:spacing w:val="-3"/>
        </w:rPr>
        <w:t>been little </w:t>
      </w:r>
      <w:r>
        <w:rPr/>
        <w:t>new </w:t>
      </w:r>
      <w:r>
        <w:rPr>
          <w:spacing w:val="-3"/>
        </w:rPr>
        <w:t>information </w:t>
      </w:r>
      <w:r>
        <w:rPr/>
        <w:t>on </w:t>
      </w:r>
      <w:r>
        <w:rPr>
          <w:spacing w:val="-3"/>
        </w:rPr>
        <w:t>settlements. The </w:t>
      </w:r>
      <w:r>
        <w:rPr/>
        <w:t>Bank's AEI-weighted twelve-month mean was flat at 3.1% in May. The public and private sector means were also</w:t>
      </w:r>
      <w:r>
        <w:rPr>
          <w:spacing w:val="9"/>
        </w:rPr>
        <w:t> </w:t>
      </w:r>
      <w:r>
        <w:rPr/>
        <w:t>unchanged.</w:t>
      </w:r>
    </w:p>
    <w:p>
      <w:pPr>
        <w:pStyle w:val="BodyText"/>
        <w:spacing w:before="3"/>
        <w:rPr>
          <w:sz w:val="32"/>
        </w:rPr>
      </w:pPr>
    </w:p>
    <w:p>
      <w:pPr>
        <w:pStyle w:val="Heading2"/>
        <w:numPr>
          <w:ilvl w:val="0"/>
          <w:numId w:val="2"/>
        </w:numPr>
        <w:tabs>
          <w:tab w:pos="819" w:val="left" w:leader="none"/>
          <w:tab w:pos="820" w:val="left" w:leader="none"/>
        </w:tabs>
        <w:spacing w:line="240" w:lineRule="auto" w:before="1" w:after="0"/>
        <w:ind w:left="820" w:right="0" w:hanging="720"/>
        <w:jc w:val="left"/>
      </w:pPr>
      <w:r>
        <w:rPr/>
        <w:t>Prices</w:t>
      </w:r>
    </w:p>
    <w:p>
      <w:pPr>
        <w:pStyle w:val="BodyText"/>
        <w:rPr>
          <w:b/>
          <w:sz w:val="26"/>
        </w:rPr>
      </w:pPr>
    </w:p>
    <w:p>
      <w:pPr>
        <w:pStyle w:val="BodyText"/>
        <w:tabs>
          <w:tab w:pos="819" w:val="left" w:leader="none"/>
        </w:tabs>
        <w:spacing w:line="360" w:lineRule="auto" w:before="190"/>
        <w:ind w:left="100" w:right="188"/>
      </w:pPr>
      <w:r>
        <w:rPr/>
        <w:t>A35</w:t>
        <w:tab/>
        <w:t>The Bank oil-inclusive commodity price index had risen by 6.4% in May, the second largest </w:t>
      </w:r>
      <w:r>
        <w:rPr>
          <w:spacing w:val="-3"/>
        </w:rPr>
        <w:t>monthly rise since </w:t>
      </w:r>
      <w:r>
        <w:rPr/>
        <w:t>the </w:t>
      </w:r>
      <w:r>
        <w:rPr>
          <w:spacing w:val="-3"/>
        </w:rPr>
        <w:t>start </w:t>
      </w:r>
      <w:r>
        <w:rPr/>
        <w:t>of the </w:t>
      </w:r>
      <w:r>
        <w:rPr>
          <w:spacing w:val="-3"/>
        </w:rPr>
        <w:t>series </w:t>
      </w:r>
      <w:r>
        <w:rPr/>
        <w:t>in </w:t>
      </w:r>
      <w:r>
        <w:rPr>
          <w:spacing w:val="-3"/>
        </w:rPr>
        <w:t>1990.   This </w:t>
      </w:r>
      <w:r>
        <w:rPr/>
        <w:t>had </w:t>
      </w:r>
      <w:r>
        <w:rPr>
          <w:spacing w:val="-3"/>
        </w:rPr>
        <w:t>taken </w:t>
      </w:r>
      <w:r>
        <w:rPr/>
        <w:t>the </w:t>
      </w:r>
      <w:r>
        <w:rPr>
          <w:spacing w:val="-3"/>
        </w:rPr>
        <w:t>annual inflation rate from 8.9% up  </w:t>
      </w:r>
      <w:r>
        <w:rPr/>
        <w:t>to 16.4%. The increase had reflected large rises in the prices of all the components of the index </w:t>
      </w:r>
      <w:r>
        <w:rPr>
          <w:spacing w:val="-2"/>
        </w:rPr>
        <w:t>except </w:t>
      </w:r>
      <w:r>
        <w:rPr/>
        <w:t>domestic food. The fuels component of the index had risen by 12%, largely accounted for by the rise of more than 20% in the sterling oil price in May. The sterling oil price had risen by a further 8% in June. The Bank oil-exclusive commodity price index had risen by 2.2% in May, and by 3.1% over the past year.</w:t>
      </w:r>
    </w:p>
    <w:p>
      <w:pPr>
        <w:pStyle w:val="BodyText"/>
        <w:rPr>
          <w:sz w:val="31"/>
        </w:rPr>
      </w:pPr>
    </w:p>
    <w:p>
      <w:pPr>
        <w:pStyle w:val="BodyText"/>
        <w:tabs>
          <w:tab w:pos="819" w:val="left" w:leader="none"/>
        </w:tabs>
        <w:spacing w:line="360" w:lineRule="auto" w:before="1"/>
        <w:ind w:left="100" w:right="143"/>
      </w:pPr>
      <w:r>
        <w:rPr/>
        <w:t>A36</w:t>
        <w:tab/>
        <w:t>Manufacturing input prices had risen by 3.6% in May, taking the annual inflation rate from 7.9% to </w:t>
      </w:r>
      <w:r>
        <w:rPr>
          <w:spacing w:val="-3"/>
        </w:rPr>
        <w:t>12.9%. </w:t>
      </w:r>
      <w:r>
        <w:rPr/>
        <w:t>The </w:t>
      </w:r>
      <w:r>
        <w:rPr>
          <w:spacing w:val="-3"/>
        </w:rPr>
        <w:t>large monthly rise </w:t>
      </w:r>
      <w:r>
        <w:rPr/>
        <w:t>had </w:t>
      </w:r>
      <w:r>
        <w:rPr>
          <w:spacing w:val="-3"/>
        </w:rPr>
        <w:t>mainly reflected </w:t>
      </w:r>
      <w:r>
        <w:rPr/>
        <w:t>the </w:t>
      </w:r>
      <w:r>
        <w:rPr>
          <w:spacing w:val="-3"/>
        </w:rPr>
        <w:t>sharp increase </w:t>
      </w:r>
      <w:r>
        <w:rPr/>
        <w:t>in the </w:t>
      </w:r>
      <w:r>
        <w:rPr>
          <w:spacing w:val="-3"/>
        </w:rPr>
        <w:t>price </w:t>
      </w:r>
      <w:r>
        <w:rPr/>
        <w:t>of oil in </w:t>
      </w:r>
      <w:r>
        <w:rPr>
          <w:spacing w:val="-3"/>
        </w:rPr>
        <w:t>May,  </w:t>
      </w:r>
      <w:r>
        <w:rPr/>
        <w:t>though there had also been rises in the prices of metals and of imported materials.  Input </w:t>
      </w:r>
      <w:r>
        <w:rPr>
          <w:spacing w:val="-2"/>
        </w:rPr>
        <w:t>prices </w:t>
      </w:r>
      <w:r>
        <w:rPr/>
        <w:t>excluding food, drink, tobacco and petroleum had risen by 0.7% in May, taking the annual rate</w:t>
      </w:r>
      <w:r>
        <w:rPr>
          <w:spacing w:val="4"/>
        </w:rPr>
        <w:t> </w:t>
      </w:r>
      <w:r>
        <w:rPr/>
        <w:t>of</w:t>
      </w:r>
    </w:p>
    <w:p>
      <w:pPr>
        <w:spacing w:after="0" w:line="360"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60" w:lineRule="auto" w:before="90"/>
        <w:ind w:left="100" w:right="188"/>
      </w:pPr>
      <w:r>
        <w:rPr/>
        <w:t>inflation to 4.0%, its highest since November 1995. The CIPS manufacturing survey input price index had risen to 61.4 in June, up from 59.7 in the previous month. Output prices excluding excise duties (PPIY) had risen by 0.2% in May, taking the annual inflation rate to 1.7%, slightly up from 1.6% in April. The output price balance in the June CBI Industrial Trends survey had risen slightly, to –18 from</w:t>
      </w:r>
    </w:p>
    <w:p>
      <w:pPr>
        <w:pStyle w:val="BodyText"/>
        <w:spacing w:line="270" w:lineRule="exact"/>
        <w:ind w:left="100"/>
      </w:pPr>
      <w:r>
        <w:rPr/>
        <w:t>–21 in May.</w:t>
      </w:r>
    </w:p>
    <w:p>
      <w:pPr>
        <w:pStyle w:val="BodyText"/>
        <w:rPr>
          <w:sz w:val="26"/>
        </w:rPr>
      </w:pPr>
    </w:p>
    <w:p>
      <w:pPr>
        <w:pStyle w:val="BodyText"/>
        <w:tabs>
          <w:tab w:pos="819" w:val="left" w:leader="none"/>
        </w:tabs>
        <w:spacing w:line="357" w:lineRule="auto" w:before="205"/>
        <w:ind w:left="100" w:right="217"/>
      </w:pPr>
      <w:r>
        <w:rPr/>
        <w:t>A37</w:t>
        <w:tab/>
        <w:t>The</w:t>
      </w:r>
      <w:r>
        <w:rPr>
          <w:spacing w:val="-5"/>
        </w:rPr>
        <w:t> </w:t>
      </w:r>
      <w:r>
        <w:rPr/>
        <w:t>prices</w:t>
      </w:r>
      <w:r>
        <w:rPr>
          <w:spacing w:val="-4"/>
        </w:rPr>
        <w:t> </w:t>
      </w:r>
      <w:r>
        <w:rPr/>
        <w:t>of</w:t>
      </w:r>
      <w:r>
        <w:rPr>
          <w:spacing w:val="-4"/>
        </w:rPr>
        <w:t> </w:t>
      </w:r>
      <w:r>
        <w:rPr/>
        <w:t>imported</w:t>
      </w:r>
      <w:r>
        <w:rPr>
          <w:spacing w:val="-4"/>
        </w:rPr>
        <w:t> </w:t>
      </w:r>
      <w:r>
        <w:rPr/>
        <w:t>and</w:t>
      </w:r>
      <w:r>
        <w:rPr>
          <w:spacing w:val="-5"/>
        </w:rPr>
        <w:t> </w:t>
      </w:r>
      <w:r>
        <w:rPr/>
        <w:t>exported</w:t>
      </w:r>
      <w:r>
        <w:rPr>
          <w:spacing w:val="-4"/>
        </w:rPr>
        <w:t> </w:t>
      </w:r>
      <w:r>
        <w:rPr/>
        <w:t>goods</w:t>
      </w:r>
      <w:r>
        <w:rPr>
          <w:spacing w:val="-4"/>
        </w:rPr>
        <w:t> </w:t>
      </w:r>
      <w:r>
        <w:rPr/>
        <w:t>had</w:t>
      </w:r>
      <w:r>
        <w:rPr>
          <w:spacing w:val="-4"/>
        </w:rPr>
        <w:t> </w:t>
      </w:r>
      <w:r>
        <w:rPr/>
        <w:t>risen</w:t>
      </w:r>
      <w:r>
        <w:rPr>
          <w:spacing w:val="-5"/>
        </w:rPr>
        <w:t> </w:t>
      </w:r>
      <w:r>
        <w:rPr/>
        <w:t>by</w:t>
      </w:r>
      <w:r>
        <w:rPr>
          <w:spacing w:val="-4"/>
        </w:rPr>
        <w:t> </w:t>
      </w:r>
      <w:r>
        <w:rPr/>
        <w:t>0.4%</w:t>
      </w:r>
      <w:r>
        <w:rPr>
          <w:spacing w:val="-4"/>
        </w:rPr>
        <w:t> </w:t>
      </w:r>
      <w:r>
        <w:rPr/>
        <w:t>and</w:t>
      </w:r>
      <w:r>
        <w:rPr>
          <w:spacing w:val="-4"/>
        </w:rPr>
        <w:t> </w:t>
      </w:r>
      <w:r>
        <w:rPr/>
        <w:t>0.8%</w:t>
      </w:r>
      <w:r>
        <w:rPr>
          <w:spacing w:val="-5"/>
        </w:rPr>
        <w:t> </w:t>
      </w:r>
      <w:r>
        <w:rPr/>
        <w:t>respectively</w:t>
      </w:r>
      <w:r>
        <w:rPr>
          <w:spacing w:val="-4"/>
        </w:rPr>
        <w:t> </w:t>
      </w:r>
      <w:r>
        <w:rPr/>
        <w:t>in</w:t>
      </w:r>
      <w:r>
        <w:rPr>
          <w:spacing w:val="-4"/>
        </w:rPr>
        <w:t> </w:t>
      </w:r>
      <w:r>
        <w:rPr/>
        <w:t>the</w:t>
      </w:r>
      <w:r>
        <w:rPr>
          <w:spacing w:val="-4"/>
        </w:rPr>
        <w:t> </w:t>
      </w:r>
      <w:r>
        <w:rPr/>
        <w:t>three months to April compared with the previous three months. Excluding oil, the price of imported goods had risen by 0.2%, while the price of exported goods had fallen by 0.1% over the same</w:t>
      </w:r>
      <w:r>
        <w:rPr>
          <w:spacing w:val="2"/>
        </w:rPr>
        <w:t> </w:t>
      </w:r>
      <w:r>
        <w:rPr/>
        <w:t>period.</w:t>
      </w:r>
    </w:p>
    <w:p>
      <w:pPr>
        <w:pStyle w:val="BodyText"/>
        <w:spacing w:before="3"/>
        <w:rPr>
          <w:sz w:val="32"/>
        </w:rPr>
      </w:pPr>
    </w:p>
    <w:p>
      <w:pPr>
        <w:pStyle w:val="BodyText"/>
        <w:tabs>
          <w:tab w:pos="819" w:val="left" w:leader="none"/>
        </w:tabs>
        <w:spacing w:line="357" w:lineRule="auto" w:before="1"/>
        <w:ind w:left="100" w:right="202"/>
      </w:pPr>
      <w:r>
        <w:rPr/>
        <w:t>A38</w:t>
        <w:tab/>
        <w:t>Annual inflation in the GDP deflator at market prices in 2000 Q1 had remained unrevised at 2.7%. But there had been revisions to the components. The annual inflation rates of the investment </w:t>
      </w:r>
      <w:r>
        <w:rPr>
          <w:spacing w:val="-2"/>
        </w:rPr>
        <w:t>and </w:t>
      </w:r>
      <w:r>
        <w:rPr/>
        <w:t>government consumption deflators had been revised upwards in 2000 Q1, offset by downward</w:t>
      </w:r>
      <w:r>
        <w:rPr>
          <w:spacing w:val="-32"/>
        </w:rPr>
        <w:t> </w:t>
      </w:r>
      <w:r>
        <w:rPr/>
        <w:t>revisions to the annual inflation rate of the household consumption</w:t>
      </w:r>
      <w:r>
        <w:rPr>
          <w:spacing w:val="23"/>
        </w:rPr>
        <w:t> </w:t>
      </w:r>
      <w:r>
        <w:rPr/>
        <w:t>deflator.</w:t>
      </w:r>
    </w:p>
    <w:p>
      <w:pPr>
        <w:pStyle w:val="BodyText"/>
        <w:spacing w:before="8"/>
        <w:rPr>
          <w:sz w:val="31"/>
        </w:rPr>
      </w:pPr>
    </w:p>
    <w:p>
      <w:pPr>
        <w:pStyle w:val="BodyText"/>
        <w:tabs>
          <w:tab w:pos="819" w:val="left" w:leader="none"/>
        </w:tabs>
        <w:spacing w:line="357" w:lineRule="auto"/>
        <w:ind w:left="100" w:right="298"/>
      </w:pPr>
      <w:r>
        <w:rPr/>
        <w:t>A39</w:t>
        <w:tab/>
      </w:r>
      <w:r>
        <w:rPr>
          <w:spacing w:val="-3"/>
        </w:rPr>
        <w:t>RPIX inflation </w:t>
      </w:r>
      <w:r>
        <w:rPr/>
        <w:t>had </w:t>
      </w:r>
      <w:r>
        <w:rPr>
          <w:spacing w:val="-3"/>
        </w:rPr>
        <w:t>risen </w:t>
      </w:r>
      <w:r>
        <w:rPr/>
        <w:t>to </w:t>
      </w:r>
      <w:r>
        <w:rPr>
          <w:spacing w:val="-3"/>
        </w:rPr>
        <w:t>2.0% </w:t>
      </w:r>
      <w:r>
        <w:rPr/>
        <w:t>in </w:t>
      </w:r>
      <w:r>
        <w:rPr>
          <w:spacing w:val="-3"/>
        </w:rPr>
        <w:t>May, </w:t>
      </w:r>
      <w:r>
        <w:rPr/>
        <w:t>up </w:t>
      </w:r>
      <w:r>
        <w:rPr>
          <w:spacing w:val="-3"/>
        </w:rPr>
        <w:t>from 1.9% </w:t>
      </w:r>
      <w:r>
        <w:rPr/>
        <w:t>in the </w:t>
      </w:r>
      <w:r>
        <w:rPr>
          <w:spacing w:val="-3"/>
        </w:rPr>
        <w:t>previous month. This </w:t>
      </w:r>
      <w:r>
        <w:rPr/>
        <w:t>had </w:t>
      </w:r>
      <w:r>
        <w:rPr>
          <w:spacing w:val="-3"/>
        </w:rPr>
        <w:t>largely </w:t>
      </w:r>
      <w:r>
        <w:rPr/>
        <w:t>reflected higher contributions from non-seasonal food prices, car prices and housing depreciation. </w:t>
      </w:r>
      <w:r>
        <w:rPr>
          <w:spacing w:val="-2"/>
        </w:rPr>
        <w:t>RPI </w:t>
      </w:r>
      <w:r>
        <w:rPr/>
        <w:t>inflation had risen from 3.0% to 3.1% in May. RPIY inflation had risen to 1.7% in May from 1.6%, while HICP inflation had fallen from 0.6% to 0.5% in May. The difference between RPIX and HICP inflation had widened to 1.5 percentage</w:t>
      </w:r>
      <w:r>
        <w:rPr>
          <w:spacing w:val="21"/>
        </w:rPr>
        <w:t> </w:t>
      </w:r>
      <w:r>
        <w:rPr/>
        <w:t>points.</w:t>
      </w:r>
    </w:p>
    <w:p>
      <w:pPr>
        <w:pStyle w:val="BodyText"/>
        <w:spacing w:before="6"/>
        <w:rPr>
          <w:sz w:val="32"/>
        </w:rPr>
      </w:pPr>
    </w:p>
    <w:p>
      <w:pPr>
        <w:pStyle w:val="Heading2"/>
        <w:numPr>
          <w:ilvl w:val="0"/>
          <w:numId w:val="2"/>
        </w:numPr>
        <w:tabs>
          <w:tab w:pos="819" w:val="left" w:leader="none"/>
          <w:tab w:pos="820" w:val="left" w:leader="none"/>
        </w:tabs>
        <w:spacing w:line="240" w:lineRule="auto" w:before="0" w:after="0"/>
        <w:ind w:left="820" w:right="0" w:hanging="720"/>
        <w:jc w:val="left"/>
      </w:pPr>
      <w:r>
        <w:rPr/>
        <w:t>Reports by the Bank’s </w:t>
      </w:r>
      <w:r>
        <w:rPr>
          <w:spacing w:val="-5"/>
        </w:rPr>
        <w:t>Agents</w:t>
      </w:r>
    </w:p>
    <w:p>
      <w:pPr>
        <w:pStyle w:val="BodyText"/>
        <w:rPr>
          <w:b/>
          <w:sz w:val="26"/>
        </w:rPr>
      </w:pPr>
    </w:p>
    <w:p>
      <w:pPr>
        <w:pStyle w:val="BodyText"/>
        <w:tabs>
          <w:tab w:pos="819" w:val="left" w:leader="none"/>
        </w:tabs>
        <w:spacing w:line="357" w:lineRule="auto" w:before="205"/>
        <w:ind w:left="100" w:right="158"/>
      </w:pPr>
      <w:r>
        <w:rPr/>
        <w:t>A40</w:t>
        <w:tab/>
        <w:t>The Bank’s regional Agents had reported that growth in manufacturing output had eased further, although high-technology sectors remained strong. It was still too early for the depreciation of sterling to be seen in higher orders. Construction growth had slowed, mostly accounted for by </w:t>
      </w:r>
      <w:r>
        <w:rPr>
          <w:spacing w:val="-2"/>
        </w:rPr>
        <w:t>weaker </w:t>
      </w:r>
      <w:r>
        <w:rPr/>
        <w:t>residential construction. There were signs that service sector growth had peaked. The financial services and IT sectors had remained strong, but business travel and in particular UK tourism, had been weaker. Agents' contacts had reported a more modest easing in annual retail sales growth than the official figures. New car sales were reported to be weaker after earlier stock</w:t>
      </w:r>
      <w:r>
        <w:rPr>
          <w:spacing w:val="13"/>
        </w:rPr>
        <w:t> </w:t>
      </w:r>
      <w:r>
        <w:rPr/>
        <w:t>clearances.</w:t>
      </w:r>
    </w:p>
    <w:p>
      <w:pPr>
        <w:spacing w:after="0" w:line="357"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tabs>
          <w:tab w:pos="819" w:val="left" w:leader="none"/>
        </w:tabs>
        <w:spacing w:line="360" w:lineRule="auto" w:before="90"/>
        <w:ind w:left="100" w:right="232"/>
      </w:pPr>
      <w:r>
        <w:rPr/>
        <w:t>A41</w:t>
        <w:tab/>
        <w:t>The pass-through from the higher oil price to related products had been more evident recently. Downward</w:t>
      </w:r>
      <w:r>
        <w:rPr>
          <w:spacing w:val="-5"/>
        </w:rPr>
        <w:t> </w:t>
      </w:r>
      <w:r>
        <w:rPr/>
        <w:t>pressure</w:t>
      </w:r>
      <w:r>
        <w:rPr>
          <w:spacing w:val="-4"/>
        </w:rPr>
        <w:t> </w:t>
      </w:r>
      <w:r>
        <w:rPr/>
        <w:t>on</w:t>
      </w:r>
      <w:r>
        <w:rPr>
          <w:spacing w:val="-4"/>
        </w:rPr>
        <w:t> </w:t>
      </w:r>
      <w:r>
        <w:rPr/>
        <w:t>manufacturers’</w:t>
      </w:r>
      <w:r>
        <w:rPr>
          <w:spacing w:val="-4"/>
        </w:rPr>
        <w:t> </w:t>
      </w:r>
      <w:r>
        <w:rPr/>
        <w:t>domestic</w:t>
      </w:r>
      <w:r>
        <w:rPr>
          <w:spacing w:val="-4"/>
        </w:rPr>
        <w:t> </w:t>
      </w:r>
      <w:r>
        <w:rPr/>
        <w:t>output</w:t>
      </w:r>
      <w:r>
        <w:rPr>
          <w:spacing w:val="-4"/>
        </w:rPr>
        <w:t> </w:t>
      </w:r>
      <w:r>
        <w:rPr/>
        <w:t>prices</w:t>
      </w:r>
      <w:r>
        <w:rPr>
          <w:spacing w:val="-4"/>
        </w:rPr>
        <w:t> </w:t>
      </w:r>
      <w:r>
        <w:rPr/>
        <w:t>had</w:t>
      </w:r>
      <w:r>
        <w:rPr>
          <w:spacing w:val="-4"/>
        </w:rPr>
        <w:t> </w:t>
      </w:r>
      <w:r>
        <w:rPr/>
        <w:t>continued,</w:t>
      </w:r>
      <w:r>
        <w:rPr>
          <w:spacing w:val="-4"/>
        </w:rPr>
        <w:t> </w:t>
      </w:r>
      <w:r>
        <w:rPr/>
        <w:t>although</w:t>
      </w:r>
      <w:r>
        <w:rPr>
          <w:spacing w:val="-4"/>
        </w:rPr>
        <w:t> </w:t>
      </w:r>
      <w:r>
        <w:rPr/>
        <w:t>there</w:t>
      </w:r>
      <w:r>
        <w:rPr>
          <w:spacing w:val="-4"/>
        </w:rPr>
        <w:t> </w:t>
      </w:r>
      <w:r>
        <w:rPr/>
        <w:t>were</w:t>
      </w:r>
      <w:r>
        <w:rPr>
          <w:spacing w:val="-4"/>
        </w:rPr>
        <w:t> </w:t>
      </w:r>
      <w:r>
        <w:rPr/>
        <w:t>some signs of the fall in export prices easing and more firms were expecting to raise prices in the second half of the year. The recent depreciation of the exchange rate was not yet reported to have been </w:t>
      </w:r>
      <w:r>
        <w:rPr>
          <w:spacing w:val="-2"/>
        </w:rPr>
        <w:t>passed </w:t>
      </w:r>
      <w:r>
        <w:rPr/>
        <w:t>through into retail prices. The level of house prices was reported to have peaked in some areas, </w:t>
      </w:r>
      <w:r>
        <w:rPr>
          <w:spacing w:val="-2"/>
        </w:rPr>
        <w:t>though </w:t>
      </w:r>
      <w:r>
        <w:rPr/>
        <w:t>there was concern from some contacts that these levels remained too high. There had been little </w:t>
      </w:r>
      <w:r>
        <w:rPr>
          <w:spacing w:val="-2"/>
        </w:rPr>
        <w:t>change </w:t>
      </w:r>
      <w:r>
        <w:rPr/>
        <w:t>in the profile of employment, and skill shortages had been broadly unchanged. Pay pressures in manufacturing had remained relatively muted but pressures in the service sector had</w:t>
      </w:r>
      <w:r>
        <w:rPr>
          <w:spacing w:val="-13"/>
        </w:rPr>
        <w:t> </w:t>
      </w:r>
      <w:r>
        <w:rPr/>
        <w:t>strengthened.</w:t>
      </w:r>
    </w:p>
    <w:p>
      <w:pPr>
        <w:pStyle w:val="BodyText"/>
        <w:spacing w:before="7"/>
        <w:rPr>
          <w:sz w:val="31"/>
        </w:rPr>
      </w:pPr>
    </w:p>
    <w:p>
      <w:pPr>
        <w:pStyle w:val="BodyText"/>
        <w:tabs>
          <w:tab w:pos="819" w:val="left" w:leader="none"/>
        </w:tabs>
        <w:spacing w:line="357" w:lineRule="auto"/>
        <w:ind w:left="100" w:right="188"/>
      </w:pPr>
      <w:r>
        <w:rPr/>
        <w:t>A42</w:t>
        <w:tab/>
        <w:t>The Bank’s regional Agents had conducted a survey of UK firms regarding stockbuilding in 2000 Q1. A net balance of about a fifth of firms reported that their stock levels had risen in Q1. At a sectoral level, the balance was highest in the manufacturing and motor trade industries. The majority of stockbuilding was reported to be voluntary across most sectors. Stocks in Q2 were expected to be </w:t>
      </w:r>
      <w:r>
        <w:rPr>
          <w:spacing w:val="-3"/>
        </w:rPr>
        <w:t>broadly unchanged from </w:t>
      </w:r>
      <w:r>
        <w:rPr/>
        <w:t>Q1</w:t>
      </w:r>
      <w:r>
        <w:rPr>
          <w:spacing w:val="45"/>
        </w:rPr>
        <w:t> </w:t>
      </w:r>
      <w:r>
        <w:rPr>
          <w:spacing w:val="-3"/>
        </w:rPr>
        <w:t>levels.</w:t>
      </w:r>
    </w:p>
    <w:p>
      <w:pPr>
        <w:pStyle w:val="BodyText"/>
        <w:spacing w:before="6"/>
        <w:rPr>
          <w:sz w:val="32"/>
        </w:rPr>
      </w:pPr>
    </w:p>
    <w:p>
      <w:pPr>
        <w:pStyle w:val="Heading2"/>
        <w:numPr>
          <w:ilvl w:val="0"/>
          <w:numId w:val="2"/>
        </w:numPr>
        <w:tabs>
          <w:tab w:pos="819" w:val="left" w:leader="none"/>
          <w:tab w:pos="820" w:val="left" w:leader="none"/>
        </w:tabs>
        <w:spacing w:line="240" w:lineRule="auto" w:before="0" w:after="0"/>
        <w:ind w:left="820" w:right="0" w:hanging="720"/>
        <w:jc w:val="left"/>
      </w:pPr>
      <w:r>
        <w:rPr/>
        <w:t>Market</w:t>
      </w:r>
      <w:r>
        <w:rPr>
          <w:spacing w:val="-2"/>
        </w:rPr>
        <w:t> </w:t>
      </w:r>
      <w:r>
        <w:rPr/>
        <w:t>intelligence</w:t>
      </w:r>
    </w:p>
    <w:p>
      <w:pPr>
        <w:pStyle w:val="BodyText"/>
        <w:rPr>
          <w:b/>
          <w:sz w:val="26"/>
        </w:rPr>
      </w:pPr>
    </w:p>
    <w:p>
      <w:pPr>
        <w:pStyle w:val="BodyText"/>
        <w:tabs>
          <w:tab w:pos="819" w:val="left" w:leader="none"/>
        </w:tabs>
        <w:spacing w:line="360" w:lineRule="auto" w:before="190"/>
        <w:ind w:left="100" w:right="217"/>
      </w:pPr>
      <w:r>
        <w:rPr/>
        <w:t>A43</w:t>
        <w:tab/>
        <w:t>Market participants were not expecting a change in the Bank’s repo rate at the July </w:t>
      </w:r>
      <w:r>
        <w:rPr>
          <w:spacing w:val="-2"/>
        </w:rPr>
        <w:t>MPC </w:t>
      </w:r>
      <w:r>
        <w:rPr/>
        <w:t>meeting. Two-week forward rates going out to spring 2003 derived from the gilt market had fallen by up to 20 basis points since the June MPC meeting. Furthermore, short-term interest rate volatility had declined, perhaps reflecting increased market confidence about the level at which interest rates would peak. Expectations derived from the latest Reuters poll of private sector economists, together with</w:t>
      </w:r>
      <w:r>
        <w:rPr>
          <w:spacing w:val="-30"/>
        </w:rPr>
        <w:t> </w:t>
      </w:r>
      <w:r>
        <w:rPr/>
        <w:t>rates implied by both short-sterling futures and overnight interest rate swaps, all suggested little expectation of a </w:t>
      </w:r>
      <w:r>
        <w:rPr>
          <w:spacing w:val="-3"/>
        </w:rPr>
        <w:t>rise </w:t>
      </w:r>
      <w:r>
        <w:rPr/>
        <w:t>in </w:t>
      </w:r>
      <w:r>
        <w:rPr>
          <w:spacing w:val="-3"/>
        </w:rPr>
        <w:t>interest rates </w:t>
      </w:r>
      <w:r>
        <w:rPr/>
        <w:t>in </w:t>
      </w:r>
      <w:r>
        <w:rPr>
          <w:spacing w:val="-3"/>
        </w:rPr>
        <w:t>July. </w:t>
      </w:r>
      <w:r>
        <w:rPr/>
        <w:t>The </w:t>
      </w:r>
      <w:r>
        <w:rPr>
          <w:spacing w:val="-3"/>
        </w:rPr>
        <w:t>expected peak </w:t>
      </w:r>
      <w:r>
        <w:rPr/>
        <w:t>in the </w:t>
      </w:r>
      <w:r>
        <w:rPr>
          <w:spacing w:val="-3"/>
        </w:rPr>
        <w:t>Bank repo rate </w:t>
      </w:r>
      <w:r>
        <w:rPr/>
        <w:t>had </w:t>
      </w:r>
      <w:r>
        <w:rPr>
          <w:spacing w:val="-3"/>
        </w:rPr>
        <w:t>fallen slightly over the </w:t>
      </w:r>
      <w:r>
        <w:rPr/>
        <w:t>month, to around 6¼%. More generally, market participants were waiting to see whether domestic </w:t>
      </w:r>
      <w:r>
        <w:rPr>
          <w:spacing w:val="-4"/>
        </w:rPr>
        <w:t>demand</w:t>
      </w:r>
      <w:r>
        <w:rPr>
          <w:spacing w:val="8"/>
        </w:rPr>
        <w:t> </w:t>
      </w:r>
      <w:r>
        <w:rPr>
          <w:spacing w:val="-4"/>
        </w:rPr>
        <w:t>growth</w:t>
      </w:r>
      <w:r>
        <w:rPr>
          <w:spacing w:val="8"/>
        </w:rPr>
        <w:t> </w:t>
      </w:r>
      <w:r>
        <w:rPr>
          <w:spacing w:val="-3"/>
        </w:rPr>
        <w:t>had</w:t>
      </w:r>
      <w:r>
        <w:rPr>
          <w:spacing w:val="8"/>
        </w:rPr>
        <w:t> </w:t>
      </w:r>
      <w:r>
        <w:rPr>
          <w:spacing w:val="-4"/>
        </w:rPr>
        <w:t>slowed,</w:t>
      </w:r>
      <w:r>
        <w:rPr>
          <w:spacing w:val="8"/>
        </w:rPr>
        <w:t> </w:t>
      </w:r>
      <w:r>
        <w:rPr>
          <w:spacing w:val="-3"/>
        </w:rPr>
        <w:t>and</w:t>
      </w:r>
      <w:r>
        <w:rPr>
          <w:spacing w:val="8"/>
        </w:rPr>
        <w:t> </w:t>
      </w:r>
      <w:r>
        <w:rPr/>
        <w:t>if</w:t>
      </w:r>
      <w:r>
        <w:rPr>
          <w:spacing w:val="8"/>
        </w:rPr>
        <w:t> </w:t>
      </w:r>
      <w:r>
        <w:rPr>
          <w:spacing w:val="-3"/>
        </w:rPr>
        <w:t>so,</w:t>
      </w:r>
      <w:r>
        <w:rPr>
          <w:spacing w:val="8"/>
        </w:rPr>
        <w:t> </w:t>
      </w:r>
      <w:r>
        <w:rPr/>
        <w:t>by</w:t>
      </w:r>
      <w:r>
        <w:rPr>
          <w:spacing w:val="8"/>
        </w:rPr>
        <w:t> </w:t>
      </w:r>
      <w:r>
        <w:rPr>
          <w:spacing w:val="-3"/>
        </w:rPr>
        <w:t>how</w:t>
      </w:r>
      <w:r>
        <w:rPr>
          <w:spacing w:val="8"/>
        </w:rPr>
        <w:t> </w:t>
      </w:r>
      <w:r>
        <w:rPr>
          <w:spacing w:val="-4"/>
        </w:rPr>
        <w:t>much.</w:t>
      </w:r>
    </w:p>
    <w:p>
      <w:pPr>
        <w:pStyle w:val="BodyText"/>
        <w:spacing w:before="1"/>
        <w:rPr>
          <w:sz w:val="32"/>
        </w:rPr>
      </w:pPr>
    </w:p>
    <w:p>
      <w:pPr>
        <w:pStyle w:val="BodyText"/>
        <w:tabs>
          <w:tab w:pos="819" w:val="left" w:leader="none"/>
        </w:tabs>
        <w:spacing w:line="357" w:lineRule="auto"/>
        <w:ind w:left="100" w:right="352"/>
      </w:pPr>
      <w:r>
        <w:rPr/>
        <w:t>A44</w:t>
        <w:tab/>
        <w:t>The sterling trade-weighted exchange rate had remained largely unchanged over the </w:t>
      </w:r>
      <w:r>
        <w:rPr>
          <w:spacing w:val="-2"/>
        </w:rPr>
        <w:t>month. </w:t>
      </w:r>
      <w:r>
        <w:rPr/>
        <w:t>Implied correlations derived from options prices had suggested that a recoupling between sterling and dollar exchange rates had some way to go, and that sterling continued to be pulled by movements in both the dollar and the euro, with the effect on the trade-weighted exchange rate determined in part by</w:t>
      </w:r>
    </w:p>
    <w:p>
      <w:pPr>
        <w:spacing w:after="0" w:line="357" w:lineRule="auto"/>
        <w:sectPr>
          <w:pgSz w:w="12240" w:h="15840"/>
          <w:pgMar w:header="731" w:footer="0" w:top="1500" w:bottom="280" w:left="1340" w:right="620"/>
        </w:sectPr>
      </w:pPr>
    </w:p>
    <w:p>
      <w:pPr>
        <w:pStyle w:val="BodyText"/>
        <w:rPr>
          <w:sz w:val="20"/>
        </w:rPr>
      </w:pPr>
    </w:p>
    <w:p>
      <w:pPr>
        <w:pStyle w:val="BodyText"/>
        <w:spacing w:before="1"/>
        <w:rPr>
          <w:sz w:val="23"/>
        </w:rPr>
      </w:pPr>
    </w:p>
    <w:p>
      <w:pPr>
        <w:pStyle w:val="BodyText"/>
        <w:spacing w:line="360" w:lineRule="auto" w:before="90"/>
        <w:ind w:left="100" w:right="188"/>
      </w:pPr>
      <w:r>
        <w:rPr/>
        <w:t>the greater weighting for the euro in the index. The rise in the euro:dollar exchange rate over the past two months had been greater than that predicted by the Consensus forecasts. The narrowing of interest rate differentials following the ECB’s unexpected 50 basis point rate rise in June, and the continued economic recovery in the euro area, had both supported the euro. But other more technical factors, such as positioning and prospective flows relating to mergers and acquisitions activity and mobile phone spectrum auctions, had also helped the recovery in the euro over the past two months.</w:t>
      </w:r>
    </w:p>
    <w:sectPr>
      <w:pgSz w:w="12240" w:h="15840"/>
      <w:pgMar w:header="731" w:footer="0" w:top="1500" w:bottom="280" w:left="13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4.75pt;margin-top:25.056641pt;width:18pt;height:15.3pt;mso-position-horizontal-relative:page;mso-position-vertical-relative:page;z-index:-2520422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1pt;margin-top:35.556641pt;width:18pt;height:15.3pt;mso-position-horizontal-relative:page;mso-position-vertical-relative:page;z-index:-2520412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0"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66" w:hanging="720"/>
      </w:pPr>
      <w:rPr>
        <w:rFonts w:hint="default"/>
      </w:rPr>
    </w:lvl>
    <w:lvl w:ilvl="2">
      <w:start w:val="0"/>
      <w:numFmt w:val="bullet"/>
      <w:lvlText w:val="•"/>
      <w:lvlJc w:val="left"/>
      <w:pPr>
        <w:ind w:left="2712" w:hanging="720"/>
      </w:pPr>
      <w:rPr>
        <w:rFonts w:hint="default"/>
      </w:rPr>
    </w:lvl>
    <w:lvl w:ilvl="3">
      <w:start w:val="0"/>
      <w:numFmt w:val="bullet"/>
      <w:lvlText w:val="•"/>
      <w:lvlJc w:val="left"/>
      <w:pPr>
        <w:ind w:left="3658" w:hanging="720"/>
      </w:pPr>
      <w:rPr>
        <w:rFonts w:hint="default"/>
      </w:rPr>
    </w:lvl>
    <w:lvl w:ilvl="4">
      <w:start w:val="0"/>
      <w:numFmt w:val="bullet"/>
      <w:lvlText w:val="•"/>
      <w:lvlJc w:val="left"/>
      <w:pPr>
        <w:ind w:left="4604" w:hanging="720"/>
      </w:pPr>
      <w:rPr>
        <w:rFonts w:hint="default"/>
      </w:rPr>
    </w:lvl>
    <w:lvl w:ilvl="5">
      <w:start w:val="0"/>
      <w:numFmt w:val="bullet"/>
      <w:lvlText w:val="•"/>
      <w:lvlJc w:val="left"/>
      <w:pPr>
        <w:ind w:left="5550" w:hanging="720"/>
      </w:pPr>
      <w:rPr>
        <w:rFonts w:hint="default"/>
      </w:rPr>
    </w:lvl>
    <w:lvl w:ilvl="6">
      <w:start w:val="0"/>
      <w:numFmt w:val="bullet"/>
      <w:lvlText w:val="•"/>
      <w:lvlJc w:val="left"/>
      <w:pPr>
        <w:ind w:left="6496" w:hanging="720"/>
      </w:pPr>
      <w:rPr>
        <w:rFonts w:hint="default"/>
      </w:rPr>
    </w:lvl>
    <w:lvl w:ilvl="7">
      <w:start w:val="0"/>
      <w:numFmt w:val="bullet"/>
      <w:lvlText w:val="•"/>
      <w:lvlJc w:val="left"/>
      <w:pPr>
        <w:ind w:left="7442" w:hanging="720"/>
      </w:pPr>
      <w:rPr>
        <w:rFonts w:hint="default"/>
      </w:rPr>
    </w:lvl>
    <w:lvl w:ilvl="8">
      <w:start w:val="0"/>
      <w:numFmt w:val="bullet"/>
      <w:lvlText w:val="•"/>
      <w:lvlJc w:val="left"/>
      <w:pPr>
        <w:ind w:left="8388" w:hanging="720"/>
      </w:pPr>
      <w:rPr>
        <w:rFonts w:hint="default"/>
      </w:rPr>
    </w:lvl>
  </w:abstractNum>
  <w:abstractNum w:abstractNumId="0">
    <w:multiLevelType w:val="hybridMultilevel"/>
    <w:lvl w:ilvl="0">
      <w:start w:val="1"/>
      <w:numFmt w:val="decimal"/>
      <w:lvlText w:val="%1"/>
      <w:lvlJc w:val="left"/>
      <w:pPr>
        <w:ind w:left="265" w:hanging="45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262" w:hanging="450"/>
      </w:pPr>
      <w:rPr>
        <w:rFonts w:hint="default"/>
      </w:rPr>
    </w:lvl>
    <w:lvl w:ilvl="2">
      <w:start w:val="0"/>
      <w:numFmt w:val="bullet"/>
      <w:lvlText w:val="•"/>
      <w:lvlJc w:val="left"/>
      <w:pPr>
        <w:ind w:left="2264" w:hanging="450"/>
      </w:pPr>
      <w:rPr>
        <w:rFonts w:hint="default"/>
      </w:rPr>
    </w:lvl>
    <w:lvl w:ilvl="3">
      <w:start w:val="0"/>
      <w:numFmt w:val="bullet"/>
      <w:lvlText w:val="•"/>
      <w:lvlJc w:val="left"/>
      <w:pPr>
        <w:ind w:left="3266" w:hanging="450"/>
      </w:pPr>
      <w:rPr>
        <w:rFonts w:hint="default"/>
      </w:rPr>
    </w:lvl>
    <w:lvl w:ilvl="4">
      <w:start w:val="0"/>
      <w:numFmt w:val="bullet"/>
      <w:lvlText w:val="•"/>
      <w:lvlJc w:val="left"/>
      <w:pPr>
        <w:ind w:left="4268" w:hanging="450"/>
      </w:pPr>
      <w:rPr>
        <w:rFonts w:hint="default"/>
      </w:rPr>
    </w:lvl>
    <w:lvl w:ilvl="5">
      <w:start w:val="0"/>
      <w:numFmt w:val="bullet"/>
      <w:lvlText w:val="•"/>
      <w:lvlJc w:val="left"/>
      <w:pPr>
        <w:ind w:left="5270" w:hanging="450"/>
      </w:pPr>
      <w:rPr>
        <w:rFonts w:hint="default"/>
      </w:rPr>
    </w:lvl>
    <w:lvl w:ilvl="6">
      <w:start w:val="0"/>
      <w:numFmt w:val="bullet"/>
      <w:lvlText w:val="•"/>
      <w:lvlJc w:val="left"/>
      <w:pPr>
        <w:ind w:left="6272" w:hanging="450"/>
      </w:pPr>
      <w:rPr>
        <w:rFonts w:hint="default"/>
      </w:rPr>
    </w:lvl>
    <w:lvl w:ilvl="7">
      <w:start w:val="0"/>
      <w:numFmt w:val="bullet"/>
      <w:lvlText w:val="•"/>
      <w:lvlJc w:val="left"/>
      <w:pPr>
        <w:ind w:left="7274" w:hanging="450"/>
      </w:pPr>
      <w:rPr>
        <w:rFonts w:hint="default"/>
      </w:rPr>
    </w:lvl>
    <w:lvl w:ilvl="8">
      <w:start w:val="0"/>
      <w:numFmt w:val="bullet"/>
      <w:lvlText w:val="•"/>
      <w:lvlJc w:val="left"/>
      <w:pPr>
        <w:ind w:left="8276" w:hanging="45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265" w:hanging="7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6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Minutes3.PDF</dc:title>
  <dcterms:created xsi:type="dcterms:W3CDTF">2020-06-02T20:46:30Z</dcterms:created>
  <dcterms:modified xsi:type="dcterms:W3CDTF">2020-06-02T20:46:30Z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2000-07-17T00:00:00Z</vt:filetime>
  </property>
  <property fmtid="{D5CDD505-2E9C-101B-9397-08002B2CF9AE}" pid="3" name="Creator">
    <vt:lpwstr>Microsoft Word - Minutes3</vt:lpwstr>
  </property>
  <property fmtid="{D5CDD505-2E9C-101B-9397-08002B2CF9AE}" pid="4" name="LastSaved">
    <vt:filetime>2020-06-02T00:00:00Z</vt:filetime>
  </property>
</Properties>
</file>