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July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645" w:right="3527" w:firstLine="0"/>
        <w:jc w:val="center"/>
        <w:rPr>
          <w:rFonts w:ascii="Book Antiqua"/>
          <w:b/>
          <w:sz w:val="48"/>
        </w:rPr>
      </w:pPr>
      <w:r>
        <w:rPr>
          <w:rFonts w:ascii="Book Antiqua"/>
          <w:b/>
          <w:sz w:val="48"/>
        </w:rPr>
        <w:t>5 &amp; 6 July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July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2 &amp; 3 August will be published on</w:t>
      </w:r>
    </w:p>
    <w:p>
      <w:pPr>
        <w:spacing w:before="1"/>
        <w:ind w:left="119" w:right="0" w:firstLine="0"/>
        <w:jc w:val="left"/>
        <w:rPr>
          <w:rFonts w:ascii="Book Antiqua"/>
          <w:sz w:val="26"/>
        </w:rPr>
      </w:pPr>
      <w:r>
        <w:rPr>
          <w:rFonts w:ascii="Book Antiqua"/>
          <w:sz w:val="26"/>
        </w:rPr>
        <w:t>16 August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5-6 JULY 2006</w:t>
      </w:r>
    </w:p>
    <w:p>
      <w:pPr>
        <w:pStyle w:val="BodyText"/>
        <w:rPr>
          <w:b/>
          <w:sz w:val="30"/>
        </w:rPr>
      </w:pPr>
    </w:p>
    <w:p>
      <w:pPr>
        <w:pStyle w:val="ListParagraph"/>
        <w:numPr>
          <w:ilvl w:val="0"/>
          <w:numId w:val="1"/>
        </w:numPr>
        <w:tabs>
          <w:tab w:pos="931" w:val="left" w:leader="none"/>
          <w:tab w:pos="932" w:val="left" w:leader="none"/>
        </w:tabs>
        <w:spacing w:line="364" w:lineRule="auto" w:before="202" w:after="0"/>
        <w:ind w:left="368" w:right="568" w:firstLine="0"/>
        <w:jc w:val="left"/>
        <w:rPr>
          <w:sz w:val="24"/>
        </w:rPr>
      </w:pPr>
      <w:r>
        <w:rPr>
          <w:sz w:val="24"/>
        </w:rPr>
        <w:t>At the start of the meeting, </w:t>
      </w:r>
      <w:r>
        <w:rPr>
          <w:spacing w:val="-5"/>
          <w:sz w:val="24"/>
        </w:rPr>
        <w:t>the </w:t>
      </w:r>
      <w:r>
        <w:rPr>
          <w:sz w:val="24"/>
        </w:rPr>
        <w:t>Committee stood in silence in remembrance of David Walton, who died on 21</w:t>
      </w:r>
      <w:r>
        <w:rPr>
          <w:spacing w:val="-9"/>
          <w:sz w:val="24"/>
        </w:rPr>
        <w:t> </w:t>
      </w:r>
      <w:r>
        <w:rPr>
          <w:sz w:val="24"/>
        </w:rPr>
        <w:t>June.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433" w:firstLine="0"/>
        <w:jc w:val="left"/>
        <w:rPr>
          <w:sz w:val="24"/>
        </w:rPr>
      </w:pPr>
      <w:r>
        <w:rPr>
          <w:sz w:val="24"/>
        </w:rPr>
        <w:t>Before turning to its immediate policy decision, the Committee discussed developments in financial markets; the international economy; money, </w:t>
      </w:r>
      <w:r>
        <w:rPr>
          <w:spacing w:val="-3"/>
          <w:sz w:val="24"/>
        </w:rPr>
        <w:t>credit, </w:t>
      </w:r>
      <w:r>
        <w:rPr>
          <w:sz w:val="24"/>
        </w:rPr>
        <w:t>demand and output; and supply, costs and 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90" w:firstLine="0"/>
        <w:jc w:val="left"/>
        <w:rPr>
          <w:sz w:val="24"/>
        </w:rPr>
      </w:pPr>
      <w:r>
        <w:rPr>
          <w:sz w:val="24"/>
        </w:rPr>
        <w:t>Financial markets had been relatively uneventful this month, with asset prices stabilising after the falls recorded the previous month. Equity price indices had risen a little over the month </w:t>
      </w:r>
      <w:r>
        <w:rPr>
          <w:spacing w:val="5"/>
          <w:sz w:val="24"/>
        </w:rPr>
        <w:t>in </w:t>
      </w:r>
      <w:r>
        <w:rPr>
          <w:spacing w:val="-6"/>
          <w:sz w:val="24"/>
        </w:rPr>
        <w:t>many </w:t>
      </w:r>
      <w:r>
        <w:rPr>
          <w:sz w:val="24"/>
        </w:rPr>
        <w:t>developed economies, but were still below the levels at the </w:t>
      </w:r>
      <w:r>
        <w:rPr>
          <w:spacing w:val="-3"/>
          <w:sz w:val="24"/>
        </w:rPr>
        <w:t>time </w:t>
      </w:r>
      <w:r>
        <w:rPr>
          <w:sz w:val="24"/>
        </w:rPr>
        <w:t>of the May </w:t>
      </w:r>
      <w:r>
        <w:rPr>
          <w:i/>
          <w:sz w:val="24"/>
        </w:rPr>
        <w:t>Inflation Report</w:t>
      </w:r>
      <w:r>
        <w:rPr>
          <w:sz w:val="24"/>
        </w:rPr>
        <w:t>. Emerging market indices </w:t>
      </w:r>
      <w:r>
        <w:rPr>
          <w:spacing w:val="2"/>
          <w:sz w:val="24"/>
        </w:rPr>
        <w:t>were </w:t>
      </w:r>
      <w:r>
        <w:rPr>
          <w:sz w:val="24"/>
        </w:rPr>
        <w:t>rather weaker. There </w:t>
      </w:r>
      <w:r>
        <w:rPr>
          <w:spacing w:val="-3"/>
          <w:sz w:val="24"/>
        </w:rPr>
        <w:t>had </w:t>
      </w:r>
      <w:r>
        <w:rPr>
          <w:sz w:val="24"/>
        </w:rPr>
        <w:t>been some further widening of bond spreads this month, although they remained relatively narrow compared with recent years. As previously discussed by the Committee, one interpretation of recent developments was that there had been a re- pricing of the risk incorporated in some asset prices.</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7" w:right="257" w:firstLine="0"/>
        <w:jc w:val="left"/>
        <w:rPr>
          <w:sz w:val="24"/>
        </w:rPr>
      </w:pPr>
      <w:r>
        <w:rPr>
          <w:sz w:val="24"/>
        </w:rPr>
        <w:t>Short-term market interest rates had risen a little over the past month in the United States, and</w:t>
      </w:r>
      <w:r>
        <w:rPr>
          <w:spacing w:val="-27"/>
          <w:sz w:val="24"/>
        </w:rPr>
        <w:t> </w:t>
      </w:r>
      <w:r>
        <w:rPr>
          <w:sz w:val="24"/>
        </w:rPr>
        <w:t>to a lesser degree in the euro area and the United </w:t>
      </w:r>
      <w:r>
        <w:rPr>
          <w:spacing w:val="-4"/>
          <w:sz w:val="24"/>
        </w:rPr>
        <w:t>Kingdom. </w:t>
      </w:r>
      <w:r>
        <w:rPr>
          <w:sz w:val="24"/>
        </w:rPr>
        <w:t>The </w:t>
      </w:r>
      <w:r>
        <w:rPr>
          <w:spacing w:val="-3"/>
          <w:sz w:val="24"/>
        </w:rPr>
        <w:t>UK </w:t>
      </w:r>
      <w:r>
        <w:rPr>
          <w:sz w:val="24"/>
        </w:rPr>
        <w:t>short-term yield curve was now markedly higher </w:t>
      </w:r>
      <w:r>
        <w:rPr>
          <w:spacing w:val="-4"/>
          <w:sz w:val="24"/>
        </w:rPr>
        <w:t>than </w:t>
      </w:r>
      <w:r>
        <w:rPr>
          <w:sz w:val="24"/>
        </w:rPr>
        <w:t>at the start of the year, when markets had been pricing in a reduction in the official Bank rate in</w:t>
      </w:r>
      <w:r>
        <w:rPr>
          <w:spacing w:val="-5"/>
          <w:sz w:val="24"/>
        </w:rPr>
        <w:t> </w:t>
      </w:r>
      <w:r>
        <w:rPr>
          <w:sz w:val="24"/>
        </w:rPr>
        <w:t>2006.</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203" w:firstLine="0"/>
        <w:jc w:val="left"/>
        <w:rPr>
          <w:sz w:val="24"/>
        </w:rPr>
      </w:pPr>
      <w:r>
        <w:rPr>
          <w:sz w:val="24"/>
        </w:rPr>
        <w:t>Further along the yield curve, long-term forward interest rates had crept up in the </w:t>
      </w:r>
      <w:r>
        <w:rPr>
          <w:spacing w:val="-5"/>
          <w:sz w:val="24"/>
        </w:rPr>
        <w:t>United </w:t>
      </w:r>
      <w:r>
        <w:rPr>
          <w:sz w:val="24"/>
        </w:rPr>
        <w:t>Kingdom, </w:t>
      </w:r>
      <w:r>
        <w:rPr>
          <w:spacing w:val="-4"/>
          <w:sz w:val="24"/>
        </w:rPr>
        <w:t>United </w:t>
      </w:r>
      <w:r>
        <w:rPr>
          <w:sz w:val="24"/>
        </w:rPr>
        <w:t>States and euro area. Both nominal </w:t>
      </w:r>
      <w:r>
        <w:rPr>
          <w:spacing w:val="3"/>
          <w:sz w:val="24"/>
        </w:rPr>
        <w:t>and </w:t>
      </w:r>
      <w:r>
        <w:rPr>
          <w:sz w:val="24"/>
        </w:rPr>
        <w:t>real forward interest rates were substantially higher than at the start of the</w:t>
      </w:r>
      <w:r>
        <w:rPr>
          <w:spacing w:val="12"/>
          <w:sz w:val="24"/>
        </w:rPr>
        <w:t> </w:t>
      </w:r>
      <w:r>
        <w:rPr>
          <w:sz w:val="24"/>
        </w:rPr>
        <w:t>year.</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2" w:lineRule="auto" w:before="90" w:after="0"/>
        <w:ind w:left="367" w:right="350" w:firstLine="0"/>
        <w:jc w:val="left"/>
        <w:rPr>
          <w:sz w:val="24"/>
        </w:rPr>
      </w:pPr>
      <w:r>
        <w:rPr>
          <w:sz w:val="24"/>
        </w:rPr>
        <w:t>The dollar had appreciated somewhat over the month, following the </w:t>
      </w:r>
      <w:r>
        <w:rPr>
          <w:spacing w:val="2"/>
          <w:sz w:val="24"/>
        </w:rPr>
        <w:t>earlier </w:t>
      </w:r>
      <w:r>
        <w:rPr>
          <w:sz w:val="24"/>
        </w:rPr>
        <w:t>depreciation since </w:t>
      </w:r>
      <w:r>
        <w:rPr>
          <w:spacing w:val="-3"/>
          <w:sz w:val="24"/>
        </w:rPr>
        <w:t>May. </w:t>
      </w:r>
      <w:r>
        <w:rPr>
          <w:sz w:val="24"/>
        </w:rPr>
        <w:t>Associated with this, sterling had fallen against the dollar, and with little change against the euro, the sterling effective exchange </w:t>
      </w:r>
      <w:r>
        <w:rPr>
          <w:spacing w:val="-3"/>
          <w:sz w:val="24"/>
        </w:rPr>
        <w:t>rate </w:t>
      </w:r>
      <w:r>
        <w:rPr>
          <w:sz w:val="24"/>
        </w:rPr>
        <w:t>index (ERI) had fallen a little over the </w:t>
      </w:r>
      <w:r>
        <w:rPr>
          <w:spacing w:val="-3"/>
          <w:sz w:val="24"/>
        </w:rPr>
        <w:t>month. </w:t>
      </w:r>
      <w:r>
        <w:rPr>
          <w:sz w:val="24"/>
        </w:rPr>
        <w:t>The ERI </w:t>
      </w:r>
      <w:r>
        <w:rPr>
          <w:spacing w:val="3"/>
          <w:sz w:val="24"/>
        </w:rPr>
        <w:t>was </w:t>
      </w:r>
      <w:r>
        <w:rPr>
          <w:sz w:val="24"/>
        </w:rPr>
        <w:t>nevertheless 1¼% higher than in </w:t>
      </w:r>
      <w:r>
        <w:rPr>
          <w:spacing w:val="-4"/>
          <w:sz w:val="24"/>
        </w:rPr>
        <w:t>the </w:t>
      </w:r>
      <w:r>
        <w:rPr>
          <w:spacing w:val="3"/>
          <w:sz w:val="24"/>
        </w:rPr>
        <w:t>May </w:t>
      </w:r>
      <w:r>
        <w:rPr>
          <w:i/>
          <w:sz w:val="24"/>
        </w:rPr>
        <w:t>Inflation</w:t>
      </w:r>
      <w:r>
        <w:rPr>
          <w:i/>
          <w:spacing w:val="2"/>
          <w:sz w:val="24"/>
        </w:rPr>
        <w:t> </w:t>
      </w:r>
      <w:r>
        <w:rPr>
          <w:i/>
          <w:sz w:val="24"/>
        </w:rPr>
        <w:t>Report</w:t>
      </w:r>
      <w:r>
        <w:rPr>
          <w:sz w:val="24"/>
        </w:rPr>
        <w: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41" w:firstLine="0"/>
        <w:jc w:val="left"/>
        <w:rPr>
          <w:sz w:val="24"/>
        </w:rPr>
      </w:pPr>
      <w:r>
        <w:rPr>
          <w:sz w:val="24"/>
        </w:rPr>
        <w:t>Measures</w:t>
      </w:r>
      <w:r>
        <w:rPr>
          <w:spacing w:val="-5"/>
          <w:sz w:val="24"/>
        </w:rPr>
        <w:t> </w:t>
      </w:r>
      <w:r>
        <w:rPr>
          <w:sz w:val="24"/>
        </w:rPr>
        <w:t>of</w:t>
      </w:r>
      <w:r>
        <w:rPr>
          <w:spacing w:val="-4"/>
          <w:sz w:val="24"/>
        </w:rPr>
        <w:t> </w:t>
      </w:r>
      <w:r>
        <w:rPr>
          <w:sz w:val="24"/>
        </w:rPr>
        <w:t>implied</w:t>
      </w:r>
      <w:r>
        <w:rPr>
          <w:spacing w:val="-5"/>
          <w:sz w:val="24"/>
        </w:rPr>
        <w:t> </w:t>
      </w:r>
      <w:r>
        <w:rPr>
          <w:sz w:val="24"/>
        </w:rPr>
        <w:t>volatility</w:t>
      </w:r>
      <w:r>
        <w:rPr>
          <w:spacing w:val="-4"/>
          <w:sz w:val="24"/>
        </w:rPr>
        <w:t> </w:t>
      </w:r>
      <w:r>
        <w:rPr>
          <w:sz w:val="24"/>
        </w:rPr>
        <w:t>of</w:t>
      </w:r>
      <w:r>
        <w:rPr>
          <w:spacing w:val="-8"/>
          <w:sz w:val="24"/>
        </w:rPr>
        <w:t> </w:t>
      </w:r>
      <w:r>
        <w:rPr>
          <w:sz w:val="24"/>
        </w:rPr>
        <w:t>most</w:t>
      </w:r>
      <w:r>
        <w:rPr>
          <w:spacing w:val="1"/>
          <w:sz w:val="24"/>
        </w:rPr>
        <w:t> </w:t>
      </w:r>
      <w:r>
        <w:rPr>
          <w:sz w:val="24"/>
        </w:rPr>
        <w:t>major equity prices </w:t>
      </w:r>
      <w:r>
        <w:rPr>
          <w:spacing w:val="-3"/>
          <w:sz w:val="24"/>
        </w:rPr>
        <w:t>and</w:t>
      </w:r>
      <w:r>
        <w:rPr>
          <w:spacing w:val="-9"/>
          <w:sz w:val="24"/>
        </w:rPr>
        <w:t> </w:t>
      </w:r>
      <w:r>
        <w:rPr>
          <w:sz w:val="24"/>
        </w:rPr>
        <w:t>of</w:t>
      </w:r>
      <w:r>
        <w:rPr>
          <w:spacing w:val="-11"/>
          <w:sz w:val="24"/>
        </w:rPr>
        <w:t> </w:t>
      </w:r>
      <w:r>
        <w:rPr>
          <w:sz w:val="24"/>
        </w:rPr>
        <w:t>many</w:t>
      </w:r>
      <w:r>
        <w:rPr>
          <w:spacing w:val="-3"/>
          <w:sz w:val="24"/>
        </w:rPr>
        <w:t> </w:t>
      </w:r>
      <w:r>
        <w:rPr>
          <w:sz w:val="24"/>
        </w:rPr>
        <w:t>exchange</w:t>
      </w:r>
      <w:r>
        <w:rPr>
          <w:spacing w:val="-2"/>
          <w:sz w:val="24"/>
        </w:rPr>
        <w:t> </w:t>
      </w:r>
      <w:r>
        <w:rPr>
          <w:sz w:val="24"/>
        </w:rPr>
        <w:t>rate</w:t>
      </w:r>
      <w:r>
        <w:rPr>
          <w:spacing w:val="-3"/>
          <w:sz w:val="24"/>
        </w:rPr>
        <w:t> </w:t>
      </w:r>
      <w:r>
        <w:rPr>
          <w:sz w:val="24"/>
        </w:rPr>
        <w:t>pairs</w:t>
      </w:r>
      <w:r>
        <w:rPr>
          <w:spacing w:val="-2"/>
          <w:sz w:val="24"/>
        </w:rPr>
        <w:t> </w:t>
      </w:r>
      <w:r>
        <w:rPr>
          <w:sz w:val="24"/>
        </w:rPr>
        <w:t>had fallen over the past month. That fall was rather less apparent in measures of implied volatility </w:t>
      </w:r>
      <w:r>
        <w:rPr>
          <w:spacing w:val="-2"/>
          <w:sz w:val="24"/>
        </w:rPr>
        <w:t>for </w:t>
      </w:r>
      <w:r>
        <w:rPr>
          <w:sz w:val="24"/>
        </w:rPr>
        <w:t>short-term interest rates – especially for the United</w:t>
      </w:r>
      <w:r>
        <w:rPr>
          <w:spacing w:val="-3"/>
          <w:sz w:val="24"/>
        </w:rPr>
        <w:t> </w:t>
      </w:r>
      <w:r>
        <w:rPr>
          <w:sz w:val="24"/>
        </w:rPr>
        <w:t>States.</w:t>
      </w:r>
    </w:p>
    <w:p>
      <w:pPr>
        <w:pStyle w:val="BodyText"/>
        <w:rPr>
          <w:sz w:val="36"/>
        </w:rPr>
      </w:pPr>
    </w:p>
    <w:p>
      <w:pPr>
        <w:pStyle w:val="Heading1"/>
        <w:spacing w:before="1"/>
        <w:ind w:left="367"/>
      </w:pPr>
      <w:r>
        <w:rPr/>
        <w:t>The international economy</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55" w:lineRule="auto" w:before="0" w:after="0"/>
        <w:ind w:left="367" w:right="1045" w:firstLine="0"/>
        <w:jc w:val="left"/>
        <w:rPr>
          <w:sz w:val="24"/>
        </w:rPr>
      </w:pPr>
      <w:r>
        <w:rPr>
          <w:sz w:val="24"/>
        </w:rPr>
        <w:t>Developments in the world </w:t>
      </w:r>
      <w:r>
        <w:rPr>
          <w:spacing w:val="-4"/>
          <w:sz w:val="24"/>
        </w:rPr>
        <w:t>economy </w:t>
      </w:r>
      <w:r>
        <w:rPr>
          <w:sz w:val="24"/>
        </w:rPr>
        <w:t>appeared to be broadly consistent with a continued rebalancing of demand growth away from the United States and towards the rest of the</w:t>
      </w:r>
      <w:r>
        <w:rPr>
          <w:spacing w:val="-29"/>
          <w:sz w:val="24"/>
        </w:rPr>
        <w:t> </w:t>
      </w:r>
      <w:r>
        <w:rPr>
          <w:sz w:val="24"/>
        </w:rPr>
        <w:t>world.</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363" w:firstLine="0"/>
        <w:jc w:val="left"/>
        <w:rPr>
          <w:sz w:val="24"/>
        </w:rPr>
      </w:pPr>
      <w:r>
        <w:rPr>
          <w:sz w:val="24"/>
        </w:rPr>
        <w:t>In the euro area, the manufacturing Purchasing Managers’ Index (PMI) </w:t>
      </w:r>
      <w:r>
        <w:rPr>
          <w:spacing w:val="-3"/>
          <w:sz w:val="24"/>
        </w:rPr>
        <w:t>had </w:t>
      </w:r>
      <w:r>
        <w:rPr>
          <w:sz w:val="24"/>
        </w:rPr>
        <w:t>increased for the fifth consecutive month in June, leaving the index at its highest level since August 2000, and </w:t>
      </w:r>
      <w:r>
        <w:rPr>
          <w:spacing w:val="-2"/>
          <w:sz w:val="24"/>
        </w:rPr>
        <w:t>the </w:t>
      </w:r>
      <w:r>
        <w:rPr>
          <w:sz w:val="24"/>
        </w:rPr>
        <w:t>European Commission industrial confidence measure had risen in Q2 to its highest level since late 2000. </w:t>
      </w:r>
      <w:r>
        <w:rPr>
          <w:spacing w:val="-3"/>
          <w:sz w:val="24"/>
        </w:rPr>
        <w:t>The </w:t>
      </w:r>
      <w:r>
        <w:rPr>
          <w:sz w:val="24"/>
        </w:rPr>
        <w:t>German IFO index </w:t>
      </w:r>
      <w:r>
        <w:rPr>
          <w:spacing w:val="-3"/>
          <w:sz w:val="24"/>
        </w:rPr>
        <w:t>had </w:t>
      </w:r>
      <w:r>
        <w:rPr>
          <w:sz w:val="24"/>
        </w:rPr>
        <w:t>continued to be unusually strong, although the answers to some </w:t>
      </w:r>
      <w:r>
        <w:rPr>
          <w:spacing w:val="-4"/>
          <w:sz w:val="24"/>
        </w:rPr>
        <w:t>of </w:t>
      </w:r>
      <w:r>
        <w:rPr>
          <w:sz w:val="24"/>
        </w:rPr>
        <w:t>the </w:t>
      </w:r>
      <w:r>
        <w:rPr>
          <w:spacing w:val="-3"/>
          <w:sz w:val="24"/>
        </w:rPr>
        <w:t>questions </w:t>
      </w:r>
      <w:r>
        <w:rPr>
          <w:sz w:val="24"/>
        </w:rPr>
        <w:t>on which the index was based, as well as the ZEW survey of financial analysts, suggested that there was somewhat less optimism about the near future than was apparent from </w:t>
      </w:r>
      <w:r>
        <w:rPr>
          <w:spacing w:val="-2"/>
          <w:sz w:val="24"/>
        </w:rPr>
        <w:t>the </w:t>
      </w:r>
      <w:r>
        <w:rPr>
          <w:sz w:val="24"/>
        </w:rPr>
        <w:t>headline IFO index. The euro-area services </w:t>
      </w:r>
      <w:r>
        <w:rPr>
          <w:spacing w:val="-5"/>
          <w:sz w:val="24"/>
        </w:rPr>
        <w:t>PMI </w:t>
      </w:r>
      <w:r>
        <w:rPr>
          <w:spacing w:val="-3"/>
          <w:sz w:val="24"/>
        </w:rPr>
        <w:t>had </w:t>
      </w:r>
      <w:r>
        <w:rPr>
          <w:sz w:val="24"/>
        </w:rPr>
        <w:t>increased further in June. Overall, the </w:t>
      </w:r>
      <w:r>
        <w:rPr>
          <w:spacing w:val="-4"/>
          <w:sz w:val="24"/>
        </w:rPr>
        <w:t>survey- </w:t>
      </w:r>
      <w:r>
        <w:rPr>
          <w:sz w:val="24"/>
        </w:rPr>
        <w:t>based evidence suggested GDP </w:t>
      </w:r>
      <w:r>
        <w:rPr>
          <w:spacing w:val="-3"/>
          <w:sz w:val="24"/>
        </w:rPr>
        <w:t>growth </w:t>
      </w:r>
      <w:r>
        <w:rPr>
          <w:sz w:val="24"/>
        </w:rPr>
        <w:t>was likely to have been strong in </w:t>
      </w:r>
      <w:r>
        <w:rPr>
          <w:spacing w:val="-3"/>
          <w:sz w:val="24"/>
        </w:rPr>
        <w:t>Q2, and </w:t>
      </w:r>
      <w:r>
        <w:rPr>
          <w:sz w:val="24"/>
        </w:rPr>
        <w:t>higher than the Committee had expected at the time of the May </w:t>
      </w:r>
      <w:r>
        <w:rPr>
          <w:i/>
          <w:sz w:val="24"/>
        </w:rPr>
        <w:t>Inflation Report. </w:t>
      </w:r>
      <w:r>
        <w:rPr>
          <w:spacing w:val="-4"/>
          <w:sz w:val="24"/>
        </w:rPr>
        <w:t>It </w:t>
      </w:r>
      <w:r>
        <w:rPr>
          <w:sz w:val="24"/>
        </w:rPr>
        <w:t>suggested that some of the near- </w:t>
      </w:r>
      <w:r>
        <w:rPr>
          <w:spacing w:val="-3"/>
          <w:sz w:val="24"/>
        </w:rPr>
        <w:t>term </w:t>
      </w:r>
      <w:r>
        <w:rPr>
          <w:sz w:val="24"/>
        </w:rPr>
        <w:t>upside risks to euro-area </w:t>
      </w:r>
      <w:r>
        <w:rPr>
          <w:spacing w:val="-3"/>
          <w:sz w:val="24"/>
        </w:rPr>
        <w:t>activity </w:t>
      </w:r>
      <w:r>
        <w:rPr>
          <w:sz w:val="24"/>
        </w:rPr>
        <w:t>might be</w:t>
      </w:r>
      <w:r>
        <w:rPr>
          <w:spacing w:val="18"/>
          <w:sz w:val="24"/>
        </w:rPr>
        <w:t> </w:t>
      </w:r>
      <w:r>
        <w:rPr>
          <w:sz w:val="24"/>
        </w:rPr>
        <w:t>crystallising.</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7" w:right="205" w:firstLine="0"/>
        <w:jc w:val="left"/>
        <w:rPr>
          <w:sz w:val="24"/>
        </w:rPr>
      </w:pPr>
      <w:r>
        <w:rPr>
          <w:sz w:val="24"/>
        </w:rPr>
        <w:t>Consumption growth had bounced back in the euro area in Q1 and consumer confidence had crept up.</w:t>
      </w:r>
      <w:r>
        <w:rPr>
          <w:spacing w:val="17"/>
          <w:sz w:val="24"/>
        </w:rPr>
        <w:t> </w:t>
      </w:r>
      <w:r>
        <w:rPr>
          <w:sz w:val="24"/>
        </w:rPr>
        <w:t>However, retail sales had fallen back in May, following the sharp increase in April, so it </w:t>
      </w:r>
      <w:r>
        <w:rPr>
          <w:spacing w:val="5"/>
          <w:sz w:val="24"/>
        </w:rPr>
        <w:t>was </w:t>
      </w:r>
      <w:r>
        <w:rPr>
          <w:sz w:val="24"/>
        </w:rPr>
        <w:t>difficult to discern a clear trend in the data. Labour market conditions had continued to improve slowly, with the euro-area unemployment rate falling below 8% for the first time since 2001. The harmonised index of consumer prices (HICP) </w:t>
      </w:r>
      <w:r>
        <w:rPr>
          <w:spacing w:val="-3"/>
          <w:sz w:val="24"/>
        </w:rPr>
        <w:t>had </w:t>
      </w:r>
      <w:r>
        <w:rPr>
          <w:sz w:val="24"/>
        </w:rPr>
        <w:t>increased by </w:t>
      </w:r>
      <w:r>
        <w:rPr>
          <w:spacing w:val="-3"/>
          <w:sz w:val="24"/>
        </w:rPr>
        <w:t>2.5% </w:t>
      </w:r>
      <w:r>
        <w:rPr>
          <w:sz w:val="24"/>
        </w:rPr>
        <w:t>in the </w:t>
      </w:r>
      <w:r>
        <w:rPr>
          <w:spacing w:val="-3"/>
          <w:sz w:val="24"/>
        </w:rPr>
        <w:t>year </w:t>
      </w:r>
      <w:r>
        <w:rPr>
          <w:sz w:val="24"/>
        </w:rPr>
        <w:t>to </w:t>
      </w:r>
      <w:r>
        <w:rPr>
          <w:spacing w:val="-3"/>
          <w:sz w:val="24"/>
        </w:rPr>
        <w:t>May, </w:t>
      </w:r>
      <w:r>
        <w:rPr>
          <w:sz w:val="24"/>
        </w:rPr>
        <w:t>up on </w:t>
      </w:r>
      <w:r>
        <w:rPr>
          <w:spacing w:val="-2"/>
          <w:sz w:val="24"/>
        </w:rPr>
        <w:t>the </w:t>
      </w:r>
      <w:r>
        <w:rPr>
          <w:sz w:val="24"/>
        </w:rPr>
        <w:t>corresponding figure for</w:t>
      </w:r>
      <w:r>
        <w:rPr>
          <w:spacing w:val="8"/>
          <w:sz w:val="24"/>
        </w:rPr>
        <w:t> </w:t>
      </w:r>
      <w:r>
        <w:rPr>
          <w:sz w:val="24"/>
        </w:rPr>
        <w:t>April.</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169" w:firstLine="0"/>
        <w:jc w:val="left"/>
        <w:rPr>
          <w:sz w:val="24"/>
        </w:rPr>
      </w:pPr>
      <w:r>
        <w:rPr>
          <w:spacing w:val="-3"/>
          <w:sz w:val="24"/>
        </w:rPr>
        <w:t>Growth </w:t>
      </w:r>
      <w:r>
        <w:rPr>
          <w:sz w:val="24"/>
        </w:rPr>
        <w:t>in the United States had been revised up in the first quarter. The latest indicators </w:t>
      </w:r>
      <w:r>
        <w:rPr>
          <w:spacing w:val="-4"/>
          <w:sz w:val="24"/>
        </w:rPr>
        <w:t>had </w:t>
      </w:r>
      <w:r>
        <w:rPr>
          <w:sz w:val="24"/>
        </w:rPr>
        <w:t>continued to point to annualised growth of around 3% in Q2. As far as households were concerned, consumption growth had eased over the course of the year. Real personal disposable income </w:t>
      </w:r>
      <w:r>
        <w:rPr>
          <w:spacing w:val="-2"/>
          <w:sz w:val="24"/>
        </w:rPr>
        <w:t>growth </w:t>
      </w:r>
      <w:r>
        <w:rPr>
          <w:sz w:val="24"/>
        </w:rPr>
        <w:t>had been broadly flat in April and </w:t>
      </w:r>
      <w:r>
        <w:rPr>
          <w:spacing w:val="-3"/>
          <w:sz w:val="24"/>
        </w:rPr>
        <w:t>May, </w:t>
      </w:r>
      <w:r>
        <w:rPr>
          <w:sz w:val="24"/>
        </w:rPr>
        <w:t>while growth of nominal wages and salaries had also </w:t>
      </w:r>
      <w:r>
        <w:rPr>
          <w:spacing w:val="-3"/>
          <w:sz w:val="24"/>
        </w:rPr>
        <w:t>flattened. </w:t>
      </w:r>
      <w:r>
        <w:rPr>
          <w:sz w:val="24"/>
        </w:rPr>
        <w:t>Other influences on consumption </w:t>
      </w:r>
      <w:r>
        <w:rPr>
          <w:spacing w:val="-3"/>
          <w:sz w:val="24"/>
        </w:rPr>
        <w:t>had </w:t>
      </w:r>
      <w:r>
        <w:rPr>
          <w:sz w:val="24"/>
        </w:rPr>
        <w:t>pointed to a slowing: there had been a sharp oil-induced deterioration in the terms of trade, a fall in equity prices, and an easing in house price inflation. Real personal disposable </w:t>
      </w:r>
      <w:r>
        <w:rPr>
          <w:spacing w:val="-4"/>
          <w:sz w:val="24"/>
        </w:rPr>
        <w:t>income </w:t>
      </w:r>
      <w:r>
        <w:rPr>
          <w:sz w:val="24"/>
        </w:rPr>
        <w:t>growth might pick up </w:t>
      </w:r>
      <w:r>
        <w:rPr>
          <w:spacing w:val="-4"/>
          <w:sz w:val="24"/>
        </w:rPr>
        <w:t>again, </w:t>
      </w:r>
      <w:r>
        <w:rPr>
          <w:sz w:val="24"/>
        </w:rPr>
        <w:t>particularly if energy prices did </w:t>
      </w:r>
      <w:r>
        <w:rPr>
          <w:spacing w:val="-5"/>
          <w:sz w:val="24"/>
        </w:rPr>
        <w:t>not </w:t>
      </w:r>
      <w:r>
        <w:rPr>
          <w:spacing w:val="3"/>
          <w:sz w:val="24"/>
        </w:rPr>
        <w:t>rise </w:t>
      </w:r>
      <w:r>
        <w:rPr>
          <w:sz w:val="24"/>
        </w:rPr>
        <w:t>further, but more subdued household spending growth seemed in prospect. Nonetheless, business investment </w:t>
      </w:r>
      <w:r>
        <w:rPr>
          <w:spacing w:val="-3"/>
          <w:sz w:val="24"/>
        </w:rPr>
        <w:t>had </w:t>
      </w:r>
      <w:r>
        <w:rPr>
          <w:sz w:val="24"/>
        </w:rPr>
        <w:t>continued to look robust.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607" w:firstLine="0"/>
        <w:jc w:val="left"/>
        <w:rPr>
          <w:sz w:val="24"/>
        </w:rPr>
      </w:pPr>
      <w:r>
        <w:rPr>
          <w:sz w:val="24"/>
        </w:rPr>
        <w:t>Headline US CPI inflation had risen in </w:t>
      </w:r>
      <w:r>
        <w:rPr>
          <w:spacing w:val="-7"/>
          <w:sz w:val="24"/>
        </w:rPr>
        <w:t>May, </w:t>
      </w:r>
      <w:r>
        <w:rPr>
          <w:sz w:val="24"/>
        </w:rPr>
        <w:t>accompanied by a tick up </w:t>
      </w:r>
      <w:r>
        <w:rPr>
          <w:spacing w:val="2"/>
          <w:sz w:val="24"/>
        </w:rPr>
        <w:t>in </w:t>
      </w:r>
      <w:r>
        <w:rPr>
          <w:sz w:val="24"/>
        </w:rPr>
        <w:t>inflation excluding food and energy prices. The Federal Reserve’s preferred inflation measure – the core private consumption expenditure deflator – had been unchanged in</w:t>
      </w:r>
      <w:r>
        <w:rPr>
          <w:spacing w:val="6"/>
          <w:sz w:val="24"/>
        </w:rPr>
        <w:t> </w:t>
      </w:r>
      <w:r>
        <w:rPr>
          <w:spacing w:val="-7"/>
          <w:sz w:val="24"/>
        </w:rPr>
        <w:t>May.</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26" w:firstLine="0"/>
        <w:jc w:val="left"/>
        <w:rPr>
          <w:sz w:val="24"/>
        </w:rPr>
      </w:pPr>
      <w:r>
        <w:rPr>
          <w:sz w:val="24"/>
        </w:rPr>
        <w:t>Japanese GDP growth had been revised up substantially to 0.8% in Q1 on the back of large upward revisions to business investment and government spending. The Tankan survey </w:t>
      </w:r>
      <w:r>
        <w:rPr>
          <w:spacing w:val="-4"/>
          <w:sz w:val="24"/>
        </w:rPr>
        <w:t>had </w:t>
      </w:r>
      <w:r>
        <w:rPr>
          <w:sz w:val="24"/>
        </w:rPr>
        <w:t>strengthened, and was consistent with continued robust growth in Q2. Elsewhere in Asia, Chinese activity indicators </w:t>
      </w:r>
      <w:r>
        <w:rPr>
          <w:spacing w:val="-3"/>
          <w:sz w:val="24"/>
        </w:rPr>
        <w:t>had </w:t>
      </w:r>
      <w:r>
        <w:rPr>
          <w:sz w:val="24"/>
        </w:rPr>
        <w:t>also</w:t>
      </w:r>
      <w:r>
        <w:rPr>
          <w:spacing w:val="-4"/>
          <w:sz w:val="24"/>
        </w:rPr>
        <w:t> </w:t>
      </w:r>
      <w:r>
        <w:rPr>
          <w:sz w:val="24"/>
        </w:rPr>
        <w:t>strengthened.</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8" w:right="483" w:firstLine="0"/>
        <w:jc w:val="left"/>
        <w:rPr>
          <w:sz w:val="24"/>
        </w:rPr>
      </w:pPr>
      <w:r>
        <w:rPr>
          <w:sz w:val="24"/>
        </w:rPr>
        <w:t>Oil prices had risen slightly over the past month, mostly in the days leading up to the </w:t>
      </w:r>
      <w:r>
        <w:rPr>
          <w:spacing w:val="-4"/>
          <w:sz w:val="24"/>
        </w:rPr>
        <w:t>meeting. </w:t>
      </w:r>
      <w:r>
        <w:rPr>
          <w:sz w:val="24"/>
        </w:rPr>
        <w:t>Other commodity prices had fallen over the past</w:t>
      </w:r>
      <w:r>
        <w:rPr>
          <w:spacing w:val="-4"/>
          <w:sz w:val="24"/>
        </w:rPr>
        <w:t> </w:t>
      </w:r>
      <w:r>
        <w:rPr>
          <w:spacing w:val="-3"/>
          <w:sz w:val="24"/>
        </w:rPr>
        <w:t>month.</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241" w:firstLine="0"/>
        <w:jc w:val="left"/>
        <w:rPr>
          <w:sz w:val="24"/>
        </w:rPr>
      </w:pPr>
      <w:r>
        <w:rPr>
          <w:sz w:val="24"/>
        </w:rPr>
        <w:t>Measures of </w:t>
      </w:r>
      <w:r>
        <w:rPr>
          <w:spacing w:val="2"/>
          <w:sz w:val="24"/>
        </w:rPr>
        <w:t>world </w:t>
      </w:r>
      <w:r>
        <w:rPr>
          <w:sz w:val="24"/>
        </w:rPr>
        <w:t>export price inflation had </w:t>
      </w:r>
      <w:r>
        <w:rPr>
          <w:spacing w:val="-3"/>
          <w:sz w:val="24"/>
        </w:rPr>
        <w:t>generally </w:t>
      </w:r>
      <w:r>
        <w:rPr>
          <w:sz w:val="24"/>
        </w:rPr>
        <w:t>picked up over the past year or so. </w:t>
      </w:r>
      <w:r>
        <w:rPr>
          <w:spacing w:val="-5"/>
          <w:sz w:val="24"/>
        </w:rPr>
        <w:t>The </w:t>
      </w:r>
      <w:r>
        <w:rPr>
          <w:sz w:val="24"/>
        </w:rPr>
        <w:t>outlook for global export prices, and hence the prospects for </w:t>
      </w:r>
      <w:r>
        <w:rPr>
          <w:spacing w:val="-6"/>
          <w:sz w:val="24"/>
        </w:rPr>
        <w:t>UK </w:t>
      </w:r>
      <w:r>
        <w:rPr>
          <w:sz w:val="24"/>
        </w:rPr>
        <w:t>import prices, was an important issue that the Committee would wish to examine further in the quarterly </w:t>
      </w:r>
      <w:r>
        <w:rPr>
          <w:i/>
          <w:sz w:val="24"/>
        </w:rPr>
        <w:t>Inflation Report</w:t>
      </w:r>
      <w:r>
        <w:rPr>
          <w:i/>
          <w:spacing w:val="-1"/>
          <w:sz w:val="24"/>
        </w:rPr>
        <w:t> </w:t>
      </w:r>
      <w:r>
        <w:rPr>
          <w:spacing w:val="-4"/>
          <w:sz w:val="24"/>
        </w:rPr>
        <w:t>round.</w:t>
      </w:r>
    </w:p>
    <w:p>
      <w:pPr>
        <w:pStyle w:val="BodyText"/>
        <w:rPr>
          <w:sz w:val="36"/>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2" w:lineRule="auto" w:before="0" w:after="0"/>
        <w:ind w:left="368" w:right="422" w:firstLine="0"/>
        <w:jc w:val="left"/>
        <w:rPr>
          <w:sz w:val="24"/>
        </w:rPr>
      </w:pPr>
      <w:r>
        <w:rPr>
          <w:sz w:val="24"/>
        </w:rPr>
        <w:t>The revisions contained in the latest Quarterly National Accounts – consistent with the annual 2006 </w:t>
      </w:r>
      <w:r>
        <w:rPr>
          <w:i/>
          <w:sz w:val="24"/>
        </w:rPr>
        <w:t>Blue Book </w:t>
      </w:r>
      <w:r>
        <w:rPr>
          <w:sz w:val="24"/>
        </w:rPr>
        <w:t>– had been fairly modest compared with those seen in some past years. With incorporation of the 2004 Annual Business Inquiry and the first balancing of the 2004 data, perhaps the greatest interest related </w:t>
      </w:r>
      <w:r>
        <w:rPr>
          <w:spacing w:val="-6"/>
          <w:sz w:val="24"/>
        </w:rPr>
        <w:t>to </w:t>
      </w:r>
      <w:r>
        <w:rPr>
          <w:sz w:val="24"/>
        </w:rPr>
        <w:t>the revisions for that year. Growth in 2004 and some </w:t>
      </w:r>
      <w:r>
        <w:rPr>
          <w:spacing w:val="2"/>
          <w:sz w:val="24"/>
        </w:rPr>
        <w:t>earlier </w:t>
      </w:r>
      <w:r>
        <w:rPr>
          <w:sz w:val="24"/>
        </w:rPr>
        <w:t>years</w:t>
      </w:r>
      <w:r>
        <w:rPr>
          <w:spacing w:val="-32"/>
          <w:sz w:val="24"/>
        </w:rPr>
        <w:t> </w:t>
      </w:r>
      <w:r>
        <w:rPr>
          <w:spacing w:val="-4"/>
          <w:sz w:val="24"/>
        </w:rPr>
        <w:t>had</w:t>
      </w:r>
    </w:p>
    <w:p>
      <w:pPr>
        <w:spacing w:after="0" w:line="36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pPr>
      <w:r>
        <w:rPr/>
        <w:t>been revised up. The picture for 2004 was broadly consistent with survey-based estimates of output growth, coupled with the historical pattern of past revisions at this stage in the data cycle.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25" w:firstLine="0"/>
        <w:jc w:val="left"/>
        <w:rPr>
          <w:sz w:val="24"/>
        </w:rPr>
      </w:pPr>
      <w:r>
        <w:rPr>
          <w:sz w:val="24"/>
        </w:rPr>
        <w:t>The picture for 2005 </w:t>
      </w:r>
      <w:r>
        <w:rPr>
          <w:spacing w:val="-3"/>
          <w:sz w:val="24"/>
        </w:rPr>
        <w:t>had </w:t>
      </w:r>
      <w:r>
        <w:rPr>
          <w:sz w:val="24"/>
        </w:rPr>
        <w:t>been broadly unchanged by the recent release (with a slightly </w:t>
      </w:r>
      <w:r>
        <w:rPr>
          <w:spacing w:val="-2"/>
          <w:sz w:val="24"/>
        </w:rPr>
        <w:t>faster </w:t>
      </w:r>
      <w:r>
        <w:rPr>
          <w:sz w:val="24"/>
        </w:rPr>
        <w:t>pickup in output growth from the 2005 Q1 trough, little change in consumption and only </w:t>
      </w:r>
      <w:r>
        <w:rPr>
          <w:spacing w:val="-2"/>
          <w:sz w:val="24"/>
        </w:rPr>
        <w:t>modest </w:t>
      </w:r>
      <w:r>
        <w:rPr>
          <w:sz w:val="24"/>
        </w:rPr>
        <w:t>upward revisions to investment); although the National Accounts data for 2005 would not be </w:t>
      </w:r>
      <w:r>
        <w:rPr>
          <w:spacing w:val="-3"/>
          <w:sz w:val="24"/>
        </w:rPr>
        <w:t>fully </w:t>
      </w:r>
      <w:r>
        <w:rPr>
          <w:sz w:val="24"/>
        </w:rPr>
        <w:t>balanced until next year’s </w:t>
      </w:r>
      <w:r>
        <w:rPr>
          <w:i/>
          <w:sz w:val="24"/>
        </w:rPr>
        <w:t>Blue Book</w:t>
      </w:r>
      <w:r>
        <w:rPr>
          <w:sz w:val="24"/>
        </w:rPr>
        <w:t>. </w:t>
      </w:r>
      <w:r>
        <w:rPr>
          <w:spacing w:val="-6"/>
          <w:sz w:val="24"/>
        </w:rPr>
        <w:t>The </w:t>
      </w:r>
      <w:r>
        <w:rPr>
          <w:sz w:val="24"/>
        </w:rPr>
        <w:t>latest vintage of data indicated that the alignment adjustments in Q4 and Q1 were large and of opposite signs, reflecting </w:t>
      </w:r>
      <w:r>
        <w:rPr>
          <w:spacing w:val="-4"/>
          <w:sz w:val="24"/>
        </w:rPr>
        <w:t>the </w:t>
      </w:r>
      <w:r>
        <w:rPr>
          <w:sz w:val="24"/>
        </w:rPr>
        <w:t>difficulty of reconciling </w:t>
      </w:r>
      <w:r>
        <w:rPr>
          <w:spacing w:val="-2"/>
          <w:sz w:val="24"/>
        </w:rPr>
        <w:t>the </w:t>
      </w:r>
      <w:r>
        <w:rPr>
          <w:sz w:val="24"/>
        </w:rPr>
        <w:t>output and expenditure measures of GDP growth in these two</w:t>
      </w:r>
      <w:r>
        <w:rPr>
          <w:spacing w:val="7"/>
          <w:sz w:val="24"/>
        </w:rPr>
        <w:t> </w:t>
      </w:r>
      <w:r>
        <w:rPr>
          <w:sz w:val="24"/>
        </w:rPr>
        <w:t>quarters.</w:t>
      </w:r>
    </w:p>
    <w:p>
      <w:pPr>
        <w:pStyle w:val="BodyText"/>
        <w:spacing w:before="6"/>
        <w:rPr>
          <w:sz w:val="35"/>
        </w:rPr>
      </w:pPr>
    </w:p>
    <w:p>
      <w:pPr>
        <w:pStyle w:val="ListParagraph"/>
        <w:numPr>
          <w:ilvl w:val="0"/>
          <w:numId w:val="1"/>
        </w:numPr>
        <w:tabs>
          <w:tab w:pos="931" w:val="left" w:leader="none"/>
          <w:tab w:pos="932" w:val="left" w:leader="none"/>
        </w:tabs>
        <w:spacing w:line="362" w:lineRule="auto" w:before="0" w:after="0"/>
        <w:ind w:left="368" w:right="488" w:firstLine="0"/>
        <w:jc w:val="left"/>
        <w:rPr>
          <w:sz w:val="24"/>
        </w:rPr>
      </w:pPr>
      <w:r>
        <w:rPr>
          <w:sz w:val="24"/>
        </w:rPr>
        <w:t>The quarterly </w:t>
      </w:r>
      <w:r>
        <w:rPr>
          <w:spacing w:val="-3"/>
          <w:sz w:val="24"/>
        </w:rPr>
        <w:t>GDP </w:t>
      </w:r>
      <w:r>
        <w:rPr>
          <w:sz w:val="24"/>
        </w:rPr>
        <w:t>growth rates for both 2005 Q4 and 2006 Q1 had been revised up, as expected, to 0.7%, although the first three quarters of 2005 remained </w:t>
      </w:r>
      <w:r>
        <w:rPr>
          <w:spacing w:val="-4"/>
          <w:sz w:val="24"/>
        </w:rPr>
        <w:t>weak. </w:t>
      </w:r>
      <w:r>
        <w:rPr>
          <w:spacing w:val="2"/>
          <w:sz w:val="24"/>
        </w:rPr>
        <w:t>The </w:t>
      </w:r>
      <w:r>
        <w:rPr>
          <w:sz w:val="24"/>
        </w:rPr>
        <w:t>latest indicators continued</w:t>
      </w:r>
      <w:r>
        <w:rPr>
          <w:spacing w:val="-3"/>
          <w:sz w:val="24"/>
        </w:rPr>
        <w:t> </w:t>
      </w:r>
      <w:r>
        <w:rPr>
          <w:sz w:val="24"/>
        </w:rPr>
        <w:t>to</w:t>
      </w:r>
      <w:r>
        <w:rPr>
          <w:spacing w:val="-2"/>
          <w:sz w:val="24"/>
        </w:rPr>
        <w:t> </w:t>
      </w:r>
      <w:r>
        <w:rPr>
          <w:sz w:val="24"/>
        </w:rPr>
        <w:t>point</w:t>
      </w:r>
      <w:r>
        <w:rPr>
          <w:spacing w:val="-2"/>
          <w:sz w:val="24"/>
        </w:rPr>
        <w:t> </w:t>
      </w:r>
      <w:r>
        <w:rPr>
          <w:sz w:val="24"/>
        </w:rPr>
        <w:t>to</w:t>
      </w:r>
      <w:r>
        <w:rPr>
          <w:spacing w:val="-2"/>
          <w:sz w:val="24"/>
        </w:rPr>
        <w:t> </w:t>
      </w:r>
      <w:r>
        <w:rPr>
          <w:sz w:val="24"/>
        </w:rPr>
        <w:t>a</w:t>
      </w:r>
      <w:r>
        <w:rPr>
          <w:spacing w:val="-2"/>
          <w:sz w:val="24"/>
        </w:rPr>
        <w:t> </w:t>
      </w:r>
      <w:r>
        <w:rPr>
          <w:sz w:val="24"/>
        </w:rPr>
        <w:t>further</w:t>
      </w:r>
      <w:r>
        <w:rPr>
          <w:spacing w:val="-2"/>
          <w:sz w:val="24"/>
        </w:rPr>
        <w:t> </w:t>
      </w:r>
      <w:r>
        <w:rPr>
          <w:sz w:val="24"/>
        </w:rPr>
        <w:t>acceleration</w:t>
      </w:r>
      <w:r>
        <w:rPr>
          <w:spacing w:val="-6"/>
          <w:sz w:val="24"/>
        </w:rPr>
        <w:t> </w:t>
      </w:r>
      <w:r>
        <w:rPr>
          <w:sz w:val="24"/>
        </w:rPr>
        <w:t>of</w:t>
      </w:r>
      <w:r>
        <w:rPr>
          <w:spacing w:val="-7"/>
          <w:sz w:val="24"/>
        </w:rPr>
        <w:t> </w:t>
      </w:r>
      <w:r>
        <w:rPr>
          <w:sz w:val="24"/>
        </w:rPr>
        <w:t>activity</w:t>
      </w:r>
      <w:r>
        <w:rPr>
          <w:spacing w:val="-7"/>
          <w:sz w:val="24"/>
        </w:rPr>
        <w:t> </w:t>
      </w:r>
      <w:r>
        <w:rPr>
          <w:spacing w:val="5"/>
          <w:sz w:val="24"/>
        </w:rPr>
        <w:t>in</w:t>
      </w:r>
      <w:r>
        <w:rPr>
          <w:spacing w:val="-4"/>
          <w:sz w:val="24"/>
        </w:rPr>
        <w:t> </w:t>
      </w:r>
      <w:r>
        <w:rPr>
          <w:sz w:val="24"/>
        </w:rPr>
        <w:t>Q2,</w:t>
      </w:r>
      <w:r>
        <w:rPr>
          <w:spacing w:val="-3"/>
          <w:sz w:val="24"/>
        </w:rPr>
        <w:t> </w:t>
      </w:r>
      <w:r>
        <w:rPr>
          <w:sz w:val="24"/>
        </w:rPr>
        <w:t>with</w:t>
      </w:r>
      <w:r>
        <w:rPr>
          <w:spacing w:val="-4"/>
          <w:sz w:val="24"/>
        </w:rPr>
        <w:t> </w:t>
      </w:r>
      <w:r>
        <w:rPr>
          <w:sz w:val="24"/>
        </w:rPr>
        <w:t>the</w:t>
      </w:r>
      <w:r>
        <w:rPr>
          <w:spacing w:val="-4"/>
          <w:sz w:val="24"/>
        </w:rPr>
        <w:t> </w:t>
      </w:r>
      <w:r>
        <w:rPr>
          <w:sz w:val="24"/>
        </w:rPr>
        <w:t>CIPS/RBS</w:t>
      </w:r>
      <w:r>
        <w:rPr>
          <w:spacing w:val="-4"/>
          <w:sz w:val="24"/>
        </w:rPr>
        <w:t> </w:t>
      </w:r>
      <w:r>
        <w:rPr>
          <w:sz w:val="24"/>
        </w:rPr>
        <w:t>surveys</w:t>
      </w:r>
      <w:r>
        <w:rPr>
          <w:spacing w:val="-10"/>
          <w:sz w:val="24"/>
        </w:rPr>
        <w:t> </w:t>
      </w:r>
      <w:r>
        <w:rPr>
          <w:sz w:val="24"/>
        </w:rPr>
        <w:t>suggesting strong growth in both manufacturing and</w:t>
      </w:r>
      <w:r>
        <w:rPr>
          <w:spacing w:val="16"/>
          <w:sz w:val="24"/>
        </w:rPr>
        <w:t> </w:t>
      </w:r>
      <w:r>
        <w:rPr>
          <w:sz w:val="24"/>
        </w:rPr>
        <w:t>services.</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7" w:right="218" w:firstLine="0"/>
        <w:jc w:val="left"/>
        <w:rPr>
          <w:sz w:val="24"/>
        </w:rPr>
      </w:pPr>
      <w:r>
        <w:rPr>
          <w:sz w:val="24"/>
        </w:rPr>
        <w:t>The new data for business investment </w:t>
      </w:r>
      <w:r>
        <w:rPr>
          <w:spacing w:val="-3"/>
          <w:sz w:val="24"/>
        </w:rPr>
        <w:t>had </w:t>
      </w:r>
      <w:r>
        <w:rPr>
          <w:sz w:val="24"/>
        </w:rPr>
        <w:t>not changed the picture of relatively subdued </w:t>
      </w:r>
      <w:r>
        <w:rPr>
          <w:spacing w:val="-2"/>
          <w:sz w:val="24"/>
        </w:rPr>
        <w:t>growth </w:t>
      </w:r>
      <w:r>
        <w:rPr>
          <w:sz w:val="24"/>
        </w:rPr>
        <w:t>in the wake of the 2003-2004 cyclical pickup </w:t>
      </w:r>
      <w:r>
        <w:rPr>
          <w:spacing w:val="3"/>
          <w:sz w:val="24"/>
        </w:rPr>
        <w:t>in </w:t>
      </w:r>
      <w:r>
        <w:rPr>
          <w:sz w:val="24"/>
        </w:rPr>
        <w:t>output growth. Reflecting the absence of significant revisions to those data, there now seemed a greater likelihood that the weakness of investment </w:t>
      </w:r>
      <w:r>
        <w:rPr>
          <w:spacing w:val="-2"/>
          <w:sz w:val="24"/>
        </w:rPr>
        <w:t>growth </w:t>
      </w:r>
      <w:r>
        <w:rPr>
          <w:sz w:val="24"/>
        </w:rPr>
        <w:t>in recent years was </w:t>
      </w:r>
      <w:r>
        <w:rPr>
          <w:spacing w:val="2"/>
          <w:sz w:val="24"/>
        </w:rPr>
        <w:t>real, </w:t>
      </w:r>
      <w:r>
        <w:rPr>
          <w:sz w:val="24"/>
        </w:rPr>
        <w:t>despite the slightly firmer survey indicators of investment intentions over </w:t>
      </w:r>
      <w:r>
        <w:rPr>
          <w:spacing w:val="-3"/>
          <w:sz w:val="24"/>
        </w:rPr>
        <w:t>that </w:t>
      </w:r>
      <w:r>
        <w:rPr>
          <w:sz w:val="24"/>
        </w:rPr>
        <w:t>period, the healthy financial position of the corporate sector, the fall in the relative price of capital goods, and the relatively low cost of capital.  </w:t>
      </w:r>
      <w:r>
        <w:rPr>
          <w:spacing w:val="-6"/>
          <w:sz w:val="24"/>
        </w:rPr>
        <w:t>The </w:t>
      </w:r>
      <w:r>
        <w:rPr>
          <w:sz w:val="24"/>
        </w:rPr>
        <w:t>Committee had previously discussed various possible explanations for this. Off-shoring of investment might be one way of reconciling the surveys of investment intentions with the data. The Bank’s regional Agents had undertaken a special survey of the effects of pension deficits, which suggested that this particular factor was likely to have </w:t>
      </w:r>
      <w:r>
        <w:rPr>
          <w:spacing w:val="-3"/>
          <w:sz w:val="24"/>
        </w:rPr>
        <w:t>had </w:t>
      </w:r>
      <w:r>
        <w:rPr>
          <w:sz w:val="24"/>
        </w:rPr>
        <w:t>only a small effect on investment. Overall, </w:t>
      </w:r>
      <w:r>
        <w:rPr>
          <w:spacing w:val="-4"/>
          <w:sz w:val="24"/>
        </w:rPr>
        <w:t>the </w:t>
      </w:r>
      <w:r>
        <w:rPr>
          <w:sz w:val="24"/>
        </w:rPr>
        <w:t>upwardly revised investment-to-GDP ratio had raised the estimated capital </w:t>
      </w:r>
      <w:r>
        <w:rPr>
          <w:spacing w:val="-3"/>
          <w:sz w:val="24"/>
        </w:rPr>
        <w:t>stock, </w:t>
      </w:r>
      <w:r>
        <w:rPr>
          <w:sz w:val="24"/>
        </w:rPr>
        <w:t>making the recent levels of spending look less</w:t>
      </w:r>
      <w:r>
        <w:rPr>
          <w:spacing w:val="14"/>
          <w:sz w:val="24"/>
        </w:rPr>
        <w:t> </w:t>
      </w:r>
      <w:r>
        <w:rPr>
          <w:spacing w:val="-4"/>
          <w:sz w:val="24"/>
        </w:rPr>
        <w:t>weak.</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393" w:firstLine="0"/>
        <w:jc w:val="left"/>
        <w:rPr>
          <w:sz w:val="24"/>
        </w:rPr>
      </w:pPr>
      <w:r>
        <w:rPr>
          <w:sz w:val="24"/>
        </w:rPr>
        <w:t>The slowdown in annual consumption growth through 2004 and 2005 appeared to </w:t>
      </w:r>
      <w:r>
        <w:rPr>
          <w:spacing w:val="-3"/>
          <w:sz w:val="24"/>
        </w:rPr>
        <w:t>have been </w:t>
      </w:r>
      <w:r>
        <w:rPr>
          <w:sz w:val="24"/>
        </w:rPr>
        <w:t>sharper </w:t>
      </w:r>
      <w:r>
        <w:rPr>
          <w:spacing w:val="-3"/>
          <w:sz w:val="24"/>
        </w:rPr>
        <w:t>and </w:t>
      </w:r>
      <w:r>
        <w:rPr>
          <w:sz w:val="24"/>
        </w:rPr>
        <w:t>was longer lived than previously thought, with the first three quarters of 2005 </w:t>
      </w:r>
      <w:r>
        <w:rPr>
          <w:spacing w:val="2"/>
          <w:sz w:val="24"/>
        </w:rPr>
        <w:t>all </w:t>
      </w:r>
      <w:r>
        <w:rPr>
          <w:spacing w:val="-2"/>
          <w:sz w:val="24"/>
        </w:rPr>
        <w:t>now </w:t>
      </w:r>
      <w:r>
        <w:rPr>
          <w:sz w:val="24"/>
        </w:rPr>
        <w:t>looking rather weak. There had been downward revisions to real post tax labour income, consistent with the new path for consumer spending, and the weaker-than-expected pickup in labour income in 2006 Q1 </w:t>
      </w:r>
      <w:r>
        <w:rPr>
          <w:spacing w:val="-4"/>
          <w:sz w:val="24"/>
        </w:rPr>
        <w:t>might </w:t>
      </w:r>
      <w:r>
        <w:rPr>
          <w:sz w:val="24"/>
        </w:rPr>
        <w:t>suggest a downside risk to future household spending. There was estimated to have been a slightly larger fall in the terms of trade in 2005 than previously thought; that too might</w:t>
      </w:r>
      <w:r>
        <w:rPr>
          <w:spacing w:val="-9"/>
          <w:sz w:val="24"/>
        </w:rPr>
        <w:t> </w:t>
      </w:r>
      <w:r>
        <w:rPr>
          <w:sz w:val="24"/>
        </w:rPr>
        <w:t>weigh</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6"/>
      </w:pPr>
      <w:r>
        <w:rPr/>
        <w:t>on consumption prospects. However, the Q1 data for consumer spending growth had been revised up slightly. The latest indications from the retail sales data and the CBI </w:t>
      </w:r>
      <w:r>
        <w:rPr>
          <w:i/>
        </w:rPr>
        <w:t>Distributive Trades Survey </w:t>
      </w:r>
      <w:r>
        <w:rPr/>
        <w:t>pointed to stronger growth in Q2.</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05" w:firstLine="0"/>
        <w:jc w:val="left"/>
        <w:rPr>
          <w:sz w:val="24"/>
        </w:rPr>
      </w:pPr>
      <w:r>
        <w:rPr>
          <w:sz w:val="24"/>
        </w:rPr>
        <w:t>The latest housing indicators had been mixed. The Nationwide house price index had risen by 0.3% in June, while the Halifax index had fallen 1.2%. An average of the two lenders’ indices for Q2 was a little weaker than expected at the time of the May </w:t>
      </w:r>
      <w:r>
        <w:rPr>
          <w:i/>
          <w:sz w:val="24"/>
        </w:rPr>
        <w:t>Inflation Report</w:t>
      </w:r>
      <w:r>
        <w:rPr>
          <w:sz w:val="24"/>
        </w:rPr>
        <w:t>. However, loan approvals as well as indicators of the number of site visitors, the sales-to-stock ratio and the current and forward- looking price balances in the preview of the Royal Institution of Chartered Surveyors’ survey had all risen. Although </w:t>
      </w:r>
      <w:r>
        <w:rPr>
          <w:spacing w:val="-3"/>
          <w:sz w:val="24"/>
        </w:rPr>
        <w:t>estimates </w:t>
      </w:r>
      <w:r>
        <w:rPr>
          <w:sz w:val="24"/>
        </w:rPr>
        <w:t>of ho usehold sector income gearing had fallen in recent quarters, </w:t>
      </w:r>
      <w:r>
        <w:rPr>
          <w:spacing w:val="-2"/>
          <w:sz w:val="24"/>
        </w:rPr>
        <w:t>the </w:t>
      </w:r>
      <w:r>
        <w:rPr>
          <w:sz w:val="24"/>
        </w:rPr>
        <w:t>prospective </w:t>
      </w:r>
      <w:r>
        <w:rPr>
          <w:spacing w:val="-3"/>
          <w:sz w:val="24"/>
        </w:rPr>
        <w:t>trend </w:t>
      </w:r>
      <w:r>
        <w:rPr>
          <w:sz w:val="24"/>
        </w:rPr>
        <w:t>still seemed to be upward, but that was to be expected given the increase in the stock of secured borrowing.</w:t>
      </w:r>
      <w:r>
        <w:rPr>
          <w:spacing w:val="-1"/>
          <w:sz w:val="24"/>
        </w:rPr>
        <w:t> </w:t>
      </w:r>
      <w:r>
        <w:rPr>
          <w:sz w:val="24"/>
        </w:rPr>
        <w:t>It remained difficult to assess the equilibrium house price-to-earnings ratio, and to draw meaningful international comparisons given the differences in housing </w:t>
      </w:r>
      <w:r>
        <w:rPr>
          <w:spacing w:val="-5"/>
          <w:sz w:val="24"/>
        </w:rPr>
        <w:t>markets </w:t>
      </w:r>
      <w:r>
        <w:rPr>
          <w:spacing w:val="2"/>
          <w:sz w:val="24"/>
        </w:rPr>
        <w:t>across </w:t>
      </w:r>
      <w:r>
        <w:rPr>
          <w:sz w:val="24"/>
        </w:rPr>
        <w:t>countries.</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8" w:right="385" w:firstLine="0"/>
        <w:jc w:val="left"/>
        <w:rPr>
          <w:sz w:val="24"/>
        </w:rPr>
      </w:pPr>
      <w:r>
        <w:rPr>
          <w:sz w:val="24"/>
        </w:rPr>
        <w:t>There had </w:t>
      </w:r>
      <w:r>
        <w:rPr>
          <w:spacing w:val="-3"/>
          <w:sz w:val="24"/>
        </w:rPr>
        <w:t>been </w:t>
      </w:r>
      <w:r>
        <w:rPr>
          <w:spacing w:val="2"/>
          <w:sz w:val="24"/>
        </w:rPr>
        <w:t>less </w:t>
      </w:r>
      <w:r>
        <w:rPr>
          <w:sz w:val="24"/>
        </w:rPr>
        <w:t>news in the National Accounts concerning recent movements in public sector demand or net trade.</w:t>
      </w:r>
      <w:r>
        <w:rPr>
          <w:spacing w:val="2"/>
          <w:sz w:val="24"/>
        </w:rPr>
        <w:t> </w:t>
      </w:r>
      <w:r>
        <w:rPr>
          <w:sz w:val="24"/>
        </w:rPr>
        <w:t>The recent pickup in exports to the euro area had seemed consistent with the reports from the Bank’s regional Agents and the apparent strengthening of demand in the euro area.</w:t>
      </w:r>
    </w:p>
    <w:p>
      <w:pPr>
        <w:pStyle w:val="BodyText"/>
        <w:spacing w:before="5"/>
        <w:rPr>
          <w:sz w:val="36"/>
        </w:rPr>
      </w:pPr>
    </w:p>
    <w:p>
      <w:pPr>
        <w:pStyle w:val="ListParagraph"/>
        <w:numPr>
          <w:ilvl w:val="0"/>
          <w:numId w:val="1"/>
        </w:numPr>
        <w:tabs>
          <w:tab w:pos="931" w:val="left" w:leader="none"/>
          <w:tab w:pos="932" w:val="left" w:leader="none"/>
        </w:tabs>
        <w:spacing w:line="360" w:lineRule="auto" w:before="1" w:after="0"/>
        <w:ind w:left="368" w:right="469" w:firstLine="0"/>
        <w:jc w:val="left"/>
        <w:rPr>
          <w:sz w:val="24"/>
        </w:rPr>
      </w:pPr>
      <w:r>
        <w:rPr>
          <w:sz w:val="24"/>
        </w:rPr>
        <w:t>The annual rate of </w:t>
      </w:r>
      <w:r>
        <w:rPr>
          <w:spacing w:val="-5"/>
          <w:sz w:val="24"/>
        </w:rPr>
        <w:t>nominal </w:t>
      </w:r>
      <w:r>
        <w:rPr>
          <w:sz w:val="24"/>
        </w:rPr>
        <w:t>GDP growth had increased in </w:t>
      </w:r>
      <w:r>
        <w:rPr>
          <w:spacing w:val="-3"/>
          <w:sz w:val="24"/>
        </w:rPr>
        <w:t>Q1, </w:t>
      </w:r>
      <w:r>
        <w:rPr>
          <w:sz w:val="24"/>
        </w:rPr>
        <w:t>and was now close to 5%, after </w:t>
      </w:r>
      <w:r>
        <w:rPr>
          <w:spacing w:val="-2"/>
          <w:sz w:val="24"/>
        </w:rPr>
        <w:t>having </w:t>
      </w:r>
      <w:r>
        <w:rPr>
          <w:sz w:val="24"/>
        </w:rPr>
        <w:t>slowed in 2005. This was close to its average growth rate over the previous decade. Broad money growth had eased in </w:t>
      </w:r>
      <w:r>
        <w:rPr>
          <w:spacing w:val="-5"/>
          <w:sz w:val="24"/>
        </w:rPr>
        <w:t>May: </w:t>
      </w:r>
      <w:r>
        <w:rPr>
          <w:spacing w:val="2"/>
          <w:sz w:val="24"/>
        </w:rPr>
        <w:t>it </w:t>
      </w:r>
      <w:r>
        <w:rPr>
          <w:sz w:val="24"/>
        </w:rPr>
        <w:t>remained strong, but was now slower than at any </w:t>
      </w:r>
      <w:r>
        <w:rPr>
          <w:spacing w:val="-6"/>
          <w:sz w:val="24"/>
        </w:rPr>
        <w:t>time </w:t>
      </w:r>
      <w:r>
        <w:rPr>
          <w:sz w:val="24"/>
        </w:rPr>
        <w:t>since September 2005. Nevertheless, </w:t>
      </w:r>
      <w:r>
        <w:rPr>
          <w:spacing w:val="-6"/>
          <w:sz w:val="24"/>
        </w:rPr>
        <w:t>money </w:t>
      </w:r>
      <w:r>
        <w:rPr>
          <w:sz w:val="24"/>
        </w:rPr>
        <w:t>growth continued to pose an </w:t>
      </w:r>
      <w:r>
        <w:rPr>
          <w:spacing w:val="-4"/>
          <w:sz w:val="24"/>
        </w:rPr>
        <w:t>upside </w:t>
      </w:r>
      <w:r>
        <w:rPr>
          <w:sz w:val="24"/>
        </w:rPr>
        <w:t>risk to the medium-term outlook for</w:t>
      </w:r>
      <w:r>
        <w:rPr>
          <w:spacing w:val="7"/>
          <w:sz w:val="24"/>
        </w:rPr>
        <w:t> </w:t>
      </w:r>
      <w:r>
        <w:rPr>
          <w:sz w:val="24"/>
        </w:rPr>
        <w:t>inflation.</w:t>
      </w:r>
    </w:p>
    <w:p>
      <w:pPr>
        <w:pStyle w:val="BodyText"/>
        <w:rPr>
          <w:sz w:val="36"/>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627" w:firstLine="0"/>
        <w:jc w:val="left"/>
        <w:rPr>
          <w:sz w:val="24"/>
        </w:rPr>
      </w:pPr>
      <w:r>
        <w:rPr>
          <w:sz w:val="24"/>
        </w:rPr>
        <w:t>The Labour Force Survey (LFS) of employment growth in the three months to April had remained a little stronger than had been expected at the </w:t>
      </w:r>
      <w:r>
        <w:rPr>
          <w:spacing w:val="-3"/>
          <w:sz w:val="24"/>
        </w:rPr>
        <w:t>time </w:t>
      </w:r>
      <w:r>
        <w:rPr>
          <w:sz w:val="24"/>
        </w:rPr>
        <w:t>of the May </w:t>
      </w:r>
      <w:r>
        <w:rPr>
          <w:i/>
          <w:sz w:val="24"/>
        </w:rPr>
        <w:t>Inflation Report, </w:t>
      </w:r>
      <w:r>
        <w:rPr>
          <w:sz w:val="24"/>
        </w:rPr>
        <w:t>and </w:t>
      </w:r>
      <w:r>
        <w:rPr>
          <w:spacing w:val="-6"/>
          <w:sz w:val="24"/>
        </w:rPr>
        <w:t>the </w:t>
      </w:r>
      <w:r>
        <w:rPr>
          <w:sz w:val="24"/>
        </w:rPr>
        <w:t>annual growth rate was close to the average since 1997. A significant share of this employment growth was accounted for by self-employment. The </w:t>
      </w:r>
      <w:r>
        <w:rPr>
          <w:spacing w:val="-4"/>
          <w:sz w:val="24"/>
        </w:rPr>
        <w:t>LFS </w:t>
      </w:r>
      <w:r>
        <w:rPr>
          <w:sz w:val="24"/>
        </w:rPr>
        <w:t>unemployment rate had also been a little higher</w:t>
      </w:r>
      <w:r>
        <w:rPr>
          <w:spacing w:val="-3"/>
          <w:sz w:val="24"/>
        </w:rPr>
        <w:t> </w:t>
      </w:r>
      <w:r>
        <w:rPr>
          <w:sz w:val="24"/>
        </w:rPr>
        <w:t>than</w:t>
      </w:r>
      <w:r>
        <w:rPr>
          <w:spacing w:val="-3"/>
          <w:sz w:val="24"/>
        </w:rPr>
        <w:t> </w:t>
      </w:r>
      <w:r>
        <w:rPr>
          <w:sz w:val="24"/>
        </w:rPr>
        <w:t>expected,</w:t>
      </w:r>
      <w:r>
        <w:rPr>
          <w:spacing w:val="-2"/>
          <w:sz w:val="24"/>
        </w:rPr>
        <w:t> </w:t>
      </w:r>
      <w:r>
        <w:rPr>
          <w:sz w:val="24"/>
        </w:rPr>
        <w:t>at</w:t>
      </w:r>
      <w:r>
        <w:rPr>
          <w:spacing w:val="-3"/>
          <w:sz w:val="24"/>
        </w:rPr>
        <w:t> </w:t>
      </w:r>
      <w:r>
        <w:rPr>
          <w:sz w:val="24"/>
        </w:rPr>
        <w:t>5.3%</w:t>
      </w:r>
      <w:r>
        <w:rPr>
          <w:spacing w:val="-2"/>
          <w:sz w:val="24"/>
        </w:rPr>
        <w:t> </w:t>
      </w:r>
      <w:r>
        <w:rPr>
          <w:sz w:val="24"/>
        </w:rPr>
        <w:t>in</w:t>
      </w:r>
      <w:r>
        <w:rPr>
          <w:spacing w:val="-3"/>
          <w:sz w:val="24"/>
        </w:rPr>
        <w:t> </w:t>
      </w:r>
      <w:r>
        <w:rPr>
          <w:sz w:val="24"/>
        </w:rPr>
        <w:t>the</w:t>
      </w:r>
      <w:r>
        <w:rPr>
          <w:spacing w:val="-2"/>
          <w:sz w:val="24"/>
        </w:rPr>
        <w:t> </w:t>
      </w:r>
      <w:r>
        <w:rPr>
          <w:sz w:val="24"/>
        </w:rPr>
        <w:t>three</w:t>
      </w:r>
      <w:r>
        <w:rPr>
          <w:spacing w:val="-3"/>
          <w:sz w:val="24"/>
        </w:rPr>
        <w:t> </w:t>
      </w:r>
      <w:r>
        <w:rPr>
          <w:sz w:val="24"/>
        </w:rPr>
        <w:t>months</w:t>
      </w:r>
      <w:r>
        <w:rPr>
          <w:spacing w:val="-2"/>
          <w:sz w:val="24"/>
        </w:rPr>
        <w:t> </w:t>
      </w:r>
      <w:r>
        <w:rPr>
          <w:sz w:val="24"/>
        </w:rPr>
        <w:t>to</w:t>
      </w:r>
      <w:r>
        <w:rPr>
          <w:spacing w:val="-3"/>
          <w:sz w:val="24"/>
        </w:rPr>
        <w:t> </w:t>
      </w:r>
      <w:r>
        <w:rPr>
          <w:sz w:val="24"/>
        </w:rPr>
        <w:t>April,</w:t>
      </w:r>
      <w:r>
        <w:rPr>
          <w:spacing w:val="-4"/>
          <w:sz w:val="24"/>
        </w:rPr>
        <w:t> </w:t>
      </w:r>
      <w:r>
        <w:rPr>
          <w:sz w:val="24"/>
        </w:rPr>
        <w:t>despite</w:t>
      </w:r>
      <w:r>
        <w:rPr>
          <w:spacing w:val="-5"/>
          <w:sz w:val="24"/>
        </w:rPr>
        <w:t> </w:t>
      </w:r>
      <w:r>
        <w:rPr>
          <w:sz w:val="24"/>
        </w:rPr>
        <w:t>the</w:t>
      </w:r>
      <w:r>
        <w:rPr>
          <w:spacing w:val="-4"/>
          <w:sz w:val="24"/>
        </w:rPr>
        <w:t> </w:t>
      </w:r>
      <w:r>
        <w:rPr>
          <w:sz w:val="24"/>
        </w:rPr>
        <w:t>rise</w:t>
      </w:r>
      <w:r>
        <w:rPr>
          <w:spacing w:val="-5"/>
          <w:sz w:val="24"/>
        </w:rPr>
        <w:t> </w:t>
      </w:r>
      <w:r>
        <w:rPr>
          <w:sz w:val="24"/>
        </w:rPr>
        <w:t>in</w:t>
      </w:r>
      <w:r>
        <w:rPr>
          <w:spacing w:val="-4"/>
          <w:sz w:val="24"/>
        </w:rPr>
        <w:t> </w:t>
      </w:r>
      <w:r>
        <w:rPr>
          <w:sz w:val="24"/>
        </w:rPr>
        <w:t>the</w:t>
      </w:r>
      <w:r>
        <w:rPr>
          <w:spacing w:val="-5"/>
          <w:sz w:val="24"/>
        </w:rPr>
        <w:t> </w:t>
      </w:r>
      <w:r>
        <w:rPr>
          <w:sz w:val="24"/>
        </w:rPr>
        <w:t>employment</w:t>
      </w:r>
      <w:r>
        <w:rPr>
          <w:spacing w:val="-4"/>
          <w:sz w:val="24"/>
        </w:rPr>
        <w:t> </w:t>
      </w:r>
      <w:r>
        <w:rPr>
          <w:sz w:val="24"/>
        </w:rPr>
        <w:t>rate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454"/>
      </w:pPr>
      <w:r>
        <w:rPr/>
        <w:t>since last autumn. Surveys of labour availability presented a mixed picture. The Bank’s regional Agents had reported a strengthening of employment intentions among their contacts, but that recruitment difficulties remained muted.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70" w:firstLine="0"/>
        <w:jc w:val="left"/>
        <w:rPr>
          <w:sz w:val="24"/>
        </w:rPr>
      </w:pPr>
      <w:r>
        <w:rPr>
          <w:sz w:val="24"/>
        </w:rPr>
        <w:t>Earnings </w:t>
      </w:r>
      <w:r>
        <w:rPr>
          <w:spacing w:val="-3"/>
          <w:sz w:val="24"/>
        </w:rPr>
        <w:t>growth, </w:t>
      </w:r>
      <w:r>
        <w:rPr>
          <w:sz w:val="24"/>
        </w:rPr>
        <w:t>as measured by the Average Earnings Index (AEI), </w:t>
      </w:r>
      <w:r>
        <w:rPr>
          <w:spacing w:val="-3"/>
          <w:sz w:val="24"/>
        </w:rPr>
        <w:t>had </w:t>
      </w:r>
      <w:r>
        <w:rPr>
          <w:spacing w:val="4"/>
          <w:sz w:val="24"/>
        </w:rPr>
        <w:t>been </w:t>
      </w:r>
      <w:r>
        <w:rPr>
          <w:sz w:val="24"/>
        </w:rPr>
        <w:t>slightly weaker </w:t>
      </w:r>
      <w:r>
        <w:rPr>
          <w:spacing w:val="-3"/>
          <w:sz w:val="24"/>
        </w:rPr>
        <w:t>than </w:t>
      </w:r>
      <w:r>
        <w:rPr>
          <w:sz w:val="24"/>
        </w:rPr>
        <w:t>expected at the time of the May </w:t>
      </w:r>
      <w:r>
        <w:rPr>
          <w:i/>
          <w:sz w:val="24"/>
        </w:rPr>
        <w:t>Inflation Report</w:t>
      </w:r>
      <w:r>
        <w:rPr>
          <w:sz w:val="24"/>
        </w:rPr>
        <w:t>. </w:t>
      </w:r>
      <w:r>
        <w:rPr>
          <w:spacing w:val="-3"/>
          <w:sz w:val="24"/>
        </w:rPr>
        <w:t>Some </w:t>
      </w:r>
      <w:r>
        <w:rPr>
          <w:sz w:val="24"/>
        </w:rPr>
        <w:t>of </w:t>
      </w:r>
      <w:r>
        <w:rPr>
          <w:spacing w:val="-3"/>
          <w:sz w:val="24"/>
        </w:rPr>
        <w:t>that may have </w:t>
      </w:r>
      <w:r>
        <w:rPr>
          <w:spacing w:val="3"/>
          <w:sz w:val="24"/>
        </w:rPr>
        <w:t>been </w:t>
      </w:r>
      <w:r>
        <w:rPr>
          <w:sz w:val="24"/>
        </w:rPr>
        <w:t>accounted for by bonuses and elements of regular pay drift, </w:t>
      </w:r>
      <w:r>
        <w:rPr>
          <w:spacing w:val="3"/>
          <w:sz w:val="24"/>
        </w:rPr>
        <w:t>but </w:t>
      </w:r>
      <w:r>
        <w:rPr>
          <w:sz w:val="24"/>
        </w:rPr>
        <w:t>settlements had also continued to be weaker than at the same time last year, and a little below expectations. There were a variety of other earnings measures, some</w:t>
      </w:r>
      <w:r>
        <w:rPr>
          <w:spacing w:val="-5"/>
          <w:sz w:val="24"/>
        </w:rPr>
        <w:t> </w:t>
      </w:r>
      <w:r>
        <w:rPr>
          <w:sz w:val="24"/>
        </w:rPr>
        <w:t>of</w:t>
      </w:r>
      <w:r>
        <w:rPr>
          <w:spacing w:val="-5"/>
          <w:sz w:val="24"/>
        </w:rPr>
        <w:t> </w:t>
      </w:r>
      <w:r>
        <w:rPr>
          <w:sz w:val="24"/>
        </w:rPr>
        <w:t>which</w:t>
      </w:r>
      <w:r>
        <w:rPr>
          <w:spacing w:val="-5"/>
          <w:sz w:val="24"/>
        </w:rPr>
        <w:t> </w:t>
      </w:r>
      <w:r>
        <w:rPr>
          <w:sz w:val="24"/>
        </w:rPr>
        <w:t>were</w:t>
      </w:r>
      <w:r>
        <w:rPr>
          <w:spacing w:val="-5"/>
          <w:sz w:val="24"/>
        </w:rPr>
        <w:t> </w:t>
      </w:r>
      <w:r>
        <w:rPr>
          <w:sz w:val="24"/>
        </w:rPr>
        <w:t>less</w:t>
      </w:r>
      <w:r>
        <w:rPr>
          <w:spacing w:val="-5"/>
          <w:sz w:val="24"/>
        </w:rPr>
        <w:t> </w:t>
      </w:r>
      <w:r>
        <w:rPr>
          <w:sz w:val="24"/>
        </w:rPr>
        <w:t>timely</w:t>
      </w:r>
      <w:r>
        <w:rPr>
          <w:spacing w:val="7"/>
          <w:sz w:val="24"/>
        </w:rPr>
        <w:t> </w:t>
      </w:r>
      <w:r>
        <w:rPr>
          <w:sz w:val="24"/>
        </w:rPr>
        <w:t>and</w:t>
      </w:r>
      <w:r>
        <w:rPr>
          <w:spacing w:val="-5"/>
          <w:sz w:val="24"/>
        </w:rPr>
        <w:t> </w:t>
      </w:r>
      <w:r>
        <w:rPr>
          <w:sz w:val="24"/>
        </w:rPr>
        <w:t>of</w:t>
      </w:r>
      <w:r>
        <w:rPr>
          <w:spacing w:val="-5"/>
          <w:sz w:val="24"/>
        </w:rPr>
        <w:t> </w:t>
      </w:r>
      <w:r>
        <w:rPr>
          <w:sz w:val="24"/>
        </w:rPr>
        <w:t>lower</w:t>
      </w:r>
      <w:r>
        <w:rPr>
          <w:spacing w:val="-5"/>
          <w:sz w:val="24"/>
        </w:rPr>
        <w:t> </w:t>
      </w:r>
      <w:r>
        <w:rPr>
          <w:sz w:val="24"/>
        </w:rPr>
        <w:t>frequency</w:t>
      </w:r>
      <w:r>
        <w:rPr>
          <w:spacing w:val="6"/>
          <w:sz w:val="24"/>
        </w:rPr>
        <w:t> </w:t>
      </w:r>
      <w:r>
        <w:rPr>
          <w:sz w:val="24"/>
        </w:rPr>
        <w:t>than</w:t>
      </w:r>
      <w:r>
        <w:rPr>
          <w:spacing w:val="8"/>
          <w:sz w:val="24"/>
        </w:rPr>
        <w:t> </w:t>
      </w:r>
      <w:r>
        <w:rPr>
          <w:sz w:val="24"/>
        </w:rPr>
        <w:t>the</w:t>
      </w:r>
      <w:r>
        <w:rPr>
          <w:spacing w:val="-4"/>
          <w:sz w:val="24"/>
        </w:rPr>
        <w:t> </w:t>
      </w:r>
      <w:r>
        <w:rPr>
          <w:sz w:val="24"/>
        </w:rPr>
        <w:t>AEI, which</w:t>
      </w:r>
      <w:r>
        <w:rPr>
          <w:spacing w:val="-23"/>
          <w:sz w:val="24"/>
        </w:rPr>
        <w:t> </w:t>
      </w:r>
      <w:r>
        <w:rPr>
          <w:sz w:val="24"/>
        </w:rPr>
        <w:t>also</w:t>
      </w:r>
      <w:r>
        <w:rPr>
          <w:spacing w:val="-3"/>
          <w:sz w:val="24"/>
        </w:rPr>
        <w:t> </w:t>
      </w:r>
      <w:r>
        <w:rPr>
          <w:sz w:val="24"/>
        </w:rPr>
        <w:t>pointed</w:t>
      </w:r>
      <w:r>
        <w:rPr>
          <w:spacing w:val="-3"/>
          <w:sz w:val="24"/>
        </w:rPr>
        <w:t> </w:t>
      </w:r>
      <w:r>
        <w:rPr>
          <w:sz w:val="24"/>
        </w:rPr>
        <w:t>to</w:t>
      </w:r>
      <w:r>
        <w:rPr>
          <w:spacing w:val="-3"/>
          <w:sz w:val="24"/>
        </w:rPr>
        <w:t> </w:t>
      </w:r>
      <w:r>
        <w:rPr>
          <w:sz w:val="24"/>
        </w:rPr>
        <w:t>a</w:t>
      </w:r>
      <w:r>
        <w:rPr>
          <w:spacing w:val="-3"/>
          <w:sz w:val="24"/>
        </w:rPr>
        <w:t> </w:t>
      </w:r>
      <w:r>
        <w:rPr>
          <w:sz w:val="24"/>
        </w:rPr>
        <w:t>softening in average earnings growth in recent years. The Bank’s regional Agents </w:t>
      </w:r>
      <w:r>
        <w:rPr>
          <w:spacing w:val="-3"/>
          <w:sz w:val="24"/>
        </w:rPr>
        <w:t>had </w:t>
      </w:r>
      <w:r>
        <w:rPr>
          <w:sz w:val="24"/>
        </w:rPr>
        <w:t>reported no evidence of widespread pay pressures, but their special survey had indicated </w:t>
      </w:r>
      <w:r>
        <w:rPr>
          <w:spacing w:val="-3"/>
          <w:sz w:val="24"/>
        </w:rPr>
        <w:t>that </w:t>
      </w:r>
      <w:r>
        <w:rPr>
          <w:sz w:val="24"/>
        </w:rPr>
        <w:t>the need to finance defined benefit pensions might be bearing down on other labour costs. There was a broader question about </w:t>
      </w:r>
      <w:r>
        <w:rPr>
          <w:spacing w:val="-2"/>
          <w:sz w:val="24"/>
        </w:rPr>
        <w:t>the </w:t>
      </w:r>
      <w:r>
        <w:rPr>
          <w:sz w:val="24"/>
        </w:rPr>
        <w:t>extent</w:t>
      </w:r>
      <w:r>
        <w:rPr>
          <w:spacing w:val="-4"/>
          <w:sz w:val="24"/>
        </w:rPr>
        <w:t> </w:t>
      </w:r>
      <w:r>
        <w:rPr>
          <w:sz w:val="24"/>
        </w:rPr>
        <w:t>to</w:t>
      </w:r>
      <w:r>
        <w:rPr>
          <w:spacing w:val="-4"/>
          <w:sz w:val="24"/>
        </w:rPr>
        <w:t> </w:t>
      </w:r>
      <w:r>
        <w:rPr>
          <w:sz w:val="24"/>
        </w:rPr>
        <w:t>which</w:t>
      </w:r>
      <w:r>
        <w:rPr>
          <w:spacing w:val="-15"/>
          <w:sz w:val="24"/>
        </w:rPr>
        <w:t> </w:t>
      </w:r>
      <w:r>
        <w:rPr>
          <w:sz w:val="24"/>
        </w:rPr>
        <w:t>earnings</w:t>
      </w:r>
      <w:r>
        <w:rPr>
          <w:spacing w:val="-3"/>
          <w:sz w:val="24"/>
        </w:rPr>
        <w:t> </w:t>
      </w:r>
      <w:r>
        <w:rPr>
          <w:sz w:val="24"/>
        </w:rPr>
        <w:t>growth</w:t>
      </w:r>
      <w:r>
        <w:rPr>
          <w:spacing w:val="-4"/>
          <w:sz w:val="24"/>
        </w:rPr>
        <w:t> </w:t>
      </w:r>
      <w:r>
        <w:rPr>
          <w:sz w:val="24"/>
        </w:rPr>
        <w:t>was</w:t>
      </w:r>
      <w:r>
        <w:rPr>
          <w:spacing w:val="-3"/>
          <w:sz w:val="24"/>
        </w:rPr>
        <w:t> </w:t>
      </w:r>
      <w:r>
        <w:rPr>
          <w:sz w:val="24"/>
        </w:rPr>
        <w:t>being</w:t>
      </w:r>
      <w:r>
        <w:rPr>
          <w:spacing w:val="-4"/>
          <w:sz w:val="24"/>
        </w:rPr>
        <w:t> </w:t>
      </w:r>
      <w:r>
        <w:rPr>
          <w:sz w:val="24"/>
        </w:rPr>
        <w:t>determined</w:t>
      </w:r>
      <w:r>
        <w:rPr>
          <w:spacing w:val="-3"/>
          <w:sz w:val="24"/>
        </w:rPr>
        <w:t> </w:t>
      </w:r>
      <w:r>
        <w:rPr>
          <w:sz w:val="24"/>
        </w:rPr>
        <w:t>by</w:t>
      </w:r>
      <w:r>
        <w:rPr>
          <w:spacing w:val="19"/>
          <w:sz w:val="24"/>
        </w:rPr>
        <w:t> </w:t>
      </w:r>
      <w:r>
        <w:rPr>
          <w:sz w:val="24"/>
        </w:rPr>
        <w:t>narrow</w:t>
      </w:r>
      <w:r>
        <w:rPr>
          <w:spacing w:val="-2"/>
          <w:sz w:val="24"/>
        </w:rPr>
        <w:t> </w:t>
      </w:r>
      <w:r>
        <w:rPr>
          <w:sz w:val="24"/>
        </w:rPr>
        <w:t>labour</w:t>
      </w:r>
      <w:r>
        <w:rPr>
          <w:spacing w:val="-7"/>
          <w:sz w:val="24"/>
        </w:rPr>
        <w:t> </w:t>
      </w:r>
      <w:r>
        <w:rPr>
          <w:sz w:val="24"/>
        </w:rPr>
        <w:t>market</w:t>
      </w:r>
      <w:r>
        <w:rPr>
          <w:spacing w:val="-6"/>
          <w:sz w:val="24"/>
        </w:rPr>
        <w:t> </w:t>
      </w:r>
      <w:r>
        <w:rPr>
          <w:sz w:val="24"/>
        </w:rPr>
        <w:t>conditions,</w:t>
      </w:r>
      <w:r>
        <w:rPr>
          <w:spacing w:val="-7"/>
          <w:sz w:val="24"/>
        </w:rPr>
        <w:t> </w:t>
      </w:r>
      <w:r>
        <w:rPr>
          <w:sz w:val="24"/>
        </w:rPr>
        <w:t>or</w:t>
      </w:r>
      <w:r>
        <w:rPr>
          <w:spacing w:val="-6"/>
          <w:sz w:val="24"/>
        </w:rPr>
        <w:t> </w:t>
      </w:r>
      <w:r>
        <w:rPr>
          <w:sz w:val="24"/>
        </w:rPr>
        <w:t>by</w:t>
      </w:r>
    </w:p>
    <w:p>
      <w:pPr>
        <w:pStyle w:val="BodyText"/>
        <w:spacing w:line="360" w:lineRule="auto" w:before="6"/>
        <w:ind w:left="367" w:right="206"/>
      </w:pPr>
      <w:r>
        <w:rPr/>
        <w:t>other </w:t>
      </w:r>
      <w:r>
        <w:rPr>
          <w:spacing w:val="2"/>
        </w:rPr>
        <w:t>wider </w:t>
      </w:r>
      <w:r>
        <w:rPr/>
        <w:t>cost pressures. </w:t>
      </w:r>
      <w:r>
        <w:rPr>
          <w:spacing w:val="-4"/>
        </w:rPr>
        <w:t>RPI </w:t>
      </w:r>
      <w:r>
        <w:rPr/>
        <w:t>inflation had fallen </w:t>
      </w:r>
      <w:r>
        <w:rPr>
          <w:spacing w:val="-3"/>
        </w:rPr>
        <w:t>through </w:t>
      </w:r>
      <w:r>
        <w:rPr/>
        <w:t>much of 2005, but had risen broadly in line with </w:t>
      </w:r>
      <w:r>
        <w:rPr>
          <w:spacing w:val="-4"/>
        </w:rPr>
        <w:t>CPI </w:t>
      </w:r>
      <w:r>
        <w:rPr/>
        <w:t>inflation in recent months, and remained the single most cited inflation index </w:t>
      </w:r>
      <w:r>
        <w:rPr>
          <w:spacing w:val="-3"/>
        </w:rPr>
        <w:t>used </w:t>
      </w:r>
      <w:r>
        <w:rPr/>
        <w:t>in </w:t>
      </w:r>
      <w:r>
        <w:rPr>
          <w:spacing w:val="-3"/>
        </w:rPr>
        <w:t>pay </w:t>
      </w:r>
      <w:r>
        <w:rPr/>
        <w:t>bargaining.</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387" w:firstLine="0"/>
        <w:jc w:val="left"/>
        <w:rPr>
          <w:sz w:val="24"/>
        </w:rPr>
      </w:pPr>
      <w:r>
        <w:rPr>
          <w:sz w:val="24"/>
        </w:rPr>
        <w:t>There had been a pickup in the annual </w:t>
      </w:r>
      <w:r>
        <w:rPr>
          <w:spacing w:val="-4"/>
          <w:sz w:val="24"/>
        </w:rPr>
        <w:t>growth </w:t>
      </w:r>
      <w:r>
        <w:rPr>
          <w:sz w:val="24"/>
        </w:rPr>
        <w:t>rate of unit labour costs in </w:t>
      </w:r>
      <w:r>
        <w:rPr>
          <w:spacing w:val="-3"/>
          <w:sz w:val="24"/>
        </w:rPr>
        <w:t>Q1. </w:t>
      </w:r>
      <w:r>
        <w:rPr>
          <w:sz w:val="24"/>
        </w:rPr>
        <w:t>This, in part, had been broadly boosted by </w:t>
      </w:r>
      <w:r>
        <w:rPr>
          <w:spacing w:val="6"/>
          <w:sz w:val="24"/>
        </w:rPr>
        <w:t>an </w:t>
      </w:r>
      <w:r>
        <w:rPr>
          <w:sz w:val="24"/>
        </w:rPr>
        <w:t>upward </w:t>
      </w:r>
      <w:r>
        <w:rPr>
          <w:spacing w:val="-3"/>
          <w:sz w:val="24"/>
        </w:rPr>
        <w:t>revision </w:t>
      </w:r>
      <w:r>
        <w:rPr>
          <w:sz w:val="24"/>
        </w:rPr>
        <w:t>to non-wage employment costs in 2005 Q4 and strong growth in Q1. To the extent that this reflected a series of special payments to deal with past </w:t>
      </w:r>
      <w:r>
        <w:rPr>
          <w:spacing w:val="-3"/>
          <w:sz w:val="24"/>
        </w:rPr>
        <w:t>‘legacy’ </w:t>
      </w:r>
      <w:r>
        <w:rPr>
          <w:sz w:val="24"/>
        </w:rPr>
        <w:t>pension deficits, it did not necessarily reflect the cost of employing new</w:t>
      </w:r>
      <w:r>
        <w:rPr>
          <w:spacing w:val="-3"/>
          <w:sz w:val="24"/>
        </w:rPr>
        <w:t> </w:t>
      </w:r>
      <w:r>
        <w:rPr>
          <w:sz w:val="24"/>
        </w:rPr>
        <w:t>labour.</w:t>
      </w:r>
    </w:p>
    <w:p>
      <w:pPr>
        <w:pStyle w:val="BodyText"/>
        <w:spacing w:before="5"/>
        <w:rPr>
          <w:sz w:val="36"/>
        </w:rPr>
      </w:pPr>
    </w:p>
    <w:p>
      <w:pPr>
        <w:pStyle w:val="ListParagraph"/>
        <w:numPr>
          <w:ilvl w:val="0"/>
          <w:numId w:val="1"/>
        </w:numPr>
        <w:tabs>
          <w:tab w:pos="931" w:val="left" w:leader="none"/>
          <w:tab w:pos="932" w:val="left" w:leader="none"/>
        </w:tabs>
        <w:spacing w:line="360" w:lineRule="auto" w:before="1" w:after="0"/>
        <w:ind w:left="367" w:right="518" w:firstLine="0"/>
        <w:jc w:val="left"/>
        <w:rPr>
          <w:sz w:val="24"/>
        </w:rPr>
      </w:pPr>
      <w:r>
        <w:rPr>
          <w:sz w:val="24"/>
        </w:rPr>
        <w:t>The participation rate was now at its highest level since 1991. This reflected the increased participation</w:t>
      </w:r>
      <w:r>
        <w:rPr>
          <w:spacing w:val="-3"/>
          <w:sz w:val="24"/>
        </w:rPr>
        <w:t> </w:t>
      </w:r>
      <w:r>
        <w:rPr>
          <w:sz w:val="24"/>
        </w:rPr>
        <w:t>of</w:t>
      </w:r>
      <w:r>
        <w:rPr>
          <w:spacing w:val="-2"/>
          <w:sz w:val="24"/>
        </w:rPr>
        <w:t> </w:t>
      </w:r>
      <w:r>
        <w:rPr>
          <w:sz w:val="24"/>
        </w:rPr>
        <w:t>older</w:t>
      </w:r>
      <w:r>
        <w:rPr>
          <w:spacing w:val="-3"/>
          <w:sz w:val="24"/>
        </w:rPr>
        <w:t> </w:t>
      </w:r>
      <w:r>
        <w:rPr>
          <w:sz w:val="24"/>
        </w:rPr>
        <w:t>workers</w:t>
      </w:r>
      <w:r>
        <w:rPr>
          <w:spacing w:val="-2"/>
          <w:sz w:val="24"/>
        </w:rPr>
        <w:t> </w:t>
      </w:r>
      <w:r>
        <w:rPr>
          <w:spacing w:val="-3"/>
          <w:sz w:val="24"/>
        </w:rPr>
        <w:t>and</w:t>
      </w:r>
      <w:r>
        <w:rPr>
          <w:spacing w:val="-6"/>
          <w:sz w:val="24"/>
        </w:rPr>
        <w:t> </w:t>
      </w:r>
      <w:r>
        <w:rPr>
          <w:sz w:val="24"/>
        </w:rPr>
        <w:t>various</w:t>
      </w:r>
      <w:r>
        <w:rPr>
          <w:spacing w:val="-3"/>
          <w:sz w:val="24"/>
        </w:rPr>
        <w:t> </w:t>
      </w:r>
      <w:r>
        <w:rPr>
          <w:sz w:val="24"/>
        </w:rPr>
        <w:t>cohort</w:t>
      </w:r>
      <w:r>
        <w:rPr>
          <w:spacing w:val="-15"/>
          <w:sz w:val="24"/>
        </w:rPr>
        <w:t> </w:t>
      </w:r>
      <w:r>
        <w:rPr>
          <w:sz w:val="24"/>
        </w:rPr>
        <w:t>effects</w:t>
      </w:r>
      <w:r>
        <w:rPr>
          <w:spacing w:val="-2"/>
          <w:sz w:val="24"/>
        </w:rPr>
        <w:t> </w:t>
      </w:r>
      <w:r>
        <w:rPr>
          <w:sz w:val="24"/>
        </w:rPr>
        <w:t>(as,</w:t>
      </w:r>
      <w:r>
        <w:rPr>
          <w:spacing w:val="-2"/>
          <w:sz w:val="24"/>
        </w:rPr>
        <w:t> </w:t>
      </w:r>
      <w:r>
        <w:rPr>
          <w:sz w:val="24"/>
        </w:rPr>
        <w:t>for</w:t>
      </w:r>
      <w:r>
        <w:rPr>
          <w:spacing w:val="-3"/>
          <w:sz w:val="24"/>
        </w:rPr>
        <w:t> </w:t>
      </w:r>
      <w:r>
        <w:rPr>
          <w:sz w:val="24"/>
        </w:rPr>
        <w:t>example,</w:t>
      </w:r>
      <w:r>
        <w:rPr>
          <w:spacing w:val="-3"/>
          <w:sz w:val="24"/>
        </w:rPr>
        <w:t> </w:t>
      </w:r>
      <w:r>
        <w:rPr>
          <w:sz w:val="24"/>
        </w:rPr>
        <w:t>younger</w:t>
      </w:r>
      <w:r>
        <w:rPr>
          <w:spacing w:val="-4"/>
          <w:sz w:val="24"/>
        </w:rPr>
        <w:t> </w:t>
      </w:r>
      <w:r>
        <w:rPr>
          <w:sz w:val="24"/>
        </w:rPr>
        <w:t>generations</w:t>
      </w:r>
      <w:r>
        <w:rPr>
          <w:spacing w:val="-3"/>
          <w:sz w:val="24"/>
        </w:rPr>
        <w:t> </w:t>
      </w:r>
      <w:r>
        <w:rPr>
          <w:sz w:val="24"/>
        </w:rPr>
        <w:t>with higher participation rates replaced older generations with lower rates).</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7" w:right="425" w:firstLine="0"/>
        <w:jc w:val="left"/>
        <w:rPr>
          <w:sz w:val="24"/>
        </w:rPr>
      </w:pPr>
      <w:r>
        <w:rPr>
          <w:spacing w:val="-3"/>
          <w:sz w:val="24"/>
        </w:rPr>
        <w:t>Substantial </w:t>
      </w:r>
      <w:r>
        <w:rPr>
          <w:sz w:val="24"/>
        </w:rPr>
        <w:t>pressures on firms ’ costs from the increases in energy prices had continued. Input price inflation had fallen back in May, but </w:t>
      </w:r>
      <w:r>
        <w:rPr>
          <w:spacing w:val="-3"/>
          <w:sz w:val="24"/>
        </w:rPr>
        <w:t>remained </w:t>
      </w:r>
      <w:r>
        <w:rPr>
          <w:sz w:val="24"/>
        </w:rPr>
        <w:t>at high levels. Output price inflation had ticked </w:t>
      </w:r>
      <w:r>
        <w:rPr>
          <w:spacing w:val="-3"/>
          <w:sz w:val="24"/>
        </w:rPr>
        <w:t>up </w:t>
      </w:r>
      <w:r>
        <w:rPr>
          <w:sz w:val="24"/>
        </w:rPr>
        <w:t>in </w:t>
      </w:r>
      <w:r>
        <w:rPr>
          <w:spacing w:val="-3"/>
          <w:sz w:val="24"/>
        </w:rPr>
        <w:t>May. </w:t>
      </w:r>
      <w:r>
        <w:rPr>
          <w:sz w:val="24"/>
        </w:rPr>
        <w:t>Survey measures of pricing pressures in both manufacturing and services had generally been firmer this </w:t>
      </w:r>
      <w:r>
        <w:rPr>
          <w:spacing w:val="-3"/>
          <w:sz w:val="24"/>
        </w:rPr>
        <w:t>month. </w:t>
      </w:r>
      <w:r>
        <w:rPr>
          <w:sz w:val="24"/>
        </w:rPr>
        <w:t>Non-oil import prices were rising at the fastest rate for some</w:t>
      </w:r>
      <w:r>
        <w:rPr>
          <w:spacing w:val="5"/>
          <w:sz w:val="24"/>
        </w:rPr>
        <w:t> </w:t>
      </w:r>
      <w:r>
        <w:rPr>
          <w:sz w:val="24"/>
        </w:rPr>
        <w:t>years.</w:t>
      </w:r>
    </w:p>
    <w:p>
      <w:pPr>
        <w:spacing w:after="0" w:line="36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81" w:firstLine="0"/>
        <w:jc w:val="left"/>
        <w:rPr>
          <w:sz w:val="24"/>
        </w:rPr>
      </w:pPr>
      <w:r>
        <w:rPr>
          <w:sz w:val="24"/>
        </w:rPr>
        <w:t>CPI inflation had risen to 2.2% in May. Within this, goods price inflation had risen by 0.9 of a percentage point to 1.3%. That reflected the impact of higher prices of both energy and other imported goods. </w:t>
      </w:r>
      <w:r>
        <w:rPr>
          <w:spacing w:val="2"/>
          <w:sz w:val="24"/>
        </w:rPr>
        <w:t>The </w:t>
      </w:r>
      <w:r>
        <w:rPr>
          <w:sz w:val="24"/>
        </w:rPr>
        <w:t>general public’s inflation expectations had appeared to</w:t>
      </w:r>
      <w:r>
        <w:rPr>
          <w:spacing w:val="2"/>
          <w:sz w:val="24"/>
        </w:rPr>
        <w:t> </w:t>
      </w:r>
      <w:r>
        <w:rPr>
          <w:sz w:val="24"/>
        </w:rPr>
        <w:t>ease.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z w:val="24"/>
        </w:rPr>
        <w:t>The relative stability of aggregate CPI inflation over recent years was notable, following significant movements in import and energy prices. It was possible to construct a variety of different measures</w:t>
      </w:r>
      <w:r>
        <w:rPr>
          <w:spacing w:val="-12"/>
          <w:sz w:val="24"/>
        </w:rPr>
        <w:t> </w:t>
      </w:r>
      <w:r>
        <w:rPr>
          <w:sz w:val="24"/>
        </w:rPr>
        <w:t>of domestically</w:t>
      </w:r>
      <w:r>
        <w:rPr>
          <w:spacing w:val="-3"/>
          <w:sz w:val="24"/>
        </w:rPr>
        <w:t> </w:t>
      </w:r>
      <w:r>
        <w:rPr>
          <w:sz w:val="24"/>
        </w:rPr>
        <w:t>generated</w:t>
      </w:r>
      <w:r>
        <w:rPr>
          <w:spacing w:val="-4"/>
          <w:sz w:val="24"/>
        </w:rPr>
        <w:t> </w:t>
      </w:r>
      <w:r>
        <w:rPr>
          <w:sz w:val="24"/>
        </w:rPr>
        <w:t>inflation</w:t>
      </w:r>
      <w:r>
        <w:rPr>
          <w:spacing w:val="-5"/>
          <w:sz w:val="24"/>
        </w:rPr>
        <w:t> </w:t>
      </w:r>
      <w:r>
        <w:rPr>
          <w:sz w:val="24"/>
        </w:rPr>
        <w:t>that</w:t>
      </w:r>
      <w:r>
        <w:rPr>
          <w:spacing w:val="-2"/>
          <w:sz w:val="24"/>
        </w:rPr>
        <w:t> </w:t>
      </w:r>
      <w:r>
        <w:rPr>
          <w:sz w:val="24"/>
        </w:rPr>
        <w:t>attempted</w:t>
      </w:r>
      <w:r>
        <w:rPr>
          <w:spacing w:val="-3"/>
          <w:sz w:val="24"/>
        </w:rPr>
        <w:t> </w:t>
      </w:r>
      <w:r>
        <w:rPr>
          <w:sz w:val="24"/>
        </w:rPr>
        <w:t>to</w:t>
      </w:r>
      <w:r>
        <w:rPr>
          <w:spacing w:val="-4"/>
          <w:sz w:val="24"/>
        </w:rPr>
        <w:t> </w:t>
      </w:r>
      <w:r>
        <w:rPr>
          <w:sz w:val="24"/>
        </w:rPr>
        <w:t>strip</w:t>
      </w:r>
      <w:r>
        <w:rPr>
          <w:spacing w:val="-4"/>
          <w:sz w:val="24"/>
        </w:rPr>
        <w:t> </w:t>
      </w:r>
      <w:r>
        <w:rPr>
          <w:sz w:val="24"/>
        </w:rPr>
        <w:t>out</w:t>
      </w:r>
      <w:r>
        <w:rPr>
          <w:spacing w:val="-4"/>
          <w:sz w:val="24"/>
        </w:rPr>
        <w:t> </w:t>
      </w:r>
      <w:r>
        <w:rPr>
          <w:sz w:val="24"/>
        </w:rPr>
        <w:t>the</w:t>
      </w:r>
      <w:r>
        <w:rPr>
          <w:spacing w:val="-4"/>
          <w:sz w:val="24"/>
        </w:rPr>
        <w:t> </w:t>
      </w:r>
      <w:r>
        <w:rPr>
          <w:sz w:val="24"/>
        </w:rPr>
        <w:t>effects</w:t>
      </w:r>
      <w:r>
        <w:rPr>
          <w:spacing w:val="-4"/>
          <w:sz w:val="24"/>
        </w:rPr>
        <w:t> </w:t>
      </w:r>
      <w:r>
        <w:rPr>
          <w:sz w:val="24"/>
        </w:rPr>
        <w:t>of</w:t>
      </w:r>
      <w:r>
        <w:rPr>
          <w:spacing w:val="-4"/>
          <w:sz w:val="24"/>
        </w:rPr>
        <w:t> </w:t>
      </w:r>
      <w:r>
        <w:rPr>
          <w:sz w:val="24"/>
        </w:rPr>
        <w:t>import</w:t>
      </w:r>
      <w:r>
        <w:rPr>
          <w:spacing w:val="-4"/>
          <w:sz w:val="24"/>
        </w:rPr>
        <w:t> </w:t>
      </w:r>
      <w:r>
        <w:rPr>
          <w:sz w:val="24"/>
        </w:rPr>
        <w:t>prices</w:t>
      </w:r>
      <w:r>
        <w:rPr>
          <w:spacing w:val="-4"/>
          <w:sz w:val="24"/>
        </w:rPr>
        <w:t> </w:t>
      </w:r>
      <w:r>
        <w:rPr>
          <w:sz w:val="24"/>
        </w:rPr>
        <w:t>and energy prices, using various assumptions about the speed of pass-through of these prices along </w:t>
      </w:r>
      <w:r>
        <w:rPr>
          <w:spacing w:val="-2"/>
          <w:sz w:val="24"/>
        </w:rPr>
        <w:t>the </w:t>
      </w:r>
      <w:r>
        <w:rPr>
          <w:sz w:val="24"/>
        </w:rPr>
        <w:t>supply-chain. These measures had generally been volatile in recent years, compared with the broader stability of aggregate CPI inflation. This pointed to an inverse relationship between energy and import prices on the one hand and domestically generated inflation on the other.  </w:t>
      </w:r>
      <w:r>
        <w:rPr>
          <w:spacing w:val="-4"/>
          <w:sz w:val="24"/>
        </w:rPr>
        <w:t>That, </w:t>
      </w:r>
      <w:r>
        <w:rPr>
          <w:sz w:val="24"/>
        </w:rPr>
        <w:t>in </w:t>
      </w:r>
      <w:r>
        <w:rPr>
          <w:spacing w:val="-3"/>
          <w:sz w:val="24"/>
        </w:rPr>
        <w:t>turn, </w:t>
      </w:r>
      <w:r>
        <w:rPr>
          <w:sz w:val="24"/>
        </w:rPr>
        <w:t>suggested that it was not appropriate to </w:t>
      </w:r>
      <w:r>
        <w:rPr>
          <w:spacing w:val="-3"/>
          <w:sz w:val="24"/>
        </w:rPr>
        <w:t>aggregate </w:t>
      </w:r>
      <w:r>
        <w:rPr>
          <w:sz w:val="24"/>
        </w:rPr>
        <w:t>independently derived projections of import, energy and domestically generated inflation components of CPI in a mechanical way without considering </w:t>
      </w:r>
      <w:r>
        <w:rPr>
          <w:spacing w:val="-2"/>
          <w:sz w:val="24"/>
        </w:rPr>
        <w:t>the </w:t>
      </w:r>
      <w:r>
        <w:rPr>
          <w:sz w:val="24"/>
        </w:rPr>
        <w:t>interrelationships between</w:t>
      </w:r>
      <w:r>
        <w:rPr>
          <w:spacing w:val="11"/>
          <w:sz w:val="24"/>
        </w:rPr>
        <w:t> </w:t>
      </w:r>
      <w:r>
        <w:rPr>
          <w:spacing w:val="-7"/>
          <w:sz w:val="24"/>
        </w:rPr>
        <w:t>them.</w:t>
      </w:r>
    </w:p>
    <w:p>
      <w:pPr>
        <w:pStyle w:val="BodyText"/>
        <w:spacing w:before="6"/>
        <w:rPr>
          <w:sz w:val="36"/>
        </w:rPr>
      </w:pPr>
    </w:p>
    <w:p>
      <w:pPr>
        <w:pStyle w:val="Heading1"/>
        <w:ind w:left="367"/>
      </w:pPr>
      <w:r>
        <w:rPr/>
        <w:t>The immediate policy</w:t>
      </w:r>
      <w:r>
        <w:rPr>
          <w:spacing w:val="-15"/>
        </w:rPr>
        <w:t> </w:t>
      </w:r>
      <w:r>
        <w:rPr/>
        <w:t>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Following the sharp movements in financial markets prior to the Committee’s </w:t>
      </w:r>
      <w:r>
        <w:rPr>
          <w:spacing w:val="-3"/>
          <w:sz w:val="24"/>
        </w:rPr>
        <w:t>June </w:t>
      </w:r>
      <w:r>
        <w:rPr>
          <w:sz w:val="24"/>
        </w:rPr>
        <w:t>meeting, </w:t>
      </w:r>
      <w:r>
        <w:rPr>
          <w:spacing w:val="-2"/>
          <w:sz w:val="24"/>
        </w:rPr>
        <w:t>the </w:t>
      </w:r>
      <w:r>
        <w:rPr>
          <w:sz w:val="24"/>
        </w:rPr>
        <w:t>financial markets had been more stable over the past </w:t>
      </w:r>
      <w:r>
        <w:rPr>
          <w:spacing w:val="-3"/>
          <w:sz w:val="24"/>
        </w:rPr>
        <w:t>month. </w:t>
      </w:r>
      <w:r>
        <w:rPr>
          <w:sz w:val="24"/>
        </w:rPr>
        <w:t>Equity prices were lower and </w:t>
      </w:r>
      <w:r>
        <w:rPr>
          <w:spacing w:val="-3"/>
          <w:sz w:val="24"/>
        </w:rPr>
        <w:t>sterling </w:t>
      </w:r>
      <w:r>
        <w:rPr>
          <w:spacing w:val="3"/>
          <w:sz w:val="24"/>
        </w:rPr>
        <w:t>was </w:t>
      </w:r>
      <w:r>
        <w:rPr>
          <w:sz w:val="24"/>
        </w:rPr>
        <w:t>higher than at the time of the May </w:t>
      </w:r>
      <w:r>
        <w:rPr>
          <w:i/>
          <w:sz w:val="24"/>
        </w:rPr>
        <w:t>Inflation Report</w:t>
      </w:r>
      <w:r>
        <w:rPr>
          <w:sz w:val="24"/>
        </w:rPr>
        <w:t>, and if sustained, would tend to reduce inflationary pressures. But </w:t>
      </w:r>
      <w:r>
        <w:rPr>
          <w:spacing w:val="-5"/>
          <w:sz w:val="24"/>
        </w:rPr>
        <w:t>the </w:t>
      </w:r>
      <w:r>
        <w:rPr>
          <w:sz w:val="24"/>
        </w:rPr>
        <w:t>falls in equity markets had to be put in the context of the substantial price increases observed over the previous twelve months.  </w:t>
      </w:r>
      <w:r>
        <w:rPr>
          <w:spacing w:val="-4"/>
          <w:sz w:val="24"/>
        </w:rPr>
        <w:t>If </w:t>
      </w:r>
      <w:r>
        <w:rPr>
          <w:sz w:val="24"/>
        </w:rPr>
        <w:t>firms and households had assumed that some of </w:t>
      </w:r>
      <w:r>
        <w:rPr>
          <w:spacing w:val="-2"/>
          <w:sz w:val="24"/>
        </w:rPr>
        <w:t>the  </w:t>
      </w:r>
      <w:r>
        <w:rPr>
          <w:sz w:val="24"/>
        </w:rPr>
        <w:t>asset price increases over the past year were unlikely to be sustained, then they might not change their spending significantly in response to the recent price corrections, and the implications for inflation might therefore </w:t>
      </w:r>
      <w:r>
        <w:rPr>
          <w:spacing w:val="-3"/>
          <w:sz w:val="24"/>
        </w:rPr>
        <w:t>prove modest. </w:t>
      </w:r>
      <w:r>
        <w:rPr>
          <w:sz w:val="24"/>
        </w:rPr>
        <w:t>Despite the stability over the recent month, it was too early to </w:t>
      </w:r>
      <w:r>
        <w:rPr>
          <w:spacing w:val="-5"/>
          <w:sz w:val="24"/>
        </w:rPr>
        <w:t>know </w:t>
      </w:r>
      <w:r>
        <w:rPr>
          <w:sz w:val="24"/>
        </w:rPr>
        <w:t>whether the recent falls in prices would prove to be a limited correction or whether there would be a </w:t>
      </w:r>
      <w:r>
        <w:rPr>
          <w:spacing w:val="-3"/>
          <w:sz w:val="24"/>
        </w:rPr>
        <w:t>more </w:t>
      </w:r>
      <w:r>
        <w:rPr>
          <w:sz w:val="24"/>
        </w:rPr>
        <w:t>marked and sustained</w:t>
      </w:r>
      <w:r>
        <w:rPr>
          <w:spacing w:val="8"/>
          <w:sz w:val="24"/>
        </w:rPr>
        <w:t> </w:t>
      </w:r>
      <w:r>
        <w:rPr>
          <w:sz w:val="24"/>
        </w:rPr>
        <w:t>change.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39" w:firstLine="0"/>
        <w:jc w:val="left"/>
        <w:rPr>
          <w:sz w:val="24"/>
        </w:rPr>
      </w:pPr>
      <w:r>
        <w:rPr>
          <w:sz w:val="24"/>
        </w:rPr>
        <w:t>Developments in the world economy appeared to have been consistent with some signs of rebalancing</w:t>
      </w:r>
      <w:r>
        <w:rPr>
          <w:spacing w:val="-4"/>
          <w:sz w:val="24"/>
        </w:rPr>
        <w:t> </w:t>
      </w:r>
      <w:r>
        <w:rPr>
          <w:sz w:val="24"/>
        </w:rPr>
        <w:t>in</w:t>
      </w:r>
      <w:r>
        <w:rPr>
          <w:spacing w:val="-3"/>
          <w:sz w:val="24"/>
        </w:rPr>
        <w:t> </w:t>
      </w:r>
      <w:r>
        <w:rPr>
          <w:sz w:val="24"/>
        </w:rPr>
        <w:t>the</w:t>
      </w:r>
      <w:r>
        <w:rPr>
          <w:spacing w:val="-4"/>
          <w:sz w:val="24"/>
        </w:rPr>
        <w:t> </w:t>
      </w:r>
      <w:r>
        <w:rPr>
          <w:sz w:val="24"/>
        </w:rPr>
        <w:t>composition</w:t>
      </w:r>
      <w:r>
        <w:rPr>
          <w:spacing w:val="-3"/>
          <w:sz w:val="24"/>
        </w:rPr>
        <w:t> </w:t>
      </w:r>
      <w:r>
        <w:rPr>
          <w:sz w:val="24"/>
        </w:rPr>
        <w:t>of</w:t>
      </w:r>
      <w:r>
        <w:rPr>
          <w:spacing w:val="-3"/>
          <w:sz w:val="24"/>
        </w:rPr>
        <w:t> </w:t>
      </w:r>
      <w:r>
        <w:rPr>
          <w:sz w:val="24"/>
        </w:rPr>
        <w:t>world</w:t>
      </w:r>
      <w:r>
        <w:rPr>
          <w:spacing w:val="-4"/>
          <w:sz w:val="24"/>
        </w:rPr>
        <w:t> </w:t>
      </w:r>
      <w:r>
        <w:rPr>
          <w:sz w:val="24"/>
        </w:rPr>
        <w:t>demand,</w:t>
      </w:r>
      <w:r>
        <w:rPr>
          <w:spacing w:val="-3"/>
          <w:sz w:val="24"/>
        </w:rPr>
        <w:t> </w:t>
      </w:r>
      <w:r>
        <w:rPr>
          <w:sz w:val="24"/>
        </w:rPr>
        <w:t>with</w:t>
      </w:r>
      <w:r>
        <w:rPr>
          <w:spacing w:val="-3"/>
          <w:sz w:val="24"/>
        </w:rPr>
        <w:t> </w:t>
      </w:r>
      <w:r>
        <w:rPr>
          <w:sz w:val="24"/>
        </w:rPr>
        <w:t>a</w:t>
      </w:r>
      <w:r>
        <w:rPr>
          <w:spacing w:val="-4"/>
          <w:sz w:val="24"/>
        </w:rPr>
        <w:t> </w:t>
      </w:r>
      <w:r>
        <w:rPr>
          <w:sz w:val="24"/>
        </w:rPr>
        <w:t>pickup</w:t>
      </w:r>
      <w:r>
        <w:rPr>
          <w:spacing w:val="-3"/>
          <w:sz w:val="24"/>
        </w:rPr>
        <w:t> </w:t>
      </w:r>
      <w:r>
        <w:rPr>
          <w:sz w:val="24"/>
        </w:rPr>
        <w:t>in</w:t>
      </w:r>
      <w:r>
        <w:rPr>
          <w:spacing w:val="-4"/>
          <w:sz w:val="24"/>
        </w:rPr>
        <w:t> </w:t>
      </w:r>
      <w:r>
        <w:rPr>
          <w:sz w:val="24"/>
        </w:rPr>
        <w:t>the</w:t>
      </w:r>
      <w:r>
        <w:rPr>
          <w:spacing w:val="-3"/>
          <w:sz w:val="24"/>
        </w:rPr>
        <w:t> </w:t>
      </w:r>
      <w:r>
        <w:rPr>
          <w:sz w:val="24"/>
        </w:rPr>
        <w:t>pace</w:t>
      </w:r>
      <w:r>
        <w:rPr>
          <w:spacing w:val="-3"/>
          <w:sz w:val="24"/>
        </w:rPr>
        <w:t> </w:t>
      </w:r>
      <w:r>
        <w:rPr>
          <w:sz w:val="24"/>
        </w:rPr>
        <w:t>of</w:t>
      </w:r>
      <w:r>
        <w:rPr>
          <w:spacing w:val="-4"/>
          <w:sz w:val="24"/>
        </w:rPr>
        <w:t> </w:t>
      </w:r>
      <w:r>
        <w:rPr>
          <w:sz w:val="24"/>
        </w:rPr>
        <w:t>growth</w:t>
      </w:r>
      <w:r>
        <w:rPr>
          <w:spacing w:val="-3"/>
          <w:sz w:val="24"/>
        </w:rPr>
        <w:t> </w:t>
      </w:r>
      <w:r>
        <w:rPr>
          <w:sz w:val="24"/>
        </w:rPr>
        <w:t>in</w:t>
      </w:r>
      <w:r>
        <w:rPr>
          <w:spacing w:val="-3"/>
          <w:sz w:val="24"/>
        </w:rPr>
        <w:t> </w:t>
      </w:r>
      <w:r>
        <w:rPr>
          <w:sz w:val="24"/>
        </w:rPr>
        <w:t>the</w:t>
      </w:r>
      <w:r>
        <w:rPr>
          <w:spacing w:val="-4"/>
          <w:sz w:val="24"/>
        </w:rPr>
        <w:t> </w:t>
      </w:r>
      <w:r>
        <w:rPr>
          <w:sz w:val="24"/>
        </w:rPr>
        <w:t>euro</w:t>
      </w:r>
      <w:r>
        <w:rPr>
          <w:spacing w:val="-3"/>
          <w:sz w:val="24"/>
        </w:rPr>
        <w:t> </w:t>
      </w:r>
      <w:r>
        <w:rPr>
          <w:sz w:val="24"/>
        </w:rPr>
        <w:t>area and Asia and a possible slowdown in the United</w:t>
      </w:r>
      <w:r>
        <w:rPr>
          <w:spacing w:val="-4"/>
          <w:sz w:val="24"/>
        </w:rPr>
        <w:t> </w:t>
      </w:r>
      <w:r>
        <w:rPr>
          <w:sz w:val="24"/>
        </w:rPr>
        <w:t>States.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319" w:firstLine="0"/>
        <w:jc w:val="left"/>
        <w:rPr>
          <w:sz w:val="24"/>
        </w:rPr>
      </w:pPr>
      <w:r>
        <w:rPr>
          <w:sz w:val="24"/>
        </w:rPr>
        <w:t>In the United </w:t>
      </w:r>
      <w:r>
        <w:rPr>
          <w:spacing w:val="-4"/>
          <w:sz w:val="24"/>
        </w:rPr>
        <w:t>Kingdom, </w:t>
      </w:r>
      <w:r>
        <w:rPr>
          <w:sz w:val="24"/>
        </w:rPr>
        <w:t>the Quarterly National Accounts had not led to particularly large revisions by past standards, although the level of GDP was somewhat higher than previously estimated. But there was still considerable uncertainty about the National Accounts estimates for 2005, which had yet to be balanced. It was difficult </w:t>
      </w:r>
      <w:r>
        <w:rPr>
          <w:spacing w:val="-5"/>
          <w:sz w:val="24"/>
        </w:rPr>
        <w:t>to </w:t>
      </w:r>
      <w:r>
        <w:rPr>
          <w:sz w:val="24"/>
        </w:rPr>
        <w:t>reach firm conclusions about the implications of</w:t>
      </w:r>
      <w:r>
        <w:rPr>
          <w:spacing w:val="-13"/>
          <w:sz w:val="24"/>
        </w:rPr>
        <w:t> </w:t>
      </w:r>
      <w:r>
        <w:rPr>
          <w:sz w:val="24"/>
        </w:rPr>
        <w:t>the</w:t>
      </w:r>
      <w:r>
        <w:rPr>
          <w:spacing w:val="-5"/>
          <w:sz w:val="24"/>
        </w:rPr>
        <w:t> </w:t>
      </w:r>
      <w:r>
        <w:rPr>
          <w:sz w:val="24"/>
        </w:rPr>
        <w:t>revisions</w:t>
      </w:r>
      <w:r>
        <w:rPr>
          <w:spacing w:val="7"/>
          <w:sz w:val="24"/>
        </w:rPr>
        <w:t> </w:t>
      </w:r>
      <w:r>
        <w:rPr>
          <w:sz w:val="24"/>
        </w:rPr>
        <w:t>for</w:t>
      </w:r>
      <w:r>
        <w:rPr>
          <w:spacing w:val="-5"/>
          <w:sz w:val="24"/>
        </w:rPr>
        <w:t> </w:t>
      </w:r>
      <w:r>
        <w:rPr>
          <w:sz w:val="24"/>
        </w:rPr>
        <w:t>the</w:t>
      </w:r>
      <w:r>
        <w:rPr>
          <w:spacing w:val="-6"/>
          <w:sz w:val="24"/>
        </w:rPr>
        <w:t> </w:t>
      </w:r>
      <w:r>
        <w:rPr>
          <w:sz w:val="24"/>
        </w:rPr>
        <w:t>overall</w:t>
      </w:r>
      <w:r>
        <w:rPr>
          <w:spacing w:val="-1"/>
          <w:sz w:val="24"/>
        </w:rPr>
        <w:t> </w:t>
      </w:r>
      <w:r>
        <w:rPr>
          <w:sz w:val="24"/>
        </w:rPr>
        <w:t>balance</w:t>
      </w:r>
      <w:r>
        <w:rPr>
          <w:spacing w:val="-4"/>
          <w:sz w:val="24"/>
        </w:rPr>
        <w:t> </w:t>
      </w:r>
      <w:r>
        <w:rPr>
          <w:sz w:val="24"/>
        </w:rPr>
        <w:t>of</w:t>
      </w:r>
      <w:r>
        <w:rPr>
          <w:spacing w:val="-3"/>
          <w:sz w:val="24"/>
        </w:rPr>
        <w:t> </w:t>
      </w:r>
      <w:r>
        <w:rPr>
          <w:sz w:val="24"/>
        </w:rPr>
        <w:t>demand</w:t>
      </w:r>
      <w:r>
        <w:rPr>
          <w:spacing w:val="-4"/>
          <w:sz w:val="24"/>
        </w:rPr>
        <w:t> </w:t>
      </w:r>
      <w:r>
        <w:rPr>
          <w:sz w:val="24"/>
        </w:rPr>
        <w:t>and</w:t>
      </w:r>
      <w:r>
        <w:rPr>
          <w:spacing w:val="-3"/>
          <w:sz w:val="24"/>
        </w:rPr>
        <w:t> </w:t>
      </w:r>
      <w:r>
        <w:rPr>
          <w:sz w:val="24"/>
        </w:rPr>
        <w:t>supply</w:t>
      </w:r>
      <w:r>
        <w:rPr>
          <w:spacing w:val="-4"/>
          <w:sz w:val="24"/>
        </w:rPr>
        <w:t> </w:t>
      </w:r>
      <w:r>
        <w:rPr>
          <w:sz w:val="24"/>
        </w:rPr>
        <w:t>until</w:t>
      </w:r>
      <w:r>
        <w:rPr>
          <w:spacing w:val="-3"/>
          <w:sz w:val="24"/>
        </w:rPr>
        <w:t> </w:t>
      </w:r>
      <w:r>
        <w:rPr>
          <w:sz w:val="24"/>
        </w:rPr>
        <w:t>the</w:t>
      </w:r>
      <w:r>
        <w:rPr>
          <w:spacing w:val="-4"/>
          <w:sz w:val="24"/>
        </w:rPr>
        <w:t> </w:t>
      </w:r>
      <w:r>
        <w:rPr>
          <w:sz w:val="24"/>
        </w:rPr>
        <w:t>data</w:t>
      </w:r>
      <w:r>
        <w:rPr>
          <w:spacing w:val="-3"/>
          <w:sz w:val="24"/>
        </w:rPr>
        <w:t> </w:t>
      </w:r>
      <w:r>
        <w:rPr>
          <w:sz w:val="24"/>
        </w:rPr>
        <w:t>had</w:t>
      </w:r>
      <w:r>
        <w:rPr>
          <w:spacing w:val="-4"/>
          <w:sz w:val="24"/>
        </w:rPr>
        <w:t> </w:t>
      </w:r>
      <w:r>
        <w:rPr>
          <w:sz w:val="24"/>
        </w:rPr>
        <w:t>been</w:t>
      </w:r>
      <w:r>
        <w:rPr>
          <w:spacing w:val="-3"/>
          <w:sz w:val="24"/>
        </w:rPr>
        <w:t> </w:t>
      </w:r>
      <w:r>
        <w:rPr>
          <w:sz w:val="24"/>
        </w:rPr>
        <w:t>fully</w:t>
      </w:r>
      <w:r>
        <w:rPr>
          <w:spacing w:val="8"/>
          <w:sz w:val="24"/>
        </w:rPr>
        <w:t> </w:t>
      </w:r>
      <w:r>
        <w:rPr>
          <w:sz w:val="24"/>
        </w:rPr>
        <w:t>analysed</w:t>
      </w:r>
      <w:r>
        <w:rPr>
          <w:spacing w:val="-9"/>
          <w:sz w:val="24"/>
        </w:rPr>
        <w:t> </w:t>
      </w:r>
      <w:r>
        <w:rPr>
          <w:spacing w:val="-4"/>
          <w:sz w:val="24"/>
        </w:rPr>
        <w:t>in </w:t>
      </w:r>
      <w:r>
        <w:rPr>
          <w:sz w:val="24"/>
        </w:rPr>
        <w:t>the context of the </w:t>
      </w:r>
      <w:r>
        <w:rPr>
          <w:i/>
          <w:sz w:val="24"/>
        </w:rPr>
        <w:t>Inflation Report</w:t>
      </w:r>
      <w:r>
        <w:rPr>
          <w:i/>
          <w:spacing w:val="-11"/>
          <w:sz w:val="24"/>
        </w:rPr>
        <w:t> </w:t>
      </w:r>
      <w:r>
        <w:rPr>
          <w:spacing w:val="-4"/>
          <w:sz w:val="24"/>
        </w:rPr>
        <w:t>round.</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450" w:firstLine="0"/>
        <w:jc w:val="left"/>
        <w:rPr>
          <w:sz w:val="24"/>
        </w:rPr>
      </w:pPr>
      <w:r>
        <w:rPr>
          <w:sz w:val="24"/>
        </w:rPr>
        <w:t>On</w:t>
      </w:r>
      <w:r>
        <w:rPr>
          <w:spacing w:val="-4"/>
          <w:sz w:val="24"/>
        </w:rPr>
        <w:t> </w:t>
      </w:r>
      <w:r>
        <w:rPr>
          <w:sz w:val="24"/>
        </w:rPr>
        <w:t>the</w:t>
      </w:r>
      <w:r>
        <w:rPr>
          <w:spacing w:val="-4"/>
          <w:sz w:val="24"/>
        </w:rPr>
        <w:t> </w:t>
      </w:r>
      <w:r>
        <w:rPr>
          <w:sz w:val="24"/>
        </w:rPr>
        <w:t>expenditure</w:t>
      </w:r>
      <w:r>
        <w:rPr>
          <w:spacing w:val="-3"/>
          <w:sz w:val="24"/>
        </w:rPr>
        <w:t> </w:t>
      </w:r>
      <w:r>
        <w:rPr>
          <w:sz w:val="24"/>
        </w:rPr>
        <w:t>side,</w:t>
      </w:r>
      <w:r>
        <w:rPr>
          <w:spacing w:val="-4"/>
          <w:sz w:val="24"/>
        </w:rPr>
        <w:t> </w:t>
      </w:r>
      <w:r>
        <w:rPr>
          <w:sz w:val="24"/>
        </w:rPr>
        <w:t>the</w:t>
      </w:r>
      <w:r>
        <w:rPr>
          <w:spacing w:val="-3"/>
          <w:sz w:val="24"/>
        </w:rPr>
        <w:t> </w:t>
      </w:r>
      <w:r>
        <w:rPr>
          <w:sz w:val="24"/>
        </w:rPr>
        <w:t>slowdown</w:t>
      </w:r>
      <w:r>
        <w:rPr>
          <w:spacing w:val="-4"/>
          <w:sz w:val="24"/>
        </w:rPr>
        <w:t> </w:t>
      </w:r>
      <w:r>
        <w:rPr>
          <w:sz w:val="24"/>
        </w:rPr>
        <w:t>in</w:t>
      </w:r>
      <w:r>
        <w:rPr>
          <w:spacing w:val="-4"/>
          <w:sz w:val="24"/>
        </w:rPr>
        <w:t> </w:t>
      </w:r>
      <w:r>
        <w:rPr>
          <w:sz w:val="24"/>
        </w:rPr>
        <w:t>consumption</w:t>
      </w:r>
      <w:r>
        <w:rPr>
          <w:spacing w:val="-3"/>
          <w:sz w:val="24"/>
        </w:rPr>
        <w:t> </w:t>
      </w:r>
      <w:r>
        <w:rPr>
          <w:sz w:val="24"/>
        </w:rPr>
        <w:t>in</w:t>
      </w:r>
      <w:r>
        <w:rPr>
          <w:spacing w:val="-4"/>
          <w:sz w:val="24"/>
        </w:rPr>
        <w:t> </w:t>
      </w:r>
      <w:r>
        <w:rPr>
          <w:sz w:val="24"/>
        </w:rPr>
        <w:t>2005</w:t>
      </w:r>
      <w:r>
        <w:rPr>
          <w:spacing w:val="-3"/>
          <w:sz w:val="24"/>
        </w:rPr>
        <w:t> </w:t>
      </w:r>
      <w:r>
        <w:rPr>
          <w:sz w:val="24"/>
        </w:rPr>
        <w:t>now</w:t>
      </w:r>
      <w:r>
        <w:rPr>
          <w:spacing w:val="-4"/>
          <w:sz w:val="24"/>
        </w:rPr>
        <w:t> </w:t>
      </w:r>
      <w:r>
        <w:rPr>
          <w:sz w:val="24"/>
        </w:rPr>
        <w:t>looked</w:t>
      </w:r>
      <w:r>
        <w:rPr>
          <w:spacing w:val="-3"/>
          <w:sz w:val="24"/>
        </w:rPr>
        <w:t> </w:t>
      </w:r>
      <w:r>
        <w:rPr>
          <w:sz w:val="24"/>
        </w:rPr>
        <w:t>more</w:t>
      </w:r>
      <w:r>
        <w:rPr>
          <w:spacing w:val="-4"/>
          <w:sz w:val="24"/>
        </w:rPr>
        <w:t> </w:t>
      </w:r>
      <w:r>
        <w:rPr>
          <w:sz w:val="24"/>
        </w:rPr>
        <w:t>pronounced. Business investment had been revised up a little, but by much less than expected and remained relatively subdued in the recent past. There was little significant news for net</w:t>
      </w:r>
      <w:r>
        <w:rPr>
          <w:spacing w:val="-21"/>
          <w:sz w:val="24"/>
        </w:rPr>
        <w:t> </w:t>
      </w:r>
      <w:r>
        <w:rPr>
          <w:sz w:val="24"/>
        </w:rPr>
        <w:t>trade.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28" w:firstLine="0"/>
        <w:jc w:val="left"/>
        <w:rPr>
          <w:sz w:val="24"/>
        </w:rPr>
      </w:pPr>
      <w:r>
        <w:rPr>
          <w:sz w:val="24"/>
        </w:rPr>
        <w:t>GDP growth had been revised up slightly over the past six months, broadly as expected on the basis of the survey and anecdotal evidence. And the latest indicators still pointed to stronger GDP growth in the second quarter.</w:t>
      </w:r>
      <w:r>
        <w:rPr>
          <w:spacing w:val="-14"/>
          <w:sz w:val="24"/>
        </w:rPr>
        <w:t> </w:t>
      </w:r>
      <w:r>
        <w:rPr>
          <w:sz w:val="24"/>
        </w:rPr>
        <w:t>So the overall picture for the near-term prospects for output did not look materially different from that expected at the time of the May </w:t>
      </w:r>
      <w:r>
        <w:rPr>
          <w:i/>
          <w:sz w:val="24"/>
        </w:rPr>
        <w:t>Report</w:t>
      </w:r>
      <w:r>
        <w:rPr>
          <w:sz w:val="24"/>
        </w:rPr>
        <w:t>. The latest consumption indicators appeared to be consistent with stronger growth in Q2, following the weakness in Q1. The latest survey indicators, and demand developments in the euro area, still suggested an upbeat outlook for exports. But it remained difficult to reconcile fully the movements in the output and expenditure measures of GDP over the past few</w:t>
      </w:r>
      <w:r>
        <w:rPr>
          <w:spacing w:val="-2"/>
          <w:sz w:val="24"/>
        </w:rPr>
        <w:t> </w:t>
      </w:r>
      <w:r>
        <w:rPr>
          <w:sz w:val="24"/>
        </w:rPr>
        <w:t>quarters.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20" w:firstLine="0"/>
        <w:jc w:val="left"/>
        <w:rPr>
          <w:sz w:val="24"/>
        </w:rPr>
      </w:pPr>
      <w:r>
        <w:rPr>
          <w:sz w:val="24"/>
        </w:rPr>
        <w:t>Producer </w:t>
      </w:r>
      <w:r>
        <w:rPr>
          <w:spacing w:val="-3"/>
          <w:sz w:val="24"/>
        </w:rPr>
        <w:t>input </w:t>
      </w:r>
      <w:r>
        <w:rPr>
          <w:sz w:val="24"/>
        </w:rPr>
        <w:t>price inflation and import price inflation </w:t>
      </w:r>
      <w:r>
        <w:rPr>
          <w:spacing w:val="2"/>
          <w:sz w:val="24"/>
        </w:rPr>
        <w:t>were </w:t>
      </w:r>
      <w:r>
        <w:rPr>
          <w:sz w:val="24"/>
        </w:rPr>
        <w:t>high by recent historical standards, and the surveys of manufacturing and services prices </w:t>
      </w:r>
      <w:r>
        <w:rPr>
          <w:spacing w:val="-3"/>
          <w:sz w:val="24"/>
        </w:rPr>
        <w:t>were still firm. </w:t>
      </w:r>
      <w:r>
        <w:rPr>
          <w:sz w:val="24"/>
        </w:rPr>
        <w:t>Earnings growth remained subdued, perhaps as firms squeezed labour costs in the face of rising input and import prices. The expansion of the labour force with continued inflows of migrant workers and rising participation rates may have also acted to subdue wage growth. </w:t>
      </w:r>
      <w:r>
        <w:rPr>
          <w:spacing w:val="-4"/>
          <w:sz w:val="24"/>
        </w:rPr>
        <w:t>The </w:t>
      </w:r>
      <w:r>
        <w:rPr>
          <w:sz w:val="24"/>
        </w:rPr>
        <w:t>immediate prospects for real labour income were bolstered by slightly stronger employment growth than had been expected. CPI inflation had risen </w:t>
      </w:r>
      <w:r>
        <w:rPr>
          <w:spacing w:val="-3"/>
          <w:sz w:val="24"/>
        </w:rPr>
        <w:t>recently, </w:t>
      </w:r>
      <w:r>
        <w:rPr>
          <w:sz w:val="24"/>
        </w:rPr>
        <w:t>but broadly as expected at the time of the </w:t>
      </w:r>
      <w:r>
        <w:rPr>
          <w:i/>
          <w:sz w:val="24"/>
        </w:rPr>
        <w:t>Inflation Report</w:t>
      </w:r>
      <w:r>
        <w:rPr>
          <w:sz w:val="24"/>
        </w:rPr>
        <w:t>. The general public’s </w:t>
      </w:r>
      <w:r>
        <w:rPr>
          <w:spacing w:val="-3"/>
          <w:sz w:val="24"/>
        </w:rPr>
        <w:t>inflation </w:t>
      </w:r>
      <w:r>
        <w:rPr>
          <w:sz w:val="24"/>
        </w:rPr>
        <w:t>expectations appeared to have edged down following the rise earlier in the year, increasing </w:t>
      </w:r>
      <w:r>
        <w:rPr>
          <w:spacing w:val="-2"/>
          <w:sz w:val="24"/>
        </w:rPr>
        <w:t>the </w:t>
      </w:r>
      <w:r>
        <w:rPr>
          <w:sz w:val="24"/>
        </w:rPr>
        <w:t>probability that the rise would prove</w:t>
      </w:r>
      <w:r>
        <w:rPr>
          <w:spacing w:val="-4"/>
          <w:sz w:val="24"/>
        </w:rPr>
        <w:t> </w:t>
      </w:r>
      <w:r>
        <w:rPr>
          <w:sz w:val="24"/>
        </w:rPr>
        <w:t>temporary.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529" w:firstLine="0"/>
        <w:jc w:val="left"/>
        <w:rPr>
          <w:sz w:val="24"/>
        </w:rPr>
      </w:pPr>
      <w:r>
        <w:rPr>
          <w:sz w:val="24"/>
        </w:rPr>
        <w:t>The upside risks to </w:t>
      </w:r>
      <w:r>
        <w:rPr>
          <w:spacing w:val="-5"/>
          <w:sz w:val="24"/>
        </w:rPr>
        <w:t>the </w:t>
      </w:r>
      <w:r>
        <w:rPr>
          <w:sz w:val="24"/>
        </w:rPr>
        <w:t>outlook for inflation were broadly the same as those identified by the Committee the previous month. Growth in the euro area and Asia might well turn out stronger than had been assumed in the May </w:t>
      </w:r>
      <w:r>
        <w:rPr>
          <w:i/>
          <w:sz w:val="24"/>
        </w:rPr>
        <w:t>Inflation Report</w:t>
      </w:r>
      <w:r>
        <w:rPr>
          <w:sz w:val="24"/>
        </w:rPr>
        <w:t>, and associated with this was the risk that</w:t>
      </w:r>
      <w:r>
        <w:rPr>
          <w:spacing w:val="-28"/>
          <w:sz w:val="24"/>
        </w:rPr>
        <w:t> </w:t>
      </w:r>
      <w:r>
        <w:rPr>
          <w:sz w:val="24"/>
        </w:rPr>
        <w:t>global</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15"/>
      </w:pPr>
      <w:r>
        <w:rPr/>
        <w:t>inflationary pressures might turn out to be stronger than expected. Although broad money growth had recently eased, its past and continuing strength, together with the sharp increases in property and financial asset prices over the past year, was still a risk to inflation in the medium term. The apparent inverse relationship between energy and import prices on the one hand and estimates of domestically generated inflation on the other – with aggregate inflation broadly stable – was striking. This seemed to reduce the probability that inflation might for a while settle below the target as energy effects on CPI inflation dissipated.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There </w:t>
      </w:r>
      <w:r>
        <w:rPr>
          <w:spacing w:val="2"/>
          <w:sz w:val="24"/>
        </w:rPr>
        <w:t>were </w:t>
      </w:r>
      <w:r>
        <w:rPr>
          <w:sz w:val="24"/>
        </w:rPr>
        <w:t>also a number of downside risks to the outlook for </w:t>
      </w:r>
      <w:r>
        <w:rPr>
          <w:spacing w:val="-3"/>
          <w:sz w:val="24"/>
        </w:rPr>
        <w:t>inflation. </w:t>
      </w:r>
      <w:r>
        <w:rPr>
          <w:sz w:val="24"/>
        </w:rPr>
        <w:t>There was a risk that asset prices might fall further in coming months. The slowdown in the United States might prove more pronounced tha n had been assumed in </w:t>
      </w:r>
      <w:r>
        <w:rPr>
          <w:spacing w:val="-6"/>
          <w:sz w:val="24"/>
        </w:rPr>
        <w:t>May, </w:t>
      </w:r>
      <w:r>
        <w:rPr>
          <w:sz w:val="24"/>
        </w:rPr>
        <w:t>and could adversely affect growth in other </w:t>
      </w:r>
      <w:r>
        <w:rPr>
          <w:spacing w:val="-4"/>
          <w:sz w:val="24"/>
        </w:rPr>
        <w:t>UK </w:t>
      </w:r>
      <w:r>
        <w:rPr>
          <w:sz w:val="24"/>
        </w:rPr>
        <w:t>markets, especially the euro area. In the </w:t>
      </w:r>
      <w:r>
        <w:rPr>
          <w:spacing w:val="-5"/>
          <w:sz w:val="24"/>
        </w:rPr>
        <w:t>United </w:t>
      </w:r>
      <w:r>
        <w:rPr>
          <w:sz w:val="24"/>
        </w:rPr>
        <w:t>Kingdom, although Q1 growth had been revised up slightly, and Q2 output indicators remained robust, there remained a risk that the erosion of spare capacity in the economy would be slower than envisaged in the May </w:t>
      </w:r>
      <w:r>
        <w:rPr>
          <w:i/>
          <w:sz w:val="24"/>
        </w:rPr>
        <w:t>Inflation Report</w:t>
      </w:r>
      <w:r>
        <w:rPr>
          <w:sz w:val="24"/>
        </w:rPr>
        <w:t>. </w:t>
      </w:r>
      <w:r>
        <w:rPr>
          <w:spacing w:val="-5"/>
          <w:sz w:val="24"/>
        </w:rPr>
        <w:t>The </w:t>
      </w:r>
      <w:r>
        <w:rPr>
          <w:sz w:val="24"/>
        </w:rPr>
        <w:t>combination</w:t>
      </w:r>
      <w:r>
        <w:rPr>
          <w:spacing w:val="-5"/>
          <w:sz w:val="24"/>
        </w:rPr>
        <w:t> </w:t>
      </w:r>
      <w:r>
        <w:rPr>
          <w:sz w:val="24"/>
        </w:rPr>
        <w:t>of</w:t>
      </w:r>
      <w:r>
        <w:rPr>
          <w:spacing w:val="-4"/>
          <w:sz w:val="24"/>
        </w:rPr>
        <w:t> </w:t>
      </w:r>
      <w:r>
        <w:rPr>
          <w:sz w:val="24"/>
        </w:rPr>
        <w:t>higher</w:t>
      </w:r>
      <w:r>
        <w:rPr>
          <w:spacing w:val="-5"/>
          <w:sz w:val="24"/>
        </w:rPr>
        <w:t> </w:t>
      </w:r>
      <w:r>
        <w:rPr>
          <w:sz w:val="24"/>
        </w:rPr>
        <w:t>participation</w:t>
      </w:r>
      <w:r>
        <w:rPr>
          <w:spacing w:val="-4"/>
          <w:sz w:val="24"/>
        </w:rPr>
        <w:t> </w:t>
      </w:r>
      <w:r>
        <w:rPr>
          <w:sz w:val="24"/>
        </w:rPr>
        <w:t>and</w:t>
      </w:r>
      <w:r>
        <w:rPr>
          <w:spacing w:val="-5"/>
          <w:sz w:val="24"/>
        </w:rPr>
        <w:t> </w:t>
      </w:r>
      <w:r>
        <w:rPr>
          <w:sz w:val="24"/>
        </w:rPr>
        <w:t>weaker</w:t>
      </w:r>
      <w:r>
        <w:rPr>
          <w:spacing w:val="-4"/>
          <w:sz w:val="24"/>
        </w:rPr>
        <w:t> </w:t>
      </w:r>
      <w:r>
        <w:rPr>
          <w:sz w:val="24"/>
        </w:rPr>
        <w:t>earnings</w:t>
      </w:r>
      <w:r>
        <w:rPr>
          <w:spacing w:val="-5"/>
          <w:sz w:val="24"/>
        </w:rPr>
        <w:t> </w:t>
      </w:r>
      <w:r>
        <w:rPr>
          <w:sz w:val="24"/>
        </w:rPr>
        <w:t>in</w:t>
      </w:r>
      <w:r>
        <w:rPr>
          <w:spacing w:val="-4"/>
          <w:sz w:val="24"/>
        </w:rPr>
        <w:t> </w:t>
      </w:r>
      <w:r>
        <w:rPr>
          <w:sz w:val="24"/>
        </w:rPr>
        <w:t>the</w:t>
      </w:r>
      <w:r>
        <w:rPr>
          <w:spacing w:val="-4"/>
          <w:sz w:val="24"/>
        </w:rPr>
        <w:t> </w:t>
      </w:r>
      <w:r>
        <w:rPr>
          <w:sz w:val="24"/>
        </w:rPr>
        <w:t>latest</w:t>
      </w:r>
      <w:r>
        <w:rPr>
          <w:spacing w:val="-5"/>
          <w:sz w:val="24"/>
        </w:rPr>
        <w:t> </w:t>
      </w:r>
      <w:r>
        <w:rPr>
          <w:sz w:val="24"/>
        </w:rPr>
        <w:t>data</w:t>
      </w:r>
      <w:r>
        <w:rPr>
          <w:spacing w:val="-4"/>
          <w:sz w:val="24"/>
        </w:rPr>
        <w:t> </w:t>
      </w:r>
      <w:r>
        <w:rPr>
          <w:sz w:val="24"/>
        </w:rPr>
        <w:t>was</w:t>
      </w:r>
      <w:r>
        <w:rPr>
          <w:spacing w:val="-5"/>
          <w:sz w:val="24"/>
        </w:rPr>
        <w:t> </w:t>
      </w:r>
      <w:r>
        <w:rPr>
          <w:sz w:val="24"/>
        </w:rPr>
        <w:t>perhaps</w:t>
      </w:r>
      <w:r>
        <w:rPr>
          <w:spacing w:val="-4"/>
          <w:sz w:val="24"/>
        </w:rPr>
        <w:t> </w:t>
      </w:r>
      <w:r>
        <w:rPr>
          <w:sz w:val="24"/>
        </w:rPr>
        <w:t>suggestive</w:t>
      </w:r>
      <w:r>
        <w:rPr>
          <w:spacing w:val="-5"/>
          <w:sz w:val="24"/>
        </w:rPr>
        <w:t> </w:t>
      </w:r>
      <w:r>
        <w:rPr>
          <w:sz w:val="24"/>
        </w:rPr>
        <w:t>of</w:t>
      </w:r>
      <w:r>
        <w:rPr>
          <w:spacing w:val="-4"/>
          <w:sz w:val="24"/>
        </w:rPr>
        <w:t> </w:t>
      </w:r>
      <w:r>
        <w:rPr>
          <w:sz w:val="24"/>
        </w:rPr>
        <w:t>a positive supply </w:t>
      </w:r>
      <w:r>
        <w:rPr>
          <w:spacing w:val="-4"/>
          <w:sz w:val="24"/>
        </w:rPr>
        <w:t>shock.</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7" w:right="544" w:firstLine="0"/>
        <w:jc w:val="left"/>
        <w:rPr>
          <w:sz w:val="24"/>
        </w:rPr>
      </w:pPr>
      <w:r>
        <w:rPr>
          <w:sz w:val="24"/>
        </w:rPr>
        <w:t>Different committee members attached different weights to those arguments. But given that recent developments had seemed broadly in line with the May </w:t>
      </w:r>
      <w:r>
        <w:rPr>
          <w:i/>
          <w:sz w:val="24"/>
        </w:rPr>
        <w:t>Inflation Report</w:t>
      </w:r>
      <w:r>
        <w:rPr>
          <w:sz w:val="24"/>
        </w:rPr>
        <w:t>, and that there were significant</w:t>
      </w:r>
      <w:r>
        <w:rPr>
          <w:spacing w:val="-4"/>
          <w:sz w:val="24"/>
        </w:rPr>
        <w:t> </w:t>
      </w:r>
      <w:r>
        <w:rPr>
          <w:sz w:val="24"/>
        </w:rPr>
        <w:t>risks</w:t>
      </w:r>
      <w:r>
        <w:rPr>
          <w:spacing w:val="-3"/>
          <w:sz w:val="24"/>
        </w:rPr>
        <w:t> </w:t>
      </w:r>
      <w:r>
        <w:rPr>
          <w:sz w:val="24"/>
        </w:rPr>
        <w:t>in</w:t>
      </w:r>
      <w:r>
        <w:rPr>
          <w:spacing w:val="-3"/>
          <w:sz w:val="24"/>
        </w:rPr>
        <w:t> </w:t>
      </w:r>
      <w:r>
        <w:rPr>
          <w:sz w:val="24"/>
        </w:rPr>
        <w:t>both</w:t>
      </w:r>
      <w:r>
        <w:rPr>
          <w:spacing w:val="-3"/>
          <w:sz w:val="24"/>
        </w:rPr>
        <w:t> </w:t>
      </w:r>
      <w:r>
        <w:rPr>
          <w:sz w:val="24"/>
        </w:rPr>
        <w:t>directions,</w:t>
      </w:r>
      <w:r>
        <w:rPr>
          <w:spacing w:val="-3"/>
          <w:sz w:val="24"/>
        </w:rPr>
        <w:t> </w:t>
      </w:r>
      <w:r>
        <w:rPr>
          <w:sz w:val="24"/>
        </w:rPr>
        <w:t>members</w:t>
      </w:r>
      <w:r>
        <w:rPr>
          <w:spacing w:val="-3"/>
          <w:sz w:val="24"/>
        </w:rPr>
        <w:t> </w:t>
      </w:r>
      <w:r>
        <w:rPr>
          <w:sz w:val="24"/>
        </w:rPr>
        <w:t>felt</w:t>
      </w:r>
      <w:r>
        <w:rPr>
          <w:spacing w:val="-3"/>
          <w:sz w:val="24"/>
        </w:rPr>
        <w:t> </w:t>
      </w:r>
      <w:r>
        <w:rPr>
          <w:sz w:val="24"/>
        </w:rPr>
        <w:t>that</w:t>
      </w:r>
      <w:r>
        <w:rPr>
          <w:spacing w:val="-3"/>
          <w:sz w:val="24"/>
        </w:rPr>
        <w:t> </w:t>
      </w:r>
      <w:r>
        <w:rPr>
          <w:sz w:val="24"/>
        </w:rPr>
        <w:t>the</w:t>
      </w:r>
      <w:r>
        <w:rPr>
          <w:spacing w:val="-3"/>
          <w:sz w:val="24"/>
        </w:rPr>
        <w:t> </w:t>
      </w:r>
      <w:r>
        <w:rPr>
          <w:sz w:val="24"/>
        </w:rPr>
        <w:t>interest</w:t>
      </w:r>
      <w:r>
        <w:rPr>
          <w:spacing w:val="-3"/>
          <w:sz w:val="24"/>
        </w:rPr>
        <w:t> </w:t>
      </w:r>
      <w:r>
        <w:rPr>
          <w:sz w:val="24"/>
        </w:rPr>
        <w:t>rate</w:t>
      </w:r>
      <w:r>
        <w:rPr>
          <w:spacing w:val="-3"/>
          <w:sz w:val="24"/>
        </w:rPr>
        <w:t> </w:t>
      </w:r>
      <w:r>
        <w:rPr>
          <w:sz w:val="24"/>
        </w:rPr>
        <w:t>should</w:t>
      </w:r>
      <w:r>
        <w:rPr>
          <w:spacing w:val="-3"/>
          <w:sz w:val="24"/>
        </w:rPr>
        <w:t> </w:t>
      </w:r>
      <w:r>
        <w:rPr>
          <w:sz w:val="24"/>
        </w:rPr>
        <w:t>remain</w:t>
      </w:r>
      <w:r>
        <w:rPr>
          <w:spacing w:val="-3"/>
          <w:sz w:val="24"/>
        </w:rPr>
        <w:t> </w:t>
      </w:r>
      <w:r>
        <w:rPr>
          <w:sz w:val="24"/>
        </w:rPr>
        <w:t>unchanged</w:t>
      </w:r>
      <w:r>
        <w:rPr>
          <w:spacing w:val="-4"/>
          <w:sz w:val="24"/>
        </w:rPr>
        <w:t> </w:t>
      </w:r>
      <w:r>
        <w:rPr>
          <w:sz w:val="24"/>
        </w:rPr>
        <w:t>this </w:t>
      </w:r>
      <w:r>
        <w:rPr>
          <w:spacing w:val="-5"/>
          <w:sz w:val="24"/>
        </w:rPr>
        <w:t>month.</w:t>
      </w:r>
    </w:p>
    <w:p>
      <w:pPr>
        <w:pStyle w:val="BodyText"/>
        <w:spacing w:before="5"/>
        <w:rPr>
          <w:sz w:val="36"/>
        </w:rPr>
      </w:pPr>
    </w:p>
    <w:p>
      <w:pPr>
        <w:pStyle w:val="ListParagraph"/>
        <w:numPr>
          <w:ilvl w:val="0"/>
          <w:numId w:val="1"/>
        </w:numPr>
        <w:tabs>
          <w:tab w:pos="931" w:val="left" w:leader="none"/>
          <w:tab w:pos="932" w:val="left" w:leader="none"/>
        </w:tabs>
        <w:spacing w:line="364" w:lineRule="auto" w:before="1" w:after="0"/>
        <w:ind w:left="367" w:right="220" w:firstLine="0"/>
        <w:jc w:val="left"/>
        <w:rPr>
          <w:sz w:val="24"/>
        </w:rPr>
      </w:pPr>
      <w:r>
        <w:rPr>
          <w:spacing w:val="-6"/>
          <w:sz w:val="24"/>
        </w:rPr>
        <w:t>The </w:t>
      </w:r>
      <w:r>
        <w:rPr>
          <w:sz w:val="24"/>
        </w:rPr>
        <w:t>Governor invited the Committee to vote on the proposition that the official Bank rate should be maintained at 4.5%. The Committee voted unanimously in favour of the</w:t>
      </w:r>
      <w:r>
        <w:rPr>
          <w:spacing w:val="-9"/>
          <w:sz w:val="24"/>
        </w:rPr>
        <w:t> </w:t>
      </w:r>
      <w:r>
        <w:rPr>
          <w:sz w:val="24"/>
        </w:rPr>
        <w:t>proposition.</w:t>
      </w:r>
    </w:p>
    <w:p>
      <w:pPr>
        <w:pStyle w:val="ListParagraph"/>
        <w:numPr>
          <w:ilvl w:val="0"/>
          <w:numId w:val="1"/>
        </w:numPr>
        <w:tabs>
          <w:tab w:pos="931" w:val="left" w:leader="none"/>
          <w:tab w:pos="932" w:val="left" w:leader="none"/>
        </w:tabs>
        <w:spacing w:line="550" w:lineRule="atLeast" w:before="123"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9"/>
          <w:sz w:val="24"/>
        </w:rPr>
        <w:t> </w:t>
      </w:r>
      <w:r>
        <w:rPr>
          <w:spacing w:val="-3"/>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pPr>
      <w:r>
        <w:rPr/>
        <w:t>Charles Bean</w:t>
      </w:r>
    </w:p>
    <w:p>
      <w:pPr>
        <w:pStyle w:val="BodyText"/>
        <w:ind w:left="367" w:right="8100"/>
      </w:pPr>
      <w:r>
        <w:rPr/>
        <w:t>David Blanchflower Paul Tucker</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794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4"/>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 </dc:subject>
  <dc:title>Minutes of the Monetary Policy Committee Meeting held on 5 &amp; 6 July 2006</dc:title>
  <dcterms:created xsi:type="dcterms:W3CDTF">2020-06-02T20:46:33Z</dcterms:created>
  <dcterms:modified xsi:type="dcterms:W3CDTF">2020-06-02T20:46:33Z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2006-07-18T00:00:00Z</vt:filetime>
  </property>
  <property fmtid="{D5CDD505-2E9C-101B-9397-08002B2CF9AE}" pid="3" name="Creator">
    <vt:lpwstr>FINAL Minutes - tuesday 18 July - Microsoft Word</vt:lpwstr>
  </property>
  <property fmtid="{D5CDD505-2E9C-101B-9397-08002B2CF9AE}" pid="4" name="LastSaved">
    <vt:filetime>2020-06-02T00:00:00Z</vt:filetime>
  </property>
</Properties>
</file>