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16 July 1997</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157286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MONETAPY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pStyle w:val="Title"/>
      </w:pPr>
      <w:r>
        <w:rPr>
          <w:color w:val="231F20"/>
        </w:rPr>
        <w:t>5 and 6 June</w:t>
      </w:r>
      <w:r>
        <w:rPr>
          <w:color w:val="231F20"/>
          <w:spacing w:val="-57"/>
        </w:rPr>
        <w:t> </w:t>
      </w:r>
      <w:r>
        <w:rPr>
          <w:color w:val="231F20"/>
        </w:rPr>
        <w:t>199V</w:t>
      </w:r>
    </w:p>
    <w:p>
      <w:pPr>
        <w:pStyle w:val="BodyText"/>
        <w:spacing w:before="4"/>
        <w:rPr>
          <w:rFonts w:ascii="Arial"/>
          <w:b/>
          <w:sz w:val="15"/>
        </w:rPr>
      </w:pPr>
      <w:r>
        <w:rPr/>
        <w:pict>
          <v:group style="position:absolute;margin-left:49pt;margin-top:10.850547pt;width:497.25pt;height:3.95pt;mso-position-horizontal-relative:page;mso-position-vertical-relative:paragraph;z-index:-15728128;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19" w:firstLine="0"/>
        <w:jc w:val="left"/>
        <w:rPr>
          <w:rFonts w:ascii="Arial" w:hAnsi="Arial"/>
          <w:sz w:val="26"/>
        </w:rPr>
      </w:pPr>
      <w:r>
        <w:rPr>
          <w:rFonts w:ascii="Arial" w:hAnsi="Arial"/>
          <w:color w:val="231F20"/>
          <w:sz w:val="26"/>
        </w:rPr>
        <w:t>†kese are tke minutes ol tke Monetary Policy Committee meeting keld on 5 and 6 June</w:t>
      </w:r>
      <w:r>
        <w:rPr>
          <w:rFonts w:ascii="Arial" w:hAnsi="Arial"/>
          <w:color w:val="231F20"/>
          <w:spacing w:val="-11"/>
          <w:sz w:val="26"/>
        </w:rPr>
        <w:t> </w:t>
      </w:r>
      <w:r>
        <w:rPr>
          <w:rFonts w:ascii="Arial" w:hAnsi="Arial"/>
          <w:color w:val="231F20"/>
          <w:sz w:val="26"/>
        </w:rPr>
        <w:t>1997.</w:t>
      </w:r>
    </w:p>
    <w:p>
      <w:pPr>
        <w:spacing w:before="2"/>
        <w:ind w:left="100" w:right="0" w:firstLine="0"/>
        <w:jc w:val="left"/>
        <w:rPr>
          <w:rFonts w:ascii="Arial" w:hAnsi="Arial"/>
          <w:sz w:val="26"/>
        </w:rPr>
      </w:pPr>
      <w:r>
        <w:rPr>
          <w:rFonts w:ascii="Arial" w:hAnsi="Arial"/>
          <w:color w:val="231F20"/>
          <w:w w:val="105"/>
          <w:sz w:val="26"/>
        </w:rPr>
        <w:t>†key are also available on tke Internet (kttp://www.bankolengland.co.uk.).</w:t>
      </w:r>
    </w:p>
    <w:p>
      <w:pPr>
        <w:pStyle w:val="BodyText"/>
        <w:spacing w:before="2"/>
        <w:rPr>
          <w:rFonts w:ascii="Arial"/>
          <w:sz w:val="26"/>
        </w:rPr>
      </w:pPr>
    </w:p>
    <w:p>
      <w:pPr>
        <w:spacing w:line="288" w:lineRule="auto" w:before="0"/>
        <w:ind w:left="100" w:right="258" w:firstLine="0"/>
        <w:jc w:val="left"/>
        <w:rPr>
          <w:rFonts w:ascii="Arial" w:hAnsi="Arial"/>
          <w:sz w:val="26"/>
        </w:rPr>
      </w:pPr>
      <w:r>
        <w:rPr>
          <w:rFonts w:ascii="Arial" w:hAnsi="Arial"/>
          <w:color w:val="231F20"/>
          <w:sz w:val="26"/>
        </w:rPr>
        <w:t>†ke Ckancellor ol tke Kxckequer announced on 6 May tkat tke Government was  giving tke Bank ol Kngland operational responsibility lor setting interest rates to meet tke Government’s inllation target. Operational decisions are taken by tke Bank’s Monetary Policy Committee. †ke Committee meets on a regular montkly basis and minutes ol its meetings are released no later tkan 6 weeks alter eack</w:t>
      </w:r>
      <w:r>
        <w:rPr>
          <w:rFonts w:ascii="Arial" w:hAnsi="Arial"/>
          <w:color w:val="231F20"/>
          <w:spacing w:val="-27"/>
          <w:sz w:val="26"/>
        </w:rPr>
        <w:t> </w:t>
      </w:r>
      <w:r>
        <w:rPr>
          <w:rFonts w:ascii="Arial" w:hAnsi="Arial"/>
          <w:color w:val="231F20"/>
          <w:sz w:val="26"/>
        </w:rPr>
        <w:t>meeting.</w:t>
      </w:r>
    </w:p>
    <w:p>
      <w:pPr>
        <w:spacing w:line="288" w:lineRule="auto" w:before="7"/>
        <w:ind w:left="100" w:right="685" w:firstLine="0"/>
        <w:jc w:val="left"/>
        <w:rPr>
          <w:rFonts w:ascii="Arial"/>
          <w:sz w:val="26"/>
        </w:rPr>
      </w:pPr>
      <w:r>
        <w:rPr>
          <w:rFonts w:ascii="Arial"/>
          <w:color w:val="231F20"/>
          <w:spacing w:val="-3"/>
          <w:w w:val="105"/>
          <w:sz w:val="26"/>
        </w:rPr>
        <w:t>Accordingly,</w:t>
      </w:r>
      <w:r>
        <w:rPr>
          <w:rFonts w:ascii="Arial"/>
          <w:color w:val="231F20"/>
          <w:spacing w:val="-17"/>
          <w:w w:val="105"/>
          <w:sz w:val="26"/>
        </w:rPr>
        <w:t> </w:t>
      </w:r>
      <w:r>
        <w:rPr>
          <w:rFonts w:ascii="Arial"/>
          <w:color w:val="231F20"/>
          <w:w w:val="105"/>
          <w:sz w:val="26"/>
        </w:rPr>
        <w:t>tke</w:t>
      </w:r>
      <w:r>
        <w:rPr>
          <w:rFonts w:ascii="Arial"/>
          <w:color w:val="231F20"/>
          <w:spacing w:val="-16"/>
          <w:w w:val="105"/>
          <w:sz w:val="26"/>
        </w:rPr>
        <w:t> </w:t>
      </w:r>
      <w:r>
        <w:rPr>
          <w:rFonts w:ascii="Arial"/>
          <w:color w:val="231F20"/>
          <w:w w:val="105"/>
          <w:sz w:val="26"/>
        </w:rPr>
        <w:t>minutes</w:t>
      </w:r>
      <w:r>
        <w:rPr>
          <w:rFonts w:ascii="Arial"/>
          <w:color w:val="231F20"/>
          <w:spacing w:val="-17"/>
          <w:w w:val="105"/>
          <w:sz w:val="26"/>
        </w:rPr>
        <w:t> </w:t>
      </w:r>
      <w:r>
        <w:rPr>
          <w:rFonts w:ascii="Arial"/>
          <w:color w:val="231F20"/>
          <w:w w:val="105"/>
          <w:sz w:val="26"/>
        </w:rPr>
        <w:t>ol</w:t>
      </w:r>
      <w:r>
        <w:rPr>
          <w:rFonts w:ascii="Arial"/>
          <w:color w:val="231F20"/>
          <w:spacing w:val="-16"/>
          <w:w w:val="105"/>
          <w:sz w:val="26"/>
        </w:rPr>
        <w:t> </w:t>
      </w:r>
      <w:r>
        <w:rPr>
          <w:rFonts w:ascii="Arial"/>
          <w:color w:val="231F20"/>
          <w:w w:val="105"/>
          <w:sz w:val="26"/>
        </w:rPr>
        <w:t>tke</w:t>
      </w:r>
      <w:r>
        <w:rPr>
          <w:rFonts w:ascii="Arial"/>
          <w:color w:val="231F20"/>
          <w:spacing w:val="-16"/>
          <w:w w:val="105"/>
          <w:sz w:val="26"/>
        </w:rPr>
        <w:t> </w:t>
      </w:r>
      <w:r>
        <w:rPr>
          <w:rFonts w:ascii="Arial"/>
          <w:color w:val="231F20"/>
          <w:w w:val="105"/>
          <w:sz w:val="26"/>
        </w:rPr>
        <w:t>Committee</w:t>
      </w:r>
      <w:r>
        <w:rPr>
          <w:rFonts w:ascii="Arial"/>
          <w:color w:val="231F20"/>
          <w:spacing w:val="-17"/>
          <w:w w:val="105"/>
          <w:sz w:val="26"/>
        </w:rPr>
        <w:t> </w:t>
      </w:r>
      <w:r>
        <w:rPr>
          <w:rFonts w:ascii="Arial"/>
          <w:color w:val="231F20"/>
          <w:w w:val="105"/>
          <w:sz w:val="26"/>
        </w:rPr>
        <w:t>meeting</w:t>
      </w:r>
      <w:r>
        <w:rPr>
          <w:rFonts w:ascii="Arial"/>
          <w:color w:val="231F20"/>
          <w:spacing w:val="-16"/>
          <w:w w:val="105"/>
          <w:sz w:val="26"/>
        </w:rPr>
        <w:t> </w:t>
      </w:r>
      <w:r>
        <w:rPr>
          <w:rFonts w:ascii="Arial"/>
          <w:color w:val="231F20"/>
          <w:w w:val="105"/>
          <w:sz w:val="26"/>
        </w:rPr>
        <w:t>keld</w:t>
      </w:r>
      <w:r>
        <w:rPr>
          <w:rFonts w:ascii="Arial"/>
          <w:color w:val="231F20"/>
          <w:spacing w:val="-17"/>
          <w:w w:val="105"/>
          <w:sz w:val="26"/>
        </w:rPr>
        <w:t> </w:t>
      </w:r>
      <w:r>
        <w:rPr>
          <w:rFonts w:ascii="Arial"/>
          <w:color w:val="231F20"/>
          <w:w w:val="105"/>
          <w:sz w:val="26"/>
        </w:rPr>
        <w:t>on</w:t>
      </w:r>
      <w:r>
        <w:rPr>
          <w:rFonts w:ascii="Arial"/>
          <w:color w:val="231F20"/>
          <w:spacing w:val="-16"/>
          <w:w w:val="105"/>
          <w:sz w:val="26"/>
        </w:rPr>
        <w:t> </w:t>
      </w:r>
      <w:r>
        <w:rPr>
          <w:rFonts w:ascii="Arial"/>
          <w:color w:val="231F20"/>
          <w:w w:val="105"/>
          <w:sz w:val="26"/>
        </w:rPr>
        <w:t>9</w:t>
      </w:r>
      <w:r>
        <w:rPr>
          <w:rFonts w:ascii="Arial"/>
          <w:color w:val="231F20"/>
          <w:spacing w:val="-16"/>
          <w:w w:val="105"/>
          <w:sz w:val="26"/>
        </w:rPr>
        <w:t> </w:t>
      </w:r>
      <w:r>
        <w:rPr>
          <w:rFonts w:ascii="Arial"/>
          <w:color w:val="231F20"/>
          <w:w w:val="105"/>
          <w:sz w:val="26"/>
        </w:rPr>
        <w:t>and</w:t>
      </w:r>
      <w:r>
        <w:rPr>
          <w:rFonts w:ascii="Arial"/>
          <w:color w:val="231F20"/>
          <w:spacing w:val="-17"/>
          <w:w w:val="105"/>
          <w:sz w:val="26"/>
        </w:rPr>
        <w:t> </w:t>
      </w:r>
      <w:r>
        <w:rPr>
          <w:rFonts w:ascii="Arial"/>
          <w:color w:val="231F20"/>
          <w:w w:val="105"/>
          <w:sz w:val="26"/>
        </w:rPr>
        <w:t>10</w:t>
      </w:r>
      <w:r>
        <w:rPr>
          <w:rFonts w:ascii="Arial"/>
          <w:color w:val="231F20"/>
          <w:spacing w:val="-16"/>
          <w:w w:val="105"/>
          <w:sz w:val="26"/>
        </w:rPr>
        <w:t> </w:t>
      </w:r>
      <w:r>
        <w:rPr>
          <w:rFonts w:ascii="Arial"/>
          <w:color w:val="231F20"/>
          <w:w w:val="105"/>
          <w:sz w:val="26"/>
        </w:rPr>
        <w:t>July</w:t>
      </w:r>
      <w:r>
        <w:rPr>
          <w:rFonts w:ascii="Arial"/>
          <w:color w:val="231F20"/>
          <w:spacing w:val="-17"/>
          <w:w w:val="105"/>
          <w:sz w:val="26"/>
        </w:rPr>
        <w:t> </w:t>
      </w:r>
      <w:r>
        <w:rPr>
          <w:rFonts w:ascii="Arial"/>
          <w:color w:val="231F20"/>
          <w:w w:val="105"/>
          <w:sz w:val="26"/>
        </w:rPr>
        <w:t>will</w:t>
      </w:r>
      <w:r>
        <w:rPr>
          <w:rFonts w:ascii="Arial"/>
          <w:color w:val="231F20"/>
          <w:spacing w:val="-16"/>
          <w:w w:val="105"/>
          <w:sz w:val="26"/>
        </w:rPr>
        <w:t> </w:t>
      </w:r>
      <w:r>
        <w:rPr>
          <w:rFonts w:ascii="Arial"/>
          <w:color w:val="231F20"/>
          <w:w w:val="105"/>
          <w:sz w:val="26"/>
        </w:rPr>
        <w:t>be publisked on 13</w:t>
      </w:r>
      <w:r>
        <w:rPr>
          <w:rFonts w:ascii="Arial"/>
          <w:color w:val="231F20"/>
          <w:spacing w:val="-27"/>
          <w:w w:val="105"/>
          <w:sz w:val="26"/>
        </w:rPr>
        <w:t> </w:t>
      </w:r>
      <w:r>
        <w:rPr>
          <w:rFonts w:ascii="Arial"/>
          <w:color w:val="231F20"/>
          <w:w w:val="105"/>
          <w:sz w:val="26"/>
        </w:rPr>
        <w:t>August.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5326278</wp:posOffset>
            </wp:positionH>
            <wp:positionV relativeFrom="paragraph">
              <wp:posOffset>128897</wp:posOffset>
            </wp:positionV>
            <wp:extent cx="1473511"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1" cy="1438846"/>
                    </a:xfrm>
                    <a:prstGeom prst="rect">
                      <a:avLst/>
                    </a:prstGeom>
                  </pic:spPr>
                </pic:pic>
              </a:graphicData>
            </a:graphic>
          </wp:anchor>
        </w:drawing>
      </w:r>
    </w:p>
    <w:p>
      <w:pPr>
        <w:spacing w:after="0"/>
        <w:rPr>
          <w:rFonts w:ascii="Arial"/>
          <w:sz w:val="14"/>
        </w:rPr>
        <w:sectPr>
          <w:type w:val="continuous"/>
          <w:pgSz w:w="11900" w:h="16840"/>
          <w:pgMar w:top="1340" w:bottom="280" w:left="880" w:right="860"/>
        </w:sectPr>
      </w:pPr>
    </w:p>
    <w:p>
      <w:pPr>
        <w:pStyle w:val="Heading1"/>
        <w:spacing w:before="76"/>
      </w:pPr>
      <w:r>
        <w:rPr/>
        <w:t>MINUTES OF THE MONETARY POLICY COMMITTEE MEETING ON 5-6 JUNE 1997</w:t>
      </w:r>
    </w:p>
    <w:p>
      <w:pPr>
        <w:pStyle w:val="BodyText"/>
        <w:rPr>
          <w:b/>
          <w:sz w:val="26"/>
        </w:rPr>
      </w:pPr>
    </w:p>
    <w:p>
      <w:pPr>
        <w:pStyle w:val="BodyText"/>
        <w:spacing w:before="3"/>
        <w:rPr>
          <w:b/>
          <w:sz w:val="28"/>
        </w:rPr>
      </w:pPr>
    </w:p>
    <w:p>
      <w:pPr>
        <w:pStyle w:val="ListParagraph"/>
        <w:numPr>
          <w:ilvl w:val="0"/>
          <w:numId w:val="1"/>
        </w:numPr>
        <w:tabs>
          <w:tab w:pos="481" w:val="left" w:leader="none"/>
        </w:tabs>
        <w:spacing w:line="348" w:lineRule="auto" w:before="0" w:after="0"/>
        <w:ind w:left="200" w:right="882" w:firstLine="0"/>
        <w:jc w:val="left"/>
        <w:rPr>
          <w:sz w:val="24"/>
        </w:rPr>
      </w:pPr>
      <w:r>
        <w:rPr>
          <w:sz w:val="24"/>
        </w:rPr>
        <w:t>Sections I to V of this minute summarise the analysis presented to the Monetary Policy Committee</w:t>
      </w:r>
      <w:r>
        <w:rPr>
          <w:spacing w:val="-6"/>
          <w:sz w:val="24"/>
        </w:rPr>
        <w:t> </w:t>
      </w:r>
      <w:r>
        <w:rPr>
          <w:sz w:val="24"/>
        </w:rPr>
        <w:t>by</w:t>
      </w:r>
      <w:r>
        <w:rPr>
          <w:spacing w:val="-6"/>
          <w:sz w:val="24"/>
        </w:rPr>
        <w:t> </w:t>
      </w:r>
      <w:r>
        <w:rPr>
          <w:sz w:val="24"/>
        </w:rPr>
        <w:t>Bank</w:t>
      </w:r>
      <w:r>
        <w:rPr>
          <w:spacing w:val="-6"/>
          <w:sz w:val="24"/>
        </w:rPr>
        <w:t> </w:t>
      </w:r>
      <w:r>
        <w:rPr>
          <w:sz w:val="24"/>
        </w:rPr>
        <w:t>staff</w:t>
      </w:r>
      <w:r>
        <w:rPr>
          <w:spacing w:val="-7"/>
          <w:sz w:val="24"/>
        </w:rPr>
        <w:t> </w:t>
      </w:r>
      <w:r>
        <w:rPr>
          <w:sz w:val="24"/>
        </w:rPr>
        <w:t>and</w:t>
      </w:r>
      <w:r>
        <w:rPr>
          <w:spacing w:val="-6"/>
          <w:sz w:val="24"/>
        </w:rPr>
        <w:t> </w:t>
      </w:r>
      <w:r>
        <w:rPr>
          <w:sz w:val="24"/>
        </w:rPr>
        <w:t>the</w:t>
      </w:r>
      <w:r>
        <w:rPr>
          <w:spacing w:val="-6"/>
          <w:sz w:val="24"/>
        </w:rPr>
        <w:t> </w:t>
      </w:r>
      <w:r>
        <w:rPr>
          <w:sz w:val="24"/>
        </w:rPr>
        <w:t>Bank’s</w:t>
      </w:r>
      <w:r>
        <w:rPr>
          <w:spacing w:val="-6"/>
          <w:sz w:val="24"/>
        </w:rPr>
        <w:t> </w:t>
      </w:r>
      <w:r>
        <w:rPr>
          <w:sz w:val="24"/>
        </w:rPr>
        <w:t>regional</w:t>
      </w:r>
      <w:r>
        <w:rPr>
          <w:spacing w:val="-6"/>
          <w:sz w:val="24"/>
        </w:rPr>
        <w:t> </w:t>
      </w:r>
      <w:r>
        <w:rPr>
          <w:sz w:val="24"/>
        </w:rPr>
        <w:t>agents,</w:t>
      </w:r>
      <w:r>
        <w:rPr>
          <w:spacing w:val="-5"/>
          <w:sz w:val="24"/>
        </w:rPr>
        <w:t> </w:t>
      </w:r>
      <w:r>
        <w:rPr>
          <w:sz w:val="24"/>
        </w:rPr>
        <w:t>and</w:t>
      </w:r>
      <w:r>
        <w:rPr>
          <w:spacing w:val="-6"/>
          <w:sz w:val="24"/>
        </w:rPr>
        <w:t> </w:t>
      </w:r>
      <w:r>
        <w:rPr>
          <w:sz w:val="24"/>
        </w:rPr>
        <w:t>incorporate</w:t>
      </w:r>
      <w:r>
        <w:rPr>
          <w:spacing w:val="-6"/>
          <w:sz w:val="24"/>
        </w:rPr>
        <w:t> </w:t>
      </w:r>
      <w:r>
        <w:rPr>
          <w:sz w:val="24"/>
        </w:rPr>
        <w:t>also</w:t>
      </w:r>
      <w:r>
        <w:rPr>
          <w:spacing w:val="-6"/>
          <w:sz w:val="24"/>
        </w:rPr>
        <w:t> </w:t>
      </w:r>
      <w:r>
        <w:rPr>
          <w:sz w:val="24"/>
        </w:rPr>
        <w:t>information</w:t>
      </w:r>
      <w:r>
        <w:rPr>
          <w:spacing w:val="-6"/>
          <w:sz w:val="24"/>
        </w:rPr>
        <w:t> </w:t>
      </w:r>
      <w:r>
        <w:rPr>
          <w:sz w:val="24"/>
        </w:rPr>
        <w:t>that became</w:t>
      </w:r>
      <w:r>
        <w:rPr>
          <w:spacing w:val="-4"/>
          <w:sz w:val="24"/>
        </w:rPr>
        <w:t> </w:t>
      </w:r>
      <w:r>
        <w:rPr>
          <w:sz w:val="24"/>
        </w:rPr>
        <w:t>available</w:t>
      </w:r>
      <w:r>
        <w:rPr>
          <w:spacing w:val="-3"/>
          <w:sz w:val="24"/>
        </w:rPr>
        <w:t> </w:t>
      </w:r>
      <w:r>
        <w:rPr>
          <w:sz w:val="24"/>
        </w:rPr>
        <w:t>to</w:t>
      </w:r>
      <w:r>
        <w:rPr>
          <w:spacing w:val="-4"/>
          <w:sz w:val="24"/>
        </w:rPr>
        <w:t> </w:t>
      </w:r>
      <w:r>
        <w:rPr>
          <w:sz w:val="24"/>
        </w:rPr>
        <w:t>the</w:t>
      </w:r>
      <w:r>
        <w:rPr>
          <w:spacing w:val="-3"/>
          <w:sz w:val="24"/>
        </w:rPr>
        <w:t> </w:t>
      </w:r>
      <w:r>
        <w:rPr>
          <w:sz w:val="24"/>
        </w:rPr>
        <w:t>Committee</w:t>
      </w:r>
      <w:r>
        <w:rPr>
          <w:spacing w:val="-4"/>
          <w:sz w:val="24"/>
        </w:rPr>
        <w:t> </w:t>
      </w:r>
      <w:r>
        <w:rPr>
          <w:sz w:val="24"/>
        </w:rPr>
        <w:t>after</w:t>
      </w:r>
      <w:r>
        <w:rPr>
          <w:spacing w:val="-3"/>
          <w:sz w:val="24"/>
        </w:rPr>
        <w:t> </w:t>
      </w:r>
      <w:r>
        <w:rPr>
          <w:sz w:val="24"/>
        </w:rPr>
        <w:t>the</w:t>
      </w:r>
      <w:r>
        <w:rPr>
          <w:spacing w:val="-4"/>
          <w:sz w:val="24"/>
        </w:rPr>
        <w:t> </w:t>
      </w:r>
      <w:r>
        <w:rPr>
          <w:sz w:val="24"/>
        </w:rPr>
        <w:t>presentation</w:t>
      </w:r>
      <w:r>
        <w:rPr>
          <w:spacing w:val="-3"/>
          <w:sz w:val="24"/>
        </w:rPr>
        <w:t> </w:t>
      </w:r>
      <w:r>
        <w:rPr>
          <w:sz w:val="24"/>
        </w:rPr>
        <w:t>but</w:t>
      </w:r>
      <w:r>
        <w:rPr>
          <w:spacing w:val="-4"/>
          <w:sz w:val="24"/>
        </w:rPr>
        <w:t> </w:t>
      </w:r>
      <w:r>
        <w:rPr>
          <w:sz w:val="24"/>
        </w:rPr>
        <w:t>prior</w:t>
      </w:r>
      <w:r>
        <w:rPr>
          <w:spacing w:val="-3"/>
          <w:sz w:val="24"/>
        </w:rPr>
        <w:t> </w:t>
      </w:r>
      <w:r>
        <w:rPr>
          <w:sz w:val="24"/>
        </w:rPr>
        <w:t>to</w:t>
      </w:r>
      <w:r>
        <w:rPr>
          <w:spacing w:val="-4"/>
          <w:sz w:val="24"/>
        </w:rPr>
        <w:t> </w:t>
      </w:r>
      <w:r>
        <w:rPr>
          <w:sz w:val="24"/>
        </w:rPr>
        <w:t>the</w:t>
      </w:r>
      <w:r>
        <w:rPr>
          <w:spacing w:val="-3"/>
          <w:sz w:val="24"/>
        </w:rPr>
        <w:t> </w:t>
      </w:r>
      <w:r>
        <w:rPr>
          <w:sz w:val="24"/>
        </w:rPr>
        <w:t>6</w:t>
      </w:r>
      <w:r>
        <w:rPr>
          <w:spacing w:val="-4"/>
          <w:sz w:val="24"/>
        </w:rPr>
        <w:t> </w:t>
      </w:r>
      <w:r>
        <w:rPr>
          <w:sz w:val="24"/>
        </w:rPr>
        <w:t>June</w:t>
      </w:r>
      <w:r>
        <w:rPr>
          <w:spacing w:val="-3"/>
          <w:sz w:val="24"/>
        </w:rPr>
        <w:t> </w:t>
      </w:r>
      <w:r>
        <w:rPr>
          <w:sz w:val="24"/>
        </w:rPr>
        <w:t>meeting.</w:t>
      </w:r>
    </w:p>
    <w:p>
      <w:pPr>
        <w:pStyle w:val="BodyText"/>
        <w:spacing w:before="8"/>
        <w:rPr>
          <w:sz w:val="34"/>
        </w:rPr>
      </w:pPr>
    </w:p>
    <w:p>
      <w:pPr>
        <w:pStyle w:val="Heading1"/>
        <w:numPr>
          <w:ilvl w:val="0"/>
          <w:numId w:val="2"/>
        </w:numPr>
        <w:tabs>
          <w:tab w:pos="545" w:val="left" w:leader="none"/>
          <w:tab w:pos="547" w:val="left" w:leader="none"/>
        </w:tabs>
        <w:spacing w:line="240" w:lineRule="auto" w:before="1" w:after="0"/>
        <w:ind w:left="546" w:right="0" w:hanging="347"/>
        <w:jc w:val="left"/>
      </w:pPr>
      <w:r>
        <w:rPr/>
        <w:t>Monetary</w:t>
      </w:r>
      <w:r>
        <w:rPr>
          <w:spacing w:val="3"/>
        </w:rPr>
        <w:t> </w:t>
      </w:r>
      <w:r>
        <w:rPr/>
        <w:t>conditions</w:t>
      </w:r>
    </w:p>
    <w:p>
      <w:pPr>
        <w:pStyle w:val="BodyText"/>
        <w:rPr>
          <w:b/>
          <w:sz w:val="26"/>
        </w:rPr>
      </w:pPr>
    </w:p>
    <w:p>
      <w:pPr>
        <w:pStyle w:val="ListParagraph"/>
        <w:numPr>
          <w:ilvl w:val="0"/>
          <w:numId w:val="1"/>
        </w:numPr>
        <w:tabs>
          <w:tab w:pos="481" w:val="left" w:leader="none"/>
        </w:tabs>
        <w:spacing w:line="348" w:lineRule="auto" w:before="225" w:after="0"/>
        <w:ind w:left="200" w:right="314" w:firstLine="0"/>
        <w:jc w:val="left"/>
        <w:rPr>
          <w:sz w:val="24"/>
        </w:rPr>
      </w:pPr>
      <w:r>
        <w:rPr>
          <w:sz w:val="24"/>
        </w:rPr>
        <w:t>The 12-month growth rate of notes and coins had fallen back since January, when it was 7.1%. It had fallen to 6.3% in April and the provisional estimate for May was 6.1%. It was not yet clear whether the fall simply reflected a deceleration in demand for cash following the recent fall in </w:t>
      </w:r>
      <w:r>
        <w:rPr>
          <w:spacing w:val="-2"/>
          <w:sz w:val="24"/>
        </w:rPr>
        <w:t>retail </w:t>
      </w:r>
      <w:r>
        <w:rPr>
          <w:sz w:val="24"/>
        </w:rPr>
        <w:t>price inflation, or whether it had implications for future</w:t>
      </w:r>
      <w:r>
        <w:rPr>
          <w:spacing w:val="-16"/>
          <w:sz w:val="24"/>
        </w:rPr>
        <w:t> </w:t>
      </w:r>
      <w:r>
        <w:rPr>
          <w:sz w:val="24"/>
        </w:rPr>
        <w:t>spending.</w:t>
      </w:r>
    </w:p>
    <w:p>
      <w:pPr>
        <w:pStyle w:val="BodyText"/>
        <w:spacing w:before="8"/>
        <w:rPr>
          <w:sz w:val="34"/>
        </w:rPr>
      </w:pPr>
    </w:p>
    <w:p>
      <w:pPr>
        <w:pStyle w:val="ListParagraph"/>
        <w:numPr>
          <w:ilvl w:val="0"/>
          <w:numId w:val="1"/>
        </w:numPr>
        <w:tabs>
          <w:tab w:pos="480" w:val="left" w:leader="none"/>
        </w:tabs>
        <w:spacing w:line="348" w:lineRule="auto" w:before="0" w:after="0"/>
        <w:ind w:left="200" w:right="259" w:firstLine="0"/>
        <w:jc w:val="left"/>
        <w:rPr>
          <w:sz w:val="24"/>
        </w:rPr>
      </w:pPr>
      <w:r>
        <w:rPr>
          <w:sz w:val="24"/>
        </w:rPr>
        <w:t>Broad money, too, decelerated in April: its 12-month growth rate fell back to 10.2%, having been above 11% in February and March. M4 went up by 0.2% in April: retail M4 fell and wholesale M4 decelerated, perhaps partly because the month’s public finances were stronger than expected. Individuals’ M4 holdings had accelerated modestly this year - to a 12-month growth rate of 6.5% in April, from 5.8% in December. The last monthly data followed a quarter (Q1) in which ICCs’ holdings grew by 9.3% (annualised). The trend growth of real M4 remained around 8%, which continued to indicate strong future real demand</w:t>
      </w:r>
      <w:r>
        <w:rPr>
          <w:spacing w:val="-18"/>
          <w:sz w:val="24"/>
        </w:rPr>
        <w:t> </w:t>
      </w:r>
      <w:r>
        <w:rPr>
          <w:sz w:val="24"/>
        </w:rPr>
        <w:t>growth.</w:t>
      </w:r>
    </w:p>
    <w:p>
      <w:pPr>
        <w:pStyle w:val="BodyText"/>
        <w:spacing w:before="9"/>
        <w:rPr>
          <w:sz w:val="34"/>
        </w:rPr>
      </w:pPr>
    </w:p>
    <w:p>
      <w:pPr>
        <w:pStyle w:val="ListParagraph"/>
        <w:numPr>
          <w:ilvl w:val="0"/>
          <w:numId w:val="1"/>
        </w:numPr>
        <w:tabs>
          <w:tab w:pos="656" w:val="left" w:leader="none"/>
          <w:tab w:pos="657" w:val="left" w:leader="none"/>
        </w:tabs>
        <w:spacing w:line="348" w:lineRule="auto" w:before="0" w:after="0"/>
        <w:ind w:left="200" w:right="304" w:firstLine="0"/>
        <w:jc w:val="left"/>
        <w:rPr>
          <w:sz w:val="24"/>
        </w:rPr>
      </w:pPr>
      <w:r>
        <w:rPr>
          <w:sz w:val="24"/>
        </w:rPr>
        <w:t>Lending growth continued at around 9% in April. Borrowing by ICCs, which had decelerated</w:t>
      </w:r>
      <w:r>
        <w:rPr>
          <w:spacing w:val="-40"/>
          <w:sz w:val="24"/>
        </w:rPr>
        <w:t> </w:t>
      </w:r>
      <w:r>
        <w:rPr>
          <w:sz w:val="24"/>
        </w:rPr>
        <w:t>in Q1, picked up again in April, and unused credit facilities (mainly to ICCs) continued to rise quickly (the 12 month increase was about 13% in April). Interest rate spreads seemed to have narrowed for ICCs and OFIs in Q1, which suggested that banks had become more willing to lend, perhaps in response to competition from other forms of financial</w:t>
      </w:r>
      <w:r>
        <w:rPr>
          <w:spacing w:val="-16"/>
          <w:sz w:val="24"/>
        </w:rPr>
        <w:t> </w:t>
      </w:r>
      <w:r>
        <w:rPr>
          <w:sz w:val="24"/>
        </w:rPr>
        <w:t>intermediation.</w:t>
      </w:r>
    </w:p>
    <w:p>
      <w:pPr>
        <w:pStyle w:val="BodyText"/>
        <w:spacing w:before="8"/>
        <w:rPr>
          <w:sz w:val="34"/>
        </w:rPr>
      </w:pPr>
    </w:p>
    <w:p>
      <w:pPr>
        <w:pStyle w:val="ListParagraph"/>
        <w:numPr>
          <w:ilvl w:val="0"/>
          <w:numId w:val="1"/>
        </w:numPr>
        <w:tabs>
          <w:tab w:pos="657" w:val="left" w:leader="none"/>
          <w:tab w:pos="658" w:val="left" w:leader="none"/>
        </w:tabs>
        <w:spacing w:line="348" w:lineRule="auto" w:before="1" w:after="0"/>
        <w:ind w:left="200" w:right="359" w:firstLine="0"/>
        <w:jc w:val="left"/>
        <w:rPr>
          <w:sz w:val="24"/>
        </w:rPr>
      </w:pPr>
      <w:r>
        <w:rPr>
          <w:sz w:val="24"/>
        </w:rPr>
        <w:t>Lending to individuals remained robust in Q1 and in April: unsecured lending went up by 16.7% in the year to April and secured lending by 5.2%, consistent with the recovery in the housing market. Loan-deposit interest rate spreads widened slightly for the personal sector in 1996 Q4, so the</w:t>
      </w:r>
      <w:r>
        <w:rPr>
          <w:spacing w:val="-5"/>
          <w:sz w:val="24"/>
        </w:rPr>
        <w:t> </w:t>
      </w:r>
      <w:r>
        <w:rPr>
          <w:sz w:val="24"/>
        </w:rPr>
        <w:t>recent</w:t>
      </w:r>
      <w:r>
        <w:rPr>
          <w:spacing w:val="-4"/>
          <w:sz w:val="24"/>
        </w:rPr>
        <w:t> </w:t>
      </w:r>
      <w:r>
        <w:rPr>
          <w:sz w:val="24"/>
        </w:rPr>
        <w:t>growth</w:t>
      </w:r>
      <w:r>
        <w:rPr>
          <w:spacing w:val="-5"/>
          <w:sz w:val="24"/>
        </w:rPr>
        <w:t> </w:t>
      </w:r>
      <w:r>
        <w:rPr>
          <w:sz w:val="24"/>
        </w:rPr>
        <w:t>probably</w:t>
      </w:r>
      <w:r>
        <w:rPr>
          <w:spacing w:val="-4"/>
          <w:sz w:val="24"/>
        </w:rPr>
        <w:t> </w:t>
      </w:r>
      <w:r>
        <w:rPr>
          <w:sz w:val="24"/>
        </w:rPr>
        <w:t>reflected</w:t>
      </w:r>
      <w:r>
        <w:rPr>
          <w:spacing w:val="-4"/>
          <w:sz w:val="24"/>
        </w:rPr>
        <w:t> </w:t>
      </w:r>
      <w:r>
        <w:rPr>
          <w:sz w:val="24"/>
        </w:rPr>
        <w:t>strong</w:t>
      </w:r>
      <w:r>
        <w:rPr>
          <w:spacing w:val="-5"/>
          <w:sz w:val="24"/>
        </w:rPr>
        <w:t> </w:t>
      </w:r>
      <w:r>
        <w:rPr>
          <w:sz w:val="24"/>
        </w:rPr>
        <w:t>demand</w:t>
      </w:r>
      <w:r>
        <w:rPr>
          <w:spacing w:val="-4"/>
          <w:sz w:val="24"/>
        </w:rPr>
        <w:t> </w:t>
      </w:r>
      <w:r>
        <w:rPr>
          <w:sz w:val="24"/>
        </w:rPr>
        <w:t>for</w:t>
      </w:r>
      <w:r>
        <w:rPr>
          <w:spacing w:val="-5"/>
          <w:sz w:val="24"/>
        </w:rPr>
        <w:t> </w:t>
      </w:r>
      <w:r>
        <w:rPr>
          <w:sz w:val="24"/>
        </w:rPr>
        <w:t>credit,</w:t>
      </w:r>
      <w:r>
        <w:rPr>
          <w:spacing w:val="-4"/>
          <w:sz w:val="24"/>
        </w:rPr>
        <w:t> </w:t>
      </w:r>
      <w:r>
        <w:rPr>
          <w:sz w:val="24"/>
        </w:rPr>
        <w:t>particularly</w:t>
      </w:r>
      <w:r>
        <w:rPr>
          <w:spacing w:val="-4"/>
          <w:sz w:val="24"/>
        </w:rPr>
        <w:t> </w:t>
      </w:r>
      <w:r>
        <w:rPr>
          <w:sz w:val="24"/>
        </w:rPr>
        <w:t>for</w:t>
      </w:r>
      <w:r>
        <w:rPr>
          <w:spacing w:val="-5"/>
          <w:sz w:val="24"/>
        </w:rPr>
        <w:t> </w:t>
      </w:r>
      <w:r>
        <w:rPr>
          <w:sz w:val="24"/>
        </w:rPr>
        <w:t>unsecured</w:t>
      </w:r>
      <w:r>
        <w:rPr>
          <w:spacing w:val="-4"/>
          <w:sz w:val="24"/>
        </w:rPr>
        <w:t> </w:t>
      </w:r>
      <w:r>
        <w:rPr>
          <w:sz w:val="24"/>
        </w:rPr>
        <w:t>loans.</w:t>
      </w:r>
    </w:p>
    <w:p>
      <w:pPr>
        <w:pStyle w:val="BodyText"/>
        <w:spacing w:before="8"/>
        <w:rPr>
          <w:sz w:val="34"/>
        </w:rPr>
      </w:pPr>
    </w:p>
    <w:p>
      <w:pPr>
        <w:pStyle w:val="ListParagraph"/>
        <w:numPr>
          <w:ilvl w:val="0"/>
          <w:numId w:val="1"/>
        </w:numPr>
        <w:tabs>
          <w:tab w:pos="481" w:val="left" w:leader="none"/>
        </w:tabs>
        <w:spacing w:line="348" w:lineRule="auto" w:before="0" w:after="0"/>
        <w:ind w:left="200" w:right="189" w:firstLine="0"/>
        <w:jc w:val="left"/>
        <w:rPr>
          <w:sz w:val="24"/>
        </w:rPr>
      </w:pPr>
      <w:r>
        <w:rPr>
          <w:sz w:val="24"/>
        </w:rPr>
        <w:t>Gilt yields had fallen sharply since the announcement of independence of the Bank on 6 May. Index-linked</w:t>
      </w:r>
      <w:r>
        <w:rPr>
          <w:spacing w:val="-12"/>
          <w:sz w:val="24"/>
        </w:rPr>
        <w:t> </w:t>
      </w:r>
      <w:r>
        <w:rPr>
          <w:sz w:val="24"/>
        </w:rPr>
        <w:t>yields</w:t>
      </w:r>
      <w:r>
        <w:rPr>
          <w:spacing w:val="-11"/>
          <w:sz w:val="24"/>
        </w:rPr>
        <w:t> </w:t>
      </w:r>
      <w:r>
        <w:rPr>
          <w:sz w:val="24"/>
        </w:rPr>
        <w:t>had</w:t>
      </w:r>
      <w:r>
        <w:rPr>
          <w:spacing w:val="-11"/>
          <w:sz w:val="24"/>
        </w:rPr>
        <w:t> </w:t>
      </w:r>
      <w:r>
        <w:rPr>
          <w:sz w:val="24"/>
        </w:rPr>
        <w:t>not</w:t>
      </w:r>
      <w:r>
        <w:rPr>
          <w:spacing w:val="-11"/>
          <w:sz w:val="24"/>
        </w:rPr>
        <w:t> </w:t>
      </w:r>
      <w:r>
        <w:rPr>
          <w:sz w:val="24"/>
        </w:rPr>
        <w:t>changed</w:t>
      </w:r>
      <w:r>
        <w:rPr>
          <w:spacing w:val="-11"/>
          <w:sz w:val="24"/>
        </w:rPr>
        <w:t> </w:t>
      </w:r>
      <w:r>
        <w:rPr>
          <w:sz w:val="24"/>
        </w:rPr>
        <w:t>much,</w:t>
      </w:r>
      <w:r>
        <w:rPr>
          <w:spacing w:val="-11"/>
          <w:sz w:val="24"/>
        </w:rPr>
        <w:t> </w:t>
      </w:r>
      <w:r>
        <w:rPr>
          <w:sz w:val="24"/>
        </w:rPr>
        <w:t>and</w:t>
      </w:r>
      <w:r>
        <w:rPr>
          <w:spacing w:val="-11"/>
          <w:sz w:val="24"/>
        </w:rPr>
        <w:t> </w:t>
      </w:r>
      <w:r>
        <w:rPr>
          <w:sz w:val="24"/>
        </w:rPr>
        <w:t>so</w:t>
      </w:r>
      <w:r>
        <w:rPr>
          <w:spacing w:val="-11"/>
          <w:sz w:val="24"/>
        </w:rPr>
        <w:t> </w:t>
      </w:r>
      <w:r>
        <w:rPr>
          <w:sz w:val="24"/>
        </w:rPr>
        <w:t>the</w:t>
      </w:r>
      <w:r>
        <w:rPr>
          <w:spacing w:val="-11"/>
          <w:sz w:val="24"/>
        </w:rPr>
        <w:t> </w:t>
      </w:r>
      <w:r>
        <w:rPr>
          <w:sz w:val="24"/>
        </w:rPr>
        <w:t>implied</w:t>
      </w:r>
      <w:r>
        <w:rPr>
          <w:spacing w:val="-11"/>
          <w:sz w:val="24"/>
        </w:rPr>
        <w:t> </w:t>
      </w:r>
      <w:r>
        <w:rPr>
          <w:sz w:val="24"/>
        </w:rPr>
        <w:t>future</w:t>
      </w:r>
      <w:r>
        <w:rPr>
          <w:spacing w:val="-11"/>
          <w:sz w:val="24"/>
        </w:rPr>
        <w:t> </w:t>
      </w:r>
      <w:r>
        <w:rPr>
          <w:sz w:val="24"/>
        </w:rPr>
        <w:t>rate</w:t>
      </w:r>
      <w:r>
        <w:rPr>
          <w:spacing w:val="-11"/>
          <w:sz w:val="24"/>
        </w:rPr>
        <w:t> </w:t>
      </w:r>
      <w:r>
        <w:rPr>
          <w:sz w:val="24"/>
        </w:rPr>
        <w:t>of</w:t>
      </w:r>
      <w:r>
        <w:rPr>
          <w:spacing w:val="-12"/>
          <w:sz w:val="24"/>
        </w:rPr>
        <w:t> </w:t>
      </w:r>
      <w:r>
        <w:rPr>
          <w:sz w:val="24"/>
        </w:rPr>
        <w:t>inflation</w:t>
      </w:r>
      <w:r>
        <w:rPr>
          <w:spacing w:val="-11"/>
          <w:sz w:val="24"/>
        </w:rPr>
        <w:t> </w:t>
      </w:r>
      <w:r>
        <w:rPr>
          <w:sz w:val="24"/>
        </w:rPr>
        <w:t>calculated</w:t>
      </w:r>
      <w:r>
        <w:rPr>
          <w:spacing w:val="-11"/>
          <w:sz w:val="24"/>
        </w:rPr>
        <w:t> </w:t>
      </w:r>
      <w:r>
        <w:rPr>
          <w:sz w:val="24"/>
        </w:rPr>
        <w:t>from</w:t>
      </w:r>
      <w:r>
        <w:rPr>
          <w:spacing w:val="-11"/>
          <w:sz w:val="24"/>
        </w:rPr>
        <w:t> </w:t>
      </w:r>
      <w:r>
        <w:rPr>
          <w:sz w:val="24"/>
        </w:rPr>
        <w:t>a comparison</w:t>
      </w:r>
      <w:r>
        <w:rPr>
          <w:spacing w:val="-12"/>
          <w:sz w:val="24"/>
        </w:rPr>
        <w:t> </w:t>
      </w:r>
      <w:r>
        <w:rPr>
          <w:sz w:val="24"/>
        </w:rPr>
        <w:t>of</w:t>
      </w:r>
      <w:r>
        <w:rPr>
          <w:spacing w:val="-11"/>
          <w:sz w:val="24"/>
        </w:rPr>
        <w:t> </w:t>
      </w:r>
      <w:r>
        <w:rPr>
          <w:sz w:val="24"/>
        </w:rPr>
        <w:t>the</w:t>
      </w:r>
      <w:r>
        <w:rPr>
          <w:spacing w:val="-11"/>
          <w:sz w:val="24"/>
        </w:rPr>
        <w:t> </w:t>
      </w:r>
      <w:r>
        <w:rPr>
          <w:sz w:val="24"/>
        </w:rPr>
        <w:t>yield</w:t>
      </w:r>
      <w:r>
        <w:rPr>
          <w:spacing w:val="-11"/>
          <w:sz w:val="24"/>
        </w:rPr>
        <w:t> </w:t>
      </w:r>
      <w:r>
        <w:rPr>
          <w:sz w:val="24"/>
        </w:rPr>
        <w:t>curves</w:t>
      </w:r>
      <w:r>
        <w:rPr>
          <w:spacing w:val="-11"/>
          <w:sz w:val="24"/>
        </w:rPr>
        <w:t> </w:t>
      </w:r>
      <w:r>
        <w:rPr>
          <w:sz w:val="24"/>
        </w:rPr>
        <w:t>for</w:t>
      </w:r>
      <w:r>
        <w:rPr>
          <w:spacing w:val="-12"/>
          <w:sz w:val="24"/>
        </w:rPr>
        <w:t> </w:t>
      </w:r>
      <w:r>
        <w:rPr>
          <w:sz w:val="24"/>
        </w:rPr>
        <w:t>conventional</w:t>
      </w:r>
      <w:r>
        <w:rPr>
          <w:spacing w:val="-11"/>
          <w:sz w:val="24"/>
        </w:rPr>
        <w:t> </w:t>
      </w:r>
      <w:r>
        <w:rPr>
          <w:sz w:val="24"/>
        </w:rPr>
        <w:t>and</w:t>
      </w:r>
      <w:r>
        <w:rPr>
          <w:spacing w:val="-11"/>
          <w:sz w:val="24"/>
        </w:rPr>
        <w:t> </w:t>
      </w:r>
      <w:r>
        <w:rPr>
          <w:sz w:val="24"/>
        </w:rPr>
        <w:t>index-linked</w:t>
      </w:r>
      <w:r>
        <w:rPr>
          <w:spacing w:val="-11"/>
          <w:sz w:val="24"/>
        </w:rPr>
        <w:t> </w:t>
      </w:r>
      <w:r>
        <w:rPr>
          <w:sz w:val="24"/>
        </w:rPr>
        <w:t>gilts</w:t>
      </w:r>
      <w:r>
        <w:rPr>
          <w:spacing w:val="-11"/>
          <w:sz w:val="24"/>
        </w:rPr>
        <w:t> </w:t>
      </w:r>
      <w:r>
        <w:rPr>
          <w:sz w:val="24"/>
        </w:rPr>
        <w:t>had</w:t>
      </w:r>
      <w:r>
        <w:rPr>
          <w:spacing w:val="-12"/>
          <w:sz w:val="24"/>
        </w:rPr>
        <w:t> </w:t>
      </w:r>
      <w:r>
        <w:rPr>
          <w:sz w:val="24"/>
        </w:rPr>
        <w:t>fallen:</w:t>
      </w:r>
      <w:r>
        <w:rPr>
          <w:spacing w:val="40"/>
          <w:sz w:val="24"/>
        </w:rPr>
        <w:t> </w:t>
      </w:r>
      <w:r>
        <w:rPr>
          <w:sz w:val="24"/>
        </w:rPr>
        <w:t>the</w:t>
      </w:r>
      <w:r>
        <w:rPr>
          <w:spacing w:val="-11"/>
          <w:sz w:val="24"/>
        </w:rPr>
        <w:t> </w:t>
      </w:r>
      <w:r>
        <w:rPr>
          <w:sz w:val="24"/>
        </w:rPr>
        <w:t>implied</w:t>
      </w:r>
      <w:r>
        <w:rPr>
          <w:spacing w:val="-12"/>
          <w:sz w:val="24"/>
        </w:rPr>
        <w:t> </w:t>
      </w:r>
      <w:r>
        <w:rPr>
          <w:sz w:val="24"/>
        </w:rPr>
        <w:t>rates</w:t>
      </w:r>
      <w:r>
        <w:rPr>
          <w:spacing w:val="-11"/>
          <w:sz w:val="24"/>
        </w:rPr>
        <w:t> </w:t>
      </w:r>
      <w:r>
        <w:rPr>
          <w:spacing w:val="-2"/>
          <w:sz w:val="24"/>
        </w:rPr>
        <w:t>for </w:t>
      </w:r>
      <w:r>
        <w:rPr>
          <w:sz w:val="24"/>
        </w:rPr>
        <w:t>ten years ahead had fallen by about 0.5 percentage points on 6 May itself. That could in principle reflect either lower inflationary expectations or a lower inflation risk premium. If the true</w:t>
      </w:r>
      <w:r>
        <w:rPr>
          <w:spacing w:val="-41"/>
          <w:sz w:val="24"/>
        </w:rPr>
        <w:t> </w:t>
      </w:r>
      <w:r>
        <w:rPr>
          <w:sz w:val="24"/>
        </w:rPr>
        <w:t>explanation</w:t>
      </w:r>
    </w:p>
    <w:p>
      <w:pPr>
        <w:spacing w:after="0" w:line="348" w:lineRule="auto"/>
        <w:jc w:val="left"/>
        <w:rPr>
          <w:sz w:val="24"/>
        </w:rPr>
        <w:sectPr>
          <w:pgSz w:w="11900" w:h="16840"/>
          <w:pgMar w:top="1260" w:bottom="280" w:left="880" w:right="860"/>
        </w:sectPr>
      </w:pPr>
    </w:p>
    <w:p>
      <w:pPr>
        <w:pStyle w:val="BodyText"/>
        <w:spacing w:line="348" w:lineRule="auto" w:before="80"/>
        <w:ind w:left="200" w:right="201"/>
      </w:pPr>
      <w:r>
        <w:rPr/>
        <w:t>had been a lower inflation risk premium, a fall in the volatility implied by options on long gilt futures might have been expected to occur. In fact it had not occurred to a material extent. That, and the absence of a material change in the spot exchange rate were both consistent with the view that the explanation of the fall in conventional gilt yields had been a fall in inflationary expectations. In that case, it was suggested that the main effect would be modestly to increase the likelihood that inflation would turn out below the central projection over the next year or two, as indicated in the May Inflation Report. Even after the fall in bond yields following the announcement of Bank independence, the inflation rate implied by the conventional and index-linked gilt yield curves for 10 years ahead was still around 3 1/2%. That was one percentage point above the Government’s target; one percentage point was at the top end of the range of estimates of the risk premium.</w:t>
      </w:r>
    </w:p>
    <w:p>
      <w:pPr>
        <w:pStyle w:val="BodyText"/>
        <w:spacing w:before="8"/>
        <w:rPr>
          <w:sz w:val="34"/>
        </w:rPr>
      </w:pPr>
    </w:p>
    <w:p>
      <w:pPr>
        <w:pStyle w:val="Heading1"/>
        <w:numPr>
          <w:ilvl w:val="0"/>
          <w:numId w:val="2"/>
        </w:numPr>
        <w:tabs>
          <w:tab w:pos="620" w:val="left" w:leader="none"/>
          <w:tab w:pos="621" w:val="left" w:leader="none"/>
        </w:tabs>
        <w:spacing w:line="240" w:lineRule="auto" w:before="0" w:after="0"/>
        <w:ind w:left="620" w:right="0" w:hanging="421"/>
        <w:jc w:val="left"/>
      </w:pPr>
      <w:r>
        <w:rPr/>
        <w:t>Demand and</w:t>
      </w:r>
      <w:r>
        <w:rPr>
          <w:spacing w:val="-5"/>
        </w:rPr>
        <w:t> </w:t>
      </w:r>
      <w:r>
        <w:rPr/>
        <w:t>output</w:t>
      </w:r>
    </w:p>
    <w:p>
      <w:pPr>
        <w:pStyle w:val="BodyText"/>
        <w:rPr>
          <w:b/>
          <w:sz w:val="26"/>
        </w:rPr>
      </w:pPr>
    </w:p>
    <w:p>
      <w:pPr>
        <w:pStyle w:val="ListParagraph"/>
        <w:numPr>
          <w:ilvl w:val="0"/>
          <w:numId w:val="1"/>
        </w:numPr>
        <w:tabs>
          <w:tab w:pos="480" w:val="left" w:leader="none"/>
        </w:tabs>
        <w:spacing w:line="348" w:lineRule="auto" w:before="225" w:after="0"/>
        <w:ind w:left="200" w:right="249" w:firstLine="0"/>
        <w:jc w:val="left"/>
        <w:rPr>
          <w:sz w:val="24"/>
        </w:rPr>
      </w:pPr>
      <w:r>
        <w:rPr>
          <w:sz w:val="24"/>
        </w:rPr>
        <w:t>There were substantial discrepancies, dating back to 1995, among the three estimates of GDP. The output estimate had in the past typically been revised by less than the expenditure estimate, and it seemed likely that the expenditure estimate would be revised upwards to bring it into line with the output estimate. Revisions were due on 27</w:t>
      </w:r>
      <w:r>
        <w:rPr>
          <w:spacing w:val="17"/>
          <w:sz w:val="24"/>
        </w:rPr>
        <w:t> </w:t>
      </w:r>
      <w:r>
        <w:rPr>
          <w:sz w:val="24"/>
        </w:rPr>
        <w:t>June.</w:t>
      </w:r>
    </w:p>
    <w:p>
      <w:pPr>
        <w:pStyle w:val="BodyText"/>
        <w:spacing w:before="9"/>
        <w:rPr>
          <w:sz w:val="34"/>
        </w:rPr>
      </w:pPr>
    </w:p>
    <w:p>
      <w:pPr>
        <w:pStyle w:val="ListParagraph"/>
        <w:numPr>
          <w:ilvl w:val="0"/>
          <w:numId w:val="1"/>
        </w:numPr>
        <w:tabs>
          <w:tab w:pos="541" w:val="left" w:leader="none"/>
          <w:tab w:pos="543" w:val="left" w:leader="none"/>
        </w:tabs>
        <w:spacing w:line="348" w:lineRule="auto" w:before="0" w:after="0"/>
        <w:ind w:left="200" w:right="250" w:firstLine="0"/>
        <w:jc w:val="left"/>
        <w:rPr>
          <w:sz w:val="24"/>
        </w:rPr>
      </w:pPr>
      <w:r>
        <w:rPr>
          <w:sz w:val="24"/>
        </w:rPr>
        <w:t>The most recent estimate of GDP growth in 1997 Q1 was 0.9% (revised down from the preliminary estimate of 1.0%, though estimated non-oil growth remained at 1.0%), but the recent pattern of strengthening output growth was unchanged. Of the expenditure components of GDP in Q1, investment growth was surprisingly strong (3.3%), though there was no clear change of trend. Net exports made a negative contribution in Q1 but this was not exceptional. Services output growth remained very strong in Q1 (1.2% on the quarter); manufacturing picked up a little (to 0.6%) and the revival of construction went further (up 1.8% on the quarter). Manufacturing output rose by 0.6% in April; taking account of revisions to estimates for earlier months, it was 1.7% up on a year earlier. New construction orders rose in</w:t>
      </w:r>
      <w:r>
        <w:rPr>
          <w:spacing w:val="15"/>
          <w:sz w:val="24"/>
        </w:rPr>
        <w:t> </w:t>
      </w:r>
      <w:r>
        <w:rPr>
          <w:sz w:val="24"/>
        </w:rPr>
        <w:t>April.</w:t>
      </w:r>
    </w:p>
    <w:p>
      <w:pPr>
        <w:pStyle w:val="BodyText"/>
        <w:spacing w:before="8"/>
        <w:rPr>
          <w:sz w:val="34"/>
        </w:rPr>
      </w:pPr>
    </w:p>
    <w:p>
      <w:pPr>
        <w:pStyle w:val="ListParagraph"/>
        <w:numPr>
          <w:ilvl w:val="0"/>
          <w:numId w:val="1"/>
        </w:numPr>
        <w:tabs>
          <w:tab w:pos="596" w:val="left" w:leader="none"/>
          <w:tab w:pos="597" w:val="left" w:leader="none"/>
        </w:tabs>
        <w:spacing w:line="348" w:lineRule="auto" w:before="0" w:after="0"/>
        <w:ind w:left="200" w:right="247" w:firstLine="0"/>
        <w:jc w:val="left"/>
        <w:rPr>
          <w:sz w:val="24"/>
        </w:rPr>
      </w:pPr>
      <w:r>
        <w:rPr>
          <w:sz w:val="24"/>
        </w:rPr>
        <w:t>Consumer</w:t>
      </w:r>
      <w:r>
        <w:rPr>
          <w:spacing w:val="-11"/>
          <w:sz w:val="24"/>
        </w:rPr>
        <w:t> </w:t>
      </w:r>
      <w:r>
        <w:rPr>
          <w:sz w:val="24"/>
        </w:rPr>
        <w:t>spending</w:t>
      </w:r>
      <w:r>
        <w:rPr>
          <w:spacing w:val="-10"/>
          <w:sz w:val="24"/>
        </w:rPr>
        <w:t> </w:t>
      </w:r>
      <w:r>
        <w:rPr>
          <w:sz w:val="24"/>
        </w:rPr>
        <w:t>had</w:t>
      </w:r>
      <w:r>
        <w:rPr>
          <w:spacing w:val="-11"/>
          <w:sz w:val="24"/>
        </w:rPr>
        <w:t> </w:t>
      </w:r>
      <w:r>
        <w:rPr>
          <w:sz w:val="24"/>
        </w:rPr>
        <w:t>been</w:t>
      </w:r>
      <w:r>
        <w:rPr>
          <w:spacing w:val="-10"/>
          <w:sz w:val="24"/>
        </w:rPr>
        <w:t> </w:t>
      </w:r>
      <w:r>
        <w:rPr>
          <w:sz w:val="24"/>
        </w:rPr>
        <w:t>growing</w:t>
      </w:r>
      <w:r>
        <w:rPr>
          <w:spacing w:val="-11"/>
          <w:sz w:val="24"/>
        </w:rPr>
        <w:t> </w:t>
      </w:r>
      <w:r>
        <w:rPr>
          <w:sz w:val="24"/>
        </w:rPr>
        <w:t>at</w:t>
      </w:r>
      <w:r>
        <w:rPr>
          <w:spacing w:val="-10"/>
          <w:sz w:val="24"/>
        </w:rPr>
        <w:t> </w:t>
      </w:r>
      <w:r>
        <w:rPr>
          <w:sz w:val="24"/>
        </w:rPr>
        <w:t>an</w:t>
      </w:r>
      <w:r>
        <w:rPr>
          <w:spacing w:val="-11"/>
          <w:sz w:val="24"/>
        </w:rPr>
        <w:t> </w:t>
      </w:r>
      <w:r>
        <w:rPr>
          <w:sz w:val="24"/>
        </w:rPr>
        <w:t>average</w:t>
      </w:r>
      <w:r>
        <w:rPr>
          <w:spacing w:val="-10"/>
          <w:sz w:val="24"/>
        </w:rPr>
        <w:t> </w:t>
      </w:r>
      <w:r>
        <w:rPr>
          <w:sz w:val="24"/>
        </w:rPr>
        <w:t>of</w:t>
      </w:r>
      <w:r>
        <w:rPr>
          <w:spacing w:val="-11"/>
          <w:sz w:val="24"/>
        </w:rPr>
        <w:t> </w:t>
      </w:r>
      <w:r>
        <w:rPr>
          <w:sz w:val="24"/>
        </w:rPr>
        <w:t>about</w:t>
      </w:r>
      <w:r>
        <w:rPr>
          <w:spacing w:val="-10"/>
          <w:sz w:val="24"/>
        </w:rPr>
        <w:t> </w:t>
      </w:r>
      <w:r>
        <w:rPr>
          <w:sz w:val="24"/>
        </w:rPr>
        <w:t>1%</w:t>
      </w:r>
      <w:r>
        <w:rPr>
          <w:spacing w:val="-11"/>
          <w:sz w:val="24"/>
        </w:rPr>
        <w:t> </w:t>
      </w:r>
      <w:r>
        <w:rPr>
          <w:sz w:val="24"/>
        </w:rPr>
        <w:t>a</w:t>
      </w:r>
      <w:r>
        <w:rPr>
          <w:spacing w:val="-10"/>
          <w:sz w:val="24"/>
        </w:rPr>
        <w:t> </w:t>
      </w:r>
      <w:r>
        <w:rPr>
          <w:sz w:val="24"/>
        </w:rPr>
        <w:t>quarter</w:t>
      </w:r>
      <w:r>
        <w:rPr>
          <w:spacing w:val="-11"/>
          <w:sz w:val="24"/>
        </w:rPr>
        <w:t> </w:t>
      </w:r>
      <w:r>
        <w:rPr>
          <w:sz w:val="24"/>
        </w:rPr>
        <w:t>since</w:t>
      </w:r>
      <w:r>
        <w:rPr>
          <w:spacing w:val="-10"/>
          <w:sz w:val="24"/>
        </w:rPr>
        <w:t> </w:t>
      </w:r>
      <w:r>
        <w:rPr>
          <w:sz w:val="24"/>
        </w:rPr>
        <w:t>the</w:t>
      </w:r>
      <w:r>
        <w:rPr>
          <w:spacing w:val="-11"/>
          <w:sz w:val="24"/>
        </w:rPr>
        <w:t> </w:t>
      </w:r>
      <w:r>
        <w:rPr>
          <w:sz w:val="24"/>
        </w:rPr>
        <w:t>beginning</w:t>
      </w:r>
      <w:r>
        <w:rPr>
          <w:spacing w:val="-10"/>
          <w:sz w:val="24"/>
        </w:rPr>
        <w:t> </w:t>
      </w:r>
      <w:r>
        <w:rPr>
          <w:sz w:val="24"/>
        </w:rPr>
        <w:t>of 1996, consistent with the growth of real personal disposable income. Retail sales had risen by only 0.1% in April but the estimate for March in particular had been revised upwards. The Bank’s agents reported a sharp rise in spending at the end of March (which could account for the revision) followed by a slowdown in April and a pick up in May, but the CBI distributive trades survey indicated some deceleration of retail sales in May. Because of recent rises in the prices of shares, and particularly bank</w:t>
      </w:r>
      <w:r>
        <w:rPr>
          <w:spacing w:val="-13"/>
          <w:sz w:val="24"/>
        </w:rPr>
        <w:t> </w:t>
      </w:r>
      <w:r>
        <w:rPr>
          <w:sz w:val="24"/>
        </w:rPr>
        <w:t>shares,</w:t>
      </w:r>
      <w:r>
        <w:rPr>
          <w:spacing w:val="-12"/>
          <w:sz w:val="24"/>
        </w:rPr>
        <w:t> </w:t>
      </w:r>
      <w:r>
        <w:rPr>
          <w:sz w:val="24"/>
        </w:rPr>
        <w:t>the</w:t>
      </w:r>
      <w:r>
        <w:rPr>
          <w:spacing w:val="-12"/>
          <w:sz w:val="24"/>
        </w:rPr>
        <w:t> </w:t>
      </w:r>
      <w:r>
        <w:rPr>
          <w:sz w:val="24"/>
        </w:rPr>
        <w:t>expected</w:t>
      </w:r>
      <w:r>
        <w:rPr>
          <w:spacing w:val="-13"/>
          <w:sz w:val="24"/>
        </w:rPr>
        <w:t> </w:t>
      </w:r>
      <w:r>
        <w:rPr>
          <w:sz w:val="24"/>
        </w:rPr>
        <w:t>size</w:t>
      </w:r>
      <w:r>
        <w:rPr>
          <w:spacing w:val="-12"/>
          <w:sz w:val="24"/>
        </w:rPr>
        <w:t> </w:t>
      </w:r>
      <w:r>
        <w:rPr>
          <w:sz w:val="24"/>
        </w:rPr>
        <w:t>of</w:t>
      </w:r>
      <w:r>
        <w:rPr>
          <w:spacing w:val="-12"/>
          <w:sz w:val="24"/>
        </w:rPr>
        <w:t> </w:t>
      </w:r>
      <w:r>
        <w:rPr>
          <w:sz w:val="24"/>
        </w:rPr>
        <w:t>windfall</w:t>
      </w:r>
      <w:r>
        <w:rPr>
          <w:spacing w:val="-12"/>
          <w:sz w:val="24"/>
        </w:rPr>
        <w:t> </w:t>
      </w:r>
      <w:r>
        <w:rPr>
          <w:sz w:val="24"/>
        </w:rPr>
        <w:t>gains</w:t>
      </w:r>
      <w:r>
        <w:rPr>
          <w:spacing w:val="-13"/>
          <w:sz w:val="24"/>
        </w:rPr>
        <w:t> </w:t>
      </w:r>
      <w:r>
        <w:rPr>
          <w:sz w:val="24"/>
        </w:rPr>
        <w:t>arising</w:t>
      </w:r>
      <w:r>
        <w:rPr>
          <w:spacing w:val="-12"/>
          <w:sz w:val="24"/>
        </w:rPr>
        <w:t> </w:t>
      </w:r>
      <w:r>
        <w:rPr>
          <w:sz w:val="24"/>
        </w:rPr>
        <w:t>from</w:t>
      </w:r>
      <w:r>
        <w:rPr>
          <w:spacing w:val="-12"/>
          <w:sz w:val="24"/>
        </w:rPr>
        <w:t> </w:t>
      </w:r>
      <w:r>
        <w:rPr>
          <w:sz w:val="24"/>
        </w:rPr>
        <w:t>demutualisation</w:t>
      </w:r>
      <w:r>
        <w:rPr>
          <w:spacing w:val="-12"/>
          <w:sz w:val="24"/>
        </w:rPr>
        <w:t> </w:t>
      </w:r>
      <w:r>
        <w:rPr>
          <w:sz w:val="24"/>
        </w:rPr>
        <w:t>of</w:t>
      </w:r>
      <w:r>
        <w:rPr>
          <w:spacing w:val="-13"/>
          <w:sz w:val="24"/>
        </w:rPr>
        <w:t> </w:t>
      </w:r>
      <w:r>
        <w:rPr>
          <w:sz w:val="24"/>
        </w:rPr>
        <w:t>building</w:t>
      </w:r>
      <w:r>
        <w:rPr>
          <w:spacing w:val="-12"/>
          <w:sz w:val="24"/>
        </w:rPr>
        <w:t> </w:t>
      </w:r>
      <w:r>
        <w:rPr>
          <w:sz w:val="24"/>
        </w:rPr>
        <w:t>societies</w:t>
      </w:r>
      <w:r>
        <w:rPr>
          <w:spacing w:val="-12"/>
          <w:sz w:val="24"/>
        </w:rPr>
        <w:t> </w:t>
      </w:r>
      <w:r>
        <w:rPr>
          <w:spacing w:val="-2"/>
          <w:sz w:val="24"/>
        </w:rPr>
        <w:t>and </w:t>
      </w:r>
      <w:r>
        <w:rPr>
          <w:sz w:val="24"/>
        </w:rPr>
        <w:t>other institutions in 1997 had increased to perhaps £35 billion from the £28 billion quoted in the May </w:t>
      </w:r>
      <w:r>
        <w:rPr>
          <w:sz w:val="24"/>
          <w:u w:val="single"/>
        </w:rPr>
        <w:t>Inflation</w:t>
      </w:r>
      <w:r>
        <w:rPr>
          <w:spacing w:val="-19"/>
          <w:sz w:val="24"/>
          <w:u w:val="single"/>
        </w:rPr>
        <w:t> </w:t>
      </w:r>
      <w:r>
        <w:rPr>
          <w:sz w:val="24"/>
          <w:u w:val="single"/>
        </w:rPr>
        <w:t>Report</w:t>
      </w:r>
      <w:r>
        <w:rPr>
          <w:sz w:val="24"/>
        </w:rPr>
        <w:t>.</w:t>
      </w:r>
    </w:p>
    <w:p>
      <w:pPr>
        <w:spacing w:after="0" w:line="348" w:lineRule="auto"/>
        <w:jc w:val="left"/>
        <w:rPr>
          <w:sz w:val="24"/>
        </w:rPr>
        <w:sectPr>
          <w:headerReference w:type="default" r:id="rId6"/>
          <w:pgSz w:w="11900" w:h="16840"/>
          <w:pgMar w:header="746" w:footer="0" w:top="1240" w:bottom="280" w:left="880" w:right="860"/>
          <w:pgNumType w:start="2"/>
        </w:sectPr>
      </w:pPr>
    </w:p>
    <w:p>
      <w:pPr>
        <w:pStyle w:val="ListParagraph"/>
        <w:numPr>
          <w:ilvl w:val="0"/>
          <w:numId w:val="1"/>
        </w:numPr>
        <w:tabs>
          <w:tab w:pos="600" w:val="left" w:leader="none"/>
        </w:tabs>
        <w:spacing w:line="348" w:lineRule="auto" w:before="80" w:after="0"/>
        <w:ind w:left="200" w:right="190" w:firstLine="0"/>
        <w:jc w:val="left"/>
        <w:rPr>
          <w:sz w:val="24"/>
        </w:rPr>
      </w:pPr>
      <w:r>
        <w:rPr>
          <w:sz w:val="24"/>
        </w:rPr>
        <w:t>House</w:t>
      </w:r>
      <w:r>
        <w:rPr>
          <w:spacing w:val="-6"/>
          <w:sz w:val="24"/>
        </w:rPr>
        <w:t> </w:t>
      </w:r>
      <w:r>
        <w:rPr>
          <w:sz w:val="24"/>
        </w:rPr>
        <w:t>price</w:t>
      </w:r>
      <w:r>
        <w:rPr>
          <w:spacing w:val="-5"/>
          <w:sz w:val="24"/>
        </w:rPr>
        <w:t> </w:t>
      </w:r>
      <w:r>
        <w:rPr>
          <w:sz w:val="24"/>
        </w:rPr>
        <w:t>inflation</w:t>
      </w:r>
      <w:r>
        <w:rPr>
          <w:spacing w:val="-5"/>
          <w:sz w:val="24"/>
        </w:rPr>
        <w:t> </w:t>
      </w:r>
      <w:r>
        <w:rPr>
          <w:sz w:val="24"/>
        </w:rPr>
        <w:t>(measured</w:t>
      </w:r>
      <w:r>
        <w:rPr>
          <w:spacing w:val="-5"/>
          <w:sz w:val="24"/>
        </w:rPr>
        <w:t> </w:t>
      </w:r>
      <w:r>
        <w:rPr>
          <w:sz w:val="24"/>
        </w:rPr>
        <w:t>on</w:t>
      </w:r>
      <w:r>
        <w:rPr>
          <w:spacing w:val="-5"/>
          <w:sz w:val="24"/>
        </w:rPr>
        <w:t> </w:t>
      </w:r>
      <w:r>
        <w:rPr>
          <w:sz w:val="24"/>
        </w:rPr>
        <w:t>a</w:t>
      </w:r>
      <w:r>
        <w:rPr>
          <w:spacing w:val="-6"/>
          <w:sz w:val="24"/>
        </w:rPr>
        <w:t> </w:t>
      </w:r>
      <w:r>
        <w:rPr>
          <w:sz w:val="24"/>
        </w:rPr>
        <w:t>12-month</w:t>
      </w:r>
      <w:r>
        <w:rPr>
          <w:spacing w:val="-5"/>
          <w:sz w:val="24"/>
        </w:rPr>
        <w:t> </w:t>
      </w:r>
      <w:r>
        <w:rPr>
          <w:sz w:val="24"/>
        </w:rPr>
        <w:t>basis),</w:t>
      </w:r>
      <w:r>
        <w:rPr>
          <w:spacing w:val="-5"/>
          <w:sz w:val="24"/>
        </w:rPr>
        <w:t> </w:t>
      </w:r>
      <w:r>
        <w:rPr>
          <w:sz w:val="24"/>
        </w:rPr>
        <w:t>having</w:t>
      </w:r>
      <w:r>
        <w:rPr>
          <w:spacing w:val="-5"/>
          <w:sz w:val="24"/>
        </w:rPr>
        <w:t> </w:t>
      </w:r>
      <w:r>
        <w:rPr>
          <w:sz w:val="24"/>
        </w:rPr>
        <w:t>risen</w:t>
      </w:r>
      <w:r>
        <w:rPr>
          <w:spacing w:val="-5"/>
          <w:sz w:val="24"/>
        </w:rPr>
        <w:t> </w:t>
      </w:r>
      <w:r>
        <w:rPr>
          <w:sz w:val="24"/>
        </w:rPr>
        <w:t>quite</w:t>
      </w:r>
      <w:r>
        <w:rPr>
          <w:spacing w:val="-5"/>
          <w:sz w:val="24"/>
        </w:rPr>
        <w:t> </w:t>
      </w:r>
      <w:r>
        <w:rPr>
          <w:sz w:val="24"/>
        </w:rPr>
        <w:t>sharply</w:t>
      </w:r>
      <w:r>
        <w:rPr>
          <w:spacing w:val="-6"/>
          <w:sz w:val="24"/>
        </w:rPr>
        <w:t> </w:t>
      </w:r>
      <w:r>
        <w:rPr>
          <w:sz w:val="24"/>
        </w:rPr>
        <w:t>in</w:t>
      </w:r>
      <w:r>
        <w:rPr>
          <w:spacing w:val="-5"/>
          <w:sz w:val="24"/>
        </w:rPr>
        <w:t> </w:t>
      </w:r>
      <w:r>
        <w:rPr>
          <w:sz w:val="24"/>
        </w:rPr>
        <w:t>1996,</w:t>
      </w:r>
      <w:r>
        <w:rPr>
          <w:spacing w:val="-5"/>
          <w:sz w:val="24"/>
        </w:rPr>
        <w:t> </w:t>
      </w:r>
      <w:r>
        <w:rPr>
          <w:sz w:val="24"/>
        </w:rPr>
        <w:t>had</w:t>
      </w:r>
      <w:r>
        <w:rPr>
          <w:spacing w:val="-5"/>
          <w:sz w:val="24"/>
        </w:rPr>
        <w:t> </w:t>
      </w:r>
      <w:r>
        <w:rPr>
          <w:sz w:val="24"/>
        </w:rPr>
        <w:t>not risen appreciably further so far this year, though the Nationwide index suggested that there might have been a pick-up in May. Indicators of housing market activity showed a similar pattern, with relatively stable levels in 1997 after sharp rises in 1996, although mortgage approvals rose sharply in </w:t>
      </w:r>
      <w:r>
        <w:rPr>
          <w:spacing w:val="2"/>
          <w:sz w:val="24"/>
        </w:rPr>
        <w:t>April.</w:t>
      </w:r>
    </w:p>
    <w:p>
      <w:pPr>
        <w:pStyle w:val="BodyText"/>
        <w:spacing w:before="8"/>
        <w:rPr>
          <w:sz w:val="34"/>
        </w:rPr>
      </w:pPr>
    </w:p>
    <w:p>
      <w:pPr>
        <w:pStyle w:val="ListParagraph"/>
        <w:numPr>
          <w:ilvl w:val="0"/>
          <w:numId w:val="1"/>
        </w:numPr>
        <w:tabs>
          <w:tab w:pos="603" w:val="left" w:leader="none"/>
        </w:tabs>
        <w:spacing w:line="348" w:lineRule="auto" w:before="0" w:after="0"/>
        <w:ind w:left="200" w:right="300" w:firstLine="0"/>
        <w:jc w:val="left"/>
        <w:rPr>
          <w:sz w:val="24"/>
        </w:rPr>
      </w:pPr>
      <w:r>
        <w:rPr>
          <w:sz w:val="24"/>
        </w:rPr>
        <w:t>The small rise in total stocks in Q1 was broadly consistent with the expected longer-run trend of a falling stock-output ratio. Stocks had increased in the retailing, construction and manufacturing sectors. In manufacturing the rise had been concentrated in raw materials and work in progress; stocks of finished goods had</w:t>
      </w:r>
      <w:r>
        <w:rPr>
          <w:spacing w:val="-12"/>
          <w:sz w:val="24"/>
        </w:rPr>
        <w:t> </w:t>
      </w:r>
      <w:r>
        <w:rPr>
          <w:sz w:val="24"/>
        </w:rPr>
        <w:t>fallen.</w:t>
      </w:r>
    </w:p>
    <w:p>
      <w:pPr>
        <w:pStyle w:val="BodyText"/>
        <w:spacing w:before="8"/>
        <w:rPr>
          <w:sz w:val="34"/>
        </w:rPr>
      </w:pPr>
    </w:p>
    <w:p>
      <w:pPr>
        <w:pStyle w:val="ListParagraph"/>
        <w:numPr>
          <w:ilvl w:val="0"/>
          <w:numId w:val="1"/>
        </w:numPr>
        <w:tabs>
          <w:tab w:pos="605" w:val="left" w:leader="none"/>
        </w:tabs>
        <w:spacing w:line="348" w:lineRule="auto" w:before="0" w:after="0"/>
        <w:ind w:left="200" w:right="260" w:firstLine="0"/>
        <w:jc w:val="left"/>
        <w:rPr>
          <w:sz w:val="24"/>
        </w:rPr>
      </w:pPr>
      <w:r>
        <w:rPr>
          <w:sz w:val="24"/>
        </w:rPr>
        <w:t>There was as yet no clear downtrend in net exports. Exports to non-EU countries had risen sharply:  the USA had grown very fast in Q1, but it was expected by US commentators to slow down spontaneously. Net exports to EU countries had been resilient. GDP growth in France and Germany (though not Italy) had picked up to just below trend, but domestic demand growth in those countries had been</w:t>
      </w:r>
      <w:r>
        <w:rPr>
          <w:spacing w:val="-7"/>
          <w:sz w:val="24"/>
        </w:rPr>
        <w:t> </w:t>
      </w:r>
      <w:r>
        <w:rPr>
          <w:sz w:val="24"/>
        </w:rPr>
        <w:t>subdued.</w:t>
      </w:r>
    </w:p>
    <w:p>
      <w:pPr>
        <w:pStyle w:val="BodyText"/>
        <w:spacing w:before="9"/>
        <w:rPr>
          <w:sz w:val="34"/>
        </w:rPr>
      </w:pPr>
    </w:p>
    <w:p>
      <w:pPr>
        <w:pStyle w:val="ListParagraph"/>
        <w:numPr>
          <w:ilvl w:val="0"/>
          <w:numId w:val="1"/>
        </w:numPr>
        <w:tabs>
          <w:tab w:pos="598" w:val="left" w:leader="none"/>
        </w:tabs>
        <w:spacing w:line="348" w:lineRule="auto" w:before="0" w:after="0"/>
        <w:ind w:left="200" w:right="299" w:firstLine="0"/>
        <w:jc w:val="left"/>
        <w:rPr>
          <w:sz w:val="24"/>
        </w:rPr>
      </w:pPr>
      <w:r>
        <w:rPr>
          <w:sz w:val="24"/>
        </w:rPr>
        <w:t>Comment from the corporate sector suggested that the effects of exchange rate appreciation on net exports and output were likely to appear only after a lag, because of contracts in which the price and quantity were fixed for a period, because UK exporters seemed to be prepared to accept lower margins</w:t>
      </w:r>
      <w:r>
        <w:rPr>
          <w:spacing w:val="-5"/>
          <w:sz w:val="24"/>
        </w:rPr>
        <w:t> </w:t>
      </w:r>
      <w:r>
        <w:rPr>
          <w:sz w:val="24"/>
        </w:rPr>
        <w:t>for</w:t>
      </w:r>
      <w:r>
        <w:rPr>
          <w:spacing w:val="-4"/>
          <w:sz w:val="24"/>
        </w:rPr>
        <w:t> </w:t>
      </w:r>
      <w:r>
        <w:rPr>
          <w:sz w:val="24"/>
        </w:rPr>
        <w:t>a</w:t>
      </w:r>
      <w:r>
        <w:rPr>
          <w:spacing w:val="-4"/>
          <w:sz w:val="24"/>
        </w:rPr>
        <w:t> </w:t>
      </w:r>
      <w:r>
        <w:rPr>
          <w:sz w:val="24"/>
        </w:rPr>
        <w:t>period</w:t>
      </w:r>
      <w:r>
        <w:rPr>
          <w:spacing w:val="-4"/>
          <w:sz w:val="24"/>
        </w:rPr>
        <w:t> </w:t>
      </w:r>
      <w:r>
        <w:rPr>
          <w:sz w:val="24"/>
        </w:rPr>
        <w:t>in</w:t>
      </w:r>
      <w:r>
        <w:rPr>
          <w:spacing w:val="-5"/>
          <w:sz w:val="24"/>
        </w:rPr>
        <w:t> </w:t>
      </w:r>
      <w:r>
        <w:rPr>
          <w:sz w:val="24"/>
        </w:rPr>
        <w:t>order</w:t>
      </w:r>
      <w:r>
        <w:rPr>
          <w:spacing w:val="-4"/>
          <w:sz w:val="24"/>
        </w:rPr>
        <w:t> </w:t>
      </w:r>
      <w:r>
        <w:rPr>
          <w:sz w:val="24"/>
        </w:rPr>
        <w:t>not</w:t>
      </w:r>
      <w:r>
        <w:rPr>
          <w:spacing w:val="-4"/>
          <w:sz w:val="24"/>
        </w:rPr>
        <w:t> </w:t>
      </w:r>
      <w:r>
        <w:rPr>
          <w:sz w:val="24"/>
        </w:rPr>
        <w:t>to</w:t>
      </w:r>
      <w:r>
        <w:rPr>
          <w:spacing w:val="-4"/>
          <w:sz w:val="24"/>
        </w:rPr>
        <w:t> </w:t>
      </w:r>
      <w:r>
        <w:rPr>
          <w:sz w:val="24"/>
        </w:rPr>
        <w:t>lose</w:t>
      </w:r>
      <w:r>
        <w:rPr>
          <w:spacing w:val="-4"/>
          <w:sz w:val="24"/>
        </w:rPr>
        <w:t> </w:t>
      </w:r>
      <w:r>
        <w:rPr>
          <w:sz w:val="24"/>
        </w:rPr>
        <w:t>markets</w:t>
      </w:r>
      <w:r>
        <w:rPr>
          <w:spacing w:val="-5"/>
          <w:sz w:val="24"/>
        </w:rPr>
        <w:t> </w:t>
      </w:r>
      <w:r>
        <w:rPr>
          <w:sz w:val="24"/>
        </w:rPr>
        <w:t>that</w:t>
      </w:r>
      <w:r>
        <w:rPr>
          <w:spacing w:val="-4"/>
          <w:sz w:val="24"/>
        </w:rPr>
        <w:t> </w:t>
      </w:r>
      <w:r>
        <w:rPr>
          <w:sz w:val="24"/>
        </w:rPr>
        <w:t>had</w:t>
      </w:r>
      <w:r>
        <w:rPr>
          <w:spacing w:val="-4"/>
          <w:sz w:val="24"/>
        </w:rPr>
        <w:t> </w:t>
      </w:r>
      <w:r>
        <w:rPr>
          <w:sz w:val="24"/>
        </w:rPr>
        <w:t>taken</w:t>
      </w:r>
      <w:r>
        <w:rPr>
          <w:spacing w:val="-4"/>
          <w:sz w:val="24"/>
        </w:rPr>
        <w:t> </w:t>
      </w:r>
      <w:r>
        <w:rPr>
          <w:sz w:val="24"/>
        </w:rPr>
        <w:t>time</w:t>
      </w:r>
      <w:r>
        <w:rPr>
          <w:spacing w:val="-4"/>
          <w:sz w:val="24"/>
        </w:rPr>
        <w:t> </w:t>
      </w:r>
      <w:r>
        <w:rPr>
          <w:sz w:val="24"/>
        </w:rPr>
        <w:t>to</w:t>
      </w:r>
      <w:r>
        <w:rPr>
          <w:spacing w:val="-5"/>
          <w:sz w:val="24"/>
        </w:rPr>
        <w:t> </w:t>
      </w:r>
      <w:r>
        <w:rPr>
          <w:sz w:val="24"/>
        </w:rPr>
        <w:t>develop,</w:t>
      </w:r>
      <w:r>
        <w:rPr>
          <w:spacing w:val="-4"/>
          <w:sz w:val="24"/>
        </w:rPr>
        <w:t> </w:t>
      </w:r>
      <w:r>
        <w:rPr>
          <w:sz w:val="24"/>
        </w:rPr>
        <w:t>and</w:t>
      </w:r>
      <w:r>
        <w:rPr>
          <w:spacing w:val="-4"/>
          <w:sz w:val="24"/>
        </w:rPr>
        <w:t> </w:t>
      </w:r>
      <w:r>
        <w:rPr>
          <w:sz w:val="24"/>
        </w:rPr>
        <w:t>because</w:t>
      </w:r>
      <w:r>
        <w:rPr>
          <w:spacing w:val="-4"/>
          <w:sz w:val="24"/>
        </w:rPr>
        <w:t> </w:t>
      </w:r>
      <w:r>
        <w:rPr>
          <w:sz w:val="24"/>
        </w:rPr>
        <w:t>in</w:t>
      </w:r>
      <w:r>
        <w:rPr>
          <w:spacing w:val="-4"/>
          <w:sz w:val="24"/>
        </w:rPr>
        <w:t> </w:t>
      </w:r>
      <w:r>
        <w:rPr>
          <w:sz w:val="24"/>
        </w:rPr>
        <w:t>some cases forward cover taken out by either the exporter or importer meant that the exchange rate appreciation had not yet affected either party’s profits. Some manufacturers expected to benefit from lower imported material prices. Nevertheless, the Agents reported that some companies had lost export orders, and that cheaper imports had made domestic markets more competitive. Manufacturers’ output expectations were still positive according to the CBI and CIPS surveys although export orders were</w:t>
      </w:r>
      <w:r>
        <w:rPr>
          <w:spacing w:val="-19"/>
          <w:sz w:val="24"/>
        </w:rPr>
        <w:t> </w:t>
      </w:r>
      <w:r>
        <w:rPr>
          <w:sz w:val="24"/>
        </w:rPr>
        <w:t>weakening.</w:t>
      </w:r>
    </w:p>
    <w:p>
      <w:pPr>
        <w:pStyle w:val="BodyText"/>
        <w:spacing w:before="8"/>
        <w:rPr>
          <w:sz w:val="34"/>
        </w:rPr>
      </w:pPr>
    </w:p>
    <w:p>
      <w:pPr>
        <w:pStyle w:val="Heading1"/>
        <w:numPr>
          <w:ilvl w:val="0"/>
          <w:numId w:val="2"/>
        </w:numPr>
        <w:tabs>
          <w:tab w:pos="698" w:val="left" w:leader="none"/>
          <w:tab w:pos="699" w:val="left" w:leader="none"/>
        </w:tabs>
        <w:spacing w:line="240" w:lineRule="auto" w:before="0" w:after="0"/>
        <w:ind w:left="698" w:right="0" w:hanging="499"/>
        <w:jc w:val="left"/>
      </w:pPr>
      <w:r>
        <w:rPr>
          <w:spacing w:val="-4"/>
        </w:rPr>
        <w:t>Labour</w:t>
      </w:r>
      <w:r>
        <w:rPr>
          <w:spacing w:val="-7"/>
        </w:rPr>
        <w:t> </w:t>
      </w:r>
      <w:r>
        <w:rPr>
          <w:spacing w:val="-4"/>
        </w:rPr>
        <w:t>market</w:t>
      </w:r>
    </w:p>
    <w:p>
      <w:pPr>
        <w:pStyle w:val="BodyText"/>
        <w:rPr>
          <w:b/>
          <w:sz w:val="26"/>
        </w:rPr>
      </w:pPr>
    </w:p>
    <w:p>
      <w:pPr>
        <w:pStyle w:val="ListParagraph"/>
        <w:numPr>
          <w:ilvl w:val="0"/>
          <w:numId w:val="1"/>
        </w:numPr>
        <w:tabs>
          <w:tab w:pos="604" w:val="left" w:leader="none"/>
        </w:tabs>
        <w:spacing w:line="348" w:lineRule="auto" w:before="225" w:after="0"/>
        <w:ind w:left="200" w:right="282" w:firstLine="0"/>
        <w:jc w:val="left"/>
        <w:rPr>
          <w:sz w:val="24"/>
        </w:rPr>
      </w:pPr>
      <w:r>
        <w:rPr>
          <w:sz w:val="24"/>
        </w:rPr>
        <w:t>Indicators of employment and unemployment pointed to a rapidly tightening labour market. Income from employment had risen unusually fast in Q1, by 2.1%. Claimant unemployment had fallen by 59,000 in April. Unfilled vacancies, which edged up further, were at their highest since the series began in 1980. The Agents were reporting growing skill shortages, and the fact that receipts</w:t>
      </w:r>
      <w:r>
        <w:rPr>
          <w:spacing w:val="-41"/>
          <w:sz w:val="24"/>
        </w:rPr>
        <w:t> </w:t>
      </w:r>
      <w:r>
        <w:rPr>
          <w:sz w:val="24"/>
        </w:rPr>
        <w:t>of PAYE and national insurance contributions had been unexpectedly high in April suggested that employment income growth was remaining strong. Surveys showed increasing percentages of employers planning to</w:t>
      </w:r>
      <w:r>
        <w:rPr>
          <w:spacing w:val="3"/>
          <w:sz w:val="24"/>
        </w:rPr>
        <w:t> </w:t>
      </w:r>
      <w:r>
        <w:rPr>
          <w:sz w:val="24"/>
        </w:rPr>
        <w:t>recruit.</w:t>
      </w:r>
    </w:p>
    <w:p>
      <w:pPr>
        <w:spacing w:after="0" w:line="348" w:lineRule="auto"/>
        <w:jc w:val="left"/>
        <w:rPr>
          <w:sz w:val="24"/>
        </w:rPr>
        <w:sectPr>
          <w:pgSz w:w="11900" w:h="16840"/>
          <w:pgMar w:header="746" w:footer="0" w:top="1240" w:bottom="280" w:left="880" w:right="860"/>
        </w:sectPr>
      </w:pPr>
    </w:p>
    <w:p>
      <w:pPr>
        <w:pStyle w:val="ListParagraph"/>
        <w:numPr>
          <w:ilvl w:val="0"/>
          <w:numId w:val="1"/>
        </w:numPr>
        <w:tabs>
          <w:tab w:pos="599" w:val="left" w:leader="none"/>
        </w:tabs>
        <w:spacing w:line="348" w:lineRule="auto" w:before="80" w:after="0"/>
        <w:ind w:left="200" w:right="208" w:firstLine="0"/>
        <w:jc w:val="left"/>
        <w:rPr>
          <w:sz w:val="24"/>
        </w:rPr>
      </w:pPr>
      <w:r>
        <w:rPr>
          <w:sz w:val="24"/>
        </w:rPr>
        <w:t>Recent claimant unemployment figures had been influenced by the introduction of the Job Seekers’ Allowance. Claimants now had to sign a Job Seekers’ Agreement, and to be genuinely seeking work, in order to be eligible for benefit, which was now available without means testing </w:t>
      </w:r>
      <w:r>
        <w:rPr>
          <w:spacing w:val="-2"/>
          <w:sz w:val="24"/>
        </w:rPr>
        <w:t>for </w:t>
      </w:r>
      <w:r>
        <w:rPr>
          <w:sz w:val="24"/>
        </w:rPr>
        <w:t>six months rather than 12 as hitherto. The six month transition period ended in April, by when all claimants</w:t>
      </w:r>
      <w:r>
        <w:rPr>
          <w:spacing w:val="-11"/>
          <w:sz w:val="24"/>
        </w:rPr>
        <w:t> </w:t>
      </w:r>
      <w:r>
        <w:rPr>
          <w:sz w:val="24"/>
        </w:rPr>
        <w:t>had</w:t>
      </w:r>
      <w:r>
        <w:rPr>
          <w:spacing w:val="-11"/>
          <w:sz w:val="24"/>
        </w:rPr>
        <w:t> </w:t>
      </w:r>
      <w:r>
        <w:rPr>
          <w:sz w:val="24"/>
        </w:rPr>
        <w:t>to</w:t>
      </w:r>
      <w:r>
        <w:rPr>
          <w:spacing w:val="-11"/>
          <w:sz w:val="24"/>
        </w:rPr>
        <w:t> </w:t>
      </w:r>
      <w:r>
        <w:rPr>
          <w:sz w:val="24"/>
        </w:rPr>
        <w:t>have</w:t>
      </w:r>
      <w:r>
        <w:rPr>
          <w:spacing w:val="-11"/>
          <w:sz w:val="24"/>
        </w:rPr>
        <w:t> </w:t>
      </w:r>
      <w:r>
        <w:rPr>
          <w:sz w:val="24"/>
        </w:rPr>
        <w:t>signed</w:t>
      </w:r>
      <w:r>
        <w:rPr>
          <w:spacing w:val="-11"/>
          <w:sz w:val="24"/>
        </w:rPr>
        <w:t> </w:t>
      </w:r>
      <w:r>
        <w:rPr>
          <w:sz w:val="24"/>
        </w:rPr>
        <w:t>a</w:t>
      </w:r>
      <w:r>
        <w:rPr>
          <w:spacing w:val="-10"/>
          <w:sz w:val="24"/>
        </w:rPr>
        <w:t> </w:t>
      </w:r>
      <w:r>
        <w:rPr>
          <w:sz w:val="24"/>
        </w:rPr>
        <w:t>Job</w:t>
      </w:r>
      <w:r>
        <w:rPr>
          <w:spacing w:val="-11"/>
          <w:sz w:val="24"/>
        </w:rPr>
        <w:t> </w:t>
      </w:r>
      <w:r>
        <w:rPr>
          <w:sz w:val="24"/>
        </w:rPr>
        <w:t>Seekers’</w:t>
      </w:r>
      <w:r>
        <w:rPr>
          <w:spacing w:val="-11"/>
          <w:sz w:val="24"/>
        </w:rPr>
        <w:t> </w:t>
      </w:r>
      <w:r>
        <w:rPr>
          <w:sz w:val="24"/>
        </w:rPr>
        <w:t>Agreement.</w:t>
      </w:r>
      <w:r>
        <w:rPr>
          <w:spacing w:val="40"/>
          <w:sz w:val="24"/>
        </w:rPr>
        <w:t> </w:t>
      </w:r>
      <w:r>
        <w:rPr>
          <w:sz w:val="24"/>
        </w:rPr>
        <w:t>The</w:t>
      </w:r>
      <w:r>
        <w:rPr>
          <w:spacing w:val="-11"/>
          <w:sz w:val="24"/>
        </w:rPr>
        <w:t> </w:t>
      </w:r>
      <w:r>
        <w:rPr>
          <w:sz w:val="24"/>
        </w:rPr>
        <w:t>changes</w:t>
      </w:r>
      <w:r>
        <w:rPr>
          <w:spacing w:val="-10"/>
          <w:sz w:val="24"/>
        </w:rPr>
        <w:t> </w:t>
      </w:r>
      <w:r>
        <w:rPr>
          <w:sz w:val="24"/>
        </w:rPr>
        <w:t>had</w:t>
      </w:r>
      <w:r>
        <w:rPr>
          <w:spacing w:val="-11"/>
          <w:sz w:val="24"/>
        </w:rPr>
        <w:t> </w:t>
      </w:r>
      <w:r>
        <w:rPr>
          <w:sz w:val="24"/>
        </w:rPr>
        <w:t>deterred</w:t>
      </w:r>
      <w:r>
        <w:rPr>
          <w:spacing w:val="-11"/>
          <w:sz w:val="24"/>
        </w:rPr>
        <w:t> </w:t>
      </w:r>
      <w:r>
        <w:rPr>
          <w:sz w:val="24"/>
        </w:rPr>
        <w:t>a</w:t>
      </w:r>
      <w:r>
        <w:rPr>
          <w:spacing w:val="-11"/>
          <w:sz w:val="24"/>
        </w:rPr>
        <w:t> </w:t>
      </w:r>
      <w:r>
        <w:rPr>
          <w:sz w:val="24"/>
        </w:rPr>
        <w:t>number</w:t>
      </w:r>
      <w:r>
        <w:rPr>
          <w:spacing w:val="-11"/>
          <w:sz w:val="24"/>
        </w:rPr>
        <w:t> </w:t>
      </w:r>
      <w:r>
        <w:rPr>
          <w:sz w:val="24"/>
        </w:rPr>
        <w:t>of</w:t>
      </w:r>
      <w:r>
        <w:rPr>
          <w:spacing w:val="-10"/>
          <w:sz w:val="24"/>
        </w:rPr>
        <w:t> </w:t>
      </w:r>
      <w:r>
        <w:rPr>
          <w:spacing w:val="-2"/>
          <w:sz w:val="24"/>
        </w:rPr>
        <w:t>former </w:t>
      </w:r>
      <w:r>
        <w:rPr>
          <w:sz w:val="24"/>
        </w:rPr>
        <w:t>claimants. Analysis by Bank staff suggested that about half of the fall in claimant unemployment over the six months to April might be attributed to non-searching claimants leaving the register. Excluding</w:t>
      </w:r>
      <w:r>
        <w:rPr>
          <w:spacing w:val="-6"/>
          <w:sz w:val="24"/>
        </w:rPr>
        <w:t> </w:t>
      </w:r>
      <w:r>
        <w:rPr>
          <w:sz w:val="24"/>
        </w:rPr>
        <w:t>the</w:t>
      </w:r>
      <w:r>
        <w:rPr>
          <w:spacing w:val="-5"/>
          <w:sz w:val="24"/>
        </w:rPr>
        <w:t> </w:t>
      </w:r>
      <w:r>
        <w:rPr>
          <w:sz w:val="24"/>
        </w:rPr>
        <w:t>JSA</w:t>
      </w:r>
      <w:r>
        <w:rPr>
          <w:spacing w:val="-6"/>
          <w:sz w:val="24"/>
        </w:rPr>
        <w:t> </w:t>
      </w:r>
      <w:r>
        <w:rPr>
          <w:sz w:val="24"/>
        </w:rPr>
        <w:t>deterrent</w:t>
      </w:r>
      <w:r>
        <w:rPr>
          <w:spacing w:val="-5"/>
          <w:sz w:val="24"/>
        </w:rPr>
        <w:t> </w:t>
      </w:r>
      <w:r>
        <w:rPr>
          <w:sz w:val="24"/>
        </w:rPr>
        <w:t>effect,</w:t>
      </w:r>
      <w:r>
        <w:rPr>
          <w:spacing w:val="-5"/>
          <w:sz w:val="24"/>
        </w:rPr>
        <w:t> </w:t>
      </w:r>
      <w:r>
        <w:rPr>
          <w:sz w:val="24"/>
        </w:rPr>
        <w:t>the</w:t>
      </w:r>
      <w:r>
        <w:rPr>
          <w:spacing w:val="-6"/>
          <w:sz w:val="24"/>
        </w:rPr>
        <w:t> </w:t>
      </w:r>
      <w:r>
        <w:rPr>
          <w:sz w:val="24"/>
        </w:rPr>
        <w:t>monthly</w:t>
      </w:r>
      <w:r>
        <w:rPr>
          <w:spacing w:val="-5"/>
          <w:sz w:val="24"/>
        </w:rPr>
        <w:t> </w:t>
      </w:r>
      <w:r>
        <w:rPr>
          <w:sz w:val="24"/>
        </w:rPr>
        <w:t>fall</w:t>
      </w:r>
      <w:r>
        <w:rPr>
          <w:spacing w:val="-5"/>
          <w:sz w:val="24"/>
        </w:rPr>
        <w:t> </w:t>
      </w:r>
      <w:r>
        <w:rPr>
          <w:sz w:val="24"/>
        </w:rPr>
        <w:t>in</w:t>
      </w:r>
      <w:r>
        <w:rPr>
          <w:spacing w:val="-6"/>
          <w:sz w:val="24"/>
        </w:rPr>
        <w:t> </w:t>
      </w:r>
      <w:r>
        <w:rPr>
          <w:sz w:val="24"/>
        </w:rPr>
        <w:t>unemployment</w:t>
      </w:r>
      <w:r>
        <w:rPr>
          <w:spacing w:val="-5"/>
          <w:sz w:val="24"/>
        </w:rPr>
        <w:t> </w:t>
      </w:r>
      <w:r>
        <w:rPr>
          <w:sz w:val="24"/>
        </w:rPr>
        <w:t>seemed</w:t>
      </w:r>
      <w:r>
        <w:rPr>
          <w:spacing w:val="-5"/>
          <w:sz w:val="24"/>
        </w:rPr>
        <w:t> </w:t>
      </w:r>
      <w:r>
        <w:rPr>
          <w:sz w:val="24"/>
        </w:rPr>
        <w:t>to</w:t>
      </w:r>
      <w:r>
        <w:rPr>
          <w:spacing w:val="-6"/>
          <w:sz w:val="24"/>
        </w:rPr>
        <w:t> </w:t>
      </w:r>
      <w:r>
        <w:rPr>
          <w:sz w:val="24"/>
        </w:rPr>
        <w:t>have</w:t>
      </w:r>
      <w:r>
        <w:rPr>
          <w:spacing w:val="-5"/>
          <w:sz w:val="24"/>
        </w:rPr>
        <w:t> </w:t>
      </w:r>
      <w:r>
        <w:rPr>
          <w:sz w:val="24"/>
        </w:rPr>
        <w:t>been</w:t>
      </w:r>
      <w:r>
        <w:rPr>
          <w:spacing w:val="-5"/>
          <w:sz w:val="24"/>
        </w:rPr>
        <w:t> </w:t>
      </w:r>
      <w:r>
        <w:rPr>
          <w:sz w:val="24"/>
        </w:rPr>
        <w:t>around</w:t>
      </w:r>
    </w:p>
    <w:p>
      <w:pPr>
        <w:pStyle w:val="BodyText"/>
        <w:spacing w:line="275" w:lineRule="exact"/>
        <w:ind w:left="200"/>
      </w:pPr>
      <w:r>
        <w:rPr/>
        <w:t>30-35,000.</w:t>
      </w:r>
    </w:p>
    <w:p>
      <w:pPr>
        <w:pStyle w:val="BodyText"/>
        <w:rPr>
          <w:sz w:val="26"/>
        </w:rPr>
      </w:pPr>
    </w:p>
    <w:p>
      <w:pPr>
        <w:pStyle w:val="ListParagraph"/>
        <w:numPr>
          <w:ilvl w:val="0"/>
          <w:numId w:val="1"/>
        </w:numPr>
        <w:tabs>
          <w:tab w:pos="597" w:val="left" w:leader="none"/>
        </w:tabs>
        <w:spacing w:line="348" w:lineRule="auto" w:before="225" w:after="0"/>
        <w:ind w:left="200" w:right="226" w:firstLine="0"/>
        <w:jc w:val="left"/>
        <w:rPr>
          <w:sz w:val="24"/>
        </w:rPr>
      </w:pPr>
      <w:r>
        <w:rPr>
          <w:sz w:val="24"/>
        </w:rPr>
        <w:t>The main news about earnings was the downward revision of estimated underlying average earnings growth in the year to February from 5% to 4 1/2%, at which rate it remained in March. About half of that revision reflected late information. In addition, the estimate of underlying average earnings incorporated a forecast of earnings a month ahead because it was a 3-month centred </w:t>
      </w:r>
      <w:r>
        <w:rPr>
          <w:spacing w:val="-2"/>
          <w:sz w:val="24"/>
        </w:rPr>
        <w:t>moving </w:t>
      </w:r>
      <w:r>
        <w:rPr>
          <w:sz w:val="24"/>
        </w:rPr>
        <w:t>average. The ONS had over-forecast bonus payments in March when compiling the February figure, and had corrected the over-forecast when revising the figure. The Bank staff estimate of underlying average</w:t>
      </w:r>
      <w:r>
        <w:rPr>
          <w:spacing w:val="-12"/>
          <w:sz w:val="24"/>
        </w:rPr>
        <w:t> </w:t>
      </w:r>
      <w:r>
        <w:rPr>
          <w:sz w:val="24"/>
        </w:rPr>
        <w:t>earnings</w:t>
      </w:r>
      <w:r>
        <w:rPr>
          <w:spacing w:val="-12"/>
          <w:sz w:val="24"/>
        </w:rPr>
        <w:t> </w:t>
      </w:r>
      <w:r>
        <w:rPr>
          <w:sz w:val="24"/>
        </w:rPr>
        <w:t>growth</w:t>
      </w:r>
      <w:r>
        <w:rPr>
          <w:spacing w:val="-12"/>
          <w:sz w:val="24"/>
        </w:rPr>
        <w:t> </w:t>
      </w:r>
      <w:r>
        <w:rPr>
          <w:sz w:val="24"/>
        </w:rPr>
        <w:t>excluding</w:t>
      </w:r>
      <w:r>
        <w:rPr>
          <w:spacing w:val="-12"/>
          <w:sz w:val="24"/>
        </w:rPr>
        <w:t> </w:t>
      </w:r>
      <w:r>
        <w:rPr>
          <w:sz w:val="24"/>
        </w:rPr>
        <w:t>bonuses</w:t>
      </w:r>
      <w:r>
        <w:rPr>
          <w:spacing w:val="-12"/>
          <w:sz w:val="24"/>
        </w:rPr>
        <w:t> </w:t>
      </w:r>
      <w:r>
        <w:rPr>
          <w:sz w:val="24"/>
        </w:rPr>
        <w:t>had</w:t>
      </w:r>
      <w:r>
        <w:rPr>
          <w:spacing w:val="-11"/>
          <w:sz w:val="24"/>
        </w:rPr>
        <w:t> </w:t>
      </w:r>
      <w:r>
        <w:rPr>
          <w:sz w:val="24"/>
        </w:rPr>
        <w:t>been</w:t>
      </w:r>
      <w:r>
        <w:rPr>
          <w:spacing w:val="-12"/>
          <w:sz w:val="24"/>
        </w:rPr>
        <w:t> </w:t>
      </w:r>
      <w:r>
        <w:rPr>
          <w:sz w:val="24"/>
        </w:rPr>
        <w:t>revised</w:t>
      </w:r>
      <w:r>
        <w:rPr>
          <w:spacing w:val="-12"/>
          <w:sz w:val="24"/>
        </w:rPr>
        <w:t> </w:t>
      </w:r>
      <w:r>
        <w:rPr>
          <w:sz w:val="24"/>
        </w:rPr>
        <w:t>down</w:t>
      </w:r>
      <w:r>
        <w:rPr>
          <w:spacing w:val="-12"/>
          <w:sz w:val="24"/>
        </w:rPr>
        <w:t> </w:t>
      </w:r>
      <w:r>
        <w:rPr>
          <w:sz w:val="24"/>
        </w:rPr>
        <w:t>as</w:t>
      </w:r>
      <w:r>
        <w:rPr>
          <w:spacing w:val="-12"/>
          <w:sz w:val="24"/>
        </w:rPr>
        <w:t> </w:t>
      </w:r>
      <w:r>
        <w:rPr>
          <w:sz w:val="24"/>
        </w:rPr>
        <w:t>a</w:t>
      </w:r>
      <w:r>
        <w:rPr>
          <w:spacing w:val="-11"/>
          <w:sz w:val="24"/>
        </w:rPr>
        <w:t> </w:t>
      </w:r>
      <w:r>
        <w:rPr>
          <w:sz w:val="24"/>
        </w:rPr>
        <w:t>result</w:t>
      </w:r>
      <w:r>
        <w:rPr>
          <w:spacing w:val="-12"/>
          <w:sz w:val="24"/>
        </w:rPr>
        <w:t> </w:t>
      </w:r>
      <w:r>
        <w:rPr>
          <w:sz w:val="24"/>
        </w:rPr>
        <w:t>of</w:t>
      </w:r>
      <w:r>
        <w:rPr>
          <w:spacing w:val="-12"/>
          <w:sz w:val="24"/>
        </w:rPr>
        <w:t> </w:t>
      </w:r>
      <w:r>
        <w:rPr>
          <w:sz w:val="24"/>
        </w:rPr>
        <w:t>the</w:t>
      </w:r>
      <w:r>
        <w:rPr>
          <w:spacing w:val="-12"/>
          <w:sz w:val="24"/>
        </w:rPr>
        <w:t> </w:t>
      </w:r>
      <w:r>
        <w:rPr>
          <w:sz w:val="24"/>
        </w:rPr>
        <w:t>ONS</w:t>
      </w:r>
      <w:r>
        <w:rPr>
          <w:spacing w:val="-12"/>
          <w:sz w:val="24"/>
        </w:rPr>
        <w:t> </w:t>
      </w:r>
      <w:r>
        <w:rPr>
          <w:sz w:val="24"/>
        </w:rPr>
        <w:t>revision,</w:t>
      </w:r>
      <w:r>
        <w:rPr>
          <w:spacing w:val="-11"/>
          <w:sz w:val="24"/>
        </w:rPr>
        <w:t> </w:t>
      </w:r>
      <w:r>
        <w:rPr>
          <w:spacing w:val="-2"/>
          <w:sz w:val="24"/>
        </w:rPr>
        <w:t>but </w:t>
      </w:r>
      <w:r>
        <w:rPr>
          <w:sz w:val="24"/>
        </w:rPr>
        <w:t>only slightly: from 4 1/2% to 4 1/4-4</w:t>
      </w:r>
      <w:r>
        <w:rPr>
          <w:spacing w:val="-11"/>
          <w:sz w:val="24"/>
        </w:rPr>
        <w:t> </w:t>
      </w:r>
      <w:r>
        <w:rPr>
          <w:sz w:val="24"/>
        </w:rPr>
        <w:t>1/2%.</w:t>
      </w:r>
    </w:p>
    <w:p>
      <w:pPr>
        <w:pStyle w:val="BodyText"/>
        <w:spacing w:before="8"/>
        <w:rPr>
          <w:sz w:val="34"/>
        </w:rPr>
      </w:pPr>
    </w:p>
    <w:p>
      <w:pPr>
        <w:pStyle w:val="ListParagraph"/>
        <w:numPr>
          <w:ilvl w:val="0"/>
          <w:numId w:val="1"/>
        </w:numPr>
        <w:tabs>
          <w:tab w:pos="596" w:val="left" w:leader="none"/>
        </w:tabs>
        <w:spacing w:line="348" w:lineRule="auto" w:before="0" w:after="0"/>
        <w:ind w:left="200" w:right="644" w:firstLine="0"/>
        <w:jc w:val="left"/>
        <w:rPr>
          <w:sz w:val="24"/>
        </w:rPr>
      </w:pPr>
      <w:r>
        <w:rPr>
          <w:sz w:val="24"/>
        </w:rPr>
        <w:t>Average</w:t>
      </w:r>
      <w:r>
        <w:rPr>
          <w:spacing w:val="-11"/>
          <w:sz w:val="24"/>
        </w:rPr>
        <w:t> </w:t>
      </w:r>
      <w:r>
        <w:rPr>
          <w:sz w:val="24"/>
        </w:rPr>
        <w:t>earnings</w:t>
      </w:r>
      <w:r>
        <w:rPr>
          <w:spacing w:val="-10"/>
          <w:sz w:val="24"/>
        </w:rPr>
        <w:t> </w:t>
      </w:r>
      <w:r>
        <w:rPr>
          <w:sz w:val="24"/>
        </w:rPr>
        <w:t>had</w:t>
      </w:r>
      <w:r>
        <w:rPr>
          <w:spacing w:val="-10"/>
          <w:sz w:val="24"/>
        </w:rPr>
        <w:t> </w:t>
      </w:r>
      <w:r>
        <w:rPr>
          <w:sz w:val="24"/>
        </w:rPr>
        <w:t>been</w:t>
      </w:r>
      <w:r>
        <w:rPr>
          <w:spacing w:val="-10"/>
          <w:sz w:val="24"/>
        </w:rPr>
        <w:t> </w:t>
      </w:r>
      <w:r>
        <w:rPr>
          <w:sz w:val="24"/>
        </w:rPr>
        <w:t>growing</w:t>
      </w:r>
      <w:r>
        <w:rPr>
          <w:spacing w:val="-10"/>
          <w:sz w:val="24"/>
        </w:rPr>
        <w:t> </w:t>
      </w:r>
      <w:r>
        <w:rPr>
          <w:sz w:val="24"/>
        </w:rPr>
        <w:t>faster</w:t>
      </w:r>
      <w:r>
        <w:rPr>
          <w:spacing w:val="-11"/>
          <w:sz w:val="24"/>
        </w:rPr>
        <w:t> </w:t>
      </w:r>
      <w:r>
        <w:rPr>
          <w:sz w:val="24"/>
        </w:rPr>
        <w:t>in</w:t>
      </w:r>
      <w:r>
        <w:rPr>
          <w:spacing w:val="-10"/>
          <w:sz w:val="24"/>
        </w:rPr>
        <w:t> </w:t>
      </w:r>
      <w:r>
        <w:rPr>
          <w:sz w:val="24"/>
        </w:rPr>
        <w:t>the</w:t>
      </w:r>
      <w:r>
        <w:rPr>
          <w:spacing w:val="-10"/>
          <w:sz w:val="24"/>
        </w:rPr>
        <w:t> </w:t>
      </w:r>
      <w:r>
        <w:rPr>
          <w:sz w:val="24"/>
        </w:rPr>
        <w:t>private</w:t>
      </w:r>
      <w:r>
        <w:rPr>
          <w:spacing w:val="-10"/>
          <w:sz w:val="24"/>
        </w:rPr>
        <w:t> </w:t>
      </w:r>
      <w:r>
        <w:rPr>
          <w:sz w:val="24"/>
        </w:rPr>
        <w:t>than</w:t>
      </w:r>
      <w:r>
        <w:rPr>
          <w:spacing w:val="-10"/>
          <w:sz w:val="24"/>
        </w:rPr>
        <w:t> </w:t>
      </w:r>
      <w:r>
        <w:rPr>
          <w:sz w:val="24"/>
        </w:rPr>
        <w:t>in</w:t>
      </w:r>
      <w:r>
        <w:rPr>
          <w:spacing w:val="-11"/>
          <w:sz w:val="24"/>
        </w:rPr>
        <w:t> </w:t>
      </w:r>
      <w:r>
        <w:rPr>
          <w:sz w:val="24"/>
        </w:rPr>
        <w:t>the</w:t>
      </w:r>
      <w:r>
        <w:rPr>
          <w:spacing w:val="-10"/>
          <w:sz w:val="24"/>
        </w:rPr>
        <w:t> </w:t>
      </w:r>
      <w:r>
        <w:rPr>
          <w:sz w:val="24"/>
        </w:rPr>
        <w:t>public</w:t>
      </w:r>
      <w:r>
        <w:rPr>
          <w:spacing w:val="-10"/>
          <w:sz w:val="24"/>
        </w:rPr>
        <w:t> </w:t>
      </w:r>
      <w:r>
        <w:rPr>
          <w:sz w:val="24"/>
        </w:rPr>
        <w:t>sector</w:t>
      </w:r>
      <w:r>
        <w:rPr>
          <w:spacing w:val="-10"/>
          <w:sz w:val="24"/>
        </w:rPr>
        <w:t> </w:t>
      </w:r>
      <w:r>
        <w:rPr>
          <w:sz w:val="24"/>
        </w:rPr>
        <w:t>since</w:t>
      </w:r>
      <w:r>
        <w:rPr>
          <w:spacing w:val="-10"/>
          <w:sz w:val="24"/>
        </w:rPr>
        <w:t> </w:t>
      </w:r>
      <w:r>
        <w:rPr>
          <w:spacing w:val="-2"/>
          <w:sz w:val="24"/>
        </w:rPr>
        <w:t>around </w:t>
      </w:r>
      <w:r>
        <w:rPr>
          <w:sz w:val="24"/>
        </w:rPr>
        <w:t>1993. The gap between the growth rates was currently wide by historical</w:t>
      </w:r>
      <w:r>
        <w:rPr>
          <w:spacing w:val="27"/>
          <w:sz w:val="24"/>
        </w:rPr>
        <w:t> </w:t>
      </w:r>
      <w:r>
        <w:rPr>
          <w:sz w:val="24"/>
        </w:rPr>
        <w:t>standards.</w:t>
      </w:r>
    </w:p>
    <w:p>
      <w:pPr>
        <w:pStyle w:val="BodyText"/>
        <w:spacing w:before="8"/>
        <w:rPr>
          <w:sz w:val="34"/>
        </w:rPr>
      </w:pPr>
    </w:p>
    <w:p>
      <w:pPr>
        <w:pStyle w:val="ListParagraph"/>
        <w:numPr>
          <w:ilvl w:val="0"/>
          <w:numId w:val="1"/>
        </w:numPr>
        <w:tabs>
          <w:tab w:pos="601" w:val="left" w:leader="none"/>
        </w:tabs>
        <w:spacing w:line="348" w:lineRule="auto" w:before="1" w:after="0"/>
        <w:ind w:left="200" w:right="268" w:firstLine="0"/>
        <w:jc w:val="left"/>
        <w:rPr>
          <w:sz w:val="24"/>
        </w:rPr>
      </w:pPr>
      <w:r>
        <w:rPr>
          <w:sz w:val="24"/>
        </w:rPr>
        <w:t>The decline in the preliminary estimate of three-month average of pay settlements in April reflected the large number of phased public sector settlements in April, and probably did not</w:t>
      </w:r>
      <w:r>
        <w:rPr>
          <w:spacing w:val="-23"/>
          <w:sz w:val="24"/>
        </w:rPr>
        <w:t> </w:t>
      </w:r>
      <w:r>
        <w:rPr>
          <w:sz w:val="24"/>
        </w:rPr>
        <w:t>indicate a change of trend: indeed the three-month average of private sector settlements had risen slightly in </w:t>
      </w:r>
      <w:r>
        <w:rPr>
          <w:spacing w:val="2"/>
          <w:sz w:val="24"/>
        </w:rPr>
        <w:t>April.</w:t>
      </w:r>
    </w:p>
    <w:p>
      <w:pPr>
        <w:pStyle w:val="BodyText"/>
        <w:spacing w:before="8"/>
        <w:rPr>
          <w:sz w:val="34"/>
        </w:rPr>
      </w:pPr>
    </w:p>
    <w:p>
      <w:pPr>
        <w:pStyle w:val="Heading1"/>
        <w:numPr>
          <w:ilvl w:val="0"/>
          <w:numId w:val="2"/>
        </w:numPr>
        <w:tabs>
          <w:tab w:pos="641" w:val="left" w:leader="none"/>
        </w:tabs>
        <w:spacing w:line="240" w:lineRule="auto" w:before="0" w:after="0"/>
        <w:ind w:left="640" w:right="0" w:hanging="441"/>
        <w:jc w:val="left"/>
      </w:pPr>
      <w:r>
        <w:rPr>
          <w:spacing w:val="-2"/>
        </w:rPr>
        <w:t>Prices</w:t>
      </w:r>
    </w:p>
    <w:p>
      <w:pPr>
        <w:pStyle w:val="BodyText"/>
        <w:rPr>
          <w:b/>
          <w:sz w:val="26"/>
        </w:rPr>
      </w:pPr>
    </w:p>
    <w:p>
      <w:pPr>
        <w:pStyle w:val="ListParagraph"/>
        <w:numPr>
          <w:ilvl w:val="0"/>
          <w:numId w:val="1"/>
        </w:numPr>
        <w:tabs>
          <w:tab w:pos="598" w:val="left" w:leader="none"/>
        </w:tabs>
        <w:spacing w:line="240" w:lineRule="auto" w:before="226" w:after="0"/>
        <w:ind w:left="597" w:right="0" w:hanging="398"/>
        <w:jc w:val="left"/>
        <w:rPr>
          <w:sz w:val="24"/>
        </w:rPr>
      </w:pPr>
      <w:r>
        <w:rPr>
          <w:sz w:val="24"/>
        </w:rPr>
        <w:t>Commodity</w:t>
      </w:r>
      <w:r>
        <w:rPr>
          <w:spacing w:val="-6"/>
          <w:sz w:val="24"/>
        </w:rPr>
        <w:t> </w:t>
      </w:r>
      <w:r>
        <w:rPr>
          <w:sz w:val="24"/>
        </w:rPr>
        <w:t>prices</w:t>
      </w:r>
      <w:r>
        <w:rPr>
          <w:spacing w:val="-5"/>
          <w:sz w:val="24"/>
        </w:rPr>
        <w:t> </w:t>
      </w:r>
      <w:r>
        <w:rPr>
          <w:sz w:val="24"/>
        </w:rPr>
        <w:t>(including</w:t>
      </w:r>
      <w:r>
        <w:rPr>
          <w:spacing w:val="-5"/>
          <w:sz w:val="24"/>
        </w:rPr>
        <w:t> </w:t>
      </w:r>
      <w:r>
        <w:rPr>
          <w:sz w:val="24"/>
        </w:rPr>
        <w:t>oil),</w:t>
      </w:r>
      <w:r>
        <w:rPr>
          <w:spacing w:val="-5"/>
          <w:sz w:val="24"/>
        </w:rPr>
        <w:t> </w:t>
      </w:r>
      <w:r>
        <w:rPr>
          <w:sz w:val="24"/>
        </w:rPr>
        <w:t>as</w:t>
      </w:r>
      <w:r>
        <w:rPr>
          <w:spacing w:val="-5"/>
          <w:sz w:val="24"/>
        </w:rPr>
        <w:t> </w:t>
      </w:r>
      <w:r>
        <w:rPr>
          <w:sz w:val="24"/>
        </w:rPr>
        <w:t>measured</w:t>
      </w:r>
      <w:r>
        <w:rPr>
          <w:spacing w:val="-5"/>
          <w:sz w:val="24"/>
        </w:rPr>
        <w:t> </w:t>
      </w:r>
      <w:r>
        <w:rPr>
          <w:sz w:val="24"/>
        </w:rPr>
        <w:t>by</w:t>
      </w:r>
      <w:r>
        <w:rPr>
          <w:spacing w:val="-5"/>
          <w:sz w:val="24"/>
        </w:rPr>
        <w:t> </w:t>
      </w:r>
      <w:r>
        <w:rPr>
          <w:sz w:val="24"/>
        </w:rPr>
        <w:t>the</w:t>
      </w:r>
      <w:r>
        <w:rPr>
          <w:spacing w:val="-5"/>
          <w:sz w:val="24"/>
        </w:rPr>
        <w:t> </w:t>
      </w:r>
      <w:r>
        <w:rPr>
          <w:sz w:val="24"/>
        </w:rPr>
        <w:t>Bank’s</w:t>
      </w:r>
      <w:r>
        <w:rPr>
          <w:spacing w:val="-5"/>
          <w:sz w:val="24"/>
        </w:rPr>
        <w:t> </w:t>
      </w:r>
      <w:r>
        <w:rPr>
          <w:sz w:val="24"/>
        </w:rPr>
        <w:t>index,</w:t>
      </w:r>
      <w:r>
        <w:rPr>
          <w:spacing w:val="-5"/>
          <w:sz w:val="24"/>
        </w:rPr>
        <w:t> </w:t>
      </w:r>
      <w:r>
        <w:rPr>
          <w:sz w:val="24"/>
        </w:rPr>
        <w:t>had</w:t>
      </w:r>
      <w:r>
        <w:rPr>
          <w:spacing w:val="-6"/>
          <w:sz w:val="24"/>
        </w:rPr>
        <w:t> </w:t>
      </w:r>
      <w:r>
        <w:rPr>
          <w:sz w:val="24"/>
        </w:rPr>
        <w:t>fallen</w:t>
      </w:r>
      <w:r>
        <w:rPr>
          <w:spacing w:val="-5"/>
          <w:sz w:val="24"/>
        </w:rPr>
        <w:t> </w:t>
      </w:r>
      <w:r>
        <w:rPr>
          <w:sz w:val="24"/>
        </w:rPr>
        <w:t>by</w:t>
      </w:r>
      <w:r>
        <w:rPr>
          <w:spacing w:val="-5"/>
          <w:sz w:val="24"/>
        </w:rPr>
        <w:t> </w:t>
      </w:r>
      <w:r>
        <w:rPr>
          <w:sz w:val="24"/>
        </w:rPr>
        <w:t>2.4%</w:t>
      </w:r>
      <w:r>
        <w:rPr>
          <w:spacing w:val="-5"/>
          <w:sz w:val="24"/>
        </w:rPr>
        <w:t> </w:t>
      </w:r>
      <w:r>
        <w:rPr>
          <w:sz w:val="24"/>
        </w:rPr>
        <w:t>in</w:t>
      </w:r>
      <w:r>
        <w:rPr>
          <w:spacing w:val="-5"/>
          <w:sz w:val="24"/>
        </w:rPr>
        <w:t> </w:t>
      </w:r>
      <w:r>
        <w:rPr>
          <w:sz w:val="24"/>
        </w:rPr>
        <w:t>April.</w:t>
      </w:r>
    </w:p>
    <w:p>
      <w:pPr>
        <w:pStyle w:val="BodyText"/>
        <w:rPr>
          <w:sz w:val="26"/>
        </w:rPr>
      </w:pPr>
    </w:p>
    <w:p>
      <w:pPr>
        <w:pStyle w:val="ListParagraph"/>
        <w:numPr>
          <w:ilvl w:val="0"/>
          <w:numId w:val="1"/>
        </w:numPr>
        <w:tabs>
          <w:tab w:pos="598" w:val="left" w:leader="none"/>
        </w:tabs>
        <w:spacing w:line="348" w:lineRule="auto" w:before="225" w:after="0"/>
        <w:ind w:left="200" w:right="344" w:firstLine="0"/>
        <w:jc w:val="left"/>
        <w:rPr>
          <w:sz w:val="24"/>
        </w:rPr>
      </w:pPr>
      <w:r>
        <w:rPr>
          <w:sz w:val="24"/>
        </w:rPr>
        <w:t>Recorded import prices were little changed (down 0.7%) from November to March, and were only 5% lower in March than a year earlier, despite the exchange rate appreciation. Changes in prices</w:t>
      </w:r>
      <w:r>
        <w:rPr>
          <w:spacing w:val="-7"/>
          <w:sz w:val="24"/>
        </w:rPr>
        <w:t> </w:t>
      </w:r>
      <w:r>
        <w:rPr>
          <w:sz w:val="24"/>
        </w:rPr>
        <w:t>of</w:t>
      </w:r>
      <w:r>
        <w:rPr>
          <w:spacing w:val="-6"/>
          <w:sz w:val="24"/>
        </w:rPr>
        <w:t> </w:t>
      </w:r>
      <w:r>
        <w:rPr>
          <w:sz w:val="24"/>
        </w:rPr>
        <w:t>imports</w:t>
      </w:r>
      <w:r>
        <w:rPr>
          <w:spacing w:val="-7"/>
          <w:sz w:val="24"/>
        </w:rPr>
        <w:t> </w:t>
      </w:r>
      <w:r>
        <w:rPr>
          <w:sz w:val="24"/>
        </w:rPr>
        <w:t>from</w:t>
      </w:r>
      <w:r>
        <w:rPr>
          <w:spacing w:val="-6"/>
          <w:sz w:val="24"/>
        </w:rPr>
        <w:t> </w:t>
      </w:r>
      <w:r>
        <w:rPr>
          <w:sz w:val="24"/>
        </w:rPr>
        <w:t>EU</w:t>
      </w:r>
      <w:r>
        <w:rPr>
          <w:spacing w:val="-7"/>
          <w:sz w:val="24"/>
        </w:rPr>
        <w:t> </w:t>
      </w:r>
      <w:r>
        <w:rPr>
          <w:sz w:val="24"/>
        </w:rPr>
        <w:t>and</w:t>
      </w:r>
      <w:r>
        <w:rPr>
          <w:spacing w:val="-6"/>
          <w:sz w:val="24"/>
        </w:rPr>
        <w:t> </w:t>
      </w:r>
      <w:r>
        <w:rPr>
          <w:sz w:val="24"/>
        </w:rPr>
        <w:t>non-EU</w:t>
      </w:r>
      <w:r>
        <w:rPr>
          <w:spacing w:val="-6"/>
          <w:sz w:val="24"/>
        </w:rPr>
        <w:t> </w:t>
      </w:r>
      <w:r>
        <w:rPr>
          <w:sz w:val="24"/>
        </w:rPr>
        <w:t>sources</w:t>
      </w:r>
      <w:r>
        <w:rPr>
          <w:spacing w:val="-7"/>
          <w:sz w:val="24"/>
        </w:rPr>
        <w:t> </w:t>
      </w:r>
      <w:r>
        <w:rPr>
          <w:sz w:val="24"/>
        </w:rPr>
        <w:t>had</w:t>
      </w:r>
      <w:r>
        <w:rPr>
          <w:spacing w:val="-6"/>
          <w:sz w:val="24"/>
        </w:rPr>
        <w:t> </w:t>
      </w:r>
      <w:r>
        <w:rPr>
          <w:sz w:val="24"/>
        </w:rPr>
        <w:t>been</w:t>
      </w:r>
      <w:r>
        <w:rPr>
          <w:spacing w:val="-7"/>
          <w:sz w:val="24"/>
        </w:rPr>
        <w:t> </w:t>
      </w:r>
      <w:r>
        <w:rPr>
          <w:sz w:val="24"/>
        </w:rPr>
        <w:t>surprisingly</w:t>
      </w:r>
      <w:r>
        <w:rPr>
          <w:spacing w:val="-6"/>
          <w:sz w:val="24"/>
        </w:rPr>
        <w:t> </w:t>
      </w:r>
      <w:r>
        <w:rPr>
          <w:sz w:val="24"/>
        </w:rPr>
        <w:t>similar,</w:t>
      </w:r>
      <w:r>
        <w:rPr>
          <w:spacing w:val="-6"/>
          <w:sz w:val="24"/>
        </w:rPr>
        <w:t> </w:t>
      </w:r>
      <w:r>
        <w:rPr>
          <w:sz w:val="24"/>
        </w:rPr>
        <w:t>given</w:t>
      </w:r>
      <w:r>
        <w:rPr>
          <w:spacing w:val="-7"/>
          <w:sz w:val="24"/>
        </w:rPr>
        <w:t> </w:t>
      </w:r>
      <w:r>
        <w:rPr>
          <w:sz w:val="24"/>
        </w:rPr>
        <w:t>the</w:t>
      </w:r>
      <w:r>
        <w:rPr>
          <w:spacing w:val="-6"/>
          <w:sz w:val="24"/>
        </w:rPr>
        <w:t> </w:t>
      </w:r>
      <w:r>
        <w:rPr>
          <w:sz w:val="24"/>
        </w:rPr>
        <w:t>difference</w:t>
      </w:r>
      <w:r>
        <w:rPr>
          <w:spacing w:val="-7"/>
          <w:sz w:val="24"/>
        </w:rPr>
        <w:t> </w:t>
      </w:r>
      <w:r>
        <w:rPr>
          <w:sz w:val="24"/>
        </w:rPr>
        <w:t>in the extent of exchange rate appreciation. Both the trade statistics and reports from the Agents suggested that imported intermediate products had fallen more in price than imported finished products. Export prices had fallen by less than the exchange rate appreciation might have</w:t>
      </w:r>
      <w:r>
        <w:rPr>
          <w:spacing w:val="-39"/>
          <w:sz w:val="24"/>
        </w:rPr>
        <w:t> </w:t>
      </w:r>
      <w:r>
        <w:rPr>
          <w:sz w:val="24"/>
        </w:rPr>
        <w:t>suggested,</w:t>
      </w:r>
    </w:p>
    <w:p>
      <w:pPr>
        <w:spacing w:after="0" w:line="348" w:lineRule="auto"/>
        <w:jc w:val="left"/>
        <w:rPr>
          <w:sz w:val="24"/>
        </w:rPr>
        <w:sectPr>
          <w:pgSz w:w="11900" w:h="16840"/>
          <w:pgMar w:header="746" w:footer="0" w:top="1240" w:bottom="280" w:left="880" w:right="860"/>
        </w:sectPr>
      </w:pPr>
    </w:p>
    <w:p>
      <w:pPr>
        <w:pStyle w:val="BodyText"/>
        <w:spacing w:line="348" w:lineRule="auto" w:before="80"/>
        <w:ind w:left="200" w:right="258"/>
      </w:pPr>
      <w:r>
        <w:rPr/>
        <w:t>though the contrast between prices of exports to EU and non-EU countries was more marked than was the case for imports.</w:t>
      </w:r>
    </w:p>
    <w:p>
      <w:pPr>
        <w:pStyle w:val="BodyText"/>
        <w:spacing w:before="8"/>
        <w:rPr>
          <w:sz w:val="34"/>
        </w:rPr>
      </w:pPr>
    </w:p>
    <w:p>
      <w:pPr>
        <w:pStyle w:val="ListParagraph"/>
        <w:numPr>
          <w:ilvl w:val="0"/>
          <w:numId w:val="1"/>
        </w:numPr>
        <w:tabs>
          <w:tab w:pos="603" w:val="left" w:leader="none"/>
        </w:tabs>
        <w:spacing w:line="348" w:lineRule="auto" w:before="0" w:after="0"/>
        <w:ind w:left="200" w:right="265" w:firstLine="0"/>
        <w:jc w:val="left"/>
        <w:rPr>
          <w:sz w:val="24"/>
        </w:rPr>
      </w:pPr>
      <w:r>
        <w:rPr>
          <w:sz w:val="24"/>
        </w:rPr>
        <w:t>Manufacturers’ input prices fell by 1.9% in April, and were 10.5% down on a year earlier. The CIPS survey had indicated that input prices had continued to fall in May, but the input price index had</w:t>
      </w:r>
      <w:r>
        <w:rPr>
          <w:spacing w:val="-6"/>
          <w:sz w:val="24"/>
        </w:rPr>
        <w:t> </w:t>
      </w:r>
      <w:r>
        <w:rPr>
          <w:sz w:val="24"/>
        </w:rPr>
        <w:t>in</w:t>
      </w:r>
      <w:r>
        <w:rPr>
          <w:spacing w:val="-5"/>
          <w:sz w:val="24"/>
        </w:rPr>
        <w:t> </w:t>
      </w:r>
      <w:r>
        <w:rPr>
          <w:sz w:val="24"/>
        </w:rPr>
        <w:t>fact</w:t>
      </w:r>
      <w:r>
        <w:rPr>
          <w:spacing w:val="-5"/>
          <w:sz w:val="24"/>
        </w:rPr>
        <w:t> </w:t>
      </w:r>
      <w:r>
        <w:rPr>
          <w:sz w:val="24"/>
        </w:rPr>
        <w:t>risen</w:t>
      </w:r>
      <w:r>
        <w:rPr>
          <w:spacing w:val="-5"/>
          <w:sz w:val="24"/>
        </w:rPr>
        <w:t> </w:t>
      </w:r>
      <w:r>
        <w:rPr>
          <w:sz w:val="24"/>
        </w:rPr>
        <w:t>by</w:t>
      </w:r>
      <w:r>
        <w:rPr>
          <w:spacing w:val="-5"/>
          <w:sz w:val="24"/>
        </w:rPr>
        <w:t> </w:t>
      </w:r>
      <w:r>
        <w:rPr>
          <w:sz w:val="24"/>
        </w:rPr>
        <w:t>0.6%,</w:t>
      </w:r>
      <w:r>
        <w:rPr>
          <w:spacing w:val="-5"/>
          <w:sz w:val="24"/>
        </w:rPr>
        <w:t> </w:t>
      </w:r>
      <w:r>
        <w:rPr>
          <w:sz w:val="24"/>
        </w:rPr>
        <w:t>reflecting</w:t>
      </w:r>
      <w:r>
        <w:rPr>
          <w:spacing w:val="-5"/>
          <w:sz w:val="24"/>
        </w:rPr>
        <w:t> </w:t>
      </w:r>
      <w:r>
        <w:rPr>
          <w:sz w:val="24"/>
        </w:rPr>
        <w:t>a</w:t>
      </w:r>
      <w:r>
        <w:rPr>
          <w:spacing w:val="-5"/>
          <w:sz w:val="24"/>
        </w:rPr>
        <w:t> </w:t>
      </w:r>
      <w:r>
        <w:rPr>
          <w:sz w:val="24"/>
        </w:rPr>
        <w:t>rise</w:t>
      </w:r>
      <w:r>
        <w:rPr>
          <w:spacing w:val="-5"/>
          <w:sz w:val="24"/>
        </w:rPr>
        <w:t> </w:t>
      </w:r>
      <w:r>
        <w:rPr>
          <w:sz w:val="24"/>
        </w:rPr>
        <w:t>in</w:t>
      </w:r>
      <w:r>
        <w:rPr>
          <w:spacing w:val="-6"/>
          <w:sz w:val="24"/>
        </w:rPr>
        <w:t> </w:t>
      </w:r>
      <w:r>
        <w:rPr>
          <w:sz w:val="24"/>
        </w:rPr>
        <w:t>oil</w:t>
      </w:r>
      <w:r>
        <w:rPr>
          <w:spacing w:val="-5"/>
          <w:sz w:val="24"/>
        </w:rPr>
        <w:t> </w:t>
      </w:r>
      <w:r>
        <w:rPr>
          <w:sz w:val="24"/>
        </w:rPr>
        <w:t>prices.</w:t>
      </w:r>
      <w:r>
        <w:rPr>
          <w:spacing w:val="51"/>
          <w:sz w:val="24"/>
        </w:rPr>
        <w:t> </w:t>
      </w:r>
      <w:r>
        <w:rPr>
          <w:sz w:val="24"/>
        </w:rPr>
        <w:t>Output</w:t>
      </w:r>
      <w:r>
        <w:rPr>
          <w:spacing w:val="-5"/>
          <w:sz w:val="24"/>
        </w:rPr>
        <w:t> </w:t>
      </w:r>
      <w:r>
        <w:rPr>
          <w:sz w:val="24"/>
        </w:rPr>
        <w:t>prices</w:t>
      </w:r>
      <w:r>
        <w:rPr>
          <w:spacing w:val="-5"/>
          <w:sz w:val="24"/>
        </w:rPr>
        <w:t> </w:t>
      </w:r>
      <w:r>
        <w:rPr>
          <w:sz w:val="24"/>
        </w:rPr>
        <w:t>had</w:t>
      </w:r>
      <w:r>
        <w:rPr>
          <w:spacing w:val="-5"/>
          <w:sz w:val="24"/>
        </w:rPr>
        <w:t> </w:t>
      </w:r>
      <w:r>
        <w:rPr>
          <w:sz w:val="24"/>
        </w:rPr>
        <w:t>been</w:t>
      </w:r>
      <w:r>
        <w:rPr>
          <w:spacing w:val="-5"/>
          <w:sz w:val="24"/>
        </w:rPr>
        <w:t> </w:t>
      </w:r>
      <w:r>
        <w:rPr>
          <w:sz w:val="24"/>
        </w:rPr>
        <w:t>flat</w:t>
      </w:r>
      <w:r>
        <w:rPr>
          <w:spacing w:val="-5"/>
          <w:sz w:val="24"/>
        </w:rPr>
        <w:t> </w:t>
      </w:r>
      <w:r>
        <w:rPr>
          <w:sz w:val="24"/>
        </w:rPr>
        <w:t>or</w:t>
      </w:r>
      <w:r>
        <w:rPr>
          <w:spacing w:val="-6"/>
          <w:sz w:val="24"/>
        </w:rPr>
        <w:t> </w:t>
      </w:r>
      <w:r>
        <w:rPr>
          <w:sz w:val="24"/>
        </w:rPr>
        <w:t>falling</w:t>
      </w:r>
      <w:r>
        <w:rPr>
          <w:spacing w:val="-5"/>
          <w:sz w:val="24"/>
        </w:rPr>
        <w:t> </w:t>
      </w:r>
      <w:r>
        <w:rPr>
          <w:sz w:val="24"/>
        </w:rPr>
        <w:t>in</w:t>
      </w:r>
      <w:r>
        <w:rPr>
          <w:spacing w:val="-5"/>
          <w:sz w:val="24"/>
        </w:rPr>
        <w:t> </w:t>
      </w:r>
      <w:r>
        <w:rPr>
          <w:sz w:val="24"/>
        </w:rPr>
        <w:t>every month</w:t>
      </w:r>
      <w:r>
        <w:rPr>
          <w:spacing w:val="-6"/>
          <w:sz w:val="24"/>
        </w:rPr>
        <w:t> </w:t>
      </w:r>
      <w:r>
        <w:rPr>
          <w:sz w:val="24"/>
        </w:rPr>
        <w:t>of</w:t>
      </w:r>
      <w:r>
        <w:rPr>
          <w:spacing w:val="-5"/>
          <w:sz w:val="24"/>
        </w:rPr>
        <w:t> </w:t>
      </w:r>
      <w:r>
        <w:rPr>
          <w:sz w:val="24"/>
        </w:rPr>
        <w:t>this</w:t>
      </w:r>
      <w:r>
        <w:rPr>
          <w:spacing w:val="-5"/>
          <w:sz w:val="24"/>
        </w:rPr>
        <w:t> </w:t>
      </w:r>
      <w:r>
        <w:rPr>
          <w:sz w:val="24"/>
        </w:rPr>
        <w:t>year,</w:t>
      </w:r>
      <w:r>
        <w:rPr>
          <w:spacing w:val="-5"/>
          <w:sz w:val="24"/>
        </w:rPr>
        <w:t> </w:t>
      </w:r>
      <w:r>
        <w:rPr>
          <w:sz w:val="24"/>
        </w:rPr>
        <w:t>and</w:t>
      </w:r>
      <w:r>
        <w:rPr>
          <w:spacing w:val="-5"/>
          <w:sz w:val="24"/>
        </w:rPr>
        <w:t> </w:t>
      </w:r>
      <w:r>
        <w:rPr>
          <w:sz w:val="24"/>
        </w:rPr>
        <w:t>were</w:t>
      </w:r>
      <w:r>
        <w:rPr>
          <w:spacing w:val="-5"/>
          <w:sz w:val="24"/>
        </w:rPr>
        <w:t> </w:t>
      </w:r>
      <w:r>
        <w:rPr>
          <w:sz w:val="24"/>
        </w:rPr>
        <w:t>up</w:t>
      </w:r>
      <w:r>
        <w:rPr>
          <w:spacing w:val="-5"/>
          <w:sz w:val="24"/>
        </w:rPr>
        <w:t> </w:t>
      </w:r>
      <w:r>
        <w:rPr>
          <w:sz w:val="24"/>
        </w:rPr>
        <w:t>0.8%</w:t>
      </w:r>
      <w:r>
        <w:rPr>
          <w:spacing w:val="-5"/>
          <w:sz w:val="24"/>
        </w:rPr>
        <w:t> </w:t>
      </w:r>
      <w:r>
        <w:rPr>
          <w:sz w:val="24"/>
        </w:rPr>
        <w:t>in</w:t>
      </w:r>
      <w:r>
        <w:rPr>
          <w:spacing w:val="-5"/>
          <w:sz w:val="24"/>
        </w:rPr>
        <w:t> </w:t>
      </w:r>
      <w:r>
        <w:rPr>
          <w:sz w:val="24"/>
        </w:rPr>
        <w:t>April</w:t>
      </w:r>
      <w:r>
        <w:rPr>
          <w:spacing w:val="-5"/>
          <w:sz w:val="24"/>
        </w:rPr>
        <w:t> </w:t>
      </w:r>
      <w:r>
        <w:rPr>
          <w:sz w:val="24"/>
        </w:rPr>
        <w:t>on</w:t>
      </w:r>
      <w:r>
        <w:rPr>
          <w:spacing w:val="-5"/>
          <w:sz w:val="24"/>
        </w:rPr>
        <w:t> </w:t>
      </w:r>
      <w:r>
        <w:rPr>
          <w:sz w:val="24"/>
        </w:rPr>
        <w:t>the</w:t>
      </w:r>
      <w:r>
        <w:rPr>
          <w:spacing w:val="-5"/>
          <w:sz w:val="24"/>
        </w:rPr>
        <w:t> </w:t>
      </w:r>
      <w:r>
        <w:rPr>
          <w:sz w:val="24"/>
        </w:rPr>
        <w:t>same</w:t>
      </w:r>
      <w:r>
        <w:rPr>
          <w:spacing w:val="-5"/>
          <w:sz w:val="24"/>
        </w:rPr>
        <w:t> </w:t>
      </w:r>
      <w:r>
        <w:rPr>
          <w:sz w:val="24"/>
        </w:rPr>
        <w:t>month</w:t>
      </w:r>
      <w:r>
        <w:rPr>
          <w:spacing w:val="-5"/>
          <w:sz w:val="24"/>
        </w:rPr>
        <w:t> </w:t>
      </w:r>
      <w:r>
        <w:rPr>
          <w:sz w:val="24"/>
        </w:rPr>
        <w:t>a</w:t>
      </w:r>
      <w:r>
        <w:rPr>
          <w:spacing w:val="-6"/>
          <w:sz w:val="24"/>
        </w:rPr>
        <w:t> </w:t>
      </w:r>
      <w:r>
        <w:rPr>
          <w:sz w:val="24"/>
        </w:rPr>
        <w:t>year</w:t>
      </w:r>
      <w:r>
        <w:rPr>
          <w:spacing w:val="-5"/>
          <w:sz w:val="24"/>
        </w:rPr>
        <w:t> </w:t>
      </w:r>
      <w:r>
        <w:rPr>
          <w:sz w:val="24"/>
        </w:rPr>
        <w:t>earlier</w:t>
      </w:r>
      <w:r>
        <w:rPr>
          <w:spacing w:val="-5"/>
          <w:sz w:val="24"/>
        </w:rPr>
        <w:t> </w:t>
      </w:r>
      <w:r>
        <w:rPr>
          <w:sz w:val="24"/>
        </w:rPr>
        <w:t>(only</w:t>
      </w:r>
      <w:r>
        <w:rPr>
          <w:spacing w:val="-5"/>
          <w:sz w:val="24"/>
        </w:rPr>
        <w:t> </w:t>
      </w:r>
      <w:r>
        <w:rPr>
          <w:sz w:val="24"/>
        </w:rPr>
        <w:t>0.1%</w:t>
      </w:r>
      <w:r>
        <w:rPr>
          <w:spacing w:val="-5"/>
          <w:sz w:val="24"/>
        </w:rPr>
        <w:t> </w:t>
      </w:r>
      <w:r>
        <w:rPr>
          <w:sz w:val="24"/>
        </w:rPr>
        <w:t>excluding excise duties); in May they were up by 1.0% on a year earlier (0.2% excluding excise</w:t>
      </w:r>
      <w:r>
        <w:rPr>
          <w:spacing w:val="-8"/>
          <w:sz w:val="24"/>
        </w:rPr>
        <w:t> </w:t>
      </w:r>
      <w:r>
        <w:rPr>
          <w:sz w:val="24"/>
        </w:rPr>
        <w:t>duties).</w:t>
      </w:r>
    </w:p>
    <w:p>
      <w:pPr>
        <w:pStyle w:val="BodyText"/>
        <w:spacing w:before="9"/>
        <w:rPr>
          <w:sz w:val="34"/>
        </w:rPr>
      </w:pPr>
    </w:p>
    <w:p>
      <w:pPr>
        <w:pStyle w:val="ListParagraph"/>
        <w:numPr>
          <w:ilvl w:val="0"/>
          <w:numId w:val="1"/>
        </w:numPr>
        <w:tabs>
          <w:tab w:pos="601" w:val="left" w:leader="none"/>
        </w:tabs>
        <w:spacing w:line="348" w:lineRule="auto" w:before="0" w:after="0"/>
        <w:ind w:left="200" w:right="409" w:firstLine="0"/>
        <w:jc w:val="left"/>
        <w:rPr>
          <w:sz w:val="24"/>
        </w:rPr>
      </w:pPr>
      <w:r>
        <w:rPr>
          <w:sz w:val="24"/>
        </w:rPr>
        <w:t>Twelve-month RPIX inflation fell for the third consecutive month to 2.5% in April. Elsewhere in Europe consumer price inflation had continued to fall, in spite of significant exchange rate depreciation; and inflation had also fallen back this year in the United</w:t>
      </w:r>
      <w:r>
        <w:rPr>
          <w:spacing w:val="-40"/>
          <w:sz w:val="24"/>
        </w:rPr>
        <w:t> </w:t>
      </w:r>
      <w:r>
        <w:rPr>
          <w:sz w:val="24"/>
        </w:rPr>
        <w:t>States.</w:t>
      </w:r>
    </w:p>
    <w:p>
      <w:pPr>
        <w:pStyle w:val="BodyText"/>
        <w:spacing w:before="9"/>
        <w:rPr>
          <w:sz w:val="34"/>
        </w:rPr>
      </w:pPr>
    </w:p>
    <w:p>
      <w:pPr>
        <w:pStyle w:val="ListParagraph"/>
        <w:numPr>
          <w:ilvl w:val="0"/>
          <w:numId w:val="1"/>
        </w:numPr>
        <w:tabs>
          <w:tab w:pos="600" w:val="left" w:leader="none"/>
        </w:tabs>
        <w:spacing w:line="348" w:lineRule="auto" w:before="0" w:after="0"/>
        <w:ind w:left="200" w:right="229" w:firstLine="0"/>
        <w:jc w:val="left"/>
        <w:rPr>
          <w:sz w:val="24"/>
        </w:rPr>
      </w:pPr>
      <w:r>
        <w:rPr>
          <w:sz w:val="24"/>
        </w:rPr>
        <w:t>In the UK, there was a continuing contrast between goods and services inflation. Goods inflation fell further in April, to 1.9%, compared with 2.1% in March and over 3% in late 1996. Services inflation, which had been as low as 2% in Spring 1996, was unchanged at 3.2% between March and April this year. The April figure for services inflation was particularly significant because approaching half of services prices are recorded in a survey held in the first month of each quarter. Within the category of services, utility and rent inflation fell between March and April, while other services inflation continued to</w:t>
      </w:r>
      <w:r>
        <w:rPr>
          <w:spacing w:val="-10"/>
          <w:sz w:val="24"/>
        </w:rPr>
        <w:t> </w:t>
      </w:r>
      <w:r>
        <w:rPr>
          <w:sz w:val="24"/>
        </w:rPr>
        <w:t>rise.</w:t>
      </w:r>
    </w:p>
    <w:p>
      <w:pPr>
        <w:pStyle w:val="BodyText"/>
        <w:spacing w:before="8"/>
        <w:rPr>
          <w:sz w:val="34"/>
        </w:rPr>
      </w:pPr>
    </w:p>
    <w:p>
      <w:pPr>
        <w:pStyle w:val="ListParagraph"/>
        <w:numPr>
          <w:ilvl w:val="0"/>
          <w:numId w:val="1"/>
        </w:numPr>
        <w:tabs>
          <w:tab w:pos="601" w:val="left" w:leader="none"/>
        </w:tabs>
        <w:spacing w:line="348" w:lineRule="auto" w:before="0" w:after="0"/>
        <w:ind w:left="200" w:right="212" w:firstLine="0"/>
        <w:jc w:val="left"/>
        <w:rPr>
          <w:sz w:val="24"/>
        </w:rPr>
      </w:pPr>
      <w:r>
        <w:rPr>
          <w:sz w:val="24"/>
        </w:rPr>
        <w:t>Although manufacturers’ output prices had been flat, their margins on domestic sales appeared to have been rising, mainly owing to falling costs and productivity improvements rather than rising prices. Within services, many rents and utility charges were fixed in April for a year, suggesting that 12-month inflation of these items was likely to remain low. But there were not similar factors affecting inflation of other</w:t>
      </w:r>
      <w:r>
        <w:rPr>
          <w:spacing w:val="-15"/>
          <w:sz w:val="24"/>
        </w:rPr>
        <w:t> </w:t>
      </w:r>
      <w:r>
        <w:rPr>
          <w:sz w:val="24"/>
        </w:rPr>
        <w:t>services.</w:t>
      </w:r>
    </w:p>
    <w:p>
      <w:pPr>
        <w:pStyle w:val="BodyText"/>
        <w:spacing w:before="8"/>
        <w:rPr>
          <w:sz w:val="34"/>
        </w:rPr>
      </w:pPr>
    </w:p>
    <w:p>
      <w:pPr>
        <w:pStyle w:val="Heading1"/>
        <w:numPr>
          <w:ilvl w:val="0"/>
          <w:numId w:val="2"/>
        </w:numPr>
        <w:tabs>
          <w:tab w:pos="642" w:val="left" w:leader="none"/>
          <w:tab w:pos="643" w:val="left" w:leader="none"/>
        </w:tabs>
        <w:spacing w:line="240" w:lineRule="auto" w:before="0" w:after="0"/>
        <w:ind w:left="642" w:right="0" w:hanging="443"/>
        <w:jc w:val="left"/>
      </w:pPr>
      <w:r>
        <w:rPr/>
        <w:t>Financial</w:t>
      </w:r>
      <w:r>
        <w:rPr>
          <w:spacing w:val="8"/>
        </w:rPr>
        <w:t> </w:t>
      </w:r>
      <w:r>
        <w:rPr/>
        <w:t>markets</w:t>
      </w:r>
    </w:p>
    <w:p>
      <w:pPr>
        <w:pStyle w:val="BodyText"/>
        <w:rPr>
          <w:b/>
          <w:sz w:val="26"/>
        </w:rPr>
      </w:pPr>
    </w:p>
    <w:p>
      <w:pPr>
        <w:pStyle w:val="ListParagraph"/>
        <w:numPr>
          <w:ilvl w:val="0"/>
          <w:numId w:val="1"/>
        </w:numPr>
        <w:tabs>
          <w:tab w:pos="660" w:val="left" w:leader="none"/>
          <w:tab w:pos="661" w:val="left" w:leader="none"/>
        </w:tabs>
        <w:spacing w:line="348" w:lineRule="auto" w:before="226" w:after="0"/>
        <w:ind w:left="200" w:right="267" w:firstLine="0"/>
        <w:jc w:val="left"/>
        <w:rPr>
          <w:sz w:val="24"/>
        </w:rPr>
      </w:pPr>
      <w:r>
        <w:rPr>
          <w:sz w:val="24"/>
        </w:rPr>
        <w:t>Short-term interest rates expected over the next couple of years appeared to have fallen immediately</w:t>
      </w:r>
      <w:r>
        <w:rPr>
          <w:spacing w:val="-6"/>
          <w:sz w:val="24"/>
        </w:rPr>
        <w:t> </w:t>
      </w:r>
      <w:r>
        <w:rPr>
          <w:sz w:val="24"/>
        </w:rPr>
        <w:t>after</w:t>
      </w:r>
      <w:r>
        <w:rPr>
          <w:spacing w:val="-6"/>
          <w:sz w:val="24"/>
        </w:rPr>
        <w:t> </w:t>
      </w:r>
      <w:r>
        <w:rPr>
          <w:sz w:val="24"/>
        </w:rPr>
        <w:t>the</w:t>
      </w:r>
      <w:r>
        <w:rPr>
          <w:spacing w:val="-5"/>
          <w:sz w:val="24"/>
        </w:rPr>
        <w:t> </w:t>
      </w:r>
      <w:r>
        <w:rPr>
          <w:sz w:val="24"/>
        </w:rPr>
        <w:t>announcement</w:t>
      </w:r>
      <w:r>
        <w:rPr>
          <w:spacing w:val="-6"/>
          <w:sz w:val="24"/>
        </w:rPr>
        <w:t> </w:t>
      </w:r>
      <w:r>
        <w:rPr>
          <w:sz w:val="24"/>
        </w:rPr>
        <w:t>that</w:t>
      </w:r>
      <w:r>
        <w:rPr>
          <w:spacing w:val="-6"/>
          <w:sz w:val="24"/>
        </w:rPr>
        <w:t> </w:t>
      </w:r>
      <w:r>
        <w:rPr>
          <w:sz w:val="24"/>
        </w:rPr>
        <w:t>the</w:t>
      </w:r>
      <w:r>
        <w:rPr>
          <w:spacing w:val="-5"/>
          <w:sz w:val="24"/>
        </w:rPr>
        <w:t> </w:t>
      </w:r>
      <w:r>
        <w:rPr>
          <w:sz w:val="24"/>
        </w:rPr>
        <w:t>Bank</w:t>
      </w:r>
      <w:r>
        <w:rPr>
          <w:spacing w:val="-6"/>
          <w:sz w:val="24"/>
        </w:rPr>
        <w:t> </w:t>
      </w:r>
      <w:r>
        <w:rPr>
          <w:sz w:val="24"/>
        </w:rPr>
        <w:t>was</w:t>
      </w:r>
      <w:r>
        <w:rPr>
          <w:spacing w:val="-5"/>
          <w:sz w:val="24"/>
        </w:rPr>
        <w:t> </w:t>
      </w:r>
      <w:r>
        <w:rPr>
          <w:sz w:val="24"/>
        </w:rPr>
        <w:t>to</w:t>
      </w:r>
      <w:r>
        <w:rPr>
          <w:spacing w:val="-6"/>
          <w:sz w:val="24"/>
        </w:rPr>
        <w:t> </w:t>
      </w:r>
      <w:r>
        <w:rPr>
          <w:sz w:val="24"/>
        </w:rPr>
        <w:t>be</w:t>
      </w:r>
      <w:r>
        <w:rPr>
          <w:spacing w:val="-6"/>
          <w:sz w:val="24"/>
        </w:rPr>
        <w:t> </w:t>
      </w:r>
      <w:r>
        <w:rPr>
          <w:sz w:val="24"/>
        </w:rPr>
        <w:t>given</w:t>
      </w:r>
      <w:r>
        <w:rPr>
          <w:spacing w:val="-5"/>
          <w:sz w:val="24"/>
        </w:rPr>
        <w:t> </w:t>
      </w:r>
      <w:r>
        <w:rPr>
          <w:sz w:val="24"/>
        </w:rPr>
        <w:t>operational</w:t>
      </w:r>
      <w:r>
        <w:rPr>
          <w:spacing w:val="-6"/>
          <w:sz w:val="24"/>
        </w:rPr>
        <w:t> </w:t>
      </w:r>
      <w:r>
        <w:rPr>
          <w:sz w:val="24"/>
        </w:rPr>
        <w:t>independence,</w:t>
      </w:r>
      <w:r>
        <w:rPr>
          <w:spacing w:val="-6"/>
          <w:sz w:val="24"/>
        </w:rPr>
        <w:t> </w:t>
      </w:r>
      <w:r>
        <w:rPr>
          <w:sz w:val="24"/>
        </w:rPr>
        <w:t>but</w:t>
      </w:r>
      <w:r>
        <w:rPr>
          <w:spacing w:val="-5"/>
          <w:sz w:val="24"/>
        </w:rPr>
        <w:t> </w:t>
      </w:r>
      <w:r>
        <w:rPr>
          <w:sz w:val="24"/>
        </w:rPr>
        <w:t>the fall had since been broadly reversed. Prices of short sterling futures were consistent with three- month LIBOR of 6.99% in December 1997 and 7.32% in December 1998, compared with a cash market rate of 6.59% on 5 June 1997. Expectations that the Bank would increase interest rates in </w:t>
      </w:r>
      <w:r>
        <w:rPr>
          <w:spacing w:val="-3"/>
          <w:sz w:val="24"/>
        </w:rPr>
        <w:t>June </w:t>
      </w:r>
      <w:r>
        <w:rPr>
          <w:sz w:val="24"/>
        </w:rPr>
        <w:t>had </w:t>
      </w:r>
      <w:r>
        <w:rPr>
          <w:spacing w:val="-3"/>
          <w:sz w:val="24"/>
        </w:rPr>
        <w:t>been</w:t>
      </w:r>
      <w:r>
        <w:rPr>
          <w:spacing w:val="-15"/>
          <w:sz w:val="24"/>
        </w:rPr>
        <w:t> </w:t>
      </w:r>
      <w:r>
        <w:rPr>
          <w:spacing w:val="-3"/>
          <w:sz w:val="24"/>
        </w:rPr>
        <w:t>growing.</w:t>
      </w:r>
    </w:p>
    <w:p>
      <w:pPr>
        <w:spacing w:after="0" w:line="348" w:lineRule="auto"/>
        <w:jc w:val="left"/>
        <w:rPr>
          <w:sz w:val="24"/>
        </w:rPr>
        <w:sectPr>
          <w:pgSz w:w="11900" w:h="16840"/>
          <w:pgMar w:header="746" w:footer="0" w:top="1240" w:bottom="280" w:left="880" w:right="860"/>
        </w:sectPr>
      </w:pPr>
    </w:p>
    <w:p>
      <w:pPr>
        <w:pStyle w:val="ListParagraph"/>
        <w:numPr>
          <w:ilvl w:val="0"/>
          <w:numId w:val="1"/>
        </w:numPr>
        <w:tabs>
          <w:tab w:pos="658" w:val="left" w:leader="none"/>
          <w:tab w:pos="659" w:val="left" w:leader="none"/>
        </w:tabs>
        <w:spacing w:line="348" w:lineRule="auto" w:before="80" w:after="0"/>
        <w:ind w:left="200" w:right="204" w:firstLine="0"/>
        <w:jc w:val="left"/>
        <w:rPr>
          <w:sz w:val="24"/>
        </w:rPr>
      </w:pPr>
      <w:r>
        <w:rPr>
          <w:sz w:val="24"/>
        </w:rPr>
        <w:t>The sterling ERI, which stood at 99.7 (1990 average = 100) at the close of business on 5 June, had not changed much on balance since the eve of the announcement of the Bank’s operational independence. It was up 17 1/2% since August 1996. Market comment suggested that sterling had in the last few days been supported by uncertainties about EMU and an associated softening of the Deutschemark, and by growing expectations of a rise in interest</w:t>
      </w:r>
      <w:r>
        <w:rPr>
          <w:spacing w:val="-19"/>
          <w:sz w:val="24"/>
        </w:rPr>
        <w:t> </w:t>
      </w:r>
      <w:r>
        <w:rPr>
          <w:sz w:val="24"/>
        </w:rPr>
        <w:t>rates.</w:t>
      </w:r>
    </w:p>
    <w:p>
      <w:pPr>
        <w:pStyle w:val="BodyText"/>
        <w:spacing w:before="8"/>
        <w:rPr>
          <w:sz w:val="34"/>
        </w:rPr>
      </w:pPr>
    </w:p>
    <w:p>
      <w:pPr>
        <w:pStyle w:val="ListParagraph"/>
        <w:numPr>
          <w:ilvl w:val="0"/>
          <w:numId w:val="1"/>
        </w:numPr>
        <w:tabs>
          <w:tab w:pos="603" w:val="left" w:leader="none"/>
        </w:tabs>
        <w:spacing w:line="240" w:lineRule="auto" w:before="0" w:after="0"/>
        <w:ind w:left="602" w:right="0" w:hanging="403"/>
        <w:jc w:val="left"/>
        <w:rPr>
          <w:sz w:val="24"/>
        </w:rPr>
      </w:pPr>
      <w:r>
        <w:rPr>
          <w:sz w:val="24"/>
        </w:rPr>
        <w:t>The evolving prospects for EMU had continued to be an important influence on sterling. As</w:t>
      </w:r>
      <w:r>
        <w:rPr>
          <w:spacing w:val="9"/>
          <w:sz w:val="24"/>
        </w:rPr>
        <w:t> </w:t>
      </w:r>
      <w:r>
        <w:rPr>
          <w:sz w:val="24"/>
        </w:rPr>
        <w:t>the</w:t>
      </w:r>
    </w:p>
    <w:p>
      <w:pPr>
        <w:pStyle w:val="BodyText"/>
        <w:spacing w:line="348" w:lineRule="auto" w:before="124"/>
        <w:ind w:left="200" w:right="258"/>
      </w:pPr>
      <w:r>
        <w:rPr/>
        <w:t>£/DM exchange rate had appreciated since last summer, the pattern of correlations among the exchange rates of European currencies had been consistent with a growing market expectation of a broader</w:t>
      </w:r>
      <w:r>
        <w:rPr>
          <w:spacing w:val="-8"/>
        </w:rPr>
        <w:t> </w:t>
      </w:r>
      <w:r>
        <w:rPr/>
        <w:t>monetary</w:t>
      </w:r>
      <w:r>
        <w:rPr>
          <w:spacing w:val="-8"/>
        </w:rPr>
        <w:t> </w:t>
      </w:r>
      <w:r>
        <w:rPr/>
        <w:t>union</w:t>
      </w:r>
      <w:r>
        <w:rPr>
          <w:spacing w:val="-8"/>
        </w:rPr>
        <w:t> </w:t>
      </w:r>
      <w:r>
        <w:rPr/>
        <w:t>but</w:t>
      </w:r>
      <w:r>
        <w:rPr>
          <w:spacing w:val="-7"/>
        </w:rPr>
        <w:t> </w:t>
      </w:r>
      <w:r>
        <w:rPr/>
        <w:t>not</w:t>
      </w:r>
      <w:r>
        <w:rPr>
          <w:spacing w:val="-8"/>
        </w:rPr>
        <w:t> </w:t>
      </w:r>
      <w:r>
        <w:rPr/>
        <w:t>including</w:t>
      </w:r>
      <w:r>
        <w:rPr>
          <w:spacing w:val="-8"/>
        </w:rPr>
        <w:t> </w:t>
      </w:r>
      <w:r>
        <w:rPr/>
        <w:t>sterling,</w:t>
      </w:r>
      <w:r>
        <w:rPr>
          <w:spacing w:val="-7"/>
        </w:rPr>
        <w:t> </w:t>
      </w:r>
      <w:r>
        <w:rPr/>
        <w:t>and</w:t>
      </w:r>
      <w:r>
        <w:rPr>
          <w:spacing w:val="-8"/>
        </w:rPr>
        <w:t> </w:t>
      </w:r>
      <w:r>
        <w:rPr/>
        <w:t>with</w:t>
      </w:r>
      <w:r>
        <w:rPr>
          <w:spacing w:val="-8"/>
        </w:rPr>
        <w:t> </w:t>
      </w:r>
      <w:r>
        <w:rPr/>
        <w:t>the</w:t>
      </w:r>
      <w:r>
        <w:rPr>
          <w:spacing w:val="-8"/>
        </w:rPr>
        <w:t> </w:t>
      </w:r>
      <w:r>
        <w:rPr/>
        <w:t>view</w:t>
      </w:r>
      <w:r>
        <w:rPr>
          <w:spacing w:val="-7"/>
        </w:rPr>
        <w:t> </w:t>
      </w:r>
      <w:r>
        <w:rPr/>
        <w:t>that</w:t>
      </w:r>
      <w:r>
        <w:rPr>
          <w:spacing w:val="-8"/>
        </w:rPr>
        <w:t> </w:t>
      </w:r>
      <w:r>
        <w:rPr/>
        <w:t>sterling</w:t>
      </w:r>
      <w:r>
        <w:rPr>
          <w:spacing w:val="-8"/>
        </w:rPr>
        <w:t> </w:t>
      </w:r>
      <w:r>
        <w:rPr/>
        <w:t>had</w:t>
      </w:r>
      <w:r>
        <w:rPr>
          <w:spacing w:val="-7"/>
        </w:rPr>
        <w:t> </w:t>
      </w:r>
      <w:r>
        <w:rPr/>
        <w:t>been</w:t>
      </w:r>
      <w:r>
        <w:rPr>
          <w:spacing w:val="-8"/>
        </w:rPr>
        <w:t> </w:t>
      </w:r>
      <w:r>
        <w:rPr/>
        <w:t>regarded as a safe</w:t>
      </w:r>
      <w:r>
        <w:rPr>
          <w:spacing w:val="-13"/>
        </w:rPr>
        <w:t> </w:t>
      </w:r>
      <w:r>
        <w:rPr>
          <w:spacing w:val="-2"/>
        </w:rPr>
        <w:t>haven.</w:t>
      </w:r>
    </w:p>
    <w:p>
      <w:pPr>
        <w:pStyle w:val="BodyText"/>
        <w:spacing w:before="8"/>
        <w:rPr>
          <w:sz w:val="34"/>
        </w:rPr>
      </w:pPr>
    </w:p>
    <w:p>
      <w:pPr>
        <w:pStyle w:val="ListParagraph"/>
        <w:numPr>
          <w:ilvl w:val="0"/>
          <w:numId w:val="1"/>
        </w:numPr>
        <w:tabs>
          <w:tab w:pos="661" w:val="left" w:leader="none"/>
          <w:tab w:pos="662" w:val="left" w:leader="none"/>
        </w:tabs>
        <w:spacing w:line="348" w:lineRule="auto" w:before="1" w:after="0"/>
        <w:ind w:left="200" w:right="238" w:firstLine="0"/>
        <w:jc w:val="left"/>
        <w:rPr>
          <w:sz w:val="24"/>
        </w:rPr>
      </w:pPr>
      <w:r>
        <w:rPr>
          <w:sz w:val="24"/>
        </w:rPr>
        <w:t>Equity prices had risen by 0.8% over the last month as measured by the FTSE-100 index, which stood at 4557 on 5 June, compared with 4519 on 6 May. The continuing rise was difficult to explain by</w:t>
      </w:r>
      <w:r>
        <w:rPr>
          <w:spacing w:val="-12"/>
          <w:sz w:val="24"/>
        </w:rPr>
        <w:t> </w:t>
      </w:r>
      <w:r>
        <w:rPr>
          <w:sz w:val="24"/>
        </w:rPr>
        <w:t>changes</w:t>
      </w:r>
      <w:r>
        <w:rPr>
          <w:spacing w:val="-12"/>
          <w:sz w:val="24"/>
        </w:rPr>
        <w:t> </w:t>
      </w:r>
      <w:r>
        <w:rPr>
          <w:sz w:val="24"/>
        </w:rPr>
        <w:t>in</w:t>
      </w:r>
      <w:r>
        <w:rPr>
          <w:spacing w:val="-11"/>
          <w:sz w:val="24"/>
        </w:rPr>
        <w:t> </w:t>
      </w:r>
      <w:r>
        <w:rPr>
          <w:sz w:val="24"/>
        </w:rPr>
        <w:t>either</w:t>
      </w:r>
      <w:r>
        <w:rPr>
          <w:spacing w:val="-12"/>
          <w:sz w:val="24"/>
        </w:rPr>
        <w:t> </w:t>
      </w:r>
      <w:r>
        <w:rPr>
          <w:sz w:val="24"/>
        </w:rPr>
        <w:t>real</w:t>
      </w:r>
      <w:r>
        <w:rPr>
          <w:spacing w:val="-11"/>
          <w:sz w:val="24"/>
        </w:rPr>
        <w:t> </w:t>
      </w:r>
      <w:r>
        <w:rPr>
          <w:sz w:val="24"/>
        </w:rPr>
        <w:t>interest</w:t>
      </w:r>
      <w:r>
        <w:rPr>
          <w:spacing w:val="-12"/>
          <w:sz w:val="24"/>
        </w:rPr>
        <w:t> </w:t>
      </w:r>
      <w:r>
        <w:rPr>
          <w:sz w:val="24"/>
        </w:rPr>
        <w:t>rates</w:t>
      </w:r>
      <w:r>
        <w:rPr>
          <w:spacing w:val="-11"/>
          <w:sz w:val="24"/>
        </w:rPr>
        <w:t> </w:t>
      </w:r>
      <w:r>
        <w:rPr>
          <w:sz w:val="24"/>
        </w:rPr>
        <w:t>or</w:t>
      </w:r>
      <w:r>
        <w:rPr>
          <w:spacing w:val="-12"/>
          <w:sz w:val="24"/>
        </w:rPr>
        <w:t> </w:t>
      </w:r>
      <w:r>
        <w:rPr>
          <w:sz w:val="24"/>
        </w:rPr>
        <w:t>announced</w:t>
      </w:r>
      <w:r>
        <w:rPr>
          <w:spacing w:val="-11"/>
          <w:sz w:val="24"/>
        </w:rPr>
        <w:t> </w:t>
      </w:r>
      <w:r>
        <w:rPr>
          <w:sz w:val="24"/>
        </w:rPr>
        <w:t>dividends,</w:t>
      </w:r>
      <w:r>
        <w:rPr>
          <w:spacing w:val="-12"/>
          <w:sz w:val="24"/>
        </w:rPr>
        <w:t> </w:t>
      </w:r>
      <w:r>
        <w:rPr>
          <w:sz w:val="24"/>
        </w:rPr>
        <w:t>and</w:t>
      </w:r>
      <w:r>
        <w:rPr>
          <w:spacing w:val="-11"/>
          <w:sz w:val="24"/>
        </w:rPr>
        <w:t> </w:t>
      </w:r>
      <w:r>
        <w:rPr>
          <w:sz w:val="24"/>
        </w:rPr>
        <w:t>might</w:t>
      </w:r>
      <w:r>
        <w:rPr>
          <w:spacing w:val="-12"/>
          <w:sz w:val="24"/>
        </w:rPr>
        <w:t> </w:t>
      </w:r>
      <w:r>
        <w:rPr>
          <w:sz w:val="24"/>
        </w:rPr>
        <w:t>therefore</w:t>
      </w:r>
      <w:r>
        <w:rPr>
          <w:spacing w:val="-12"/>
          <w:sz w:val="24"/>
        </w:rPr>
        <w:t> </w:t>
      </w:r>
      <w:r>
        <w:rPr>
          <w:sz w:val="24"/>
        </w:rPr>
        <w:t>reflect</w:t>
      </w:r>
      <w:r>
        <w:rPr>
          <w:spacing w:val="-11"/>
          <w:sz w:val="24"/>
        </w:rPr>
        <w:t> </w:t>
      </w:r>
      <w:r>
        <w:rPr>
          <w:sz w:val="24"/>
        </w:rPr>
        <w:t>either</w:t>
      </w:r>
      <w:r>
        <w:rPr>
          <w:spacing w:val="-12"/>
          <w:sz w:val="24"/>
        </w:rPr>
        <w:t> </w:t>
      </w:r>
      <w:r>
        <w:rPr>
          <w:sz w:val="24"/>
        </w:rPr>
        <w:t>a</w:t>
      </w:r>
      <w:r>
        <w:rPr>
          <w:spacing w:val="-11"/>
          <w:sz w:val="24"/>
        </w:rPr>
        <w:t> </w:t>
      </w:r>
      <w:r>
        <w:rPr>
          <w:sz w:val="24"/>
        </w:rPr>
        <w:t>rise in expected future real dividend growth or a reduction in perceived uncertainty about future dividends.</w:t>
      </w:r>
    </w:p>
    <w:p>
      <w:pPr>
        <w:pStyle w:val="BodyText"/>
        <w:spacing w:before="8"/>
        <w:rPr>
          <w:sz w:val="34"/>
        </w:rPr>
      </w:pPr>
    </w:p>
    <w:p>
      <w:pPr>
        <w:pStyle w:val="Heading1"/>
        <w:numPr>
          <w:ilvl w:val="0"/>
          <w:numId w:val="2"/>
        </w:numPr>
        <w:tabs>
          <w:tab w:pos="678" w:val="left" w:leader="none"/>
          <w:tab w:pos="679" w:val="left" w:leader="none"/>
        </w:tabs>
        <w:spacing w:line="240" w:lineRule="auto" w:before="0" w:after="0"/>
        <w:ind w:left="678" w:right="0" w:hanging="479"/>
        <w:jc w:val="left"/>
      </w:pPr>
      <w:r>
        <w:rPr/>
        <w:t>Policy implications of the</w:t>
      </w:r>
      <w:r>
        <w:rPr>
          <w:spacing w:val="44"/>
        </w:rPr>
        <w:t> </w:t>
      </w:r>
      <w:r>
        <w:rPr/>
        <w:t>analysis</w:t>
      </w:r>
    </w:p>
    <w:p>
      <w:pPr>
        <w:pStyle w:val="BodyText"/>
        <w:rPr>
          <w:b/>
          <w:sz w:val="26"/>
        </w:rPr>
      </w:pPr>
    </w:p>
    <w:p>
      <w:pPr>
        <w:pStyle w:val="ListParagraph"/>
        <w:numPr>
          <w:ilvl w:val="0"/>
          <w:numId w:val="1"/>
        </w:numPr>
        <w:tabs>
          <w:tab w:pos="602" w:val="left" w:leader="none"/>
        </w:tabs>
        <w:spacing w:line="348" w:lineRule="auto" w:before="225" w:after="0"/>
        <w:ind w:left="200" w:right="456" w:firstLine="0"/>
        <w:jc w:val="left"/>
        <w:rPr>
          <w:sz w:val="24"/>
        </w:rPr>
      </w:pPr>
      <w:r>
        <w:rPr>
          <w:sz w:val="24"/>
        </w:rPr>
        <w:t>The Committee began its review of the policy implications of the analysis by discussing the problems posed for policy by the combination of strong domestic demand growth and a sharp appreciation of the exchange rate. Members agreed that the main issue at present was to assess the prospective</w:t>
      </w:r>
      <w:r>
        <w:rPr>
          <w:spacing w:val="-5"/>
          <w:sz w:val="24"/>
        </w:rPr>
        <w:t> </w:t>
      </w:r>
      <w:r>
        <w:rPr>
          <w:sz w:val="24"/>
        </w:rPr>
        <w:t>strength</w:t>
      </w:r>
      <w:r>
        <w:rPr>
          <w:spacing w:val="-4"/>
          <w:sz w:val="24"/>
        </w:rPr>
        <w:t> </w:t>
      </w:r>
      <w:r>
        <w:rPr>
          <w:sz w:val="24"/>
        </w:rPr>
        <w:t>of</w:t>
      </w:r>
      <w:r>
        <w:rPr>
          <w:spacing w:val="-5"/>
          <w:sz w:val="24"/>
        </w:rPr>
        <w:t> </w:t>
      </w:r>
      <w:r>
        <w:rPr>
          <w:sz w:val="24"/>
        </w:rPr>
        <w:t>domestic</w:t>
      </w:r>
      <w:r>
        <w:rPr>
          <w:spacing w:val="-4"/>
          <w:sz w:val="24"/>
        </w:rPr>
        <w:t> </w:t>
      </w:r>
      <w:r>
        <w:rPr>
          <w:sz w:val="24"/>
        </w:rPr>
        <w:t>demand</w:t>
      </w:r>
      <w:r>
        <w:rPr>
          <w:spacing w:val="-4"/>
          <w:sz w:val="24"/>
        </w:rPr>
        <w:t> </w:t>
      </w:r>
      <w:r>
        <w:rPr>
          <w:sz w:val="24"/>
        </w:rPr>
        <w:t>against</w:t>
      </w:r>
      <w:r>
        <w:rPr>
          <w:spacing w:val="-4"/>
          <w:sz w:val="24"/>
        </w:rPr>
        <w:t> </w:t>
      </w:r>
      <w:r>
        <w:rPr>
          <w:sz w:val="24"/>
        </w:rPr>
        <w:t>the</w:t>
      </w:r>
      <w:r>
        <w:rPr>
          <w:spacing w:val="-4"/>
          <w:sz w:val="24"/>
        </w:rPr>
        <w:t> </w:t>
      </w:r>
      <w:r>
        <w:rPr>
          <w:sz w:val="24"/>
        </w:rPr>
        <w:t>effect</w:t>
      </w:r>
      <w:r>
        <w:rPr>
          <w:spacing w:val="-4"/>
          <w:sz w:val="24"/>
        </w:rPr>
        <w:t> </w:t>
      </w:r>
      <w:r>
        <w:rPr>
          <w:sz w:val="24"/>
        </w:rPr>
        <w:t>of</w:t>
      </w:r>
      <w:r>
        <w:rPr>
          <w:spacing w:val="-4"/>
          <w:sz w:val="24"/>
        </w:rPr>
        <w:t> </w:t>
      </w:r>
      <w:r>
        <w:rPr>
          <w:sz w:val="24"/>
        </w:rPr>
        <w:t>the</w:t>
      </w:r>
      <w:r>
        <w:rPr>
          <w:spacing w:val="-4"/>
          <w:sz w:val="24"/>
        </w:rPr>
        <w:t> </w:t>
      </w:r>
      <w:r>
        <w:rPr>
          <w:sz w:val="24"/>
        </w:rPr>
        <w:t>exchange</w:t>
      </w:r>
      <w:r>
        <w:rPr>
          <w:spacing w:val="-4"/>
          <w:sz w:val="24"/>
        </w:rPr>
        <w:t> </w:t>
      </w:r>
      <w:r>
        <w:rPr>
          <w:sz w:val="24"/>
        </w:rPr>
        <w:t>rate</w:t>
      </w:r>
      <w:r>
        <w:rPr>
          <w:spacing w:val="-4"/>
          <w:sz w:val="24"/>
        </w:rPr>
        <w:t> </w:t>
      </w:r>
      <w:r>
        <w:rPr>
          <w:sz w:val="24"/>
        </w:rPr>
        <w:t>appreciation.</w:t>
      </w:r>
    </w:p>
    <w:p>
      <w:pPr>
        <w:pStyle w:val="BodyText"/>
        <w:spacing w:before="8"/>
        <w:rPr>
          <w:sz w:val="34"/>
        </w:rPr>
      </w:pPr>
    </w:p>
    <w:p>
      <w:pPr>
        <w:pStyle w:val="ListParagraph"/>
        <w:numPr>
          <w:ilvl w:val="0"/>
          <w:numId w:val="1"/>
        </w:numPr>
        <w:tabs>
          <w:tab w:pos="602" w:val="left" w:leader="none"/>
        </w:tabs>
        <w:spacing w:line="348" w:lineRule="auto" w:before="1" w:after="0"/>
        <w:ind w:left="200" w:right="197" w:firstLine="0"/>
        <w:jc w:val="left"/>
        <w:rPr>
          <w:sz w:val="24"/>
        </w:rPr>
      </w:pPr>
      <w:r>
        <w:rPr>
          <w:sz w:val="24"/>
        </w:rPr>
        <w:t>The latest data pointed to continuing strength in domestic demand growth. The Committee noted the increase, through the rise in equity prices, in the estimated size of windfall gains arising from demutualisation</w:t>
      </w:r>
      <w:r>
        <w:rPr>
          <w:spacing w:val="-6"/>
          <w:sz w:val="24"/>
        </w:rPr>
        <w:t> </w:t>
      </w:r>
      <w:r>
        <w:rPr>
          <w:sz w:val="24"/>
        </w:rPr>
        <w:t>of</w:t>
      </w:r>
      <w:r>
        <w:rPr>
          <w:spacing w:val="-6"/>
          <w:sz w:val="24"/>
        </w:rPr>
        <w:t> </w:t>
      </w:r>
      <w:r>
        <w:rPr>
          <w:sz w:val="24"/>
        </w:rPr>
        <w:t>building</w:t>
      </w:r>
      <w:r>
        <w:rPr>
          <w:spacing w:val="-7"/>
          <w:sz w:val="24"/>
        </w:rPr>
        <w:t> </w:t>
      </w:r>
      <w:r>
        <w:rPr>
          <w:sz w:val="24"/>
        </w:rPr>
        <w:t>societies</w:t>
      </w:r>
      <w:r>
        <w:rPr>
          <w:spacing w:val="-6"/>
          <w:sz w:val="24"/>
        </w:rPr>
        <w:t> </w:t>
      </w:r>
      <w:r>
        <w:rPr>
          <w:sz w:val="24"/>
        </w:rPr>
        <w:t>and</w:t>
      </w:r>
      <w:r>
        <w:rPr>
          <w:spacing w:val="-6"/>
          <w:sz w:val="24"/>
        </w:rPr>
        <w:t> </w:t>
      </w:r>
      <w:r>
        <w:rPr>
          <w:sz w:val="24"/>
        </w:rPr>
        <w:t>other</w:t>
      </w:r>
      <w:r>
        <w:rPr>
          <w:spacing w:val="-6"/>
          <w:sz w:val="24"/>
        </w:rPr>
        <w:t> </w:t>
      </w:r>
      <w:r>
        <w:rPr>
          <w:sz w:val="24"/>
        </w:rPr>
        <w:t>institutions</w:t>
      </w:r>
      <w:r>
        <w:rPr>
          <w:spacing w:val="-6"/>
          <w:sz w:val="24"/>
        </w:rPr>
        <w:t> </w:t>
      </w:r>
      <w:r>
        <w:rPr>
          <w:sz w:val="24"/>
        </w:rPr>
        <w:t>in</w:t>
      </w:r>
      <w:r>
        <w:rPr>
          <w:spacing w:val="-6"/>
          <w:sz w:val="24"/>
        </w:rPr>
        <w:t> </w:t>
      </w:r>
      <w:r>
        <w:rPr>
          <w:sz w:val="24"/>
        </w:rPr>
        <w:t>1997,</w:t>
      </w:r>
      <w:r>
        <w:rPr>
          <w:spacing w:val="-6"/>
          <w:sz w:val="24"/>
        </w:rPr>
        <w:t> </w:t>
      </w:r>
      <w:r>
        <w:rPr>
          <w:sz w:val="24"/>
        </w:rPr>
        <w:t>and</w:t>
      </w:r>
      <w:r>
        <w:rPr>
          <w:spacing w:val="-6"/>
          <w:sz w:val="24"/>
        </w:rPr>
        <w:t> </w:t>
      </w:r>
      <w:r>
        <w:rPr>
          <w:sz w:val="24"/>
        </w:rPr>
        <w:t>discussed</w:t>
      </w:r>
      <w:r>
        <w:rPr>
          <w:spacing w:val="-6"/>
          <w:sz w:val="24"/>
        </w:rPr>
        <w:t> </w:t>
      </w:r>
      <w:r>
        <w:rPr>
          <w:sz w:val="24"/>
        </w:rPr>
        <w:t>the</w:t>
      </w:r>
      <w:r>
        <w:rPr>
          <w:spacing w:val="-6"/>
          <w:sz w:val="24"/>
        </w:rPr>
        <w:t> </w:t>
      </w:r>
      <w:r>
        <w:rPr>
          <w:sz w:val="24"/>
        </w:rPr>
        <w:t>likely</w:t>
      </w:r>
      <w:r>
        <w:rPr>
          <w:spacing w:val="-6"/>
          <w:sz w:val="24"/>
        </w:rPr>
        <w:t> </w:t>
      </w:r>
      <w:r>
        <w:rPr>
          <w:sz w:val="24"/>
        </w:rPr>
        <w:t>effects</w:t>
      </w:r>
    </w:p>
    <w:p>
      <w:pPr>
        <w:pStyle w:val="BodyText"/>
        <w:spacing w:line="348" w:lineRule="auto"/>
        <w:ind w:left="200" w:right="258"/>
      </w:pPr>
      <w:r>
        <w:rPr/>
        <w:t>on consumer demand. For consumers who were not liquidity constrained, the effect on spending in the near term might be no greater than the annuity value of the windfalls. Consumers who were liquidity constrained were likely to spend more than the annuity value of the windfalls in the near term, though if they did so, the increase in their future wealth would be correspondingly smaller.</w:t>
      </w:r>
    </w:p>
    <w:p>
      <w:pPr>
        <w:pStyle w:val="BodyText"/>
        <w:spacing w:before="8"/>
        <w:rPr>
          <w:sz w:val="34"/>
        </w:rPr>
      </w:pPr>
    </w:p>
    <w:p>
      <w:pPr>
        <w:pStyle w:val="ListParagraph"/>
        <w:numPr>
          <w:ilvl w:val="0"/>
          <w:numId w:val="1"/>
        </w:numPr>
        <w:tabs>
          <w:tab w:pos="657" w:val="left" w:leader="none"/>
          <w:tab w:pos="658" w:val="left" w:leader="none"/>
        </w:tabs>
        <w:spacing w:line="348" w:lineRule="auto" w:before="0" w:after="0"/>
        <w:ind w:left="200" w:right="287" w:firstLine="0"/>
        <w:jc w:val="left"/>
        <w:rPr>
          <w:sz w:val="24"/>
        </w:rPr>
      </w:pPr>
      <w:r>
        <w:rPr>
          <w:sz w:val="24"/>
        </w:rPr>
        <w:t>In discussing asset price developments, members noted the rise in house prices since summer 1995, and the fact that prices in south east England had risen more than in other parts of the UK. They noted that rising equity prices might reflect either a strengthening outlook for corporate</w:t>
      </w:r>
      <w:r>
        <w:rPr>
          <w:spacing w:val="21"/>
          <w:sz w:val="24"/>
        </w:rPr>
        <w:t> </w:t>
      </w:r>
      <w:r>
        <w:rPr>
          <w:sz w:val="24"/>
        </w:rPr>
        <w:t>profits</w:t>
      </w:r>
    </w:p>
    <w:p>
      <w:pPr>
        <w:spacing w:after="0" w:line="348" w:lineRule="auto"/>
        <w:jc w:val="left"/>
        <w:rPr>
          <w:sz w:val="24"/>
        </w:rPr>
        <w:sectPr>
          <w:pgSz w:w="11900" w:h="16840"/>
          <w:pgMar w:header="746" w:footer="0" w:top="1240" w:bottom="280" w:left="880" w:right="860"/>
        </w:sectPr>
      </w:pPr>
    </w:p>
    <w:p>
      <w:pPr>
        <w:pStyle w:val="BodyText"/>
        <w:spacing w:before="80"/>
        <w:ind w:left="200"/>
      </w:pPr>
      <w:r>
        <w:rPr/>
        <w:t>or a falling risk premium in equity yields.</w:t>
      </w:r>
    </w:p>
    <w:p>
      <w:pPr>
        <w:pStyle w:val="BodyText"/>
        <w:rPr>
          <w:sz w:val="26"/>
        </w:rPr>
      </w:pPr>
    </w:p>
    <w:p>
      <w:pPr>
        <w:pStyle w:val="ListParagraph"/>
        <w:numPr>
          <w:ilvl w:val="0"/>
          <w:numId w:val="1"/>
        </w:numPr>
        <w:tabs>
          <w:tab w:pos="662" w:val="left" w:leader="none"/>
          <w:tab w:pos="664" w:val="left" w:leader="none"/>
        </w:tabs>
        <w:spacing w:line="348" w:lineRule="auto" w:before="224" w:after="0"/>
        <w:ind w:left="200" w:right="260" w:firstLine="0"/>
        <w:jc w:val="left"/>
        <w:rPr>
          <w:sz w:val="24"/>
        </w:rPr>
      </w:pPr>
      <w:r>
        <w:rPr>
          <w:sz w:val="24"/>
        </w:rPr>
        <w:t>The most likely outturn for consumer spending over the next few months was continued growth at around the rates observed recently, notwithstanding indications (from notes and coins and the CBI distributive trades survey) of some possible softening in retail sales, and of regional variations in the strength of demand. Asset price developments - rising house prices and equity prices - implied some upside risk to that</w:t>
      </w:r>
      <w:r>
        <w:rPr>
          <w:spacing w:val="36"/>
          <w:sz w:val="24"/>
        </w:rPr>
        <w:t> </w:t>
      </w:r>
      <w:r>
        <w:rPr>
          <w:sz w:val="24"/>
        </w:rPr>
        <w:t>outlook.</w:t>
      </w:r>
    </w:p>
    <w:p>
      <w:pPr>
        <w:pStyle w:val="BodyText"/>
        <w:spacing w:before="9"/>
        <w:rPr>
          <w:sz w:val="34"/>
        </w:rPr>
      </w:pPr>
    </w:p>
    <w:p>
      <w:pPr>
        <w:pStyle w:val="ListParagraph"/>
        <w:numPr>
          <w:ilvl w:val="0"/>
          <w:numId w:val="1"/>
        </w:numPr>
        <w:tabs>
          <w:tab w:pos="662" w:val="left" w:leader="none"/>
          <w:tab w:pos="663" w:val="left" w:leader="none"/>
        </w:tabs>
        <w:spacing w:line="348" w:lineRule="auto" w:before="0" w:after="0"/>
        <w:ind w:left="200" w:right="235" w:firstLine="0"/>
        <w:jc w:val="left"/>
        <w:rPr>
          <w:sz w:val="24"/>
        </w:rPr>
      </w:pPr>
      <w:r>
        <w:rPr>
          <w:sz w:val="24"/>
        </w:rPr>
        <w:t>Conditions for investment were promising: the stock market valuation of the corporate sector was well above the estimated replacement cost of its capital equipment, and ICCs’ M4 balances were high in relation to estimated</w:t>
      </w:r>
      <w:r>
        <w:rPr>
          <w:spacing w:val="-18"/>
          <w:sz w:val="24"/>
        </w:rPr>
        <w:t> </w:t>
      </w:r>
      <w:r>
        <w:rPr>
          <w:sz w:val="24"/>
        </w:rPr>
        <w:t>demand.</w:t>
      </w:r>
    </w:p>
    <w:p>
      <w:pPr>
        <w:pStyle w:val="BodyText"/>
        <w:spacing w:before="8"/>
        <w:rPr>
          <w:sz w:val="34"/>
        </w:rPr>
      </w:pPr>
    </w:p>
    <w:p>
      <w:pPr>
        <w:pStyle w:val="ListParagraph"/>
        <w:numPr>
          <w:ilvl w:val="0"/>
          <w:numId w:val="1"/>
        </w:numPr>
        <w:tabs>
          <w:tab w:pos="657" w:val="left" w:leader="none"/>
          <w:tab w:pos="658" w:val="left" w:leader="none"/>
        </w:tabs>
        <w:spacing w:line="348" w:lineRule="auto" w:before="1" w:after="0"/>
        <w:ind w:left="200" w:right="234" w:firstLine="0"/>
        <w:jc w:val="left"/>
        <w:rPr>
          <w:sz w:val="24"/>
        </w:rPr>
      </w:pPr>
      <w:r>
        <w:rPr>
          <w:sz w:val="24"/>
        </w:rPr>
        <w:t>It was surprising that the effects of the exchange rate appreciation on external demand had not yet become apparent in recorded export or import volumes, but the Committee thought it most likely that they had simply been delayed and that a deterioration in net exports, consistent with survey indications, was to be expected.  The projection in the May </w:t>
      </w:r>
      <w:r>
        <w:rPr>
          <w:sz w:val="24"/>
          <w:u w:val="single"/>
        </w:rPr>
        <w:t>Inflation Report</w:t>
      </w:r>
      <w:r>
        <w:rPr>
          <w:sz w:val="24"/>
        </w:rPr>
        <w:t> had incorporated such an assumption. Nevertheless, taking account of the outlook for both domestic and external demand, total output was likely to continue growing at above-trend</w:t>
      </w:r>
      <w:r>
        <w:rPr>
          <w:spacing w:val="18"/>
          <w:sz w:val="24"/>
        </w:rPr>
        <w:t> </w:t>
      </w:r>
      <w:r>
        <w:rPr>
          <w:sz w:val="24"/>
        </w:rPr>
        <w:t>rates.</w:t>
      </w:r>
    </w:p>
    <w:p>
      <w:pPr>
        <w:pStyle w:val="BodyText"/>
        <w:spacing w:before="7"/>
        <w:rPr>
          <w:sz w:val="34"/>
        </w:rPr>
      </w:pPr>
    </w:p>
    <w:p>
      <w:pPr>
        <w:pStyle w:val="ListParagraph"/>
        <w:numPr>
          <w:ilvl w:val="0"/>
          <w:numId w:val="1"/>
        </w:numPr>
        <w:tabs>
          <w:tab w:pos="601" w:val="left" w:leader="none"/>
        </w:tabs>
        <w:spacing w:line="348" w:lineRule="auto" w:before="0" w:after="0"/>
        <w:ind w:left="200" w:right="319" w:firstLine="0"/>
        <w:jc w:val="left"/>
        <w:rPr>
          <w:sz w:val="24"/>
        </w:rPr>
      </w:pPr>
      <w:r>
        <w:rPr>
          <w:sz w:val="24"/>
        </w:rPr>
        <w:t>The Committee discussed the labour market. It was not clear how low a level of unemployment would</w:t>
      </w:r>
      <w:r>
        <w:rPr>
          <w:spacing w:val="-12"/>
          <w:sz w:val="24"/>
        </w:rPr>
        <w:t> </w:t>
      </w:r>
      <w:r>
        <w:rPr>
          <w:sz w:val="24"/>
        </w:rPr>
        <w:t>be</w:t>
      </w:r>
      <w:r>
        <w:rPr>
          <w:spacing w:val="-11"/>
          <w:sz w:val="24"/>
        </w:rPr>
        <w:t> </w:t>
      </w:r>
      <w:r>
        <w:rPr>
          <w:sz w:val="24"/>
        </w:rPr>
        <w:t>compatible</w:t>
      </w:r>
      <w:r>
        <w:rPr>
          <w:spacing w:val="-11"/>
          <w:sz w:val="24"/>
        </w:rPr>
        <w:t> </w:t>
      </w:r>
      <w:r>
        <w:rPr>
          <w:sz w:val="24"/>
        </w:rPr>
        <w:t>with</w:t>
      </w:r>
      <w:r>
        <w:rPr>
          <w:spacing w:val="-11"/>
          <w:sz w:val="24"/>
        </w:rPr>
        <w:t> </w:t>
      </w:r>
      <w:r>
        <w:rPr>
          <w:sz w:val="24"/>
        </w:rPr>
        <w:t>maintaining</w:t>
      </w:r>
      <w:r>
        <w:rPr>
          <w:spacing w:val="-11"/>
          <w:sz w:val="24"/>
        </w:rPr>
        <w:t> </w:t>
      </w:r>
      <w:r>
        <w:rPr>
          <w:sz w:val="24"/>
        </w:rPr>
        <w:t>a</w:t>
      </w:r>
      <w:r>
        <w:rPr>
          <w:spacing w:val="-11"/>
          <w:sz w:val="24"/>
        </w:rPr>
        <w:t> </w:t>
      </w:r>
      <w:r>
        <w:rPr>
          <w:sz w:val="24"/>
        </w:rPr>
        <w:t>stable</w:t>
      </w:r>
      <w:r>
        <w:rPr>
          <w:spacing w:val="-12"/>
          <w:sz w:val="24"/>
        </w:rPr>
        <w:t> </w:t>
      </w:r>
      <w:r>
        <w:rPr>
          <w:sz w:val="24"/>
        </w:rPr>
        <w:t>rate</w:t>
      </w:r>
      <w:r>
        <w:rPr>
          <w:spacing w:val="-11"/>
          <w:sz w:val="24"/>
        </w:rPr>
        <w:t> </w:t>
      </w:r>
      <w:r>
        <w:rPr>
          <w:sz w:val="24"/>
        </w:rPr>
        <w:t>of</w:t>
      </w:r>
      <w:r>
        <w:rPr>
          <w:spacing w:val="-11"/>
          <w:sz w:val="24"/>
        </w:rPr>
        <w:t> </w:t>
      </w:r>
      <w:r>
        <w:rPr>
          <w:sz w:val="24"/>
        </w:rPr>
        <w:t>inflation,</w:t>
      </w:r>
      <w:r>
        <w:rPr>
          <w:spacing w:val="-11"/>
          <w:sz w:val="24"/>
        </w:rPr>
        <w:t> </w:t>
      </w:r>
      <w:r>
        <w:rPr>
          <w:sz w:val="24"/>
        </w:rPr>
        <w:t>but</w:t>
      </w:r>
      <w:r>
        <w:rPr>
          <w:spacing w:val="-11"/>
          <w:sz w:val="24"/>
        </w:rPr>
        <w:t> </w:t>
      </w:r>
      <w:r>
        <w:rPr>
          <w:sz w:val="24"/>
        </w:rPr>
        <w:t>members</w:t>
      </w:r>
      <w:r>
        <w:rPr>
          <w:spacing w:val="-11"/>
          <w:sz w:val="24"/>
        </w:rPr>
        <w:t> </w:t>
      </w:r>
      <w:r>
        <w:rPr>
          <w:sz w:val="24"/>
        </w:rPr>
        <w:t>viewed</w:t>
      </w:r>
      <w:r>
        <w:rPr>
          <w:spacing w:val="-12"/>
          <w:sz w:val="24"/>
        </w:rPr>
        <w:t> </w:t>
      </w:r>
      <w:r>
        <w:rPr>
          <w:sz w:val="24"/>
        </w:rPr>
        <w:t>the</w:t>
      </w:r>
      <w:r>
        <w:rPr>
          <w:spacing w:val="-11"/>
          <w:sz w:val="24"/>
        </w:rPr>
        <w:t> </w:t>
      </w:r>
      <w:r>
        <w:rPr>
          <w:sz w:val="24"/>
        </w:rPr>
        <w:t>gradual</w:t>
      </w:r>
      <w:r>
        <w:rPr>
          <w:spacing w:val="-11"/>
          <w:sz w:val="24"/>
        </w:rPr>
        <w:t> </w:t>
      </w:r>
      <w:r>
        <w:rPr>
          <w:sz w:val="24"/>
        </w:rPr>
        <w:t>rise in real average earnings growth since late 1995 as evidence that labour market conditions had been tightening. In discussing recent price developments members noted the contrast between falling goods price inflation and rising service sector inflation (other than rents and utilities). The fall in goods inflation was probably a temporary reflection of the appreciation of sterling, which was likely to have a one-off effect on the price level rather than a material continuing effect on inflation. The rise in services inflation (other than rents and utilities) however seemed to be mainly the result of growing demand, which was likely to continue. There were therefore sound reasons for expecting goods price inflation and overall inflation to rise, when the one-off effect of the exchange rate appreciation had worn</w:t>
      </w:r>
      <w:r>
        <w:rPr>
          <w:spacing w:val="9"/>
          <w:sz w:val="24"/>
        </w:rPr>
        <w:t> </w:t>
      </w:r>
      <w:r>
        <w:rPr>
          <w:sz w:val="24"/>
        </w:rPr>
        <w:t>off.</w:t>
      </w:r>
    </w:p>
    <w:p>
      <w:pPr>
        <w:pStyle w:val="BodyText"/>
        <w:spacing w:before="8"/>
        <w:rPr>
          <w:sz w:val="34"/>
        </w:rPr>
      </w:pPr>
    </w:p>
    <w:p>
      <w:pPr>
        <w:pStyle w:val="ListParagraph"/>
        <w:numPr>
          <w:ilvl w:val="0"/>
          <w:numId w:val="1"/>
        </w:numPr>
        <w:tabs>
          <w:tab w:pos="600" w:val="left" w:leader="none"/>
        </w:tabs>
        <w:spacing w:line="348" w:lineRule="auto" w:before="0" w:after="0"/>
        <w:ind w:left="200" w:right="209" w:firstLine="0"/>
        <w:jc w:val="left"/>
        <w:rPr>
          <w:sz w:val="24"/>
        </w:rPr>
      </w:pPr>
      <w:r>
        <w:rPr>
          <w:sz w:val="24"/>
        </w:rPr>
        <w:t>Members discussed financial market developments and noted that financial markets appeared to be discounting a rise in three-month interbank interest rates to around 7 1/4% over the coming twelve months. They discussed the appreciation of sterling since the summer of last year and its possible causes,</w:t>
      </w:r>
      <w:r>
        <w:rPr>
          <w:spacing w:val="-7"/>
          <w:sz w:val="24"/>
        </w:rPr>
        <w:t> </w:t>
      </w:r>
      <w:r>
        <w:rPr>
          <w:sz w:val="24"/>
        </w:rPr>
        <w:t>including</w:t>
      </w:r>
      <w:r>
        <w:rPr>
          <w:spacing w:val="-6"/>
          <w:sz w:val="24"/>
        </w:rPr>
        <w:t> </w:t>
      </w:r>
      <w:r>
        <w:rPr>
          <w:sz w:val="24"/>
        </w:rPr>
        <w:t>changes</w:t>
      </w:r>
      <w:r>
        <w:rPr>
          <w:spacing w:val="-7"/>
          <w:sz w:val="24"/>
        </w:rPr>
        <w:t> </w:t>
      </w:r>
      <w:r>
        <w:rPr>
          <w:sz w:val="24"/>
        </w:rPr>
        <w:t>in</w:t>
      </w:r>
      <w:r>
        <w:rPr>
          <w:spacing w:val="-6"/>
          <w:sz w:val="24"/>
        </w:rPr>
        <w:t> </w:t>
      </w:r>
      <w:r>
        <w:rPr>
          <w:sz w:val="24"/>
        </w:rPr>
        <w:t>current</w:t>
      </w:r>
      <w:r>
        <w:rPr>
          <w:spacing w:val="-7"/>
          <w:sz w:val="24"/>
        </w:rPr>
        <w:t> </w:t>
      </w:r>
      <w:r>
        <w:rPr>
          <w:sz w:val="24"/>
        </w:rPr>
        <w:t>and</w:t>
      </w:r>
      <w:r>
        <w:rPr>
          <w:spacing w:val="-6"/>
          <w:sz w:val="24"/>
        </w:rPr>
        <w:t> </w:t>
      </w:r>
      <w:r>
        <w:rPr>
          <w:sz w:val="24"/>
        </w:rPr>
        <w:t>expected</w:t>
      </w:r>
      <w:r>
        <w:rPr>
          <w:spacing w:val="-7"/>
          <w:sz w:val="24"/>
        </w:rPr>
        <w:t> </w:t>
      </w:r>
      <w:r>
        <w:rPr>
          <w:sz w:val="24"/>
        </w:rPr>
        <w:t>future</w:t>
      </w:r>
      <w:r>
        <w:rPr>
          <w:spacing w:val="-6"/>
          <w:sz w:val="24"/>
        </w:rPr>
        <w:t> </w:t>
      </w:r>
      <w:r>
        <w:rPr>
          <w:sz w:val="24"/>
        </w:rPr>
        <w:t>monetary</w:t>
      </w:r>
      <w:r>
        <w:rPr>
          <w:spacing w:val="-7"/>
          <w:sz w:val="24"/>
        </w:rPr>
        <w:t> </w:t>
      </w:r>
      <w:r>
        <w:rPr>
          <w:sz w:val="24"/>
        </w:rPr>
        <w:t>policy</w:t>
      </w:r>
      <w:r>
        <w:rPr>
          <w:spacing w:val="-6"/>
          <w:sz w:val="24"/>
        </w:rPr>
        <w:t> </w:t>
      </w:r>
      <w:r>
        <w:rPr>
          <w:sz w:val="24"/>
        </w:rPr>
        <w:t>in</w:t>
      </w:r>
      <w:r>
        <w:rPr>
          <w:spacing w:val="-7"/>
          <w:sz w:val="24"/>
        </w:rPr>
        <w:t> </w:t>
      </w:r>
      <w:r>
        <w:rPr>
          <w:sz w:val="24"/>
        </w:rPr>
        <w:t>the</w:t>
      </w:r>
      <w:r>
        <w:rPr>
          <w:spacing w:val="-6"/>
          <w:sz w:val="24"/>
        </w:rPr>
        <w:t> </w:t>
      </w:r>
      <w:r>
        <w:rPr>
          <w:sz w:val="24"/>
        </w:rPr>
        <w:t>UK</w:t>
      </w:r>
      <w:r>
        <w:rPr>
          <w:spacing w:val="-7"/>
          <w:sz w:val="24"/>
        </w:rPr>
        <w:t> </w:t>
      </w:r>
      <w:r>
        <w:rPr>
          <w:sz w:val="24"/>
        </w:rPr>
        <w:t>and</w:t>
      </w:r>
      <w:r>
        <w:rPr>
          <w:spacing w:val="-6"/>
          <w:sz w:val="24"/>
        </w:rPr>
        <w:t> </w:t>
      </w:r>
      <w:r>
        <w:rPr>
          <w:sz w:val="24"/>
        </w:rPr>
        <w:t>overseas,</w:t>
      </w:r>
      <w:r>
        <w:rPr>
          <w:spacing w:val="-7"/>
          <w:sz w:val="24"/>
        </w:rPr>
        <w:t> </w:t>
      </w:r>
      <w:r>
        <w:rPr>
          <w:sz w:val="24"/>
        </w:rPr>
        <w:t>and possible safe-haven portfolio effects related to EMU. It was difficult to be confident about the relative</w:t>
      </w:r>
      <w:r>
        <w:rPr>
          <w:spacing w:val="-6"/>
          <w:sz w:val="24"/>
        </w:rPr>
        <w:t> </w:t>
      </w:r>
      <w:r>
        <w:rPr>
          <w:sz w:val="24"/>
        </w:rPr>
        <w:t>significance</w:t>
      </w:r>
      <w:r>
        <w:rPr>
          <w:spacing w:val="-5"/>
          <w:sz w:val="24"/>
        </w:rPr>
        <w:t> </w:t>
      </w:r>
      <w:r>
        <w:rPr>
          <w:sz w:val="24"/>
        </w:rPr>
        <w:t>of</w:t>
      </w:r>
      <w:r>
        <w:rPr>
          <w:spacing w:val="-6"/>
          <w:sz w:val="24"/>
        </w:rPr>
        <w:t> </w:t>
      </w:r>
      <w:r>
        <w:rPr>
          <w:sz w:val="24"/>
        </w:rPr>
        <w:t>various</w:t>
      </w:r>
      <w:r>
        <w:rPr>
          <w:spacing w:val="-5"/>
          <w:sz w:val="24"/>
        </w:rPr>
        <w:t> </w:t>
      </w:r>
      <w:r>
        <w:rPr>
          <w:sz w:val="24"/>
        </w:rPr>
        <w:t>possible</w:t>
      </w:r>
      <w:r>
        <w:rPr>
          <w:spacing w:val="-6"/>
          <w:sz w:val="24"/>
        </w:rPr>
        <w:t> </w:t>
      </w:r>
      <w:r>
        <w:rPr>
          <w:sz w:val="24"/>
        </w:rPr>
        <w:t>causes,</w:t>
      </w:r>
      <w:r>
        <w:rPr>
          <w:spacing w:val="-5"/>
          <w:sz w:val="24"/>
        </w:rPr>
        <w:t> </w:t>
      </w:r>
      <w:r>
        <w:rPr>
          <w:sz w:val="24"/>
        </w:rPr>
        <w:t>but</w:t>
      </w:r>
      <w:r>
        <w:rPr>
          <w:spacing w:val="-6"/>
          <w:sz w:val="24"/>
        </w:rPr>
        <w:t> </w:t>
      </w:r>
      <w:r>
        <w:rPr>
          <w:sz w:val="24"/>
        </w:rPr>
        <w:t>there</w:t>
      </w:r>
      <w:r>
        <w:rPr>
          <w:spacing w:val="-5"/>
          <w:sz w:val="24"/>
        </w:rPr>
        <w:t> </w:t>
      </w:r>
      <w:r>
        <w:rPr>
          <w:sz w:val="24"/>
        </w:rPr>
        <w:t>was</w:t>
      </w:r>
      <w:r>
        <w:rPr>
          <w:spacing w:val="-6"/>
          <w:sz w:val="24"/>
        </w:rPr>
        <w:t> </w:t>
      </w:r>
      <w:r>
        <w:rPr>
          <w:sz w:val="24"/>
        </w:rPr>
        <w:t>little</w:t>
      </w:r>
      <w:r>
        <w:rPr>
          <w:spacing w:val="-5"/>
          <w:sz w:val="24"/>
        </w:rPr>
        <w:t> </w:t>
      </w:r>
      <w:r>
        <w:rPr>
          <w:sz w:val="24"/>
        </w:rPr>
        <w:t>reason</w:t>
      </w:r>
      <w:r>
        <w:rPr>
          <w:spacing w:val="-6"/>
          <w:sz w:val="24"/>
        </w:rPr>
        <w:t> </w:t>
      </w:r>
      <w:r>
        <w:rPr>
          <w:sz w:val="24"/>
        </w:rPr>
        <w:t>to</w:t>
      </w:r>
      <w:r>
        <w:rPr>
          <w:spacing w:val="-5"/>
          <w:sz w:val="24"/>
        </w:rPr>
        <w:t> </w:t>
      </w:r>
      <w:r>
        <w:rPr>
          <w:sz w:val="24"/>
        </w:rPr>
        <w:t>change</w:t>
      </w:r>
      <w:r>
        <w:rPr>
          <w:spacing w:val="-6"/>
          <w:sz w:val="24"/>
        </w:rPr>
        <w:t> </w:t>
      </w:r>
      <w:r>
        <w:rPr>
          <w:sz w:val="24"/>
        </w:rPr>
        <w:t>the</w:t>
      </w:r>
      <w:r>
        <w:rPr>
          <w:spacing w:val="-5"/>
          <w:sz w:val="24"/>
        </w:rPr>
        <w:t> </w:t>
      </w:r>
      <w:r>
        <w:rPr>
          <w:sz w:val="24"/>
        </w:rPr>
        <w:t>analysis</w:t>
      </w:r>
      <w:r>
        <w:rPr>
          <w:spacing w:val="-6"/>
          <w:sz w:val="24"/>
        </w:rPr>
        <w:t> </w:t>
      </w:r>
      <w:r>
        <w:rPr>
          <w:sz w:val="24"/>
        </w:rPr>
        <w:t>in</w:t>
      </w:r>
    </w:p>
    <w:p>
      <w:pPr>
        <w:spacing w:after="0" w:line="348" w:lineRule="auto"/>
        <w:jc w:val="left"/>
        <w:rPr>
          <w:sz w:val="24"/>
        </w:rPr>
        <w:sectPr>
          <w:pgSz w:w="11900" w:h="16840"/>
          <w:pgMar w:header="746" w:footer="0" w:top="1240" w:bottom="280" w:left="880" w:right="860"/>
        </w:sectPr>
      </w:pPr>
    </w:p>
    <w:p>
      <w:pPr>
        <w:pStyle w:val="BodyText"/>
        <w:spacing w:line="348" w:lineRule="auto" w:before="80"/>
        <w:ind w:left="200"/>
      </w:pPr>
      <w:r>
        <w:rPr/>
        <w:t>the May </w:t>
      </w:r>
      <w:r>
        <w:rPr>
          <w:u w:val="single"/>
        </w:rPr>
        <w:t>Inflation Report</w:t>
      </w:r>
      <w:r>
        <w:rPr/>
        <w:t>. The effect of the appreciation on the economy would depend on what the causes were and how persistent the rise in sterling proved to be.</w:t>
      </w:r>
    </w:p>
    <w:p>
      <w:pPr>
        <w:pStyle w:val="BodyText"/>
        <w:spacing w:before="8"/>
        <w:rPr>
          <w:sz w:val="34"/>
        </w:rPr>
      </w:pPr>
    </w:p>
    <w:p>
      <w:pPr>
        <w:pStyle w:val="ListParagraph"/>
        <w:numPr>
          <w:ilvl w:val="0"/>
          <w:numId w:val="1"/>
        </w:numPr>
        <w:tabs>
          <w:tab w:pos="599" w:val="left" w:leader="none"/>
        </w:tabs>
        <w:spacing w:line="348" w:lineRule="auto" w:before="0" w:after="0"/>
        <w:ind w:left="200" w:right="365" w:firstLine="0"/>
        <w:jc w:val="left"/>
        <w:rPr>
          <w:sz w:val="24"/>
        </w:rPr>
      </w:pPr>
      <w:r>
        <w:rPr>
          <w:sz w:val="24"/>
        </w:rPr>
        <w:t>The</w:t>
      </w:r>
      <w:r>
        <w:rPr>
          <w:spacing w:val="-7"/>
          <w:sz w:val="24"/>
        </w:rPr>
        <w:t> </w:t>
      </w:r>
      <w:r>
        <w:rPr>
          <w:sz w:val="24"/>
        </w:rPr>
        <w:t>Committee</w:t>
      </w:r>
      <w:r>
        <w:rPr>
          <w:spacing w:val="-7"/>
          <w:sz w:val="24"/>
        </w:rPr>
        <w:t> </w:t>
      </w:r>
      <w:r>
        <w:rPr>
          <w:sz w:val="24"/>
        </w:rPr>
        <w:t>reviewed</w:t>
      </w:r>
      <w:r>
        <w:rPr>
          <w:spacing w:val="-7"/>
          <w:sz w:val="24"/>
        </w:rPr>
        <w:t> </w:t>
      </w:r>
      <w:r>
        <w:rPr>
          <w:sz w:val="24"/>
        </w:rPr>
        <w:t>current</w:t>
      </w:r>
      <w:r>
        <w:rPr>
          <w:spacing w:val="-7"/>
          <w:sz w:val="24"/>
        </w:rPr>
        <w:t> </w:t>
      </w:r>
      <w:r>
        <w:rPr>
          <w:sz w:val="24"/>
        </w:rPr>
        <w:t>uncertainties</w:t>
      </w:r>
      <w:r>
        <w:rPr>
          <w:spacing w:val="-7"/>
          <w:sz w:val="24"/>
        </w:rPr>
        <w:t> </w:t>
      </w:r>
      <w:r>
        <w:rPr>
          <w:sz w:val="24"/>
        </w:rPr>
        <w:t>related</w:t>
      </w:r>
      <w:r>
        <w:rPr>
          <w:spacing w:val="-7"/>
          <w:sz w:val="24"/>
        </w:rPr>
        <w:t> </w:t>
      </w:r>
      <w:r>
        <w:rPr>
          <w:sz w:val="24"/>
        </w:rPr>
        <w:t>to</w:t>
      </w:r>
      <w:r>
        <w:rPr>
          <w:spacing w:val="-7"/>
          <w:sz w:val="24"/>
        </w:rPr>
        <w:t> </w:t>
      </w:r>
      <w:r>
        <w:rPr>
          <w:sz w:val="24"/>
        </w:rPr>
        <w:t>the</w:t>
      </w:r>
      <w:r>
        <w:rPr>
          <w:spacing w:val="-7"/>
          <w:sz w:val="24"/>
        </w:rPr>
        <w:t> </w:t>
      </w:r>
      <w:r>
        <w:rPr>
          <w:sz w:val="24"/>
        </w:rPr>
        <w:t>domestic</w:t>
      </w:r>
      <w:r>
        <w:rPr>
          <w:spacing w:val="-7"/>
          <w:sz w:val="24"/>
        </w:rPr>
        <w:t> </w:t>
      </w:r>
      <w:r>
        <w:rPr>
          <w:sz w:val="24"/>
        </w:rPr>
        <w:t>economy,</w:t>
      </w:r>
      <w:r>
        <w:rPr>
          <w:spacing w:val="-7"/>
          <w:sz w:val="24"/>
        </w:rPr>
        <w:t> </w:t>
      </w:r>
      <w:r>
        <w:rPr>
          <w:sz w:val="24"/>
        </w:rPr>
        <w:t>which</w:t>
      </w:r>
      <w:r>
        <w:rPr>
          <w:spacing w:val="-8"/>
          <w:sz w:val="24"/>
        </w:rPr>
        <w:t> </w:t>
      </w:r>
      <w:r>
        <w:rPr>
          <w:sz w:val="24"/>
        </w:rPr>
        <w:t>included the specific uncertainty about the forthcoming Budget as well as the normal uncertainties about the economic outlook and about the reaction of financial markets - particularly the foreign exchange market - to any change in interest rates.</w:t>
      </w:r>
    </w:p>
    <w:p>
      <w:pPr>
        <w:pStyle w:val="BodyText"/>
        <w:spacing w:before="8"/>
        <w:rPr>
          <w:sz w:val="34"/>
        </w:rPr>
      </w:pPr>
    </w:p>
    <w:p>
      <w:pPr>
        <w:pStyle w:val="ListParagraph"/>
        <w:numPr>
          <w:ilvl w:val="0"/>
          <w:numId w:val="1"/>
        </w:numPr>
        <w:tabs>
          <w:tab w:pos="598" w:val="left" w:leader="none"/>
        </w:tabs>
        <w:spacing w:line="348" w:lineRule="auto" w:before="1" w:after="0"/>
        <w:ind w:left="200" w:right="274" w:firstLine="0"/>
        <w:jc w:val="left"/>
        <w:rPr>
          <w:sz w:val="24"/>
        </w:rPr>
      </w:pPr>
      <w:r>
        <w:rPr>
          <w:sz w:val="24"/>
        </w:rPr>
        <w:t>Taking</w:t>
      </w:r>
      <w:r>
        <w:rPr>
          <w:spacing w:val="-7"/>
          <w:sz w:val="24"/>
        </w:rPr>
        <w:t> </w:t>
      </w:r>
      <w:r>
        <w:rPr>
          <w:sz w:val="24"/>
        </w:rPr>
        <w:t>all</w:t>
      </w:r>
      <w:r>
        <w:rPr>
          <w:spacing w:val="-7"/>
          <w:sz w:val="24"/>
        </w:rPr>
        <w:t> </w:t>
      </w:r>
      <w:r>
        <w:rPr>
          <w:sz w:val="24"/>
        </w:rPr>
        <w:t>the</w:t>
      </w:r>
      <w:r>
        <w:rPr>
          <w:spacing w:val="-6"/>
          <w:sz w:val="24"/>
        </w:rPr>
        <w:t> </w:t>
      </w:r>
      <w:r>
        <w:rPr>
          <w:sz w:val="24"/>
        </w:rPr>
        <w:t>evidence</w:t>
      </w:r>
      <w:r>
        <w:rPr>
          <w:spacing w:val="-7"/>
          <w:sz w:val="24"/>
        </w:rPr>
        <w:t> </w:t>
      </w:r>
      <w:r>
        <w:rPr>
          <w:sz w:val="24"/>
        </w:rPr>
        <w:t>into</w:t>
      </w:r>
      <w:r>
        <w:rPr>
          <w:spacing w:val="-6"/>
          <w:sz w:val="24"/>
        </w:rPr>
        <w:t> </w:t>
      </w:r>
      <w:r>
        <w:rPr>
          <w:sz w:val="24"/>
        </w:rPr>
        <w:t>account,</w:t>
      </w:r>
      <w:r>
        <w:rPr>
          <w:spacing w:val="-7"/>
          <w:sz w:val="24"/>
        </w:rPr>
        <w:t> </w:t>
      </w:r>
      <w:r>
        <w:rPr>
          <w:sz w:val="24"/>
        </w:rPr>
        <w:t>members</w:t>
      </w:r>
      <w:r>
        <w:rPr>
          <w:spacing w:val="-6"/>
          <w:sz w:val="24"/>
        </w:rPr>
        <w:t> </w:t>
      </w:r>
      <w:r>
        <w:rPr>
          <w:sz w:val="24"/>
        </w:rPr>
        <w:t>agreed</w:t>
      </w:r>
      <w:r>
        <w:rPr>
          <w:spacing w:val="-7"/>
          <w:sz w:val="24"/>
        </w:rPr>
        <w:t> </w:t>
      </w:r>
      <w:r>
        <w:rPr>
          <w:sz w:val="24"/>
        </w:rPr>
        <w:t>that</w:t>
      </w:r>
      <w:r>
        <w:rPr>
          <w:spacing w:val="-6"/>
          <w:sz w:val="24"/>
        </w:rPr>
        <w:t> </w:t>
      </w:r>
      <w:r>
        <w:rPr>
          <w:sz w:val="24"/>
        </w:rPr>
        <w:t>the</w:t>
      </w:r>
      <w:r>
        <w:rPr>
          <w:spacing w:val="-7"/>
          <w:sz w:val="24"/>
        </w:rPr>
        <w:t> </w:t>
      </w:r>
      <w:r>
        <w:rPr>
          <w:sz w:val="24"/>
        </w:rPr>
        <w:t>prospect</w:t>
      </w:r>
      <w:r>
        <w:rPr>
          <w:spacing w:val="-6"/>
          <w:sz w:val="24"/>
        </w:rPr>
        <w:t> </w:t>
      </w:r>
      <w:r>
        <w:rPr>
          <w:sz w:val="24"/>
        </w:rPr>
        <w:t>for</w:t>
      </w:r>
      <w:r>
        <w:rPr>
          <w:spacing w:val="-7"/>
          <w:sz w:val="24"/>
        </w:rPr>
        <w:t> </w:t>
      </w:r>
      <w:r>
        <w:rPr>
          <w:sz w:val="24"/>
        </w:rPr>
        <w:t>domestic</w:t>
      </w:r>
      <w:r>
        <w:rPr>
          <w:spacing w:val="-6"/>
          <w:sz w:val="24"/>
        </w:rPr>
        <w:t> </w:t>
      </w:r>
      <w:r>
        <w:rPr>
          <w:sz w:val="24"/>
        </w:rPr>
        <w:t>demand</w:t>
      </w:r>
      <w:r>
        <w:rPr>
          <w:spacing w:val="-7"/>
          <w:sz w:val="24"/>
        </w:rPr>
        <w:t> </w:t>
      </w:r>
      <w:r>
        <w:rPr>
          <w:sz w:val="24"/>
        </w:rPr>
        <w:t>was sufficiently buoyant that, despite the probable future impact of the higher exchange rate on activity, there was a need for tighter monetary policy in order to hit the inflation target looking two years or so</w:t>
      </w:r>
      <w:r>
        <w:rPr>
          <w:spacing w:val="-5"/>
          <w:sz w:val="24"/>
        </w:rPr>
        <w:t> </w:t>
      </w:r>
      <w:r>
        <w:rPr>
          <w:spacing w:val="-2"/>
          <w:sz w:val="24"/>
        </w:rPr>
        <w:t>ahead.</w:t>
      </w:r>
    </w:p>
    <w:p>
      <w:pPr>
        <w:pStyle w:val="BodyText"/>
        <w:spacing w:before="8"/>
        <w:rPr>
          <w:sz w:val="34"/>
        </w:rPr>
      </w:pPr>
    </w:p>
    <w:p>
      <w:pPr>
        <w:pStyle w:val="ListParagraph"/>
        <w:numPr>
          <w:ilvl w:val="0"/>
          <w:numId w:val="1"/>
        </w:numPr>
        <w:tabs>
          <w:tab w:pos="658" w:val="left" w:leader="none"/>
          <w:tab w:pos="659" w:val="left" w:leader="none"/>
        </w:tabs>
        <w:spacing w:line="348" w:lineRule="auto" w:before="0" w:after="0"/>
        <w:ind w:left="200" w:right="246" w:firstLine="0"/>
        <w:jc w:val="left"/>
        <w:rPr>
          <w:sz w:val="24"/>
        </w:rPr>
      </w:pPr>
      <w:r>
        <w:rPr>
          <w:sz w:val="24"/>
        </w:rPr>
        <w:t>The Committee then turned to its immediate decision. They considered whether the timing of a rise in interest rates should be influenced by the timing of the Budget, but concluded that there was no strong reason why it should be. They also discussed the likely influences on the exchange rate in the near term, and the possible effect of a rise in interest rates. The Committee noted that the foreign exchange</w:t>
      </w:r>
      <w:r>
        <w:rPr>
          <w:spacing w:val="-11"/>
          <w:sz w:val="24"/>
        </w:rPr>
        <w:t> </w:t>
      </w:r>
      <w:r>
        <w:rPr>
          <w:sz w:val="24"/>
        </w:rPr>
        <w:t>market</w:t>
      </w:r>
      <w:r>
        <w:rPr>
          <w:spacing w:val="-10"/>
          <w:sz w:val="24"/>
        </w:rPr>
        <w:t> </w:t>
      </w:r>
      <w:r>
        <w:rPr>
          <w:sz w:val="24"/>
        </w:rPr>
        <w:t>was</w:t>
      </w:r>
      <w:r>
        <w:rPr>
          <w:spacing w:val="-10"/>
          <w:sz w:val="24"/>
        </w:rPr>
        <w:t> </w:t>
      </w:r>
      <w:r>
        <w:rPr>
          <w:sz w:val="24"/>
        </w:rPr>
        <w:t>now</w:t>
      </w:r>
      <w:r>
        <w:rPr>
          <w:spacing w:val="-10"/>
          <w:sz w:val="24"/>
        </w:rPr>
        <w:t> </w:t>
      </w:r>
      <w:r>
        <w:rPr>
          <w:sz w:val="24"/>
        </w:rPr>
        <w:t>expecting</w:t>
      </w:r>
      <w:r>
        <w:rPr>
          <w:spacing w:val="-10"/>
          <w:sz w:val="24"/>
        </w:rPr>
        <w:t> </w:t>
      </w:r>
      <w:r>
        <w:rPr>
          <w:sz w:val="24"/>
        </w:rPr>
        <w:t>a</w:t>
      </w:r>
      <w:r>
        <w:rPr>
          <w:spacing w:val="-10"/>
          <w:sz w:val="24"/>
        </w:rPr>
        <w:t> </w:t>
      </w:r>
      <w:r>
        <w:rPr>
          <w:sz w:val="24"/>
        </w:rPr>
        <w:t>small</w:t>
      </w:r>
      <w:r>
        <w:rPr>
          <w:spacing w:val="-10"/>
          <w:sz w:val="24"/>
        </w:rPr>
        <w:t> </w:t>
      </w:r>
      <w:r>
        <w:rPr>
          <w:sz w:val="24"/>
        </w:rPr>
        <w:t>rise</w:t>
      </w:r>
      <w:r>
        <w:rPr>
          <w:spacing w:val="-11"/>
          <w:sz w:val="24"/>
        </w:rPr>
        <w:t> </w:t>
      </w:r>
      <w:r>
        <w:rPr>
          <w:sz w:val="24"/>
        </w:rPr>
        <w:t>in</w:t>
      </w:r>
      <w:r>
        <w:rPr>
          <w:spacing w:val="-10"/>
          <w:sz w:val="24"/>
        </w:rPr>
        <w:t> </w:t>
      </w:r>
      <w:r>
        <w:rPr>
          <w:sz w:val="24"/>
        </w:rPr>
        <w:t>interest</w:t>
      </w:r>
      <w:r>
        <w:rPr>
          <w:spacing w:val="-10"/>
          <w:sz w:val="24"/>
        </w:rPr>
        <w:t> </w:t>
      </w:r>
      <w:r>
        <w:rPr>
          <w:sz w:val="24"/>
        </w:rPr>
        <w:t>rates</w:t>
      </w:r>
      <w:r>
        <w:rPr>
          <w:spacing w:val="-10"/>
          <w:sz w:val="24"/>
        </w:rPr>
        <w:t> </w:t>
      </w:r>
      <w:r>
        <w:rPr>
          <w:sz w:val="24"/>
        </w:rPr>
        <w:t>to</w:t>
      </w:r>
      <w:r>
        <w:rPr>
          <w:spacing w:val="-10"/>
          <w:sz w:val="24"/>
        </w:rPr>
        <w:t> </w:t>
      </w:r>
      <w:r>
        <w:rPr>
          <w:sz w:val="24"/>
        </w:rPr>
        <w:t>be</w:t>
      </w:r>
      <w:r>
        <w:rPr>
          <w:spacing w:val="-10"/>
          <w:sz w:val="24"/>
        </w:rPr>
        <w:t> </w:t>
      </w:r>
      <w:r>
        <w:rPr>
          <w:sz w:val="24"/>
        </w:rPr>
        <w:t>decided</w:t>
      </w:r>
      <w:r>
        <w:rPr>
          <w:spacing w:val="-10"/>
          <w:sz w:val="24"/>
        </w:rPr>
        <w:t> </w:t>
      </w:r>
      <w:r>
        <w:rPr>
          <w:sz w:val="24"/>
        </w:rPr>
        <w:t>at</w:t>
      </w:r>
      <w:r>
        <w:rPr>
          <w:spacing w:val="-10"/>
          <w:sz w:val="24"/>
        </w:rPr>
        <w:t> </w:t>
      </w:r>
      <w:r>
        <w:rPr>
          <w:sz w:val="24"/>
        </w:rPr>
        <w:t>the</w:t>
      </w:r>
      <w:r>
        <w:rPr>
          <w:spacing w:val="-11"/>
          <w:sz w:val="24"/>
        </w:rPr>
        <w:t> </w:t>
      </w:r>
      <w:r>
        <w:rPr>
          <w:sz w:val="24"/>
        </w:rPr>
        <w:t>meeting,</w:t>
      </w:r>
      <w:r>
        <w:rPr>
          <w:spacing w:val="-10"/>
          <w:sz w:val="24"/>
        </w:rPr>
        <w:t> </w:t>
      </w:r>
      <w:r>
        <w:rPr>
          <w:sz w:val="24"/>
        </w:rPr>
        <w:t>and</w:t>
      </w:r>
      <w:r>
        <w:rPr>
          <w:spacing w:val="-10"/>
          <w:sz w:val="24"/>
        </w:rPr>
        <w:t> </w:t>
      </w:r>
      <w:r>
        <w:rPr>
          <w:sz w:val="24"/>
        </w:rPr>
        <w:t>that sterling might be pushed up further by EMU uncertainties in the next month or so. It debated whether delaying a rise in interest rates would mean that the ultimate effect on the exchange rate would be any less, but concluded on balance that there was no strong reason to think that that was so,</w:t>
      </w:r>
      <w:r>
        <w:rPr>
          <w:spacing w:val="-5"/>
          <w:sz w:val="24"/>
        </w:rPr>
        <w:t> </w:t>
      </w:r>
      <w:r>
        <w:rPr>
          <w:sz w:val="24"/>
        </w:rPr>
        <w:t>while</w:t>
      </w:r>
      <w:r>
        <w:rPr>
          <w:spacing w:val="-4"/>
          <w:sz w:val="24"/>
        </w:rPr>
        <w:t> </w:t>
      </w:r>
      <w:r>
        <w:rPr>
          <w:sz w:val="24"/>
        </w:rPr>
        <w:t>a</w:t>
      </w:r>
      <w:r>
        <w:rPr>
          <w:spacing w:val="-3"/>
          <w:sz w:val="24"/>
        </w:rPr>
        <w:t> </w:t>
      </w:r>
      <w:r>
        <w:rPr>
          <w:sz w:val="24"/>
        </w:rPr>
        <w:t>delay</w:t>
      </w:r>
      <w:r>
        <w:rPr>
          <w:spacing w:val="-4"/>
          <w:sz w:val="24"/>
        </w:rPr>
        <w:t> </w:t>
      </w:r>
      <w:r>
        <w:rPr>
          <w:sz w:val="24"/>
        </w:rPr>
        <w:t>would</w:t>
      </w:r>
      <w:r>
        <w:rPr>
          <w:spacing w:val="-4"/>
          <w:sz w:val="24"/>
        </w:rPr>
        <w:t> </w:t>
      </w:r>
      <w:r>
        <w:rPr>
          <w:sz w:val="24"/>
        </w:rPr>
        <w:t>mean</w:t>
      </w:r>
      <w:r>
        <w:rPr>
          <w:spacing w:val="-3"/>
          <w:sz w:val="24"/>
        </w:rPr>
        <w:t> </w:t>
      </w:r>
      <w:r>
        <w:rPr>
          <w:sz w:val="24"/>
        </w:rPr>
        <w:t>some</w:t>
      </w:r>
      <w:r>
        <w:rPr>
          <w:spacing w:val="-5"/>
          <w:sz w:val="24"/>
        </w:rPr>
        <w:t> </w:t>
      </w:r>
      <w:r>
        <w:rPr>
          <w:sz w:val="24"/>
        </w:rPr>
        <w:t>increase</w:t>
      </w:r>
      <w:r>
        <w:rPr>
          <w:spacing w:val="-3"/>
          <w:sz w:val="24"/>
        </w:rPr>
        <w:t> </w:t>
      </w:r>
      <w:r>
        <w:rPr>
          <w:sz w:val="24"/>
        </w:rPr>
        <w:t>in</w:t>
      </w:r>
      <w:r>
        <w:rPr>
          <w:spacing w:val="-3"/>
          <w:sz w:val="24"/>
        </w:rPr>
        <w:t> </w:t>
      </w:r>
      <w:r>
        <w:rPr>
          <w:sz w:val="24"/>
        </w:rPr>
        <w:t>the</w:t>
      </w:r>
      <w:r>
        <w:rPr>
          <w:spacing w:val="-4"/>
          <w:sz w:val="24"/>
        </w:rPr>
        <w:t> </w:t>
      </w:r>
      <w:r>
        <w:rPr>
          <w:sz w:val="24"/>
        </w:rPr>
        <w:t>inflationary</w:t>
      </w:r>
      <w:r>
        <w:rPr>
          <w:spacing w:val="-3"/>
          <w:sz w:val="24"/>
        </w:rPr>
        <w:t> </w:t>
      </w:r>
      <w:r>
        <w:rPr>
          <w:sz w:val="24"/>
        </w:rPr>
        <w:t>risks</w:t>
      </w:r>
      <w:r>
        <w:rPr>
          <w:spacing w:val="-3"/>
          <w:sz w:val="24"/>
        </w:rPr>
        <w:t> </w:t>
      </w:r>
      <w:r>
        <w:rPr>
          <w:sz w:val="24"/>
        </w:rPr>
        <w:t>to</w:t>
      </w:r>
      <w:r>
        <w:rPr>
          <w:spacing w:val="-4"/>
          <w:sz w:val="24"/>
        </w:rPr>
        <w:t> </w:t>
      </w:r>
      <w:r>
        <w:rPr>
          <w:sz w:val="24"/>
        </w:rPr>
        <w:t>the</w:t>
      </w:r>
      <w:r>
        <w:rPr>
          <w:spacing w:val="-3"/>
          <w:sz w:val="24"/>
        </w:rPr>
        <w:t> </w:t>
      </w:r>
      <w:r>
        <w:rPr>
          <w:sz w:val="24"/>
        </w:rPr>
        <w:t>domestic</w:t>
      </w:r>
      <w:r>
        <w:rPr>
          <w:spacing w:val="-3"/>
          <w:sz w:val="24"/>
        </w:rPr>
        <w:t> </w:t>
      </w:r>
      <w:r>
        <w:rPr>
          <w:sz w:val="24"/>
        </w:rPr>
        <w:t>economy.</w:t>
      </w:r>
    </w:p>
    <w:p>
      <w:pPr>
        <w:pStyle w:val="BodyText"/>
        <w:spacing w:before="8"/>
        <w:rPr>
          <w:sz w:val="34"/>
        </w:rPr>
      </w:pPr>
    </w:p>
    <w:p>
      <w:pPr>
        <w:pStyle w:val="ListParagraph"/>
        <w:numPr>
          <w:ilvl w:val="0"/>
          <w:numId w:val="1"/>
        </w:numPr>
        <w:tabs>
          <w:tab w:pos="657" w:val="left" w:leader="none"/>
          <w:tab w:pos="658" w:val="left" w:leader="none"/>
        </w:tabs>
        <w:spacing w:line="348" w:lineRule="auto" w:before="0" w:after="0"/>
        <w:ind w:left="200" w:right="292" w:firstLine="0"/>
        <w:jc w:val="left"/>
        <w:rPr>
          <w:sz w:val="24"/>
        </w:rPr>
      </w:pPr>
      <w:r>
        <w:rPr>
          <w:sz w:val="24"/>
        </w:rPr>
        <w:t>Taking</w:t>
      </w:r>
      <w:r>
        <w:rPr>
          <w:spacing w:val="-6"/>
          <w:sz w:val="24"/>
        </w:rPr>
        <w:t> </w:t>
      </w:r>
      <w:r>
        <w:rPr>
          <w:sz w:val="24"/>
        </w:rPr>
        <w:t>all</w:t>
      </w:r>
      <w:r>
        <w:rPr>
          <w:spacing w:val="-5"/>
          <w:sz w:val="24"/>
        </w:rPr>
        <w:t> </w:t>
      </w:r>
      <w:r>
        <w:rPr>
          <w:sz w:val="24"/>
        </w:rPr>
        <w:t>the</w:t>
      </w:r>
      <w:r>
        <w:rPr>
          <w:spacing w:val="-5"/>
          <w:sz w:val="24"/>
        </w:rPr>
        <w:t> </w:t>
      </w:r>
      <w:r>
        <w:rPr>
          <w:sz w:val="24"/>
        </w:rPr>
        <w:t>factors</w:t>
      </w:r>
      <w:r>
        <w:rPr>
          <w:spacing w:val="-6"/>
          <w:sz w:val="24"/>
        </w:rPr>
        <w:t> </w:t>
      </w:r>
      <w:r>
        <w:rPr>
          <w:sz w:val="24"/>
        </w:rPr>
        <w:t>into</w:t>
      </w:r>
      <w:r>
        <w:rPr>
          <w:spacing w:val="-5"/>
          <w:sz w:val="24"/>
        </w:rPr>
        <w:t> </w:t>
      </w:r>
      <w:r>
        <w:rPr>
          <w:sz w:val="24"/>
        </w:rPr>
        <w:t>account,</w:t>
      </w:r>
      <w:r>
        <w:rPr>
          <w:spacing w:val="-5"/>
          <w:sz w:val="24"/>
        </w:rPr>
        <w:t> </w:t>
      </w:r>
      <w:r>
        <w:rPr>
          <w:sz w:val="24"/>
        </w:rPr>
        <w:t>the</w:t>
      </w:r>
      <w:r>
        <w:rPr>
          <w:spacing w:val="-6"/>
          <w:sz w:val="24"/>
        </w:rPr>
        <w:t> </w:t>
      </w:r>
      <w:r>
        <w:rPr>
          <w:sz w:val="24"/>
        </w:rPr>
        <w:t>Committee</w:t>
      </w:r>
      <w:r>
        <w:rPr>
          <w:spacing w:val="-5"/>
          <w:sz w:val="24"/>
        </w:rPr>
        <w:t> </w:t>
      </w:r>
      <w:r>
        <w:rPr>
          <w:sz w:val="24"/>
        </w:rPr>
        <w:t>judged</w:t>
      </w:r>
      <w:r>
        <w:rPr>
          <w:spacing w:val="-5"/>
          <w:sz w:val="24"/>
        </w:rPr>
        <w:t> </w:t>
      </w:r>
      <w:r>
        <w:rPr>
          <w:sz w:val="24"/>
        </w:rPr>
        <w:t>that</w:t>
      </w:r>
      <w:r>
        <w:rPr>
          <w:spacing w:val="-6"/>
          <w:sz w:val="24"/>
        </w:rPr>
        <w:t> </w:t>
      </w:r>
      <w:r>
        <w:rPr>
          <w:sz w:val="24"/>
        </w:rPr>
        <w:t>a</w:t>
      </w:r>
      <w:r>
        <w:rPr>
          <w:spacing w:val="-5"/>
          <w:sz w:val="24"/>
        </w:rPr>
        <w:t> </w:t>
      </w:r>
      <w:r>
        <w:rPr>
          <w:sz w:val="24"/>
        </w:rPr>
        <w:t>modest</w:t>
      </w:r>
      <w:r>
        <w:rPr>
          <w:spacing w:val="-5"/>
          <w:sz w:val="24"/>
        </w:rPr>
        <w:t> </w:t>
      </w:r>
      <w:r>
        <w:rPr>
          <w:sz w:val="24"/>
        </w:rPr>
        <w:t>increase</w:t>
      </w:r>
      <w:r>
        <w:rPr>
          <w:spacing w:val="-6"/>
          <w:sz w:val="24"/>
        </w:rPr>
        <w:t> </w:t>
      </w:r>
      <w:r>
        <w:rPr>
          <w:sz w:val="24"/>
        </w:rPr>
        <w:t>in</w:t>
      </w:r>
      <w:r>
        <w:rPr>
          <w:spacing w:val="-5"/>
          <w:sz w:val="24"/>
        </w:rPr>
        <w:t> </w:t>
      </w:r>
      <w:r>
        <w:rPr>
          <w:sz w:val="24"/>
        </w:rPr>
        <w:t>interest</w:t>
      </w:r>
      <w:r>
        <w:rPr>
          <w:spacing w:val="-5"/>
          <w:sz w:val="24"/>
        </w:rPr>
        <w:t> </w:t>
      </w:r>
      <w:r>
        <w:rPr>
          <w:sz w:val="24"/>
        </w:rPr>
        <w:t>rates was</w:t>
      </w:r>
      <w:r>
        <w:rPr>
          <w:spacing w:val="-10"/>
          <w:sz w:val="24"/>
        </w:rPr>
        <w:t> </w:t>
      </w:r>
      <w:r>
        <w:rPr>
          <w:sz w:val="24"/>
        </w:rPr>
        <w:t>needed</w:t>
      </w:r>
      <w:r>
        <w:rPr>
          <w:spacing w:val="-9"/>
          <w:sz w:val="24"/>
        </w:rPr>
        <w:t> </w:t>
      </w:r>
      <w:r>
        <w:rPr>
          <w:sz w:val="24"/>
        </w:rPr>
        <w:t>immediately</w:t>
      </w:r>
      <w:r>
        <w:rPr>
          <w:spacing w:val="-9"/>
          <w:sz w:val="24"/>
        </w:rPr>
        <w:t> </w:t>
      </w:r>
      <w:r>
        <w:rPr>
          <w:sz w:val="24"/>
        </w:rPr>
        <w:t>and</w:t>
      </w:r>
      <w:r>
        <w:rPr>
          <w:spacing w:val="-9"/>
          <w:sz w:val="24"/>
        </w:rPr>
        <w:t> </w:t>
      </w:r>
      <w:r>
        <w:rPr>
          <w:sz w:val="24"/>
        </w:rPr>
        <w:t>all</w:t>
      </w:r>
      <w:r>
        <w:rPr>
          <w:spacing w:val="-9"/>
          <w:sz w:val="24"/>
        </w:rPr>
        <w:t> </w:t>
      </w:r>
      <w:r>
        <w:rPr>
          <w:sz w:val="24"/>
        </w:rPr>
        <w:t>members</w:t>
      </w:r>
      <w:r>
        <w:rPr>
          <w:spacing w:val="-9"/>
          <w:sz w:val="24"/>
        </w:rPr>
        <w:t> </w:t>
      </w:r>
      <w:r>
        <w:rPr>
          <w:sz w:val="24"/>
        </w:rPr>
        <w:t>voted</w:t>
      </w:r>
      <w:r>
        <w:rPr>
          <w:spacing w:val="-9"/>
          <w:sz w:val="24"/>
        </w:rPr>
        <w:t> </w:t>
      </w:r>
      <w:r>
        <w:rPr>
          <w:sz w:val="24"/>
        </w:rPr>
        <w:t>for</w:t>
      </w:r>
      <w:r>
        <w:rPr>
          <w:spacing w:val="-10"/>
          <w:sz w:val="24"/>
        </w:rPr>
        <w:t> </w:t>
      </w:r>
      <w:r>
        <w:rPr>
          <w:sz w:val="24"/>
        </w:rPr>
        <w:t>an</w:t>
      </w:r>
      <w:r>
        <w:rPr>
          <w:spacing w:val="-9"/>
          <w:sz w:val="24"/>
        </w:rPr>
        <w:t> </w:t>
      </w:r>
      <w:r>
        <w:rPr>
          <w:sz w:val="24"/>
        </w:rPr>
        <w:t>immediate</w:t>
      </w:r>
      <w:r>
        <w:rPr>
          <w:spacing w:val="-9"/>
          <w:sz w:val="24"/>
        </w:rPr>
        <w:t> </w:t>
      </w:r>
      <w:r>
        <w:rPr>
          <w:sz w:val="24"/>
        </w:rPr>
        <w:t>increase</w:t>
      </w:r>
      <w:r>
        <w:rPr>
          <w:spacing w:val="-9"/>
          <w:sz w:val="24"/>
        </w:rPr>
        <w:t> </w:t>
      </w:r>
      <w:r>
        <w:rPr>
          <w:sz w:val="24"/>
        </w:rPr>
        <w:t>of</w:t>
      </w:r>
      <w:r>
        <w:rPr>
          <w:spacing w:val="-9"/>
          <w:sz w:val="24"/>
        </w:rPr>
        <w:t> </w:t>
      </w:r>
      <w:r>
        <w:rPr>
          <w:sz w:val="24"/>
        </w:rPr>
        <w:t>1/4%</w:t>
      </w:r>
      <w:r>
        <w:rPr>
          <w:spacing w:val="-9"/>
          <w:sz w:val="24"/>
        </w:rPr>
        <w:t> </w:t>
      </w:r>
      <w:r>
        <w:rPr>
          <w:sz w:val="24"/>
        </w:rPr>
        <w:t>in</w:t>
      </w:r>
      <w:r>
        <w:rPr>
          <w:spacing w:val="-9"/>
          <w:sz w:val="24"/>
        </w:rPr>
        <w:t> </w:t>
      </w:r>
      <w:r>
        <w:rPr>
          <w:sz w:val="24"/>
        </w:rPr>
        <w:t>interest</w:t>
      </w:r>
      <w:r>
        <w:rPr>
          <w:spacing w:val="-10"/>
          <w:sz w:val="24"/>
        </w:rPr>
        <w:t> </w:t>
      </w:r>
      <w:r>
        <w:rPr>
          <w:spacing w:val="-2"/>
          <w:sz w:val="24"/>
        </w:rPr>
        <w:t>rates.</w:t>
      </w:r>
    </w:p>
    <w:p>
      <w:pPr>
        <w:pStyle w:val="BodyText"/>
        <w:spacing w:before="9"/>
        <w:rPr>
          <w:sz w:val="34"/>
        </w:rPr>
      </w:pPr>
    </w:p>
    <w:p>
      <w:pPr>
        <w:pStyle w:val="Heading1"/>
        <w:numPr>
          <w:ilvl w:val="0"/>
          <w:numId w:val="2"/>
        </w:numPr>
        <w:tabs>
          <w:tab w:pos="725" w:val="left" w:leader="none"/>
        </w:tabs>
        <w:spacing w:line="240" w:lineRule="auto" w:before="0" w:after="0"/>
        <w:ind w:left="724" w:right="0" w:hanging="525"/>
        <w:jc w:val="left"/>
      </w:pPr>
      <w:r>
        <w:rPr>
          <w:spacing w:val="-3"/>
        </w:rPr>
        <w:t>Procedures</w:t>
      </w:r>
    </w:p>
    <w:p>
      <w:pPr>
        <w:pStyle w:val="BodyText"/>
        <w:rPr>
          <w:b/>
          <w:sz w:val="26"/>
        </w:rPr>
      </w:pPr>
    </w:p>
    <w:p>
      <w:pPr>
        <w:pStyle w:val="ListParagraph"/>
        <w:numPr>
          <w:ilvl w:val="0"/>
          <w:numId w:val="1"/>
        </w:numPr>
        <w:tabs>
          <w:tab w:pos="600" w:val="left" w:leader="none"/>
        </w:tabs>
        <w:spacing w:line="348" w:lineRule="auto" w:before="225" w:after="0"/>
        <w:ind w:left="200" w:right="461" w:firstLine="0"/>
        <w:jc w:val="left"/>
        <w:rPr>
          <w:sz w:val="24"/>
        </w:rPr>
      </w:pPr>
      <w:r>
        <w:rPr>
          <w:sz w:val="24"/>
        </w:rPr>
        <w:t>The Committee discussed the timing of the publication of the minutes of its meetings, and concluded</w:t>
      </w:r>
      <w:r>
        <w:rPr>
          <w:spacing w:val="-11"/>
          <w:sz w:val="24"/>
        </w:rPr>
        <w:t> </w:t>
      </w:r>
      <w:r>
        <w:rPr>
          <w:sz w:val="24"/>
        </w:rPr>
        <w:t>that</w:t>
      </w:r>
      <w:r>
        <w:rPr>
          <w:spacing w:val="-11"/>
          <w:sz w:val="24"/>
        </w:rPr>
        <w:t> </w:t>
      </w:r>
      <w:r>
        <w:rPr>
          <w:sz w:val="24"/>
        </w:rPr>
        <w:t>as</w:t>
      </w:r>
      <w:r>
        <w:rPr>
          <w:spacing w:val="-10"/>
          <w:sz w:val="24"/>
        </w:rPr>
        <w:t> </w:t>
      </w:r>
      <w:r>
        <w:rPr>
          <w:sz w:val="24"/>
        </w:rPr>
        <w:t>a</w:t>
      </w:r>
      <w:r>
        <w:rPr>
          <w:spacing w:val="-11"/>
          <w:sz w:val="24"/>
        </w:rPr>
        <w:t> </w:t>
      </w:r>
      <w:r>
        <w:rPr>
          <w:sz w:val="24"/>
        </w:rPr>
        <w:t>general</w:t>
      </w:r>
      <w:r>
        <w:rPr>
          <w:spacing w:val="-10"/>
          <w:sz w:val="24"/>
        </w:rPr>
        <w:t> </w:t>
      </w:r>
      <w:r>
        <w:rPr>
          <w:sz w:val="24"/>
        </w:rPr>
        <w:t>rule</w:t>
      </w:r>
      <w:r>
        <w:rPr>
          <w:spacing w:val="-11"/>
          <w:sz w:val="24"/>
        </w:rPr>
        <w:t> </w:t>
      </w:r>
      <w:r>
        <w:rPr>
          <w:sz w:val="24"/>
        </w:rPr>
        <w:t>the</w:t>
      </w:r>
      <w:r>
        <w:rPr>
          <w:spacing w:val="-10"/>
          <w:sz w:val="24"/>
        </w:rPr>
        <w:t> </w:t>
      </w:r>
      <w:r>
        <w:rPr>
          <w:sz w:val="24"/>
        </w:rPr>
        <w:t>minutes</w:t>
      </w:r>
      <w:r>
        <w:rPr>
          <w:spacing w:val="-11"/>
          <w:sz w:val="24"/>
        </w:rPr>
        <w:t> </w:t>
      </w:r>
      <w:r>
        <w:rPr>
          <w:sz w:val="24"/>
        </w:rPr>
        <w:t>of</w:t>
      </w:r>
      <w:r>
        <w:rPr>
          <w:spacing w:val="-11"/>
          <w:sz w:val="24"/>
        </w:rPr>
        <w:t> </w:t>
      </w:r>
      <w:r>
        <w:rPr>
          <w:sz w:val="24"/>
        </w:rPr>
        <w:t>each</w:t>
      </w:r>
      <w:r>
        <w:rPr>
          <w:spacing w:val="-10"/>
          <w:sz w:val="24"/>
        </w:rPr>
        <w:t> </w:t>
      </w:r>
      <w:r>
        <w:rPr>
          <w:sz w:val="24"/>
        </w:rPr>
        <w:t>meeting</w:t>
      </w:r>
      <w:r>
        <w:rPr>
          <w:spacing w:val="-11"/>
          <w:sz w:val="24"/>
        </w:rPr>
        <w:t> </w:t>
      </w:r>
      <w:r>
        <w:rPr>
          <w:sz w:val="24"/>
        </w:rPr>
        <w:t>should</w:t>
      </w:r>
      <w:r>
        <w:rPr>
          <w:spacing w:val="-10"/>
          <w:sz w:val="24"/>
        </w:rPr>
        <w:t> </w:t>
      </w:r>
      <w:r>
        <w:rPr>
          <w:sz w:val="24"/>
        </w:rPr>
        <w:t>be</w:t>
      </w:r>
      <w:r>
        <w:rPr>
          <w:spacing w:val="-11"/>
          <w:sz w:val="24"/>
        </w:rPr>
        <w:t> </w:t>
      </w:r>
      <w:r>
        <w:rPr>
          <w:sz w:val="24"/>
        </w:rPr>
        <w:t>published</w:t>
      </w:r>
      <w:r>
        <w:rPr>
          <w:spacing w:val="-10"/>
          <w:sz w:val="24"/>
        </w:rPr>
        <w:t> </w:t>
      </w:r>
      <w:r>
        <w:rPr>
          <w:sz w:val="24"/>
        </w:rPr>
        <w:t>on</w:t>
      </w:r>
      <w:r>
        <w:rPr>
          <w:spacing w:val="-11"/>
          <w:sz w:val="24"/>
        </w:rPr>
        <w:t> </w:t>
      </w:r>
      <w:r>
        <w:rPr>
          <w:sz w:val="24"/>
        </w:rPr>
        <w:t>the</w:t>
      </w:r>
      <w:r>
        <w:rPr>
          <w:spacing w:val="-11"/>
          <w:sz w:val="24"/>
        </w:rPr>
        <w:t> </w:t>
      </w:r>
      <w:r>
        <w:rPr>
          <w:sz w:val="24"/>
        </w:rPr>
        <w:t>Wednesday </w:t>
      </w:r>
      <w:r>
        <w:rPr>
          <w:spacing w:val="-3"/>
          <w:sz w:val="24"/>
        </w:rPr>
        <w:t>after </w:t>
      </w:r>
      <w:r>
        <w:rPr>
          <w:sz w:val="24"/>
        </w:rPr>
        <w:t>the </w:t>
      </w:r>
      <w:r>
        <w:rPr>
          <w:spacing w:val="-3"/>
          <w:sz w:val="24"/>
        </w:rPr>
        <w:t>following</w:t>
      </w:r>
      <w:r>
        <w:rPr>
          <w:spacing w:val="-12"/>
          <w:sz w:val="24"/>
        </w:rPr>
        <w:t> </w:t>
      </w:r>
      <w:r>
        <w:rPr>
          <w:spacing w:val="-3"/>
          <w:sz w:val="24"/>
        </w:rPr>
        <w:t>meeting.</w:t>
      </w:r>
    </w:p>
    <w:p>
      <w:pPr>
        <w:pStyle w:val="BodyText"/>
        <w:spacing w:before="8"/>
        <w:rPr>
          <w:sz w:val="34"/>
        </w:rPr>
      </w:pPr>
    </w:p>
    <w:p>
      <w:pPr>
        <w:pStyle w:val="ListParagraph"/>
        <w:numPr>
          <w:ilvl w:val="0"/>
          <w:numId w:val="1"/>
        </w:numPr>
        <w:tabs>
          <w:tab w:pos="599" w:val="left" w:leader="none"/>
        </w:tabs>
        <w:spacing w:line="240" w:lineRule="auto" w:before="1" w:after="0"/>
        <w:ind w:left="598" w:right="0" w:hanging="399"/>
        <w:jc w:val="left"/>
        <w:rPr>
          <w:sz w:val="24"/>
        </w:rPr>
      </w:pPr>
      <w:r>
        <w:rPr>
          <w:sz w:val="24"/>
        </w:rPr>
        <w:t>The following members of the Committee were</w:t>
      </w:r>
      <w:r>
        <w:rPr>
          <w:spacing w:val="-12"/>
          <w:sz w:val="24"/>
        </w:rPr>
        <w:t> </w:t>
      </w:r>
      <w:r>
        <w:rPr>
          <w:sz w:val="24"/>
        </w:rPr>
        <w:t>present:</w:t>
      </w:r>
    </w:p>
    <w:p>
      <w:pPr>
        <w:pStyle w:val="BodyText"/>
        <w:spacing w:before="124"/>
        <w:ind w:left="3272"/>
      </w:pPr>
      <w:r>
        <w:rPr/>
        <w:t>The Governor</w:t>
      </w:r>
    </w:p>
    <w:p>
      <w:pPr>
        <w:pStyle w:val="BodyText"/>
        <w:spacing w:line="348" w:lineRule="auto" w:before="124"/>
        <w:ind w:left="3332" w:right="4375" w:firstLine="49"/>
      </w:pPr>
      <w:r>
        <w:rPr/>
        <w:t>The Deputy Governor Professor Buiter Professor Goodhart</w:t>
      </w:r>
    </w:p>
    <w:p>
      <w:pPr>
        <w:spacing w:after="0" w:line="348" w:lineRule="auto"/>
        <w:sectPr>
          <w:pgSz w:w="11900" w:h="16840"/>
          <w:pgMar w:header="746" w:footer="0" w:top="1240" w:bottom="280" w:left="880" w:right="860"/>
        </w:sectPr>
      </w:pPr>
    </w:p>
    <w:p>
      <w:pPr>
        <w:pStyle w:val="BodyText"/>
        <w:spacing w:before="80"/>
        <w:ind w:left="3332"/>
      </w:pPr>
      <w:r>
        <w:rPr/>
        <w:t>Mr King</w:t>
      </w:r>
    </w:p>
    <w:p>
      <w:pPr>
        <w:pStyle w:val="BodyText"/>
        <w:spacing w:before="124"/>
        <w:ind w:left="3332"/>
      </w:pPr>
      <w:r>
        <w:rPr/>
        <w:t>Mr Plenderleith</w:t>
      </w:r>
    </w:p>
    <w:p>
      <w:pPr>
        <w:pStyle w:val="BodyText"/>
        <w:rPr>
          <w:sz w:val="26"/>
        </w:rPr>
      </w:pPr>
    </w:p>
    <w:p>
      <w:pPr>
        <w:pStyle w:val="BodyText"/>
        <w:tabs>
          <w:tab w:pos="1262" w:val="left" w:leader="none"/>
          <w:tab w:pos="2636" w:val="left" w:leader="none"/>
          <w:tab w:pos="4560" w:val="left" w:leader="none"/>
          <w:tab w:pos="5320" w:val="left" w:leader="none"/>
          <w:tab w:pos="6283" w:val="left" w:leader="none"/>
          <w:tab w:pos="7379" w:val="left" w:leader="none"/>
          <w:tab w:pos="8275" w:val="left" w:leader="none"/>
          <w:tab w:pos="9180" w:val="left" w:leader="none"/>
        </w:tabs>
        <w:spacing w:before="225"/>
        <w:ind w:left="385"/>
      </w:pPr>
      <w:r>
        <w:rPr/>
        <w:t>The</w:t>
        <w:tab/>
        <w:t>Treasury</w:t>
        <w:tab/>
        <w:t>representative,</w:t>
        <w:tab/>
      </w:r>
      <w:r>
        <w:rPr>
          <w:spacing w:val="-5"/>
        </w:rPr>
        <w:t>Sir</w:t>
        <w:tab/>
      </w:r>
      <w:r>
        <w:rPr/>
        <w:t>Alan</w:t>
        <w:tab/>
        <w:t>Budd,</w:t>
        <w:tab/>
        <w:t>was</w:t>
        <w:tab/>
        <w:t>also</w:t>
        <w:tab/>
      </w:r>
      <w:r>
        <w:rPr>
          <w:spacing w:val="3"/>
        </w:rPr>
        <w:t>present.</w:t>
      </w:r>
    </w:p>
    <w:p>
      <w:pPr>
        <w:spacing w:after="0"/>
        <w:sectPr>
          <w:pgSz w:w="11900" w:h="16840"/>
          <w:pgMar w:header="746" w:footer="0" w:top="1240" w:bottom="280" w:left="88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spacing w:before="90"/>
      </w:pPr>
      <w:r>
        <w:rPr>
          <w:u w:val="single"/>
        </w:rPr>
        <w:t>TEXT OF BANK OF ENGLAND PRESS NOTICE OF 6 JUNE 1997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spacing w:before="90"/>
        <w:ind w:left="200" w:right="0" w:firstLine="0"/>
        <w:jc w:val="left"/>
        <w:rPr>
          <w:b/>
          <w:sz w:val="24"/>
        </w:rPr>
      </w:pPr>
      <w:r>
        <w:rPr>
          <w:b/>
          <w:sz w:val="24"/>
        </w:rPr>
        <w:t>BANK OF ENGLAND RAIS ES INTERES T RATES BY 0.25% TO 6.50%</w:t>
      </w:r>
    </w:p>
    <w:p>
      <w:pPr>
        <w:pStyle w:val="BodyText"/>
        <w:rPr>
          <w:b/>
          <w:sz w:val="26"/>
        </w:rPr>
      </w:pPr>
    </w:p>
    <w:p>
      <w:pPr>
        <w:pStyle w:val="BodyText"/>
        <w:spacing w:before="3"/>
        <w:rPr>
          <w:b/>
          <w:sz w:val="28"/>
        </w:rPr>
      </w:pPr>
    </w:p>
    <w:p>
      <w:pPr>
        <w:pStyle w:val="BodyText"/>
        <w:ind w:left="200"/>
      </w:pPr>
      <w:r>
        <w:rPr/>
        <w:t>The Bank of England has today raised its official dealing rate (the repo rate) by 0.25% to 6.50%.</w:t>
      </w:r>
    </w:p>
    <w:p>
      <w:pPr>
        <w:pStyle w:val="BodyText"/>
        <w:rPr>
          <w:sz w:val="26"/>
        </w:rPr>
      </w:pPr>
    </w:p>
    <w:p>
      <w:pPr>
        <w:pStyle w:val="BodyText"/>
        <w:rPr>
          <w:sz w:val="30"/>
        </w:rPr>
      </w:pPr>
    </w:p>
    <w:p>
      <w:pPr>
        <w:pStyle w:val="BodyText"/>
        <w:spacing w:line="400" w:lineRule="auto"/>
        <w:ind w:left="200" w:right="258"/>
      </w:pPr>
      <w:r>
        <w:rPr>
          <w:spacing w:val="4"/>
        </w:rPr>
        <w:t>The </w:t>
      </w:r>
      <w:r>
        <w:rPr/>
        <w:t>Bank's M </w:t>
      </w:r>
      <w:r>
        <w:rPr>
          <w:spacing w:val="-3"/>
        </w:rPr>
        <w:t>onetary </w:t>
      </w:r>
      <w:r>
        <w:rPr>
          <w:spacing w:val="-6"/>
        </w:rPr>
        <w:t>Policy </w:t>
      </w:r>
      <w:r>
        <w:rPr>
          <w:spacing w:val="-3"/>
        </w:rPr>
        <w:t>Committee has </w:t>
      </w:r>
      <w:r>
        <w:rPr>
          <w:spacing w:val="-6"/>
        </w:rPr>
        <w:t>reviewed </w:t>
      </w:r>
      <w:r>
        <w:rPr>
          <w:spacing w:val="-3"/>
        </w:rPr>
        <w:t>the </w:t>
      </w:r>
      <w:r>
        <w:rPr>
          <w:spacing w:val="-4"/>
        </w:rPr>
        <w:t>latest</w:t>
      </w:r>
      <w:r>
        <w:rPr>
          <w:spacing w:val="52"/>
        </w:rPr>
        <w:t> </w:t>
      </w:r>
      <w:r>
        <w:rPr>
          <w:spacing w:val="-4"/>
        </w:rPr>
        <w:t>monetary </w:t>
      </w:r>
      <w:r>
        <w:rPr>
          <w:spacing w:val="-3"/>
        </w:rPr>
        <w:t>and </w:t>
      </w:r>
      <w:r>
        <w:rPr>
          <w:spacing w:val="-6"/>
        </w:rPr>
        <w:t>economic </w:t>
      </w:r>
      <w:r>
        <w:rPr/>
        <w:t>data. </w:t>
      </w:r>
      <w:r>
        <w:rPr>
          <w:spacing w:val="-10"/>
        </w:rPr>
        <w:t>It </w:t>
      </w:r>
      <w:r>
        <w:rPr>
          <w:spacing w:val="-6"/>
        </w:rPr>
        <w:t>concluded </w:t>
      </w:r>
      <w:r>
        <w:rPr>
          <w:spacing w:val="-4"/>
        </w:rPr>
        <w:t>that </w:t>
      </w:r>
      <w:r>
        <w:rPr>
          <w:spacing w:val="-3"/>
        </w:rPr>
        <w:t>the </w:t>
      </w:r>
      <w:r>
        <w:rPr>
          <w:spacing w:val="-4"/>
        </w:rPr>
        <w:t>latest </w:t>
      </w:r>
      <w:r>
        <w:rPr>
          <w:spacing w:val="-6"/>
        </w:rPr>
        <w:t>evidence </w:t>
      </w:r>
      <w:r>
        <w:rPr>
          <w:spacing w:val="-4"/>
        </w:rPr>
        <w:t>is </w:t>
      </w:r>
      <w:r>
        <w:rPr/>
        <w:t>consistent with </w:t>
      </w:r>
      <w:r>
        <w:rPr>
          <w:spacing w:val="4"/>
        </w:rPr>
        <w:t>the </w:t>
      </w:r>
      <w:r>
        <w:rPr/>
        <w:t>outlook </w:t>
      </w:r>
      <w:r>
        <w:rPr>
          <w:spacing w:val="-5"/>
        </w:rPr>
        <w:t>described </w:t>
      </w:r>
      <w:r>
        <w:rPr>
          <w:spacing w:val="-14"/>
        </w:rPr>
        <w:t>in </w:t>
      </w:r>
      <w:r>
        <w:rPr>
          <w:spacing w:val="4"/>
        </w:rPr>
        <w:t>the </w:t>
      </w:r>
      <w:r>
        <w:rPr>
          <w:spacing w:val="-6"/>
        </w:rPr>
        <w:t>Bank's Inflation </w:t>
      </w:r>
      <w:r>
        <w:rPr/>
        <w:t>Report published </w:t>
      </w:r>
      <w:r>
        <w:rPr>
          <w:spacing w:val="-10"/>
        </w:rPr>
        <w:t>on </w:t>
      </w:r>
      <w:r>
        <w:rPr/>
        <w:t>13 </w:t>
      </w:r>
      <w:r>
        <w:rPr>
          <w:spacing w:val="4"/>
        </w:rPr>
        <w:t>May. </w:t>
      </w:r>
      <w:r>
        <w:rPr/>
        <w:t>Notwithstanding </w:t>
      </w:r>
      <w:r>
        <w:rPr>
          <w:spacing w:val="4"/>
        </w:rPr>
        <w:t>the </w:t>
      </w:r>
      <w:r>
        <w:rPr/>
        <w:t>strength of </w:t>
      </w:r>
      <w:r>
        <w:rPr>
          <w:spacing w:val="4"/>
        </w:rPr>
        <w:t>the </w:t>
      </w:r>
      <w:r>
        <w:rPr>
          <w:spacing w:val="-11"/>
        </w:rPr>
        <w:t>exchange </w:t>
      </w:r>
      <w:r>
        <w:rPr>
          <w:spacing w:val="-5"/>
        </w:rPr>
        <w:t>rate, </w:t>
      </w:r>
      <w:r>
        <w:rPr>
          <w:spacing w:val="-6"/>
        </w:rPr>
        <w:t>which </w:t>
      </w:r>
      <w:r>
        <w:rPr>
          <w:spacing w:val="-4"/>
        </w:rPr>
        <w:t>is </w:t>
      </w:r>
      <w:r>
        <w:rPr>
          <w:spacing w:val="-5"/>
        </w:rPr>
        <w:t>expected </w:t>
      </w:r>
      <w:r>
        <w:rPr>
          <w:spacing w:val="6"/>
        </w:rPr>
        <w:t>to </w:t>
      </w:r>
      <w:r>
        <w:rPr>
          <w:spacing w:val="-3"/>
        </w:rPr>
        <w:t>restrain </w:t>
      </w:r>
      <w:r>
        <w:rPr>
          <w:spacing w:val="-5"/>
        </w:rPr>
        <w:t>retail </w:t>
      </w:r>
      <w:r>
        <w:rPr>
          <w:spacing w:val="-3"/>
        </w:rPr>
        <w:t>price </w:t>
      </w:r>
      <w:r>
        <w:rPr>
          <w:spacing w:val="-4"/>
        </w:rPr>
        <w:t>inflation temporarily in </w:t>
      </w:r>
      <w:r>
        <w:rPr>
          <w:spacing w:val="4"/>
        </w:rPr>
        <w:t>the </w:t>
      </w:r>
      <w:r>
        <w:rPr>
          <w:spacing w:val="-9"/>
        </w:rPr>
        <w:t>near </w:t>
      </w:r>
      <w:r>
        <w:rPr>
          <w:spacing w:val="-5"/>
        </w:rPr>
        <w:t>term, </w:t>
      </w:r>
      <w:r>
        <w:rPr>
          <w:spacing w:val="4"/>
        </w:rPr>
        <w:t>the </w:t>
      </w:r>
      <w:r>
        <w:rPr/>
        <w:t>Report </w:t>
      </w:r>
      <w:r>
        <w:rPr>
          <w:spacing w:val="-6"/>
        </w:rPr>
        <w:t>concluded </w:t>
      </w:r>
      <w:r>
        <w:rPr>
          <w:spacing w:val="-4"/>
        </w:rPr>
        <w:t>that </w:t>
      </w:r>
      <w:r>
        <w:rPr>
          <w:spacing w:val="3"/>
        </w:rPr>
        <w:t>"the </w:t>
      </w:r>
      <w:r>
        <w:rPr/>
        <w:t>central projection </w:t>
      </w:r>
      <w:r>
        <w:rPr>
          <w:spacing w:val="-7"/>
        </w:rPr>
        <w:t>for </w:t>
      </w:r>
      <w:r>
        <w:rPr>
          <w:spacing w:val="-4"/>
        </w:rPr>
        <w:t>inflation, </w:t>
      </w:r>
      <w:r>
        <w:rPr>
          <w:spacing w:val="-3"/>
        </w:rPr>
        <w:t>and the </w:t>
      </w:r>
      <w:r>
        <w:rPr/>
        <w:t>risks surrounding </w:t>
      </w:r>
      <w:r>
        <w:rPr>
          <w:spacing w:val="2"/>
        </w:rPr>
        <w:t>it, </w:t>
      </w:r>
      <w:r>
        <w:rPr>
          <w:spacing w:val="-6"/>
        </w:rPr>
        <w:t>suggests </w:t>
      </w:r>
      <w:r>
        <w:rPr/>
        <w:t>that, </w:t>
      </w:r>
      <w:r>
        <w:rPr>
          <w:spacing w:val="-10"/>
        </w:rPr>
        <w:t>on </w:t>
      </w:r>
      <w:r>
        <w:rPr>
          <w:spacing w:val="4"/>
        </w:rPr>
        <w:t>the </w:t>
      </w:r>
      <w:r>
        <w:rPr/>
        <w:t>present </w:t>
      </w:r>
      <w:r>
        <w:rPr>
          <w:spacing w:val="-7"/>
        </w:rPr>
        <w:t>evidence, </w:t>
      </w:r>
      <w:r>
        <w:rPr>
          <w:spacing w:val="-3"/>
        </w:rPr>
        <w:t>there </w:t>
      </w:r>
      <w:r>
        <w:rPr>
          <w:spacing w:val="-4"/>
        </w:rPr>
        <w:t>is still </w:t>
      </w:r>
      <w:r>
        <w:rPr>
          <w:spacing w:val="-8"/>
        </w:rPr>
        <w:t>likely </w:t>
      </w:r>
      <w:r>
        <w:rPr>
          <w:spacing w:val="-4"/>
        </w:rPr>
        <w:t>to </w:t>
      </w:r>
      <w:r>
        <w:rPr/>
        <w:t>be a </w:t>
      </w:r>
      <w:r>
        <w:rPr>
          <w:spacing w:val="-4"/>
        </w:rPr>
        <w:t>need </w:t>
      </w:r>
      <w:r>
        <w:rPr/>
        <w:t>for </w:t>
      </w:r>
      <w:r>
        <w:rPr>
          <w:spacing w:val="-6"/>
        </w:rPr>
        <w:t>some </w:t>
      </w:r>
      <w:r>
        <w:rPr/>
        <w:t>further </w:t>
      </w:r>
      <w:r>
        <w:rPr>
          <w:spacing w:val="-4"/>
        </w:rPr>
        <w:t>moderate tightening </w:t>
      </w:r>
      <w:r>
        <w:rPr/>
        <w:t>of policy </w:t>
      </w:r>
      <w:r>
        <w:rPr>
          <w:spacing w:val="-4"/>
        </w:rPr>
        <w:t>in </w:t>
      </w:r>
      <w:r>
        <w:rPr>
          <w:spacing w:val="-3"/>
        </w:rPr>
        <w:t>the months </w:t>
      </w:r>
      <w:r>
        <w:rPr>
          <w:spacing w:val="-6"/>
        </w:rPr>
        <w:t>ahead."</w:t>
      </w:r>
    </w:p>
    <w:p>
      <w:pPr>
        <w:pStyle w:val="BodyText"/>
        <w:rPr>
          <w:sz w:val="26"/>
        </w:rPr>
      </w:pPr>
    </w:p>
    <w:p>
      <w:pPr>
        <w:pStyle w:val="BodyText"/>
        <w:spacing w:line="400" w:lineRule="auto" w:before="156"/>
        <w:ind w:left="200" w:right="251"/>
      </w:pPr>
      <w:r>
        <w:rPr>
          <w:spacing w:val="4"/>
        </w:rPr>
        <w:t>The </w:t>
      </w:r>
      <w:r>
        <w:rPr>
          <w:spacing w:val="-3"/>
        </w:rPr>
        <w:t>Committee </w:t>
      </w:r>
      <w:r>
        <w:rPr>
          <w:spacing w:val="-9"/>
        </w:rPr>
        <w:t>accordingly </w:t>
      </w:r>
      <w:r>
        <w:rPr/>
        <w:t>voted </w:t>
      </w:r>
      <w:r>
        <w:rPr>
          <w:spacing w:val="6"/>
        </w:rPr>
        <w:t>to </w:t>
      </w:r>
      <w:r>
        <w:rPr>
          <w:spacing w:val="-6"/>
        </w:rPr>
        <w:t>raise </w:t>
      </w:r>
      <w:r>
        <w:rPr>
          <w:spacing w:val="4"/>
        </w:rPr>
        <w:t>the </w:t>
      </w:r>
      <w:r>
        <w:rPr/>
        <w:t>Bank’s </w:t>
      </w:r>
      <w:r>
        <w:rPr>
          <w:spacing w:val="3"/>
        </w:rPr>
        <w:t>repo </w:t>
      </w:r>
      <w:r>
        <w:rPr/>
        <w:t>rate by 0.25% </w:t>
      </w:r>
      <w:r>
        <w:rPr>
          <w:spacing w:val="6"/>
        </w:rPr>
        <w:t>to </w:t>
      </w:r>
      <w:r>
        <w:rPr>
          <w:spacing w:val="-4"/>
        </w:rPr>
        <w:t>6.50%. </w:t>
      </w:r>
      <w:r>
        <w:rPr/>
        <w:t>It </w:t>
      </w:r>
      <w:r>
        <w:rPr>
          <w:spacing w:val="-7"/>
        </w:rPr>
        <w:t>believes </w:t>
      </w:r>
      <w:r>
        <w:rPr>
          <w:spacing w:val="-4"/>
        </w:rPr>
        <w:t>that </w:t>
      </w:r>
      <w:r>
        <w:rPr/>
        <w:t>this </w:t>
      </w:r>
      <w:r>
        <w:rPr>
          <w:spacing w:val="-5"/>
        </w:rPr>
        <w:t>action </w:t>
      </w:r>
      <w:r>
        <w:rPr>
          <w:spacing w:val="6"/>
        </w:rPr>
        <w:t>to </w:t>
      </w:r>
      <w:r>
        <w:rPr>
          <w:spacing w:val="-4"/>
        </w:rPr>
        <w:t>tighten </w:t>
      </w:r>
      <w:r>
        <w:rPr>
          <w:spacing w:val="4"/>
        </w:rPr>
        <w:t>the </w:t>
      </w:r>
      <w:r>
        <w:rPr>
          <w:spacing w:val="-4"/>
        </w:rPr>
        <w:t>monetary stance, </w:t>
      </w:r>
      <w:r>
        <w:rPr/>
        <w:t>taken </w:t>
      </w:r>
      <w:r>
        <w:rPr>
          <w:spacing w:val="3"/>
        </w:rPr>
        <w:t>with </w:t>
      </w:r>
      <w:r>
        <w:rPr>
          <w:spacing w:val="-3"/>
        </w:rPr>
        <w:t>the </w:t>
      </w:r>
      <w:r>
        <w:rPr>
          <w:spacing w:val="-5"/>
        </w:rPr>
        <w:t>aim </w:t>
      </w:r>
      <w:r>
        <w:rPr/>
        <w:t>of </w:t>
      </w:r>
      <w:r>
        <w:rPr>
          <w:spacing w:val="-5"/>
        </w:rPr>
        <w:t>meeting </w:t>
      </w:r>
      <w:r>
        <w:rPr>
          <w:spacing w:val="-3"/>
        </w:rPr>
        <w:t>the </w:t>
      </w:r>
      <w:r>
        <w:rPr>
          <w:spacing w:val="-6"/>
        </w:rPr>
        <w:t>government’s </w:t>
      </w:r>
      <w:r>
        <w:rPr>
          <w:spacing w:val="-4"/>
        </w:rPr>
        <w:t>inflation target, </w:t>
      </w:r>
      <w:r>
        <w:rPr>
          <w:spacing w:val="-5"/>
        </w:rPr>
        <w:t>offers </w:t>
      </w:r>
      <w:r>
        <w:rPr>
          <w:spacing w:val="4"/>
        </w:rPr>
        <w:t>the </w:t>
      </w:r>
      <w:r>
        <w:rPr/>
        <w:t>best </w:t>
      </w:r>
      <w:r>
        <w:rPr>
          <w:spacing w:val="-7"/>
        </w:rPr>
        <w:t>chance </w:t>
      </w:r>
      <w:r>
        <w:rPr>
          <w:spacing w:val="-10"/>
        </w:rPr>
        <w:t>of </w:t>
      </w:r>
      <w:r>
        <w:rPr>
          <w:spacing w:val="-7"/>
        </w:rPr>
        <w:t>achieving </w:t>
      </w:r>
      <w:r>
        <w:rPr>
          <w:spacing w:val="-6"/>
        </w:rPr>
        <w:t>continued </w:t>
      </w:r>
      <w:r>
        <w:rPr>
          <w:spacing w:val="-4"/>
        </w:rPr>
        <w:t>growth in </w:t>
      </w:r>
      <w:r>
        <w:rPr/>
        <w:t>output </w:t>
      </w:r>
      <w:r>
        <w:rPr>
          <w:spacing w:val="-9"/>
        </w:rPr>
        <w:t>and </w:t>
      </w:r>
      <w:r>
        <w:rPr/>
        <w:t>employment </w:t>
      </w:r>
      <w:r>
        <w:rPr>
          <w:spacing w:val="-4"/>
        </w:rPr>
        <w:t>at </w:t>
      </w:r>
      <w:r>
        <w:rPr/>
        <w:t>a </w:t>
      </w:r>
      <w:r>
        <w:rPr>
          <w:spacing w:val="-4"/>
        </w:rPr>
        <w:t>sustainable </w:t>
      </w:r>
      <w:r>
        <w:rPr>
          <w:spacing w:val="-5"/>
        </w:rPr>
        <w:t>pace.</w:t>
      </w:r>
    </w:p>
    <w:p>
      <w:pPr>
        <w:pStyle w:val="BodyText"/>
        <w:rPr>
          <w:sz w:val="26"/>
        </w:rPr>
      </w:pPr>
    </w:p>
    <w:p>
      <w:pPr>
        <w:pStyle w:val="BodyText"/>
        <w:spacing w:before="159"/>
        <w:ind w:left="200"/>
      </w:pPr>
      <w:r>
        <w:rPr/>
        <w:t>The increase takes immediate effect.</w:t>
      </w:r>
    </w:p>
    <w:sectPr>
      <w:pgSz w:w="11900" w:h="16840"/>
      <w:pgMar w:header="746" w:footer="0" w:top="12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pt;margin-top:36.306641pt;width:18pt;height:15.3pt;mso-position-horizontal-relative:page;mso-position-vertical-relative:page;z-index:-158428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546" w:hanging="347"/>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502" w:hanging="347"/>
      </w:pPr>
      <w:rPr>
        <w:rFonts w:hint="default"/>
        <w:lang w:val="en-US" w:eastAsia="en-US" w:bidi="ar-SA"/>
      </w:rPr>
    </w:lvl>
    <w:lvl w:ilvl="2">
      <w:start w:val="0"/>
      <w:numFmt w:val="bullet"/>
      <w:lvlText w:val="•"/>
      <w:lvlJc w:val="left"/>
      <w:pPr>
        <w:ind w:left="2464" w:hanging="347"/>
      </w:pPr>
      <w:rPr>
        <w:rFonts w:hint="default"/>
        <w:lang w:val="en-US" w:eastAsia="en-US" w:bidi="ar-SA"/>
      </w:rPr>
    </w:lvl>
    <w:lvl w:ilvl="3">
      <w:start w:val="0"/>
      <w:numFmt w:val="bullet"/>
      <w:lvlText w:val="•"/>
      <w:lvlJc w:val="left"/>
      <w:pPr>
        <w:ind w:left="3426" w:hanging="347"/>
      </w:pPr>
      <w:rPr>
        <w:rFonts w:hint="default"/>
        <w:lang w:val="en-US" w:eastAsia="en-US" w:bidi="ar-SA"/>
      </w:rPr>
    </w:lvl>
    <w:lvl w:ilvl="4">
      <w:start w:val="0"/>
      <w:numFmt w:val="bullet"/>
      <w:lvlText w:val="•"/>
      <w:lvlJc w:val="left"/>
      <w:pPr>
        <w:ind w:left="4388" w:hanging="347"/>
      </w:pPr>
      <w:rPr>
        <w:rFonts w:hint="default"/>
        <w:lang w:val="en-US" w:eastAsia="en-US" w:bidi="ar-SA"/>
      </w:rPr>
    </w:lvl>
    <w:lvl w:ilvl="5">
      <w:start w:val="0"/>
      <w:numFmt w:val="bullet"/>
      <w:lvlText w:val="•"/>
      <w:lvlJc w:val="left"/>
      <w:pPr>
        <w:ind w:left="5350" w:hanging="347"/>
      </w:pPr>
      <w:rPr>
        <w:rFonts w:hint="default"/>
        <w:lang w:val="en-US" w:eastAsia="en-US" w:bidi="ar-SA"/>
      </w:rPr>
    </w:lvl>
    <w:lvl w:ilvl="6">
      <w:start w:val="0"/>
      <w:numFmt w:val="bullet"/>
      <w:lvlText w:val="•"/>
      <w:lvlJc w:val="left"/>
      <w:pPr>
        <w:ind w:left="6312" w:hanging="347"/>
      </w:pPr>
      <w:rPr>
        <w:rFonts w:hint="default"/>
        <w:lang w:val="en-US" w:eastAsia="en-US" w:bidi="ar-SA"/>
      </w:rPr>
    </w:lvl>
    <w:lvl w:ilvl="7">
      <w:start w:val="0"/>
      <w:numFmt w:val="bullet"/>
      <w:lvlText w:val="•"/>
      <w:lvlJc w:val="left"/>
      <w:pPr>
        <w:ind w:left="7274" w:hanging="347"/>
      </w:pPr>
      <w:rPr>
        <w:rFonts w:hint="default"/>
        <w:lang w:val="en-US" w:eastAsia="en-US" w:bidi="ar-SA"/>
      </w:rPr>
    </w:lvl>
    <w:lvl w:ilvl="8">
      <w:start w:val="0"/>
      <w:numFmt w:val="bullet"/>
      <w:lvlText w:val="•"/>
      <w:lvlJc w:val="left"/>
      <w:pPr>
        <w:ind w:left="8236" w:hanging="347"/>
      </w:pPr>
      <w:rPr>
        <w:rFonts w:hint="default"/>
        <w:lang w:val="en-US" w:eastAsia="en-US" w:bidi="ar-SA"/>
      </w:rPr>
    </w:lvl>
  </w:abstractNum>
  <w:abstractNum w:abstractNumId="0">
    <w:multiLevelType w:val="hybridMultilevel"/>
    <w:lvl w:ilvl="0">
      <w:start w:val="1"/>
      <w:numFmt w:val="decimal"/>
      <w:lvlText w:val="%1"/>
      <w:lvlJc w:val="left"/>
      <w:pPr>
        <w:ind w:left="200" w:hanging="281"/>
        <w:jc w:val="left"/>
      </w:pPr>
      <w:rPr>
        <w:rFonts w:hint="default" w:ascii="Times New Roman" w:hAnsi="Times New Roman" w:eastAsia="Times New Roman" w:cs="Times New Roman"/>
        <w:spacing w:val="-20"/>
        <w:w w:val="100"/>
        <w:sz w:val="24"/>
        <w:szCs w:val="24"/>
        <w:lang w:val="en-US" w:eastAsia="en-US" w:bidi="ar-SA"/>
      </w:rPr>
    </w:lvl>
    <w:lvl w:ilvl="1">
      <w:start w:val="0"/>
      <w:numFmt w:val="bullet"/>
      <w:lvlText w:val="•"/>
      <w:lvlJc w:val="left"/>
      <w:pPr>
        <w:ind w:left="1196" w:hanging="281"/>
      </w:pPr>
      <w:rPr>
        <w:rFonts w:hint="default"/>
        <w:lang w:val="en-US" w:eastAsia="en-US" w:bidi="ar-SA"/>
      </w:rPr>
    </w:lvl>
    <w:lvl w:ilvl="2">
      <w:start w:val="0"/>
      <w:numFmt w:val="bullet"/>
      <w:lvlText w:val="•"/>
      <w:lvlJc w:val="left"/>
      <w:pPr>
        <w:ind w:left="2192" w:hanging="281"/>
      </w:pPr>
      <w:rPr>
        <w:rFonts w:hint="default"/>
        <w:lang w:val="en-US" w:eastAsia="en-US" w:bidi="ar-SA"/>
      </w:rPr>
    </w:lvl>
    <w:lvl w:ilvl="3">
      <w:start w:val="0"/>
      <w:numFmt w:val="bullet"/>
      <w:lvlText w:val="•"/>
      <w:lvlJc w:val="left"/>
      <w:pPr>
        <w:ind w:left="3188" w:hanging="281"/>
      </w:pPr>
      <w:rPr>
        <w:rFonts w:hint="default"/>
        <w:lang w:val="en-US" w:eastAsia="en-US" w:bidi="ar-SA"/>
      </w:rPr>
    </w:lvl>
    <w:lvl w:ilvl="4">
      <w:start w:val="0"/>
      <w:numFmt w:val="bullet"/>
      <w:lvlText w:val="•"/>
      <w:lvlJc w:val="left"/>
      <w:pPr>
        <w:ind w:left="4184" w:hanging="281"/>
      </w:pPr>
      <w:rPr>
        <w:rFonts w:hint="default"/>
        <w:lang w:val="en-US" w:eastAsia="en-US" w:bidi="ar-SA"/>
      </w:rPr>
    </w:lvl>
    <w:lvl w:ilvl="5">
      <w:start w:val="0"/>
      <w:numFmt w:val="bullet"/>
      <w:lvlText w:val="•"/>
      <w:lvlJc w:val="left"/>
      <w:pPr>
        <w:ind w:left="5180" w:hanging="281"/>
      </w:pPr>
      <w:rPr>
        <w:rFonts w:hint="default"/>
        <w:lang w:val="en-US" w:eastAsia="en-US" w:bidi="ar-SA"/>
      </w:rPr>
    </w:lvl>
    <w:lvl w:ilvl="6">
      <w:start w:val="0"/>
      <w:numFmt w:val="bullet"/>
      <w:lvlText w:val="•"/>
      <w:lvlJc w:val="left"/>
      <w:pPr>
        <w:ind w:left="6176" w:hanging="281"/>
      </w:pPr>
      <w:rPr>
        <w:rFonts w:hint="default"/>
        <w:lang w:val="en-US" w:eastAsia="en-US" w:bidi="ar-SA"/>
      </w:rPr>
    </w:lvl>
    <w:lvl w:ilvl="7">
      <w:start w:val="0"/>
      <w:numFmt w:val="bullet"/>
      <w:lvlText w:val="•"/>
      <w:lvlJc w:val="left"/>
      <w:pPr>
        <w:ind w:left="7172" w:hanging="281"/>
      </w:pPr>
      <w:rPr>
        <w:rFonts w:hint="default"/>
        <w:lang w:val="en-US" w:eastAsia="en-US" w:bidi="ar-SA"/>
      </w:rPr>
    </w:lvl>
    <w:lvl w:ilvl="8">
      <w:start w:val="0"/>
      <w:numFmt w:val="bullet"/>
      <w:lvlText w:val="•"/>
      <w:lvlJc w:val="left"/>
      <w:pPr>
        <w:ind w:left="8168"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9"/>
      <w:ind w:left="3000" w:right="3013"/>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2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2020-06-02T21:08:49Z</dcterms:created>
  <dcterms:modified xsi:type="dcterms:W3CDTF">2020-06-02T21:08:49Z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1997-07-15T00:00:00Z</vt:filetime>
  </property>
  <property fmtid="{D5CDD505-2E9C-101B-9397-08002B2CF9AE}" pid="3" name="LastSaved">
    <vt:filetime>2020-06-02T00:00:00Z</vt:filetime>
  </property>
</Properties>
</file>