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46"/>
        <w:ind w:left="100" w:right="0" w:firstLine="0"/>
        <w:jc w:val="left"/>
        <w:rPr>
          <w:rFonts w:ascii="Arial"/>
          <w:sz w:val="36"/>
        </w:rPr>
      </w:pPr>
      <w:r>
        <w:rPr>
          <w:rFonts w:ascii="Arial"/>
          <w:color w:val="231F20"/>
          <w:sz w:val="36"/>
        </w:rPr>
        <w:t>Publication date: 10 December 1997</w:t>
      </w:r>
    </w:p>
    <w:p>
      <w:pPr>
        <w:pStyle w:val="BodyText"/>
        <w:rPr>
          <w:rFonts w:ascii="Arial"/>
          <w:sz w:val="20"/>
        </w:rPr>
      </w:pPr>
    </w:p>
    <w:p>
      <w:pPr>
        <w:pStyle w:val="BodyText"/>
        <w:rPr>
          <w:rFonts w:ascii="Arial"/>
          <w:sz w:val="20"/>
        </w:rPr>
      </w:pPr>
    </w:p>
    <w:p>
      <w:pPr>
        <w:pStyle w:val="BodyText"/>
        <w:spacing w:before="2"/>
        <w:rPr>
          <w:rFonts w:ascii="Arial"/>
          <w:sz w:val="14"/>
        </w:rPr>
      </w:pPr>
      <w:r>
        <w:rPr/>
        <w:pict>
          <v:group style="position:absolute;margin-left:49pt;margin-top:10.123711pt;width:497.25pt;height:4.1pt;mso-position-horizontal-relative:page;mso-position-vertical-relative:paragraph;z-index:-251658240;mso-wrap-distance-left:0;mso-wrap-distance-right:0" coordorigin="980,202" coordsize="9945,82">
            <v:line style="position:absolute" from="980,222" to="10925,222" stroked="true" strokeweight="2pt" strokecolor="#231f20">
              <v:stroke dashstyle="solid"/>
            </v:line>
            <v:line style="position:absolute" from="980,277" to="10925,277" stroked="true" strokeweight=".62pt" strokecolor="#231f20">
              <v:stroke dashstyle="solid"/>
            </v:line>
            <w10:wrap type="topAndBottom"/>
          </v:group>
        </w:pict>
      </w:r>
    </w:p>
    <w:p>
      <w:pPr>
        <w:spacing w:line="252" w:lineRule="auto" w:before="18"/>
        <w:ind w:left="1791" w:right="1925" w:firstLine="2"/>
        <w:jc w:val="center"/>
        <w:rPr>
          <w:rFonts w:ascii="Arial"/>
          <w:b/>
          <w:sz w:val="56"/>
        </w:rPr>
      </w:pPr>
      <w:r>
        <w:rPr>
          <w:rFonts w:ascii="Arial"/>
          <w:b/>
          <w:color w:val="231F20"/>
          <w:w w:val="105"/>
          <w:sz w:val="48"/>
        </w:rPr>
        <w:t>MINUTES OF  </w:t>
      </w:r>
      <w:r>
        <w:rPr>
          <w:rFonts w:ascii="Arial"/>
          <w:b/>
          <w:color w:val="231F20"/>
          <w:spacing w:val="-11"/>
          <w:w w:val="105"/>
          <w:sz w:val="56"/>
        </w:rPr>
        <w:t>MONETARY </w:t>
      </w:r>
      <w:r>
        <w:rPr>
          <w:rFonts w:ascii="Arial"/>
          <w:b/>
          <w:color w:val="231F20"/>
          <w:w w:val="105"/>
          <w:sz w:val="56"/>
        </w:rPr>
        <w:t>POLICY COMMITTEE</w:t>
      </w:r>
      <w:r>
        <w:rPr>
          <w:rFonts w:ascii="Arial"/>
          <w:b/>
          <w:color w:val="231F20"/>
          <w:spacing w:val="13"/>
          <w:w w:val="105"/>
          <w:sz w:val="56"/>
        </w:rPr>
        <w:t> </w:t>
      </w:r>
      <w:r>
        <w:rPr>
          <w:rFonts w:ascii="Arial"/>
          <w:b/>
          <w:color w:val="231F20"/>
          <w:w w:val="105"/>
          <w:sz w:val="56"/>
        </w:rPr>
        <w:t>MEETING</w:t>
      </w:r>
    </w:p>
    <w:p>
      <w:pPr>
        <w:spacing w:before="19"/>
        <w:ind w:left="2386" w:right="2517" w:firstLine="0"/>
        <w:jc w:val="center"/>
        <w:rPr>
          <w:rFonts w:ascii="Arial"/>
          <w:b/>
          <w:sz w:val="48"/>
        </w:rPr>
      </w:pPr>
      <w:r>
        <w:rPr>
          <w:rFonts w:ascii="Arial"/>
          <w:b/>
          <w:color w:val="231F20"/>
          <w:sz w:val="48"/>
        </w:rPr>
        <w:t>5 and 6 November 1997</w:t>
      </w:r>
    </w:p>
    <w:p>
      <w:pPr>
        <w:pStyle w:val="BodyText"/>
        <w:spacing w:before="4"/>
        <w:rPr>
          <w:rFonts w:ascii="Arial"/>
          <w:b/>
          <w:sz w:val="15"/>
        </w:rPr>
      </w:pPr>
      <w:r>
        <w:rPr/>
        <w:pict>
          <v:group style="position:absolute;margin-left:49pt;margin-top:10.850547pt;width:497.25pt;height:3.95pt;mso-position-horizontal-relative:page;mso-position-vertical-relative:paragraph;z-index:-251657216;mso-wrap-distance-left:0;mso-wrap-distance-right:0" coordorigin="980,217" coordsize="9945,79">
            <v:line style="position:absolute" from="980,223" to="10925,223" stroked="true" strokeweight=".62pt" strokecolor="#231f20">
              <v:stroke dashstyle="solid"/>
            </v:line>
            <v:line style="position:absolute" from="980,276" to="10925,276" stroked="true" strokeweight="2pt" strokecolor="#231f20">
              <v:stroke dashstyle="solid"/>
            </v:line>
            <w10:wrap type="topAndBottom"/>
          </v:group>
        </w:pict>
      </w:r>
    </w:p>
    <w:p>
      <w:pPr>
        <w:pStyle w:val="BodyText"/>
        <w:rPr>
          <w:rFonts w:ascii="Arial"/>
          <w:b/>
          <w:sz w:val="52"/>
        </w:rPr>
      </w:pPr>
    </w:p>
    <w:p>
      <w:pPr>
        <w:pStyle w:val="BodyText"/>
        <w:spacing w:before="7"/>
        <w:rPr>
          <w:rFonts w:ascii="Arial"/>
          <w:b/>
          <w:sz w:val="56"/>
        </w:rPr>
      </w:pPr>
    </w:p>
    <w:p>
      <w:pPr>
        <w:spacing w:line="288" w:lineRule="auto" w:before="1"/>
        <w:ind w:left="100" w:right="1572" w:firstLine="0"/>
        <w:jc w:val="left"/>
        <w:rPr>
          <w:rFonts w:ascii="Arial"/>
          <w:sz w:val="26"/>
        </w:rPr>
      </w:pPr>
      <w:r>
        <w:rPr>
          <w:rFonts w:ascii="Arial"/>
          <w:color w:val="231F20"/>
          <w:sz w:val="26"/>
        </w:rPr>
        <w:t>These are the minutes of the Monetary Policy Committee meeting held on 5 and 6 November 1997.</w:t>
      </w:r>
    </w:p>
    <w:p>
      <w:pPr>
        <w:spacing w:before="2"/>
        <w:ind w:left="100" w:right="0" w:firstLine="0"/>
        <w:jc w:val="left"/>
        <w:rPr>
          <w:rFonts w:ascii="Arial"/>
          <w:sz w:val="26"/>
        </w:rPr>
      </w:pPr>
      <w:r>
        <w:rPr>
          <w:rFonts w:ascii="Arial"/>
          <w:color w:val="231F20"/>
          <w:w w:val="105"/>
          <w:sz w:val="26"/>
        </w:rPr>
        <w:t>They are also available on the Internet (http://www.bankofengland.co.uk.).</w:t>
      </w:r>
    </w:p>
    <w:p>
      <w:pPr>
        <w:pStyle w:val="BodyText"/>
        <w:spacing w:before="2"/>
        <w:rPr>
          <w:rFonts w:ascii="Arial"/>
          <w:sz w:val="26"/>
        </w:rPr>
      </w:pPr>
    </w:p>
    <w:p>
      <w:pPr>
        <w:spacing w:line="288" w:lineRule="auto" w:before="0"/>
        <w:ind w:left="100" w:right="230" w:firstLine="0"/>
        <w:jc w:val="left"/>
        <w:rPr>
          <w:rFonts w:ascii="Arial"/>
          <w:sz w:val="26"/>
        </w:rPr>
      </w:pPr>
      <w:r>
        <w:rPr>
          <w:rFonts w:ascii="Arial"/>
          <w:color w:val="231F20"/>
          <w:sz w:val="26"/>
        </w:rPr>
        <w:t>The Chancellor of the Exchequer announced on 6 May 1997 that the Government was giving the Bank of England operational responsibility for setting interest rates to meet the Government's inflation target. Operational decisions are taken by the Bank's Monetary Policy Committee. The Committee meets on a regular monthly basis and minutes of its meetings are released no later than 6 weeks after each meeting.</w:t>
      </w:r>
    </w:p>
    <w:p>
      <w:pPr>
        <w:spacing w:line="288" w:lineRule="auto" w:before="7"/>
        <w:ind w:left="100" w:right="0" w:firstLine="0"/>
        <w:jc w:val="left"/>
        <w:rPr>
          <w:rFonts w:ascii="Arial"/>
          <w:sz w:val="26"/>
        </w:rPr>
      </w:pPr>
      <w:r>
        <w:rPr>
          <w:rFonts w:ascii="Arial"/>
          <w:color w:val="231F20"/>
          <w:sz w:val="26"/>
        </w:rPr>
        <w:t>Accordingly, the minutes of the Committee meeting held on 3 and 4 December will be published on 14 January 1998.</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3"/>
        <w:rPr>
          <w:rFonts w:ascii="Arial"/>
          <w:sz w:val="14"/>
        </w:rPr>
      </w:pPr>
      <w:r>
        <w:rPr/>
        <w:drawing>
          <wp:anchor distT="0" distB="0" distL="0" distR="0" allowOverlap="1" layoutInCell="1" locked="0" behindDoc="0" simplePos="0" relativeHeight="2">
            <wp:simplePos x="0" y="0"/>
            <wp:positionH relativeFrom="page">
              <wp:posOffset>5326279</wp:posOffset>
            </wp:positionH>
            <wp:positionV relativeFrom="paragraph">
              <wp:posOffset>128898</wp:posOffset>
            </wp:positionV>
            <wp:extent cx="1473517"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473517" cy="1438846"/>
                    </a:xfrm>
                    <a:prstGeom prst="rect">
                      <a:avLst/>
                    </a:prstGeom>
                  </pic:spPr>
                </pic:pic>
              </a:graphicData>
            </a:graphic>
          </wp:anchor>
        </w:drawing>
      </w:r>
    </w:p>
    <w:p>
      <w:pPr>
        <w:spacing w:after="0"/>
        <w:rPr>
          <w:rFonts w:ascii="Arial"/>
          <w:sz w:val="14"/>
        </w:rPr>
        <w:sectPr>
          <w:type w:val="continuous"/>
          <w:pgSz w:w="11900" w:h="16840"/>
          <w:pgMar w:top="1340" w:bottom="280" w:left="880" w:right="74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Heading1"/>
        <w:spacing w:line="247" w:lineRule="auto" w:before="90"/>
        <w:ind w:right="2219"/>
      </w:pPr>
      <w:r>
        <w:rPr/>
        <w:t>MINUTES OF THE MONETARY POLICY COMMITTEE MEETING ON 5-6 NOVEMBER 1997</w:t>
      </w:r>
    </w:p>
    <w:p>
      <w:pPr>
        <w:pStyle w:val="BodyText"/>
        <w:rPr>
          <w:b/>
          <w:sz w:val="26"/>
        </w:rPr>
      </w:pPr>
    </w:p>
    <w:p>
      <w:pPr>
        <w:pStyle w:val="BodyText"/>
        <w:spacing w:before="7"/>
        <w:rPr>
          <w:b/>
          <w:sz w:val="22"/>
        </w:rPr>
      </w:pPr>
    </w:p>
    <w:p>
      <w:pPr>
        <w:pStyle w:val="ListParagraph"/>
        <w:numPr>
          <w:ilvl w:val="0"/>
          <w:numId w:val="1"/>
        </w:numPr>
        <w:tabs>
          <w:tab w:pos="1102" w:val="left" w:leader="none"/>
          <w:tab w:pos="1103" w:val="left" w:leader="none"/>
        </w:tabs>
        <w:spacing w:line="372" w:lineRule="auto" w:before="0" w:after="0"/>
        <w:ind w:left="252" w:right="464" w:firstLine="0"/>
        <w:jc w:val="left"/>
        <w:rPr>
          <w:sz w:val="24"/>
        </w:rPr>
      </w:pPr>
      <w:r>
        <w:rPr>
          <w:sz w:val="24"/>
        </w:rPr>
        <w:t>The meeting was preceded by a presentation by Bank staff of the most recent data on monetary and economic conditions, and also by discussions on the November inflation forecast </w:t>
      </w:r>
      <w:r>
        <w:rPr>
          <w:spacing w:val="-2"/>
          <w:sz w:val="24"/>
        </w:rPr>
        <w:t>and </w:t>
      </w:r>
      <w:r>
        <w:rPr>
          <w:sz w:val="24"/>
        </w:rPr>
        <w:t>analysis. The staff presentation is summarised in the Annex to these minutes; it has been updated</w:t>
      </w:r>
      <w:r>
        <w:rPr>
          <w:spacing w:val="-11"/>
          <w:sz w:val="24"/>
        </w:rPr>
        <w:t> </w:t>
      </w:r>
      <w:r>
        <w:rPr>
          <w:sz w:val="24"/>
        </w:rPr>
        <w:t>to incorporate data that subsequently became available to the Monetary Policy Committee before </w:t>
      </w:r>
      <w:r>
        <w:rPr>
          <w:spacing w:val="-2"/>
          <w:sz w:val="24"/>
        </w:rPr>
        <w:t>its </w:t>
      </w:r>
      <w:r>
        <w:rPr>
          <w:sz w:val="24"/>
        </w:rPr>
        <w:t>meeting. The November Inflation Report was published on Wednesday, 12</w:t>
      </w:r>
      <w:r>
        <w:rPr>
          <w:spacing w:val="-38"/>
          <w:sz w:val="24"/>
        </w:rPr>
        <w:t> </w:t>
      </w:r>
      <w:r>
        <w:rPr>
          <w:sz w:val="24"/>
        </w:rPr>
        <w:t>November.</w:t>
      </w:r>
    </w:p>
    <w:p>
      <w:pPr>
        <w:pStyle w:val="BodyText"/>
        <w:spacing w:before="4"/>
      </w:pPr>
    </w:p>
    <w:p>
      <w:pPr>
        <w:pStyle w:val="ListParagraph"/>
        <w:numPr>
          <w:ilvl w:val="0"/>
          <w:numId w:val="1"/>
        </w:numPr>
        <w:tabs>
          <w:tab w:pos="1102" w:val="left" w:leader="none"/>
          <w:tab w:pos="1103" w:val="left" w:leader="none"/>
        </w:tabs>
        <w:spacing w:line="372" w:lineRule="auto" w:before="1" w:after="0"/>
        <w:ind w:left="252" w:right="575" w:firstLine="0"/>
        <w:jc w:val="left"/>
        <w:rPr>
          <w:sz w:val="24"/>
        </w:rPr>
      </w:pPr>
      <w:r>
        <w:rPr>
          <w:sz w:val="24"/>
        </w:rPr>
        <w:t>The </w:t>
      </w:r>
      <w:r>
        <w:rPr>
          <w:spacing w:val="-3"/>
          <w:sz w:val="24"/>
        </w:rPr>
        <w:t>Committee began </w:t>
      </w:r>
      <w:r>
        <w:rPr>
          <w:sz w:val="24"/>
        </w:rPr>
        <w:t>by </w:t>
      </w:r>
      <w:r>
        <w:rPr>
          <w:spacing w:val="-3"/>
          <w:sz w:val="24"/>
        </w:rPr>
        <w:t>discussing issues raised </w:t>
      </w:r>
      <w:r>
        <w:rPr>
          <w:sz w:val="24"/>
        </w:rPr>
        <w:t>by </w:t>
      </w:r>
      <w:r>
        <w:rPr>
          <w:spacing w:val="-3"/>
          <w:sz w:val="24"/>
        </w:rPr>
        <w:t>recent economic developments </w:t>
      </w:r>
      <w:r>
        <w:rPr>
          <w:sz w:val="24"/>
        </w:rPr>
        <w:t>- monetary</w:t>
      </w:r>
      <w:r>
        <w:rPr>
          <w:spacing w:val="-9"/>
          <w:sz w:val="24"/>
        </w:rPr>
        <w:t> </w:t>
      </w:r>
      <w:r>
        <w:rPr>
          <w:sz w:val="24"/>
        </w:rPr>
        <w:t>growth,</w:t>
      </w:r>
      <w:r>
        <w:rPr>
          <w:spacing w:val="-8"/>
          <w:sz w:val="24"/>
        </w:rPr>
        <w:t> </w:t>
      </w:r>
      <w:r>
        <w:rPr>
          <w:sz w:val="24"/>
        </w:rPr>
        <w:t>the</w:t>
      </w:r>
      <w:r>
        <w:rPr>
          <w:spacing w:val="-8"/>
          <w:sz w:val="24"/>
        </w:rPr>
        <w:t> </w:t>
      </w:r>
      <w:r>
        <w:rPr>
          <w:sz w:val="24"/>
        </w:rPr>
        <w:t>balance</w:t>
      </w:r>
      <w:r>
        <w:rPr>
          <w:spacing w:val="-8"/>
          <w:sz w:val="24"/>
        </w:rPr>
        <w:t> </w:t>
      </w:r>
      <w:r>
        <w:rPr>
          <w:sz w:val="24"/>
        </w:rPr>
        <w:t>of</w:t>
      </w:r>
      <w:r>
        <w:rPr>
          <w:spacing w:val="-8"/>
          <w:sz w:val="24"/>
        </w:rPr>
        <w:t> </w:t>
      </w:r>
      <w:r>
        <w:rPr>
          <w:sz w:val="24"/>
        </w:rPr>
        <w:t>demand</w:t>
      </w:r>
      <w:r>
        <w:rPr>
          <w:spacing w:val="-8"/>
          <w:sz w:val="24"/>
        </w:rPr>
        <w:t> </w:t>
      </w:r>
      <w:r>
        <w:rPr>
          <w:sz w:val="24"/>
        </w:rPr>
        <w:t>and</w:t>
      </w:r>
      <w:r>
        <w:rPr>
          <w:spacing w:val="-8"/>
          <w:sz w:val="24"/>
        </w:rPr>
        <w:t> </w:t>
      </w:r>
      <w:r>
        <w:rPr>
          <w:sz w:val="24"/>
        </w:rPr>
        <w:t>supply</w:t>
      </w:r>
      <w:r>
        <w:rPr>
          <w:spacing w:val="-8"/>
          <w:sz w:val="24"/>
        </w:rPr>
        <w:t> </w:t>
      </w:r>
      <w:r>
        <w:rPr>
          <w:sz w:val="24"/>
        </w:rPr>
        <w:t>in</w:t>
      </w:r>
      <w:r>
        <w:rPr>
          <w:spacing w:val="-8"/>
          <w:sz w:val="24"/>
        </w:rPr>
        <w:t> </w:t>
      </w:r>
      <w:r>
        <w:rPr>
          <w:sz w:val="24"/>
        </w:rPr>
        <w:t>the</w:t>
      </w:r>
      <w:r>
        <w:rPr>
          <w:spacing w:val="-8"/>
          <w:sz w:val="24"/>
        </w:rPr>
        <w:t> </w:t>
      </w:r>
      <w:r>
        <w:rPr>
          <w:sz w:val="24"/>
        </w:rPr>
        <w:t>goods</w:t>
      </w:r>
      <w:r>
        <w:rPr>
          <w:spacing w:val="-9"/>
          <w:sz w:val="24"/>
        </w:rPr>
        <w:t> </w:t>
      </w:r>
      <w:r>
        <w:rPr>
          <w:sz w:val="24"/>
        </w:rPr>
        <w:t>and</w:t>
      </w:r>
      <w:r>
        <w:rPr>
          <w:spacing w:val="-8"/>
          <w:sz w:val="24"/>
        </w:rPr>
        <w:t> </w:t>
      </w:r>
      <w:r>
        <w:rPr>
          <w:sz w:val="24"/>
        </w:rPr>
        <w:t>labour</w:t>
      </w:r>
      <w:r>
        <w:rPr>
          <w:spacing w:val="-8"/>
          <w:sz w:val="24"/>
        </w:rPr>
        <w:t> </w:t>
      </w:r>
      <w:r>
        <w:rPr>
          <w:sz w:val="24"/>
        </w:rPr>
        <w:t>markets,</w:t>
      </w:r>
      <w:r>
        <w:rPr>
          <w:spacing w:val="-8"/>
          <w:sz w:val="24"/>
        </w:rPr>
        <w:t> </w:t>
      </w:r>
      <w:r>
        <w:rPr>
          <w:sz w:val="24"/>
        </w:rPr>
        <w:t>including</w:t>
      </w:r>
      <w:r>
        <w:rPr>
          <w:spacing w:val="-8"/>
          <w:sz w:val="24"/>
        </w:rPr>
        <w:t> </w:t>
      </w:r>
      <w:r>
        <w:rPr>
          <w:spacing w:val="-2"/>
          <w:sz w:val="24"/>
        </w:rPr>
        <w:t>the </w:t>
      </w:r>
      <w:r>
        <w:rPr>
          <w:sz w:val="24"/>
        </w:rPr>
        <w:t>latest retail sales data and retail margins, and the impact of the exchange rate on net trade. It then </w:t>
      </w:r>
      <w:r>
        <w:rPr>
          <w:spacing w:val="-3"/>
          <w:sz w:val="24"/>
        </w:rPr>
        <w:t>reviewed </w:t>
      </w:r>
      <w:r>
        <w:rPr>
          <w:sz w:val="24"/>
        </w:rPr>
        <w:t>the </w:t>
      </w:r>
      <w:r>
        <w:rPr>
          <w:spacing w:val="-3"/>
          <w:sz w:val="24"/>
        </w:rPr>
        <w:t>possible implications </w:t>
      </w:r>
      <w:r>
        <w:rPr>
          <w:sz w:val="24"/>
        </w:rPr>
        <w:t>of </w:t>
      </w:r>
      <w:r>
        <w:rPr>
          <w:spacing w:val="-3"/>
          <w:sz w:val="24"/>
        </w:rPr>
        <w:t>developments </w:t>
      </w:r>
      <w:r>
        <w:rPr>
          <w:sz w:val="24"/>
        </w:rPr>
        <w:t>in the </w:t>
      </w:r>
      <w:r>
        <w:rPr>
          <w:spacing w:val="-3"/>
          <w:sz w:val="24"/>
        </w:rPr>
        <w:t>Asian economies </w:t>
      </w:r>
      <w:r>
        <w:rPr>
          <w:sz w:val="24"/>
        </w:rPr>
        <w:t>and </w:t>
      </w:r>
      <w:r>
        <w:rPr>
          <w:spacing w:val="-3"/>
          <w:sz w:val="24"/>
        </w:rPr>
        <w:t>recent financial market</w:t>
      </w:r>
      <w:r>
        <w:rPr>
          <w:sz w:val="24"/>
        </w:rPr>
        <w:t> </w:t>
      </w:r>
      <w:r>
        <w:rPr>
          <w:spacing w:val="-3"/>
          <w:sz w:val="24"/>
        </w:rPr>
        <w:t>volatility.</w:t>
      </w:r>
    </w:p>
    <w:p>
      <w:pPr>
        <w:pStyle w:val="BodyText"/>
        <w:spacing w:before="3"/>
        <w:rPr>
          <w:sz w:val="37"/>
        </w:rPr>
      </w:pPr>
    </w:p>
    <w:p>
      <w:pPr>
        <w:pStyle w:val="Heading1"/>
      </w:pPr>
      <w:r>
        <w:rPr/>
        <w:t>Monetary growth</w:t>
      </w:r>
    </w:p>
    <w:p>
      <w:pPr>
        <w:pStyle w:val="BodyText"/>
        <w:rPr>
          <w:b/>
          <w:sz w:val="26"/>
        </w:rPr>
      </w:pPr>
    </w:p>
    <w:p>
      <w:pPr>
        <w:pStyle w:val="BodyText"/>
        <w:spacing w:before="10"/>
        <w:rPr>
          <w:b/>
          <w:sz w:val="23"/>
        </w:rPr>
      </w:pPr>
    </w:p>
    <w:p>
      <w:pPr>
        <w:pStyle w:val="ListParagraph"/>
        <w:numPr>
          <w:ilvl w:val="0"/>
          <w:numId w:val="1"/>
        </w:numPr>
        <w:tabs>
          <w:tab w:pos="1102" w:val="left" w:leader="none"/>
          <w:tab w:pos="1103" w:val="left" w:leader="none"/>
        </w:tabs>
        <w:spacing w:line="372" w:lineRule="auto" w:before="1" w:after="0"/>
        <w:ind w:left="252" w:right="292" w:firstLine="0"/>
        <w:jc w:val="left"/>
        <w:rPr>
          <w:sz w:val="24"/>
        </w:rPr>
      </w:pPr>
      <w:r>
        <w:rPr>
          <w:sz w:val="24"/>
        </w:rPr>
        <w:t>M4 </w:t>
      </w:r>
      <w:r>
        <w:rPr>
          <w:spacing w:val="-3"/>
          <w:sz w:val="24"/>
        </w:rPr>
        <w:t>lending </w:t>
      </w:r>
      <w:r>
        <w:rPr>
          <w:sz w:val="24"/>
        </w:rPr>
        <w:t>had </w:t>
      </w:r>
      <w:r>
        <w:rPr>
          <w:spacing w:val="-3"/>
          <w:sz w:val="24"/>
        </w:rPr>
        <w:t>slowed slightly over </w:t>
      </w:r>
      <w:r>
        <w:rPr>
          <w:sz w:val="24"/>
        </w:rPr>
        <w:t>the </w:t>
      </w:r>
      <w:r>
        <w:rPr>
          <w:spacing w:val="-3"/>
          <w:sz w:val="24"/>
        </w:rPr>
        <w:t>quarter, driven </w:t>
      </w:r>
      <w:r>
        <w:rPr>
          <w:sz w:val="24"/>
        </w:rPr>
        <w:t>by a </w:t>
      </w:r>
      <w:r>
        <w:rPr>
          <w:spacing w:val="-3"/>
          <w:sz w:val="24"/>
        </w:rPr>
        <w:t>fall </w:t>
      </w:r>
      <w:r>
        <w:rPr>
          <w:sz w:val="24"/>
        </w:rPr>
        <w:t>in the </w:t>
      </w:r>
      <w:r>
        <w:rPr>
          <w:spacing w:val="-3"/>
          <w:sz w:val="24"/>
        </w:rPr>
        <w:t>growth </w:t>
      </w:r>
      <w:r>
        <w:rPr>
          <w:sz w:val="24"/>
        </w:rPr>
        <w:t>of </w:t>
      </w:r>
      <w:r>
        <w:rPr>
          <w:spacing w:val="-3"/>
          <w:sz w:val="24"/>
        </w:rPr>
        <w:t>company </w:t>
      </w:r>
      <w:r>
        <w:rPr>
          <w:sz w:val="24"/>
        </w:rPr>
        <w:t>borrowing. But otherwise the picture was much the same as in August. In particular, Divisia money had grown more than expected and the broad money balances of Other Financial Institutions </w:t>
      </w:r>
      <w:r>
        <w:rPr>
          <w:spacing w:val="-2"/>
          <w:sz w:val="24"/>
        </w:rPr>
        <w:t>(OFIs) </w:t>
      </w:r>
      <w:r>
        <w:rPr>
          <w:sz w:val="24"/>
        </w:rPr>
        <w:t>had continued to grow at a very fast rate. Analysis by Bank staff using models of sectoral demand </w:t>
      </w:r>
      <w:r>
        <w:rPr>
          <w:spacing w:val="-2"/>
          <w:sz w:val="24"/>
        </w:rPr>
        <w:t>for </w:t>
      </w:r>
      <w:r>
        <w:rPr>
          <w:sz w:val="24"/>
        </w:rPr>
        <w:t>money</w:t>
      </w:r>
      <w:r>
        <w:rPr>
          <w:spacing w:val="-10"/>
          <w:sz w:val="24"/>
        </w:rPr>
        <w:t> </w:t>
      </w:r>
      <w:r>
        <w:rPr>
          <w:sz w:val="24"/>
        </w:rPr>
        <w:t>suggested</w:t>
      </w:r>
      <w:r>
        <w:rPr>
          <w:spacing w:val="-9"/>
          <w:sz w:val="24"/>
        </w:rPr>
        <w:t> </w:t>
      </w:r>
      <w:r>
        <w:rPr>
          <w:sz w:val="24"/>
        </w:rPr>
        <w:t>that</w:t>
      </w:r>
      <w:r>
        <w:rPr>
          <w:spacing w:val="-9"/>
          <w:sz w:val="24"/>
        </w:rPr>
        <w:t> </w:t>
      </w:r>
      <w:r>
        <w:rPr>
          <w:sz w:val="24"/>
        </w:rPr>
        <w:t>there</w:t>
      </w:r>
      <w:r>
        <w:rPr>
          <w:spacing w:val="-10"/>
          <w:sz w:val="24"/>
        </w:rPr>
        <w:t> </w:t>
      </w:r>
      <w:r>
        <w:rPr>
          <w:sz w:val="24"/>
        </w:rPr>
        <w:t>probably</w:t>
      </w:r>
      <w:r>
        <w:rPr>
          <w:spacing w:val="-9"/>
          <w:sz w:val="24"/>
        </w:rPr>
        <w:t> </w:t>
      </w:r>
      <w:r>
        <w:rPr>
          <w:sz w:val="24"/>
        </w:rPr>
        <w:t>remained</w:t>
      </w:r>
      <w:r>
        <w:rPr>
          <w:spacing w:val="-9"/>
          <w:sz w:val="24"/>
        </w:rPr>
        <w:t> </w:t>
      </w:r>
      <w:r>
        <w:rPr>
          <w:sz w:val="24"/>
        </w:rPr>
        <w:t>a</w:t>
      </w:r>
      <w:r>
        <w:rPr>
          <w:spacing w:val="-10"/>
          <w:sz w:val="24"/>
        </w:rPr>
        <w:t> </w:t>
      </w:r>
      <w:r>
        <w:rPr>
          <w:sz w:val="24"/>
        </w:rPr>
        <w:t>liquidity</w:t>
      </w:r>
      <w:r>
        <w:rPr>
          <w:spacing w:val="-9"/>
          <w:sz w:val="24"/>
        </w:rPr>
        <w:t> </w:t>
      </w:r>
      <w:r>
        <w:rPr>
          <w:sz w:val="24"/>
        </w:rPr>
        <w:t>overhang</w:t>
      </w:r>
      <w:r>
        <w:rPr>
          <w:spacing w:val="-9"/>
          <w:sz w:val="24"/>
        </w:rPr>
        <w:t> </w:t>
      </w:r>
      <w:r>
        <w:rPr>
          <w:sz w:val="24"/>
        </w:rPr>
        <w:t>in</w:t>
      </w:r>
      <w:r>
        <w:rPr>
          <w:spacing w:val="-9"/>
          <w:sz w:val="24"/>
        </w:rPr>
        <w:t> </w:t>
      </w:r>
      <w:r>
        <w:rPr>
          <w:sz w:val="24"/>
        </w:rPr>
        <w:t>the</w:t>
      </w:r>
      <w:r>
        <w:rPr>
          <w:spacing w:val="-10"/>
          <w:sz w:val="24"/>
        </w:rPr>
        <w:t> </w:t>
      </w:r>
      <w:r>
        <w:rPr>
          <w:sz w:val="24"/>
        </w:rPr>
        <w:t>OFI</w:t>
      </w:r>
      <w:r>
        <w:rPr>
          <w:spacing w:val="-9"/>
          <w:sz w:val="24"/>
        </w:rPr>
        <w:t> </w:t>
      </w:r>
      <w:r>
        <w:rPr>
          <w:sz w:val="24"/>
        </w:rPr>
        <w:t>sector,</w:t>
      </w:r>
      <w:r>
        <w:rPr>
          <w:spacing w:val="-9"/>
          <w:sz w:val="24"/>
        </w:rPr>
        <w:t> </w:t>
      </w:r>
      <w:r>
        <w:rPr>
          <w:sz w:val="24"/>
        </w:rPr>
        <w:t>and</w:t>
      </w:r>
      <w:r>
        <w:rPr>
          <w:spacing w:val="-10"/>
          <w:sz w:val="24"/>
        </w:rPr>
        <w:t> </w:t>
      </w:r>
      <w:r>
        <w:rPr>
          <w:sz w:val="24"/>
        </w:rPr>
        <w:t>in</w:t>
      </w:r>
      <w:r>
        <w:rPr>
          <w:spacing w:val="-9"/>
          <w:sz w:val="24"/>
        </w:rPr>
        <w:t> </w:t>
      </w:r>
      <w:r>
        <w:rPr>
          <w:sz w:val="24"/>
        </w:rPr>
        <w:t>particular amongst Life Assurance companies and Pension Funds (LAPFs). Staff work also suggested that </w:t>
      </w:r>
      <w:r>
        <w:rPr>
          <w:spacing w:val="-2"/>
          <w:sz w:val="24"/>
        </w:rPr>
        <w:t>the </w:t>
      </w:r>
      <w:r>
        <w:rPr>
          <w:sz w:val="24"/>
        </w:rPr>
        <w:t>level of M4 velocity was below trend, supporting the picture from sectoral analysis that there </w:t>
      </w:r>
      <w:r>
        <w:rPr>
          <w:spacing w:val="-2"/>
          <w:sz w:val="24"/>
        </w:rPr>
        <w:t>was </w:t>
      </w:r>
      <w:r>
        <w:rPr>
          <w:sz w:val="24"/>
        </w:rPr>
        <w:t>probably an aggregate money overhang. It seemed possible though that much of the decline in M4 </w:t>
      </w:r>
      <w:r>
        <w:rPr>
          <w:spacing w:val="-3"/>
          <w:sz w:val="24"/>
        </w:rPr>
        <w:t>velocity </w:t>
      </w:r>
      <w:r>
        <w:rPr>
          <w:sz w:val="24"/>
        </w:rPr>
        <w:t>in </w:t>
      </w:r>
      <w:r>
        <w:rPr>
          <w:spacing w:val="-3"/>
          <w:sz w:val="24"/>
        </w:rPr>
        <w:t>recent years could </w:t>
      </w:r>
      <w:r>
        <w:rPr>
          <w:sz w:val="24"/>
        </w:rPr>
        <w:t>be </w:t>
      </w:r>
      <w:r>
        <w:rPr>
          <w:spacing w:val="-3"/>
          <w:sz w:val="24"/>
        </w:rPr>
        <w:t>explained </w:t>
      </w:r>
      <w:r>
        <w:rPr>
          <w:sz w:val="24"/>
        </w:rPr>
        <w:t>by the </w:t>
      </w:r>
      <w:r>
        <w:rPr>
          <w:spacing w:val="-3"/>
          <w:sz w:val="24"/>
        </w:rPr>
        <w:t>rise </w:t>
      </w:r>
      <w:r>
        <w:rPr>
          <w:sz w:val="24"/>
        </w:rPr>
        <w:t>in the </w:t>
      </w:r>
      <w:r>
        <w:rPr>
          <w:spacing w:val="-3"/>
          <w:sz w:val="24"/>
        </w:rPr>
        <w:t>wealth/income</w:t>
      </w:r>
      <w:r>
        <w:rPr>
          <w:spacing w:val="17"/>
          <w:sz w:val="24"/>
        </w:rPr>
        <w:t> </w:t>
      </w:r>
      <w:r>
        <w:rPr>
          <w:spacing w:val="-3"/>
          <w:sz w:val="24"/>
        </w:rPr>
        <w:t>ratio.</w:t>
      </w:r>
    </w:p>
    <w:p>
      <w:pPr>
        <w:pStyle w:val="BodyText"/>
        <w:spacing w:before="8"/>
        <w:rPr>
          <w:sz w:val="36"/>
        </w:rPr>
      </w:pPr>
    </w:p>
    <w:p>
      <w:pPr>
        <w:pStyle w:val="ListParagraph"/>
        <w:numPr>
          <w:ilvl w:val="0"/>
          <w:numId w:val="1"/>
        </w:numPr>
        <w:tabs>
          <w:tab w:pos="1102" w:val="left" w:leader="none"/>
          <w:tab w:pos="1103" w:val="left" w:leader="none"/>
        </w:tabs>
        <w:spacing w:line="372" w:lineRule="auto" w:before="0" w:after="0"/>
        <w:ind w:left="252" w:right="340" w:firstLine="0"/>
        <w:jc w:val="left"/>
        <w:rPr>
          <w:sz w:val="24"/>
        </w:rPr>
      </w:pPr>
      <w:r>
        <w:rPr>
          <w:sz w:val="24"/>
        </w:rPr>
        <w:t>There were various possible interpretations of the implications of the monetary situation </w:t>
      </w:r>
      <w:r>
        <w:rPr>
          <w:spacing w:val="-2"/>
          <w:sz w:val="24"/>
        </w:rPr>
        <w:t>for </w:t>
      </w:r>
      <w:r>
        <w:rPr>
          <w:sz w:val="24"/>
        </w:rPr>
        <w:t>future</w:t>
      </w:r>
      <w:r>
        <w:rPr>
          <w:spacing w:val="-9"/>
          <w:sz w:val="24"/>
        </w:rPr>
        <w:t> </w:t>
      </w:r>
      <w:r>
        <w:rPr>
          <w:sz w:val="24"/>
        </w:rPr>
        <w:t>demand</w:t>
      </w:r>
      <w:r>
        <w:rPr>
          <w:spacing w:val="-9"/>
          <w:sz w:val="24"/>
        </w:rPr>
        <w:t> </w:t>
      </w:r>
      <w:r>
        <w:rPr>
          <w:sz w:val="24"/>
        </w:rPr>
        <w:t>and</w:t>
      </w:r>
      <w:r>
        <w:rPr>
          <w:spacing w:val="-9"/>
          <w:sz w:val="24"/>
        </w:rPr>
        <w:t> </w:t>
      </w:r>
      <w:r>
        <w:rPr>
          <w:sz w:val="24"/>
        </w:rPr>
        <w:t>inflationary</w:t>
      </w:r>
      <w:r>
        <w:rPr>
          <w:spacing w:val="-9"/>
          <w:sz w:val="24"/>
        </w:rPr>
        <w:t> </w:t>
      </w:r>
      <w:r>
        <w:rPr>
          <w:sz w:val="24"/>
        </w:rPr>
        <w:t>pressures.</w:t>
      </w:r>
      <w:r>
        <w:rPr>
          <w:spacing w:val="44"/>
          <w:sz w:val="24"/>
        </w:rPr>
        <w:t> </w:t>
      </w:r>
      <w:r>
        <w:rPr>
          <w:sz w:val="24"/>
        </w:rPr>
        <w:t>There</w:t>
      </w:r>
      <w:r>
        <w:rPr>
          <w:spacing w:val="-9"/>
          <w:sz w:val="24"/>
        </w:rPr>
        <w:t> </w:t>
      </w:r>
      <w:r>
        <w:rPr>
          <w:sz w:val="24"/>
        </w:rPr>
        <w:t>was</w:t>
      </w:r>
      <w:r>
        <w:rPr>
          <w:spacing w:val="-9"/>
          <w:sz w:val="24"/>
        </w:rPr>
        <w:t> </w:t>
      </w:r>
      <w:r>
        <w:rPr>
          <w:sz w:val="24"/>
        </w:rPr>
        <w:t>an</w:t>
      </w:r>
      <w:r>
        <w:rPr>
          <w:spacing w:val="-9"/>
          <w:sz w:val="24"/>
        </w:rPr>
        <w:t> </w:t>
      </w:r>
      <w:r>
        <w:rPr>
          <w:sz w:val="24"/>
        </w:rPr>
        <w:t>argument</w:t>
      </w:r>
      <w:r>
        <w:rPr>
          <w:spacing w:val="-9"/>
          <w:sz w:val="24"/>
        </w:rPr>
        <w:t> </w:t>
      </w:r>
      <w:r>
        <w:rPr>
          <w:sz w:val="24"/>
        </w:rPr>
        <w:t>that</w:t>
      </w:r>
      <w:r>
        <w:rPr>
          <w:spacing w:val="-9"/>
          <w:sz w:val="24"/>
        </w:rPr>
        <w:t> </w:t>
      </w:r>
      <w:r>
        <w:rPr>
          <w:sz w:val="24"/>
        </w:rPr>
        <w:t>the</w:t>
      </w:r>
      <w:r>
        <w:rPr>
          <w:spacing w:val="-9"/>
          <w:sz w:val="24"/>
        </w:rPr>
        <w:t> </w:t>
      </w:r>
      <w:r>
        <w:rPr>
          <w:sz w:val="24"/>
        </w:rPr>
        <w:t>large</w:t>
      </w:r>
      <w:r>
        <w:rPr>
          <w:spacing w:val="-9"/>
          <w:sz w:val="24"/>
        </w:rPr>
        <w:t> </w:t>
      </w:r>
      <w:r>
        <w:rPr>
          <w:sz w:val="24"/>
        </w:rPr>
        <w:t>cumulative</w:t>
      </w:r>
      <w:r>
        <w:rPr>
          <w:spacing w:val="-9"/>
          <w:sz w:val="24"/>
        </w:rPr>
        <w:t> </w:t>
      </w:r>
      <w:r>
        <w:rPr>
          <w:sz w:val="24"/>
        </w:rPr>
        <w:t>growth</w:t>
      </w:r>
      <w:r>
        <w:rPr>
          <w:spacing w:val="-9"/>
          <w:sz w:val="24"/>
        </w:rPr>
        <w:t> </w:t>
      </w:r>
      <w:r>
        <w:rPr>
          <w:sz w:val="24"/>
        </w:rPr>
        <w:t>in broad money over recent years did not represent a clear inflationary threat, given the possibility that much</w:t>
      </w:r>
      <w:r>
        <w:rPr>
          <w:spacing w:val="-6"/>
          <w:sz w:val="24"/>
        </w:rPr>
        <w:t> </w:t>
      </w:r>
      <w:r>
        <w:rPr>
          <w:sz w:val="24"/>
        </w:rPr>
        <w:t>of</w:t>
      </w:r>
      <w:r>
        <w:rPr>
          <w:spacing w:val="-6"/>
          <w:sz w:val="24"/>
        </w:rPr>
        <w:t> </w:t>
      </w:r>
      <w:r>
        <w:rPr>
          <w:sz w:val="24"/>
        </w:rPr>
        <w:t>it</w:t>
      </w:r>
      <w:r>
        <w:rPr>
          <w:spacing w:val="-6"/>
          <w:sz w:val="24"/>
        </w:rPr>
        <w:t> </w:t>
      </w:r>
      <w:r>
        <w:rPr>
          <w:sz w:val="24"/>
        </w:rPr>
        <w:t>could</w:t>
      </w:r>
      <w:r>
        <w:rPr>
          <w:spacing w:val="-6"/>
          <w:sz w:val="24"/>
        </w:rPr>
        <w:t> </w:t>
      </w:r>
      <w:r>
        <w:rPr>
          <w:sz w:val="24"/>
        </w:rPr>
        <w:t>be</w:t>
      </w:r>
      <w:r>
        <w:rPr>
          <w:spacing w:val="-6"/>
          <w:sz w:val="24"/>
        </w:rPr>
        <w:t> </w:t>
      </w:r>
      <w:r>
        <w:rPr>
          <w:sz w:val="24"/>
        </w:rPr>
        <w:t>explained</w:t>
      </w:r>
      <w:r>
        <w:rPr>
          <w:spacing w:val="-6"/>
          <w:sz w:val="24"/>
        </w:rPr>
        <w:t> </w:t>
      </w:r>
      <w:r>
        <w:rPr>
          <w:sz w:val="24"/>
        </w:rPr>
        <w:t>by</w:t>
      </w:r>
      <w:r>
        <w:rPr>
          <w:spacing w:val="-6"/>
          <w:sz w:val="24"/>
        </w:rPr>
        <w:t> </w:t>
      </w:r>
      <w:r>
        <w:rPr>
          <w:sz w:val="24"/>
        </w:rPr>
        <w:t>the</w:t>
      </w:r>
      <w:r>
        <w:rPr>
          <w:spacing w:val="-5"/>
          <w:sz w:val="24"/>
        </w:rPr>
        <w:t> </w:t>
      </w:r>
      <w:r>
        <w:rPr>
          <w:sz w:val="24"/>
        </w:rPr>
        <w:t>increase</w:t>
      </w:r>
      <w:r>
        <w:rPr>
          <w:spacing w:val="-6"/>
          <w:sz w:val="24"/>
        </w:rPr>
        <w:t> </w:t>
      </w:r>
      <w:r>
        <w:rPr>
          <w:sz w:val="24"/>
        </w:rPr>
        <w:t>in</w:t>
      </w:r>
      <w:r>
        <w:rPr>
          <w:spacing w:val="-6"/>
          <w:sz w:val="24"/>
        </w:rPr>
        <w:t> </w:t>
      </w:r>
      <w:r>
        <w:rPr>
          <w:sz w:val="24"/>
        </w:rPr>
        <w:t>the</w:t>
      </w:r>
      <w:r>
        <w:rPr>
          <w:spacing w:val="-6"/>
          <w:sz w:val="24"/>
        </w:rPr>
        <w:t> </w:t>
      </w:r>
      <w:r>
        <w:rPr>
          <w:sz w:val="24"/>
        </w:rPr>
        <w:t>wealth/income</w:t>
      </w:r>
      <w:r>
        <w:rPr>
          <w:spacing w:val="-6"/>
          <w:sz w:val="24"/>
        </w:rPr>
        <w:t> </w:t>
      </w:r>
      <w:r>
        <w:rPr>
          <w:sz w:val="24"/>
        </w:rPr>
        <w:t>ratio.</w:t>
      </w:r>
      <w:r>
        <w:rPr>
          <w:spacing w:val="50"/>
          <w:sz w:val="24"/>
        </w:rPr>
        <w:t> </w:t>
      </w:r>
      <w:r>
        <w:rPr>
          <w:sz w:val="24"/>
        </w:rPr>
        <w:t>However,</w:t>
      </w:r>
      <w:r>
        <w:rPr>
          <w:spacing w:val="-6"/>
          <w:sz w:val="24"/>
        </w:rPr>
        <w:t> </w:t>
      </w:r>
      <w:r>
        <w:rPr>
          <w:sz w:val="24"/>
        </w:rPr>
        <w:t>it</w:t>
      </w:r>
      <w:r>
        <w:rPr>
          <w:spacing w:val="-6"/>
          <w:sz w:val="24"/>
        </w:rPr>
        <w:t> </w:t>
      </w:r>
      <w:r>
        <w:rPr>
          <w:sz w:val="24"/>
        </w:rPr>
        <w:t>was</w:t>
      </w:r>
      <w:r>
        <w:rPr>
          <w:spacing w:val="-6"/>
          <w:sz w:val="24"/>
        </w:rPr>
        <w:t> </w:t>
      </w:r>
      <w:r>
        <w:rPr>
          <w:sz w:val="24"/>
        </w:rPr>
        <w:t>not</w:t>
      </w:r>
      <w:r>
        <w:rPr>
          <w:spacing w:val="-5"/>
          <w:sz w:val="24"/>
        </w:rPr>
        <w:t> </w:t>
      </w:r>
      <w:r>
        <w:rPr>
          <w:sz w:val="24"/>
        </w:rPr>
        <w:t>clear</w:t>
      </w:r>
    </w:p>
    <w:p>
      <w:pPr>
        <w:spacing w:after="0" w:line="372" w:lineRule="auto"/>
        <w:jc w:val="left"/>
        <w:rPr>
          <w:sz w:val="24"/>
        </w:rPr>
        <w:sectPr>
          <w:pgSz w:w="11900" w:h="16840"/>
          <w:pgMar w:top="1600" w:bottom="280" w:left="880" w:right="740"/>
        </w:sectPr>
      </w:pPr>
    </w:p>
    <w:p>
      <w:pPr>
        <w:pStyle w:val="BodyText"/>
        <w:spacing w:before="8"/>
        <w:rPr>
          <w:sz w:val="23"/>
        </w:rPr>
      </w:pPr>
    </w:p>
    <w:p>
      <w:pPr>
        <w:pStyle w:val="BodyText"/>
        <w:spacing w:line="372" w:lineRule="auto" w:before="90"/>
        <w:ind w:left="252" w:right="408"/>
      </w:pPr>
      <w:r>
        <w:rPr/>
        <w:t>that</w:t>
      </w:r>
      <w:r>
        <w:rPr>
          <w:spacing w:val="-10"/>
        </w:rPr>
        <w:t> </w:t>
      </w:r>
      <w:r>
        <w:rPr/>
        <w:t>this</w:t>
      </w:r>
      <w:r>
        <w:rPr>
          <w:spacing w:val="-10"/>
        </w:rPr>
        <w:t> </w:t>
      </w:r>
      <w:r>
        <w:rPr/>
        <w:t>increase</w:t>
      </w:r>
      <w:r>
        <w:rPr>
          <w:spacing w:val="-10"/>
        </w:rPr>
        <w:t> </w:t>
      </w:r>
      <w:r>
        <w:rPr/>
        <w:t>represented</w:t>
      </w:r>
      <w:r>
        <w:rPr>
          <w:spacing w:val="-9"/>
        </w:rPr>
        <w:t> </w:t>
      </w:r>
      <w:r>
        <w:rPr/>
        <w:t>a</w:t>
      </w:r>
      <w:r>
        <w:rPr>
          <w:spacing w:val="-10"/>
        </w:rPr>
        <w:t> </w:t>
      </w:r>
      <w:r>
        <w:rPr/>
        <w:t>sustained</w:t>
      </w:r>
      <w:r>
        <w:rPr>
          <w:spacing w:val="-10"/>
        </w:rPr>
        <w:t> </w:t>
      </w:r>
      <w:r>
        <w:rPr/>
        <w:t>change;</w:t>
      </w:r>
      <w:r>
        <w:rPr>
          <w:spacing w:val="43"/>
        </w:rPr>
        <w:t> </w:t>
      </w:r>
      <w:r>
        <w:rPr/>
        <w:t>it</w:t>
      </w:r>
      <w:r>
        <w:rPr>
          <w:spacing w:val="-9"/>
        </w:rPr>
        <w:t> </w:t>
      </w:r>
      <w:r>
        <w:rPr/>
        <w:t>might</w:t>
      </w:r>
      <w:r>
        <w:rPr>
          <w:spacing w:val="-10"/>
        </w:rPr>
        <w:t> </w:t>
      </w:r>
      <w:r>
        <w:rPr/>
        <w:t>alternatively</w:t>
      </w:r>
      <w:r>
        <w:rPr>
          <w:spacing w:val="-10"/>
        </w:rPr>
        <w:t> </w:t>
      </w:r>
      <w:r>
        <w:rPr/>
        <w:t>be</w:t>
      </w:r>
      <w:r>
        <w:rPr>
          <w:spacing w:val="-9"/>
        </w:rPr>
        <w:t> </w:t>
      </w:r>
      <w:r>
        <w:rPr/>
        <w:t>transitory,</w:t>
      </w:r>
      <w:r>
        <w:rPr>
          <w:spacing w:val="-10"/>
        </w:rPr>
        <w:t> </w:t>
      </w:r>
      <w:r>
        <w:rPr/>
        <w:t>caused</w:t>
      </w:r>
      <w:r>
        <w:rPr>
          <w:spacing w:val="-10"/>
        </w:rPr>
        <w:t> </w:t>
      </w:r>
      <w:r>
        <w:rPr/>
        <w:t>by</w:t>
      </w:r>
      <w:r>
        <w:rPr>
          <w:spacing w:val="-9"/>
        </w:rPr>
        <w:t> </w:t>
      </w:r>
      <w:r>
        <w:rPr/>
        <w:t>asset </w:t>
      </w:r>
      <w:r>
        <w:rPr>
          <w:spacing w:val="-3"/>
        </w:rPr>
        <w:t>price appreciation </w:t>
      </w:r>
      <w:r>
        <w:rPr/>
        <w:t>in a </w:t>
      </w:r>
      <w:r>
        <w:rPr>
          <w:spacing w:val="-3"/>
        </w:rPr>
        <w:t>loose monetary environment. </w:t>
      </w:r>
      <w:r>
        <w:rPr/>
        <w:t>And </w:t>
      </w:r>
      <w:r>
        <w:rPr>
          <w:spacing w:val="-3"/>
        </w:rPr>
        <w:t>even </w:t>
      </w:r>
      <w:r>
        <w:rPr/>
        <w:t>if it </w:t>
      </w:r>
      <w:r>
        <w:rPr>
          <w:spacing w:val="-3"/>
        </w:rPr>
        <w:t>were sustained, </w:t>
      </w:r>
      <w:r>
        <w:rPr/>
        <w:t>it </w:t>
      </w:r>
      <w:r>
        <w:rPr>
          <w:spacing w:val="-3"/>
        </w:rPr>
        <w:t>still left </w:t>
      </w:r>
      <w:r>
        <w:rPr/>
        <w:t>a material overhang in the OFI</w:t>
      </w:r>
      <w:r>
        <w:rPr>
          <w:spacing w:val="2"/>
        </w:rPr>
        <w:t> </w:t>
      </w:r>
      <w:r>
        <w:rPr/>
        <w:t>sector.</w:t>
      </w:r>
    </w:p>
    <w:p>
      <w:pPr>
        <w:pStyle w:val="BodyText"/>
        <w:spacing w:before="11"/>
        <w:rPr>
          <w:sz w:val="36"/>
        </w:rPr>
      </w:pPr>
    </w:p>
    <w:p>
      <w:pPr>
        <w:pStyle w:val="ListParagraph"/>
        <w:numPr>
          <w:ilvl w:val="0"/>
          <w:numId w:val="1"/>
        </w:numPr>
        <w:tabs>
          <w:tab w:pos="1102" w:val="left" w:leader="none"/>
          <w:tab w:pos="1103" w:val="left" w:leader="none"/>
        </w:tabs>
        <w:spacing w:line="372" w:lineRule="auto" w:before="0" w:after="0"/>
        <w:ind w:left="252" w:right="282" w:firstLine="0"/>
        <w:jc w:val="left"/>
        <w:rPr>
          <w:sz w:val="24"/>
        </w:rPr>
      </w:pPr>
      <w:r>
        <w:rPr>
          <w:sz w:val="24"/>
        </w:rPr>
        <w:t>Another possible view was that it was important to look at both aggregate and sectoral money developments. Real broad money balances had been growing at a fast rate, pointing to </w:t>
      </w:r>
      <w:r>
        <w:rPr>
          <w:spacing w:val="-2"/>
          <w:sz w:val="24"/>
        </w:rPr>
        <w:t>strong </w:t>
      </w:r>
      <w:r>
        <w:rPr>
          <w:sz w:val="24"/>
        </w:rPr>
        <w:t>real demand and inflationary pressures. Rapid growth in total OFI money balances could lead </w:t>
      </w:r>
      <w:r>
        <w:rPr>
          <w:spacing w:val="-3"/>
          <w:sz w:val="24"/>
        </w:rPr>
        <w:t>increases </w:t>
      </w:r>
      <w:r>
        <w:rPr>
          <w:sz w:val="24"/>
        </w:rPr>
        <w:t>in </w:t>
      </w:r>
      <w:r>
        <w:rPr>
          <w:spacing w:val="-3"/>
          <w:sz w:val="24"/>
        </w:rPr>
        <w:t>wealth, </w:t>
      </w:r>
      <w:r>
        <w:rPr>
          <w:sz w:val="24"/>
        </w:rPr>
        <w:t>as had </w:t>
      </w:r>
      <w:r>
        <w:rPr>
          <w:spacing w:val="-3"/>
          <w:sz w:val="24"/>
        </w:rPr>
        <w:t>been </w:t>
      </w:r>
      <w:r>
        <w:rPr>
          <w:sz w:val="24"/>
        </w:rPr>
        <w:t>the </w:t>
      </w:r>
      <w:r>
        <w:rPr>
          <w:spacing w:val="-3"/>
          <w:sz w:val="24"/>
        </w:rPr>
        <w:t>case </w:t>
      </w:r>
      <w:r>
        <w:rPr>
          <w:sz w:val="24"/>
        </w:rPr>
        <w:t>in the </w:t>
      </w:r>
      <w:r>
        <w:rPr>
          <w:spacing w:val="-3"/>
          <w:sz w:val="24"/>
        </w:rPr>
        <w:t>late 1980s when </w:t>
      </w:r>
      <w:r>
        <w:rPr>
          <w:sz w:val="24"/>
        </w:rPr>
        <w:t>it was a </w:t>
      </w:r>
      <w:r>
        <w:rPr>
          <w:spacing w:val="-3"/>
          <w:sz w:val="24"/>
        </w:rPr>
        <w:t>clear symptom </w:t>
      </w:r>
      <w:r>
        <w:rPr>
          <w:sz w:val="24"/>
        </w:rPr>
        <w:t>of </w:t>
      </w:r>
      <w:r>
        <w:rPr>
          <w:spacing w:val="-3"/>
          <w:sz w:val="24"/>
        </w:rPr>
        <w:t>inflationary </w:t>
      </w:r>
      <w:r>
        <w:rPr>
          <w:sz w:val="24"/>
        </w:rPr>
        <w:t>conditions. Furthermore, there were identified ways in which OFI money growth could enter </w:t>
      </w:r>
      <w:r>
        <w:rPr>
          <w:spacing w:val="-2"/>
          <w:sz w:val="24"/>
        </w:rPr>
        <w:t>the </w:t>
      </w:r>
      <w:r>
        <w:rPr>
          <w:sz w:val="24"/>
        </w:rPr>
        <w:t>transmission</w:t>
      </w:r>
      <w:r>
        <w:rPr>
          <w:spacing w:val="-8"/>
          <w:sz w:val="24"/>
        </w:rPr>
        <w:t> </w:t>
      </w:r>
      <w:r>
        <w:rPr>
          <w:sz w:val="24"/>
        </w:rPr>
        <w:t>mechanism.</w:t>
      </w:r>
      <w:r>
        <w:rPr>
          <w:spacing w:val="-8"/>
          <w:sz w:val="24"/>
        </w:rPr>
        <w:t> </w:t>
      </w:r>
      <w:r>
        <w:rPr>
          <w:sz w:val="24"/>
        </w:rPr>
        <w:t>It</w:t>
      </w:r>
      <w:r>
        <w:rPr>
          <w:spacing w:val="-8"/>
          <w:sz w:val="24"/>
        </w:rPr>
        <w:t> </w:t>
      </w:r>
      <w:r>
        <w:rPr>
          <w:sz w:val="24"/>
        </w:rPr>
        <w:t>could</w:t>
      </w:r>
      <w:r>
        <w:rPr>
          <w:spacing w:val="-8"/>
          <w:sz w:val="24"/>
        </w:rPr>
        <w:t> </w:t>
      </w:r>
      <w:r>
        <w:rPr>
          <w:sz w:val="24"/>
        </w:rPr>
        <w:t>feed</w:t>
      </w:r>
      <w:r>
        <w:rPr>
          <w:spacing w:val="-8"/>
          <w:sz w:val="24"/>
        </w:rPr>
        <w:t> </w:t>
      </w:r>
      <w:r>
        <w:rPr>
          <w:sz w:val="24"/>
        </w:rPr>
        <w:t>through</w:t>
      </w:r>
      <w:r>
        <w:rPr>
          <w:spacing w:val="-8"/>
          <w:sz w:val="24"/>
        </w:rPr>
        <w:t> </w:t>
      </w:r>
      <w:r>
        <w:rPr>
          <w:sz w:val="24"/>
        </w:rPr>
        <w:t>to</w:t>
      </w:r>
      <w:r>
        <w:rPr>
          <w:spacing w:val="-8"/>
          <w:sz w:val="24"/>
        </w:rPr>
        <w:t> </w:t>
      </w:r>
      <w:r>
        <w:rPr>
          <w:sz w:val="24"/>
        </w:rPr>
        <w:t>asset</w:t>
      </w:r>
      <w:r>
        <w:rPr>
          <w:spacing w:val="-8"/>
          <w:sz w:val="24"/>
        </w:rPr>
        <w:t> </w:t>
      </w:r>
      <w:r>
        <w:rPr>
          <w:sz w:val="24"/>
        </w:rPr>
        <w:t>prices</w:t>
      </w:r>
      <w:r>
        <w:rPr>
          <w:spacing w:val="-8"/>
          <w:sz w:val="24"/>
        </w:rPr>
        <w:t> </w:t>
      </w:r>
      <w:r>
        <w:rPr>
          <w:sz w:val="24"/>
        </w:rPr>
        <w:t>or</w:t>
      </w:r>
      <w:r>
        <w:rPr>
          <w:spacing w:val="-8"/>
          <w:sz w:val="24"/>
        </w:rPr>
        <w:t> </w:t>
      </w:r>
      <w:r>
        <w:rPr>
          <w:sz w:val="24"/>
        </w:rPr>
        <w:t>directly</w:t>
      </w:r>
      <w:r>
        <w:rPr>
          <w:spacing w:val="-8"/>
          <w:sz w:val="24"/>
        </w:rPr>
        <w:t> </w:t>
      </w:r>
      <w:r>
        <w:rPr>
          <w:sz w:val="24"/>
        </w:rPr>
        <w:t>into</w:t>
      </w:r>
      <w:r>
        <w:rPr>
          <w:spacing w:val="-8"/>
          <w:sz w:val="24"/>
        </w:rPr>
        <w:t> </w:t>
      </w:r>
      <w:r>
        <w:rPr>
          <w:sz w:val="24"/>
        </w:rPr>
        <w:t>spending</w:t>
      </w:r>
      <w:r>
        <w:rPr>
          <w:spacing w:val="-8"/>
          <w:sz w:val="24"/>
        </w:rPr>
        <w:t> </w:t>
      </w:r>
      <w:r>
        <w:rPr>
          <w:sz w:val="24"/>
        </w:rPr>
        <w:t>if</w:t>
      </w:r>
      <w:r>
        <w:rPr>
          <w:spacing w:val="-8"/>
          <w:sz w:val="24"/>
        </w:rPr>
        <w:t> </w:t>
      </w:r>
      <w:r>
        <w:rPr>
          <w:sz w:val="24"/>
        </w:rPr>
        <w:t>it</w:t>
      </w:r>
      <w:r>
        <w:rPr>
          <w:spacing w:val="-8"/>
          <w:sz w:val="24"/>
        </w:rPr>
        <w:t> </w:t>
      </w:r>
      <w:r>
        <w:rPr>
          <w:sz w:val="24"/>
        </w:rPr>
        <w:t>was</w:t>
      </w:r>
      <w:r>
        <w:rPr>
          <w:spacing w:val="-8"/>
          <w:sz w:val="24"/>
        </w:rPr>
        <w:t> </w:t>
      </w:r>
      <w:r>
        <w:rPr>
          <w:spacing w:val="-2"/>
          <w:sz w:val="24"/>
        </w:rPr>
        <w:t>passed </w:t>
      </w:r>
      <w:r>
        <w:rPr>
          <w:sz w:val="24"/>
        </w:rPr>
        <w:t>to the personal or company sectors and not used to repay bank loans. A variant of this was that, within OFIs, the focus should be on LAPF money growth, on the view that growth in OFI balances reflecting increased intermediation via repo markets should not be a</w:t>
      </w:r>
      <w:r>
        <w:rPr>
          <w:spacing w:val="-23"/>
          <w:sz w:val="24"/>
        </w:rPr>
        <w:t> </w:t>
      </w:r>
      <w:r>
        <w:rPr>
          <w:sz w:val="24"/>
        </w:rPr>
        <w:t>concern.</w:t>
      </w:r>
    </w:p>
    <w:p>
      <w:pPr>
        <w:pStyle w:val="BodyText"/>
        <w:spacing w:before="8"/>
        <w:rPr>
          <w:sz w:val="36"/>
        </w:rPr>
      </w:pPr>
    </w:p>
    <w:p>
      <w:pPr>
        <w:pStyle w:val="ListParagraph"/>
        <w:numPr>
          <w:ilvl w:val="0"/>
          <w:numId w:val="1"/>
        </w:numPr>
        <w:tabs>
          <w:tab w:pos="1102" w:val="left" w:leader="none"/>
          <w:tab w:pos="1103" w:val="left" w:leader="none"/>
        </w:tabs>
        <w:spacing w:line="372" w:lineRule="auto" w:before="0" w:after="0"/>
        <w:ind w:left="252" w:right="584" w:firstLine="0"/>
        <w:jc w:val="left"/>
        <w:rPr>
          <w:sz w:val="24"/>
        </w:rPr>
      </w:pPr>
      <w:r>
        <w:rPr>
          <w:sz w:val="24"/>
        </w:rPr>
        <w:t>Another interpretation was that the focus should not be on aggregate M4, but more on Divisia, as an indicator of transactions money, and on total financial wealth. This would be on </w:t>
      </w:r>
      <w:r>
        <w:rPr>
          <w:spacing w:val="-2"/>
          <w:sz w:val="24"/>
        </w:rPr>
        <w:t>the </w:t>
      </w:r>
      <w:r>
        <w:rPr>
          <w:sz w:val="24"/>
        </w:rPr>
        <w:t>grounds that the non-transactions element of broad money could not be distinguished </w:t>
      </w:r>
      <w:r>
        <w:rPr>
          <w:spacing w:val="-2"/>
          <w:sz w:val="24"/>
        </w:rPr>
        <w:t>conceptually </w:t>
      </w:r>
      <w:r>
        <w:rPr>
          <w:sz w:val="24"/>
        </w:rPr>
        <w:t>from other wealth holdings. This approach did, however, lead to much the same concern about </w:t>
      </w:r>
      <w:r>
        <w:rPr>
          <w:spacing w:val="-2"/>
          <w:sz w:val="24"/>
        </w:rPr>
        <w:t>the </w:t>
      </w:r>
      <w:r>
        <w:rPr>
          <w:sz w:val="24"/>
        </w:rPr>
        <w:t>outlook for demand and inflation on account of higher than expected Divisia growth and the rapid </w:t>
      </w:r>
      <w:r>
        <w:rPr>
          <w:spacing w:val="-3"/>
          <w:sz w:val="24"/>
        </w:rPr>
        <w:t>growth </w:t>
      </w:r>
      <w:r>
        <w:rPr>
          <w:sz w:val="24"/>
        </w:rPr>
        <w:t>of </w:t>
      </w:r>
      <w:r>
        <w:rPr>
          <w:spacing w:val="-3"/>
          <w:sz w:val="24"/>
        </w:rPr>
        <w:t>financial</w:t>
      </w:r>
      <w:r>
        <w:rPr>
          <w:spacing w:val="3"/>
          <w:sz w:val="24"/>
        </w:rPr>
        <w:t> </w:t>
      </w:r>
      <w:r>
        <w:rPr>
          <w:spacing w:val="-3"/>
          <w:sz w:val="24"/>
        </w:rPr>
        <w:t>wealth.</w:t>
      </w:r>
    </w:p>
    <w:p>
      <w:pPr>
        <w:pStyle w:val="BodyText"/>
        <w:spacing w:before="10"/>
        <w:rPr>
          <w:sz w:val="36"/>
        </w:rPr>
      </w:pPr>
    </w:p>
    <w:p>
      <w:pPr>
        <w:pStyle w:val="ListParagraph"/>
        <w:numPr>
          <w:ilvl w:val="0"/>
          <w:numId w:val="1"/>
        </w:numPr>
        <w:tabs>
          <w:tab w:pos="1102" w:val="left" w:leader="none"/>
          <w:tab w:pos="1103" w:val="left" w:leader="none"/>
        </w:tabs>
        <w:spacing w:line="240" w:lineRule="auto" w:before="0" w:after="0"/>
        <w:ind w:left="1102" w:right="0" w:hanging="851"/>
        <w:jc w:val="left"/>
        <w:rPr>
          <w:sz w:val="24"/>
        </w:rPr>
      </w:pPr>
      <w:r>
        <w:rPr>
          <w:sz w:val="24"/>
        </w:rPr>
        <w:t>It was agreed that the monetary data continued to create upside risks to the inflation</w:t>
      </w:r>
      <w:r>
        <w:rPr>
          <w:spacing w:val="-33"/>
          <w:sz w:val="24"/>
        </w:rPr>
        <w:t> </w:t>
      </w:r>
      <w:r>
        <w:rPr>
          <w:sz w:val="24"/>
        </w:rPr>
        <w:t>outlook.</w:t>
      </w:r>
    </w:p>
    <w:p>
      <w:pPr>
        <w:pStyle w:val="BodyText"/>
        <w:rPr>
          <w:sz w:val="26"/>
        </w:rPr>
      </w:pPr>
    </w:p>
    <w:p>
      <w:pPr>
        <w:pStyle w:val="BodyText"/>
        <w:spacing w:before="8"/>
      </w:pPr>
    </w:p>
    <w:p>
      <w:pPr>
        <w:pStyle w:val="Heading1"/>
      </w:pPr>
      <w:r>
        <w:rPr/>
        <w:t>Demand and output</w:t>
      </w:r>
    </w:p>
    <w:p>
      <w:pPr>
        <w:pStyle w:val="BodyText"/>
        <w:rPr>
          <w:b/>
          <w:sz w:val="26"/>
        </w:rPr>
      </w:pPr>
    </w:p>
    <w:p>
      <w:pPr>
        <w:pStyle w:val="BodyText"/>
        <w:spacing w:before="10"/>
        <w:rPr>
          <w:b/>
          <w:sz w:val="23"/>
        </w:rPr>
      </w:pPr>
    </w:p>
    <w:p>
      <w:pPr>
        <w:pStyle w:val="ListParagraph"/>
        <w:numPr>
          <w:ilvl w:val="0"/>
          <w:numId w:val="1"/>
        </w:numPr>
        <w:tabs>
          <w:tab w:pos="1102" w:val="left" w:leader="none"/>
          <w:tab w:pos="1103" w:val="left" w:leader="none"/>
        </w:tabs>
        <w:spacing w:line="240" w:lineRule="auto" w:before="1" w:after="0"/>
        <w:ind w:left="1102" w:right="0" w:hanging="851"/>
        <w:jc w:val="left"/>
        <w:rPr>
          <w:sz w:val="24"/>
        </w:rPr>
      </w:pPr>
      <w:r>
        <w:rPr>
          <w:sz w:val="24"/>
        </w:rPr>
        <w:t>There was an extensive debate on capacity and labour market pressures. The key issues</w:t>
      </w:r>
      <w:r>
        <w:rPr>
          <w:spacing w:val="-28"/>
          <w:sz w:val="24"/>
        </w:rPr>
        <w:t> </w:t>
      </w:r>
      <w:r>
        <w:rPr>
          <w:sz w:val="24"/>
        </w:rPr>
        <w:t>were</w:t>
      </w:r>
    </w:p>
    <w:p>
      <w:pPr>
        <w:pStyle w:val="BodyText"/>
        <w:spacing w:line="372" w:lineRule="auto" w:before="151"/>
        <w:ind w:left="252" w:right="230"/>
      </w:pPr>
      <w:r>
        <w:rPr/>
        <w:t>(i) the rate at which pressures on productive capacity were building up; (ii) whether there was any slack left and in particular at what point pressures of demand relative to supply would feed into inflation; and (iii) how quickly demand pressures would abate given the policy tightening already implemented.</w:t>
      </w:r>
    </w:p>
    <w:p>
      <w:pPr>
        <w:spacing w:after="0" w:line="372" w:lineRule="auto"/>
        <w:sectPr>
          <w:headerReference w:type="default" r:id="rId6"/>
          <w:pgSz w:w="11900" w:h="16840"/>
          <w:pgMar w:header="863" w:footer="0" w:top="1340" w:bottom="280" w:left="880" w:right="740"/>
          <w:pgNumType w:start="2"/>
        </w:sectPr>
      </w:pPr>
    </w:p>
    <w:p>
      <w:pPr>
        <w:pStyle w:val="BodyText"/>
        <w:spacing w:before="8"/>
        <w:rPr>
          <w:sz w:val="23"/>
        </w:rPr>
      </w:pPr>
    </w:p>
    <w:p>
      <w:pPr>
        <w:pStyle w:val="ListParagraph"/>
        <w:numPr>
          <w:ilvl w:val="0"/>
          <w:numId w:val="1"/>
        </w:numPr>
        <w:tabs>
          <w:tab w:pos="1102" w:val="left" w:leader="none"/>
          <w:tab w:pos="1103" w:val="left" w:leader="none"/>
        </w:tabs>
        <w:spacing w:line="372" w:lineRule="auto" w:before="90" w:after="0"/>
        <w:ind w:left="252" w:right="392" w:firstLine="0"/>
        <w:jc w:val="left"/>
        <w:rPr>
          <w:sz w:val="24"/>
        </w:rPr>
      </w:pPr>
      <w:r>
        <w:rPr>
          <w:sz w:val="24"/>
        </w:rPr>
        <w:t>At</w:t>
      </w:r>
      <w:r>
        <w:rPr>
          <w:spacing w:val="-5"/>
          <w:sz w:val="24"/>
        </w:rPr>
        <w:t> </w:t>
      </w:r>
      <w:r>
        <w:rPr>
          <w:sz w:val="24"/>
        </w:rPr>
        <w:t>1%,</w:t>
      </w:r>
      <w:r>
        <w:rPr>
          <w:spacing w:val="-5"/>
          <w:sz w:val="24"/>
        </w:rPr>
        <w:t> </w:t>
      </w:r>
      <w:r>
        <w:rPr>
          <w:sz w:val="24"/>
        </w:rPr>
        <w:t>GDP</w:t>
      </w:r>
      <w:r>
        <w:rPr>
          <w:spacing w:val="-5"/>
          <w:sz w:val="24"/>
        </w:rPr>
        <w:t> </w:t>
      </w:r>
      <w:r>
        <w:rPr>
          <w:sz w:val="24"/>
        </w:rPr>
        <w:t>growth</w:t>
      </w:r>
      <w:r>
        <w:rPr>
          <w:spacing w:val="-5"/>
          <w:sz w:val="24"/>
        </w:rPr>
        <w:t> </w:t>
      </w:r>
      <w:r>
        <w:rPr>
          <w:sz w:val="24"/>
        </w:rPr>
        <w:t>had</w:t>
      </w:r>
      <w:r>
        <w:rPr>
          <w:spacing w:val="-5"/>
          <w:sz w:val="24"/>
        </w:rPr>
        <w:t> </w:t>
      </w:r>
      <w:r>
        <w:rPr>
          <w:sz w:val="24"/>
        </w:rPr>
        <w:t>been</w:t>
      </w:r>
      <w:r>
        <w:rPr>
          <w:spacing w:val="-5"/>
          <w:sz w:val="24"/>
        </w:rPr>
        <w:t> </w:t>
      </w:r>
      <w:r>
        <w:rPr>
          <w:sz w:val="24"/>
        </w:rPr>
        <w:t>faster</w:t>
      </w:r>
      <w:r>
        <w:rPr>
          <w:spacing w:val="-5"/>
          <w:sz w:val="24"/>
        </w:rPr>
        <w:t> </w:t>
      </w:r>
      <w:r>
        <w:rPr>
          <w:sz w:val="24"/>
        </w:rPr>
        <w:t>in</w:t>
      </w:r>
      <w:r>
        <w:rPr>
          <w:spacing w:val="-5"/>
          <w:sz w:val="24"/>
        </w:rPr>
        <w:t> </w:t>
      </w:r>
      <w:r>
        <w:rPr>
          <w:sz w:val="24"/>
        </w:rPr>
        <w:t>Q3</w:t>
      </w:r>
      <w:r>
        <w:rPr>
          <w:spacing w:val="-5"/>
          <w:sz w:val="24"/>
        </w:rPr>
        <w:t> </w:t>
      </w:r>
      <w:r>
        <w:rPr>
          <w:sz w:val="24"/>
        </w:rPr>
        <w:t>than</w:t>
      </w:r>
      <w:r>
        <w:rPr>
          <w:spacing w:val="-5"/>
          <w:sz w:val="24"/>
        </w:rPr>
        <w:t> </w:t>
      </w:r>
      <w:r>
        <w:rPr>
          <w:sz w:val="24"/>
        </w:rPr>
        <w:t>expected</w:t>
      </w:r>
      <w:r>
        <w:rPr>
          <w:spacing w:val="-5"/>
          <w:sz w:val="24"/>
        </w:rPr>
        <w:t> </w:t>
      </w:r>
      <w:r>
        <w:rPr>
          <w:sz w:val="24"/>
        </w:rPr>
        <w:t>at</w:t>
      </w:r>
      <w:r>
        <w:rPr>
          <w:spacing w:val="-5"/>
          <w:sz w:val="24"/>
        </w:rPr>
        <w:t> </w:t>
      </w:r>
      <w:r>
        <w:rPr>
          <w:sz w:val="24"/>
        </w:rPr>
        <w:t>the</w:t>
      </w:r>
      <w:r>
        <w:rPr>
          <w:spacing w:val="-5"/>
          <w:sz w:val="24"/>
        </w:rPr>
        <w:t> </w:t>
      </w:r>
      <w:r>
        <w:rPr>
          <w:sz w:val="24"/>
        </w:rPr>
        <w:t>time</w:t>
      </w:r>
      <w:r>
        <w:rPr>
          <w:spacing w:val="-5"/>
          <w:sz w:val="24"/>
        </w:rPr>
        <w:t> </w:t>
      </w:r>
      <w:r>
        <w:rPr>
          <w:sz w:val="24"/>
        </w:rPr>
        <w:t>of</w:t>
      </w:r>
      <w:r>
        <w:rPr>
          <w:spacing w:val="-4"/>
          <w:sz w:val="24"/>
        </w:rPr>
        <w:t> </w:t>
      </w:r>
      <w:r>
        <w:rPr>
          <w:sz w:val="24"/>
        </w:rPr>
        <w:t>the</w:t>
      </w:r>
      <w:r>
        <w:rPr>
          <w:spacing w:val="-5"/>
          <w:sz w:val="24"/>
        </w:rPr>
        <w:t> </w:t>
      </w:r>
      <w:r>
        <w:rPr>
          <w:sz w:val="24"/>
        </w:rPr>
        <w:t>August</w:t>
      </w:r>
      <w:r>
        <w:rPr>
          <w:spacing w:val="-5"/>
          <w:sz w:val="24"/>
        </w:rPr>
        <w:t> </w:t>
      </w:r>
      <w:r>
        <w:rPr>
          <w:sz w:val="24"/>
        </w:rPr>
        <w:t>Inflation Report, and was well above trend. The labour market had continued to tighten on most measures; for </w:t>
      </w:r>
      <w:r>
        <w:rPr>
          <w:spacing w:val="-3"/>
          <w:sz w:val="24"/>
        </w:rPr>
        <w:t>example, claimant count unemployment (excluding Jobs Seekers Allowance effects) </w:t>
      </w:r>
      <w:r>
        <w:rPr>
          <w:sz w:val="24"/>
        </w:rPr>
        <w:t>had </w:t>
      </w:r>
      <w:r>
        <w:rPr>
          <w:spacing w:val="-3"/>
          <w:sz w:val="24"/>
        </w:rPr>
        <w:t>been </w:t>
      </w:r>
      <w:r>
        <w:rPr>
          <w:sz w:val="24"/>
        </w:rPr>
        <w:t>falling by around 25-30,000 per month, taking short term unemployment to levels not seen since </w:t>
      </w:r>
      <w:r>
        <w:rPr>
          <w:spacing w:val="-2"/>
          <w:sz w:val="24"/>
        </w:rPr>
        <w:t>the </w:t>
      </w:r>
      <w:r>
        <w:rPr>
          <w:sz w:val="24"/>
        </w:rPr>
        <w:t>period of unsustainable growth in the late 1980s. There was clear agreement that, with growth in Q3 continuing</w:t>
      </w:r>
      <w:r>
        <w:rPr>
          <w:spacing w:val="-9"/>
          <w:sz w:val="24"/>
        </w:rPr>
        <w:t> </w:t>
      </w:r>
      <w:r>
        <w:rPr>
          <w:sz w:val="24"/>
        </w:rPr>
        <w:t>well</w:t>
      </w:r>
      <w:r>
        <w:rPr>
          <w:spacing w:val="-9"/>
          <w:sz w:val="24"/>
        </w:rPr>
        <w:t> </w:t>
      </w:r>
      <w:r>
        <w:rPr>
          <w:sz w:val="24"/>
        </w:rPr>
        <w:t>above</w:t>
      </w:r>
      <w:r>
        <w:rPr>
          <w:spacing w:val="-8"/>
          <w:sz w:val="24"/>
        </w:rPr>
        <w:t> </w:t>
      </w:r>
      <w:r>
        <w:rPr>
          <w:sz w:val="24"/>
        </w:rPr>
        <w:t>any</w:t>
      </w:r>
      <w:r>
        <w:rPr>
          <w:spacing w:val="-9"/>
          <w:sz w:val="24"/>
        </w:rPr>
        <w:t> </w:t>
      </w:r>
      <w:r>
        <w:rPr>
          <w:sz w:val="24"/>
        </w:rPr>
        <w:t>plausible</w:t>
      </w:r>
      <w:r>
        <w:rPr>
          <w:spacing w:val="-9"/>
          <w:sz w:val="24"/>
        </w:rPr>
        <w:t> </w:t>
      </w:r>
      <w:r>
        <w:rPr>
          <w:sz w:val="24"/>
        </w:rPr>
        <w:t>estimate</w:t>
      </w:r>
      <w:r>
        <w:rPr>
          <w:spacing w:val="-8"/>
          <w:sz w:val="24"/>
        </w:rPr>
        <w:t> </w:t>
      </w:r>
      <w:r>
        <w:rPr>
          <w:sz w:val="24"/>
        </w:rPr>
        <w:t>of</w:t>
      </w:r>
      <w:r>
        <w:rPr>
          <w:spacing w:val="-9"/>
          <w:sz w:val="24"/>
        </w:rPr>
        <w:t> </w:t>
      </w:r>
      <w:r>
        <w:rPr>
          <w:sz w:val="24"/>
        </w:rPr>
        <w:t>trend,</w:t>
      </w:r>
      <w:r>
        <w:rPr>
          <w:spacing w:val="-8"/>
          <w:sz w:val="24"/>
        </w:rPr>
        <w:t> </w:t>
      </w:r>
      <w:r>
        <w:rPr>
          <w:sz w:val="24"/>
        </w:rPr>
        <w:t>the</w:t>
      </w:r>
      <w:r>
        <w:rPr>
          <w:spacing w:val="-9"/>
          <w:sz w:val="24"/>
        </w:rPr>
        <w:t> </w:t>
      </w:r>
      <w:r>
        <w:rPr>
          <w:sz w:val="24"/>
        </w:rPr>
        <w:t>degree</w:t>
      </w:r>
      <w:r>
        <w:rPr>
          <w:spacing w:val="-9"/>
          <w:sz w:val="24"/>
        </w:rPr>
        <w:t> </w:t>
      </w:r>
      <w:r>
        <w:rPr>
          <w:sz w:val="24"/>
        </w:rPr>
        <w:t>of</w:t>
      </w:r>
      <w:r>
        <w:rPr>
          <w:spacing w:val="-8"/>
          <w:sz w:val="24"/>
        </w:rPr>
        <w:t> </w:t>
      </w:r>
      <w:r>
        <w:rPr>
          <w:sz w:val="24"/>
        </w:rPr>
        <w:t>slack</w:t>
      </w:r>
      <w:r>
        <w:rPr>
          <w:spacing w:val="-9"/>
          <w:sz w:val="24"/>
        </w:rPr>
        <w:t> </w:t>
      </w:r>
      <w:r>
        <w:rPr>
          <w:sz w:val="24"/>
        </w:rPr>
        <w:t>was</w:t>
      </w:r>
      <w:r>
        <w:rPr>
          <w:spacing w:val="-9"/>
          <w:sz w:val="24"/>
        </w:rPr>
        <w:t> </w:t>
      </w:r>
      <w:r>
        <w:rPr>
          <w:sz w:val="24"/>
        </w:rPr>
        <w:t>lower</w:t>
      </w:r>
      <w:r>
        <w:rPr>
          <w:spacing w:val="-8"/>
          <w:sz w:val="24"/>
        </w:rPr>
        <w:t> </w:t>
      </w:r>
      <w:r>
        <w:rPr>
          <w:sz w:val="24"/>
        </w:rPr>
        <w:t>than</w:t>
      </w:r>
      <w:r>
        <w:rPr>
          <w:spacing w:val="-9"/>
          <w:sz w:val="24"/>
        </w:rPr>
        <w:t> </w:t>
      </w:r>
      <w:r>
        <w:rPr>
          <w:sz w:val="24"/>
        </w:rPr>
        <w:t>anticipated in August. But there could be no certainty about where output was in relation to</w:t>
      </w:r>
      <w:r>
        <w:rPr>
          <w:spacing w:val="-7"/>
          <w:sz w:val="24"/>
        </w:rPr>
        <w:t> </w:t>
      </w:r>
      <w:r>
        <w:rPr>
          <w:sz w:val="24"/>
        </w:rPr>
        <w:t>trend.</w:t>
      </w:r>
    </w:p>
    <w:p>
      <w:pPr>
        <w:pStyle w:val="BodyText"/>
        <w:spacing w:before="9"/>
        <w:rPr>
          <w:sz w:val="36"/>
        </w:rPr>
      </w:pPr>
    </w:p>
    <w:p>
      <w:pPr>
        <w:pStyle w:val="ListParagraph"/>
        <w:numPr>
          <w:ilvl w:val="0"/>
          <w:numId w:val="1"/>
        </w:numPr>
        <w:tabs>
          <w:tab w:pos="1102" w:val="left" w:leader="none"/>
          <w:tab w:pos="1103" w:val="left" w:leader="none"/>
        </w:tabs>
        <w:spacing w:line="372" w:lineRule="auto" w:before="0" w:after="0"/>
        <w:ind w:left="252" w:right="517" w:firstLine="0"/>
        <w:jc w:val="left"/>
        <w:rPr>
          <w:sz w:val="24"/>
        </w:rPr>
      </w:pPr>
      <w:r>
        <w:rPr>
          <w:sz w:val="24"/>
        </w:rPr>
        <w:t>There</w:t>
      </w:r>
      <w:r>
        <w:rPr>
          <w:spacing w:val="-10"/>
          <w:sz w:val="24"/>
        </w:rPr>
        <w:t> </w:t>
      </w:r>
      <w:r>
        <w:rPr>
          <w:sz w:val="24"/>
        </w:rPr>
        <w:t>was</w:t>
      </w:r>
      <w:r>
        <w:rPr>
          <w:spacing w:val="-9"/>
          <w:sz w:val="24"/>
        </w:rPr>
        <w:t> </w:t>
      </w:r>
      <w:r>
        <w:rPr>
          <w:sz w:val="24"/>
        </w:rPr>
        <w:t>some</w:t>
      </w:r>
      <w:r>
        <w:rPr>
          <w:spacing w:val="-9"/>
          <w:sz w:val="24"/>
        </w:rPr>
        <w:t> </w:t>
      </w:r>
      <w:r>
        <w:rPr>
          <w:sz w:val="24"/>
        </w:rPr>
        <w:t>evidence</w:t>
      </w:r>
      <w:r>
        <w:rPr>
          <w:spacing w:val="-9"/>
          <w:sz w:val="24"/>
        </w:rPr>
        <w:t> </w:t>
      </w:r>
      <w:r>
        <w:rPr>
          <w:sz w:val="24"/>
        </w:rPr>
        <w:t>that</w:t>
      </w:r>
      <w:r>
        <w:rPr>
          <w:spacing w:val="-9"/>
          <w:sz w:val="24"/>
        </w:rPr>
        <w:t> </w:t>
      </w:r>
      <w:r>
        <w:rPr>
          <w:sz w:val="24"/>
        </w:rPr>
        <w:t>pressures</w:t>
      </w:r>
      <w:r>
        <w:rPr>
          <w:spacing w:val="-9"/>
          <w:sz w:val="24"/>
        </w:rPr>
        <w:t> </w:t>
      </w:r>
      <w:r>
        <w:rPr>
          <w:sz w:val="24"/>
        </w:rPr>
        <w:t>on</w:t>
      </w:r>
      <w:r>
        <w:rPr>
          <w:spacing w:val="-9"/>
          <w:sz w:val="24"/>
        </w:rPr>
        <w:t> </w:t>
      </w:r>
      <w:r>
        <w:rPr>
          <w:sz w:val="24"/>
        </w:rPr>
        <w:t>capacity</w:t>
      </w:r>
      <w:r>
        <w:rPr>
          <w:spacing w:val="-9"/>
          <w:sz w:val="24"/>
        </w:rPr>
        <w:t> </w:t>
      </w:r>
      <w:r>
        <w:rPr>
          <w:sz w:val="24"/>
        </w:rPr>
        <w:t>might</w:t>
      </w:r>
      <w:r>
        <w:rPr>
          <w:spacing w:val="-9"/>
          <w:sz w:val="24"/>
        </w:rPr>
        <w:t> </w:t>
      </w:r>
      <w:r>
        <w:rPr>
          <w:sz w:val="24"/>
        </w:rPr>
        <w:t>not</w:t>
      </w:r>
      <w:r>
        <w:rPr>
          <w:spacing w:val="-10"/>
          <w:sz w:val="24"/>
        </w:rPr>
        <w:t> </w:t>
      </w:r>
      <w:r>
        <w:rPr>
          <w:sz w:val="24"/>
        </w:rPr>
        <w:t>be</w:t>
      </w:r>
      <w:r>
        <w:rPr>
          <w:spacing w:val="-9"/>
          <w:sz w:val="24"/>
        </w:rPr>
        <w:t> </w:t>
      </w:r>
      <w:r>
        <w:rPr>
          <w:sz w:val="24"/>
        </w:rPr>
        <w:t>immediately</w:t>
      </w:r>
      <w:r>
        <w:rPr>
          <w:spacing w:val="-9"/>
          <w:sz w:val="24"/>
        </w:rPr>
        <w:t> </w:t>
      </w:r>
      <w:r>
        <w:rPr>
          <w:sz w:val="24"/>
        </w:rPr>
        <w:t>threatening and </w:t>
      </w:r>
      <w:r>
        <w:rPr>
          <w:spacing w:val="-3"/>
          <w:sz w:val="24"/>
        </w:rPr>
        <w:t>might </w:t>
      </w:r>
      <w:r>
        <w:rPr>
          <w:sz w:val="24"/>
        </w:rPr>
        <w:t>in </w:t>
      </w:r>
      <w:r>
        <w:rPr>
          <w:spacing w:val="-3"/>
          <w:sz w:val="24"/>
        </w:rPr>
        <w:t>fact </w:t>
      </w:r>
      <w:r>
        <w:rPr>
          <w:sz w:val="24"/>
        </w:rPr>
        <w:t>be </w:t>
      </w:r>
      <w:r>
        <w:rPr>
          <w:spacing w:val="-3"/>
          <w:sz w:val="24"/>
        </w:rPr>
        <w:t>declining. </w:t>
      </w:r>
      <w:r>
        <w:rPr>
          <w:sz w:val="24"/>
        </w:rPr>
        <w:t>The Q3 </w:t>
      </w:r>
      <w:r>
        <w:rPr>
          <w:spacing w:val="-3"/>
          <w:sz w:val="24"/>
        </w:rPr>
        <w:t>British Chamber </w:t>
      </w:r>
      <w:r>
        <w:rPr>
          <w:sz w:val="24"/>
        </w:rPr>
        <w:t>of </w:t>
      </w:r>
      <w:r>
        <w:rPr>
          <w:spacing w:val="-3"/>
          <w:sz w:val="24"/>
        </w:rPr>
        <w:t>Commerce (BCC) survey suggested that </w:t>
      </w:r>
      <w:r>
        <w:rPr>
          <w:sz w:val="24"/>
        </w:rPr>
        <w:t>the number of manufacturing firms operating at full capacity was, at 30%, around the long </w:t>
      </w:r>
      <w:r>
        <w:rPr>
          <w:spacing w:val="-2"/>
          <w:sz w:val="24"/>
        </w:rPr>
        <w:t>run </w:t>
      </w:r>
      <w:r>
        <w:rPr>
          <w:spacing w:val="-3"/>
          <w:sz w:val="24"/>
        </w:rPr>
        <w:t>average; </w:t>
      </w:r>
      <w:r>
        <w:rPr>
          <w:sz w:val="24"/>
        </w:rPr>
        <w:t>and </w:t>
      </w:r>
      <w:r>
        <w:rPr>
          <w:spacing w:val="-3"/>
          <w:sz w:val="24"/>
        </w:rPr>
        <w:t>recruitment intentions, while still positive, </w:t>
      </w:r>
      <w:r>
        <w:rPr>
          <w:sz w:val="24"/>
        </w:rPr>
        <w:t>had </w:t>
      </w:r>
      <w:r>
        <w:rPr>
          <w:spacing w:val="-3"/>
          <w:sz w:val="24"/>
        </w:rPr>
        <w:t>fallen since </w:t>
      </w:r>
      <w:r>
        <w:rPr>
          <w:sz w:val="24"/>
        </w:rPr>
        <w:t>Q2. The </w:t>
      </w:r>
      <w:r>
        <w:rPr>
          <w:spacing w:val="-3"/>
          <w:sz w:val="24"/>
        </w:rPr>
        <w:t>number </w:t>
      </w:r>
      <w:r>
        <w:rPr>
          <w:sz w:val="24"/>
        </w:rPr>
        <w:t>of </w:t>
      </w:r>
      <w:r>
        <w:rPr>
          <w:spacing w:val="-3"/>
          <w:sz w:val="24"/>
        </w:rPr>
        <w:t>service </w:t>
      </w:r>
      <w:r>
        <w:rPr>
          <w:sz w:val="24"/>
        </w:rPr>
        <w:t>sector firms at full capacity remained above the long run average but had declined from the 1996 peak. It was suggested that pressures in the service sector were easing as extra capacity came on </w:t>
      </w:r>
      <w:r>
        <w:rPr>
          <w:spacing w:val="-3"/>
          <w:sz w:val="24"/>
        </w:rPr>
        <w:t>stream; </w:t>
      </w:r>
      <w:r>
        <w:rPr>
          <w:sz w:val="24"/>
        </w:rPr>
        <w:t>the BCC </w:t>
      </w:r>
      <w:r>
        <w:rPr>
          <w:spacing w:val="-3"/>
          <w:sz w:val="24"/>
        </w:rPr>
        <w:t>survey balance </w:t>
      </w:r>
      <w:r>
        <w:rPr>
          <w:sz w:val="24"/>
        </w:rPr>
        <w:t>of </w:t>
      </w:r>
      <w:r>
        <w:rPr>
          <w:spacing w:val="-3"/>
          <w:sz w:val="24"/>
        </w:rPr>
        <w:t>service sector firms investing </w:t>
      </w:r>
      <w:r>
        <w:rPr>
          <w:sz w:val="24"/>
        </w:rPr>
        <w:t>in </w:t>
      </w:r>
      <w:r>
        <w:rPr>
          <w:spacing w:val="-3"/>
          <w:sz w:val="24"/>
        </w:rPr>
        <w:t>plant </w:t>
      </w:r>
      <w:r>
        <w:rPr>
          <w:sz w:val="24"/>
        </w:rPr>
        <w:t>and </w:t>
      </w:r>
      <w:r>
        <w:rPr>
          <w:spacing w:val="-3"/>
          <w:sz w:val="24"/>
        </w:rPr>
        <w:t>machinery </w:t>
      </w:r>
      <w:r>
        <w:rPr>
          <w:sz w:val="24"/>
        </w:rPr>
        <w:t>was </w:t>
      </w:r>
      <w:r>
        <w:rPr>
          <w:spacing w:val="-3"/>
          <w:sz w:val="24"/>
        </w:rPr>
        <w:t>higher </w:t>
      </w:r>
      <w:r>
        <w:rPr>
          <w:sz w:val="24"/>
        </w:rPr>
        <w:t>than at any point since the survey began in 1989. Firms were also reporting increased levels of </w:t>
      </w:r>
      <w:r>
        <w:rPr>
          <w:spacing w:val="-3"/>
          <w:sz w:val="24"/>
        </w:rPr>
        <w:t>training.</w:t>
      </w:r>
    </w:p>
    <w:p>
      <w:pPr>
        <w:pStyle w:val="BodyText"/>
        <w:spacing w:before="8"/>
        <w:rPr>
          <w:sz w:val="36"/>
        </w:rPr>
      </w:pPr>
    </w:p>
    <w:p>
      <w:pPr>
        <w:pStyle w:val="ListParagraph"/>
        <w:numPr>
          <w:ilvl w:val="0"/>
          <w:numId w:val="1"/>
        </w:numPr>
        <w:tabs>
          <w:tab w:pos="1102" w:val="left" w:leader="none"/>
          <w:tab w:pos="1103" w:val="left" w:leader="none"/>
        </w:tabs>
        <w:spacing w:line="372" w:lineRule="auto" w:before="0" w:after="0"/>
        <w:ind w:left="252" w:right="287" w:firstLine="0"/>
        <w:jc w:val="left"/>
        <w:rPr>
          <w:sz w:val="24"/>
        </w:rPr>
      </w:pPr>
      <w:r>
        <w:rPr>
          <w:sz w:val="24"/>
        </w:rPr>
        <w:t>But there was also opposing evidence. The BCC survey recorded a balance of nearly 70%</w:t>
      </w:r>
      <w:r>
        <w:rPr>
          <w:spacing w:val="-40"/>
          <w:sz w:val="24"/>
        </w:rPr>
        <w:t> </w:t>
      </w:r>
      <w:r>
        <w:rPr>
          <w:sz w:val="24"/>
        </w:rPr>
        <w:t>of </w:t>
      </w:r>
      <w:r>
        <w:rPr>
          <w:spacing w:val="-3"/>
          <w:sz w:val="24"/>
        </w:rPr>
        <w:t>manufacturing firms experiencing recruitment difficulties, compared with </w:t>
      </w:r>
      <w:r>
        <w:rPr>
          <w:sz w:val="24"/>
        </w:rPr>
        <w:t>a </w:t>
      </w:r>
      <w:r>
        <w:rPr>
          <w:spacing w:val="-3"/>
          <w:sz w:val="24"/>
        </w:rPr>
        <w:t>long </w:t>
      </w:r>
      <w:r>
        <w:rPr>
          <w:sz w:val="24"/>
        </w:rPr>
        <w:t>run </w:t>
      </w:r>
      <w:r>
        <w:rPr>
          <w:spacing w:val="-3"/>
          <w:sz w:val="24"/>
        </w:rPr>
        <w:t>average balance  </w:t>
      </w:r>
      <w:r>
        <w:rPr>
          <w:sz w:val="24"/>
        </w:rPr>
        <w:t>of around 50%; and a balance of over 60% of service sector firms in that position, compared with a long run average of around 45%. In the October CBI Industrial Trends survey, which gave a more recent reading than the Q3 BCC survey, the balance of manufacturing firms not working below capacity had recently risen sharply, to above 50%. Skilled labour shortages were reported as increasing in the manufacturing sector. The Bank’s regional Agents supported this picture for </w:t>
      </w:r>
      <w:r>
        <w:rPr>
          <w:spacing w:val="-2"/>
          <w:sz w:val="24"/>
        </w:rPr>
        <w:t>the </w:t>
      </w:r>
      <w:r>
        <w:rPr>
          <w:sz w:val="24"/>
        </w:rPr>
        <w:t>economy more widely and were warning of increased wage pressures in 1998. But it was suggested that the absence of any recent increases in economy wide earnings growth might point to sectoral </w:t>
      </w:r>
      <w:r>
        <w:rPr>
          <w:spacing w:val="-3"/>
          <w:sz w:val="24"/>
        </w:rPr>
        <w:t>variations </w:t>
      </w:r>
      <w:r>
        <w:rPr>
          <w:sz w:val="24"/>
        </w:rPr>
        <w:t>in </w:t>
      </w:r>
      <w:r>
        <w:rPr>
          <w:spacing w:val="-3"/>
          <w:sz w:val="24"/>
        </w:rPr>
        <w:t>labour market tightening; </w:t>
      </w:r>
      <w:r>
        <w:rPr>
          <w:sz w:val="24"/>
        </w:rPr>
        <w:t>any </w:t>
      </w:r>
      <w:r>
        <w:rPr>
          <w:spacing w:val="-3"/>
          <w:sz w:val="24"/>
        </w:rPr>
        <w:t>premium having </w:t>
      </w:r>
      <w:r>
        <w:rPr>
          <w:sz w:val="24"/>
        </w:rPr>
        <w:t>to be </w:t>
      </w:r>
      <w:r>
        <w:rPr>
          <w:spacing w:val="-3"/>
          <w:sz w:val="24"/>
        </w:rPr>
        <w:t>paid </w:t>
      </w:r>
      <w:r>
        <w:rPr>
          <w:sz w:val="24"/>
        </w:rPr>
        <w:t>in </w:t>
      </w:r>
      <w:r>
        <w:rPr>
          <w:spacing w:val="-3"/>
          <w:sz w:val="24"/>
        </w:rPr>
        <w:t>especially tight sectors might </w:t>
      </w:r>
      <w:r>
        <w:rPr>
          <w:sz w:val="24"/>
        </w:rPr>
        <w:t>be being offset by lower earnings growth in other</w:t>
      </w:r>
      <w:r>
        <w:rPr>
          <w:spacing w:val="-1"/>
          <w:sz w:val="24"/>
        </w:rPr>
        <w:t> </w:t>
      </w:r>
      <w:r>
        <w:rPr>
          <w:sz w:val="24"/>
        </w:rPr>
        <w:t>sectors.</w:t>
      </w:r>
    </w:p>
    <w:p>
      <w:pPr>
        <w:pStyle w:val="BodyText"/>
        <w:spacing w:before="7"/>
        <w:rPr>
          <w:sz w:val="36"/>
        </w:rPr>
      </w:pPr>
    </w:p>
    <w:p>
      <w:pPr>
        <w:pStyle w:val="ListParagraph"/>
        <w:numPr>
          <w:ilvl w:val="0"/>
          <w:numId w:val="1"/>
        </w:numPr>
        <w:tabs>
          <w:tab w:pos="1102" w:val="left" w:leader="none"/>
          <w:tab w:pos="1103" w:val="left" w:leader="none"/>
        </w:tabs>
        <w:spacing w:line="372" w:lineRule="auto" w:before="0" w:after="0"/>
        <w:ind w:left="252" w:right="363" w:firstLine="0"/>
        <w:jc w:val="left"/>
        <w:rPr>
          <w:sz w:val="24"/>
        </w:rPr>
      </w:pPr>
      <w:r>
        <w:rPr>
          <w:sz w:val="24"/>
        </w:rPr>
        <w:t>There</w:t>
      </w:r>
      <w:r>
        <w:rPr>
          <w:spacing w:val="-5"/>
          <w:sz w:val="24"/>
        </w:rPr>
        <w:t> </w:t>
      </w:r>
      <w:r>
        <w:rPr>
          <w:sz w:val="24"/>
        </w:rPr>
        <w:t>was</w:t>
      </w:r>
      <w:r>
        <w:rPr>
          <w:spacing w:val="-4"/>
          <w:sz w:val="24"/>
        </w:rPr>
        <w:t> </w:t>
      </w:r>
      <w:r>
        <w:rPr>
          <w:sz w:val="24"/>
        </w:rPr>
        <w:t>agreement</w:t>
      </w:r>
      <w:r>
        <w:rPr>
          <w:spacing w:val="-4"/>
          <w:sz w:val="24"/>
        </w:rPr>
        <w:t> </w:t>
      </w:r>
      <w:r>
        <w:rPr>
          <w:sz w:val="24"/>
        </w:rPr>
        <w:t>that</w:t>
      </w:r>
      <w:r>
        <w:rPr>
          <w:spacing w:val="-5"/>
          <w:sz w:val="24"/>
        </w:rPr>
        <w:t> </w:t>
      </w:r>
      <w:r>
        <w:rPr>
          <w:sz w:val="24"/>
        </w:rPr>
        <w:t>the</w:t>
      </w:r>
      <w:r>
        <w:rPr>
          <w:spacing w:val="-4"/>
          <w:sz w:val="24"/>
        </w:rPr>
        <w:t> </w:t>
      </w:r>
      <w:r>
        <w:rPr>
          <w:sz w:val="24"/>
        </w:rPr>
        <w:t>important</w:t>
      </w:r>
      <w:r>
        <w:rPr>
          <w:spacing w:val="-4"/>
          <w:sz w:val="24"/>
        </w:rPr>
        <w:t> </w:t>
      </w:r>
      <w:r>
        <w:rPr>
          <w:sz w:val="24"/>
        </w:rPr>
        <w:t>question</w:t>
      </w:r>
      <w:r>
        <w:rPr>
          <w:spacing w:val="-5"/>
          <w:sz w:val="24"/>
        </w:rPr>
        <w:t> </w:t>
      </w:r>
      <w:r>
        <w:rPr>
          <w:sz w:val="24"/>
        </w:rPr>
        <w:t>was</w:t>
      </w:r>
      <w:r>
        <w:rPr>
          <w:spacing w:val="-4"/>
          <w:sz w:val="24"/>
        </w:rPr>
        <w:t> </w:t>
      </w:r>
      <w:r>
        <w:rPr>
          <w:sz w:val="24"/>
        </w:rPr>
        <w:t>at</w:t>
      </w:r>
      <w:r>
        <w:rPr>
          <w:spacing w:val="-4"/>
          <w:sz w:val="24"/>
        </w:rPr>
        <w:t> </w:t>
      </w:r>
      <w:r>
        <w:rPr>
          <w:sz w:val="24"/>
        </w:rPr>
        <w:t>which</w:t>
      </w:r>
      <w:r>
        <w:rPr>
          <w:spacing w:val="-5"/>
          <w:sz w:val="24"/>
        </w:rPr>
        <w:t> </w:t>
      </w:r>
      <w:r>
        <w:rPr>
          <w:sz w:val="24"/>
        </w:rPr>
        <w:t>point</w:t>
      </w:r>
      <w:r>
        <w:rPr>
          <w:spacing w:val="-4"/>
          <w:sz w:val="24"/>
        </w:rPr>
        <w:t> </w:t>
      </w:r>
      <w:r>
        <w:rPr>
          <w:sz w:val="24"/>
        </w:rPr>
        <w:t>the</w:t>
      </w:r>
      <w:r>
        <w:rPr>
          <w:spacing w:val="-4"/>
          <w:sz w:val="24"/>
        </w:rPr>
        <w:t> </w:t>
      </w:r>
      <w:r>
        <w:rPr>
          <w:sz w:val="24"/>
        </w:rPr>
        <w:t>pressure</w:t>
      </w:r>
      <w:r>
        <w:rPr>
          <w:spacing w:val="-5"/>
          <w:sz w:val="24"/>
        </w:rPr>
        <w:t> </w:t>
      </w:r>
      <w:r>
        <w:rPr>
          <w:sz w:val="24"/>
        </w:rPr>
        <w:t>of</w:t>
      </w:r>
      <w:r>
        <w:rPr>
          <w:spacing w:val="-4"/>
          <w:sz w:val="24"/>
        </w:rPr>
        <w:t> </w:t>
      </w:r>
      <w:r>
        <w:rPr>
          <w:spacing w:val="-2"/>
          <w:sz w:val="24"/>
        </w:rPr>
        <w:t>demand </w:t>
      </w:r>
      <w:r>
        <w:rPr>
          <w:sz w:val="24"/>
        </w:rPr>
        <w:t>on </w:t>
      </w:r>
      <w:r>
        <w:rPr>
          <w:spacing w:val="-3"/>
          <w:sz w:val="24"/>
        </w:rPr>
        <w:t>supply would feed into higher inflation </w:t>
      </w:r>
      <w:r>
        <w:rPr>
          <w:sz w:val="24"/>
        </w:rPr>
        <w:t>and </w:t>
      </w:r>
      <w:r>
        <w:rPr>
          <w:spacing w:val="-3"/>
          <w:sz w:val="24"/>
        </w:rPr>
        <w:t>inflation expectations. </w:t>
      </w:r>
      <w:r>
        <w:rPr>
          <w:sz w:val="24"/>
        </w:rPr>
        <w:t>In an </w:t>
      </w:r>
      <w:r>
        <w:rPr>
          <w:spacing w:val="-3"/>
          <w:sz w:val="24"/>
        </w:rPr>
        <w:t>arithmetic sense,</w:t>
      </w:r>
      <w:r>
        <w:rPr>
          <w:spacing w:val="45"/>
          <w:sz w:val="24"/>
        </w:rPr>
        <w:t> </w:t>
      </w:r>
      <w:r>
        <w:rPr>
          <w:spacing w:val="-3"/>
          <w:sz w:val="24"/>
        </w:rPr>
        <w:t>earnings</w:t>
      </w:r>
    </w:p>
    <w:p>
      <w:pPr>
        <w:spacing w:after="0" w:line="372" w:lineRule="auto"/>
        <w:jc w:val="left"/>
        <w:rPr>
          <w:sz w:val="24"/>
        </w:rPr>
        <w:sectPr>
          <w:pgSz w:w="11900" w:h="16840"/>
          <w:pgMar w:header="863" w:footer="0" w:top="1340" w:bottom="280" w:left="880" w:right="740"/>
        </w:sectPr>
      </w:pPr>
    </w:p>
    <w:p>
      <w:pPr>
        <w:pStyle w:val="BodyText"/>
        <w:spacing w:before="8"/>
        <w:rPr>
          <w:sz w:val="23"/>
        </w:rPr>
      </w:pPr>
    </w:p>
    <w:p>
      <w:pPr>
        <w:pStyle w:val="BodyText"/>
        <w:spacing w:line="372" w:lineRule="auto" w:before="90"/>
        <w:ind w:left="252" w:right="402"/>
      </w:pPr>
      <w:r>
        <w:rPr/>
        <w:t>growth</w:t>
      </w:r>
      <w:r>
        <w:rPr>
          <w:spacing w:val="-7"/>
        </w:rPr>
        <w:t> </w:t>
      </w:r>
      <w:r>
        <w:rPr/>
        <w:t>of</w:t>
      </w:r>
      <w:r>
        <w:rPr>
          <w:spacing w:val="-6"/>
        </w:rPr>
        <w:t> </w:t>
      </w:r>
      <w:r>
        <w:rPr/>
        <w:t>around</w:t>
      </w:r>
      <w:r>
        <w:rPr>
          <w:spacing w:val="-6"/>
        </w:rPr>
        <w:t> </w:t>
      </w:r>
      <w:r>
        <w:rPr/>
        <w:t>4</w:t>
      </w:r>
      <w:r>
        <w:rPr>
          <w:spacing w:val="-6"/>
        </w:rPr>
        <w:t> </w:t>
      </w:r>
      <w:r>
        <w:rPr/>
        <w:t>1/4-4</w:t>
      </w:r>
      <w:r>
        <w:rPr>
          <w:spacing w:val="-6"/>
        </w:rPr>
        <w:t> </w:t>
      </w:r>
      <w:r>
        <w:rPr/>
        <w:t>1/2%</w:t>
      </w:r>
      <w:r>
        <w:rPr>
          <w:spacing w:val="-6"/>
        </w:rPr>
        <w:t> </w:t>
      </w:r>
      <w:r>
        <w:rPr/>
        <w:t>could</w:t>
      </w:r>
      <w:r>
        <w:rPr>
          <w:spacing w:val="-7"/>
        </w:rPr>
        <w:t> </w:t>
      </w:r>
      <w:r>
        <w:rPr/>
        <w:t>be</w:t>
      </w:r>
      <w:r>
        <w:rPr>
          <w:spacing w:val="-6"/>
        </w:rPr>
        <w:t> </w:t>
      </w:r>
      <w:r>
        <w:rPr/>
        <w:t>regarded</w:t>
      </w:r>
      <w:r>
        <w:rPr>
          <w:spacing w:val="-6"/>
        </w:rPr>
        <w:t> </w:t>
      </w:r>
      <w:r>
        <w:rPr/>
        <w:t>as</w:t>
      </w:r>
      <w:r>
        <w:rPr>
          <w:spacing w:val="-6"/>
        </w:rPr>
        <w:t> </w:t>
      </w:r>
      <w:r>
        <w:rPr/>
        <w:t>either</w:t>
      </w:r>
      <w:r>
        <w:rPr>
          <w:spacing w:val="-6"/>
        </w:rPr>
        <w:t> </w:t>
      </w:r>
      <w:r>
        <w:rPr/>
        <w:t>the</w:t>
      </w:r>
      <w:r>
        <w:rPr>
          <w:spacing w:val="-6"/>
        </w:rPr>
        <w:t> </w:t>
      </w:r>
      <w:r>
        <w:rPr/>
        <w:t>maximum</w:t>
      </w:r>
      <w:r>
        <w:rPr>
          <w:spacing w:val="-7"/>
        </w:rPr>
        <w:t> </w:t>
      </w:r>
      <w:r>
        <w:rPr/>
        <w:t>or</w:t>
      </w:r>
      <w:r>
        <w:rPr>
          <w:spacing w:val="-6"/>
        </w:rPr>
        <w:t> </w:t>
      </w:r>
      <w:r>
        <w:rPr/>
        <w:t>the</w:t>
      </w:r>
      <w:r>
        <w:rPr>
          <w:spacing w:val="-6"/>
        </w:rPr>
        <w:t> </w:t>
      </w:r>
      <w:r>
        <w:rPr/>
        <w:t>minimum</w:t>
      </w:r>
      <w:r>
        <w:rPr>
          <w:spacing w:val="-6"/>
        </w:rPr>
        <w:t> </w:t>
      </w:r>
      <w:r>
        <w:rPr/>
        <w:t>consistent with the 2 1/2% inflation target given trend productivity growth of around 2% a year. It could be </w:t>
      </w:r>
      <w:r>
        <w:rPr>
          <w:spacing w:val="-3"/>
        </w:rPr>
        <w:t>argued that, </w:t>
      </w:r>
      <w:r>
        <w:rPr/>
        <w:t>at the </w:t>
      </w:r>
      <w:r>
        <w:rPr>
          <w:spacing w:val="-3"/>
        </w:rPr>
        <w:t>current juncture falling unemployment </w:t>
      </w:r>
      <w:r>
        <w:rPr/>
        <w:t>and </w:t>
      </w:r>
      <w:r>
        <w:rPr>
          <w:spacing w:val="-3"/>
        </w:rPr>
        <w:t>rising employment should </w:t>
      </w:r>
      <w:r>
        <w:rPr/>
        <w:t>be </w:t>
      </w:r>
      <w:r>
        <w:rPr>
          <w:spacing w:val="-3"/>
        </w:rPr>
        <w:t>viewed as </w:t>
      </w:r>
      <w:r>
        <w:rPr/>
        <w:t>a </w:t>
      </w:r>
      <w:r>
        <w:rPr>
          <w:spacing w:val="-3"/>
        </w:rPr>
        <w:t>clear warning sign; earnings growth </w:t>
      </w:r>
      <w:r>
        <w:rPr/>
        <w:t>was </w:t>
      </w:r>
      <w:r>
        <w:rPr>
          <w:spacing w:val="-3"/>
        </w:rPr>
        <w:t>much more likely </w:t>
      </w:r>
      <w:r>
        <w:rPr/>
        <w:t>to </w:t>
      </w:r>
      <w:r>
        <w:rPr>
          <w:spacing w:val="-3"/>
        </w:rPr>
        <w:t>rise </w:t>
      </w:r>
      <w:r>
        <w:rPr/>
        <w:t>and </w:t>
      </w:r>
      <w:r>
        <w:rPr>
          <w:spacing w:val="-3"/>
        </w:rPr>
        <w:t>feed into higher retail price </w:t>
      </w:r>
      <w:r>
        <w:rPr/>
        <w:t>increases. Alternatively the last step of this argument might not be axiomatic. Some US commentators were saying that even if wages accelerated, prices need not follow in line, but instead </w:t>
      </w:r>
      <w:r>
        <w:rPr>
          <w:spacing w:val="-3"/>
        </w:rPr>
        <w:t>profit margins could fall </w:t>
      </w:r>
      <w:r>
        <w:rPr/>
        <w:t>for a </w:t>
      </w:r>
      <w:r>
        <w:rPr>
          <w:spacing w:val="-3"/>
        </w:rPr>
        <w:t>time. That might also happen </w:t>
      </w:r>
      <w:r>
        <w:rPr/>
        <w:t>in the</w:t>
      </w:r>
      <w:r>
        <w:rPr>
          <w:spacing w:val="34"/>
        </w:rPr>
        <w:t> </w:t>
      </w:r>
      <w:r>
        <w:rPr>
          <w:spacing w:val="-3"/>
        </w:rPr>
        <w:t>UK.</w:t>
      </w:r>
    </w:p>
    <w:p>
      <w:pPr>
        <w:pStyle w:val="BodyText"/>
        <w:spacing w:before="9"/>
        <w:rPr>
          <w:sz w:val="36"/>
        </w:rPr>
      </w:pPr>
    </w:p>
    <w:p>
      <w:pPr>
        <w:pStyle w:val="ListParagraph"/>
        <w:numPr>
          <w:ilvl w:val="0"/>
          <w:numId w:val="1"/>
        </w:numPr>
        <w:tabs>
          <w:tab w:pos="1102" w:val="left" w:leader="none"/>
          <w:tab w:pos="1103" w:val="left" w:leader="none"/>
        </w:tabs>
        <w:spacing w:line="372" w:lineRule="auto" w:before="0" w:after="0"/>
        <w:ind w:left="252" w:right="339" w:firstLine="0"/>
        <w:jc w:val="left"/>
        <w:rPr>
          <w:sz w:val="24"/>
        </w:rPr>
      </w:pPr>
      <w:r>
        <w:rPr>
          <w:sz w:val="24"/>
        </w:rPr>
        <w:t>The assessment turned on whether there had been a material reduction in the natural rate of unemployment - the rate consistent with stable inflation. It was possible that the natural rate </w:t>
      </w:r>
      <w:r>
        <w:rPr>
          <w:spacing w:val="-2"/>
          <w:sz w:val="24"/>
        </w:rPr>
        <w:t>had </w:t>
      </w:r>
      <w:r>
        <w:rPr>
          <w:sz w:val="24"/>
        </w:rPr>
        <w:t>fallen</w:t>
      </w:r>
      <w:r>
        <w:rPr>
          <w:spacing w:val="-9"/>
          <w:sz w:val="24"/>
        </w:rPr>
        <w:t> </w:t>
      </w:r>
      <w:r>
        <w:rPr>
          <w:sz w:val="24"/>
        </w:rPr>
        <w:t>not</w:t>
      </w:r>
      <w:r>
        <w:rPr>
          <w:spacing w:val="-8"/>
          <w:sz w:val="24"/>
        </w:rPr>
        <w:t> </w:t>
      </w:r>
      <w:r>
        <w:rPr>
          <w:sz w:val="24"/>
        </w:rPr>
        <w:t>only</w:t>
      </w:r>
      <w:r>
        <w:rPr>
          <w:spacing w:val="-8"/>
          <w:sz w:val="24"/>
        </w:rPr>
        <w:t> </w:t>
      </w:r>
      <w:r>
        <w:rPr>
          <w:sz w:val="24"/>
        </w:rPr>
        <w:t>during</w:t>
      </w:r>
      <w:r>
        <w:rPr>
          <w:spacing w:val="-8"/>
          <w:sz w:val="24"/>
        </w:rPr>
        <w:t> </w:t>
      </w:r>
      <w:r>
        <w:rPr>
          <w:sz w:val="24"/>
        </w:rPr>
        <w:t>the</w:t>
      </w:r>
      <w:r>
        <w:rPr>
          <w:spacing w:val="-8"/>
          <w:sz w:val="24"/>
        </w:rPr>
        <w:t> </w:t>
      </w:r>
      <w:r>
        <w:rPr>
          <w:sz w:val="24"/>
        </w:rPr>
        <w:t>1980s</w:t>
      </w:r>
      <w:r>
        <w:rPr>
          <w:spacing w:val="-8"/>
          <w:sz w:val="24"/>
        </w:rPr>
        <w:t> </w:t>
      </w:r>
      <w:r>
        <w:rPr>
          <w:sz w:val="24"/>
        </w:rPr>
        <w:t>but</w:t>
      </w:r>
      <w:r>
        <w:rPr>
          <w:spacing w:val="-8"/>
          <w:sz w:val="24"/>
        </w:rPr>
        <w:t> </w:t>
      </w:r>
      <w:r>
        <w:rPr>
          <w:sz w:val="24"/>
        </w:rPr>
        <w:t>also</w:t>
      </w:r>
      <w:r>
        <w:rPr>
          <w:spacing w:val="-8"/>
          <w:sz w:val="24"/>
        </w:rPr>
        <w:t> </w:t>
      </w:r>
      <w:r>
        <w:rPr>
          <w:sz w:val="24"/>
        </w:rPr>
        <w:t>again,</w:t>
      </w:r>
      <w:r>
        <w:rPr>
          <w:spacing w:val="-8"/>
          <w:sz w:val="24"/>
        </w:rPr>
        <w:t> </w:t>
      </w:r>
      <w:r>
        <w:rPr>
          <w:sz w:val="24"/>
        </w:rPr>
        <w:t>materially,</w:t>
      </w:r>
      <w:r>
        <w:rPr>
          <w:spacing w:val="46"/>
          <w:sz w:val="24"/>
        </w:rPr>
        <w:t> </w:t>
      </w:r>
      <w:r>
        <w:rPr>
          <w:sz w:val="24"/>
        </w:rPr>
        <w:t>during</w:t>
      </w:r>
      <w:r>
        <w:rPr>
          <w:spacing w:val="-8"/>
          <w:sz w:val="24"/>
        </w:rPr>
        <w:t> </w:t>
      </w:r>
      <w:r>
        <w:rPr>
          <w:sz w:val="24"/>
        </w:rPr>
        <w:t>the</w:t>
      </w:r>
      <w:r>
        <w:rPr>
          <w:spacing w:val="-8"/>
          <w:sz w:val="24"/>
        </w:rPr>
        <w:t> </w:t>
      </w:r>
      <w:r>
        <w:rPr>
          <w:sz w:val="24"/>
        </w:rPr>
        <w:t>1990s</w:t>
      </w:r>
      <w:r>
        <w:rPr>
          <w:spacing w:val="-8"/>
          <w:sz w:val="24"/>
        </w:rPr>
        <w:t> </w:t>
      </w:r>
      <w:r>
        <w:rPr>
          <w:sz w:val="24"/>
        </w:rPr>
        <w:t>on</w:t>
      </w:r>
      <w:r>
        <w:rPr>
          <w:spacing w:val="-8"/>
          <w:sz w:val="24"/>
        </w:rPr>
        <w:t> </w:t>
      </w:r>
      <w:r>
        <w:rPr>
          <w:sz w:val="24"/>
        </w:rPr>
        <w:t>account</w:t>
      </w:r>
      <w:r>
        <w:rPr>
          <w:spacing w:val="-8"/>
          <w:sz w:val="24"/>
        </w:rPr>
        <w:t> </w:t>
      </w:r>
      <w:r>
        <w:rPr>
          <w:sz w:val="24"/>
        </w:rPr>
        <w:t>of</w:t>
      </w:r>
      <w:r>
        <w:rPr>
          <w:spacing w:val="-9"/>
          <w:sz w:val="24"/>
        </w:rPr>
        <w:t> </w:t>
      </w:r>
      <w:r>
        <w:rPr>
          <w:sz w:val="24"/>
        </w:rPr>
        <w:t>continuing labour market reforms, such as the introduction of the Job Seekers Allowance. On the other hand, it was possible that the natural rate had fallen but that unemployment was nevertheless now close to or at the natural rate. There was agreement that there was enormous uncertainty about the natural rate and</w:t>
      </w:r>
      <w:r>
        <w:rPr>
          <w:spacing w:val="-8"/>
          <w:sz w:val="24"/>
        </w:rPr>
        <w:t> </w:t>
      </w:r>
      <w:r>
        <w:rPr>
          <w:sz w:val="24"/>
        </w:rPr>
        <w:t>also,</w:t>
      </w:r>
      <w:r>
        <w:rPr>
          <w:spacing w:val="-8"/>
          <w:sz w:val="24"/>
        </w:rPr>
        <w:t> </w:t>
      </w:r>
      <w:r>
        <w:rPr>
          <w:sz w:val="24"/>
        </w:rPr>
        <w:t>as</w:t>
      </w:r>
      <w:r>
        <w:rPr>
          <w:spacing w:val="-8"/>
          <w:sz w:val="24"/>
        </w:rPr>
        <w:t> </w:t>
      </w:r>
      <w:r>
        <w:rPr>
          <w:sz w:val="24"/>
        </w:rPr>
        <w:t>discussed</w:t>
      </w:r>
      <w:r>
        <w:rPr>
          <w:spacing w:val="-8"/>
          <w:sz w:val="24"/>
        </w:rPr>
        <w:t> </w:t>
      </w:r>
      <w:r>
        <w:rPr>
          <w:sz w:val="24"/>
        </w:rPr>
        <w:t>at</w:t>
      </w:r>
      <w:r>
        <w:rPr>
          <w:spacing w:val="-8"/>
          <w:sz w:val="24"/>
        </w:rPr>
        <w:t> </w:t>
      </w:r>
      <w:r>
        <w:rPr>
          <w:sz w:val="24"/>
        </w:rPr>
        <w:t>the</w:t>
      </w:r>
      <w:r>
        <w:rPr>
          <w:spacing w:val="-8"/>
          <w:sz w:val="24"/>
        </w:rPr>
        <w:t> </w:t>
      </w:r>
      <w:r>
        <w:rPr>
          <w:sz w:val="24"/>
        </w:rPr>
        <w:t>October</w:t>
      </w:r>
      <w:r>
        <w:rPr>
          <w:spacing w:val="-7"/>
          <w:sz w:val="24"/>
        </w:rPr>
        <w:t> </w:t>
      </w:r>
      <w:r>
        <w:rPr>
          <w:sz w:val="24"/>
        </w:rPr>
        <w:t>meeting,</w:t>
      </w:r>
      <w:r>
        <w:rPr>
          <w:spacing w:val="-8"/>
          <w:sz w:val="24"/>
        </w:rPr>
        <w:t> </w:t>
      </w:r>
      <w:r>
        <w:rPr>
          <w:sz w:val="24"/>
        </w:rPr>
        <w:t>that</w:t>
      </w:r>
      <w:r>
        <w:rPr>
          <w:spacing w:val="-8"/>
          <w:sz w:val="24"/>
        </w:rPr>
        <w:t> </w:t>
      </w:r>
      <w:r>
        <w:rPr>
          <w:sz w:val="24"/>
        </w:rPr>
        <w:t>there</w:t>
      </w:r>
      <w:r>
        <w:rPr>
          <w:spacing w:val="-8"/>
          <w:sz w:val="24"/>
        </w:rPr>
        <w:t> </w:t>
      </w:r>
      <w:r>
        <w:rPr>
          <w:sz w:val="24"/>
        </w:rPr>
        <w:t>could</w:t>
      </w:r>
      <w:r>
        <w:rPr>
          <w:spacing w:val="-8"/>
          <w:sz w:val="24"/>
        </w:rPr>
        <w:t> </w:t>
      </w:r>
      <w:r>
        <w:rPr>
          <w:sz w:val="24"/>
        </w:rPr>
        <w:t>be</w:t>
      </w:r>
      <w:r>
        <w:rPr>
          <w:spacing w:val="-8"/>
          <w:sz w:val="24"/>
        </w:rPr>
        <w:t> </w:t>
      </w:r>
      <w:r>
        <w:rPr>
          <w:sz w:val="24"/>
        </w:rPr>
        <w:t>“speed</w:t>
      </w:r>
      <w:r>
        <w:rPr>
          <w:spacing w:val="-7"/>
          <w:sz w:val="24"/>
        </w:rPr>
        <w:t> </w:t>
      </w:r>
      <w:r>
        <w:rPr>
          <w:sz w:val="24"/>
        </w:rPr>
        <w:t>limit”</w:t>
      </w:r>
      <w:r>
        <w:rPr>
          <w:spacing w:val="-8"/>
          <w:sz w:val="24"/>
        </w:rPr>
        <w:t> </w:t>
      </w:r>
      <w:r>
        <w:rPr>
          <w:sz w:val="24"/>
        </w:rPr>
        <w:t>pressures</w:t>
      </w:r>
      <w:r>
        <w:rPr>
          <w:spacing w:val="-8"/>
          <w:sz w:val="24"/>
        </w:rPr>
        <w:t> </w:t>
      </w:r>
      <w:r>
        <w:rPr>
          <w:sz w:val="24"/>
        </w:rPr>
        <w:t>on</w:t>
      </w:r>
      <w:r>
        <w:rPr>
          <w:spacing w:val="-8"/>
          <w:sz w:val="24"/>
        </w:rPr>
        <w:t> </w:t>
      </w:r>
      <w:r>
        <w:rPr>
          <w:sz w:val="24"/>
        </w:rPr>
        <w:t>inflation as any </w:t>
      </w:r>
      <w:r>
        <w:rPr>
          <w:spacing w:val="-3"/>
          <w:sz w:val="24"/>
        </w:rPr>
        <w:t>remaining </w:t>
      </w:r>
      <w:r>
        <w:rPr>
          <w:sz w:val="24"/>
        </w:rPr>
        <w:t>gap</w:t>
      </w:r>
      <w:r>
        <w:rPr>
          <w:spacing w:val="-2"/>
          <w:sz w:val="24"/>
        </w:rPr>
        <w:t> </w:t>
      </w:r>
      <w:r>
        <w:rPr>
          <w:spacing w:val="-3"/>
          <w:sz w:val="24"/>
        </w:rPr>
        <w:t>closed.</w:t>
      </w:r>
    </w:p>
    <w:p>
      <w:pPr>
        <w:pStyle w:val="BodyText"/>
        <w:spacing w:before="8"/>
        <w:rPr>
          <w:sz w:val="36"/>
        </w:rPr>
      </w:pPr>
    </w:p>
    <w:p>
      <w:pPr>
        <w:pStyle w:val="ListParagraph"/>
        <w:numPr>
          <w:ilvl w:val="0"/>
          <w:numId w:val="1"/>
        </w:numPr>
        <w:tabs>
          <w:tab w:pos="1102" w:val="left" w:leader="none"/>
          <w:tab w:pos="1103" w:val="left" w:leader="none"/>
        </w:tabs>
        <w:spacing w:line="372" w:lineRule="auto" w:before="1" w:after="0"/>
        <w:ind w:left="252" w:right="431" w:firstLine="0"/>
        <w:jc w:val="left"/>
        <w:rPr>
          <w:sz w:val="24"/>
        </w:rPr>
      </w:pPr>
      <w:r>
        <w:rPr>
          <w:sz w:val="24"/>
        </w:rPr>
        <w:t>In</w:t>
      </w:r>
      <w:r>
        <w:rPr>
          <w:spacing w:val="-6"/>
          <w:sz w:val="24"/>
        </w:rPr>
        <w:t> </w:t>
      </w:r>
      <w:r>
        <w:rPr>
          <w:sz w:val="24"/>
        </w:rPr>
        <w:t>summary,</w:t>
      </w:r>
      <w:r>
        <w:rPr>
          <w:spacing w:val="-6"/>
          <w:sz w:val="24"/>
        </w:rPr>
        <w:t> </w:t>
      </w:r>
      <w:r>
        <w:rPr>
          <w:sz w:val="24"/>
        </w:rPr>
        <w:t>all</w:t>
      </w:r>
      <w:r>
        <w:rPr>
          <w:spacing w:val="-6"/>
          <w:sz w:val="24"/>
        </w:rPr>
        <w:t> </w:t>
      </w:r>
      <w:r>
        <w:rPr>
          <w:sz w:val="24"/>
        </w:rPr>
        <w:t>agreed</w:t>
      </w:r>
      <w:r>
        <w:rPr>
          <w:spacing w:val="-6"/>
          <w:sz w:val="24"/>
        </w:rPr>
        <w:t> </w:t>
      </w:r>
      <w:r>
        <w:rPr>
          <w:sz w:val="24"/>
        </w:rPr>
        <w:t>that</w:t>
      </w:r>
      <w:r>
        <w:rPr>
          <w:spacing w:val="-6"/>
          <w:sz w:val="24"/>
        </w:rPr>
        <w:t> </w:t>
      </w:r>
      <w:r>
        <w:rPr>
          <w:sz w:val="24"/>
        </w:rPr>
        <w:t>output</w:t>
      </w:r>
      <w:r>
        <w:rPr>
          <w:spacing w:val="-6"/>
          <w:sz w:val="24"/>
        </w:rPr>
        <w:t> </w:t>
      </w:r>
      <w:r>
        <w:rPr>
          <w:sz w:val="24"/>
        </w:rPr>
        <w:t>growth</w:t>
      </w:r>
      <w:r>
        <w:rPr>
          <w:spacing w:val="-6"/>
          <w:sz w:val="24"/>
        </w:rPr>
        <w:t> </w:t>
      </w:r>
      <w:r>
        <w:rPr>
          <w:sz w:val="24"/>
        </w:rPr>
        <w:t>was</w:t>
      </w:r>
      <w:r>
        <w:rPr>
          <w:spacing w:val="-6"/>
          <w:sz w:val="24"/>
        </w:rPr>
        <w:t> </w:t>
      </w:r>
      <w:r>
        <w:rPr>
          <w:sz w:val="24"/>
        </w:rPr>
        <w:t>still</w:t>
      </w:r>
      <w:r>
        <w:rPr>
          <w:spacing w:val="-6"/>
          <w:sz w:val="24"/>
        </w:rPr>
        <w:t> </w:t>
      </w:r>
      <w:r>
        <w:rPr>
          <w:sz w:val="24"/>
        </w:rPr>
        <w:t>well</w:t>
      </w:r>
      <w:r>
        <w:rPr>
          <w:spacing w:val="-6"/>
          <w:sz w:val="24"/>
        </w:rPr>
        <w:t> </w:t>
      </w:r>
      <w:r>
        <w:rPr>
          <w:sz w:val="24"/>
        </w:rPr>
        <w:t>above</w:t>
      </w:r>
      <w:r>
        <w:rPr>
          <w:spacing w:val="-6"/>
          <w:sz w:val="24"/>
        </w:rPr>
        <w:t> </w:t>
      </w:r>
      <w:r>
        <w:rPr>
          <w:sz w:val="24"/>
        </w:rPr>
        <w:t>trend,</w:t>
      </w:r>
      <w:r>
        <w:rPr>
          <w:spacing w:val="-6"/>
          <w:sz w:val="24"/>
        </w:rPr>
        <w:t> </w:t>
      </w:r>
      <w:r>
        <w:rPr>
          <w:sz w:val="24"/>
        </w:rPr>
        <w:t>that</w:t>
      </w:r>
      <w:r>
        <w:rPr>
          <w:spacing w:val="-6"/>
          <w:sz w:val="24"/>
        </w:rPr>
        <w:t> </w:t>
      </w:r>
      <w:r>
        <w:rPr>
          <w:sz w:val="24"/>
        </w:rPr>
        <w:t>the</w:t>
      </w:r>
      <w:r>
        <w:rPr>
          <w:spacing w:val="-6"/>
          <w:sz w:val="24"/>
        </w:rPr>
        <w:t> </w:t>
      </w:r>
      <w:r>
        <w:rPr>
          <w:sz w:val="24"/>
        </w:rPr>
        <w:t>labour</w:t>
      </w:r>
      <w:r>
        <w:rPr>
          <w:spacing w:val="-6"/>
          <w:sz w:val="24"/>
        </w:rPr>
        <w:t> </w:t>
      </w:r>
      <w:r>
        <w:rPr>
          <w:spacing w:val="-2"/>
          <w:sz w:val="24"/>
        </w:rPr>
        <w:t>market </w:t>
      </w:r>
      <w:r>
        <w:rPr>
          <w:sz w:val="24"/>
        </w:rPr>
        <w:t>continued to tighten, and that, if any slack remained, it was being “used up”</w:t>
      </w:r>
      <w:r>
        <w:rPr>
          <w:spacing w:val="-41"/>
          <w:sz w:val="24"/>
        </w:rPr>
        <w:t> </w:t>
      </w:r>
      <w:r>
        <w:rPr>
          <w:sz w:val="24"/>
        </w:rPr>
        <w:t>quickly.</w:t>
      </w:r>
    </w:p>
    <w:p>
      <w:pPr>
        <w:pStyle w:val="BodyText"/>
        <w:spacing w:before="5"/>
        <w:rPr>
          <w:sz w:val="37"/>
        </w:rPr>
      </w:pPr>
    </w:p>
    <w:p>
      <w:pPr>
        <w:pStyle w:val="Heading1"/>
      </w:pPr>
      <w:r>
        <w:rPr/>
        <w:t>Retail sales and retail margins</w:t>
      </w:r>
    </w:p>
    <w:p>
      <w:pPr>
        <w:pStyle w:val="BodyText"/>
        <w:rPr>
          <w:b/>
          <w:sz w:val="26"/>
        </w:rPr>
      </w:pPr>
    </w:p>
    <w:p>
      <w:pPr>
        <w:pStyle w:val="BodyText"/>
        <w:spacing w:before="10"/>
        <w:rPr>
          <w:b/>
          <w:sz w:val="23"/>
        </w:rPr>
      </w:pPr>
    </w:p>
    <w:p>
      <w:pPr>
        <w:pStyle w:val="ListParagraph"/>
        <w:numPr>
          <w:ilvl w:val="0"/>
          <w:numId w:val="1"/>
        </w:numPr>
        <w:tabs>
          <w:tab w:pos="1102" w:val="left" w:leader="none"/>
          <w:tab w:pos="1103" w:val="left" w:leader="none"/>
        </w:tabs>
        <w:spacing w:line="372" w:lineRule="auto" w:before="0" w:after="0"/>
        <w:ind w:left="252" w:right="354" w:firstLine="0"/>
        <w:jc w:val="left"/>
        <w:rPr>
          <w:sz w:val="24"/>
        </w:rPr>
      </w:pPr>
      <w:r>
        <w:rPr>
          <w:sz w:val="24"/>
        </w:rPr>
        <w:t>The </w:t>
      </w:r>
      <w:r>
        <w:rPr>
          <w:spacing w:val="-3"/>
          <w:sz w:val="24"/>
        </w:rPr>
        <w:t>Committee discussed what weight </w:t>
      </w:r>
      <w:r>
        <w:rPr>
          <w:sz w:val="24"/>
        </w:rPr>
        <w:t>it </w:t>
      </w:r>
      <w:r>
        <w:rPr>
          <w:spacing w:val="-3"/>
          <w:sz w:val="24"/>
        </w:rPr>
        <w:t>should give </w:t>
      </w:r>
      <w:r>
        <w:rPr>
          <w:sz w:val="24"/>
        </w:rPr>
        <w:t>to </w:t>
      </w:r>
      <w:r>
        <w:rPr>
          <w:spacing w:val="-3"/>
          <w:sz w:val="24"/>
        </w:rPr>
        <w:t>retail sales having fallen </w:t>
      </w:r>
      <w:r>
        <w:rPr>
          <w:sz w:val="24"/>
        </w:rPr>
        <w:t>by </w:t>
      </w:r>
      <w:r>
        <w:rPr>
          <w:spacing w:val="-3"/>
          <w:sz w:val="24"/>
        </w:rPr>
        <w:t>1.9% in </w:t>
      </w:r>
      <w:r>
        <w:rPr>
          <w:sz w:val="24"/>
        </w:rPr>
        <w:t>September. This had widely been attributed to the funeral of Diana, Princess of Wales and also to unusually</w:t>
      </w:r>
      <w:r>
        <w:rPr>
          <w:spacing w:val="-10"/>
          <w:sz w:val="24"/>
        </w:rPr>
        <w:t> </w:t>
      </w:r>
      <w:r>
        <w:rPr>
          <w:sz w:val="24"/>
        </w:rPr>
        <w:t>warm</w:t>
      </w:r>
      <w:r>
        <w:rPr>
          <w:spacing w:val="-10"/>
          <w:sz w:val="24"/>
        </w:rPr>
        <w:t> </w:t>
      </w:r>
      <w:r>
        <w:rPr>
          <w:sz w:val="24"/>
        </w:rPr>
        <w:t>weather</w:t>
      </w:r>
      <w:r>
        <w:rPr>
          <w:spacing w:val="-10"/>
          <w:sz w:val="24"/>
        </w:rPr>
        <w:t> </w:t>
      </w:r>
      <w:r>
        <w:rPr>
          <w:sz w:val="24"/>
        </w:rPr>
        <w:t>depressing</w:t>
      </w:r>
      <w:r>
        <w:rPr>
          <w:spacing w:val="-10"/>
          <w:sz w:val="24"/>
        </w:rPr>
        <w:t> </w:t>
      </w:r>
      <w:r>
        <w:rPr>
          <w:sz w:val="24"/>
        </w:rPr>
        <w:t>sales</w:t>
      </w:r>
      <w:r>
        <w:rPr>
          <w:spacing w:val="-10"/>
          <w:sz w:val="24"/>
        </w:rPr>
        <w:t> </w:t>
      </w:r>
      <w:r>
        <w:rPr>
          <w:sz w:val="24"/>
        </w:rPr>
        <w:t>of</w:t>
      </w:r>
      <w:r>
        <w:rPr>
          <w:spacing w:val="-10"/>
          <w:sz w:val="24"/>
        </w:rPr>
        <w:t> </w:t>
      </w:r>
      <w:r>
        <w:rPr>
          <w:sz w:val="24"/>
        </w:rPr>
        <w:t>clothing</w:t>
      </w:r>
      <w:r>
        <w:rPr>
          <w:spacing w:val="-10"/>
          <w:sz w:val="24"/>
        </w:rPr>
        <w:t> </w:t>
      </w:r>
      <w:r>
        <w:rPr>
          <w:sz w:val="24"/>
        </w:rPr>
        <w:t>and</w:t>
      </w:r>
      <w:r>
        <w:rPr>
          <w:spacing w:val="-10"/>
          <w:sz w:val="24"/>
        </w:rPr>
        <w:t> </w:t>
      </w:r>
      <w:r>
        <w:rPr>
          <w:sz w:val="24"/>
        </w:rPr>
        <w:t>footwear.</w:t>
      </w:r>
      <w:r>
        <w:rPr>
          <w:spacing w:val="43"/>
          <w:sz w:val="24"/>
        </w:rPr>
        <w:t> </w:t>
      </w:r>
      <w:r>
        <w:rPr>
          <w:sz w:val="24"/>
        </w:rPr>
        <w:t>It</w:t>
      </w:r>
      <w:r>
        <w:rPr>
          <w:spacing w:val="-10"/>
          <w:sz w:val="24"/>
        </w:rPr>
        <w:t> </w:t>
      </w:r>
      <w:r>
        <w:rPr>
          <w:sz w:val="24"/>
        </w:rPr>
        <w:t>had</w:t>
      </w:r>
      <w:r>
        <w:rPr>
          <w:spacing w:val="-10"/>
          <w:sz w:val="24"/>
        </w:rPr>
        <w:t> </w:t>
      </w:r>
      <w:r>
        <w:rPr>
          <w:sz w:val="24"/>
        </w:rPr>
        <w:t>followed</w:t>
      </w:r>
      <w:r>
        <w:rPr>
          <w:spacing w:val="-10"/>
          <w:sz w:val="24"/>
        </w:rPr>
        <w:t> </w:t>
      </w:r>
      <w:r>
        <w:rPr>
          <w:sz w:val="24"/>
        </w:rPr>
        <w:t>eight</w:t>
      </w:r>
      <w:r>
        <w:rPr>
          <w:spacing w:val="-10"/>
          <w:sz w:val="24"/>
        </w:rPr>
        <w:t> </w:t>
      </w:r>
      <w:r>
        <w:rPr>
          <w:sz w:val="24"/>
        </w:rPr>
        <w:t>consecutive monthly rises, the longest such sequence since 1987, suggesting considerable underlying strength. The</w:t>
      </w:r>
      <w:r>
        <w:rPr>
          <w:spacing w:val="-7"/>
          <w:sz w:val="24"/>
        </w:rPr>
        <w:t> </w:t>
      </w:r>
      <w:r>
        <w:rPr>
          <w:sz w:val="24"/>
        </w:rPr>
        <w:t>most</w:t>
      </w:r>
      <w:r>
        <w:rPr>
          <w:spacing w:val="-6"/>
          <w:sz w:val="24"/>
        </w:rPr>
        <w:t> </w:t>
      </w:r>
      <w:r>
        <w:rPr>
          <w:sz w:val="24"/>
        </w:rPr>
        <w:t>recent</w:t>
      </w:r>
      <w:r>
        <w:rPr>
          <w:spacing w:val="-7"/>
          <w:sz w:val="24"/>
        </w:rPr>
        <w:t> </w:t>
      </w:r>
      <w:r>
        <w:rPr>
          <w:sz w:val="24"/>
        </w:rPr>
        <w:t>consumer</w:t>
      </w:r>
      <w:r>
        <w:rPr>
          <w:spacing w:val="-6"/>
          <w:sz w:val="24"/>
        </w:rPr>
        <w:t> </w:t>
      </w:r>
      <w:r>
        <w:rPr>
          <w:sz w:val="24"/>
        </w:rPr>
        <w:t>confidence</w:t>
      </w:r>
      <w:r>
        <w:rPr>
          <w:spacing w:val="-7"/>
          <w:sz w:val="24"/>
        </w:rPr>
        <w:t> </w:t>
      </w:r>
      <w:r>
        <w:rPr>
          <w:sz w:val="24"/>
        </w:rPr>
        <w:t>surveys</w:t>
      </w:r>
      <w:r>
        <w:rPr>
          <w:spacing w:val="-6"/>
          <w:sz w:val="24"/>
        </w:rPr>
        <w:t> </w:t>
      </w:r>
      <w:r>
        <w:rPr>
          <w:sz w:val="24"/>
        </w:rPr>
        <w:t>from</w:t>
      </w:r>
      <w:r>
        <w:rPr>
          <w:spacing w:val="-7"/>
          <w:sz w:val="24"/>
        </w:rPr>
        <w:t> </w:t>
      </w:r>
      <w:r>
        <w:rPr>
          <w:sz w:val="24"/>
        </w:rPr>
        <w:t>MORI</w:t>
      </w:r>
      <w:r>
        <w:rPr>
          <w:spacing w:val="-6"/>
          <w:sz w:val="24"/>
        </w:rPr>
        <w:t> </w:t>
      </w:r>
      <w:r>
        <w:rPr>
          <w:sz w:val="24"/>
        </w:rPr>
        <w:t>and</w:t>
      </w:r>
      <w:r>
        <w:rPr>
          <w:spacing w:val="-7"/>
          <w:sz w:val="24"/>
        </w:rPr>
        <w:t> </w:t>
      </w:r>
      <w:r>
        <w:rPr>
          <w:sz w:val="24"/>
        </w:rPr>
        <w:t>GFK</w:t>
      </w:r>
      <w:r>
        <w:rPr>
          <w:spacing w:val="-6"/>
          <w:sz w:val="24"/>
        </w:rPr>
        <w:t> </w:t>
      </w:r>
      <w:r>
        <w:rPr>
          <w:sz w:val="24"/>
        </w:rPr>
        <w:t>were</w:t>
      </w:r>
      <w:r>
        <w:rPr>
          <w:spacing w:val="-6"/>
          <w:sz w:val="24"/>
        </w:rPr>
        <w:t> </w:t>
      </w:r>
      <w:r>
        <w:rPr>
          <w:sz w:val="24"/>
        </w:rPr>
        <w:t>both</w:t>
      </w:r>
      <w:r>
        <w:rPr>
          <w:spacing w:val="-7"/>
          <w:sz w:val="24"/>
        </w:rPr>
        <w:t> </w:t>
      </w:r>
      <w:r>
        <w:rPr>
          <w:sz w:val="24"/>
        </w:rPr>
        <w:t>strong,</w:t>
      </w:r>
      <w:r>
        <w:rPr>
          <w:spacing w:val="-6"/>
          <w:sz w:val="24"/>
        </w:rPr>
        <w:t> </w:t>
      </w:r>
      <w:r>
        <w:rPr>
          <w:sz w:val="24"/>
        </w:rPr>
        <w:t>and</w:t>
      </w:r>
      <w:r>
        <w:rPr>
          <w:spacing w:val="-7"/>
          <w:sz w:val="24"/>
        </w:rPr>
        <w:t> </w:t>
      </w:r>
      <w:r>
        <w:rPr>
          <w:sz w:val="24"/>
        </w:rPr>
        <w:t>there</w:t>
      </w:r>
      <w:r>
        <w:rPr>
          <w:spacing w:val="-6"/>
          <w:sz w:val="24"/>
        </w:rPr>
        <w:t> </w:t>
      </w:r>
      <w:r>
        <w:rPr>
          <w:spacing w:val="-2"/>
          <w:sz w:val="24"/>
        </w:rPr>
        <w:t>was </w:t>
      </w:r>
      <w:r>
        <w:rPr>
          <w:sz w:val="24"/>
        </w:rPr>
        <w:t>an </w:t>
      </w:r>
      <w:r>
        <w:rPr>
          <w:spacing w:val="-3"/>
          <w:sz w:val="24"/>
        </w:rPr>
        <w:t>expectation that spending </w:t>
      </w:r>
      <w:r>
        <w:rPr>
          <w:sz w:val="24"/>
        </w:rPr>
        <w:t>of the </w:t>
      </w:r>
      <w:r>
        <w:rPr>
          <w:spacing w:val="-3"/>
          <w:sz w:val="24"/>
        </w:rPr>
        <w:t>windfalls from </w:t>
      </w:r>
      <w:r>
        <w:rPr>
          <w:sz w:val="24"/>
        </w:rPr>
        <w:t>the </w:t>
      </w:r>
      <w:r>
        <w:rPr>
          <w:spacing w:val="-3"/>
          <w:sz w:val="24"/>
        </w:rPr>
        <w:t>summer’s building society </w:t>
      </w:r>
      <w:r>
        <w:rPr>
          <w:sz w:val="24"/>
        </w:rPr>
        <w:t>and </w:t>
      </w:r>
      <w:r>
        <w:rPr>
          <w:spacing w:val="-3"/>
          <w:sz w:val="24"/>
        </w:rPr>
        <w:t>insurance company demutualisations would continue </w:t>
      </w:r>
      <w:r>
        <w:rPr>
          <w:sz w:val="24"/>
        </w:rPr>
        <w:t>in Q4, </w:t>
      </w:r>
      <w:r>
        <w:rPr>
          <w:spacing w:val="-3"/>
          <w:sz w:val="24"/>
        </w:rPr>
        <w:t>especially around Christmas.  </w:t>
      </w:r>
      <w:r>
        <w:rPr>
          <w:sz w:val="24"/>
        </w:rPr>
        <w:t>The </w:t>
      </w:r>
      <w:r>
        <w:rPr>
          <w:spacing w:val="-3"/>
          <w:sz w:val="24"/>
        </w:rPr>
        <w:t>Committee </w:t>
      </w:r>
      <w:r>
        <w:rPr>
          <w:sz w:val="24"/>
        </w:rPr>
        <w:t>agreed</w:t>
      </w:r>
      <w:r>
        <w:rPr>
          <w:spacing w:val="-5"/>
          <w:sz w:val="24"/>
        </w:rPr>
        <w:t> </w:t>
      </w:r>
      <w:r>
        <w:rPr>
          <w:sz w:val="24"/>
        </w:rPr>
        <w:t>that</w:t>
      </w:r>
      <w:r>
        <w:rPr>
          <w:spacing w:val="-4"/>
          <w:sz w:val="24"/>
        </w:rPr>
        <w:t> </w:t>
      </w:r>
      <w:r>
        <w:rPr>
          <w:sz w:val="24"/>
        </w:rPr>
        <w:t>the</w:t>
      </w:r>
      <w:r>
        <w:rPr>
          <w:spacing w:val="-4"/>
          <w:sz w:val="24"/>
        </w:rPr>
        <w:t> </w:t>
      </w:r>
      <w:r>
        <w:rPr>
          <w:sz w:val="24"/>
        </w:rPr>
        <w:t>September</w:t>
      </w:r>
      <w:r>
        <w:rPr>
          <w:spacing w:val="-4"/>
          <w:sz w:val="24"/>
        </w:rPr>
        <w:t> </w:t>
      </w:r>
      <w:r>
        <w:rPr>
          <w:sz w:val="24"/>
        </w:rPr>
        <w:t>retail</w:t>
      </w:r>
      <w:r>
        <w:rPr>
          <w:spacing w:val="-4"/>
          <w:sz w:val="24"/>
        </w:rPr>
        <w:t> </w:t>
      </w:r>
      <w:r>
        <w:rPr>
          <w:sz w:val="24"/>
        </w:rPr>
        <w:t>sales</w:t>
      </w:r>
      <w:r>
        <w:rPr>
          <w:spacing w:val="-4"/>
          <w:sz w:val="24"/>
        </w:rPr>
        <w:t> </w:t>
      </w:r>
      <w:r>
        <w:rPr>
          <w:sz w:val="24"/>
        </w:rPr>
        <w:t>figure</w:t>
      </w:r>
      <w:r>
        <w:rPr>
          <w:spacing w:val="-4"/>
          <w:sz w:val="24"/>
        </w:rPr>
        <w:t> </w:t>
      </w:r>
      <w:r>
        <w:rPr>
          <w:sz w:val="24"/>
        </w:rPr>
        <w:t>was</w:t>
      </w:r>
      <w:r>
        <w:rPr>
          <w:spacing w:val="-4"/>
          <w:sz w:val="24"/>
        </w:rPr>
        <w:t> </w:t>
      </w:r>
      <w:r>
        <w:rPr>
          <w:sz w:val="24"/>
        </w:rPr>
        <w:t>not,</w:t>
      </w:r>
      <w:r>
        <w:rPr>
          <w:spacing w:val="-4"/>
          <w:sz w:val="24"/>
        </w:rPr>
        <w:t> </w:t>
      </w:r>
      <w:r>
        <w:rPr>
          <w:sz w:val="24"/>
        </w:rPr>
        <w:t>taken</w:t>
      </w:r>
      <w:r>
        <w:rPr>
          <w:spacing w:val="-4"/>
          <w:sz w:val="24"/>
        </w:rPr>
        <w:t> </w:t>
      </w:r>
      <w:r>
        <w:rPr>
          <w:sz w:val="24"/>
        </w:rPr>
        <w:t>on</w:t>
      </w:r>
      <w:r>
        <w:rPr>
          <w:spacing w:val="-4"/>
          <w:sz w:val="24"/>
        </w:rPr>
        <w:t> </w:t>
      </w:r>
      <w:r>
        <w:rPr>
          <w:sz w:val="24"/>
        </w:rPr>
        <w:t>its</w:t>
      </w:r>
      <w:r>
        <w:rPr>
          <w:spacing w:val="-4"/>
          <w:sz w:val="24"/>
        </w:rPr>
        <w:t> </w:t>
      </w:r>
      <w:r>
        <w:rPr>
          <w:sz w:val="24"/>
        </w:rPr>
        <w:t>own,</w:t>
      </w:r>
      <w:r>
        <w:rPr>
          <w:spacing w:val="-4"/>
          <w:sz w:val="24"/>
        </w:rPr>
        <w:t> </w:t>
      </w:r>
      <w:r>
        <w:rPr>
          <w:sz w:val="24"/>
        </w:rPr>
        <w:t>evidence</w:t>
      </w:r>
      <w:r>
        <w:rPr>
          <w:spacing w:val="-4"/>
          <w:sz w:val="24"/>
        </w:rPr>
        <w:t> </w:t>
      </w:r>
      <w:r>
        <w:rPr>
          <w:sz w:val="24"/>
        </w:rPr>
        <w:t>of</w:t>
      </w:r>
      <w:r>
        <w:rPr>
          <w:spacing w:val="-4"/>
          <w:sz w:val="24"/>
        </w:rPr>
        <w:t> </w:t>
      </w:r>
      <w:r>
        <w:rPr>
          <w:sz w:val="24"/>
        </w:rPr>
        <w:t>a</w:t>
      </w:r>
      <w:r>
        <w:rPr>
          <w:spacing w:val="-4"/>
          <w:sz w:val="24"/>
        </w:rPr>
        <w:t> </w:t>
      </w:r>
      <w:r>
        <w:rPr>
          <w:sz w:val="24"/>
        </w:rPr>
        <w:t>slowdown.</w:t>
      </w:r>
    </w:p>
    <w:p>
      <w:pPr>
        <w:spacing w:after="0" w:line="372" w:lineRule="auto"/>
        <w:jc w:val="left"/>
        <w:rPr>
          <w:sz w:val="24"/>
        </w:rPr>
        <w:sectPr>
          <w:pgSz w:w="11900" w:h="16840"/>
          <w:pgMar w:header="863" w:footer="0" w:top="1340" w:bottom="280" w:left="880" w:right="740"/>
        </w:sectPr>
      </w:pPr>
    </w:p>
    <w:p>
      <w:pPr>
        <w:pStyle w:val="BodyText"/>
        <w:spacing w:before="8"/>
        <w:rPr>
          <w:sz w:val="23"/>
        </w:rPr>
      </w:pPr>
    </w:p>
    <w:p>
      <w:pPr>
        <w:pStyle w:val="ListParagraph"/>
        <w:numPr>
          <w:ilvl w:val="0"/>
          <w:numId w:val="1"/>
        </w:numPr>
        <w:tabs>
          <w:tab w:pos="1102" w:val="left" w:leader="none"/>
          <w:tab w:pos="1103" w:val="left" w:leader="none"/>
        </w:tabs>
        <w:spacing w:line="372" w:lineRule="auto" w:before="90" w:after="0"/>
        <w:ind w:left="252" w:right="315" w:firstLine="0"/>
        <w:jc w:val="left"/>
        <w:rPr>
          <w:sz w:val="24"/>
        </w:rPr>
      </w:pPr>
      <w:r>
        <w:rPr>
          <w:sz w:val="24"/>
        </w:rPr>
        <w:t>The outlook for </w:t>
      </w:r>
      <w:r>
        <w:rPr>
          <w:spacing w:val="-3"/>
          <w:sz w:val="24"/>
        </w:rPr>
        <w:t>retail margins </w:t>
      </w:r>
      <w:r>
        <w:rPr>
          <w:sz w:val="24"/>
        </w:rPr>
        <w:t>was </w:t>
      </w:r>
      <w:r>
        <w:rPr>
          <w:spacing w:val="-3"/>
          <w:sz w:val="24"/>
        </w:rPr>
        <w:t>highly uncertain. They </w:t>
      </w:r>
      <w:r>
        <w:rPr>
          <w:sz w:val="24"/>
        </w:rPr>
        <w:t>had </w:t>
      </w:r>
      <w:r>
        <w:rPr>
          <w:spacing w:val="-3"/>
          <w:sz w:val="24"/>
        </w:rPr>
        <w:t>widened during </w:t>
      </w:r>
      <w:r>
        <w:rPr>
          <w:sz w:val="24"/>
        </w:rPr>
        <w:t>Q3, </w:t>
      </w:r>
      <w:r>
        <w:rPr>
          <w:spacing w:val="-3"/>
          <w:sz w:val="24"/>
        </w:rPr>
        <w:t>reflecting </w:t>
      </w:r>
      <w:r>
        <w:rPr>
          <w:sz w:val="24"/>
        </w:rPr>
        <w:t>the modest pass through of sterling’s appreciation into retail prices. On one view, the rise in margins was not surprising and might not unwind, given the strength of current and prospective </w:t>
      </w:r>
      <w:r>
        <w:rPr>
          <w:spacing w:val="-2"/>
          <w:sz w:val="24"/>
        </w:rPr>
        <w:t>consumption. </w:t>
      </w:r>
      <w:r>
        <w:rPr>
          <w:spacing w:val="-3"/>
          <w:sz w:val="24"/>
        </w:rPr>
        <w:t>Cyclically, this </w:t>
      </w:r>
      <w:r>
        <w:rPr>
          <w:sz w:val="24"/>
        </w:rPr>
        <w:t>was a </w:t>
      </w:r>
      <w:r>
        <w:rPr>
          <w:spacing w:val="-3"/>
          <w:sz w:val="24"/>
        </w:rPr>
        <w:t>time </w:t>
      </w:r>
      <w:r>
        <w:rPr>
          <w:sz w:val="24"/>
        </w:rPr>
        <w:t>to </w:t>
      </w:r>
      <w:r>
        <w:rPr>
          <w:spacing w:val="-3"/>
          <w:sz w:val="24"/>
        </w:rPr>
        <w:t>rebuild margins. Moreover, </w:t>
      </w:r>
      <w:r>
        <w:rPr>
          <w:sz w:val="24"/>
        </w:rPr>
        <w:t>if </w:t>
      </w:r>
      <w:r>
        <w:rPr>
          <w:spacing w:val="-3"/>
          <w:sz w:val="24"/>
        </w:rPr>
        <w:t>sterling’s appreciation </w:t>
      </w:r>
      <w:r>
        <w:rPr>
          <w:sz w:val="24"/>
        </w:rPr>
        <w:t>was </w:t>
      </w:r>
      <w:r>
        <w:rPr>
          <w:spacing w:val="-3"/>
          <w:sz w:val="24"/>
        </w:rPr>
        <w:t>causing </w:t>
      </w:r>
      <w:r>
        <w:rPr>
          <w:sz w:val="24"/>
        </w:rPr>
        <w:t>valuation losses on overseas earnings, there was a strong incentive to protect overall profitability by not cutting domestic</w:t>
      </w:r>
      <w:r>
        <w:rPr>
          <w:spacing w:val="1"/>
          <w:sz w:val="24"/>
        </w:rPr>
        <w:t> </w:t>
      </w:r>
      <w:r>
        <w:rPr>
          <w:sz w:val="24"/>
        </w:rPr>
        <w:t>margins.</w:t>
      </w:r>
    </w:p>
    <w:p>
      <w:pPr>
        <w:pStyle w:val="BodyText"/>
        <w:spacing w:before="9"/>
        <w:rPr>
          <w:sz w:val="36"/>
        </w:rPr>
      </w:pPr>
    </w:p>
    <w:p>
      <w:pPr>
        <w:pStyle w:val="ListParagraph"/>
        <w:numPr>
          <w:ilvl w:val="0"/>
          <w:numId w:val="1"/>
        </w:numPr>
        <w:tabs>
          <w:tab w:pos="1102" w:val="left" w:leader="none"/>
          <w:tab w:pos="1103" w:val="left" w:leader="none"/>
        </w:tabs>
        <w:spacing w:line="372" w:lineRule="auto" w:before="0" w:after="0"/>
        <w:ind w:left="252" w:right="479" w:firstLine="0"/>
        <w:jc w:val="left"/>
        <w:rPr>
          <w:sz w:val="24"/>
        </w:rPr>
      </w:pPr>
      <w:r>
        <w:rPr>
          <w:sz w:val="24"/>
        </w:rPr>
        <w:t>On </w:t>
      </w:r>
      <w:r>
        <w:rPr>
          <w:spacing w:val="-3"/>
          <w:sz w:val="24"/>
        </w:rPr>
        <w:t>another view, </w:t>
      </w:r>
      <w:r>
        <w:rPr>
          <w:sz w:val="24"/>
        </w:rPr>
        <w:t>it </w:t>
      </w:r>
      <w:r>
        <w:rPr>
          <w:spacing w:val="-3"/>
          <w:sz w:val="24"/>
        </w:rPr>
        <w:t>would </w:t>
      </w:r>
      <w:r>
        <w:rPr>
          <w:sz w:val="24"/>
        </w:rPr>
        <w:t>be </w:t>
      </w:r>
      <w:r>
        <w:rPr>
          <w:spacing w:val="-3"/>
          <w:sz w:val="24"/>
        </w:rPr>
        <w:t>surprising </w:t>
      </w:r>
      <w:r>
        <w:rPr>
          <w:sz w:val="24"/>
        </w:rPr>
        <w:t>if </w:t>
      </w:r>
      <w:r>
        <w:rPr>
          <w:spacing w:val="-3"/>
          <w:sz w:val="24"/>
        </w:rPr>
        <w:t>retail profit margins fell back from current levels, given </w:t>
      </w:r>
      <w:r>
        <w:rPr>
          <w:sz w:val="24"/>
        </w:rPr>
        <w:t>the </w:t>
      </w:r>
      <w:r>
        <w:rPr>
          <w:spacing w:val="-3"/>
          <w:sz w:val="24"/>
        </w:rPr>
        <w:t>lack </w:t>
      </w:r>
      <w:r>
        <w:rPr>
          <w:sz w:val="24"/>
        </w:rPr>
        <w:t>of </w:t>
      </w:r>
      <w:r>
        <w:rPr>
          <w:spacing w:val="-3"/>
          <w:sz w:val="24"/>
        </w:rPr>
        <w:t>clear statistical evidence </w:t>
      </w:r>
      <w:r>
        <w:rPr>
          <w:sz w:val="24"/>
        </w:rPr>
        <w:t>of any </w:t>
      </w:r>
      <w:r>
        <w:rPr>
          <w:spacing w:val="-3"/>
          <w:sz w:val="24"/>
        </w:rPr>
        <w:t>past cyclical component </w:t>
      </w:r>
      <w:r>
        <w:rPr>
          <w:sz w:val="24"/>
        </w:rPr>
        <w:t>in </w:t>
      </w:r>
      <w:r>
        <w:rPr>
          <w:spacing w:val="-3"/>
          <w:sz w:val="24"/>
        </w:rPr>
        <w:t>their</w:t>
      </w:r>
      <w:r>
        <w:rPr>
          <w:spacing w:val="26"/>
          <w:sz w:val="24"/>
        </w:rPr>
        <w:t> </w:t>
      </w:r>
      <w:r>
        <w:rPr>
          <w:spacing w:val="-3"/>
          <w:sz w:val="24"/>
        </w:rPr>
        <w:t>behaviour.</w:t>
      </w:r>
    </w:p>
    <w:p>
      <w:pPr>
        <w:pStyle w:val="BodyText"/>
        <w:spacing w:before="1"/>
        <w:rPr>
          <w:sz w:val="37"/>
        </w:rPr>
      </w:pPr>
    </w:p>
    <w:p>
      <w:pPr>
        <w:pStyle w:val="ListParagraph"/>
        <w:numPr>
          <w:ilvl w:val="0"/>
          <w:numId w:val="1"/>
        </w:numPr>
        <w:tabs>
          <w:tab w:pos="1102" w:val="left" w:leader="none"/>
          <w:tab w:pos="1103" w:val="left" w:leader="none"/>
        </w:tabs>
        <w:spacing w:line="372" w:lineRule="auto" w:before="0" w:after="0"/>
        <w:ind w:left="252" w:right="368" w:firstLine="0"/>
        <w:jc w:val="left"/>
        <w:rPr>
          <w:sz w:val="24"/>
        </w:rPr>
      </w:pPr>
      <w:r>
        <w:rPr>
          <w:sz w:val="24"/>
        </w:rPr>
        <w:t>A third view would be that there were structural reasons to expect a fall. Competition in </w:t>
      </w:r>
      <w:r>
        <w:rPr>
          <w:spacing w:val="-2"/>
          <w:sz w:val="24"/>
        </w:rPr>
        <w:t>the </w:t>
      </w:r>
      <w:r>
        <w:rPr>
          <w:spacing w:val="-3"/>
          <w:sz w:val="24"/>
        </w:rPr>
        <w:t>retail sector remained intense. </w:t>
      </w:r>
      <w:r>
        <w:rPr>
          <w:sz w:val="24"/>
        </w:rPr>
        <w:t>The </w:t>
      </w:r>
      <w:r>
        <w:rPr>
          <w:spacing w:val="-3"/>
          <w:sz w:val="24"/>
        </w:rPr>
        <w:t>main force behind </w:t>
      </w:r>
      <w:r>
        <w:rPr>
          <w:sz w:val="24"/>
        </w:rPr>
        <w:t>the </w:t>
      </w:r>
      <w:r>
        <w:rPr>
          <w:spacing w:val="-3"/>
          <w:sz w:val="24"/>
        </w:rPr>
        <w:t>recent rise </w:t>
      </w:r>
      <w:r>
        <w:rPr>
          <w:sz w:val="24"/>
        </w:rPr>
        <w:t>in </w:t>
      </w:r>
      <w:r>
        <w:rPr>
          <w:spacing w:val="-3"/>
          <w:sz w:val="24"/>
        </w:rPr>
        <w:t>retail margins </w:t>
      </w:r>
      <w:r>
        <w:rPr>
          <w:sz w:val="24"/>
        </w:rPr>
        <w:t>had </w:t>
      </w:r>
      <w:r>
        <w:rPr>
          <w:spacing w:val="-3"/>
          <w:sz w:val="24"/>
        </w:rPr>
        <w:t>been weak </w:t>
      </w:r>
      <w:r>
        <w:rPr>
          <w:sz w:val="24"/>
        </w:rPr>
        <w:t>input prices rather than increases in retail prices. As demand and output slowed and firms’ </w:t>
      </w:r>
      <w:r>
        <w:rPr>
          <w:spacing w:val="-2"/>
          <w:sz w:val="24"/>
        </w:rPr>
        <w:t>growth </w:t>
      </w:r>
      <w:r>
        <w:rPr>
          <w:sz w:val="24"/>
        </w:rPr>
        <w:t>forecasts were revised down, margins should</w:t>
      </w:r>
      <w:r>
        <w:rPr>
          <w:spacing w:val="-5"/>
          <w:sz w:val="24"/>
        </w:rPr>
        <w:t> </w:t>
      </w:r>
      <w:r>
        <w:rPr>
          <w:sz w:val="24"/>
        </w:rPr>
        <w:t>fall.</w:t>
      </w:r>
    </w:p>
    <w:p>
      <w:pPr>
        <w:pStyle w:val="BodyText"/>
        <w:spacing w:before="11"/>
        <w:rPr>
          <w:sz w:val="36"/>
        </w:rPr>
      </w:pPr>
    </w:p>
    <w:p>
      <w:pPr>
        <w:pStyle w:val="ListParagraph"/>
        <w:numPr>
          <w:ilvl w:val="0"/>
          <w:numId w:val="1"/>
        </w:numPr>
        <w:tabs>
          <w:tab w:pos="1103" w:val="left" w:leader="none"/>
        </w:tabs>
        <w:spacing w:line="372" w:lineRule="auto" w:before="0" w:after="0"/>
        <w:ind w:left="252" w:right="416" w:firstLine="0"/>
        <w:jc w:val="both"/>
        <w:rPr>
          <w:sz w:val="24"/>
        </w:rPr>
      </w:pPr>
      <w:r>
        <w:rPr>
          <w:sz w:val="24"/>
        </w:rPr>
        <w:t>It</w:t>
      </w:r>
      <w:r>
        <w:rPr>
          <w:spacing w:val="-3"/>
          <w:sz w:val="24"/>
        </w:rPr>
        <w:t> </w:t>
      </w:r>
      <w:r>
        <w:rPr>
          <w:sz w:val="24"/>
        </w:rPr>
        <w:t>was</w:t>
      </w:r>
      <w:r>
        <w:rPr>
          <w:spacing w:val="-3"/>
          <w:sz w:val="24"/>
        </w:rPr>
        <w:t> </w:t>
      </w:r>
      <w:r>
        <w:rPr>
          <w:sz w:val="24"/>
        </w:rPr>
        <w:t>agreed</w:t>
      </w:r>
      <w:r>
        <w:rPr>
          <w:spacing w:val="-3"/>
          <w:sz w:val="24"/>
        </w:rPr>
        <w:t> </w:t>
      </w:r>
      <w:r>
        <w:rPr>
          <w:sz w:val="24"/>
        </w:rPr>
        <w:t>that</w:t>
      </w:r>
      <w:r>
        <w:rPr>
          <w:spacing w:val="-2"/>
          <w:sz w:val="24"/>
        </w:rPr>
        <w:t> </w:t>
      </w:r>
      <w:r>
        <w:rPr>
          <w:sz w:val="24"/>
        </w:rPr>
        <w:t>the</w:t>
      </w:r>
      <w:r>
        <w:rPr>
          <w:spacing w:val="-3"/>
          <w:sz w:val="24"/>
        </w:rPr>
        <w:t> </w:t>
      </w:r>
      <w:r>
        <w:rPr>
          <w:sz w:val="24"/>
        </w:rPr>
        <w:t>assumption</w:t>
      </w:r>
      <w:r>
        <w:rPr>
          <w:spacing w:val="-3"/>
          <w:sz w:val="24"/>
        </w:rPr>
        <w:t> </w:t>
      </w:r>
      <w:r>
        <w:rPr>
          <w:sz w:val="24"/>
        </w:rPr>
        <w:t>in</w:t>
      </w:r>
      <w:r>
        <w:rPr>
          <w:spacing w:val="-3"/>
          <w:sz w:val="24"/>
        </w:rPr>
        <w:t> </w:t>
      </w:r>
      <w:r>
        <w:rPr>
          <w:sz w:val="24"/>
        </w:rPr>
        <w:t>the</w:t>
      </w:r>
      <w:r>
        <w:rPr>
          <w:spacing w:val="-2"/>
          <w:sz w:val="24"/>
        </w:rPr>
        <w:t> </w:t>
      </w:r>
      <w:r>
        <w:rPr>
          <w:sz w:val="24"/>
        </w:rPr>
        <w:t>Inflation</w:t>
      </w:r>
      <w:r>
        <w:rPr>
          <w:spacing w:val="-3"/>
          <w:sz w:val="24"/>
        </w:rPr>
        <w:t> </w:t>
      </w:r>
      <w:r>
        <w:rPr>
          <w:sz w:val="24"/>
        </w:rPr>
        <w:t>Report</w:t>
      </w:r>
      <w:r>
        <w:rPr>
          <w:spacing w:val="-3"/>
          <w:sz w:val="24"/>
        </w:rPr>
        <w:t> </w:t>
      </w:r>
      <w:r>
        <w:rPr>
          <w:sz w:val="24"/>
        </w:rPr>
        <w:t>forecast</w:t>
      </w:r>
      <w:r>
        <w:rPr>
          <w:spacing w:val="-2"/>
          <w:sz w:val="24"/>
        </w:rPr>
        <w:t> </w:t>
      </w:r>
      <w:r>
        <w:rPr>
          <w:sz w:val="24"/>
        </w:rPr>
        <w:t>should</w:t>
      </w:r>
      <w:r>
        <w:rPr>
          <w:spacing w:val="-3"/>
          <w:sz w:val="24"/>
        </w:rPr>
        <w:t> </w:t>
      </w:r>
      <w:r>
        <w:rPr>
          <w:sz w:val="24"/>
        </w:rPr>
        <w:t>be</w:t>
      </w:r>
      <w:r>
        <w:rPr>
          <w:spacing w:val="-3"/>
          <w:sz w:val="24"/>
        </w:rPr>
        <w:t> </w:t>
      </w:r>
      <w:r>
        <w:rPr>
          <w:sz w:val="24"/>
        </w:rPr>
        <w:t>that</w:t>
      </w:r>
      <w:r>
        <w:rPr>
          <w:spacing w:val="-3"/>
          <w:sz w:val="24"/>
        </w:rPr>
        <w:t> </w:t>
      </w:r>
      <w:r>
        <w:rPr>
          <w:sz w:val="24"/>
        </w:rPr>
        <w:t>it</w:t>
      </w:r>
      <w:r>
        <w:rPr>
          <w:spacing w:val="-2"/>
          <w:sz w:val="24"/>
        </w:rPr>
        <w:t> </w:t>
      </w:r>
      <w:r>
        <w:rPr>
          <w:sz w:val="24"/>
        </w:rPr>
        <w:t>was</w:t>
      </w:r>
      <w:r>
        <w:rPr>
          <w:spacing w:val="-3"/>
          <w:sz w:val="24"/>
        </w:rPr>
        <w:t> </w:t>
      </w:r>
      <w:r>
        <w:rPr>
          <w:sz w:val="24"/>
        </w:rPr>
        <w:t>most likely</w:t>
      </w:r>
      <w:r>
        <w:rPr>
          <w:spacing w:val="-7"/>
          <w:sz w:val="24"/>
        </w:rPr>
        <w:t> </w:t>
      </w:r>
      <w:r>
        <w:rPr>
          <w:sz w:val="24"/>
        </w:rPr>
        <w:t>that</w:t>
      </w:r>
      <w:r>
        <w:rPr>
          <w:spacing w:val="-6"/>
          <w:sz w:val="24"/>
        </w:rPr>
        <w:t> </w:t>
      </w:r>
      <w:r>
        <w:rPr>
          <w:sz w:val="24"/>
        </w:rPr>
        <w:t>part</w:t>
      </w:r>
      <w:r>
        <w:rPr>
          <w:spacing w:val="-6"/>
          <w:sz w:val="24"/>
        </w:rPr>
        <w:t> </w:t>
      </w:r>
      <w:r>
        <w:rPr>
          <w:sz w:val="24"/>
        </w:rPr>
        <w:t>of</w:t>
      </w:r>
      <w:r>
        <w:rPr>
          <w:spacing w:val="-7"/>
          <w:sz w:val="24"/>
        </w:rPr>
        <w:t> </w:t>
      </w:r>
      <w:r>
        <w:rPr>
          <w:sz w:val="24"/>
        </w:rPr>
        <w:t>the</w:t>
      </w:r>
      <w:r>
        <w:rPr>
          <w:spacing w:val="-6"/>
          <w:sz w:val="24"/>
        </w:rPr>
        <w:t> </w:t>
      </w:r>
      <w:r>
        <w:rPr>
          <w:sz w:val="24"/>
        </w:rPr>
        <w:t>recent</w:t>
      </w:r>
      <w:r>
        <w:rPr>
          <w:spacing w:val="-6"/>
          <w:sz w:val="24"/>
        </w:rPr>
        <w:t> </w:t>
      </w:r>
      <w:r>
        <w:rPr>
          <w:sz w:val="24"/>
        </w:rPr>
        <w:t>rise</w:t>
      </w:r>
      <w:r>
        <w:rPr>
          <w:spacing w:val="-6"/>
          <w:sz w:val="24"/>
        </w:rPr>
        <w:t> </w:t>
      </w:r>
      <w:r>
        <w:rPr>
          <w:sz w:val="24"/>
        </w:rPr>
        <w:t>in</w:t>
      </w:r>
      <w:r>
        <w:rPr>
          <w:spacing w:val="-7"/>
          <w:sz w:val="24"/>
        </w:rPr>
        <w:t> </w:t>
      </w:r>
      <w:r>
        <w:rPr>
          <w:sz w:val="24"/>
        </w:rPr>
        <w:t>retail</w:t>
      </w:r>
      <w:r>
        <w:rPr>
          <w:spacing w:val="-6"/>
          <w:sz w:val="24"/>
        </w:rPr>
        <w:t> </w:t>
      </w:r>
      <w:r>
        <w:rPr>
          <w:sz w:val="24"/>
        </w:rPr>
        <w:t>margins</w:t>
      </w:r>
      <w:r>
        <w:rPr>
          <w:spacing w:val="-6"/>
          <w:sz w:val="24"/>
        </w:rPr>
        <w:t> </w:t>
      </w:r>
      <w:r>
        <w:rPr>
          <w:sz w:val="24"/>
        </w:rPr>
        <w:t>would</w:t>
      </w:r>
      <w:r>
        <w:rPr>
          <w:spacing w:val="-7"/>
          <w:sz w:val="24"/>
        </w:rPr>
        <w:t> </w:t>
      </w:r>
      <w:r>
        <w:rPr>
          <w:sz w:val="24"/>
        </w:rPr>
        <w:t>unwind,</w:t>
      </w:r>
      <w:r>
        <w:rPr>
          <w:spacing w:val="-6"/>
          <w:sz w:val="24"/>
        </w:rPr>
        <w:t> </w:t>
      </w:r>
      <w:r>
        <w:rPr>
          <w:sz w:val="24"/>
        </w:rPr>
        <w:t>but</w:t>
      </w:r>
      <w:r>
        <w:rPr>
          <w:spacing w:val="-6"/>
          <w:sz w:val="24"/>
        </w:rPr>
        <w:t> </w:t>
      </w:r>
      <w:r>
        <w:rPr>
          <w:sz w:val="24"/>
        </w:rPr>
        <w:t>with</w:t>
      </w:r>
      <w:r>
        <w:rPr>
          <w:spacing w:val="-6"/>
          <w:sz w:val="24"/>
        </w:rPr>
        <w:t> </w:t>
      </w:r>
      <w:r>
        <w:rPr>
          <w:sz w:val="24"/>
        </w:rPr>
        <w:t>the</w:t>
      </w:r>
      <w:r>
        <w:rPr>
          <w:spacing w:val="-7"/>
          <w:sz w:val="24"/>
        </w:rPr>
        <w:t> </w:t>
      </w:r>
      <w:r>
        <w:rPr>
          <w:sz w:val="24"/>
        </w:rPr>
        <w:t>balance</w:t>
      </w:r>
      <w:r>
        <w:rPr>
          <w:spacing w:val="-6"/>
          <w:sz w:val="24"/>
        </w:rPr>
        <w:t> </w:t>
      </w:r>
      <w:r>
        <w:rPr>
          <w:sz w:val="24"/>
        </w:rPr>
        <w:t>of</w:t>
      </w:r>
      <w:r>
        <w:rPr>
          <w:spacing w:val="-6"/>
          <w:sz w:val="24"/>
        </w:rPr>
        <w:t> </w:t>
      </w:r>
      <w:r>
        <w:rPr>
          <w:sz w:val="24"/>
        </w:rPr>
        <w:t>risks</w:t>
      </w:r>
      <w:r>
        <w:rPr>
          <w:spacing w:val="-7"/>
          <w:sz w:val="24"/>
        </w:rPr>
        <w:t> </w:t>
      </w:r>
      <w:r>
        <w:rPr>
          <w:sz w:val="24"/>
        </w:rPr>
        <w:t>for</w:t>
      </w:r>
      <w:r>
        <w:rPr>
          <w:spacing w:val="-6"/>
          <w:sz w:val="24"/>
        </w:rPr>
        <w:t> </w:t>
      </w:r>
      <w:r>
        <w:rPr>
          <w:spacing w:val="-2"/>
          <w:sz w:val="24"/>
        </w:rPr>
        <w:t>the </w:t>
      </w:r>
      <w:r>
        <w:rPr>
          <w:sz w:val="24"/>
        </w:rPr>
        <w:t>next year weighted towards their being stronger than in the central</w:t>
      </w:r>
      <w:r>
        <w:rPr>
          <w:spacing w:val="-9"/>
          <w:sz w:val="24"/>
        </w:rPr>
        <w:t> </w:t>
      </w:r>
      <w:r>
        <w:rPr>
          <w:sz w:val="24"/>
        </w:rPr>
        <w:t>case.</w:t>
      </w:r>
    </w:p>
    <w:p>
      <w:pPr>
        <w:pStyle w:val="BodyText"/>
        <w:spacing w:before="5"/>
        <w:rPr>
          <w:sz w:val="37"/>
        </w:rPr>
      </w:pPr>
    </w:p>
    <w:p>
      <w:pPr>
        <w:pStyle w:val="Heading1"/>
      </w:pPr>
      <w:r>
        <w:rPr/>
        <w:t>Net trade</w:t>
      </w:r>
    </w:p>
    <w:p>
      <w:pPr>
        <w:pStyle w:val="BodyText"/>
        <w:rPr>
          <w:b/>
          <w:sz w:val="26"/>
        </w:rPr>
      </w:pPr>
    </w:p>
    <w:p>
      <w:pPr>
        <w:pStyle w:val="BodyText"/>
        <w:spacing w:before="10"/>
        <w:rPr>
          <w:b/>
          <w:sz w:val="23"/>
        </w:rPr>
      </w:pPr>
    </w:p>
    <w:p>
      <w:pPr>
        <w:pStyle w:val="ListParagraph"/>
        <w:numPr>
          <w:ilvl w:val="0"/>
          <w:numId w:val="1"/>
        </w:numPr>
        <w:tabs>
          <w:tab w:pos="1102" w:val="left" w:leader="none"/>
          <w:tab w:pos="1103" w:val="left" w:leader="none"/>
        </w:tabs>
        <w:spacing w:line="372" w:lineRule="auto" w:before="0" w:after="0"/>
        <w:ind w:left="252" w:right="521" w:firstLine="0"/>
        <w:jc w:val="left"/>
        <w:rPr>
          <w:sz w:val="24"/>
        </w:rPr>
      </w:pPr>
      <w:r>
        <w:rPr>
          <w:sz w:val="24"/>
        </w:rPr>
        <w:t>The Committee regarded the outlook for net trade as a very important area of uncertainty. So far the impact of sterling’s appreciation had been much less than expected; for example, preliminary data suggested that, excluding oil and erratics, the three month on previous 3 month growth rate of export volumes had risen to 4 1/2% in August from 3.7% in July. The key issue </w:t>
      </w:r>
      <w:r>
        <w:rPr>
          <w:spacing w:val="-2"/>
          <w:sz w:val="24"/>
        </w:rPr>
        <w:t>was </w:t>
      </w:r>
      <w:r>
        <w:rPr>
          <w:sz w:val="24"/>
        </w:rPr>
        <w:t>whether the lags were simply longer than had been thought or whether there would be less of an effect.</w:t>
      </w:r>
    </w:p>
    <w:p>
      <w:pPr>
        <w:pStyle w:val="BodyText"/>
        <w:spacing w:before="10"/>
        <w:rPr>
          <w:sz w:val="36"/>
        </w:rPr>
      </w:pPr>
    </w:p>
    <w:p>
      <w:pPr>
        <w:pStyle w:val="ListParagraph"/>
        <w:numPr>
          <w:ilvl w:val="0"/>
          <w:numId w:val="1"/>
        </w:numPr>
        <w:tabs>
          <w:tab w:pos="1102" w:val="left" w:leader="none"/>
          <w:tab w:pos="1103" w:val="left" w:leader="none"/>
        </w:tabs>
        <w:spacing w:line="372" w:lineRule="auto" w:before="0" w:after="0"/>
        <w:ind w:left="252" w:right="315" w:firstLine="0"/>
        <w:jc w:val="left"/>
        <w:rPr>
          <w:sz w:val="24"/>
        </w:rPr>
      </w:pPr>
      <w:r>
        <w:rPr>
          <w:sz w:val="24"/>
        </w:rPr>
        <w:t>One possible explanation was the strength of external demand. OECD data suggested that</w:t>
      </w:r>
      <w:r>
        <w:rPr>
          <w:spacing w:val="-45"/>
          <w:sz w:val="24"/>
        </w:rPr>
        <w:t> </w:t>
      </w:r>
      <w:r>
        <w:rPr>
          <w:sz w:val="24"/>
        </w:rPr>
        <w:t>in the first half of 1997 the UK’s export markets for goods had grown strongly, which may have </w:t>
      </w:r>
      <w:r>
        <w:rPr>
          <w:spacing w:val="-2"/>
          <w:sz w:val="24"/>
        </w:rPr>
        <w:t>helped </w:t>
      </w:r>
      <w:r>
        <w:rPr>
          <w:sz w:val="24"/>
        </w:rPr>
        <w:t>to sustain export volumes in spite of the appreciation. There had also been a striking growth in exports outside Europe. It was possible that UK exporters had responded by increasing their</w:t>
      </w:r>
      <w:r>
        <w:rPr>
          <w:spacing w:val="16"/>
          <w:sz w:val="24"/>
        </w:rPr>
        <w:t> </w:t>
      </w:r>
      <w:r>
        <w:rPr>
          <w:sz w:val="24"/>
        </w:rPr>
        <w:t>efforts</w:t>
      </w:r>
    </w:p>
    <w:p>
      <w:pPr>
        <w:spacing w:after="0" w:line="372" w:lineRule="auto"/>
        <w:jc w:val="left"/>
        <w:rPr>
          <w:sz w:val="24"/>
        </w:rPr>
        <w:sectPr>
          <w:pgSz w:w="11900" w:h="16840"/>
          <w:pgMar w:header="863" w:footer="0" w:top="1340" w:bottom="280" w:left="880" w:right="740"/>
        </w:sectPr>
      </w:pPr>
    </w:p>
    <w:p>
      <w:pPr>
        <w:pStyle w:val="BodyText"/>
        <w:spacing w:before="8"/>
        <w:rPr>
          <w:sz w:val="23"/>
        </w:rPr>
      </w:pPr>
    </w:p>
    <w:p>
      <w:pPr>
        <w:pStyle w:val="BodyText"/>
        <w:spacing w:line="372" w:lineRule="auto" w:before="90"/>
        <w:ind w:left="252" w:right="230"/>
      </w:pPr>
      <w:r>
        <w:rPr/>
        <w:t>to</w:t>
      </w:r>
      <w:r>
        <w:rPr>
          <w:spacing w:val="-11"/>
        </w:rPr>
        <w:t> </w:t>
      </w:r>
      <w:r>
        <w:rPr/>
        <w:t>penetrate</w:t>
      </w:r>
      <w:r>
        <w:rPr>
          <w:spacing w:val="-11"/>
        </w:rPr>
        <w:t> </w:t>
      </w:r>
      <w:r>
        <w:rPr/>
        <w:t>new</w:t>
      </w:r>
      <w:r>
        <w:rPr>
          <w:spacing w:val="-11"/>
        </w:rPr>
        <w:t> </w:t>
      </w:r>
      <w:r>
        <w:rPr/>
        <w:t>markets,</w:t>
      </w:r>
      <w:r>
        <w:rPr>
          <w:spacing w:val="-11"/>
        </w:rPr>
        <w:t> </w:t>
      </w:r>
      <w:r>
        <w:rPr/>
        <w:t>against</w:t>
      </w:r>
      <w:r>
        <w:rPr>
          <w:spacing w:val="-11"/>
        </w:rPr>
        <w:t> </w:t>
      </w:r>
      <w:r>
        <w:rPr/>
        <w:t>which</w:t>
      </w:r>
      <w:r>
        <w:rPr>
          <w:spacing w:val="-11"/>
        </w:rPr>
        <w:t> </w:t>
      </w:r>
      <w:r>
        <w:rPr/>
        <w:t>sterling’s</w:t>
      </w:r>
      <w:r>
        <w:rPr>
          <w:spacing w:val="-11"/>
        </w:rPr>
        <w:t> </w:t>
      </w:r>
      <w:r>
        <w:rPr/>
        <w:t>appreciation</w:t>
      </w:r>
      <w:r>
        <w:rPr>
          <w:spacing w:val="-11"/>
        </w:rPr>
        <w:t> </w:t>
      </w:r>
      <w:r>
        <w:rPr/>
        <w:t>had</w:t>
      </w:r>
      <w:r>
        <w:rPr>
          <w:spacing w:val="-11"/>
        </w:rPr>
        <w:t> </w:t>
      </w:r>
      <w:r>
        <w:rPr/>
        <w:t>been</w:t>
      </w:r>
      <w:r>
        <w:rPr>
          <w:spacing w:val="-11"/>
        </w:rPr>
        <w:t> </w:t>
      </w:r>
      <w:r>
        <w:rPr/>
        <w:t>smaller</w:t>
      </w:r>
      <w:r>
        <w:rPr>
          <w:spacing w:val="-11"/>
        </w:rPr>
        <w:t> </w:t>
      </w:r>
      <w:r>
        <w:rPr/>
        <w:t>than</w:t>
      </w:r>
      <w:r>
        <w:rPr>
          <w:spacing w:val="-11"/>
        </w:rPr>
        <w:t> </w:t>
      </w:r>
      <w:r>
        <w:rPr/>
        <w:t>against continental Europe.</w:t>
      </w:r>
    </w:p>
    <w:p>
      <w:pPr>
        <w:pStyle w:val="BodyText"/>
        <w:rPr>
          <w:sz w:val="37"/>
        </w:rPr>
      </w:pPr>
    </w:p>
    <w:p>
      <w:pPr>
        <w:pStyle w:val="ListParagraph"/>
        <w:numPr>
          <w:ilvl w:val="0"/>
          <w:numId w:val="1"/>
        </w:numPr>
        <w:tabs>
          <w:tab w:pos="1102" w:val="left" w:leader="none"/>
          <w:tab w:pos="1103" w:val="left" w:leader="none"/>
        </w:tabs>
        <w:spacing w:line="372" w:lineRule="auto" w:before="0" w:after="0"/>
        <w:ind w:left="252" w:right="561" w:firstLine="0"/>
        <w:jc w:val="left"/>
        <w:rPr>
          <w:sz w:val="24"/>
        </w:rPr>
      </w:pPr>
      <w:r>
        <w:rPr>
          <w:sz w:val="24"/>
        </w:rPr>
        <w:t>A second contributory factor might be that exporters had initially cut margins in order </w:t>
      </w:r>
      <w:r>
        <w:rPr>
          <w:spacing w:val="-3"/>
          <w:sz w:val="24"/>
        </w:rPr>
        <w:t>maintain market share, </w:t>
      </w:r>
      <w:r>
        <w:rPr>
          <w:sz w:val="24"/>
        </w:rPr>
        <w:t>in </w:t>
      </w:r>
      <w:r>
        <w:rPr>
          <w:spacing w:val="-3"/>
          <w:sz w:val="24"/>
        </w:rPr>
        <w:t>which case they might eventually have </w:t>
      </w:r>
      <w:r>
        <w:rPr>
          <w:sz w:val="24"/>
        </w:rPr>
        <w:t>to cut </w:t>
      </w:r>
      <w:r>
        <w:rPr>
          <w:spacing w:val="-3"/>
          <w:sz w:val="24"/>
        </w:rPr>
        <w:t>costs </w:t>
      </w:r>
      <w:r>
        <w:rPr>
          <w:sz w:val="24"/>
        </w:rPr>
        <w:t>to </w:t>
      </w:r>
      <w:r>
        <w:rPr>
          <w:spacing w:val="-3"/>
          <w:sz w:val="24"/>
        </w:rPr>
        <w:t>rebuild profitability. </w:t>
      </w:r>
      <w:r>
        <w:rPr>
          <w:sz w:val="24"/>
        </w:rPr>
        <w:t>There was some support for this from anecdotal evidence that managements were taking further measures to cut</w:t>
      </w:r>
      <w:r>
        <w:rPr>
          <w:spacing w:val="6"/>
          <w:sz w:val="24"/>
        </w:rPr>
        <w:t> </w:t>
      </w:r>
      <w:r>
        <w:rPr>
          <w:sz w:val="24"/>
        </w:rPr>
        <w:t>costs.</w:t>
      </w:r>
    </w:p>
    <w:p>
      <w:pPr>
        <w:pStyle w:val="BodyText"/>
        <w:spacing w:before="11"/>
        <w:rPr>
          <w:sz w:val="36"/>
        </w:rPr>
      </w:pPr>
    </w:p>
    <w:p>
      <w:pPr>
        <w:pStyle w:val="ListParagraph"/>
        <w:numPr>
          <w:ilvl w:val="0"/>
          <w:numId w:val="1"/>
        </w:numPr>
        <w:tabs>
          <w:tab w:pos="1102" w:val="left" w:leader="none"/>
          <w:tab w:pos="1103" w:val="left" w:leader="none"/>
        </w:tabs>
        <w:spacing w:line="372" w:lineRule="auto" w:before="0" w:after="0"/>
        <w:ind w:left="252" w:right="295" w:firstLine="0"/>
        <w:jc w:val="left"/>
        <w:rPr>
          <w:sz w:val="24"/>
        </w:rPr>
      </w:pPr>
      <w:r>
        <w:rPr>
          <w:sz w:val="24"/>
        </w:rPr>
        <w:t>It was possible that the real exchange rate had appreciated because of supply side improvements, or quality enhancements. It was noted that a recent CBI study suggested that a large proportion of UK manufacturing firms fell short of “best practice” in terms of productivity, so that there was scope for such improvements. This was consistent with the assumption about the path of the exchange rate in the central projection of the November Inflation Report; some of the portfolio or erratic</w:t>
      </w:r>
      <w:r>
        <w:rPr>
          <w:spacing w:val="-10"/>
          <w:sz w:val="24"/>
        </w:rPr>
        <w:t> </w:t>
      </w:r>
      <w:r>
        <w:rPr>
          <w:sz w:val="24"/>
        </w:rPr>
        <w:t>factors</w:t>
      </w:r>
      <w:r>
        <w:rPr>
          <w:spacing w:val="-9"/>
          <w:sz w:val="24"/>
        </w:rPr>
        <w:t> </w:t>
      </w:r>
      <w:r>
        <w:rPr>
          <w:sz w:val="24"/>
        </w:rPr>
        <w:t>contributing</w:t>
      </w:r>
      <w:r>
        <w:rPr>
          <w:spacing w:val="-9"/>
          <w:sz w:val="24"/>
        </w:rPr>
        <w:t> </w:t>
      </w:r>
      <w:r>
        <w:rPr>
          <w:sz w:val="24"/>
        </w:rPr>
        <w:t>to</w:t>
      </w:r>
      <w:r>
        <w:rPr>
          <w:spacing w:val="-9"/>
          <w:sz w:val="24"/>
        </w:rPr>
        <w:t> </w:t>
      </w:r>
      <w:r>
        <w:rPr>
          <w:sz w:val="24"/>
        </w:rPr>
        <w:t>sterling’s</w:t>
      </w:r>
      <w:r>
        <w:rPr>
          <w:spacing w:val="-9"/>
          <w:sz w:val="24"/>
        </w:rPr>
        <w:t> </w:t>
      </w:r>
      <w:r>
        <w:rPr>
          <w:sz w:val="24"/>
        </w:rPr>
        <w:t>appreciation</w:t>
      </w:r>
      <w:r>
        <w:rPr>
          <w:spacing w:val="-9"/>
          <w:sz w:val="24"/>
        </w:rPr>
        <w:t> </w:t>
      </w:r>
      <w:r>
        <w:rPr>
          <w:sz w:val="24"/>
        </w:rPr>
        <w:t>had</w:t>
      </w:r>
      <w:r>
        <w:rPr>
          <w:spacing w:val="-9"/>
          <w:sz w:val="24"/>
        </w:rPr>
        <w:t> </w:t>
      </w:r>
      <w:r>
        <w:rPr>
          <w:sz w:val="24"/>
        </w:rPr>
        <w:t>unwound</w:t>
      </w:r>
      <w:r>
        <w:rPr>
          <w:spacing w:val="-9"/>
          <w:sz w:val="24"/>
        </w:rPr>
        <w:t> </w:t>
      </w:r>
      <w:r>
        <w:rPr>
          <w:sz w:val="24"/>
        </w:rPr>
        <w:t>faster</w:t>
      </w:r>
      <w:r>
        <w:rPr>
          <w:spacing w:val="-9"/>
          <w:sz w:val="24"/>
        </w:rPr>
        <w:t> </w:t>
      </w:r>
      <w:r>
        <w:rPr>
          <w:sz w:val="24"/>
        </w:rPr>
        <w:t>than</w:t>
      </w:r>
      <w:r>
        <w:rPr>
          <w:spacing w:val="-10"/>
          <w:sz w:val="24"/>
        </w:rPr>
        <w:t> </w:t>
      </w:r>
      <w:r>
        <w:rPr>
          <w:sz w:val="24"/>
        </w:rPr>
        <w:t>assumed</w:t>
      </w:r>
      <w:r>
        <w:rPr>
          <w:spacing w:val="-9"/>
          <w:sz w:val="24"/>
        </w:rPr>
        <w:t> </w:t>
      </w:r>
      <w:r>
        <w:rPr>
          <w:sz w:val="24"/>
        </w:rPr>
        <w:t>in</w:t>
      </w:r>
      <w:r>
        <w:rPr>
          <w:spacing w:val="-9"/>
          <w:sz w:val="24"/>
        </w:rPr>
        <w:t> </w:t>
      </w:r>
      <w:r>
        <w:rPr>
          <w:sz w:val="24"/>
        </w:rPr>
        <w:t>August,</w:t>
      </w:r>
      <w:r>
        <w:rPr>
          <w:spacing w:val="-9"/>
          <w:sz w:val="24"/>
        </w:rPr>
        <w:t> </w:t>
      </w:r>
      <w:r>
        <w:rPr>
          <w:spacing w:val="-2"/>
          <w:sz w:val="24"/>
        </w:rPr>
        <w:t>and </w:t>
      </w:r>
      <w:r>
        <w:rPr>
          <w:sz w:val="24"/>
        </w:rPr>
        <w:t>it was now assumed that the most likely course was that there would be no further unwind of these factors,</w:t>
      </w:r>
      <w:r>
        <w:rPr>
          <w:spacing w:val="-7"/>
          <w:sz w:val="24"/>
        </w:rPr>
        <w:t> </w:t>
      </w:r>
      <w:r>
        <w:rPr>
          <w:sz w:val="24"/>
        </w:rPr>
        <w:t>leading</w:t>
      </w:r>
      <w:r>
        <w:rPr>
          <w:spacing w:val="-7"/>
          <w:sz w:val="24"/>
        </w:rPr>
        <w:t> </w:t>
      </w:r>
      <w:r>
        <w:rPr>
          <w:sz w:val="24"/>
        </w:rPr>
        <w:t>to</w:t>
      </w:r>
      <w:r>
        <w:rPr>
          <w:spacing w:val="-7"/>
          <w:sz w:val="24"/>
        </w:rPr>
        <w:t> </w:t>
      </w:r>
      <w:r>
        <w:rPr>
          <w:sz w:val="24"/>
        </w:rPr>
        <w:t>a</w:t>
      </w:r>
      <w:r>
        <w:rPr>
          <w:spacing w:val="-7"/>
          <w:sz w:val="24"/>
        </w:rPr>
        <w:t> </w:t>
      </w:r>
      <w:r>
        <w:rPr>
          <w:sz w:val="24"/>
        </w:rPr>
        <w:t>slower</w:t>
      </w:r>
      <w:r>
        <w:rPr>
          <w:spacing w:val="-7"/>
          <w:sz w:val="24"/>
        </w:rPr>
        <w:t> </w:t>
      </w:r>
      <w:r>
        <w:rPr>
          <w:sz w:val="24"/>
        </w:rPr>
        <w:t>rate</w:t>
      </w:r>
      <w:r>
        <w:rPr>
          <w:spacing w:val="-7"/>
          <w:sz w:val="24"/>
        </w:rPr>
        <w:t> </w:t>
      </w:r>
      <w:r>
        <w:rPr>
          <w:sz w:val="24"/>
        </w:rPr>
        <w:t>of</w:t>
      </w:r>
      <w:r>
        <w:rPr>
          <w:spacing w:val="-7"/>
          <w:sz w:val="24"/>
        </w:rPr>
        <w:t> </w:t>
      </w:r>
      <w:r>
        <w:rPr>
          <w:sz w:val="24"/>
        </w:rPr>
        <w:t>depreciation</w:t>
      </w:r>
      <w:r>
        <w:rPr>
          <w:spacing w:val="-7"/>
          <w:sz w:val="24"/>
        </w:rPr>
        <w:t> </w:t>
      </w:r>
      <w:r>
        <w:rPr>
          <w:sz w:val="24"/>
        </w:rPr>
        <w:t>in</w:t>
      </w:r>
      <w:r>
        <w:rPr>
          <w:spacing w:val="-7"/>
          <w:sz w:val="24"/>
        </w:rPr>
        <w:t> </w:t>
      </w:r>
      <w:r>
        <w:rPr>
          <w:sz w:val="24"/>
        </w:rPr>
        <w:t>the</w:t>
      </w:r>
      <w:r>
        <w:rPr>
          <w:spacing w:val="-7"/>
          <w:sz w:val="24"/>
        </w:rPr>
        <w:t> </w:t>
      </w:r>
      <w:r>
        <w:rPr>
          <w:sz w:val="24"/>
        </w:rPr>
        <w:t>central</w:t>
      </w:r>
      <w:r>
        <w:rPr>
          <w:spacing w:val="-7"/>
          <w:sz w:val="24"/>
        </w:rPr>
        <w:t> </w:t>
      </w:r>
      <w:r>
        <w:rPr>
          <w:sz w:val="24"/>
        </w:rPr>
        <w:t>case</w:t>
      </w:r>
      <w:r>
        <w:rPr>
          <w:spacing w:val="-7"/>
          <w:sz w:val="24"/>
        </w:rPr>
        <w:t> </w:t>
      </w:r>
      <w:r>
        <w:rPr>
          <w:sz w:val="24"/>
        </w:rPr>
        <w:t>than</w:t>
      </w:r>
      <w:r>
        <w:rPr>
          <w:spacing w:val="-7"/>
          <w:sz w:val="24"/>
        </w:rPr>
        <w:t> </w:t>
      </w:r>
      <w:r>
        <w:rPr>
          <w:sz w:val="24"/>
        </w:rPr>
        <w:t>in</w:t>
      </w:r>
      <w:r>
        <w:rPr>
          <w:spacing w:val="-7"/>
          <w:sz w:val="24"/>
        </w:rPr>
        <w:t> </w:t>
      </w:r>
      <w:r>
        <w:rPr>
          <w:sz w:val="24"/>
        </w:rPr>
        <w:t>August.</w:t>
      </w:r>
      <w:r>
        <w:rPr>
          <w:spacing w:val="49"/>
          <w:sz w:val="24"/>
        </w:rPr>
        <w:t> </w:t>
      </w:r>
      <w:r>
        <w:rPr>
          <w:sz w:val="24"/>
        </w:rPr>
        <w:t>The</w:t>
      </w:r>
      <w:r>
        <w:rPr>
          <w:spacing w:val="-7"/>
          <w:sz w:val="24"/>
        </w:rPr>
        <w:t> </w:t>
      </w:r>
      <w:r>
        <w:rPr>
          <w:sz w:val="24"/>
        </w:rPr>
        <w:t>possibility</w:t>
      </w:r>
      <w:r>
        <w:rPr>
          <w:spacing w:val="-7"/>
          <w:sz w:val="24"/>
        </w:rPr>
        <w:t> </w:t>
      </w:r>
      <w:r>
        <w:rPr>
          <w:sz w:val="24"/>
        </w:rPr>
        <w:t>of</w:t>
      </w:r>
      <w:r>
        <w:rPr>
          <w:spacing w:val="-7"/>
          <w:sz w:val="24"/>
        </w:rPr>
        <w:t> </w:t>
      </w:r>
      <w:r>
        <w:rPr>
          <w:sz w:val="24"/>
        </w:rPr>
        <w:t>a further</w:t>
      </w:r>
      <w:r>
        <w:rPr>
          <w:spacing w:val="-6"/>
          <w:sz w:val="24"/>
        </w:rPr>
        <w:t> </w:t>
      </w:r>
      <w:r>
        <w:rPr>
          <w:sz w:val="24"/>
        </w:rPr>
        <w:t>unwind</w:t>
      </w:r>
      <w:r>
        <w:rPr>
          <w:spacing w:val="-5"/>
          <w:sz w:val="24"/>
        </w:rPr>
        <w:t> </w:t>
      </w:r>
      <w:r>
        <w:rPr>
          <w:sz w:val="24"/>
        </w:rPr>
        <w:t>was</w:t>
      </w:r>
      <w:r>
        <w:rPr>
          <w:spacing w:val="-5"/>
          <w:sz w:val="24"/>
        </w:rPr>
        <w:t> </w:t>
      </w:r>
      <w:r>
        <w:rPr>
          <w:sz w:val="24"/>
        </w:rPr>
        <w:t>instead</w:t>
      </w:r>
      <w:r>
        <w:rPr>
          <w:spacing w:val="-5"/>
          <w:sz w:val="24"/>
        </w:rPr>
        <w:t> </w:t>
      </w:r>
      <w:r>
        <w:rPr>
          <w:sz w:val="24"/>
        </w:rPr>
        <w:t>reflected</w:t>
      </w:r>
      <w:r>
        <w:rPr>
          <w:spacing w:val="-6"/>
          <w:sz w:val="24"/>
        </w:rPr>
        <w:t> </w:t>
      </w:r>
      <w:r>
        <w:rPr>
          <w:sz w:val="24"/>
        </w:rPr>
        <w:t>in</w:t>
      </w:r>
      <w:r>
        <w:rPr>
          <w:spacing w:val="-5"/>
          <w:sz w:val="24"/>
        </w:rPr>
        <w:t> </w:t>
      </w:r>
      <w:r>
        <w:rPr>
          <w:sz w:val="24"/>
        </w:rPr>
        <w:t>a</w:t>
      </w:r>
      <w:r>
        <w:rPr>
          <w:spacing w:val="-5"/>
          <w:sz w:val="24"/>
        </w:rPr>
        <w:t> </w:t>
      </w:r>
      <w:r>
        <w:rPr>
          <w:sz w:val="24"/>
        </w:rPr>
        <w:t>skewed</w:t>
      </w:r>
      <w:r>
        <w:rPr>
          <w:spacing w:val="-5"/>
          <w:sz w:val="24"/>
        </w:rPr>
        <w:t> </w:t>
      </w:r>
      <w:r>
        <w:rPr>
          <w:sz w:val="24"/>
        </w:rPr>
        <w:t>balance</w:t>
      </w:r>
      <w:r>
        <w:rPr>
          <w:spacing w:val="-6"/>
          <w:sz w:val="24"/>
        </w:rPr>
        <w:t> </w:t>
      </w:r>
      <w:r>
        <w:rPr>
          <w:sz w:val="24"/>
        </w:rPr>
        <w:t>of</w:t>
      </w:r>
      <w:r>
        <w:rPr>
          <w:spacing w:val="-5"/>
          <w:sz w:val="24"/>
        </w:rPr>
        <w:t> </w:t>
      </w:r>
      <w:r>
        <w:rPr>
          <w:sz w:val="24"/>
        </w:rPr>
        <w:t>risks</w:t>
      </w:r>
      <w:r>
        <w:rPr>
          <w:spacing w:val="-5"/>
          <w:sz w:val="24"/>
        </w:rPr>
        <w:t> </w:t>
      </w:r>
      <w:r>
        <w:rPr>
          <w:sz w:val="24"/>
        </w:rPr>
        <w:t>around</w:t>
      </w:r>
      <w:r>
        <w:rPr>
          <w:spacing w:val="-5"/>
          <w:sz w:val="24"/>
        </w:rPr>
        <w:t> </w:t>
      </w:r>
      <w:r>
        <w:rPr>
          <w:sz w:val="24"/>
        </w:rPr>
        <w:t>the</w:t>
      </w:r>
      <w:r>
        <w:rPr>
          <w:spacing w:val="-6"/>
          <w:sz w:val="24"/>
        </w:rPr>
        <w:t> </w:t>
      </w:r>
      <w:r>
        <w:rPr>
          <w:sz w:val="24"/>
        </w:rPr>
        <w:t>central</w:t>
      </w:r>
      <w:r>
        <w:rPr>
          <w:spacing w:val="-5"/>
          <w:sz w:val="24"/>
        </w:rPr>
        <w:t> </w:t>
      </w:r>
      <w:r>
        <w:rPr>
          <w:sz w:val="24"/>
        </w:rPr>
        <w:t>projection.</w:t>
      </w:r>
    </w:p>
    <w:p>
      <w:pPr>
        <w:pStyle w:val="BodyText"/>
        <w:spacing w:before="8"/>
        <w:rPr>
          <w:sz w:val="36"/>
        </w:rPr>
      </w:pPr>
    </w:p>
    <w:p>
      <w:pPr>
        <w:pStyle w:val="ListParagraph"/>
        <w:numPr>
          <w:ilvl w:val="0"/>
          <w:numId w:val="1"/>
        </w:numPr>
        <w:tabs>
          <w:tab w:pos="1102" w:val="left" w:leader="none"/>
          <w:tab w:pos="1103" w:val="left" w:leader="none"/>
        </w:tabs>
        <w:spacing w:line="372" w:lineRule="auto" w:before="0" w:after="0"/>
        <w:ind w:left="252" w:right="358" w:firstLine="0"/>
        <w:jc w:val="left"/>
        <w:rPr>
          <w:sz w:val="24"/>
        </w:rPr>
      </w:pPr>
      <w:r>
        <w:rPr>
          <w:sz w:val="24"/>
        </w:rPr>
        <w:t>A </w:t>
      </w:r>
      <w:r>
        <w:rPr>
          <w:spacing w:val="-3"/>
          <w:sz w:val="24"/>
        </w:rPr>
        <w:t>further possibility </w:t>
      </w:r>
      <w:r>
        <w:rPr>
          <w:sz w:val="24"/>
        </w:rPr>
        <w:t>was </w:t>
      </w:r>
      <w:r>
        <w:rPr>
          <w:spacing w:val="-3"/>
          <w:sz w:val="24"/>
        </w:rPr>
        <w:t>that, against </w:t>
      </w:r>
      <w:r>
        <w:rPr>
          <w:sz w:val="24"/>
        </w:rPr>
        <w:t>a </w:t>
      </w:r>
      <w:r>
        <w:rPr>
          <w:spacing w:val="-3"/>
          <w:sz w:val="24"/>
        </w:rPr>
        <w:t>history </w:t>
      </w:r>
      <w:r>
        <w:rPr>
          <w:sz w:val="24"/>
        </w:rPr>
        <w:t>of </w:t>
      </w:r>
      <w:r>
        <w:rPr>
          <w:spacing w:val="-3"/>
          <w:sz w:val="24"/>
        </w:rPr>
        <w:t>relatively high exchange rate volatility, </w:t>
      </w:r>
      <w:r>
        <w:rPr>
          <w:sz w:val="24"/>
        </w:rPr>
        <w:t>firms had originally thought the appreciation would be temporary, and had thus accepted what they regarded as temporary falls in export margins. If true, as the appreciation persisted, firms would </w:t>
      </w:r>
      <w:r>
        <w:rPr>
          <w:spacing w:val="-3"/>
          <w:sz w:val="24"/>
        </w:rPr>
        <w:t>increasingly regard sterling’s higher level </w:t>
      </w:r>
      <w:r>
        <w:rPr>
          <w:sz w:val="24"/>
        </w:rPr>
        <w:t>as </w:t>
      </w:r>
      <w:r>
        <w:rPr>
          <w:spacing w:val="-3"/>
          <w:sz w:val="24"/>
        </w:rPr>
        <w:t>permanent, </w:t>
      </w:r>
      <w:r>
        <w:rPr>
          <w:sz w:val="24"/>
        </w:rPr>
        <w:t>and the </w:t>
      </w:r>
      <w:r>
        <w:rPr>
          <w:spacing w:val="-3"/>
          <w:sz w:val="24"/>
        </w:rPr>
        <w:t>volume effects </w:t>
      </w:r>
      <w:r>
        <w:rPr>
          <w:sz w:val="24"/>
        </w:rPr>
        <w:t>on net </w:t>
      </w:r>
      <w:r>
        <w:rPr>
          <w:spacing w:val="-3"/>
          <w:sz w:val="24"/>
        </w:rPr>
        <w:t>trade would </w:t>
      </w:r>
      <w:r>
        <w:rPr>
          <w:sz w:val="24"/>
        </w:rPr>
        <w:t>bite. However, it could be argued that, if this were so, surveys of expected export volumes should be showing a continuing deterioration, whereas the latest CIPS monthly survey had shown renewed </w:t>
      </w:r>
      <w:r>
        <w:rPr>
          <w:spacing w:val="-3"/>
          <w:sz w:val="24"/>
        </w:rPr>
        <w:t>growth </w:t>
      </w:r>
      <w:r>
        <w:rPr>
          <w:sz w:val="24"/>
        </w:rPr>
        <w:t>and the CBI </w:t>
      </w:r>
      <w:r>
        <w:rPr>
          <w:spacing w:val="-3"/>
          <w:sz w:val="24"/>
        </w:rPr>
        <w:t>survey </w:t>
      </w:r>
      <w:r>
        <w:rPr>
          <w:sz w:val="24"/>
        </w:rPr>
        <w:t>had </w:t>
      </w:r>
      <w:r>
        <w:rPr>
          <w:spacing w:val="-3"/>
          <w:sz w:val="24"/>
        </w:rPr>
        <w:t>shown </w:t>
      </w:r>
      <w:r>
        <w:rPr>
          <w:sz w:val="24"/>
        </w:rPr>
        <w:t>a </w:t>
      </w:r>
      <w:r>
        <w:rPr>
          <w:spacing w:val="-3"/>
          <w:sz w:val="24"/>
        </w:rPr>
        <w:t>slightly less negative balance. Against this, </w:t>
      </w:r>
      <w:r>
        <w:rPr>
          <w:sz w:val="24"/>
        </w:rPr>
        <w:t>the </w:t>
      </w:r>
      <w:r>
        <w:rPr>
          <w:spacing w:val="-3"/>
          <w:sz w:val="24"/>
        </w:rPr>
        <w:t>slightly less </w:t>
      </w:r>
      <w:r>
        <w:rPr>
          <w:sz w:val="24"/>
        </w:rPr>
        <w:t>up to date quarterly BCC survey reported manufactured export sales at a five year</w:t>
      </w:r>
      <w:r>
        <w:rPr>
          <w:spacing w:val="-9"/>
          <w:sz w:val="24"/>
        </w:rPr>
        <w:t> </w:t>
      </w:r>
      <w:r>
        <w:rPr>
          <w:sz w:val="24"/>
        </w:rPr>
        <w:t>low.</w:t>
      </w:r>
    </w:p>
    <w:p>
      <w:pPr>
        <w:pStyle w:val="BodyText"/>
        <w:spacing w:before="9"/>
        <w:rPr>
          <w:sz w:val="36"/>
        </w:rPr>
      </w:pPr>
    </w:p>
    <w:p>
      <w:pPr>
        <w:pStyle w:val="ListParagraph"/>
        <w:numPr>
          <w:ilvl w:val="0"/>
          <w:numId w:val="1"/>
        </w:numPr>
        <w:tabs>
          <w:tab w:pos="1102" w:val="left" w:leader="none"/>
          <w:tab w:pos="1103" w:val="left" w:leader="none"/>
        </w:tabs>
        <w:spacing w:line="372" w:lineRule="auto" w:before="0" w:after="0"/>
        <w:ind w:left="252" w:right="335" w:firstLine="0"/>
        <w:jc w:val="left"/>
        <w:rPr>
          <w:sz w:val="24"/>
        </w:rPr>
      </w:pPr>
      <w:r>
        <w:rPr>
          <w:sz w:val="24"/>
        </w:rPr>
        <w:t>The Committee agreed that the picture on net trade was difficult to assess. Notwithstanding the</w:t>
      </w:r>
      <w:r>
        <w:rPr>
          <w:spacing w:val="-7"/>
          <w:sz w:val="24"/>
        </w:rPr>
        <w:t> </w:t>
      </w:r>
      <w:r>
        <w:rPr>
          <w:sz w:val="24"/>
        </w:rPr>
        <w:t>limited</w:t>
      </w:r>
      <w:r>
        <w:rPr>
          <w:spacing w:val="-7"/>
          <w:sz w:val="24"/>
        </w:rPr>
        <w:t> </w:t>
      </w:r>
      <w:r>
        <w:rPr>
          <w:sz w:val="24"/>
        </w:rPr>
        <w:t>impact</w:t>
      </w:r>
      <w:r>
        <w:rPr>
          <w:spacing w:val="-6"/>
          <w:sz w:val="24"/>
        </w:rPr>
        <w:t> </w:t>
      </w:r>
      <w:r>
        <w:rPr>
          <w:sz w:val="24"/>
        </w:rPr>
        <w:t>so</w:t>
      </w:r>
      <w:r>
        <w:rPr>
          <w:spacing w:val="-7"/>
          <w:sz w:val="24"/>
        </w:rPr>
        <w:t> </w:t>
      </w:r>
      <w:r>
        <w:rPr>
          <w:sz w:val="24"/>
        </w:rPr>
        <w:t>far,</w:t>
      </w:r>
      <w:r>
        <w:rPr>
          <w:spacing w:val="-7"/>
          <w:sz w:val="24"/>
        </w:rPr>
        <w:t> </w:t>
      </w:r>
      <w:r>
        <w:rPr>
          <w:sz w:val="24"/>
        </w:rPr>
        <w:t>the</w:t>
      </w:r>
      <w:r>
        <w:rPr>
          <w:spacing w:val="-6"/>
          <w:sz w:val="24"/>
        </w:rPr>
        <w:t> </w:t>
      </w:r>
      <w:r>
        <w:rPr>
          <w:sz w:val="24"/>
        </w:rPr>
        <w:t>most</w:t>
      </w:r>
      <w:r>
        <w:rPr>
          <w:spacing w:val="-7"/>
          <w:sz w:val="24"/>
        </w:rPr>
        <w:t> </w:t>
      </w:r>
      <w:r>
        <w:rPr>
          <w:sz w:val="24"/>
        </w:rPr>
        <w:t>likely</w:t>
      </w:r>
      <w:r>
        <w:rPr>
          <w:spacing w:val="-7"/>
          <w:sz w:val="24"/>
        </w:rPr>
        <w:t> </w:t>
      </w:r>
      <w:r>
        <w:rPr>
          <w:sz w:val="24"/>
        </w:rPr>
        <w:t>effect</w:t>
      </w:r>
      <w:r>
        <w:rPr>
          <w:spacing w:val="-6"/>
          <w:sz w:val="24"/>
        </w:rPr>
        <w:t> </w:t>
      </w:r>
      <w:r>
        <w:rPr>
          <w:sz w:val="24"/>
        </w:rPr>
        <w:t>of</w:t>
      </w:r>
      <w:r>
        <w:rPr>
          <w:spacing w:val="-7"/>
          <w:sz w:val="24"/>
        </w:rPr>
        <w:t> </w:t>
      </w:r>
      <w:r>
        <w:rPr>
          <w:sz w:val="24"/>
        </w:rPr>
        <w:t>a</w:t>
      </w:r>
      <w:r>
        <w:rPr>
          <w:spacing w:val="-6"/>
          <w:sz w:val="24"/>
        </w:rPr>
        <w:t> </w:t>
      </w:r>
      <w:r>
        <w:rPr>
          <w:sz w:val="24"/>
        </w:rPr>
        <w:t>20%</w:t>
      </w:r>
      <w:r>
        <w:rPr>
          <w:spacing w:val="-7"/>
          <w:sz w:val="24"/>
        </w:rPr>
        <w:t> </w:t>
      </w:r>
      <w:r>
        <w:rPr>
          <w:sz w:val="24"/>
        </w:rPr>
        <w:t>appreciation</w:t>
      </w:r>
      <w:r>
        <w:rPr>
          <w:spacing w:val="-7"/>
          <w:sz w:val="24"/>
        </w:rPr>
        <w:t> </w:t>
      </w:r>
      <w:r>
        <w:rPr>
          <w:sz w:val="24"/>
        </w:rPr>
        <w:t>over</w:t>
      </w:r>
      <w:r>
        <w:rPr>
          <w:spacing w:val="-6"/>
          <w:sz w:val="24"/>
        </w:rPr>
        <w:t> </w:t>
      </w:r>
      <w:r>
        <w:rPr>
          <w:sz w:val="24"/>
        </w:rPr>
        <w:t>a</w:t>
      </w:r>
      <w:r>
        <w:rPr>
          <w:spacing w:val="-7"/>
          <w:sz w:val="24"/>
        </w:rPr>
        <w:t> </w:t>
      </w:r>
      <w:r>
        <w:rPr>
          <w:sz w:val="24"/>
        </w:rPr>
        <w:t>year</w:t>
      </w:r>
      <w:r>
        <w:rPr>
          <w:spacing w:val="-7"/>
          <w:sz w:val="24"/>
        </w:rPr>
        <w:t> </w:t>
      </w:r>
      <w:r>
        <w:rPr>
          <w:sz w:val="24"/>
        </w:rPr>
        <w:t>was</w:t>
      </w:r>
      <w:r>
        <w:rPr>
          <w:spacing w:val="-6"/>
          <w:sz w:val="24"/>
        </w:rPr>
        <w:t> </w:t>
      </w:r>
      <w:r>
        <w:rPr>
          <w:sz w:val="24"/>
        </w:rPr>
        <w:t>that</w:t>
      </w:r>
      <w:r>
        <w:rPr>
          <w:spacing w:val="-7"/>
          <w:sz w:val="24"/>
        </w:rPr>
        <w:t> </w:t>
      </w:r>
      <w:r>
        <w:rPr>
          <w:sz w:val="24"/>
        </w:rPr>
        <w:t>net</w:t>
      </w:r>
      <w:r>
        <w:rPr>
          <w:spacing w:val="-6"/>
          <w:sz w:val="24"/>
        </w:rPr>
        <w:t> </w:t>
      </w:r>
      <w:r>
        <w:rPr>
          <w:sz w:val="24"/>
        </w:rPr>
        <w:t>exports would make a marked negative contribution to GDP growth next year, so that the impact was delayed. But as time passed without concrete evidence of this, the possibility of a smaller </w:t>
      </w:r>
      <w:r>
        <w:rPr>
          <w:spacing w:val="-2"/>
          <w:sz w:val="24"/>
        </w:rPr>
        <w:t>effect </w:t>
      </w:r>
      <w:r>
        <w:rPr>
          <w:sz w:val="24"/>
        </w:rPr>
        <w:t>increased.</w:t>
      </w:r>
      <w:r>
        <w:rPr>
          <w:spacing w:val="45"/>
          <w:sz w:val="24"/>
        </w:rPr>
        <w:t> </w:t>
      </w:r>
      <w:r>
        <w:rPr>
          <w:sz w:val="24"/>
        </w:rPr>
        <w:t>To</w:t>
      </w:r>
      <w:r>
        <w:rPr>
          <w:spacing w:val="-8"/>
          <w:sz w:val="24"/>
        </w:rPr>
        <w:t> </w:t>
      </w:r>
      <w:r>
        <w:rPr>
          <w:sz w:val="24"/>
        </w:rPr>
        <w:t>the</w:t>
      </w:r>
      <w:r>
        <w:rPr>
          <w:spacing w:val="-8"/>
          <w:sz w:val="24"/>
        </w:rPr>
        <w:t> </w:t>
      </w:r>
      <w:r>
        <w:rPr>
          <w:sz w:val="24"/>
        </w:rPr>
        <w:t>extent</w:t>
      </w:r>
      <w:r>
        <w:rPr>
          <w:spacing w:val="-8"/>
          <w:sz w:val="24"/>
        </w:rPr>
        <w:t> </w:t>
      </w:r>
      <w:r>
        <w:rPr>
          <w:sz w:val="24"/>
        </w:rPr>
        <w:t>that</w:t>
      </w:r>
      <w:r>
        <w:rPr>
          <w:spacing w:val="-7"/>
          <w:sz w:val="24"/>
        </w:rPr>
        <w:t> </w:t>
      </w:r>
      <w:r>
        <w:rPr>
          <w:sz w:val="24"/>
        </w:rPr>
        <w:t>a</w:t>
      </w:r>
      <w:r>
        <w:rPr>
          <w:spacing w:val="-8"/>
          <w:sz w:val="24"/>
        </w:rPr>
        <w:t> </w:t>
      </w:r>
      <w:r>
        <w:rPr>
          <w:sz w:val="24"/>
        </w:rPr>
        <w:t>reduced</w:t>
      </w:r>
      <w:r>
        <w:rPr>
          <w:spacing w:val="-8"/>
          <w:sz w:val="24"/>
        </w:rPr>
        <w:t> </w:t>
      </w:r>
      <w:r>
        <w:rPr>
          <w:sz w:val="24"/>
        </w:rPr>
        <w:t>sensitivity</w:t>
      </w:r>
      <w:r>
        <w:rPr>
          <w:spacing w:val="-8"/>
          <w:sz w:val="24"/>
        </w:rPr>
        <w:t> </w:t>
      </w:r>
      <w:r>
        <w:rPr>
          <w:sz w:val="24"/>
        </w:rPr>
        <w:t>of</w:t>
      </w:r>
      <w:r>
        <w:rPr>
          <w:spacing w:val="-8"/>
          <w:sz w:val="24"/>
        </w:rPr>
        <w:t> </w:t>
      </w:r>
      <w:r>
        <w:rPr>
          <w:sz w:val="24"/>
        </w:rPr>
        <w:t>exports</w:t>
      </w:r>
      <w:r>
        <w:rPr>
          <w:spacing w:val="-7"/>
          <w:sz w:val="24"/>
        </w:rPr>
        <w:t> </w:t>
      </w:r>
      <w:r>
        <w:rPr>
          <w:sz w:val="24"/>
        </w:rPr>
        <w:t>to</w:t>
      </w:r>
      <w:r>
        <w:rPr>
          <w:spacing w:val="-8"/>
          <w:sz w:val="24"/>
        </w:rPr>
        <w:t> </w:t>
      </w:r>
      <w:r>
        <w:rPr>
          <w:sz w:val="24"/>
        </w:rPr>
        <w:t>worsening</w:t>
      </w:r>
      <w:r>
        <w:rPr>
          <w:spacing w:val="-8"/>
          <w:sz w:val="24"/>
        </w:rPr>
        <w:t> </w:t>
      </w:r>
      <w:r>
        <w:rPr>
          <w:sz w:val="24"/>
        </w:rPr>
        <w:t>competitiveness</w:t>
      </w:r>
      <w:r>
        <w:rPr>
          <w:spacing w:val="-8"/>
          <w:sz w:val="24"/>
        </w:rPr>
        <w:t> </w:t>
      </w:r>
      <w:r>
        <w:rPr>
          <w:sz w:val="24"/>
        </w:rPr>
        <w:t>reflected</w:t>
      </w:r>
    </w:p>
    <w:p>
      <w:pPr>
        <w:spacing w:after="0" w:line="372" w:lineRule="auto"/>
        <w:jc w:val="left"/>
        <w:rPr>
          <w:sz w:val="24"/>
        </w:rPr>
        <w:sectPr>
          <w:pgSz w:w="11900" w:h="16840"/>
          <w:pgMar w:header="863" w:footer="0" w:top="1340" w:bottom="280" w:left="880" w:right="740"/>
        </w:sectPr>
      </w:pPr>
    </w:p>
    <w:p>
      <w:pPr>
        <w:pStyle w:val="BodyText"/>
        <w:spacing w:before="8"/>
        <w:rPr>
          <w:sz w:val="23"/>
        </w:rPr>
      </w:pPr>
    </w:p>
    <w:p>
      <w:pPr>
        <w:pStyle w:val="BodyText"/>
        <w:spacing w:line="372" w:lineRule="auto" w:before="90"/>
        <w:ind w:left="252" w:right="230"/>
      </w:pPr>
      <w:r>
        <w:rPr>
          <w:spacing w:val="-3"/>
        </w:rPr>
        <w:t>supply-side improvements (such </w:t>
      </w:r>
      <w:r>
        <w:rPr/>
        <w:t>as </w:t>
      </w:r>
      <w:r>
        <w:rPr>
          <w:spacing w:val="-3"/>
        </w:rPr>
        <w:t>higher productivity </w:t>
      </w:r>
      <w:r>
        <w:rPr/>
        <w:t>and </w:t>
      </w:r>
      <w:r>
        <w:rPr>
          <w:spacing w:val="-3"/>
        </w:rPr>
        <w:t>efficiency), </w:t>
      </w:r>
      <w:r>
        <w:rPr/>
        <w:t>a </w:t>
      </w:r>
      <w:r>
        <w:rPr>
          <w:spacing w:val="-3"/>
        </w:rPr>
        <w:t>smaller than expected effect </w:t>
      </w:r>
      <w:r>
        <w:rPr/>
        <w:t>from sterling’s appreciation on exports need not signal increased inflationary pressure.</w:t>
      </w:r>
    </w:p>
    <w:p>
      <w:pPr>
        <w:pStyle w:val="BodyText"/>
        <w:spacing w:before="5"/>
        <w:rPr>
          <w:sz w:val="37"/>
        </w:rPr>
      </w:pPr>
    </w:p>
    <w:p>
      <w:pPr>
        <w:pStyle w:val="Heading1"/>
      </w:pPr>
      <w:r>
        <w:rPr/>
        <w:t>Developments in Asia and financial market volatility</w:t>
      </w:r>
    </w:p>
    <w:p>
      <w:pPr>
        <w:pStyle w:val="BodyText"/>
        <w:rPr>
          <w:b/>
          <w:sz w:val="26"/>
        </w:rPr>
      </w:pPr>
    </w:p>
    <w:p>
      <w:pPr>
        <w:pStyle w:val="BodyText"/>
        <w:spacing w:before="10"/>
        <w:rPr>
          <w:b/>
          <w:sz w:val="23"/>
        </w:rPr>
      </w:pPr>
    </w:p>
    <w:p>
      <w:pPr>
        <w:pStyle w:val="ListParagraph"/>
        <w:numPr>
          <w:ilvl w:val="0"/>
          <w:numId w:val="1"/>
        </w:numPr>
        <w:tabs>
          <w:tab w:pos="1102" w:val="left" w:leader="none"/>
          <w:tab w:pos="1103" w:val="left" w:leader="none"/>
        </w:tabs>
        <w:spacing w:line="372" w:lineRule="auto" w:before="0" w:after="0"/>
        <w:ind w:left="252" w:right="416" w:firstLine="0"/>
        <w:jc w:val="left"/>
        <w:rPr>
          <w:sz w:val="24"/>
        </w:rPr>
      </w:pPr>
      <w:r>
        <w:rPr>
          <w:sz w:val="24"/>
        </w:rPr>
        <w:t>In a discussion of the Asian situation, it was noted that circumstances had moved on since the summer when the IMF view had been relatively optimistic. More countries were now affected, creating a risk of weaker net exports to and profits from the region. However, Asia accounted for a small part of UK trade directly, and there had been an offsetting improvement in short run </w:t>
      </w:r>
      <w:r>
        <w:rPr>
          <w:spacing w:val="-2"/>
          <w:sz w:val="24"/>
        </w:rPr>
        <w:t>growth </w:t>
      </w:r>
      <w:r>
        <w:rPr>
          <w:sz w:val="24"/>
        </w:rPr>
        <w:t>prospects in Continental Europe. The more important question, therefore, was the potential for knock-on</w:t>
      </w:r>
      <w:r>
        <w:rPr>
          <w:spacing w:val="-10"/>
          <w:sz w:val="24"/>
        </w:rPr>
        <w:t> </w:t>
      </w:r>
      <w:r>
        <w:rPr>
          <w:sz w:val="24"/>
        </w:rPr>
        <w:t>effects</w:t>
      </w:r>
      <w:r>
        <w:rPr>
          <w:spacing w:val="-9"/>
          <w:sz w:val="24"/>
        </w:rPr>
        <w:t> </w:t>
      </w:r>
      <w:r>
        <w:rPr>
          <w:sz w:val="24"/>
        </w:rPr>
        <w:t>in</w:t>
      </w:r>
      <w:r>
        <w:rPr>
          <w:spacing w:val="-9"/>
          <w:sz w:val="24"/>
        </w:rPr>
        <w:t> </w:t>
      </w:r>
      <w:r>
        <w:rPr>
          <w:sz w:val="24"/>
        </w:rPr>
        <w:t>other</w:t>
      </w:r>
      <w:r>
        <w:rPr>
          <w:spacing w:val="-9"/>
          <w:sz w:val="24"/>
        </w:rPr>
        <w:t> </w:t>
      </w:r>
      <w:r>
        <w:rPr>
          <w:sz w:val="24"/>
        </w:rPr>
        <w:t>regions,</w:t>
      </w:r>
      <w:r>
        <w:rPr>
          <w:spacing w:val="-9"/>
          <w:sz w:val="24"/>
        </w:rPr>
        <w:t> </w:t>
      </w:r>
      <w:r>
        <w:rPr>
          <w:sz w:val="24"/>
        </w:rPr>
        <w:t>for</w:t>
      </w:r>
      <w:r>
        <w:rPr>
          <w:spacing w:val="-9"/>
          <w:sz w:val="24"/>
        </w:rPr>
        <w:t> </w:t>
      </w:r>
      <w:r>
        <w:rPr>
          <w:sz w:val="24"/>
        </w:rPr>
        <w:t>example</w:t>
      </w:r>
      <w:r>
        <w:rPr>
          <w:spacing w:val="-10"/>
          <w:sz w:val="24"/>
        </w:rPr>
        <w:t> </w:t>
      </w:r>
      <w:r>
        <w:rPr>
          <w:sz w:val="24"/>
        </w:rPr>
        <w:t>Latin</w:t>
      </w:r>
      <w:r>
        <w:rPr>
          <w:spacing w:val="-9"/>
          <w:sz w:val="24"/>
        </w:rPr>
        <w:t> </w:t>
      </w:r>
      <w:r>
        <w:rPr>
          <w:sz w:val="24"/>
        </w:rPr>
        <w:t>America,</w:t>
      </w:r>
      <w:r>
        <w:rPr>
          <w:spacing w:val="-9"/>
          <w:sz w:val="24"/>
        </w:rPr>
        <w:t> </w:t>
      </w:r>
      <w:r>
        <w:rPr>
          <w:sz w:val="24"/>
        </w:rPr>
        <w:t>or</w:t>
      </w:r>
      <w:r>
        <w:rPr>
          <w:spacing w:val="-9"/>
          <w:sz w:val="24"/>
        </w:rPr>
        <w:t> </w:t>
      </w:r>
      <w:r>
        <w:rPr>
          <w:sz w:val="24"/>
        </w:rPr>
        <w:t>for</w:t>
      </w:r>
      <w:r>
        <w:rPr>
          <w:spacing w:val="-9"/>
          <w:sz w:val="24"/>
        </w:rPr>
        <w:t> </w:t>
      </w:r>
      <w:r>
        <w:rPr>
          <w:sz w:val="24"/>
        </w:rPr>
        <w:t>the</w:t>
      </w:r>
      <w:r>
        <w:rPr>
          <w:spacing w:val="-9"/>
          <w:sz w:val="24"/>
        </w:rPr>
        <w:t> </w:t>
      </w:r>
      <w:r>
        <w:rPr>
          <w:sz w:val="24"/>
        </w:rPr>
        <w:t>emergence</w:t>
      </w:r>
      <w:r>
        <w:rPr>
          <w:spacing w:val="-9"/>
          <w:sz w:val="24"/>
        </w:rPr>
        <w:t> </w:t>
      </w:r>
      <w:r>
        <w:rPr>
          <w:sz w:val="24"/>
        </w:rPr>
        <w:t>of</w:t>
      </w:r>
      <w:r>
        <w:rPr>
          <w:spacing w:val="-10"/>
          <w:sz w:val="24"/>
        </w:rPr>
        <w:t> </w:t>
      </w:r>
      <w:r>
        <w:rPr>
          <w:sz w:val="24"/>
        </w:rPr>
        <w:t>other</w:t>
      </w:r>
      <w:r>
        <w:rPr>
          <w:spacing w:val="-9"/>
          <w:sz w:val="24"/>
        </w:rPr>
        <w:t> </w:t>
      </w:r>
      <w:r>
        <w:rPr>
          <w:sz w:val="24"/>
        </w:rPr>
        <w:t>financial </w:t>
      </w:r>
      <w:r>
        <w:rPr>
          <w:spacing w:val="-3"/>
          <w:sz w:val="24"/>
        </w:rPr>
        <w:t>fragility</w:t>
      </w:r>
      <w:r>
        <w:rPr>
          <w:spacing w:val="-1"/>
          <w:sz w:val="24"/>
        </w:rPr>
        <w:t> </w:t>
      </w:r>
      <w:r>
        <w:rPr>
          <w:spacing w:val="-3"/>
          <w:sz w:val="24"/>
        </w:rPr>
        <w:t>concerns.</w:t>
      </w:r>
    </w:p>
    <w:p>
      <w:pPr>
        <w:pStyle w:val="BodyText"/>
        <w:spacing w:before="9"/>
        <w:rPr>
          <w:sz w:val="36"/>
        </w:rPr>
      </w:pPr>
    </w:p>
    <w:p>
      <w:pPr>
        <w:pStyle w:val="ListParagraph"/>
        <w:numPr>
          <w:ilvl w:val="0"/>
          <w:numId w:val="1"/>
        </w:numPr>
        <w:tabs>
          <w:tab w:pos="1102" w:val="left" w:leader="none"/>
          <w:tab w:pos="1103" w:val="left" w:leader="none"/>
        </w:tabs>
        <w:spacing w:line="372" w:lineRule="auto" w:before="0" w:after="0"/>
        <w:ind w:left="252" w:right="301" w:firstLine="0"/>
        <w:jc w:val="left"/>
        <w:rPr>
          <w:sz w:val="24"/>
        </w:rPr>
      </w:pPr>
      <w:r>
        <w:rPr>
          <w:sz w:val="24"/>
        </w:rPr>
        <w:t>The Committee thought that, as yet, there were no obviously new fragility issues. The fall in the</w:t>
      </w:r>
      <w:r>
        <w:rPr>
          <w:spacing w:val="-6"/>
          <w:sz w:val="24"/>
        </w:rPr>
        <w:t> </w:t>
      </w:r>
      <w:r>
        <w:rPr>
          <w:sz w:val="24"/>
        </w:rPr>
        <w:t>UK</w:t>
      </w:r>
      <w:r>
        <w:rPr>
          <w:spacing w:val="-5"/>
          <w:sz w:val="24"/>
        </w:rPr>
        <w:t> </w:t>
      </w:r>
      <w:r>
        <w:rPr>
          <w:sz w:val="24"/>
        </w:rPr>
        <w:t>equity</w:t>
      </w:r>
      <w:r>
        <w:rPr>
          <w:spacing w:val="-6"/>
          <w:sz w:val="24"/>
        </w:rPr>
        <w:t> </w:t>
      </w:r>
      <w:r>
        <w:rPr>
          <w:sz w:val="24"/>
        </w:rPr>
        <w:t>markets</w:t>
      </w:r>
      <w:r>
        <w:rPr>
          <w:spacing w:val="-5"/>
          <w:sz w:val="24"/>
        </w:rPr>
        <w:t> </w:t>
      </w:r>
      <w:r>
        <w:rPr>
          <w:sz w:val="24"/>
        </w:rPr>
        <w:t>was</w:t>
      </w:r>
      <w:r>
        <w:rPr>
          <w:spacing w:val="-6"/>
          <w:sz w:val="24"/>
        </w:rPr>
        <w:t> </w:t>
      </w:r>
      <w:r>
        <w:rPr>
          <w:sz w:val="24"/>
        </w:rPr>
        <w:t>modest</w:t>
      </w:r>
      <w:r>
        <w:rPr>
          <w:spacing w:val="-5"/>
          <w:sz w:val="24"/>
        </w:rPr>
        <w:t> </w:t>
      </w:r>
      <w:r>
        <w:rPr>
          <w:sz w:val="24"/>
        </w:rPr>
        <w:t>set</w:t>
      </w:r>
      <w:r>
        <w:rPr>
          <w:spacing w:val="-6"/>
          <w:sz w:val="24"/>
        </w:rPr>
        <w:t> </w:t>
      </w:r>
      <w:r>
        <w:rPr>
          <w:sz w:val="24"/>
        </w:rPr>
        <w:t>against</w:t>
      </w:r>
      <w:r>
        <w:rPr>
          <w:spacing w:val="-5"/>
          <w:sz w:val="24"/>
        </w:rPr>
        <w:t> </w:t>
      </w:r>
      <w:r>
        <w:rPr>
          <w:sz w:val="24"/>
        </w:rPr>
        <w:t>the</w:t>
      </w:r>
      <w:r>
        <w:rPr>
          <w:spacing w:val="-6"/>
          <w:sz w:val="24"/>
        </w:rPr>
        <w:t> </w:t>
      </w:r>
      <w:r>
        <w:rPr>
          <w:sz w:val="24"/>
        </w:rPr>
        <w:t>rise</w:t>
      </w:r>
      <w:r>
        <w:rPr>
          <w:spacing w:val="-5"/>
          <w:sz w:val="24"/>
        </w:rPr>
        <w:t> </w:t>
      </w:r>
      <w:r>
        <w:rPr>
          <w:sz w:val="24"/>
        </w:rPr>
        <w:t>over</w:t>
      </w:r>
      <w:r>
        <w:rPr>
          <w:spacing w:val="-6"/>
          <w:sz w:val="24"/>
        </w:rPr>
        <w:t> </w:t>
      </w:r>
      <w:r>
        <w:rPr>
          <w:sz w:val="24"/>
        </w:rPr>
        <w:t>the</w:t>
      </w:r>
      <w:r>
        <w:rPr>
          <w:spacing w:val="-5"/>
          <w:sz w:val="24"/>
        </w:rPr>
        <w:t> </w:t>
      </w:r>
      <w:r>
        <w:rPr>
          <w:sz w:val="24"/>
        </w:rPr>
        <w:t>past</w:t>
      </w:r>
      <w:r>
        <w:rPr>
          <w:spacing w:val="-6"/>
          <w:sz w:val="24"/>
        </w:rPr>
        <w:t> </w:t>
      </w:r>
      <w:r>
        <w:rPr>
          <w:sz w:val="24"/>
        </w:rPr>
        <w:t>year,</w:t>
      </w:r>
      <w:r>
        <w:rPr>
          <w:spacing w:val="-5"/>
          <w:sz w:val="24"/>
        </w:rPr>
        <w:t> </w:t>
      </w:r>
      <w:r>
        <w:rPr>
          <w:sz w:val="24"/>
        </w:rPr>
        <w:t>so</w:t>
      </w:r>
      <w:r>
        <w:rPr>
          <w:spacing w:val="-5"/>
          <w:sz w:val="24"/>
        </w:rPr>
        <w:t> </w:t>
      </w:r>
      <w:r>
        <w:rPr>
          <w:sz w:val="24"/>
        </w:rPr>
        <w:t>there</w:t>
      </w:r>
      <w:r>
        <w:rPr>
          <w:spacing w:val="-6"/>
          <w:sz w:val="24"/>
        </w:rPr>
        <w:t> </w:t>
      </w:r>
      <w:r>
        <w:rPr>
          <w:sz w:val="24"/>
        </w:rPr>
        <w:t>was</w:t>
      </w:r>
      <w:r>
        <w:rPr>
          <w:spacing w:val="-5"/>
          <w:sz w:val="24"/>
        </w:rPr>
        <w:t> </w:t>
      </w:r>
      <w:r>
        <w:rPr>
          <w:sz w:val="24"/>
        </w:rPr>
        <w:t>little</w:t>
      </w:r>
      <w:r>
        <w:rPr>
          <w:spacing w:val="-6"/>
          <w:sz w:val="24"/>
        </w:rPr>
        <w:t> </w:t>
      </w:r>
      <w:r>
        <w:rPr>
          <w:sz w:val="24"/>
        </w:rPr>
        <w:t>impact</w:t>
      </w:r>
      <w:r>
        <w:rPr>
          <w:spacing w:val="-5"/>
          <w:sz w:val="24"/>
        </w:rPr>
        <w:t> </w:t>
      </w:r>
      <w:r>
        <w:rPr>
          <w:sz w:val="24"/>
        </w:rPr>
        <w:t>on wealth. Other European and North American markets had also so far fared better than emerging markets. The Committee concluded that the recent financial market volatility did not of itself require an </w:t>
      </w:r>
      <w:r>
        <w:rPr>
          <w:spacing w:val="-3"/>
          <w:sz w:val="24"/>
        </w:rPr>
        <w:t>easing </w:t>
      </w:r>
      <w:r>
        <w:rPr>
          <w:sz w:val="24"/>
        </w:rPr>
        <w:t>of </w:t>
      </w:r>
      <w:r>
        <w:rPr>
          <w:spacing w:val="-3"/>
          <w:sz w:val="24"/>
        </w:rPr>
        <w:t>policy </w:t>
      </w:r>
      <w:r>
        <w:rPr>
          <w:sz w:val="24"/>
        </w:rPr>
        <w:t>or </w:t>
      </w:r>
      <w:r>
        <w:rPr>
          <w:spacing w:val="-3"/>
          <w:sz w:val="24"/>
        </w:rPr>
        <w:t>inhibit </w:t>
      </w:r>
      <w:r>
        <w:rPr>
          <w:sz w:val="24"/>
        </w:rPr>
        <w:t>a </w:t>
      </w:r>
      <w:r>
        <w:rPr>
          <w:spacing w:val="-3"/>
          <w:sz w:val="24"/>
        </w:rPr>
        <w:t>tightening </w:t>
      </w:r>
      <w:r>
        <w:rPr>
          <w:sz w:val="24"/>
        </w:rPr>
        <w:t>of </w:t>
      </w:r>
      <w:r>
        <w:rPr>
          <w:spacing w:val="-3"/>
          <w:sz w:val="24"/>
        </w:rPr>
        <w:t>policy. </w:t>
      </w:r>
      <w:r>
        <w:rPr>
          <w:sz w:val="24"/>
        </w:rPr>
        <w:t>But the </w:t>
      </w:r>
      <w:r>
        <w:rPr>
          <w:spacing w:val="-3"/>
          <w:sz w:val="24"/>
        </w:rPr>
        <w:t>situation should </w:t>
      </w:r>
      <w:r>
        <w:rPr>
          <w:sz w:val="24"/>
        </w:rPr>
        <w:t>be </w:t>
      </w:r>
      <w:r>
        <w:rPr>
          <w:spacing w:val="-3"/>
          <w:sz w:val="24"/>
        </w:rPr>
        <w:t>monitored carefully, </w:t>
      </w:r>
      <w:r>
        <w:rPr>
          <w:sz w:val="24"/>
        </w:rPr>
        <w:t>and</w:t>
      </w:r>
      <w:r>
        <w:rPr>
          <w:spacing w:val="-9"/>
          <w:sz w:val="24"/>
        </w:rPr>
        <w:t> </w:t>
      </w:r>
      <w:r>
        <w:rPr>
          <w:sz w:val="24"/>
        </w:rPr>
        <w:t>policy</w:t>
      </w:r>
      <w:r>
        <w:rPr>
          <w:spacing w:val="-8"/>
          <w:sz w:val="24"/>
        </w:rPr>
        <w:t> </w:t>
      </w:r>
      <w:r>
        <w:rPr>
          <w:sz w:val="24"/>
        </w:rPr>
        <w:t>would</w:t>
      </w:r>
      <w:r>
        <w:rPr>
          <w:spacing w:val="-8"/>
          <w:sz w:val="24"/>
        </w:rPr>
        <w:t> </w:t>
      </w:r>
      <w:r>
        <w:rPr>
          <w:sz w:val="24"/>
        </w:rPr>
        <w:t>need</w:t>
      </w:r>
      <w:r>
        <w:rPr>
          <w:spacing w:val="-8"/>
          <w:sz w:val="24"/>
        </w:rPr>
        <w:t> </w:t>
      </w:r>
      <w:r>
        <w:rPr>
          <w:sz w:val="24"/>
        </w:rPr>
        <w:t>to</w:t>
      </w:r>
      <w:r>
        <w:rPr>
          <w:spacing w:val="-8"/>
          <w:sz w:val="24"/>
        </w:rPr>
        <w:t> </w:t>
      </w:r>
      <w:r>
        <w:rPr>
          <w:sz w:val="24"/>
        </w:rPr>
        <w:t>be</w:t>
      </w:r>
      <w:r>
        <w:rPr>
          <w:spacing w:val="-8"/>
          <w:sz w:val="24"/>
        </w:rPr>
        <w:t> </w:t>
      </w:r>
      <w:r>
        <w:rPr>
          <w:sz w:val="24"/>
        </w:rPr>
        <w:t>reassessed</w:t>
      </w:r>
      <w:r>
        <w:rPr>
          <w:spacing w:val="-8"/>
          <w:sz w:val="24"/>
        </w:rPr>
        <w:t> </w:t>
      </w:r>
      <w:r>
        <w:rPr>
          <w:sz w:val="24"/>
        </w:rPr>
        <w:t>if</w:t>
      </w:r>
      <w:r>
        <w:rPr>
          <w:spacing w:val="-8"/>
          <w:sz w:val="24"/>
        </w:rPr>
        <w:t> </w:t>
      </w:r>
      <w:r>
        <w:rPr>
          <w:sz w:val="24"/>
        </w:rPr>
        <w:t>any</w:t>
      </w:r>
      <w:r>
        <w:rPr>
          <w:spacing w:val="-8"/>
          <w:sz w:val="24"/>
        </w:rPr>
        <w:t> </w:t>
      </w:r>
      <w:r>
        <w:rPr>
          <w:sz w:val="24"/>
        </w:rPr>
        <w:t>future</w:t>
      </w:r>
      <w:r>
        <w:rPr>
          <w:spacing w:val="-8"/>
          <w:sz w:val="24"/>
        </w:rPr>
        <w:t> </w:t>
      </w:r>
      <w:r>
        <w:rPr>
          <w:sz w:val="24"/>
        </w:rPr>
        <w:t>financial</w:t>
      </w:r>
      <w:r>
        <w:rPr>
          <w:spacing w:val="-8"/>
          <w:sz w:val="24"/>
        </w:rPr>
        <w:t> </w:t>
      </w:r>
      <w:r>
        <w:rPr>
          <w:sz w:val="24"/>
        </w:rPr>
        <w:t>market</w:t>
      </w:r>
      <w:r>
        <w:rPr>
          <w:spacing w:val="-8"/>
          <w:sz w:val="24"/>
        </w:rPr>
        <w:t> </w:t>
      </w:r>
      <w:r>
        <w:rPr>
          <w:sz w:val="24"/>
        </w:rPr>
        <w:t>developments</w:t>
      </w:r>
      <w:r>
        <w:rPr>
          <w:spacing w:val="-8"/>
          <w:sz w:val="24"/>
        </w:rPr>
        <w:t> </w:t>
      </w:r>
      <w:r>
        <w:rPr>
          <w:sz w:val="24"/>
        </w:rPr>
        <w:t>were</w:t>
      </w:r>
      <w:r>
        <w:rPr>
          <w:spacing w:val="-8"/>
          <w:sz w:val="24"/>
        </w:rPr>
        <w:t> </w:t>
      </w:r>
      <w:r>
        <w:rPr>
          <w:sz w:val="24"/>
        </w:rPr>
        <w:t>to</w:t>
      </w:r>
      <w:r>
        <w:rPr>
          <w:spacing w:val="-8"/>
          <w:sz w:val="24"/>
        </w:rPr>
        <w:t> </w:t>
      </w:r>
      <w:r>
        <w:rPr>
          <w:sz w:val="24"/>
        </w:rPr>
        <w:t>threaten</w:t>
      </w:r>
      <w:r>
        <w:rPr>
          <w:spacing w:val="-8"/>
          <w:sz w:val="24"/>
        </w:rPr>
        <w:t> </w:t>
      </w:r>
      <w:r>
        <w:rPr>
          <w:sz w:val="24"/>
        </w:rPr>
        <w:t>a sharp deterioration in the economic</w:t>
      </w:r>
      <w:r>
        <w:rPr>
          <w:spacing w:val="3"/>
          <w:sz w:val="24"/>
        </w:rPr>
        <w:t> </w:t>
      </w:r>
      <w:r>
        <w:rPr>
          <w:sz w:val="24"/>
        </w:rPr>
        <w:t>outlook.</w:t>
      </w:r>
    </w:p>
    <w:p>
      <w:pPr>
        <w:pStyle w:val="BodyText"/>
        <w:spacing w:before="3"/>
        <w:rPr>
          <w:sz w:val="37"/>
        </w:rPr>
      </w:pPr>
    </w:p>
    <w:p>
      <w:pPr>
        <w:pStyle w:val="Heading1"/>
      </w:pPr>
      <w:r>
        <w:rPr/>
        <w:t>Policy conclusions</w:t>
      </w:r>
    </w:p>
    <w:p>
      <w:pPr>
        <w:pStyle w:val="BodyText"/>
        <w:rPr>
          <w:b/>
          <w:sz w:val="26"/>
        </w:rPr>
      </w:pPr>
    </w:p>
    <w:p>
      <w:pPr>
        <w:pStyle w:val="BodyText"/>
        <w:spacing w:before="10"/>
        <w:rPr>
          <w:b/>
          <w:sz w:val="23"/>
        </w:rPr>
      </w:pPr>
    </w:p>
    <w:p>
      <w:pPr>
        <w:pStyle w:val="ListParagraph"/>
        <w:numPr>
          <w:ilvl w:val="0"/>
          <w:numId w:val="1"/>
        </w:numPr>
        <w:tabs>
          <w:tab w:pos="1102" w:val="left" w:leader="none"/>
          <w:tab w:pos="1103" w:val="left" w:leader="none"/>
        </w:tabs>
        <w:spacing w:line="372" w:lineRule="auto" w:before="0" w:after="0"/>
        <w:ind w:left="252" w:right="321" w:firstLine="0"/>
        <w:jc w:val="left"/>
        <w:rPr>
          <w:sz w:val="24"/>
        </w:rPr>
      </w:pPr>
      <w:r>
        <w:rPr>
          <w:sz w:val="24"/>
        </w:rPr>
        <w:t>The Committee discussed the implications of the inflation forecast prepared for </w:t>
      </w:r>
      <w:r>
        <w:rPr>
          <w:spacing w:val="-2"/>
          <w:sz w:val="24"/>
        </w:rPr>
        <w:t>the </w:t>
      </w:r>
      <w:r>
        <w:rPr>
          <w:sz w:val="24"/>
        </w:rPr>
        <w:t>November Inflation Report. On the basis of unchanged interest rates at 7%, output growth was </w:t>
      </w:r>
      <w:r>
        <w:rPr>
          <w:spacing w:val="-3"/>
          <w:sz w:val="24"/>
        </w:rPr>
        <w:t>initially expected </w:t>
      </w:r>
      <w:r>
        <w:rPr>
          <w:sz w:val="24"/>
        </w:rPr>
        <w:t>to </w:t>
      </w:r>
      <w:r>
        <w:rPr>
          <w:spacing w:val="-3"/>
          <w:sz w:val="24"/>
        </w:rPr>
        <w:t>decline, reflecting past policy tightening, </w:t>
      </w:r>
      <w:r>
        <w:rPr>
          <w:sz w:val="24"/>
        </w:rPr>
        <w:t>the </w:t>
      </w:r>
      <w:r>
        <w:rPr>
          <w:spacing w:val="-3"/>
          <w:sz w:val="24"/>
        </w:rPr>
        <w:t>weakening </w:t>
      </w:r>
      <w:r>
        <w:rPr>
          <w:sz w:val="24"/>
        </w:rPr>
        <w:t>of the </w:t>
      </w:r>
      <w:r>
        <w:rPr>
          <w:spacing w:val="-3"/>
          <w:sz w:val="24"/>
        </w:rPr>
        <w:t>windfall effect, and </w:t>
      </w:r>
      <w:r>
        <w:rPr>
          <w:sz w:val="24"/>
        </w:rPr>
        <w:t>also a delayed effect on net trade from sterling’s appreciation. It then rose again as the net trade effect on the twelve month growth rate passed. The range of uncertainty was large. At the two year horizon, the central projection for inflation was above the target of 2 1/2% and gently rising, with </w:t>
      </w:r>
      <w:r>
        <w:rPr>
          <w:spacing w:val="-2"/>
          <w:sz w:val="24"/>
        </w:rPr>
        <w:t>the </w:t>
      </w:r>
      <w:r>
        <w:rPr>
          <w:sz w:val="24"/>
        </w:rPr>
        <w:t>risks clearly weighted towards the upside. The issue therefore was whether an interest rate increase was needed. A 25bp rise would take the central projection to more or less where it had been in August, around 2 1/2% two years hence, and move the mass of the probability</w:t>
      </w:r>
      <w:r>
        <w:rPr>
          <w:spacing w:val="-26"/>
          <w:sz w:val="24"/>
        </w:rPr>
        <w:t> </w:t>
      </w:r>
      <w:r>
        <w:rPr>
          <w:spacing w:val="-2"/>
          <w:sz w:val="24"/>
        </w:rPr>
        <w:t>distribution</w:t>
      </w:r>
    </w:p>
    <w:p>
      <w:pPr>
        <w:spacing w:after="0" w:line="372" w:lineRule="auto"/>
        <w:jc w:val="left"/>
        <w:rPr>
          <w:sz w:val="24"/>
        </w:rPr>
        <w:sectPr>
          <w:pgSz w:w="11900" w:h="16840"/>
          <w:pgMar w:header="863" w:footer="0" w:top="1340" w:bottom="280" w:left="880" w:right="740"/>
        </w:sectPr>
      </w:pPr>
    </w:p>
    <w:p>
      <w:pPr>
        <w:pStyle w:val="BodyText"/>
        <w:spacing w:before="8"/>
        <w:rPr>
          <w:sz w:val="23"/>
        </w:rPr>
      </w:pPr>
    </w:p>
    <w:p>
      <w:pPr>
        <w:pStyle w:val="BodyText"/>
        <w:spacing w:line="372" w:lineRule="auto" w:before="90"/>
        <w:ind w:left="252" w:right="230"/>
      </w:pPr>
      <w:r>
        <w:rPr/>
        <w:t>downwards. The risks would remain skewed on the upside. The probability of inflation falling below the target in the short run would be lower than in August, reflecting a higher starting point for inflation.</w:t>
      </w:r>
    </w:p>
    <w:p>
      <w:pPr>
        <w:pStyle w:val="BodyText"/>
        <w:spacing w:before="11"/>
        <w:rPr>
          <w:sz w:val="36"/>
        </w:rPr>
      </w:pPr>
    </w:p>
    <w:p>
      <w:pPr>
        <w:pStyle w:val="ListParagraph"/>
        <w:numPr>
          <w:ilvl w:val="0"/>
          <w:numId w:val="1"/>
        </w:numPr>
        <w:tabs>
          <w:tab w:pos="1102" w:val="left" w:leader="none"/>
          <w:tab w:pos="1103" w:val="left" w:leader="none"/>
        </w:tabs>
        <w:spacing w:line="372" w:lineRule="auto" w:before="0" w:after="0"/>
        <w:ind w:left="252" w:right="503" w:firstLine="0"/>
        <w:jc w:val="left"/>
        <w:rPr>
          <w:sz w:val="24"/>
        </w:rPr>
      </w:pPr>
      <w:r>
        <w:rPr>
          <w:sz w:val="24"/>
        </w:rPr>
        <w:t>The Committee discussed three possible interpretations of the evidence. One was that, tactical considerations aside, there was a case for not changing interest rates this month. There </w:t>
      </w:r>
      <w:r>
        <w:rPr>
          <w:spacing w:val="-2"/>
          <w:sz w:val="24"/>
        </w:rPr>
        <w:t>had </w:t>
      </w:r>
      <w:r>
        <w:rPr>
          <w:sz w:val="24"/>
        </w:rPr>
        <w:t>been both good and bad news about the inflation outlook since the Committee’s October meeting. There were signs that service sector growth had peaked; survey evidence suggested the net trade </w:t>
      </w:r>
      <w:r>
        <w:rPr>
          <w:spacing w:val="-3"/>
          <w:sz w:val="24"/>
        </w:rPr>
        <w:t>effect </w:t>
      </w:r>
      <w:r>
        <w:rPr>
          <w:sz w:val="24"/>
        </w:rPr>
        <w:t>of </w:t>
      </w:r>
      <w:r>
        <w:rPr>
          <w:spacing w:val="-3"/>
          <w:sz w:val="24"/>
        </w:rPr>
        <w:t>sterling’s appreciation would still come through; </w:t>
      </w:r>
      <w:r>
        <w:rPr>
          <w:sz w:val="24"/>
        </w:rPr>
        <w:t>and </w:t>
      </w:r>
      <w:r>
        <w:rPr>
          <w:spacing w:val="-3"/>
          <w:sz w:val="24"/>
        </w:rPr>
        <w:t>monetary </w:t>
      </w:r>
      <w:r>
        <w:rPr>
          <w:sz w:val="24"/>
        </w:rPr>
        <w:t>and </w:t>
      </w:r>
      <w:r>
        <w:rPr>
          <w:spacing w:val="-3"/>
          <w:sz w:val="24"/>
        </w:rPr>
        <w:t>fiscal policy </w:t>
      </w:r>
      <w:r>
        <w:rPr>
          <w:sz w:val="24"/>
        </w:rPr>
        <w:t>had </w:t>
      </w:r>
      <w:r>
        <w:rPr>
          <w:spacing w:val="-3"/>
          <w:sz w:val="24"/>
        </w:rPr>
        <w:t>both already been tightened, with inevitably lagged effects, </w:t>
      </w:r>
      <w:r>
        <w:rPr>
          <w:sz w:val="24"/>
        </w:rPr>
        <w:t>so </w:t>
      </w:r>
      <w:r>
        <w:rPr>
          <w:spacing w:val="-3"/>
          <w:sz w:val="24"/>
        </w:rPr>
        <w:t>patience </w:t>
      </w:r>
      <w:r>
        <w:rPr>
          <w:sz w:val="24"/>
        </w:rPr>
        <w:t>was </w:t>
      </w:r>
      <w:r>
        <w:rPr>
          <w:spacing w:val="-3"/>
          <w:sz w:val="24"/>
        </w:rPr>
        <w:t>needed. While domestic </w:t>
      </w:r>
      <w:r>
        <w:rPr>
          <w:sz w:val="24"/>
        </w:rPr>
        <w:t>demand remained strong, it was likely that output growth was now peaking and there were clear downside risks to output next year. Also robust growth would bring with it capacity increases </w:t>
      </w:r>
      <w:r>
        <w:rPr>
          <w:spacing w:val="-2"/>
          <w:sz w:val="24"/>
        </w:rPr>
        <w:t>and </w:t>
      </w:r>
      <w:r>
        <w:rPr>
          <w:sz w:val="24"/>
        </w:rPr>
        <w:t>could</w:t>
      </w:r>
      <w:r>
        <w:rPr>
          <w:spacing w:val="-8"/>
          <w:sz w:val="24"/>
        </w:rPr>
        <w:t> </w:t>
      </w:r>
      <w:r>
        <w:rPr>
          <w:sz w:val="24"/>
        </w:rPr>
        <w:t>raise</w:t>
      </w:r>
      <w:r>
        <w:rPr>
          <w:spacing w:val="-8"/>
          <w:sz w:val="24"/>
        </w:rPr>
        <w:t> </w:t>
      </w:r>
      <w:r>
        <w:rPr>
          <w:sz w:val="24"/>
        </w:rPr>
        <w:t>activity</w:t>
      </w:r>
      <w:r>
        <w:rPr>
          <w:spacing w:val="-7"/>
          <w:sz w:val="24"/>
        </w:rPr>
        <w:t> </w:t>
      </w:r>
      <w:r>
        <w:rPr>
          <w:sz w:val="24"/>
        </w:rPr>
        <w:t>and</w:t>
      </w:r>
      <w:r>
        <w:rPr>
          <w:spacing w:val="-8"/>
          <w:sz w:val="24"/>
        </w:rPr>
        <w:t> </w:t>
      </w:r>
      <w:r>
        <w:rPr>
          <w:sz w:val="24"/>
        </w:rPr>
        <w:t>employment</w:t>
      </w:r>
      <w:r>
        <w:rPr>
          <w:spacing w:val="-8"/>
          <w:sz w:val="24"/>
        </w:rPr>
        <w:t> </w:t>
      </w:r>
      <w:r>
        <w:rPr>
          <w:sz w:val="24"/>
        </w:rPr>
        <w:t>amongst</w:t>
      </w:r>
      <w:r>
        <w:rPr>
          <w:spacing w:val="-7"/>
          <w:sz w:val="24"/>
        </w:rPr>
        <w:t> </w:t>
      </w:r>
      <w:r>
        <w:rPr>
          <w:sz w:val="24"/>
        </w:rPr>
        <w:t>groups</w:t>
      </w:r>
      <w:r>
        <w:rPr>
          <w:spacing w:val="-8"/>
          <w:sz w:val="24"/>
        </w:rPr>
        <w:t> </w:t>
      </w:r>
      <w:r>
        <w:rPr>
          <w:sz w:val="24"/>
        </w:rPr>
        <w:t>of</w:t>
      </w:r>
      <w:r>
        <w:rPr>
          <w:spacing w:val="-8"/>
          <w:sz w:val="24"/>
        </w:rPr>
        <w:t> </w:t>
      </w:r>
      <w:r>
        <w:rPr>
          <w:sz w:val="24"/>
        </w:rPr>
        <w:t>workers</w:t>
      </w:r>
      <w:r>
        <w:rPr>
          <w:spacing w:val="-7"/>
          <w:sz w:val="24"/>
        </w:rPr>
        <w:t> </w:t>
      </w:r>
      <w:r>
        <w:rPr>
          <w:sz w:val="24"/>
        </w:rPr>
        <w:t>that</w:t>
      </w:r>
      <w:r>
        <w:rPr>
          <w:spacing w:val="-8"/>
          <w:sz w:val="24"/>
        </w:rPr>
        <w:t> </w:t>
      </w:r>
      <w:r>
        <w:rPr>
          <w:sz w:val="24"/>
        </w:rPr>
        <w:t>had</w:t>
      </w:r>
      <w:r>
        <w:rPr>
          <w:spacing w:val="-8"/>
          <w:sz w:val="24"/>
        </w:rPr>
        <w:t> </w:t>
      </w:r>
      <w:r>
        <w:rPr>
          <w:sz w:val="24"/>
        </w:rPr>
        <w:t>become</w:t>
      </w:r>
      <w:r>
        <w:rPr>
          <w:spacing w:val="-7"/>
          <w:sz w:val="24"/>
        </w:rPr>
        <w:t> </w:t>
      </w:r>
      <w:r>
        <w:rPr>
          <w:sz w:val="24"/>
        </w:rPr>
        <w:t>detached</w:t>
      </w:r>
      <w:r>
        <w:rPr>
          <w:spacing w:val="-8"/>
          <w:sz w:val="24"/>
        </w:rPr>
        <w:t> </w:t>
      </w:r>
      <w:r>
        <w:rPr>
          <w:sz w:val="24"/>
        </w:rPr>
        <w:t>from</w:t>
      </w:r>
      <w:r>
        <w:rPr>
          <w:spacing w:val="-8"/>
          <w:sz w:val="24"/>
        </w:rPr>
        <w:t> </w:t>
      </w:r>
      <w:r>
        <w:rPr>
          <w:spacing w:val="-2"/>
          <w:sz w:val="24"/>
        </w:rPr>
        <w:t>the </w:t>
      </w:r>
      <w:r>
        <w:rPr>
          <w:sz w:val="24"/>
        </w:rPr>
        <w:t>labour force. This would contribute to offsetting inflationary pressures. On this view there was a case for waiting to see how the slowdown developed before increasing rates</w:t>
      </w:r>
      <w:r>
        <w:rPr>
          <w:spacing w:val="-19"/>
          <w:sz w:val="24"/>
        </w:rPr>
        <w:t> </w:t>
      </w:r>
      <w:r>
        <w:rPr>
          <w:spacing w:val="-2"/>
          <w:sz w:val="24"/>
        </w:rPr>
        <w:t>again.</w:t>
      </w:r>
    </w:p>
    <w:p>
      <w:pPr>
        <w:pStyle w:val="BodyText"/>
        <w:spacing w:before="7"/>
        <w:rPr>
          <w:sz w:val="36"/>
        </w:rPr>
      </w:pPr>
    </w:p>
    <w:p>
      <w:pPr>
        <w:pStyle w:val="ListParagraph"/>
        <w:numPr>
          <w:ilvl w:val="0"/>
          <w:numId w:val="1"/>
        </w:numPr>
        <w:tabs>
          <w:tab w:pos="1102" w:val="left" w:leader="none"/>
          <w:tab w:pos="1103" w:val="left" w:leader="none"/>
        </w:tabs>
        <w:spacing w:line="372" w:lineRule="auto" w:before="0" w:after="0"/>
        <w:ind w:left="252" w:right="378" w:firstLine="0"/>
        <w:jc w:val="left"/>
        <w:rPr>
          <w:sz w:val="24"/>
        </w:rPr>
      </w:pPr>
      <w:r>
        <w:rPr>
          <w:sz w:val="24"/>
        </w:rPr>
        <w:t>A</w:t>
      </w:r>
      <w:r>
        <w:rPr>
          <w:spacing w:val="-10"/>
          <w:sz w:val="24"/>
        </w:rPr>
        <w:t> </w:t>
      </w:r>
      <w:r>
        <w:rPr>
          <w:sz w:val="24"/>
        </w:rPr>
        <w:t>second</w:t>
      </w:r>
      <w:r>
        <w:rPr>
          <w:spacing w:val="-10"/>
          <w:sz w:val="24"/>
        </w:rPr>
        <w:t> </w:t>
      </w:r>
      <w:r>
        <w:rPr>
          <w:sz w:val="24"/>
        </w:rPr>
        <w:t>placed</w:t>
      </w:r>
      <w:r>
        <w:rPr>
          <w:spacing w:val="-9"/>
          <w:sz w:val="24"/>
        </w:rPr>
        <w:t> </w:t>
      </w:r>
      <w:r>
        <w:rPr>
          <w:sz w:val="24"/>
        </w:rPr>
        <w:t>greater</w:t>
      </w:r>
      <w:r>
        <w:rPr>
          <w:spacing w:val="-10"/>
          <w:sz w:val="24"/>
        </w:rPr>
        <w:t> </w:t>
      </w:r>
      <w:r>
        <w:rPr>
          <w:sz w:val="24"/>
        </w:rPr>
        <w:t>emphasis</w:t>
      </w:r>
      <w:r>
        <w:rPr>
          <w:spacing w:val="-10"/>
          <w:sz w:val="24"/>
        </w:rPr>
        <w:t> </w:t>
      </w:r>
      <w:r>
        <w:rPr>
          <w:sz w:val="24"/>
        </w:rPr>
        <w:t>on</w:t>
      </w:r>
      <w:r>
        <w:rPr>
          <w:spacing w:val="-9"/>
          <w:sz w:val="24"/>
        </w:rPr>
        <w:t> </w:t>
      </w:r>
      <w:r>
        <w:rPr>
          <w:sz w:val="24"/>
        </w:rPr>
        <w:t>the</w:t>
      </w:r>
      <w:r>
        <w:rPr>
          <w:spacing w:val="-10"/>
          <w:sz w:val="24"/>
        </w:rPr>
        <w:t> </w:t>
      </w:r>
      <w:r>
        <w:rPr>
          <w:sz w:val="24"/>
        </w:rPr>
        <w:t>continuing</w:t>
      </w:r>
      <w:r>
        <w:rPr>
          <w:spacing w:val="-10"/>
          <w:sz w:val="24"/>
        </w:rPr>
        <w:t> </w:t>
      </w:r>
      <w:r>
        <w:rPr>
          <w:sz w:val="24"/>
        </w:rPr>
        <w:t>strength</w:t>
      </w:r>
      <w:r>
        <w:rPr>
          <w:spacing w:val="-9"/>
          <w:sz w:val="24"/>
        </w:rPr>
        <w:t> </w:t>
      </w:r>
      <w:r>
        <w:rPr>
          <w:sz w:val="24"/>
        </w:rPr>
        <w:t>of</w:t>
      </w:r>
      <w:r>
        <w:rPr>
          <w:spacing w:val="-10"/>
          <w:sz w:val="24"/>
        </w:rPr>
        <w:t> </w:t>
      </w:r>
      <w:r>
        <w:rPr>
          <w:sz w:val="24"/>
        </w:rPr>
        <w:t>demand</w:t>
      </w:r>
      <w:r>
        <w:rPr>
          <w:spacing w:val="-9"/>
          <w:sz w:val="24"/>
        </w:rPr>
        <w:t> </w:t>
      </w:r>
      <w:r>
        <w:rPr>
          <w:sz w:val="24"/>
        </w:rPr>
        <w:t>notwithstanding</w:t>
      </w:r>
      <w:r>
        <w:rPr>
          <w:spacing w:val="-10"/>
          <w:sz w:val="24"/>
        </w:rPr>
        <w:t> </w:t>
      </w:r>
      <w:r>
        <w:rPr>
          <w:spacing w:val="-2"/>
          <w:sz w:val="24"/>
        </w:rPr>
        <w:t>the </w:t>
      </w:r>
      <w:r>
        <w:rPr>
          <w:spacing w:val="-3"/>
          <w:sz w:val="24"/>
        </w:rPr>
        <w:t>existing policy tightening </w:t>
      </w:r>
      <w:r>
        <w:rPr>
          <w:sz w:val="24"/>
        </w:rPr>
        <w:t>and </w:t>
      </w:r>
      <w:r>
        <w:rPr>
          <w:spacing w:val="-3"/>
          <w:sz w:val="24"/>
        </w:rPr>
        <w:t>sterling’s appreciation. </w:t>
      </w:r>
      <w:r>
        <w:rPr>
          <w:sz w:val="24"/>
        </w:rPr>
        <w:t>The </w:t>
      </w:r>
      <w:r>
        <w:rPr>
          <w:spacing w:val="-3"/>
          <w:sz w:val="24"/>
        </w:rPr>
        <w:t>majority </w:t>
      </w:r>
      <w:r>
        <w:rPr>
          <w:sz w:val="24"/>
        </w:rPr>
        <w:t>of </w:t>
      </w:r>
      <w:r>
        <w:rPr>
          <w:spacing w:val="-3"/>
          <w:sz w:val="24"/>
        </w:rPr>
        <w:t>evidence since </w:t>
      </w:r>
      <w:r>
        <w:rPr>
          <w:sz w:val="24"/>
        </w:rPr>
        <w:t>the </w:t>
      </w:r>
      <w:r>
        <w:rPr>
          <w:spacing w:val="-3"/>
          <w:sz w:val="24"/>
        </w:rPr>
        <w:t>August </w:t>
      </w:r>
      <w:r>
        <w:rPr>
          <w:sz w:val="24"/>
        </w:rPr>
        <w:t>Inflation Report pointed to continuing inflationary pressures. The risks of net trade not slowing, </w:t>
      </w:r>
      <w:r>
        <w:rPr>
          <w:spacing w:val="-2"/>
          <w:sz w:val="24"/>
        </w:rPr>
        <w:t>and </w:t>
      </w:r>
      <w:r>
        <w:rPr>
          <w:sz w:val="24"/>
        </w:rPr>
        <w:t>so relieving pressure on capacity, increased as time passed with no concrete evidence that it </w:t>
      </w:r>
      <w:r>
        <w:rPr>
          <w:spacing w:val="-2"/>
          <w:sz w:val="24"/>
        </w:rPr>
        <w:t>was </w:t>
      </w:r>
      <w:r>
        <w:rPr>
          <w:sz w:val="24"/>
        </w:rPr>
        <w:t>happening. The updated central projection on unchanged rates did not itself require an immediate increase but, given the upside balance of risks, it was important to act now to meet the</w:t>
      </w:r>
      <w:r>
        <w:rPr>
          <w:spacing w:val="-19"/>
          <w:sz w:val="24"/>
        </w:rPr>
        <w:t> </w:t>
      </w:r>
      <w:r>
        <w:rPr>
          <w:sz w:val="24"/>
        </w:rPr>
        <w:t>target.</w:t>
      </w:r>
    </w:p>
    <w:p>
      <w:pPr>
        <w:pStyle w:val="BodyText"/>
        <w:spacing w:before="10"/>
        <w:rPr>
          <w:sz w:val="36"/>
        </w:rPr>
      </w:pPr>
    </w:p>
    <w:p>
      <w:pPr>
        <w:pStyle w:val="ListParagraph"/>
        <w:numPr>
          <w:ilvl w:val="0"/>
          <w:numId w:val="1"/>
        </w:numPr>
        <w:tabs>
          <w:tab w:pos="1102" w:val="left" w:leader="none"/>
          <w:tab w:pos="1103" w:val="left" w:leader="none"/>
        </w:tabs>
        <w:spacing w:line="372" w:lineRule="auto" w:before="0" w:after="0"/>
        <w:ind w:left="252" w:right="311" w:firstLine="0"/>
        <w:jc w:val="left"/>
        <w:rPr>
          <w:sz w:val="24"/>
        </w:rPr>
      </w:pPr>
      <w:r>
        <w:rPr>
          <w:sz w:val="24"/>
        </w:rPr>
        <w:t>A third was that a 1/4% step was needed now, and indeed that some further increases might be necessary. Growth remained unsustainably strong and the labour market continued to tighten. Since the Committee’s August decision to pause to observe accumulating evidence on the balance of risks,</w:t>
      </w:r>
      <w:r>
        <w:rPr>
          <w:spacing w:val="-7"/>
          <w:sz w:val="24"/>
        </w:rPr>
        <w:t> </w:t>
      </w:r>
      <w:r>
        <w:rPr>
          <w:sz w:val="24"/>
        </w:rPr>
        <w:t>most</w:t>
      </w:r>
      <w:r>
        <w:rPr>
          <w:spacing w:val="-7"/>
          <w:sz w:val="24"/>
        </w:rPr>
        <w:t> </w:t>
      </w:r>
      <w:r>
        <w:rPr>
          <w:sz w:val="24"/>
        </w:rPr>
        <w:t>of</w:t>
      </w:r>
      <w:r>
        <w:rPr>
          <w:spacing w:val="-7"/>
          <w:sz w:val="24"/>
        </w:rPr>
        <w:t> </w:t>
      </w:r>
      <w:r>
        <w:rPr>
          <w:sz w:val="24"/>
        </w:rPr>
        <w:t>the</w:t>
      </w:r>
      <w:r>
        <w:rPr>
          <w:spacing w:val="-6"/>
          <w:sz w:val="24"/>
        </w:rPr>
        <w:t> </w:t>
      </w:r>
      <w:r>
        <w:rPr>
          <w:sz w:val="24"/>
        </w:rPr>
        <w:t>data</w:t>
      </w:r>
      <w:r>
        <w:rPr>
          <w:spacing w:val="-7"/>
          <w:sz w:val="24"/>
        </w:rPr>
        <w:t> </w:t>
      </w:r>
      <w:r>
        <w:rPr>
          <w:sz w:val="24"/>
        </w:rPr>
        <w:t>had</w:t>
      </w:r>
      <w:r>
        <w:rPr>
          <w:spacing w:val="-7"/>
          <w:sz w:val="24"/>
        </w:rPr>
        <w:t> </w:t>
      </w:r>
      <w:r>
        <w:rPr>
          <w:sz w:val="24"/>
        </w:rPr>
        <w:t>been</w:t>
      </w:r>
      <w:r>
        <w:rPr>
          <w:spacing w:val="-6"/>
          <w:sz w:val="24"/>
        </w:rPr>
        <w:t> </w:t>
      </w:r>
      <w:r>
        <w:rPr>
          <w:sz w:val="24"/>
        </w:rPr>
        <w:t>stronger</w:t>
      </w:r>
      <w:r>
        <w:rPr>
          <w:spacing w:val="-7"/>
          <w:sz w:val="24"/>
        </w:rPr>
        <w:t> </w:t>
      </w:r>
      <w:r>
        <w:rPr>
          <w:sz w:val="24"/>
        </w:rPr>
        <w:t>than</w:t>
      </w:r>
      <w:r>
        <w:rPr>
          <w:spacing w:val="-7"/>
          <w:sz w:val="24"/>
        </w:rPr>
        <w:t> </w:t>
      </w:r>
      <w:r>
        <w:rPr>
          <w:sz w:val="24"/>
        </w:rPr>
        <w:t>expected,</w:t>
      </w:r>
      <w:r>
        <w:rPr>
          <w:spacing w:val="-6"/>
          <w:sz w:val="24"/>
        </w:rPr>
        <w:t> </w:t>
      </w:r>
      <w:r>
        <w:rPr>
          <w:sz w:val="24"/>
        </w:rPr>
        <w:t>and</w:t>
      </w:r>
      <w:r>
        <w:rPr>
          <w:spacing w:val="-7"/>
          <w:sz w:val="24"/>
        </w:rPr>
        <w:t> </w:t>
      </w:r>
      <w:r>
        <w:rPr>
          <w:sz w:val="24"/>
        </w:rPr>
        <w:t>sterling</w:t>
      </w:r>
      <w:r>
        <w:rPr>
          <w:spacing w:val="-7"/>
          <w:sz w:val="24"/>
        </w:rPr>
        <w:t> </w:t>
      </w:r>
      <w:r>
        <w:rPr>
          <w:sz w:val="24"/>
        </w:rPr>
        <w:t>had</w:t>
      </w:r>
      <w:r>
        <w:rPr>
          <w:spacing w:val="-6"/>
          <w:sz w:val="24"/>
        </w:rPr>
        <w:t> </w:t>
      </w:r>
      <w:r>
        <w:rPr>
          <w:sz w:val="24"/>
        </w:rPr>
        <w:t>fallen</w:t>
      </w:r>
      <w:r>
        <w:rPr>
          <w:spacing w:val="-7"/>
          <w:sz w:val="24"/>
        </w:rPr>
        <w:t> </w:t>
      </w:r>
      <w:r>
        <w:rPr>
          <w:sz w:val="24"/>
        </w:rPr>
        <w:t>back</w:t>
      </w:r>
      <w:r>
        <w:rPr>
          <w:spacing w:val="-7"/>
          <w:sz w:val="24"/>
        </w:rPr>
        <w:t> </w:t>
      </w:r>
      <w:r>
        <w:rPr>
          <w:sz w:val="24"/>
        </w:rPr>
        <w:t>by</w:t>
      </w:r>
      <w:r>
        <w:rPr>
          <w:spacing w:val="-6"/>
          <w:sz w:val="24"/>
        </w:rPr>
        <w:t> </w:t>
      </w:r>
      <w:r>
        <w:rPr>
          <w:sz w:val="24"/>
        </w:rPr>
        <w:t>more</w:t>
      </w:r>
      <w:r>
        <w:rPr>
          <w:spacing w:val="-7"/>
          <w:sz w:val="24"/>
        </w:rPr>
        <w:t> </w:t>
      </w:r>
      <w:r>
        <w:rPr>
          <w:sz w:val="24"/>
        </w:rPr>
        <w:t>than</w:t>
      </w:r>
      <w:r>
        <w:rPr>
          <w:spacing w:val="-7"/>
          <w:sz w:val="24"/>
        </w:rPr>
        <w:t> </w:t>
      </w:r>
      <w:r>
        <w:rPr>
          <w:spacing w:val="-2"/>
          <w:sz w:val="24"/>
        </w:rPr>
        <w:t>was </w:t>
      </w:r>
      <w:r>
        <w:rPr>
          <w:sz w:val="24"/>
        </w:rPr>
        <w:t>expected. Though a slowdown was already likely next year, this was too uncertain and risked being too late to prevent inflation and inflation expectations rising. The money numbers underlined this. It was</w:t>
      </w:r>
      <w:r>
        <w:rPr>
          <w:spacing w:val="-8"/>
          <w:sz w:val="24"/>
        </w:rPr>
        <w:t> </w:t>
      </w:r>
      <w:r>
        <w:rPr>
          <w:sz w:val="24"/>
        </w:rPr>
        <w:t>argued</w:t>
      </w:r>
      <w:r>
        <w:rPr>
          <w:spacing w:val="-7"/>
          <w:sz w:val="24"/>
        </w:rPr>
        <w:t> </w:t>
      </w:r>
      <w:r>
        <w:rPr>
          <w:sz w:val="24"/>
        </w:rPr>
        <w:t>that</w:t>
      </w:r>
      <w:r>
        <w:rPr>
          <w:spacing w:val="-7"/>
          <w:sz w:val="24"/>
        </w:rPr>
        <w:t> </w:t>
      </w:r>
      <w:r>
        <w:rPr>
          <w:sz w:val="24"/>
        </w:rPr>
        <w:t>the</w:t>
      </w:r>
      <w:r>
        <w:rPr>
          <w:spacing w:val="-7"/>
          <w:sz w:val="24"/>
        </w:rPr>
        <w:t> </w:t>
      </w:r>
      <w:r>
        <w:rPr>
          <w:sz w:val="24"/>
        </w:rPr>
        <w:t>balance</w:t>
      </w:r>
      <w:r>
        <w:rPr>
          <w:spacing w:val="-7"/>
          <w:sz w:val="24"/>
        </w:rPr>
        <w:t> </w:t>
      </w:r>
      <w:r>
        <w:rPr>
          <w:sz w:val="24"/>
        </w:rPr>
        <w:t>of</w:t>
      </w:r>
      <w:r>
        <w:rPr>
          <w:spacing w:val="-7"/>
          <w:sz w:val="24"/>
        </w:rPr>
        <w:t> </w:t>
      </w:r>
      <w:r>
        <w:rPr>
          <w:sz w:val="24"/>
        </w:rPr>
        <w:t>risks</w:t>
      </w:r>
      <w:r>
        <w:rPr>
          <w:spacing w:val="-8"/>
          <w:sz w:val="24"/>
        </w:rPr>
        <w:t> </w:t>
      </w:r>
      <w:r>
        <w:rPr>
          <w:sz w:val="24"/>
        </w:rPr>
        <w:t>between</w:t>
      </w:r>
      <w:r>
        <w:rPr>
          <w:spacing w:val="-7"/>
          <w:sz w:val="24"/>
        </w:rPr>
        <w:t> </w:t>
      </w:r>
      <w:r>
        <w:rPr>
          <w:sz w:val="24"/>
        </w:rPr>
        <w:t>raising</w:t>
      </w:r>
      <w:r>
        <w:rPr>
          <w:spacing w:val="-7"/>
          <w:sz w:val="24"/>
        </w:rPr>
        <w:t> </w:t>
      </w:r>
      <w:r>
        <w:rPr>
          <w:sz w:val="24"/>
        </w:rPr>
        <w:t>and</w:t>
      </w:r>
      <w:r>
        <w:rPr>
          <w:spacing w:val="-7"/>
          <w:sz w:val="24"/>
        </w:rPr>
        <w:t> </w:t>
      </w:r>
      <w:r>
        <w:rPr>
          <w:sz w:val="24"/>
        </w:rPr>
        <w:t>not</w:t>
      </w:r>
      <w:r>
        <w:rPr>
          <w:spacing w:val="-7"/>
          <w:sz w:val="24"/>
        </w:rPr>
        <w:t> </w:t>
      </w:r>
      <w:r>
        <w:rPr>
          <w:sz w:val="24"/>
        </w:rPr>
        <w:t>raising</w:t>
      </w:r>
      <w:r>
        <w:rPr>
          <w:spacing w:val="-7"/>
          <w:sz w:val="24"/>
        </w:rPr>
        <w:t> </w:t>
      </w:r>
      <w:r>
        <w:rPr>
          <w:sz w:val="24"/>
        </w:rPr>
        <w:t>rates</w:t>
      </w:r>
      <w:r>
        <w:rPr>
          <w:spacing w:val="-8"/>
          <w:sz w:val="24"/>
        </w:rPr>
        <w:t> </w:t>
      </w:r>
      <w:r>
        <w:rPr>
          <w:sz w:val="24"/>
        </w:rPr>
        <w:t>was</w:t>
      </w:r>
      <w:r>
        <w:rPr>
          <w:spacing w:val="-7"/>
          <w:sz w:val="24"/>
        </w:rPr>
        <w:t> </w:t>
      </w:r>
      <w:r>
        <w:rPr>
          <w:sz w:val="24"/>
        </w:rPr>
        <w:t>asymmetric.</w:t>
      </w:r>
      <w:r>
        <w:rPr>
          <w:spacing w:val="49"/>
          <w:sz w:val="24"/>
        </w:rPr>
        <w:t> </w:t>
      </w:r>
      <w:r>
        <w:rPr>
          <w:sz w:val="24"/>
        </w:rPr>
        <w:t>There</w:t>
      </w:r>
      <w:r>
        <w:rPr>
          <w:spacing w:val="-8"/>
          <w:sz w:val="24"/>
        </w:rPr>
        <w:t> </w:t>
      </w:r>
      <w:r>
        <w:rPr>
          <w:spacing w:val="-2"/>
          <w:sz w:val="24"/>
        </w:rPr>
        <w:t>was </w:t>
      </w:r>
      <w:r>
        <w:rPr>
          <w:sz w:val="24"/>
        </w:rPr>
        <w:t>a high probability that, as well as growing at an above trend rate, the level of output was now </w:t>
      </w:r>
      <w:r>
        <w:rPr>
          <w:spacing w:val="-2"/>
          <w:sz w:val="24"/>
        </w:rPr>
        <w:t>higher </w:t>
      </w:r>
      <w:r>
        <w:rPr>
          <w:sz w:val="24"/>
        </w:rPr>
        <w:t>than potential. A policy tightening would bring output back to its trend level more quickly, and</w:t>
      </w:r>
      <w:r>
        <w:rPr>
          <w:spacing w:val="-31"/>
          <w:sz w:val="24"/>
        </w:rPr>
        <w:t> </w:t>
      </w:r>
      <w:r>
        <w:rPr>
          <w:sz w:val="24"/>
        </w:rPr>
        <w:t>if</w:t>
      </w:r>
    </w:p>
    <w:p>
      <w:pPr>
        <w:spacing w:after="0" w:line="372" w:lineRule="auto"/>
        <w:jc w:val="left"/>
        <w:rPr>
          <w:sz w:val="24"/>
        </w:rPr>
        <w:sectPr>
          <w:pgSz w:w="11900" w:h="16840"/>
          <w:pgMar w:header="863" w:footer="0" w:top="1340" w:bottom="280" w:left="880" w:right="740"/>
        </w:sectPr>
      </w:pPr>
    </w:p>
    <w:p>
      <w:pPr>
        <w:pStyle w:val="BodyText"/>
        <w:spacing w:before="8"/>
        <w:rPr>
          <w:sz w:val="23"/>
        </w:rPr>
      </w:pPr>
    </w:p>
    <w:p>
      <w:pPr>
        <w:pStyle w:val="BodyText"/>
        <w:spacing w:line="372" w:lineRule="auto" w:before="90"/>
        <w:ind w:left="252" w:right="230"/>
      </w:pPr>
      <w:r>
        <w:rPr/>
        <w:t>necessary interest rates could be cut if new evidence emerged that the economy was weaker than expected. If, on the other hand, policy was not tightened, there was a risk that inflation expectations would rise as strong demand pressures persisted. The Committee might then find itself having to tighten sharply, increasing the risk of a recession, to bring things back on course. The predominance of upside risks to inflation therefore required an early move.</w:t>
      </w:r>
    </w:p>
    <w:p>
      <w:pPr>
        <w:pStyle w:val="BodyText"/>
        <w:spacing w:before="10"/>
        <w:rPr>
          <w:sz w:val="36"/>
        </w:rPr>
      </w:pPr>
    </w:p>
    <w:p>
      <w:pPr>
        <w:pStyle w:val="ListParagraph"/>
        <w:numPr>
          <w:ilvl w:val="0"/>
          <w:numId w:val="1"/>
        </w:numPr>
        <w:tabs>
          <w:tab w:pos="1102" w:val="left" w:leader="none"/>
          <w:tab w:pos="1103" w:val="left" w:leader="none"/>
        </w:tabs>
        <w:spacing w:line="372" w:lineRule="auto" w:before="0" w:after="0"/>
        <w:ind w:left="252" w:right="281" w:firstLine="0"/>
        <w:jc w:val="left"/>
        <w:rPr>
          <w:sz w:val="24"/>
        </w:rPr>
      </w:pPr>
      <w:r>
        <w:rPr>
          <w:sz w:val="24"/>
        </w:rPr>
        <w:t>Turning to tactical considerations, the Committee noted that, although a rise would probably </w:t>
      </w:r>
      <w:r>
        <w:rPr>
          <w:spacing w:val="-3"/>
          <w:sz w:val="24"/>
        </w:rPr>
        <w:t>come </w:t>
      </w:r>
      <w:r>
        <w:rPr>
          <w:sz w:val="24"/>
        </w:rPr>
        <w:t>as a </w:t>
      </w:r>
      <w:r>
        <w:rPr>
          <w:spacing w:val="-3"/>
          <w:sz w:val="24"/>
        </w:rPr>
        <w:t>surprise </w:t>
      </w:r>
      <w:r>
        <w:rPr>
          <w:sz w:val="24"/>
        </w:rPr>
        <w:t>to </w:t>
      </w:r>
      <w:r>
        <w:rPr>
          <w:spacing w:val="-3"/>
          <w:sz w:val="24"/>
        </w:rPr>
        <w:t>some, </w:t>
      </w:r>
      <w:r>
        <w:rPr>
          <w:sz w:val="24"/>
        </w:rPr>
        <w:t>any </w:t>
      </w:r>
      <w:r>
        <w:rPr>
          <w:spacing w:val="-3"/>
          <w:sz w:val="24"/>
        </w:rPr>
        <w:t>initial impact </w:t>
      </w:r>
      <w:r>
        <w:rPr>
          <w:sz w:val="24"/>
        </w:rPr>
        <w:t>on </w:t>
      </w:r>
      <w:r>
        <w:rPr>
          <w:spacing w:val="-3"/>
          <w:sz w:val="24"/>
        </w:rPr>
        <w:t>financial markets might </w:t>
      </w:r>
      <w:r>
        <w:rPr>
          <w:sz w:val="24"/>
        </w:rPr>
        <w:t>be </w:t>
      </w:r>
      <w:r>
        <w:rPr>
          <w:spacing w:val="-3"/>
          <w:sz w:val="24"/>
        </w:rPr>
        <w:t>reassessed once the Inflation </w:t>
      </w:r>
      <w:r>
        <w:rPr>
          <w:sz w:val="24"/>
        </w:rPr>
        <w:t>Report was published. The Committee considered whether the recent disturbed </w:t>
      </w:r>
      <w:r>
        <w:rPr>
          <w:spacing w:val="-3"/>
          <w:sz w:val="24"/>
        </w:rPr>
        <w:t>conditions </w:t>
      </w:r>
      <w:r>
        <w:rPr>
          <w:spacing w:val="-4"/>
          <w:sz w:val="24"/>
        </w:rPr>
        <w:t>in </w:t>
      </w:r>
      <w:r>
        <w:rPr>
          <w:spacing w:val="-3"/>
          <w:sz w:val="24"/>
        </w:rPr>
        <w:t>financial markets should inhibit </w:t>
      </w:r>
      <w:r>
        <w:rPr>
          <w:sz w:val="24"/>
        </w:rPr>
        <w:t>it </w:t>
      </w:r>
      <w:r>
        <w:rPr>
          <w:spacing w:val="-3"/>
          <w:sz w:val="24"/>
        </w:rPr>
        <w:t>from raising rates. </w:t>
      </w:r>
      <w:r>
        <w:rPr>
          <w:sz w:val="24"/>
        </w:rPr>
        <w:t>It </w:t>
      </w:r>
      <w:r>
        <w:rPr>
          <w:spacing w:val="-3"/>
          <w:sz w:val="24"/>
        </w:rPr>
        <w:t>judged that conditions </w:t>
      </w:r>
      <w:r>
        <w:rPr>
          <w:sz w:val="24"/>
        </w:rPr>
        <w:t>in the </w:t>
      </w:r>
      <w:r>
        <w:rPr>
          <w:spacing w:val="-3"/>
          <w:sz w:val="24"/>
        </w:rPr>
        <w:t>domestic UK markets were </w:t>
      </w:r>
      <w:r>
        <w:rPr>
          <w:sz w:val="24"/>
        </w:rPr>
        <w:t>not </w:t>
      </w:r>
      <w:r>
        <w:rPr>
          <w:spacing w:val="-3"/>
          <w:sz w:val="24"/>
        </w:rPr>
        <w:t>sufficiently fragile </w:t>
      </w:r>
      <w:r>
        <w:rPr>
          <w:sz w:val="24"/>
        </w:rPr>
        <w:t>for a </w:t>
      </w:r>
      <w:r>
        <w:rPr>
          <w:spacing w:val="-3"/>
          <w:sz w:val="24"/>
        </w:rPr>
        <w:t>delay </w:t>
      </w:r>
      <w:r>
        <w:rPr>
          <w:sz w:val="24"/>
        </w:rPr>
        <w:t>to be </w:t>
      </w:r>
      <w:r>
        <w:rPr>
          <w:spacing w:val="-3"/>
          <w:sz w:val="24"/>
        </w:rPr>
        <w:t>necessary </w:t>
      </w:r>
      <w:r>
        <w:rPr>
          <w:sz w:val="24"/>
        </w:rPr>
        <w:t>and a </w:t>
      </w:r>
      <w:r>
        <w:rPr>
          <w:spacing w:val="-3"/>
          <w:sz w:val="24"/>
        </w:rPr>
        <w:t>tightening </w:t>
      </w:r>
      <w:r>
        <w:rPr>
          <w:sz w:val="24"/>
        </w:rPr>
        <w:t>was </w:t>
      </w:r>
      <w:r>
        <w:rPr>
          <w:spacing w:val="-3"/>
          <w:sz w:val="24"/>
        </w:rPr>
        <w:t>unlikely </w:t>
      </w:r>
      <w:r>
        <w:rPr>
          <w:sz w:val="24"/>
        </w:rPr>
        <w:t>to </w:t>
      </w:r>
      <w:r>
        <w:rPr>
          <w:spacing w:val="-3"/>
          <w:sz w:val="24"/>
        </w:rPr>
        <w:t>have  </w:t>
      </w:r>
      <w:r>
        <w:rPr>
          <w:sz w:val="24"/>
        </w:rPr>
        <w:t>a </w:t>
      </w:r>
      <w:r>
        <w:rPr>
          <w:spacing w:val="-3"/>
          <w:sz w:val="24"/>
        </w:rPr>
        <w:t>significant effect </w:t>
      </w:r>
      <w:r>
        <w:rPr>
          <w:sz w:val="24"/>
        </w:rPr>
        <w:t>on </w:t>
      </w:r>
      <w:r>
        <w:rPr>
          <w:spacing w:val="-3"/>
          <w:sz w:val="24"/>
        </w:rPr>
        <w:t>worldwide financial markets. There were attractions </w:t>
      </w:r>
      <w:r>
        <w:rPr>
          <w:sz w:val="24"/>
        </w:rPr>
        <w:t>in </w:t>
      </w:r>
      <w:r>
        <w:rPr>
          <w:spacing w:val="-3"/>
          <w:sz w:val="24"/>
        </w:rPr>
        <w:t>moving before the </w:t>
      </w:r>
      <w:r>
        <w:rPr>
          <w:sz w:val="24"/>
        </w:rPr>
        <w:t>publication of some of the data due out in the next month, given the possibility of a rebound in </w:t>
      </w:r>
      <w:r>
        <w:rPr>
          <w:spacing w:val="-2"/>
          <w:sz w:val="24"/>
        </w:rPr>
        <w:t>retail </w:t>
      </w:r>
      <w:r>
        <w:rPr>
          <w:sz w:val="24"/>
        </w:rPr>
        <w:t>sales growth from the September dip and a likely strong RPIX outturn for October. The Committee </w:t>
      </w:r>
      <w:r>
        <w:rPr>
          <w:spacing w:val="-3"/>
          <w:sz w:val="24"/>
        </w:rPr>
        <w:t>might then find itself increasing rates </w:t>
      </w:r>
      <w:r>
        <w:rPr>
          <w:sz w:val="24"/>
        </w:rPr>
        <w:t>in an </w:t>
      </w:r>
      <w:r>
        <w:rPr>
          <w:spacing w:val="-3"/>
          <w:sz w:val="24"/>
        </w:rPr>
        <w:t>environment where </w:t>
      </w:r>
      <w:r>
        <w:rPr>
          <w:sz w:val="24"/>
        </w:rPr>
        <w:t>it was </w:t>
      </w:r>
      <w:r>
        <w:rPr>
          <w:spacing w:val="-3"/>
          <w:sz w:val="24"/>
        </w:rPr>
        <w:t>wrongly perceived </w:t>
      </w:r>
      <w:r>
        <w:rPr>
          <w:sz w:val="24"/>
        </w:rPr>
        <w:t>as </w:t>
      </w:r>
      <w:r>
        <w:rPr>
          <w:spacing w:val="-3"/>
          <w:sz w:val="24"/>
        </w:rPr>
        <w:t>reacting to </w:t>
      </w:r>
      <w:r>
        <w:rPr>
          <w:sz w:val="24"/>
        </w:rPr>
        <w:t>specific bad</w:t>
      </w:r>
      <w:r>
        <w:rPr>
          <w:spacing w:val="-1"/>
          <w:sz w:val="24"/>
        </w:rPr>
        <w:t> </w:t>
      </w:r>
      <w:r>
        <w:rPr>
          <w:sz w:val="24"/>
        </w:rPr>
        <w:t>data.</w:t>
      </w:r>
    </w:p>
    <w:p>
      <w:pPr>
        <w:pStyle w:val="BodyText"/>
        <w:spacing w:before="7"/>
        <w:rPr>
          <w:sz w:val="36"/>
        </w:rPr>
      </w:pPr>
    </w:p>
    <w:p>
      <w:pPr>
        <w:pStyle w:val="ListParagraph"/>
        <w:numPr>
          <w:ilvl w:val="0"/>
          <w:numId w:val="1"/>
        </w:numPr>
        <w:tabs>
          <w:tab w:pos="1102" w:val="left" w:leader="none"/>
          <w:tab w:pos="1103" w:val="left" w:leader="none"/>
        </w:tabs>
        <w:spacing w:line="372" w:lineRule="auto" w:before="1" w:after="0"/>
        <w:ind w:left="252" w:right="282" w:firstLine="0"/>
        <w:jc w:val="left"/>
        <w:rPr>
          <w:sz w:val="24"/>
        </w:rPr>
      </w:pPr>
      <w:r>
        <w:rPr>
          <w:sz w:val="24"/>
        </w:rPr>
        <w:t>The</w:t>
      </w:r>
      <w:r>
        <w:rPr>
          <w:spacing w:val="-8"/>
          <w:sz w:val="24"/>
        </w:rPr>
        <w:t> </w:t>
      </w:r>
      <w:r>
        <w:rPr>
          <w:sz w:val="24"/>
        </w:rPr>
        <w:t>Committee</w:t>
      </w:r>
      <w:r>
        <w:rPr>
          <w:spacing w:val="-7"/>
          <w:sz w:val="24"/>
        </w:rPr>
        <w:t> </w:t>
      </w:r>
      <w:r>
        <w:rPr>
          <w:sz w:val="24"/>
        </w:rPr>
        <w:t>then</w:t>
      </w:r>
      <w:r>
        <w:rPr>
          <w:spacing w:val="-7"/>
          <w:sz w:val="24"/>
        </w:rPr>
        <w:t> </w:t>
      </w:r>
      <w:r>
        <w:rPr>
          <w:sz w:val="24"/>
        </w:rPr>
        <w:t>voted</w:t>
      </w:r>
      <w:r>
        <w:rPr>
          <w:spacing w:val="-7"/>
          <w:sz w:val="24"/>
        </w:rPr>
        <w:t> </w:t>
      </w:r>
      <w:r>
        <w:rPr>
          <w:sz w:val="24"/>
        </w:rPr>
        <w:t>unanimously</w:t>
      </w:r>
      <w:r>
        <w:rPr>
          <w:spacing w:val="-7"/>
          <w:sz w:val="24"/>
        </w:rPr>
        <w:t> </w:t>
      </w:r>
      <w:r>
        <w:rPr>
          <w:sz w:val="24"/>
        </w:rPr>
        <w:t>in</w:t>
      </w:r>
      <w:r>
        <w:rPr>
          <w:spacing w:val="-7"/>
          <w:sz w:val="24"/>
        </w:rPr>
        <w:t> </w:t>
      </w:r>
      <w:r>
        <w:rPr>
          <w:sz w:val="24"/>
        </w:rPr>
        <w:t>favour</w:t>
      </w:r>
      <w:r>
        <w:rPr>
          <w:spacing w:val="-7"/>
          <w:sz w:val="24"/>
        </w:rPr>
        <w:t> </w:t>
      </w:r>
      <w:r>
        <w:rPr>
          <w:sz w:val="24"/>
        </w:rPr>
        <w:t>of</w:t>
      </w:r>
      <w:r>
        <w:rPr>
          <w:spacing w:val="-7"/>
          <w:sz w:val="24"/>
        </w:rPr>
        <w:t> </w:t>
      </w:r>
      <w:r>
        <w:rPr>
          <w:sz w:val="24"/>
        </w:rPr>
        <w:t>a</w:t>
      </w:r>
      <w:r>
        <w:rPr>
          <w:spacing w:val="-8"/>
          <w:sz w:val="24"/>
        </w:rPr>
        <w:t> </w:t>
      </w:r>
      <w:r>
        <w:rPr>
          <w:sz w:val="24"/>
        </w:rPr>
        <w:t>1/4</w:t>
      </w:r>
      <w:r>
        <w:rPr>
          <w:spacing w:val="-7"/>
          <w:sz w:val="24"/>
        </w:rPr>
        <w:t> </w:t>
      </w:r>
      <w:r>
        <w:rPr>
          <w:sz w:val="24"/>
        </w:rPr>
        <w:t>percentage</w:t>
      </w:r>
      <w:r>
        <w:rPr>
          <w:spacing w:val="-7"/>
          <w:sz w:val="24"/>
        </w:rPr>
        <w:t> </w:t>
      </w:r>
      <w:r>
        <w:rPr>
          <w:sz w:val="24"/>
        </w:rPr>
        <w:t>point</w:t>
      </w:r>
      <w:r>
        <w:rPr>
          <w:spacing w:val="-7"/>
          <w:sz w:val="24"/>
        </w:rPr>
        <w:t> </w:t>
      </w:r>
      <w:r>
        <w:rPr>
          <w:sz w:val="24"/>
        </w:rPr>
        <w:t>rise</w:t>
      </w:r>
      <w:r>
        <w:rPr>
          <w:spacing w:val="-7"/>
          <w:sz w:val="24"/>
        </w:rPr>
        <w:t> </w:t>
      </w:r>
      <w:r>
        <w:rPr>
          <w:sz w:val="24"/>
        </w:rPr>
        <w:t>in</w:t>
      </w:r>
      <w:r>
        <w:rPr>
          <w:spacing w:val="-7"/>
          <w:sz w:val="24"/>
        </w:rPr>
        <w:t> </w:t>
      </w:r>
      <w:r>
        <w:rPr>
          <w:sz w:val="24"/>
        </w:rPr>
        <w:t>the</w:t>
      </w:r>
      <w:r>
        <w:rPr>
          <w:spacing w:val="-7"/>
          <w:sz w:val="24"/>
        </w:rPr>
        <w:t> </w:t>
      </w:r>
      <w:r>
        <w:rPr>
          <w:spacing w:val="-2"/>
          <w:sz w:val="24"/>
        </w:rPr>
        <w:t>Bank’s </w:t>
      </w:r>
      <w:r>
        <w:rPr>
          <w:sz w:val="24"/>
        </w:rPr>
        <w:t>repo rate, to be announced</w:t>
      </w:r>
      <w:r>
        <w:rPr>
          <w:spacing w:val="3"/>
          <w:sz w:val="24"/>
        </w:rPr>
        <w:t> </w:t>
      </w:r>
      <w:r>
        <w:rPr>
          <w:spacing w:val="-2"/>
          <w:sz w:val="24"/>
        </w:rPr>
        <w:t>immediately.</w:t>
      </w:r>
    </w:p>
    <w:p>
      <w:pPr>
        <w:pStyle w:val="BodyText"/>
        <w:rPr>
          <w:sz w:val="37"/>
        </w:rPr>
      </w:pPr>
    </w:p>
    <w:p>
      <w:pPr>
        <w:pStyle w:val="ListParagraph"/>
        <w:numPr>
          <w:ilvl w:val="0"/>
          <w:numId w:val="1"/>
        </w:numPr>
        <w:tabs>
          <w:tab w:pos="1102" w:val="left" w:leader="none"/>
          <w:tab w:pos="1103" w:val="left" w:leader="none"/>
        </w:tabs>
        <w:spacing w:line="240" w:lineRule="auto" w:before="0" w:after="0"/>
        <w:ind w:left="1102" w:right="0" w:hanging="851"/>
        <w:jc w:val="left"/>
        <w:rPr>
          <w:sz w:val="24"/>
        </w:rPr>
      </w:pPr>
      <w:r>
        <w:rPr>
          <w:sz w:val="24"/>
        </w:rPr>
        <w:t>The following members of the Committee were</w:t>
      </w:r>
      <w:r>
        <w:rPr>
          <w:spacing w:val="-8"/>
          <w:sz w:val="24"/>
        </w:rPr>
        <w:t> </w:t>
      </w:r>
      <w:r>
        <w:rPr>
          <w:sz w:val="24"/>
        </w:rPr>
        <w:t>present:</w:t>
      </w:r>
    </w:p>
    <w:p>
      <w:pPr>
        <w:pStyle w:val="BodyText"/>
        <w:rPr>
          <w:sz w:val="26"/>
        </w:rPr>
      </w:pPr>
    </w:p>
    <w:p>
      <w:pPr>
        <w:pStyle w:val="BodyText"/>
        <w:spacing w:before="3"/>
      </w:pPr>
    </w:p>
    <w:p>
      <w:pPr>
        <w:pStyle w:val="BodyText"/>
        <w:spacing w:before="1"/>
        <w:ind w:left="252"/>
      </w:pPr>
      <w:r>
        <w:rPr/>
        <w:t>Eddie George (Governor)</w:t>
      </w:r>
    </w:p>
    <w:p>
      <w:pPr>
        <w:pStyle w:val="BodyText"/>
        <w:spacing w:line="372" w:lineRule="auto" w:before="151"/>
        <w:ind w:left="252" w:right="5895"/>
      </w:pPr>
      <w:r>
        <w:rPr/>
        <w:t>David Clementi (Deputy Governor) Willem Buiter</w:t>
      </w:r>
    </w:p>
    <w:p>
      <w:pPr>
        <w:pStyle w:val="BodyText"/>
        <w:spacing w:line="372" w:lineRule="auto"/>
        <w:ind w:left="252" w:right="7868"/>
      </w:pPr>
      <w:r>
        <w:rPr/>
        <w:t>Charles Goodhart DeAnne Julius Mervyn King</w:t>
      </w:r>
    </w:p>
    <w:p>
      <w:pPr>
        <w:pStyle w:val="BodyText"/>
        <w:spacing w:line="274" w:lineRule="exact"/>
        <w:ind w:left="252"/>
      </w:pPr>
      <w:r>
        <w:rPr/>
        <w:t>Ian Plenderleith</w:t>
      </w:r>
    </w:p>
    <w:p>
      <w:pPr>
        <w:pStyle w:val="BodyText"/>
        <w:rPr>
          <w:sz w:val="26"/>
        </w:rPr>
      </w:pPr>
    </w:p>
    <w:p>
      <w:pPr>
        <w:pStyle w:val="BodyText"/>
        <w:spacing w:before="2"/>
      </w:pPr>
    </w:p>
    <w:p>
      <w:pPr>
        <w:pStyle w:val="ListParagraph"/>
        <w:numPr>
          <w:ilvl w:val="0"/>
          <w:numId w:val="1"/>
        </w:numPr>
        <w:tabs>
          <w:tab w:pos="1102" w:val="left" w:leader="none"/>
          <w:tab w:pos="1103" w:val="left" w:leader="none"/>
        </w:tabs>
        <w:spacing w:line="240" w:lineRule="auto" w:before="0" w:after="0"/>
        <w:ind w:left="1102" w:right="0" w:hanging="851"/>
        <w:jc w:val="left"/>
        <w:rPr>
          <w:sz w:val="24"/>
        </w:rPr>
      </w:pPr>
      <w:r>
        <w:rPr>
          <w:sz w:val="24"/>
        </w:rPr>
        <w:t>Sir Terence Burns was also present as the Treasury’s</w:t>
      </w:r>
      <w:r>
        <w:rPr>
          <w:spacing w:val="-6"/>
          <w:sz w:val="24"/>
        </w:rPr>
        <w:t> </w:t>
      </w:r>
      <w:r>
        <w:rPr>
          <w:sz w:val="24"/>
        </w:rPr>
        <w:t>representative.</w:t>
      </w:r>
    </w:p>
    <w:p>
      <w:pPr>
        <w:spacing w:after="0" w:line="240" w:lineRule="auto"/>
        <w:jc w:val="left"/>
        <w:rPr>
          <w:sz w:val="24"/>
        </w:rPr>
        <w:sectPr>
          <w:pgSz w:w="11900" w:h="16840"/>
          <w:pgMar w:header="863" w:footer="0" w:top="1340" w:bottom="280" w:left="880" w:right="740"/>
        </w:sectPr>
      </w:pPr>
    </w:p>
    <w:p>
      <w:pPr>
        <w:pStyle w:val="BodyText"/>
        <w:rPr>
          <w:sz w:val="20"/>
        </w:rPr>
      </w:pPr>
    </w:p>
    <w:p>
      <w:pPr>
        <w:pStyle w:val="BodyText"/>
        <w:spacing w:before="3"/>
        <w:rPr>
          <w:sz w:val="20"/>
        </w:rPr>
      </w:pPr>
    </w:p>
    <w:p>
      <w:pPr>
        <w:pStyle w:val="Heading1"/>
        <w:spacing w:line="247" w:lineRule="auto" w:before="90"/>
        <w:ind w:left="560"/>
      </w:pPr>
      <w:r>
        <w:rPr/>
        <w:t>ANNEX: SUMMARY OF DATA PRESENTED TO THE MONETARY POLICY COMMITTEE BY BANK</w:t>
      </w:r>
      <w:r>
        <w:rPr>
          <w:spacing w:val="5"/>
        </w:rPr>
        <w:t> </w:t>
      </w:r>
      <w:r>
        <w:rPr/>
        <w:t>STAFF</w:t>
      </w:r>
    </w:p>
    <w:p>
      <w:pPr>
        <w:pStyle w:val="BodyText"/>
        <w:rPr>
          <w:b/>
          <w:sz w:val="26"/>
        </w:rPr>
      </w:pPr>
    </w:p>
    <w:p>
      <w:pPr>
        <w:pStyle w:val="BodyText"/>
        <w:spacing w:before="8"/>
        <w:rPr>
          <w:b/>
          <w:sz w:val="22"/>
        </w:rPr>
      </w:pPr>
    </w:p>
    <w:p>
      <w:pPr>
        <w:pStyle w:val="BodyText"/>
        <w:tabs>
          <w:tab w:pos="1135" w:val="left" w:leader="none"/>
        </w:tabs>
        <w:spacing w:line="372" w:lineRule="auto"/>
        <w:ind w:left="560" w:right="128"/>
      </w:pPr>
      <w:r>
        <w:rPr/>
        <w:t>A1</w:t>
        <w:tab/>
      </w:r>
      <w:r>
        <w:rPr>
          <w:spacing w:val="-3"/>
        </w:rPr>
        <w:t>This annex summarises </w:t>
      </w:r>
      <w:r>
        <w:rPr/>
        <w:t>the </w:t>
      </w:r>
      <w:r>
        <w:rPr>
          <w:spacing w:val="-3"/>
        </w:rPr>
        <w:t>analysis presented </w:t>
      </w:r>
      <w:r>
        <w:rPr/>
        <w:t>by </w:t>
      </w:r>
      <w:r>
        <w:rPr>
          <w:spacing w:val="-3"/>
        </w:rPr>
        <w:t>Bank staff </w:t>
      </w:r>
      <w:r>
        <w:rPr/>
        <w:t>to the </w:t>
      </w:r>
      <w:r>
        <w:rPr>
          <w:spacing w:val="-3"/>
        </w:rPr>
        <w:t>Monetary Policy Committee </w:t>
      </w:r>
      <w:r>
        <w:rPr/>
        <w:t>on 31 October 1997, in advance of its meeting. At the start of the Committee meeting itself, </w:t>
      </w:r>
      <w:r>
        <w:rPr>
          <w:spacing w:val="-3"/>
        </w:rPr>
        <w:t>members were made aware </w:t>
      </w:r>
      <w:r>
        <w:rPr/>
        <w:t>of </w:t>
      </w:r>
      <w:r>
        <w:rPr>
          <w:spacing w:val="-3"/>
        </w:rPr>
        <w:t>information that </w:t>
      </w:r>
      <w:r>
        <w:rPr/>
        <w:t>had </w:t>
      </w:r>
      <w:r>
        <w:rPr>
          <w:spacing w:val="-3"/>
        </w:rPr>
        <w:t>subsequently become available, </w:t>
      </w:r>
      <w:r>
        <w:rPr/>
        <w:t>and </w:t>
      </w:r>
      <w:r>
        <w:rPr>
          <w:spacing w:val="-3"/>
        </w:rPr>
        <w:t>that </w:t>
      </w:r>
      <w:r>
        <w:rPr>
          <w:spacing w:val="-4"/>
        </w:rPr>
        <w:t>information </w:t>
      </w:r>
      <w:r>
        <w:rPr/>
        <w:t>is </w:t>
      </w:r>
      <w:r>
        <w:rPr>
          <w:spacing w:val="-4"/>
        </w:rPr>
        <w:t>included </w:t>
      </w:r>
      <w:r>
        <w:rPr/>
        <w:t>in </w:t>
      </w:r>
      <w:r>
        <w:rPr>
          <w:spacing w:val="-3"/>
        </w:rPr>
        <w:t>this</w:t>
      </w:r>
      <w:r>
        <w:rPr>
          <w:spacing w:val="3"/>
        </w:rPr>
        <w:t> </w:t>
      </w:r>
      <w:r>
        <w:rPr>
          <w:spacing w:val="-4"/>
        </w:rPr>
        <w:t>Annex.</w:t>
      </w:r>
    </w:p>
    <w:p>
      <w:pPr>
        <w:pStyle w:val="BodyText"/>
        <w:spacing w:before="11"/>
        <w:rPr>
          <w:sz w:val="36"/>
        </w:rPr>
      </w:pPr>
    </w:p>
    <w:p>
      <w:pPr>
        <w:pStyle w:val="ListParagraph"/>
        <w:numPr>
          <w:ilvl w:val="1"/>
          <w:numId w:val="1"/>
        </w:numPr>
        <w:tabs>
          <w:tab w:pos="764" w:val="left" w:leader="none"/>
        </w:tabs>
        <w:spacing w:line="240" w:lineRule="auto" w:before="0" w:after="0"/>
        <w:ind w:left="763" w:right="0" w:hanging="204"/>
        <w:jc w:val="left"/>
        <w:rPr>
          <w:sz w:val="24"/>
        </w:rPr>
      </w:pPr>
      <w:r>
        <w:rPr>
          <w:sz w:val="24"/>
          <w:u w:val="single"/>
        </w:rPr>
        <w:t> </w:t>
      </w:r>
      <w:r>
        <w:rPr>
          <w:spacing w:val="3"/>
          <w:sz w:val="24"/>
          <w:u w:val="single"/>
        </w:rPr>
        <w:t> </w:t>
      </w:r>
      <w:r>
        <w:rPr>
          <w:sz w:val="24"/>
          <w:u w:val="single"/>
        </w:rPr>
        <w:t>Monetary conditions</w:t>
      </w:r>
    </w:p>
    <w:p>
      <w:pPr>
        <w:pStyle w:val="BodyText"/>
        <w:rPr>
          <w:sz w:val="20"/>
        </w:rPr>
      </w:pPr>
    </w:p>
    <w:p>
      <w:pPr>
        <w:pStyle w:val="BodyText"/>
        <w:spacing w:before="5"/>
        <w:rPr>
          <w:sz w:val="22"/>
        </w:rPr>
      </w:pPr>
    </w:p>
    <w:p>
      <w:pPr>
        <w:pStyle w:val="BodyText"/>
        <w:tabs>
          <w:tab w:pos="1135" w:val="left" w:leader="none"/>
        </w:tabs>
        <w:spacing w:line="372" w:lineRule="auto" w:before="90"/>
        <w:ind w:left="560" w:right="205"/>
      </w:pPr>
      <w:r>
        <w:rPr/>
        <w:t>A2</w:t>
        <w:tab/>
        <w:t>The</w:t>
      </w:r>
      <w:r>
        <w:rPr>
          <w:spacing w:val="-7"/>
        </w:rPr>
        <w:t> </w:t>
      </w:r>
      <w:r>
        <w:rPr/>
        <w:t>growth</w:t>
      </w:r>
      <w:r>
        <w:rPr>
          <w:spacing w:val="-7"/>
        </w:rPr>
        <w:t> </w:t>
      </w:r>
      <w:r>
        <w:rPr/>
        <w:t>of</w:t>
      </w:r>
      <w:r>
        <w:rPr>
          <w:spacing w:val="-7"/>
        </w:rPr>
        <w:t> </w:t>
      </w:r>
      <w:r>
        <w:rPr/>
        <w:t>notes</w:t>
      </w:r>
      <w:r>
        <w:rPr>
          <w:spacing w:val="-6"/>
        </w:rPr>
        <w:t> </w:t>
      </w:r>
      <w:r>
        <w:rPr/>
        <w:t>and</w:t>
      </w:r>
      <w:r>
        <w:rPr>
          <w:spacing w:val="-7"/>
        </w:rPr>
        <w:t> </w:t>
      </w:r>
      <w:r>
        <w:rPr/>
        <w:t>coin</w:t>
      </w:r>
      <w:r>
        <w:rPr>
          <w:spacing w:val="-7"/>
        </w:rPr>
        <w:t> </w:t>
      </w:r>
      <w:r>
        <w:rPr/>
        <w:t>was</w:t>
      </w:r>
      <w:r>
        <w:rPr>
          <w:spacing w:val="-7"/>
        </w:rPr>
        <w:t> </w:t>
      </w:r>
      <w:r>
        <w:rPr/>
        <w:t>still</w:t>
      </w:r>
      <w:r>
        <w:rPr>
          <w:spacing w:val="-6"/>
        </w:rPr>
        <w:t> </w:t>
      </w:r>
      <w:r>
        <w:rPr/>
        <w:t>being</w:t>
      </w:r>
      <w:r>
        <w:rPr>
          <w:spacing w:val="-7"/>
        </w:rPr>
        <w:t> </w:t>
      </w:r>
      <w:r>
        <w:rPr/>
        <w:t>affected</w:t>
      </w:r>
      <w:r>
        <w:rPr>
          <w:spacing w:val="-7"/>
        </w:rPr>
        <w:t> </w:t>
      </w:r>
      <w:r>
        <w:rPr/>
        <w:t>by</w:t>
      </w:r>
      <w:r>
        <w:rPr>
          <w:spacing w:val="-7"/>
        </w:rPr>
        <w:t> </w:t>
      </w:r>
      <w:r>
        <w:rPr/>
        <w:t>the</w:t>
      </w:r>
      <w:r>
        <w:rPr>
          <w:spacing w:val="-6"/>
        </w:rPr>
        <w:t> </w:t>
      </w:r>
      <w:r>
        <w:rPr/>
        <w:t>introduction</w:t>
      </w:r>
      <w:r>
        <w:rPr>
          <w:spacing w:val="-7"/>
        </w:rPr>
        <w:t> </w:t>
      </w:r>
      <w:r>
        <w:rPr/>
        <w:t>of</w:t>
      </w:r>
      <w:r>
        <w:rPr>
          <w:spacing w:val="-7"/>
        </w:rPr>
        <w:t> </w:t>
      </w:r>
      <w:r>
        <w:rPr/>
        <w:t>the</w:t>
      </w:r>
      <w:r>
        <w:rPr>
          <w:spacing w:val="-7"/>
        </w:rPr>
        <w:t> </w:t>
      </w:r>
      <w:r>
        <w:rPr/>
        <w:t>new</w:t>
      </w:r>
      <w:r>
        <w:rPr>
          <w:spacing w:val="-6"/>
        </w:rPr>
        <w:t> </w:t>
      </w:r>
      <w:r>
        <w:rPr/>
        <w:t>50p</w:t>
      </w:r>
      <w:r>
        <w:rPr>
          <w:spacing w:val="-7"/>
        </w:rPr>
        <w:t> </w:t>
      </w:r>
      <w:r>
        <w:rPr/>
        <w:t>coin. The new coins had been introduced, but the banks had not yet been able to surrender all of the </w:t>
      </w:r>
      <w:r>
        <w:rPr>
          <w:spacing w:val="-2"/>
        </w:rPr>
        <w:t>old </w:t>
      </w:r>
      <w:r>
        <w:rPr/>
        <w:t>ones. This effect added 0.1pp on October’s monthly growth rate in notes and coin of 0.8% and 0.5pp to the 12-month growth rate of</w:t>
      </w:r>
      <w:r>
        <w:rPr>
          <w:spacing w:val="14"/>
        </w:rPr>
        <w:t> </w:t>
      </w:r>
      <w:r>
        <w:rPr/>
        <w:t>6.5%.</w:t>
      </w:r>
    </w:p>
    <w:p>
      <w:pPr>
        <w:pStyle w:val="BodyText"/>
        <w:rPr>
          <w:sz w:val="37"/>
        </w:rPr>
      </w:pPr>
    </w:p>
    <w:p>
      <w:pPr>
        <w:pStyle w:val="BodyText"/>
        <w:tabs>
          <w:tab w:pos="1135" w:val="left" w:leader="none"/>
        </w:tabs>
        <w:spacing w:line="372" w:lineRule="auto"/>
        <w:ind w:left="560" w:right="128"/>
      </w:pPr>
      <w:r>
        <w:rPr/>
        <w:t>A3</w:t>
        <w:tab/>
        <w:t>The 1-month and 12-month growth rates of M4 increased by 0.2pp in September to 1.0% and 11.8%</w:t>
      </w:r>
      <w:r>
        <w:rPr>
          <w:spacing w:val="-10"/>
        </w:rPr>
        <w:t> </w:t>
      </w:r>
      <w:r>
        <w:rPr/>
        <w:t>respectively.</w:t>
      </w:r>
      <w:r>
        <w:rPr>
          <w:spacing w:val="44"/>
        </w:rPr>
        <w:t> </w:t>
      </w:r>
      <w:r>
        <w:rPr/>
        <w:t>Retail</w:t>
      </w:r>
      <w:r>
        <w:rPr>
          <w:spacing w:val="-10"/>
        </w:rPr>
        <w:t> </w:t>
      </w:r>
      <w:r>
        <w:rPr/>
        <w:t>M4</w:t>
      </w:r>
      <w:r>
        <w:rPr>
          <w:spacing w:val="-9"/>
        </w:rPr>
        <w:t> </w:t>
      </w:r>
      <w:r>
        <w:rPr/>
        <w:t>growth</w:t>
      </w:r>
      <w:r>
        <w:rPr>
          <w:spacing w:val="-9"/>
        </w:rPr>
        <w:t> </w:t>
      </w:r>
      <w:r>
        <w:rPr/>
        <w:t>had</w:t>
      </w:r>
      <w:r>
        <w:rPr>
          <w:spacing w:val="-9"/>
        </w:rPr>
        <w:t> </w:t>
      </w:r>
      <w:r>
        <w:rPr/>
        <w:t>been</w:t>
      </w:r>
      <w:r>
        <w:rPr>
          <w:spacing w:val="-10"/>
        </w:rPr>
        <w:t> </w:t>
      </w:r>
      <w:r>
        <w:rPr/>
        <w:t>modest,</w:t>
      </w:r>
      <w:r>
        <w:rPr>
          <w:spacing w:val="-9"/>
        </w:rPr>
        <w:t> </w:t>
      </w:r>
      <w:r>
        <w:rPr/>
        <w:t>reflecting</w:t>
      </w:r>
      <w:r>
        <w:rPr>
          <w:spacing w:val="-9"/>
        </w:rPr>
        <w:t> </w:t>
      </w:r>
      <w:r>
        <w:rPr/>
        <w:t>a</w:t>
      </w:r>
      <w:r>
        <w:rPr>
          <w:spacing w:val="-9"/>
        </w:rPr>
        <w:t> </w:t>
      </w:r>
      <w:r>
        <w:rPr/>
        <w:t>small</w:t>
      </w:r>
      <w:r>
        <w:rPr>
          <w:spacing w:val="-10"/>
        </w:rPr>
        <w:t> </w:t>
      </w:r>
      <w:r>
        <w:rPr/>
        <w:t>increase</w:t>
      </w:r>
      <w:r>
        <w:rPr>
          <w:spacing w:val="-9"/>
        </w:rPr>
        <w:t> </w:t>
      </w:r>
      <w:r>
        <w:rPr/>
        <w:t>in</w:t>
      </w:r>
      <w:r>
        <w:rPr>
          <w:spacing w:val="-9"/>
        </w:rPr>
        <w:t> </w:t>
      </w:r>
      <w:r>
        <w:rPr/>
        <w:t>bank</w:t>
      </w:r>
      <w:r>
        <w:rPr>
          <w:spacing w:val="-9"/>
        </w:rPr>
        <w:t> </w:t>
      </w:r>
      <w:r>
        <w:rPr/>
        <w:t>deposits. But there was continued strong growth in building society deposits - probably in expectation of future</w:t>
      </w:r>
      <w:r>
        <w:rPr>
          <w:spacing w:val="-11"/>
        </w:rPr>
        <w:t> </w:t>
      </w:r>
      <w:r>
        <w:rPr/>
        <w:t>de-mutualisations;</w:t>
      </w:r>
      <w:r>
        <w:rPr>
          <w:spacing w:val="43"/>
        </w:rPr>
        <w:t> </w:t>
      </w:r>
      <w:r>
        <w:rPr/>
        <w:t>the</w:t>
      </w:r>
      <w:r>
        <w:rPr>
          <w:spacing w:val="-10"/>
        </w:rPr>
        <w:t> </w:t>
      </w:r>
      <w:r>
        <w:rPr/>
        <w:t>three-month</w:t>
      </w:r>
      <w:r>
        <w:rPr>
          <w:spacing w:val="-11"/>
        </w:rPr>
        <w:t> </w:t>
      </w:r>
      <w:r>
        <w:rPr/>
        <w:t>annualised</w:t>
      </w:r>
      <w:r>
        <w:rPr>
          <w:spacing w:val="-10"/>
        </w:rPr>
        <w:t> </w:t>
      </w:r>
      <w:r>
        <w:rPr/>
        <w:t>rate</w:t>
      </w:r>
      <w:r>
        <w:rPr>
          <w:spacing w:val="-10"/>
        </w:rPr>
        <w:t> </w:t>
      </w:r>
      <w:r>
        <w:rPr/>
        <w:t>of</w:t>
      </w:r>
      <w:r>
        <w:rPr>
          <w:spacing w:val="-10"/>
        </w:rPr>
        <w:t> </w:t>
      </w:r>
      <w:r>
        <w:rPr/>
        <w:t>growth</w:t>
      </w:r>
      <w:r>
        <w:rPr>
          <w:spacing w:val="-10"/>
        </w:rPr>
        <w:t> </w:t>
      </w:r>
      <w:r>
        <w:rPr/>
        <w:t>in</w:t>
      </w:r>
      <w:r>
        <w:rPr>
          <w:spacing w:val="-10"/>
        </w:rPr>
        <w:t> </w:t>
      </w:r>
      <w:r>
        <w:rPr/>
        <w:t>building</w:t>
      </w:r>
      <w:r>
        <w:rPr>
          <w:spacing w:val="-10"/>
        </w:rPr>
        <w:t> </w:t>
      </w:r>
      <w:r>
        <w:rPr/>
        <w:t>society</w:t>
      </w:r>
      <w:r>
        <w:rPr>
          <w:spacing w:val="-10"/>
        </w:rPr>
        <w:t> </w:t>
      </w:r>
      <w:r>
        <w:rPr/>
        <w:t>deposits</w:t>
      </w:r>
      <w:r>
        <w:rPr>
          <w:spacing w:val="-10"/>
        </w:rPr>
        <w:t> </w:t>
      </w:r>
      <w:r>
        <w:rPr>
          <w:spacing w:val="-2"/>
        </w:rPr>
        <w:t>had </w:t>
      </w:r>
      <w:r>
        <w:rPr/>
        <w:t>reached 20.8% in September. These substantial increases in deposits had enabled building societies to reduce their deposit account rates relative to rates paid by banks. By contrast, the demutualised former societies had in recent months raised their rates relative to other banks, perhaps in order to keep their deposit-customers or attract new ones. Wholesale M4 continued to grow strongly in September, increasing by 2.1% on the previous month and 21.9% on a year earlier. Overall real broad money balances grew by just under 9% in the year to</w:t>
      </w:r>
      <w:r>
        <w:rPr>
          <w:spacing w:val="-18"/>
        </w:rPr>
        <w:t> </w:t>
      </w:r>
      <w:r>
        <w:rPr/>
        <w:t>September.</w:t>
      </w:r>
    </w:p>
    <w:p>
      <w:pPr>
        <w:pStyle w:val="BodyText"/>
        <w:spacing w:before="7"/>
        <w:rPr>
          <w:sz w:val="36"/>
        </w:rPr>
      </w:pPr>
    </w:p>
    <w:p>
      <w:pPr>
        <w:pStyle w:val="BodyText"/>
        <w:tabs>
          <w:tab w:pos="1135" w:val="left" w:leader="none"/>
        </w:tabs>
        <w:spacing w:line="372" w:lineRule="auto"/>
        <w:ind w:left="560" w:right="277"/>
      </w:pPr>
      <w:r>
        <w:rPr/>
        <w:t>A4</w:t>
        <w:tab/>
        <w:t>Sectoral money numbers for Q3 were now available. Four-quarter growth of personal sector money holdings had slowed slightly from 7.8% to 7.5%, but ICCs’ deposits had grown by </w:t>
      </w:r>
      <w:r>
        <w:rPr>
          <w:spacing w:val="-2"/>
        </w:rPr>
        <w:t>11.2%, </w:t>
      </w:r>
      <w:r>
        <w:rPr/>
        <w:t>up from 7.7% in 1997 Q2. The reduced flow into personal sector M4 and the increased flow into ICCs’ deposits were roughly equal. OFIs’ deposits were 25.7% higher than a year earlier. </w:t>
      </w:r>
      <w:r>
        <w:rPr>
          <w:spacing w:val="-2"/>
        </w:rPr>
        <w:t>Within </w:t>
      </w:r>
      <w:r>
        <w:rPr/>
        <w:t>OFIs, figures for Q2 (the latest available) suggested that deposits from life assurance and pension funds (LAPFs) had again grown strongly. According to Bank research, the LAPFs continued to hold excess money balances. ICCs’ money holdings were also estimated to be above long</w:t>
      </w:r>
      <w:r>
        <w:rPr>
          <w:spacing w:val="-12"/>
        </w:rPr>
        <w:t> </w:t>
      </w:r>
      <w:r>
        <w:rPr>
          <w:spacing w:val="-2"/>
        </w:rPr>
        <w:t>run</w:t>
      </w:r>
    </w:p>
    <w:p>
      <w:pPr>
        <w:spacing w:after="0" w:line="372" w:lineRule="auto"/>
        <w:sectPr>
          <w:headerReference w:type="default" r:id="rId7"/>
          <w:pgSz w:w="11900" w:h="16840"/>
          <w:pgMar w:header="0" w:footer="0" w:top="1600" w:bottom="280" w:left="880" w:right="740"/>
        </w:sectPr>
      </w:pPr>
    </w:p>
    <w:p>
      <w:pPr>
        <w:pStyle w:val="BodyText"/>
        <w:spacing w:before="3"/>
        <w:rPr>
          <w:sz w:val="13"/>
        </w:rPr>
      </w:pPr>
    </w:p>
    <w:p>
      <w:pPr>
        <w:pStyle w:val="BodyText"/>
        <w:spacing w:line="372" w:lineRule="auto" w:before="90"/>
        <w:ind w:left="560" w:right="89"/>
      </w:pPr>
      <w:r>
        <w:rPr/>
        <w:t>equilibrium. Estimates of aggregate trend velocity suggested that the actual level was slightly below long run equilibrium confirming the sectoral picture of a liquidity overhang.</w:t>
      </w:r>
    </w:p>
    <w:p>
      <w:pPr>
        <w:pStyle w:val="BodyText"/>
        <w:rPr>
          <w:sz w:val="37"/>
        </w:rPr>
      </w:pPr>
    </w:p>
    <w:p>
      <w:pPr>
        <w:pStyle w:val="BodyText"/>
        <w:tabs>
          <w:tab w:pos="1260" w:val="left" w:leader="none"/>
        </w:tabs>
        <w:spacing w:line="372" w:lineRule="auto"/>
        <w:ind w:left="560" w:right="401"/>
      </w:pPr>
      <w:r>
        <w:rPr/>
        <w:t>A5</w:t>
        <w:tab/>
        <w:t>Divisia</w:t>
      </w:r>
      <w:r>
        <w:rPr>
          <w:spacing w:val="-8"/>
        </w:rPr>
        <w:t> </w:t>
      </w:r>
      <w:r>
        <w:rPr/>
        <w:t>growth</w:t>
      </w:r>
      <w:r>
        <w:rPr>
          <w:spacing w:val="-8"/>
        </w:rPr>
        <w:t> </w:t>
      </w:r>
      <w:r>
        <w:rPr/>
        <w:t>had</w:t>
      </w:r>
      <w:r>
        <w:rPr>
          <w:spacing w:val="-9"/>
        </w:rPr>
        <w:t> </w:t>
      </w:r>
      <w:r>
        <w:rPr/>
        <w:t>been</w:t>
      </w:r>
      <w:r>
        <w:rPr>
          <w:spacing w:val="-8"/>
        </w:rPr>
        <w:t> </w:t>
      </w:r>
      <w:r>
        <w:rPr/>
        <w:t>over</w:t>
      </w:r>
      <w:r>
        <w:rPr>
          <w:spacing w:val="-8"/>
        </w:rPr>
        <w:t> </w:t>
      </w:r>
      <w:r>
        <w:rPr/>
        <w:t>10%.</w:t>
      </w:r>
      <w:r>
        <w:rPr>
          <w:spacing w:val="47"/>
        </w:rPr>
        <w:t> </w:t>
      </w:r>
      <w:r>
        <w:rPr/>
        <w:t>Sectoral</w:t>
      </w:r>
      <w:r>
        <w:rPr>
          <w:spacing w:val="-8"/>
        </w:rPr>
        <w:t> </w:t>
      </w:r>
      <w:r>
        <w:rPr/>
        <w:t>Divisia</w:t>
      </w:r>
      <w:r>
        <w:rPr>
          <w:spacing w:val="-8"/>
        </w:rPr>
        <w:t> </w:t>
      </w:r>
      <w:r>
        <w:rPr/>
        <w:t>numbers</w:t>
      </w:r>
      <w:r>
        <w:rPr>
          <w:spacing w:val="-8"/>
        </w:rPr>
        <w:t> </w:t>
      </w:r>
      <w:r>
        <w:rPr/>
        <w:t>showed</w:t>
      </w:r>
      <w:r>
        <w:rPr>
          <w:spacing w:val="-8"/>
        </w:rPr>
        <w:t> </w:t>
      </w:r>
      <w:r>
        <w:rPr/>
        <w:t>similar</w:t>
      </w:r>
      <w:r>
        <w:rPr>
          <w:spacing w:val="-8"/>
        </w:rPr>
        <w:t> </w:t>
      </w:r>
      <w:r>
        <w:rPr/>
        <w:t>trends</w:t>
      </w:r>
      <w:r>
        <w:rPr>
          <w:spacing w:val="-8"/>
        </w:rPr>
        <w:t> </w:t>
      </w:r>
      <w:r>
        <w:rPr/>
        <w:t>to</w:t>
      </w:r>
      <w:r>
        <w:rPr>
          <w:spacing w:val="-8"/>
        </w:rPr>
        <w:t> </w:t>
      </w:r>
      <w:r>
        <w:rPr>
          <w:spacing w:val="-2"/>
        </w:rPr>
        <w:t>the </w:t>
      </w:r>
      <w:r>
        <w:rPr/>
        <w:t>sectoral M4</w:t>
      </w:r>
      <w:r>
        <w:rPr>
          <w:spacing w:val="1"/>
        </w:rPr>
        <w:t> </w:t>
      </w:r>
      <w:r>
        <w:rPr/>
        <w:t>numbers.</w:t>
      </w:r>
    </w:p>
    <w:p>
      <w:pPr>
        <w:pStyle w:val="BodyText"/>
        <w:spacing w:before="1"/>
        <w:rPr>
          <w:sz w:val="37"/>
        </w:rPr>
      </w:pPr>
    </w:p>
    <w:p>
      <w:pPr>
        <w:pStyle w:val="BodyText"/>
        <w:tabs>
          <w:tab w:pos="1135" w:val="left" w:leader="none"/>
        </w:tabs>
        <w:spacing w:line="372" w:lineRule="auto"/>
        <w:ind w:left="560" w:right="147"/>
      </w:pPr>
      <w:r>
        <w:rPr/>
        <w:t>A6</w:t>
        <w:tab/>
        <w:t>On the other side of banks’ balance sheets, the monthly numbers again suggested that M4 lending</w:t>
      </w:r>
      <w:r>
        <w:rPr>
          <w:spacing w:val="-9"/>
        </w:rPr>
        <w:t> </w:t>
      </w:r>
      <w:r>
        <w:rPr/>
        <w:t>growth</w:t>
      </w:r>
      <w:r>
        <w:rPr>
          <w:spacing w:val="-9"/>
        </w:rPr>
        <w:t> </w:t>
      </w:r>
      <w:r>
        <w:rPr/>
        <w:t>might</w:t>
      </w:r>
      <w:r>
        <w:rPr>
          <w:spacing w:val="-8"/>
        </w:rPr>
        <w:t> </w:t>
      </w:r>
      <w:r>
        <w:rPr/>
        <w:t>be</w:t>
      </w:r>
      <w:r>
        <w:rPr>
          <w:spacing w:val="-9"/>
        </w:rPr>
        <w:t> </w:t>
      </w:r>
      <w:r>
        <w:rPr/>
        <w:t>slowing.</w:t>
      </w:r>
      <w:r>
        <w:rPr>
          <w:spacing w:val="46"/>
        </w:rPr>
        <w:t> </w:t>
      </w:r>
      <w:r>
        <w:rPr/>
        <w:t>However,</w:t>
      </w:r>
      <w:r>
        <w:rPr>
          <w:spacing w:val="-9"/>
        </w:rPr>
        <w:t> </w:t>
      </w:r>
      <w:r>
        <w:rPr/>
        <w:t>as</w:t>
      </w:r>
      <w:r>
        <w:rPr>
          <w:spacing w:val="-8"/>
        </w:rPr>
        <w:t> </w:t>
      </w:r>
      <w:r>
        <w:rPr/>
        <w:t>with</w:t>
      </w:r>
      <w:r>
        <w:rPr>
          <w:spacing w:val="-9"/>
        </w:rPr>
        <w:t> </w:t>
      </w:r>
      <w:r>
        <w:rPr/>
        <w:t>deposits,</w:t>
      </w:r>
      <w:r>
        <w:rPr>
          <w:spacing w:val="-8"/>
        </w:rPr>
        <w:t> </w:t>
      </w:r>
      <w:r>
        <w:rPr/>
        <w:t>there</w:t>
      </w:r>
      <w:r>
        <w:rPr>
          <w:spacing w:val="-9"/>
        </w:rPr>
        <w:t> </w:t>
      </w:r>
      <w:r>
        <w:rPr/>
        <w:t>was</w:t>
      </w:r>
      <w:r>
        <w:rPr>
          <w:spacing w:val="-8"/>
        </w:rPr>
        <w:t> </w:t>
      </w:r>
      <w:r>
        <w:rPr/>
        <w:t>a</w:t>
      </w:r>
      <w:r>
        <w:rPr>
          <w:spacing w:val="-9"/>
        </w:rPr>
        <w:t> </w:t>
      </w:r>
      <w:r>
        <w:rPr/>
        <w:t>sharp</w:t>
      </w:r>
      <w:r>
        <w:rPr>
          <w:spacing w:val="-8"/>
        </w:rPr>
        <w:t> </w:t>
      </w:r>
      <w:r>
        <w:rPr/>
        <w:t>divergence</w:t>
      </w:r>
      <w:r>
        <w:rPr>
          <w:spacing w:val="-9"/>
        </w:rPr>
        <w:t> </w:t>
      </w:r>
      <w:r>
        <w:rPr/>
        <w:t>between </w:t>
      </w:r>
      <w:r>
        <w:rPr>
          <w:spacing w:val="-3"/>
        </w:rPr>
        <w:t>building societies </w:t>
      </w:r>
      <w:r>
        <w:rPr/>
        <w:t>and </w:t>
      </w:r>
      <w:r>
        <w:rPr>
          <w:spacing w:val="-3"/>
        </w:rPr>
        <w:t>banks, with </w:t>
      </w:r>
      <w:r>
        <w:rPr/>
        <w:t>the </w:t>
      </w:r>
      <w:r>
        <w:rPr>
          <w:spacing w:val="-3"/>
        </w:rPr>
        <w:t>former lending </w:t>
      </w:r>
      <w:r>
        <w:rPr/>
        <w:t>at a </w:t>
      </w:r>
      <w:r>
        <w:rPr>
          <w:spacing w:val="-3"/>
        </w:rPr>
        <w:t>much faster rate.  This could also have  </w:t>
      </w:r>
      <w:r>
        <w:rPr/>
        <w:t>been</w:t>
      </w:r>
      <w:r>
        <w:rPr>
          <w:spacing w:val="-11"/>
        </w:rPr>
        <w:t> </w:t>
      </w:r>
      <w:r>
        <w:rPr/>
        <w:t>caused</w:t>
      </w:r>
      <w:r>
        <w:rPr>
          <w:spacing w:val="-10"/>
        </w:rPr>
        <w:t> </w:t>
      </w:r>
      <w:r>
        <w:rPr/>
        <w:t>by</w:t>
      </w:r>
      <w:r>
        <w:rPr>
          <w:spacing w:val="-10"/>
        </w:rPr>
        <w:t> </w:t>
      </w:r>
      <w:r>
        <w:rPr/>
        <w:t>expectations</w:t>
      </w:r>
      <w:r>
        <w:rPr>
          <w:spacing w:val="-10"/>
        </w:rPr>
        <w:t> </w:t>
      </w:r>
      <w:r>
        <w:rPr/>
        <w:t>of</w:t>
      </w:r>
      <w:r>
        <w:rPr>
          <w:spacing w:val="-10"/>
        </w:rPr>
        <w:t> </w:t>
      </w:r>
      <w:r>
        <w:rPr/>
        <w:t>future</w:t>
      </w:r>
      <w:r>
        <w:rPr>
          <w:spacing w:val="-10"/>
        </w:rPr>
        <w:t> </w:t>
      </w:r>
      <w:r>
        <w:rPr/>
        <w:t>windfalls;</w:t>
      </w:r>
      <w:r>
        <w:rPr>
          <w:spacing w:val="42"/>
        </w:rPr>
        <w:t> </w:t>
      </w:r>
      <w:r>
        <w:rPr/>
        <w:t>or</w:t>
      </w:r>
      <w:r>
        <w:rPr>
          <w:spacing w:val="-10"/>
        </w:rPr>
        <w:t> </w:t>
      </w:r>
      <w:r>
        <w:rPr/>
        <w:t>alternatively</w:t>
      </w:r>
      <w:r>
        <w:rPr>
          <w:spacing w:val="-11"/>
        </w:rPr>
        <w:t> </w:t>
      </w:r>
      <w:r>
        <w:rPr/>
        <w:t>lower</w:t>
      </w:r>
      <w:r>
        <w:rPr>
          <w:spacing w:val="-10"/>
        </w:rPr>
        <w:t> </w:t>
      </w:r>
      <w:r>
        <w:rPr/>
        <w:t>deposit</w:t>
      </w:r>
      <w:r>
        <w:rPr>
          <w:spacing w:val="-10"/>
        </w:rPr>
        <w:t> </w:t>
      </w:r>
      <w:r>
        <w:rPr/>
        <w:t>rates</w:t>
      </w:r>
      <w:r>
        <w:rPr>
          <w:spacing w:val="-10"/>
        </w:rPr>
        <w:t> </w:t>
      </w:r>
      <w:r>
        <w:rPr/>
        <w:t>feeding</w:t>
      </w:r>
      <w:r>
        <w:rPr>
          <w:spacing w:val="-10"/>
        </w:rPr>
        <w:t> </w:t>
      </w:r>
      <w:r>
        <w:rPr/>
        <w:t>through to lower mortgage rates, attracting custom to building</w:t>
      </w:r>
      <w:r>
        <w:rPr>
          <w:spacing w:val="2"/>
        </w:rPr>
        <w:t> </w:t>
      </w:r>
      <w:r>
        <w:rPr/>
        <w:t>societies.</w:t>
      </w:r>
    </w:p>
    <w:p>
      <w:pPr>
        <w:pStyle w:val="BodyText"/>
        <w:spacing w:before="10"/>
        <w:rPr>
          <w:sz w:val="36"/>
        </w:rPr>
      </w:pPr>
    </w:p>
    <w:p>
      <w:pPr>
        <w:pStyle w:val="BodyText"/>
        <w:tabs>
          <w:tab w:pos="1135" w:val="left" w:leader="none"/>
        </w:tabs>
        <w:spacing w:line="372" w:lineRule="auto"/>
        <w:ind w:left="560" w:right="190"/>
      </w:pPr>
      <w:r>
        <w:rPr/>
        <w:t>A7</w:t>
        <w:tab/>
        <w:t>There had been a slight fall in the growth of lending to persons in Q3. This was due to</w:t>
      </w:r>
      <w:r>
        <w:rPr>
          <w:spacing w:val="-35"/>
        </w:rPr>
        <w:t> </w:t>
      </w:r>
      <w:r>
        <w:rPr>
          <w:spacing w:val="-2"/>
        </w:rPr>
        <w:t>slower </w:t>
      </w:r>
      <w:r>
        <w:rPr>
          <w:spacing w:val="-3"/>
        </w:rPr>
        <w:t>growth </w:t>
      </w:r>
      <w:r>
        <w:rPr/>
        <w:t>in </w:t>
      </w:r>
      <w:r>
        <w:rPr>
          <w:spacing w:val="-3"/>
        </w:rPr>
        <w:t>unsecured lending, possibly </w:t>
      </w:r>
      <w:r>
        <w:rPr/>
        <w:t>as a </w:t>
      </w:r>
      <w:r>
        <w:rPr>
          <w:spacing w:val="-3"/>
        </w:rPr>
        <w:t>result </w:t>
      </w:r>
      <w:r>
        <w:rPr/>
        <w:t>of </w:t>
      </w:r>
      <w:r>
        <w:rPr>
          <w:spacing w:val="-3"/>
        </w:rPr>
        <w:t>repayments financed </w:t>
      </w:r>
      <w:r>
        <w:rPr/>
        <w:t>out of </w:t>
      </w:r>
      <w:r>
        <w:rPr>
          <w:spacing w:val="-3"/>
        </w:rPr>
        <w:t>windfalls </w:t>
      </w:r>
      <w:r>
        <w:rPr/>
        <w:t>in</w:t>
      </w:r>
      <w:r>
        <w:rPr>
          <w:spacing w:val="11"/>
        </w:rPr>
        <w:t> </w:t>
      </w:r>
      <w:r>
        <w:rPr>
          <w:spacing w:val="-3"/>
        </w:rPr>
        <w:t>July.</w:t>
      </w:r>
    </w:p>
    <w:p>
      <w:pPr>
        <w:pStyle w:val="BodyText"/>
        <w:spacing w:line="372" w:lineRule="auto"/>
        <w:ind w:left="560" w:right="230"/>
      </w:pPr>
      <w:r>
        <w:rPr>
          <w:spacing w:val="-3"/>
        </w:rPr>
        <w:t>Within mortgage lending there </w:t>
      </w:r>
      <w:r>
        <w:rPr/>
        <w:t>had </w:t>
      </w:r>
      <w:r>
        <w:rPr>
          <w:spacing w:val="-3"/>
        </w:rPr>
        <w:t>been </w:t>
      </w:r>
      <w:r>
        <w:rPr/>
        <w:t>a </w:t>
      </w:r>
      <w:r>
        <w:rPr>
          <w:spacing w:val="-3"/>
        </w:rPr>
        <w:t>shift </w:t>
      </w:r>
      <w:r>
        <w:rPr/>
        <w:t>of new </w:t>
      </w:r>
      <w:r>
        <w:rPr>
          <w:spacing w:val="-3"/>
        </w:rPr>
        <w:t>business towards fixed rate business as </w:t>
      </w:r>
      <w:r>
        <w:rPr>
          <w:spacing w:val="-4"/>
        </w:rPr>
        <w:t>medium </w:t>
      </w:r>
      <w:r>
        <w:rPr>
          <w:spacing w:val="-3"/>
        </w:rPr>
        <w:t>term </w:t>
      </w:r>
      <w:r>
        <w:rPr>
          <w:spacing w:val="-4"/>
        </w:rPr>
        <w:t>maturity yields </w:t>
      </w:r>
      <w:r>
        <w:rPr>
          <w:spacing w:val="-3"/>
        </w:rPr>
        <w:t>had </w:t>
      </w:r>
      <w:r>
        <w:rPr>
          <w:spacing w:val="-4"/>
        </w:rPr>
        <w:t>fallen.</w:t>
      </w:r>
    </w:p>
    <w:p>
      <w:pPr>
        <w:pStyle w:val="BodyText"/>
        <w:spacing w:before="11"/>
        <w:rPr>
          <w:sz w:val="36"/>
        </w:rPr>
      </w:pPr>
    </w:p>
    <w:p>
      <w:pPr>
        <w:pStyle w:val="BodyText"/>
        <w:tabs>
          <w:tab w:pos="1135" w:val="left" w:leader="none"/>
        </w:tabs>
        <w:spacing w:line="372" w:lineRule="auto"/>
        <w:ind w:left="560" w:right="315"/>
      </w:pPr>
      <w:r>
        <w:rPr/>
        <w:t>A8</w:t>
        <w:tab/>
        <w:t>The slowdown in aggregate M4 lending between Q2 and Q3 was driven by lower corporate borrowing.</w:t>
      </w:r>
      <w:r>
        <w:rPr>
          <w:spacing w:val="39"/>
        </w:rPr>
        <w:t> </w:t>
      </w:r>
      <w:r>
        <w:rPr/>
        <w:t>Company</w:t>
      </w:r>
      <w:r>
        <w:rPr>
          <w:spacing w:val="-12"/>
        </w:rPr>
        <w:t> </w:t>
      </w:r>
      <w:r>
        <w:rPr/>
        <w:t>borrowing</w:t>
      </w:r>
      <w:r>
        <w:rPr>
          <w:spacing w:val="-11"/>
        </w:rPr>
        <w:t> </w:t>
      </w:r>
      <w:r>
        <w:rPr/>
        <w:t>from</w:t>
      </w:r>
      <w:r>
        <w:rPr>
          <w:spacing w:val="-12"/>
        </w:rPr>
        <w:t> </w:t>
      </w:r>
      <w:r>
        <w:rPr/>
        <w:t>capital</w:t>
      </w:r>
      <w:r>
        <w:rPr>
          <w:spacing w:val="-11"/>
        </w:rPr>
        <w:t> </w:t>
      </w:r>
      <w:r>
        <w:rPr/>
        <w:t>markets</w:t>
      </w:r>
      <w:r>
        <w:rPr>
          <w:spacing w:val="-12"/>
        </w:rPr>
        <w:t> </w:t>
      </w:r>
      <w:r>
        <w:rPr/>
        <w:t>had</w:t>
      </w:r>
      <w:r>
        <w:rPr>
          <w:spacing w:val="-11"/>
        </w:rPr>
        <w:t> </w:t>
      </w:r>
      <w:r>
        <w:rPr/>
        <w:t>also</w:t>
      </w:r>
      <w:r>
        <w:rPr>
          <w:spacing w:val="-12"/>
        </w:rPr>
        <w:t> </w:t>
      </w:r>
      <w:r>
        <w:rPr/>
        <w:t>weakened</w:t>
      </w:r>
      <w:r>
        <w:rPr>
          <w:spacing w:val="-11"/>
        </w:rPr>
        <w:t> </w:t>
      </w:r>
      <w:r>
        <w:rPr/>
        <w:t>slightly,</w:t>
      </w:r>
      <w:r>
        <w:rPr>
          <w:spacing w:val="-12"/>
        </w:rPr>
        <w:t> </w:t>
      </w:r>
      <w:r>
        <w:rPr/>
        <w:t>suggesting</w:t>
      </w:r>
      <w:r>
        <w:rPr>
          <w:spacing w:val="-11"/>
        </w:rPr>
        <w:t> </w:t>
      </w:r>
      <w:r>
        <w:rPr/>
        <w:t>their </w:t>
      </w:r>
      <w:r>
        <w:rPr>
          <w:spacing w:val="-3"/>
        </w:rPr>
        <w:t>demand </w:t>
      </w:r>
      <w:r>
        <w:rPr/>
        <w:t>for </w:t>
      </w:r>
      <w:r>
        <w:rPr>
          <w:spacing w:val="-3"/>
        </w:rPr>
        <w:t>external funds </w:t>
      </w:r>
      <w:r>
        <w:rPr/>
        <w:t>had</w:t>
      </w:r>
      <w:r>
        <w:rPr>
          <w:spacing w:val="3"/>
        </w:rPr>
        <w:t> </w:t>
      </w:r>
      <w:r>
        <w:rPr>
          <w:spacing w:val="-3"/>
        </w:rPr>
        <w:t>fallen.</w:t>
      </w:r>
    </w:p>
    <w:p>
      <w:pPr>
        <w:pStyle w:val="BodyText"/>
        <w:rPr>
          <w:sz w:val="37"/>
        </w:rPr>
      </w:pPr>
    </w:p>
    <w:p>
      <w:pPr>
        <w:pStyle w:val="BodyText"/>
        <w:tabs>
          <w:tab w:pos="1135" w:val="left" w:leader="none"/>
        </w:tabs>
        <w:spacing w:line="372" w:lineRule="auto"/>
        <w:ind w:left="560" w:right="315"/>
      </w:pPr>
      <w:r>
        <w:rPr/>
        <w:t>A9</w:t>
        <w:tab/>
        <w:t>Lending to OFIs had continued to grow at a rapid rate of 20% in the year to Q3. Borrowing by </w:t>
      </w:r>
      <w:r>
        <w:rPr>
          <w:spacing w:val="-4"/>
        </w:rPr>
        <w:t>financial leasing companies seemed likely </w:t>
      </w:r>
      <w:r>
        <w:rPr/>
        <w:t>to </w:t>
      </w:r>
      <w:r>
        <w:rPr>
          <w:spacing w:val="-3"/>
        </w:rPr>
        <w:t>have </w:t>
      </w:r>
      <w:r>
        <w:rPr>
          <w:spacing w:val="-4"/>
        </w:rPr>
        <w:t>remained </w:t>
      </w:r>
      <w:r>
        <w:rPr/>
        <w:t>a </w:t>
      </w:r>
      <w:r>
        <w:rPr>
          <w:spacing w:val="-4"/>
        </w:rPr>
        <w:t>relatively significant</w:t>
      </w:r>
      <w:r>
        <w:rPr>
          <w:spacing w:val="30"/>
        </w:rPr>
        <w:t> </w:t>
      </w:r>
      <w:r>
        <w:rPr>
          <w:spacing w:val="-4"/>
        </w:rPr>
        <w:t>factor.</w:t>
      </w:r>
    </w:p>
    <w:p>
      <w:pPr>
        <w:pStyle w:val="BodyText"/>
        <w:spacing w:before="1"/>
        <w:rPr>
          <w:sz w:val="37"/>
        </w:rPr>
      </w:pPr>
    </w:p>
    <w:p>
      <w:pPr>
        <w:pStyle w:val="BodyText"/>
        <w:spacing w:line="372" w:lineRule="auto"/>
        <w:ind w:left="560" w:right="275"/>
      </w:pPr>
      <w:r>
        <w:rPr/>
        <w:t>A10 A slowdown in M4 lending would typically lead to slower growth of M4 deposits. But examination of M4 counterparts showed strong bank lending overseas (not part of M4 lending), which could provide a continuing impetus to M4 deposits in the future if it continued and if, when the money flowed back to the UK, the non-bank private sector chose to hold it in M4 assets.</w:t>
      </w:r>
    </w:p>
    <w:p>
      <w:pPr>
        <w:pStyle w:val="BodyText"/>
        <w:spacing w:before="11"/>
        <w:rPr>
          <w:sz w:val="36"/>
        </w:rPr>
      </w:pPr>
    </w:p>
    <w:p>
      <w:pPr>
        <w:pStyle w:val="BodyText"/>
        <w:spacing w:line="372" w:lineRule="auto"/>
        <w:ind w:left="560" w:right="230"/>
      </w:pPr>
      <w:r>
        <w:rPr/>
        <w:t>A11 Turning to the price element of monetary conditions, estimates of short term real </w:t>
      </w:r>
      <w:r>
        <w:rPr>
          <w:spacing w:val="-2"/>
        </w:rPr>
        <w:t>rates, </w:t>
      </w:r>
      <w:r>
        <w:rPr/>
        <w:t>derived from index-linked gilts, had risen over the last month and were now again above </w:t>
      </w:r>
      <w:r>
        <w:rPr>
          <w:spacing w:val="-2"/>
        </w:rPr>
        <w:t>longer </w:t>
      </w:r>
      <w:r>
        <w:rPr/>
        <w:t>maturity real rates derived from the same source. Inflation expectations, calculated by comparing </w:t>
      </w:r>
      <w:r>
        <w:rPr>
          <w:spacing w:val="-3"/>
        </w:rPr>
        <w:t>conventional </w:t>
      </w:r>
      <w:r>
        <w:rPr/>
        <w:t>and </w:t>
      </w:r>
      <w:r>
        <w:rPr>
          <w:spacing w:val="-3"/>
        </w:rPr>
        <w:t>index-linked gilts yield curves </w:t>
      </w:r>
      <w:r>
        <w:rPr/>
        <w:t>and </w:t>
      </w:r>
      <w:r>
        <w:rPr>
          <w:spacing w:val="-3"/>
        </w:rPr>
        <w:t>making </w:t>
      </w:r>
      <w:r>
        <w:rPr/>
        <w:t>no </w:t>
      </w:r>
      <w:r>
        <w:rPr>
          <w:spacing w:val="-3"/>
        </w:rPr>
        <w:t>allowance </w:t>
      </w:r>
      <w:r>
        <w:rPr/>
        <w:t>for </w:t>
      </w:r>
      <w:r>
        <w:rPr>
          <w:spacing w:val="-3"/>
        </w:rPr>
        <w:t>risk premia, suggested </w:t>
      </w:r>
      <w:r>
        <w:rPr/>
        <w:t>the market expected inflation to be above 2.5% throughout the next 20 years; but the gap from</w:t>
      </w:r>
      <w:r>
        <w:rPr>
          <w:spacing w:val="-38"/>
        </w:rPr>
        <w:t> </w:t>
      </w:r>
      <w:r>
        <w:rPr/>
        <w:t>the</w:t>
      </w:r>
    </w:p>
    <w:p>
      <w:pPr>
        <w:spacing w:after="0" w:line="372" w:lineRule="auto"/>
        <w:sectPr>
          <w:headerReference w:type="default" r:id="rId8"/>
          <w:pgSz w:w="11900" w:h="16840"/>
          <w:pgMar w:header="724" w:footer="0" w:top="1340" w:bottom="280" w:left="880" w:right="740"/>
          <w:pgNumType w:start="2"/>
        </w:sectPr>
      </w:pPr>
    </w:p>
    <w:p>
      <w:pPr>
        <w:pStyle w:val="BodyText"/>
        <w:spacing w:before="3"/>
        <w:rPr>
          <w:sz w:val="13"/>
        </w:rPr>
      </w:pPr>
    </w:p>
    <w:p>
      <w:pPr>
        <w:pStyle w:val="BodyText"/>
        <w:spacing w:before="90"/>
        <w:ind w:left="560"/>
      </w:pPr>
      <w:r>
        <w:rPr/>
        <w:t>inflation target was around 1% or below, within estimates of the inflation risk premium.</w:t>
      </w:r>
    </w:p>
    <w:p>
      <w:pPr>
        <w:pStyle w:val="BodyText"/>
        <w:rPr>
          <w:sz w:val="26"/>
        </w:rPr>
      </w:pPr>
    </w:p>
    <w:p>
      <w:pPr>
        <w:pStyle w:val="BodyText"/>
        <w:spacing w:before="3"/>
      </w:pPr>
    </w:p>
    <w:p>
      <w:pPr>
        <w:pStyle w:val="BodyText"/>
        <w:ind w:left="560"/>
      </w:pPr>
      <w:r>
        <w:rPr/>
        <w:t>A12 The sterling effective exchange rate index had initially depreciated rather more quickly than</w:t>
      </w:r>
    </w:p>
    <w:p>
      <w:pPr>
        <w:pStyle w:val="BodyText"/>
        <w:spacing w:line="372" w:lineRule="auto" w:before="151"/>
        <w:ind w:left="560" w:right="95"/>
      </w:pPr>
      <w:r>
        <w:rPr/>
        <w:t>the August Inflation Report forecast had anticipated. But since the MPC’s October meeting, sterling had increased by 2.1% (on an effective basis) and was now broadly in line with the August forecast.</w:t>
      </w:r>
    </w:p>
    <w:p>
      <w:pPr>
        <w:pStyle w:val="BodyText"/>
        <w:spacing w:before="1"/>
        <w:rPr>
          <w:sz w:val="37"/>
        </w:rPr>
      </w:pPr>
    </w:p>
    <w:p>
      <w:pPr>
        <w:pStyle w:val="BodyText"/>
        <w:spacing w:line="372" w:lineRule="auto"/>
        <w:ind w:left="560"/>
      </w:pPr>
      <w:r>
        <w:rPr/>
        <w:t>A13 The UIP decomposition of exchange rate movements suggested that around 1.50pp of the depreciation since August could be explained by changes in the market expectations of future monetary policy in the UK and overseas. In particular financial markets now anticipated tighter monetary policy in the main continental European economies.</w:t>
      </w:r>
    </w:p>
    <w:p>
      <w:pPr>
        <w:pStyle w:val="BodyText"/>
        <w:rPr>
          <w:sz w:val="26"/>
        </w:rPr>
      </w:pPr>
    </w:p>
    <w:p>
      <w:pPr>
        <w:pStyle w:val="BodyText"/>
        <w:rPr>
          <w:sz w:val="26"/>
        </w:rPr>
      </w:pPr>
    </w:p>
    <w:p>
      <w:pPr>
        <w:pStyle w:val="BodyText"/>
        <w:spacing w:before="1"/>
        <w:rPr>
          <w:sz w:val="22"/>
        </w:rPr>
      </w:pPr>
    </w:p>
    <w:p>
      <w:pPr>
        <w:pStyle w:val="ListParagraph"/>
        <w:numPr>
          <w:ilvl w:val="1"/>
          <w:numId w:val="1"/>
        </w:numPr>
        <w:tabs>
          <w:tab w:pos="878" w:val="left" w:leader="none"/>
        </w:tabs>
        <w:spacing w:line="240" w:lineRule="auto" w:before="0" w:after="0"/>
        <w:ind w:left="877" w:right="0" w:hanging="285"/>
        <w:jc w:val="left"/>
        <w:rPr>
          <w:sz w:val="24"/>
        </w:rPr>
      </w:pPr>
      <w:r>
        <w:rPr>
          <w:sz w:val="24"/>
          <w:u w:val="single"/>
        </w:rPr>
        <w:t>Demand and</w:t>
      </w:r>
      <w:r>
        <w:rPr>
          <w:spacing w:val="1"/>
          <w:sz w:val="24"/>
          <w:u w:val="single"/>
        </w:rPr>
        <w:t> </w:t>
      </w:r>
      <w:r>
        <w:rPr>
          <w:sz w:val="24"/>
          <w:u w:val="single"/>
        </w:rPr>
        <w:t>Output</w:t>
      </w:r>
    </w:p>
    <w:p>
      <w:pPr>
        <w:pStyle w:val="BodyText"/>
        <w:rPr>
          <w:sz w:val="20"/>
        </w:rPr>
      </w:pPr>
    </w:p>
    <w:p>
      <w:pPr>
        <w:pStyle w:val="BodyText"/>
        <w:spacing w:before="6"/>
        <w:rPr>
          <w:sz w:val="22"/>
        </w:rPr>
      </w:pPr>
    </w:p>
    <w:p>
      <w:pPr>
        <w:pStyle w:val="BodyText"/>
        <w:spacing w:line="372" w:lineRule="auto" w:before="90"/>
        <w:ind w:left="560" w:right="156"/>
      </w:pPr>
      <w:r>
        <w:rPr/>
        <w:t>A14 October saw the first release of GDP output for Q3, but there were no new national accounts </w:t>
      </w:r>
      <w:r>
        <w:rPr>
          <w:spacing w:val="-3"/>
        </w:rPr>
        <w:t>expenditure numbers published. Consumers’ confidence remained high according </w:t>
      </w:r>
      <w:r>
        <w:rPr/>
        <w:t>to </w:t>
      </w:r>
      <w:r>
        <w:rPr>
          <w:spacing w:val="-3"/>
        </w:rPr>
        <w:t>both </w:t>
      </w:r>
      <w:r>
        <w:rPr/>
        <w:t>GFK </w:t>
      </w:r>
      <w:r>
        <w:rPr>
          <w:spacing w:val="-3"/>
        </w:rPr>
        <w:t>and MORI, even though </w:t>
      </w:r>
      <w:r>
        <w:rPr/>
        <w:t>the </w:t>
      </w:r>
      <w:r>
        <w:rPr>
          <w:spacing w:val="-3"/>
        </w:rPr>
        <w:t>latter measure </w:t>
      </w:r>
      <w:r>
        <w:rPr/>
        <w:t>had </w:t>
      </w:r>
      <w:r>
        <w:rPr>
          <w:spacing w:val="-3"/>
        </w:rPr>
        <w:t>fallen back slightly from record highs earlier </w:t>
      </w:r>
      <w:r>
        <w:rPr/>
        <w:t>in the </w:t>
      </w:r>
      <w:r>
        <w:rPr>
          <w:spacing w:val="-3"/>
        </w:rPr>
        <w:t>year. Retail sales volumes fell </w:t>
      </w:r>
      <w:r>
        <w:rPr/>
        <w:t>by </w:t>
      </w:r>
      <w:r>
        <w:rPr>
          <w:spacing w:val="-3"/>
        </w:rPr>
        <w:t>1.9% </w:t>
      </w:r>
      <w:r>
        <w:rPr/>
        <w:t>in </w:t>
      </w:r>
      <w:r>
        <w:rPr>
          <w:spacing w:val="-3"/>
        </w:rPr>
        <w:t>September. </w:t>
      </w:r>
      <w:r>
        <w:rPr/>
        <w:t>But it was a </w:t>
      </w:r>
      <w:r>
        <w:rPr>
          <w:spacing w:val="-3"/>
        </w:rPr>
        <w:t>volatile series; </w:t>
      </w:r>
      <w:r>
        <w:rPr/>
        <w:t>and </w:t>
      </w:r>
      <w:r>
        <w:rPr>
          <w:spacing w:val="-3"/>
        </w:rPr>
        <w:t>unusually volumes </w:t>
      </w:r>
      <w:r>
        <w:rPr/>
        <w:t>had grown continuously for eight months in a row. On past behaviour, a fall at some point would </w:t>
      </w:r>
      <w:r>
        <w:rPr>
          <w:spacing w:val="-3"/>
        </w:rPr>
        <w:t>have been expected despite </w:t>
      </w:r>
      <w:r>
        <w:rPr/>
        <w:t>any </w:t>
      </w:r>
      <w:r>
        <w:rPr>
          <w:spacing w:val="-3"/>
        </w:rPr>
        <w:t>underlying strength. There </w:t>
      </w:r>
      <w:r>
        <w:rPr/>
        <w:t>was </w:t>
      </w:r>
      <w:r>
        <w:rPr>
          <w:spacing w:val="-3"/>
        </w:rPr>
        <w:t>likely </w:t>
      </w:r>
      <w:r>
        <w:rPr/>
        <w:t>to </w:t>
      </w:r>
      <w:r>
        <w:rPr>
          <w:spacing w:val="-3"/>
        </w:rPr>
        <w:t>have been </w:t>
      </w:r>
      <w:r>
        <w:rPr/>
        <w:t>a big </w:t>
      </w:r>
      <w:r>
        <w:rPr>
          <w:spacing w:val="-3"/>
        </w:rPr>
        <w:t>negative </w:t>
      </w:r>
      <w:r>
        <w:rPr/>
        <w:t>effect on sales associated with the funeral of Diana, Princess of Wales. A further factor was </w:t>
      </w:r>
      <w:r>
        <w:rPr>
          <w:spacing w:val="-2"/>
        </w:rPr>
        <w:t>the </w:t>
      </w:r>
      <w:r>
        <w:rPr/>
        <w:t>unusually warm weather in September which had depressed sales of autumn clothing and footwear.</w:t>
      </w:r>
    </w:p>
    <w:p>
      <w:pPr>
        <w:pStyle w:val="BodyText"/>
        <w:spacing w:before="8"/>
        <w:rPr>
          <w:sz w:val="36"/>
        </w:rPr>
      </w:pPr>
    </w:p>
    <w:p>
      <w:pPr>
        <w:pStyle w:val="BodyText"/>
        <w:spacing w:line="372" w:lineRule="auto"/>
        <w:ind w:left="560" w:right="230"/>
      </w:pPr>
      <w:r>
        <w:rPr/>
        <w:t>A15 The 12-month rate of house price inflation on the Nationwide and Halifax measures both fell in October, but the divergence between the two series continued to widen. In Q2 the differences had mainly been accounted for by sections of the Midlands and the North, the numbers in Q3 had been consistently dissimilar across the whole country. Nevertheless, on both series house price inflation was still fastest in Greater London.</w:t>
      </w:r>
    </w:p>
    <w:p>
      <w:pPr>
        <w:pStyle w:val="BodyText"/>
        <w:spacing w:before="10"/>
        <w:rPr>
          <w:sz w:val="36"/>
        </w:rPr>
      </w:pPr>
    </w:p>
    <w:p>
      <w:pPr>
        <w:pStyle w:val="BodyText"/>
        <w:spacing w:line="372" w:lineRule="auto" w:before="1"/>
        <w:ind w:left="560" w:right="230"/>
      </w:pPr>
      <w:r>
        <w:rPr/>
        <w:t>A16 The PSBR undershoot of the Budget forecast continued to grow. The undershoot was expected largely to unwind before the end of the financial year, although lower unemployment would create an end-year shortfall on social security expenditure. October would be an important month, as it was one of four months during the year in which ACT was paid.</w:t>
      </w:r>
    </w:p>
    <w:p>
      <w:pPr>
        <w:spacing w:after="0" w:line="372" w:lineRule="auto"/>
        <w:sectPr>
          <w:pgSz w:w="11900" w:h="16840"/>
          <w:pgMar w:header="724" w:footer="0" w:top="1340" w:bottom="280" w:left="880" w:right="740"/>
        </w:sectPr>
      </w:pPr>
    </w:p>
    <w:p>
      <w:pPr>
        <w:pStyle w:val="BodyText"/>
        <w:rPr>
          <w:sz w:val="20"/>
        </w:rPr>
      </w:pPr>
    </w:p>
    <w:p>
      <w:pPr>
        <w:pStyle w:val="BodyText"/>
        <w:rPr>
          <w:sz w:val="20"/>
        </w:rPr>
      </w:pPr>
    </w:p>
    <w:p>
      <w:pPr>
        <w:pStyle w:val="BodyText"/>
        <w:spacing w:line="372" w:lineRule="auto" w:before="209"/>
        <w:ind w:left="560" w:right="408"/>
      </w:pPr>
      <w:r>
        <w:rPr/>
        <w:t>A17 Net trade continued to be robust. Export volume growth was stronger than expected, although</w:t>
      </w:r>
      <w:r>
        <w:rPr>
          <w:spacing w:val="-10"/>
        </w:rPr>
        <w:t> </w:t>
      </w:r>
      <w:r>
        <w:rPr/>
        <w:t>there</w:t>
      </w:r>
      <w:r>
        <w:rPr>
          <w:spacing w:val="-9"/>
        </w:rPr>
        <w:t> </w:t>
      </w:r>
      <w:r>
        <w:rPr/>
        <w:t>may</w:t>
      </w:r>
      <w:r>
        <w:rPr>
          <w:spacing w:val="-9"/>
        </w:rPr>
        <w:t> </w:t>
      </w:r>
      <w:r>
        <w:rPr/>
        <w:t>have</w:t>
      </w:r>
      <w:r>
        <w:rPr>
          <w:spacing w:val="-9"/>
        </w:rPr>
        <w:t> </w:t>
      </w:r>
      <w:r>
        <w:rPr/>
        <w:t>been</w:t>
      </w:r>
      <w:r>
        <w:rPr>
          <w:spacing w:val="-9"/>
        </w:rPr>
        <w:t> </w:t>
      </w:r>
      <w:r>
        <w:rPr/>
        <w:t>some</w:t>
      </w:r>
      <w:r>
        <w:rPr>
          <w:spacing w:val="-9"/>
        </w:rPr>
        <w:t> </w:t>
      </w:r>
      <w:r>
        <w:rPr/>
        <w:t>early</w:t>
      </w:r>
      <w:r>
        <w:rPr>
          <w:spacing w:val="-9"/>
        </w:rPr>
        <w:t> </w:t>
      </w:r>
      <w:r>
        <w:rPr/>
        <w:t>signs</w:t>
      </w:r>
      <w:r>
        <w:rPr>
          <w:spacing w:val="-9"/>
        </w:rPr>
        <w:t> </w:t>
      </w:r>
      <w:r>
        <w:rPr/>
        <w:t>of</w:t>
      </w:r>
      <w:r>
        <w:rPr>
          <w:spacing w:val="-10"/>
        </w:rPr>
        <w:t> </w:t>
      </w:r>
      <w:r>
        <w:rPr/>
        <w:t>weakness</w:t>
      </w:r>
      <w:r>
        <w:rPr>
          <w:spacing w:val="-9"/>
        </w:rPr>
        <w:t> </w:t>
      </w:r>
      <w:r>
        <w:rPr/>
        <w:t>from</w:t>
      </w:r>
      <w:r>
        <w:rPr>
          <w:spacing w:val="-9"/>
        </w:rPr>
        <w:t> </w:t>
      </w:r>
      <w:r>
        <w:rPr/>
        <w:t>September’s</w:t>
      </w:r>
      <w:r>
        <w:rPr>
          <w:spacing w:val="-9"/>
        </w:rPr>
        <w:t> </w:t>
      </w:r>
      <w:r>
        <w:rPr/>
        <w:t>non-EU</w:t>
      </w:r>
      <w:r>
        <w:rPr>
          <w:spacing w:val="-9"/>
        </w:rPr>
        <w:t> </w:t>
      </w:r>
      <w:r>
        <w:rPr/>
        <w:t>data.</w:t>
      </w:r>
    </w:p>
    <w:p>
      <w:pPr>
        <w:pStyle w:val="BodyText"/>
        <w:spacing w:before="1"/>
        <w:rPr>
          <w:sz w:val="37"/>
        </w:rPr>
      </w:pPr>
    </w:p>
    <w:p>
      <w:pPr>
        <w:pStyle w:val="BodyText"/>
        <w:spacing w:line="372" w:lineRule="auto"/>
        <w:ind w:left="560"/>
      </w:pPr>
      <w:r>
        <w:rPr/>
        <w:t>A18 The ONS’s preliminary estimate of GDP for 1997 Q3 showed a 1.0% increase on the previous quarter. This was a little lower than the Bank’s expectation. Nevertheless 1.0% was still strong.</w:t>
      </w:r>
    </w:p>
    <w:p>
      <w:pPr>
        <w:pStyle w:val="BodyText"/>
        <w:spacing w:line="372" w:lineRule="auto"/>
        <w:ind w:left="560" w:right="128"/>
      </w:pPr>
      <w:r>
        <w:rPr/>
        <w:t>Within the total, manufacturing output had grown by 0.6% compared to an average of 0.4% since the beginning of the recovery. The latest monthly survey from the Chartered Institute of Purchasing and Supply (CIPS) had shown a pick up in manufacturing output and export orders. But recent quarterly survey results from the CBI and British Chambers of Commerce had shown a less robust picture. Industrial production growth overall in the UK was lower than in other European countries and was not as strong as it might be given the UK’s GDP growth rate - perhaps evidence of an appreciation effect.</w:t>
      </w:r>
    </w:p>
    <w:p>
      <w:pPr>
        <w:pStyle w:val="BodyText"/>
        <w:spacing w:before="8"/>
        <w:rPr>
          <w:sz w:val="36"/>
        </w:rPr>
      </w:pPr>
    </w:p>
    <w:p>
      <w:pPr>
        <w:pStyle w:val="BodyText"/>
        <w:spacing w:line="372" w:lineRule="auto"/>
        <w:ind w:left="560" w:right="138"/>
      </w:pPr>
      <w:r>
        <w:rPr/>
        <w:t>A19 However, there were many factors supporting manufacturing exports and output in the face of the appreciation. World trade growth was strong. And the UK was managing to maintain its share of world trade partly by diverting exports to markets where the effect of the appreciation had been less severe. Even in Europe where economies were enjoying export-led growth, UK exporters appeared</w:t>
      </w:r>
      <w:r>
        <w:rPr>
          <w:spacing w:val="-9"/>
        </w:rPr>
        <w:t> </w:t>
      </w:r>
      <w:r>
        <w:rPr/>
        <w:t>to</w:t>
      </w:r>
      <w:r>
        <w:rPr>
          <w:spacing w:val="-9"/>
        </w:rPr>
        <w:t> </w:t>
      </w:r>
      <w:r>
        <w:rPr/>
        <w:t>have</w:t>
      </w:r>
      <w:r>
        <w:rPr>
          <w:spacing w:val="-9"/>
        </w:rPr>
        <w:t> </w:t>
      </w:r>
      <w:r>
        <w:rPr/>
        <w:t>been</w:t>
      </w:r>
      <w:r>
        <w:rPr>
          <w:spacing w:val="-8"/>
        </w:rPr>
        <w:t> </w:t>
      </w:r>
      <w:r>
        <w:rPr/>
        <w:t>able</w:t>
      </w:r>
      <w:r>
        <w:rPr>
          <w:spacing w:val="-9"/>
        </w:rPr>
        <w:t> </w:t>
      </w:r>
      <w:r>
        <w:rPr/>
        <w:t>to</w:t>
      </w:r>
      <w:r>
        <w:rPr>
          <w:spacing w:val="-9"/>
        </w:rPr>
        <w:t> </w:t>
      </w:r>
      <w:r>
        <w:rPr/>
        <w:t>sell</w:t>
      </w:r>
      <w:r>
        <w:rPr>
          <w:spacing w:val="-9"/>
        </w:rPr>
        <w:t> </w:t>
      </w:r>
      <w:r>
        <w:rPr/>
        <w:t>capital</w:t>
      </w:r>
      <w:r>
        <w:rPr>
          <w:spacing w:val="-8"/>
        </w:rPr>
        <w:t> </w:t>
      </w:r>
      <w:r>
        <w:rPr/>
        <w:t>and</w:t>
      </w:r>
      <w:r>
        <w:rPr>
          <w:spacing w:val="-9"/>
        </w:rPr>
        <w:t> </w:t>
      </w:r>
      <w:r>
        <w:rPr/>
        <w:t>intermediate</w:t>
      </w:r>
      <w:r>
        <w:rPr>
          <w:spacing w:val="-9"/>
        </w:rPr>
        <w:t> </w:t>
      </w:r>
      <w:r>
        <w:rPr/>
        <w:t>goods.</w:t>
      </w:r>
      <w:r>
        <w:rPr>
          <w:spacing w:val="45"/>
        </w:rPr>
        <w:t> </w:t>
      </w:r>
      <w:r>
        <w:rPr/>
        <w:t>Manufacturing</w:t>
      </w:r>
      <w:r>
        <w:rPr>
          <w:spacing w:val="-8"/>
        </w:rPr>
        <w:t> </w:t>
      </w:r>
      <w:r>
        <w:rPr/>
        <w:t>productivity</w:t>
      </w:r>
      <w:r>
        <w:rPr>
          <w:spacing w:val="-9"/>
        </w:rPr>
        <w:t> </w:t>
      </w:r>
      <w:r>
        <w:rPr/>
        <w:t>in</w:t>
      </w:r>
      <w:r>
        <w:rPr>
          <w:spacing w:val="-9"/>
        </w:rPr>
        <w:t> </w:t>
      </w:r>
      <w:r>
        <w:rPr>
          <w:spacing w:val="-2"/>
        </w:rPr>
        <w:t>the </w:t>
      </w:r>
      <w:r>
        <w:rPr/>
        <w:t>UK had begun to rise as firms had reacted to the appreciation by cutting</w:t>
      </w:r>
      <w:r>
        <w:rPr>
          <w:spacing w:val="-12"/>
        </w:rPr>
        <w:t> </w:t>
      </w:r>
      <w:r>
        <w:rPr>
          <w:spacing w:val="-2"/>
        </w:rPr>
        <w:t>costs.</w:t>
      </w:r>
    </w:p>
    <w:p>
      <w:pPr>
        <w:pStyle w:val="BodyText"/>
        <w:spacing w:before="10"/>
        <w:rPr>
          <w:sz w:val="36"/>
        </w:rPr>
      </w:pPr>
    </w:p>
    <w:p>
      <w:pPr>
        <w:pStyle w:val="BodyText"/>
        <w:spacing w:line="372" w:lineRule="auto"/>
        <w:ind w:left="560"/>
      </w:pPr>
      <w:r>
        <w:rPr/>
        <w:t>A20 Despite the overall resilience of manufacturing, some sectors had experienced problems. Clothing and footwear output had fallen, with strong retail demand being met by imports.</w:t>
      </w:r>
    </w:p>
    <w:p>
      <w:pPr>
        <w:pStyle w:val="BodyText"/>
        <w:rPr>
          <w:sz w:val="37"/>
        </w:rPr>
      </w:pPr>
    </w:p>
    <w:p>
      <w:pPr>
        <w:pStyle w:val="BodyText"/>
        <w:spacing w:line="372" w:lineRule="auto" w:before="1"/>
        <w:ind w:left="560" w:right="576"/>
      </w:pPr>
      <w:r>
        <w:rPr/>
        <w:t>A21 The quarterly growth rate of services appeared to be weakening slightly, having peaked in 1996 Q4. Slower service sector exports could be a cause.</w:t>
      </w:r>
    </w:p>
    <w:p>
      <w:pPr>
        <w:pStyle w:val="BodyText"/>
        <w:rPr>
          <w:sz w:val="37"/>
        </w:rPr>
      </w:pPr>
    </w:p>
    <w:p>
      <w:pPr>
        <w:pStyle w:val="BodyText"/>
        <w:spacing w:line="372" w:lineRule="auto"/>
        <w:ind w:left="560" w:right="29"/>
      </w:pPr>
      <w:r>
        <w:rPr/>
        <w:t>A22 More general indicators of the service sector’s position were presented to the Committee. Service sector inflation had picked up in early 1996 from 2% to over 3%, despite regulatory restraint on utilities’ prices. But it appeared that service sector inflation might have peaked as more capacity had come on stream, following strong past investment. Activity had been strong throughout the private service sector, but especially so in transport, finance and communications.</w:t>
      </w:r>
    </w:p>
    <w:p>
      <w:pPr>
        <w:spacing w:after="0" w:line="372" w:lineRule="auto"/>
        <w:sectPr>
          <w:pgSz w:w="11900" w:h="16840"/>
          <w:pgMar w:header="724" w:footer="0" w:top="1340" w:bottom="280" w:left="880" w:right="740"/>
        </w:sectPr>
      </w:pPr>
    </w:p>
    <w:p>
      <w:pPr>
        <w:pStyle w:val="BodyText"/>
        <w:spacing w:before="3"/>
        <w:rPr>
          <w:sz w:val="13"/>
        </w:rPr>
      </w:pPr>
    </w:p>
    <w:p>
      <w:pPr>
        <w:pStyle w:val="BodyText"/>
        <w:spacing w:line="372" w:lineRule="auto" w:before="90"/>
        <w:ind w:left="560"/>
      </w:pPr>
      <w:r>
        <w:rPr/>
        <w:t>A23 The Bank’s regional agencies had conducted a survey of 132 of their contacts to examine developments in the service sector. On balance, respondents had said that growth had been higher in Q3 than in the first half of the year. Further, more expected growth to increase in the fourth quarter and 1998 Q1 than expected it to fall, although financial services and hotels expected some moderation. One consequence of strong output growth was that labour supply problems were affecting a third of the contacts surveyed, in terms of both quality and quantity of potential recruits.</w:t>
      </w:r>
    </w:p>
    <w:p>
      <w:pPr>
        <w:pStyle w:val="BodyText"/>
        <w:spacing w:before="9"/>
        <w:rPr>
          <w:sz w:val="36"/>
        </w:rPr>
      </w:pPr>
    </w:p>
    <w:p>
      <w:pPr>
        <w:pStyle w:val="BodyText"/>
        <w:spacing w:line="372" w:lineRule="auto"/>
        <w:ind w:left="560" w:right="166"/>
      </w:pPr>
      <w:r>
        <w:rPr/>
        <w:t>A24 The potential effects on the real economy of events in Asia were considered. Asian countries account for just over 8 1/2% of UK exports, but close to 20% of US exports. Thus part of the risk to the UK may come via the US and other industrial countries. Asia is also the source of 10% of UK</w:t>
      </w:r>
      <w:r>
        <w:rPr>
          <w:spacing w:val="-10"/>
        </w:rPr>
        <w:t> </w:t>
      </w:r>
      <w:r>
        <w:rPr/>
        <w:t>imports,</w:t>
      </w:r>
      <w:r>
        <w:rPr>
          <w:spacing w:val="-9"/>
        </w:rPr>
        <w:t> </w:t>
      </w:r>
      <w:r>
        <w:rPr/>
        <w:t>where</w:t>
      </w:r>
      <w:r>
        <w:rPr>
          <w:spacing w:val="-10"/>
        </w:rPr>
        <w:t> </w:t>
      </w:r>
      <w:r>
        <w:rPr/>
        <w:t>the</w:t>
      </w:r>
      <w:r>
        <w:rPr>
          <w:spacing w:val="-9"/>
        </w:rPr>
        <w:t> </w:t>
      </w:r>
      <w:r>
        <w:rPr/>
        <w:t>initial</w:t>
      </w:r>
      <w:r>
        <w:rPr>
          <w:spacing w:val="-10"/>
        </w:rPr>
        <w:t> </w:t>
      </w:r>
      <w:r>
        <w:rPr/>
        <w:t>effect</w:t>
      </w:r>
      <w:r>
        <w:rPr>
          <w:spacing w:val="-9"/>
        </w:rPr>
        <w:t> </w:t>
      </w:r>
      <w:r>
        <w:rPr/>
        <w:t>will</w:t>
      </w:r>
      <w:r>
        <w:rPr>
          <w:spacing w:val="-10"/>
        </w:rPr>
        <w:t> </w:t>
      </w:r>
      <w:r>
        <w:rPr/>
        <w:t>be</w:t>
      </w:r>
      <w:r>
        <w:rPr>
          <w:spacing w:val="-9"/>
        </w:rPr>
        <w:t> </w:t>
      </w:r>
      <w:r>
        <w:rPr/>
        <w:t>downward</w:t>
      </w:r>
      <w:r>
        <w:rPr>
          <w:spacing w:val="-10"/>
        </w:rPr>
        <w:t> </w:t>
      </w:r>
      <w:r>
        <w:rPr/>
        <w:t>price</w:t>
      </w:r>
      <w:r>
        <w:rPr>
          <w:spacing w:val="-9"/>
        </w:rPr>
        <w:t> </w:t>
      </w:r>
      <w:r>
        <w:rPr/>
        <w:t>pressure</w:t>
      </w:r>
      <w:r>
        <w:rPr>
          <w:spacing w:val="-10"/>
        </w:rPr>
        <w:t> </w:t>
      </w:r>
      <w:r>
        <w:rPr/>
        <w:t>on</w:t>
      </w:r>
      <w:r>
        <w:rPr>
          <w:spacing w:val="-9"/>
        </w:rPr>
        <w:t> </w:t>
      </w:r>
      <w:r>
        <w:rPr/>
        <w:t>import-competing</w:t>
      </w:r>
      <w:r>
        <w:rPr>
          <w:spacing w:val="-9"/>
        </w:rPr>
        <w:t> </w:t>
      </w:r>
      <w:r>
        <w:rPr/>
        <w:t>firms</w:t>
      </w:r>
      <w:r>
        <w:rPr>
          <w:spacing w:val="-10"/>
        </w:rPr>
        <w:t> </w:t>
      </w:r>
      <w:r>
        <w:rPr>
          <w:spacing w:val="-2"/>
        </w:rPr>
        <w:t>and </w:t>
      </w:r>
      <w:r>
        <w:rPr/>
        <w:t>lower input costs for import-using firms. The OECD had undertaken some simulations on </w:t>
      </w:r>
      <w:r>
        <w:rPr>
          <w:spacing w:val="-2"/>
        </w:rPr>
        <w:t>the </w:t>
      </w:r>
      <w:r>
        <w:rPr/>
        <w:t>effects of developments in Asia on the world economy. These indicated lower GDP growth of 0.1pp this year and 0.2pp next year in the EU together with 0.2pp lower inflation in 1998. These simulations had been undertaken at the end of September before the most recent stock </w:t>
      </w:r>
      <w:r>
        <w:rPr>
          <w:spacing w:val="-2"/>
        </w:rPr>
        <w:t>market </w:t>
      </w:r>
      <w:r>
        <w:rPr/>
        <w:t>turbulence and therefore might be considered a lower bound to the likely</w:t>
      </w:r>
      <w:r>
        <w:rPr>
          <w:spacing w:val="-32"/>
        </w:rPr>
        <w:t> </w:t>
      </w:r>
      <w:r>
        <w:rPr/>
        <w:t>effects.</w:t>
      </w:r>
    </w:p>
    <w:p>
      <w:pPr>
        <w:pStyle w:val="BodyText"/>
        <w:spacing w:before="8"/>
        <w:rPr>
          <w:sz w:val="36"/>
        </w:rPr>
      </w:pPr>
    </w:p>
    <w:p>
      <w:pPr>
        <w:pStyle w:val="ListParagraph"/>
        <w:numPr>
          <w:ilvl w:val="1"/>
          <w:numId w:val="1"/>
        </w:numPr>
        <w:tabs>
          <w:tab w:pos="926" w:val="left" w:leader="none"/>
        </w:tabs>
        <w:spacing w:line="240" w:lineRule="auto" w:before="1" w:after="0"/>
        <w:ind w:left="925" w:right="0" w:hanging="366"/>
        <w:jc w:val="left"/>
        <w:rPr>
          <w:sz w:val="24"/>
        </w:rPr>
      </w:pPr>
      <w:r>
        <w:rPr>
          <w:sz w:val="24"/>
          <w:u w:val="single"/>
        </w:rPr>
        <w:t>Labour</w:t>
      </w:r>
      <w:r>
        <w:rPr>
          <w:spacing w:val="2"/>
          <w:sz w:val="24"/>
          <w:u w:val="single"/>
        </w:rPr>
        <w:t> </w:t>
      </w:r>
      <w:r>
        <w:rPr>
          <w:sz w:val="24"/>
          <w:u w:val="single"/>
        </w:rPr>
        <w:t>Market</w:t>
      </w:r>
    </w:p>
    <w:p>
      <w:pPr>
        <w:pStyle w:val="BodyText"/>
        <w:rPr>
          <w:sz w:val="20"/>
        </w:rPr>
      </w:pPr>
    </w:p>
    <w:p>
      <w:pPr>
        <w:pStyle w:val="BodyText"/>
        <w:spacing w:before="5"/>
        <w:rPr>
          <w:sz w:val="22"/>
        </w:rPr>
      </w:pPr>
    </w:p>
    <w:p>
      <w:pPr>
        <w:pStyle w:val="BodyText"/>
        <w:spacing w:line="372" w:lineRule="auto" w:before="90"/>
        <w:ind w:left="560" w:right="139"/>
      </w:pPr>
      <w:r>
        <w:rPr/>
        <w:t>A25</w:t>
      </w:r>
      <w:r>
        <w:rPr>
          <w:spacing w:val="-11"/>
        </w:rPr>
        <w:t> </w:t>
      </w:r>
      <w:r>
        <w:rPr/>
        <w:t>The results of the ONS Labour Force Survey for summer 1997 had been published in October. These showed an 86,000 rise in employment during the summer months (0.3%) and a 440,000 </w:t>
      </w:r>
      <w:r>
        <w:rPr>
          <w:spacing w:val="-3"/>
        </w:rPr>
        <w:t>increase </w:t>
      </w:r>
      <w:r>
        <w:rPr/>
        <w:t>on a </w:t>
      </w:r>
      <w:r>
        <w:rPr>
          <w:spacing w:val="-3"/>
        </w:rPr>
        <w:t>year earlier (1.7%), which </w:t>
      </w:r>
      <w:r>
        <w:rPr/>
        <w:t>was </w:t>
      </w:r>
      <w:r>
        <w:rPr>
          <w:spacing w:val="-3"/>
        </w:rPr>
        <w:t>broadly </w:t>
      </w:r>
      <w:r>
        <w:rPr/>
        <w:t>in </w:t>
      </w:r>
      <w:r>
        <w:rPr>
          <w:spacing w:val="-3"/>
        </w:rPr>
        <w:t>line with </w:t>
      </w:r>
      <w:r>
        <w:rPr/>
        <w:t>the </w:t>
      </w:r>
      <w:r>
        <w:rPr>
          <w:spacing w:val="-3"/>
        </w:rPr>
        <w:t>ONS’s Workforce in Employment numbers </w:t>
      </w:r>
      <w:r>
        <w:rPr/>
        <w:t>- </w:t>
      </w:r>
      <w:r>
        <w:rPr>
          <w:spacing w:val="-3"/>
        </w:rPr>
        <w:t>available last month. </w:t>
      </w:r>
      <w:r>
        <w:rPr/>
        <w:t>The </w:t>
      </w:r>
      <w:r>
        <w:rPr>
          <w:spacing w:val="-3"/>
        </w:rPr>
        <w:t>rise </w:t>
      </w:r>
      <w:r>
        <w:rPr/>
        <w:t>in </w:t>
      </w:r>
      <w:r>
        <w:rPr>
          <w:spacing w:val="-3"/>
        </w:rPr>
        <w:t>employees </w:t>
      </w:r>
      <w:r>
        <w:rPr/>
        <w:t>in </w:t>
      </w:r>
      <w:r>
        <w:rPr>
          <w:spacing w:val="-3"/>
        </w:rPr>
        <w:t>employment </w:t>
      </w:r>
      <w:r>
        <w:rPr/>
        <w:t>was </w:t>
      </w:r>
      <w:r>
        <w:rPr>
          <w:spacing w:val="-3"/>
        </w:rPr>
        <w:t>even </w:t>
      </w:r>
      <w:r>
        <w:rPr/>
        <w:t>stronger, as the numbers of self employed fell. Unlike the earlier stages of the recovery, most </w:t>
      </w:r>
      <w:r>
        <w:rPr>
          <w:spacing w:val="-2"/>
        </w:rPr>
        <w:t>net </w:t>
      </w:r>
      <w:r>
        <w:rPr/>
        <w:t>new jobs were now full time. A wider measure of labour demand was hours worked, and this </w:t>
      </w:r>
      <w:r>
        <w:rPr>
          <w:spacing w:val="-2"/>
        </w:rPr>
        <w:t>had </w:t>
      </w:r>
      <w:r>
        <w:rPr/>
        <w:t>grown more quickly than the head count during the summer, by 0.6%. But over the year it </w:t>
      </w:r>
      <w:r>
        <w:rPr>
          <w:spacing w:val="-2"/>
        </w:rPr>
        <w:t>had </w:t>
      </w:r>
      <w:r>
        <w:rPr/>
        <w:t>grown by 1.7%, the same rate as</w:t>
      </w:r>
      <w:r>
        <w:rPr>
          <w:spacing w:val="2"/>
        </w:rPr>
        <w:t> </w:t>
      </w:r>
      <w:r>
        <w:rPr/>
        <w:t>employment.</w:t>
      </w:r>
    </w:p>
    <w:p>
      <w:pPr>
        <w:pStyle w:val="BodyText"/>
        <w:spacing w:before="9"/>
        <w:rPr>
          <w:sz w:val="36"/>
        </w:rPr>
      </w:pPr>
    </w:p>
    <w:p>
      <w:pPr>
        <w:pStyle w:val="BodyText"/>
        <w:spacing w:line="372" w:lineRule="auto"/>
        <w:ind w:left="560" w:right="141"/>
      </w:pPr>
      <w:r>
        <w:rPr/>
        <w:t>A26 Looking ahead, the Q3 British Chambers of Commerce (BCC) Survey showed a further rise in employment intentions for the service sector, from an already buoyant level. The picture for manufacturing was more mixed. The BCC survey showed employers still expecting to recruit more staff on balance, but at a lower rate - a view supported by the Bank’s Agents; while the CBI survey showed employers expecting a fall in employment during the final quarter of 1997. Indeed, ONS</w:t>
      </w:r>
    </w:p>
    <w:p>
      <w:pPr>
        <w:spacing w:after="0" w:line="372" w:lineRule="auto"/>
        <w:sectPr>
          <w:pgSz w:w="11900" w:h="16840"/>
          <w:pgMar w:header="724" w:footer="0" w:top="1340" w:bottom="280" w:left="880" w:right="740"/>
        </w:sectPr>
      </w:pPr>
    </w:p>
    <w:p>
      <w:pPr>
        <w:pStyle w:val="BodyText"/>
        <w:spacing w:before="3"/>
        <w:rPr>
          <w:sz w:val="13"/>
        </w:rPr>
      </w:pPr>
    </w:p>
    <w:p>
      <w:pPr>
        <w:pStyle w:val="BodyText"/>
        <w:spacing w:line="372" w:lineRule="auto" w:before="90"/>
        <w:ind w:left="560"/>
      </w:pPr>
      <w:r>
        <w:rPr>
          <w:spacing w:val="-3"/>
        </w:rPr>
        <w:t>data </w:t>
      </w:r>
      <w:r>
        <w:rPr/>
        <w:t>for </w:t>
      </w:r>
      <w:r>
        <w:rPr>
          <w:spacing w:val="-3"/>
        </w:rPr>
        <w:t>manufacturing employees </w:t>
      </w:r>
      <w:r>
        <w:rPr/>
        <w:t>in </w:t>
      </w:r>
      <w:r>
        <w:rPr>
          <w:spacing w:val="-3"/>
        </w:rPr>
        <w:t>employment </w:t>
      </w:r>
      <w:r>
        <w:rPr/>
        <w:t>had </w:t>
      </w:r>
      <w:r>
        <w:rPr>
          <w:spacing w:val="-3"/>
        </w:rPr>
        <w:t>already shown </w:t>
      </w:r>
      <w:r>
        <w:rPr/>
        <w:t>a </w:t>
      </w:r>
      <w:r>
        <w:rPr>
          <w:spacing w:val="-3"/>
        </w:rPr>
        <w:t>decline </w:t>
      </w:r>
      <w:r>
        <w:rPr/>
        <w:t>in </w:t>
      </w:r>
      <w:r>
        <w:rPr>
          <w:spacing w:val="-3"/>
        </w:rPr>
        <w:t>July </w:t>
      </w:r>
      <w:r>
        <w:rPr/>
        <w:t>and </w:t>
      </w:r>
      <w:r>
        <w:rPr>
          <w:spacing w:val="-3"/>
        </w:rPr>
        <w:t>August of </w:t>
      </w:r>
      <w:r>
        <w:rPr/>
        <w:t>12,000 a month, although the series was volatile.</w:t>
      </w:r>
    </w:p>
    <w:p>
      <w:pPr>
        <w:pStyle w:val="BodyText"/>
        <w:rPr>
          <w:sz w:val="37"/>
        </w:rPr>
      </w:pPr>
    </w:p>
    <w:p>
      <w:pPr>
        <w:pStyle w:val="BodyText"/>
        <w:spacing w:line="372" w:lineRule="auto"/>
        <w:ind w:left="560" w:right="122"/>
      </w:pPr>
      <w:r>
        <w:rPr/>
        <w:t>A27 There had been a marked increase in skill shortages, according to the October CBI Industrial Trends Survey for manufacturing, although it was still well below its late 1980s peak. The Bank’s Agents had also noted this trend and that it was leading to substantial pay rises for particular groups of workers, such as IT, bricklayers and HGV drivers.</w:t>
      </w:r>
    </w:p>
    <w:p>
      <w:pPr>
        <w:pStyle w:val="BodyText"/>
        <w:spacing w:before="11"/>
        <w:rPr>
          <w:sz w:val="36"/>
        </w:rPr>
      </w:pPr>
    </w:p>
    <w:p>
      <w:pPr>
        <w:pStyle w:val="BodyText"/>
        <w:spacing w:line="372" w:lineRule="auto"/>
        <w:ind w:left="560"/>
      </w:pPr>
      <w:r>
        <w:rPr/>
        <w:t>A28 The claimant count unemployment numbers had fallen by 28,000 in September, so that the unemployment rate stood at 5.2%. There had also been a further rise in notified vacancies at job centres of almost 9,000 to a reported level of just over 300,000. But this stock level was probably overstated, perhaps by some 40,000.</w:t>
      </w:r>
    </w:p>
    <w:p>
      <w:pPr>
        <w:pStyle w:val="BodyText"/>
        <w:spacing w:before="11"/>
        <w:rPr>
          <w:sz w:val="36"/>
        </w:rPr>
      </w:pPr>
    </w:p>
    <w:p>
      <w:pPr>
        <w:pStyle w:val="BodyText"/>
        <w:spacing w:line="372" w:lineRule="auto"/>
        <w:ind w:left="560" w:right="239"/>
      </w:pPr>
      <w:r>
        <w:rPr/>
        <w:t>A29 The LFS measure of unemployment had fallen from 7.2% to 7.1% over the summer. There had </w:t>
      </w:r>
      <w:r>
        <w:rPr>
          <w:spacing w:val="-3"/>
        </w:rPr>
        <w:t>been different movements </w:t>
      </w:r>
      <w:r>
        <w:rPr/>
        <w:t>in </w:t>
      </w:r>
      <w:r>
        <w:rPr>
          <w:spacing w:val="-3"/>
        </w:rPr>
        <w:t>short-term </w:t>
      </w:r>
      <w:r>
        <w:rPr/>
        <w:t>and </w:t>
      </w:r>
      <w:r>
        <w:rPr>
          <w:spacing w:val="-3"/>
        </w:rPr>
        <w:t>long-term unemployment </w:t>
      </w:r>
      <w:r>
        <w:rPr/>
        <w:t>as </w:t>
      </w:r>
      <w:r>
        <w:rPr>
          <w:spacing w:val="-3"/>
        </w:rPr>
        <w:t>measured </w:t>
      </w:r>
      <w:r>
        <w:rPr/>
        <w:t>by the </w:t>
      </w:r>
      <w:r>
        <w:rPr>
          <w:spacing w:val="-3"/>
        </w:rPr>
        <w:t>LFS. </w:t>
      </w:r>
      <w:r>
        <w:rPr/>
        <w:t>Short-term unemployment had risen slightly and was no longer below the trough of the late </w:t>
      </w:r>
      <w:r>
        <w:rPr>
          <w:spacing w:val="-2"/>
        </w:rPr>
        <w:t>1980s.</w:t>
      </w:r>
    </w:p>
    <w:p>
      <w:pPr>
        <w:pStyle w:val="BodyText"/>
        <w:rPr>
          <w:sz w:val="37"/>
        </w:rPr>
      </w:pPr>
    </w:p>
    <w:p>
      <w:pPr>
        <w:pStyle w:val="BodyText"/>
        <w:spacing w:line="372" w:lineRule="auto"/>
        <w:ind w:left="560"/>
      </w:pPr>
      <w:r>
        <w:rPr/>
        <w:t>A30 The fall in total LFS unemployment between the spring and the summer was 40,000, much less than the claimant count drop of some 115,000 over the same period. Moreover there was now a record gap between the two measures of just over 500,000. The LFS measure, the Bank’s preferred one, recorded people who were actively searching for work. It thus differed from the claimant count because non-claimants, who were ineligible for benefit, searched for work and because some claimants were not actively seeking employment. Three months ago the Bank had expected the number of claimant searchers to fall by 75,000-90,000 over the summer (an average of 25,000- 30,000 each month). The Bank had also expected the number of claimant non-searchers to be little changed, as it was thought that the deterrent effect of the Job Seekers Allowance (JSA) should have come to end. The number of searching non-claimants had been expected to remain the same, or perhaps increase slightly in line with the trend of the previous year (an encouraged worker effect).</w:t>
      </w:r>
    </w:p>
    <w:p>
      <w:pPr>
        <w:pStyle w:val="BodyText"/>
        <w:spacing w:before="7"/>
        <w:rPr>
          <w:sz w:val="36"/>
        </w:rPr>
      </w:pPr>
    </w:p>
    <w:p>
      <w:pPr>
        <w:pStyle w:val="BodyText"/>
        <w:spacing w:line="372" w:lineRule="auto"/>
        <w:ind w:left="560" w:right="230"/>
      </w:pPr>
      <w:r>
        <w:rPr/>
        <w:t>A31</w:t>
      </w:r>
      <w:r>
        <w:rPr>
          <w:spacing w:val="25"/>
        </w:rPr>
        <w:t> </w:t>
      </w:r>
      <w:r>
        <w:rPr/>
        <w:t>In</w:t>
      </w:r>
      <w:r>
        <w:rPr>
          <w:spacing w:val="-7"/>
        </w:rPr>
        <w:t> </w:t>
      </w:r>
      <w:r>
        <w:rPr/>
        <w:t>the</w:t>
      </w:r>
      <w:r>
        <w:rPr>
          <w:spacing w:val="-7"/>
        </w:rPr>
        <w:t> </w:t>
      </w:r>
      <w:r>
        <w:rPr/>
        <w:t>event,</w:t>
      </w:r>
      <w:r>
        <w:rPr>
          <w:spacing w:val="-8"/>
        </w:rPr>
        <w:t> </w:t>
      </w:r>
      <w:r>
        <w:rPr/>
        <w:t>Bank</w:t>
      </w:r>
      <w:r>
        <w:rPr>
          <w:spacing w:val="-7"/>
        </w:rPr>
        <w:t> </w:t>
      </w:r>
      <w:r>
        <w:rPr/>
        <w:t>estimates</w:t>
      </w:r>
      <w:r>
        <w:rPr>
          <w:spacing w:val="-7"/>
        </w:rPr>
        <w:t> </w:t>
      </w:r>
      <w:r>
        <w:rPr/>
        <w:t>suggested</w:t>
      </w:r>
      <w:r>
        <w:rPr>
          <w:spacing w:val="-8"/>
        </w:rPr>
        <w:t> </w:t>
      </w:r>
      <w:r>
        <w:rPr/>
        <w:t>that</w:t>
      </w:r>
      <w:r>
        <w:rPr>
          <w:spacing w:val="-7"/>
        </w:rPr>
        <w:t> </w:t>
      </w:r>
      <w:r>
        <w:rPr/>
        <w:t>the</w:t>
      </w:r>
      <w:r>
        <w:rPr>
          <w:spacing w:val="-7"/>
        </w:rPr>
        <w:t> </w:t>
      </w:r>
      <w:r>
        <w:rPr/>
        <w:t>number</w:t>
      </w:r>
      <w:r>
        <w:rPr>
          <w:spacing w:val="-8"/>
        </w:rPr>
        <w:t> </w:t>
      </w:r>
      <w:r>
        <w:rPr/>
        <w:t>of</w:t>
      </w:r>
      <w:r>
        <w:rPr>
          <w:spacing w:val="-7"/>
        </w:rPr>
        <w:t> </w:t>
      </w:r>
      <w:r>
        <w:rPr/>
        <w:t>claimant</w:t>
      </w:r>
      <w:r>
        <w:rPr>
          <w:spacing w:val="-7"/>
        </w:rPr>
        <w:t> </w:t>
      </w:r>
      <w:r>
        <w:rPr/>
        <w:t>searchers</w:t>
      </w:r>
      <w:r>
        <w:rPr>
          <w:spacing w:val="-7"/>
        </w:rPr>
        <w:t> </w:t>
      </w:r>
      <w:r>
        <w:rPr/>
        <w:t>fell</w:t>
      </w:r>
      <w:r>
        <w:rPr>
          <w:spacing w:val="-8"/>
        </w:rPr>
        <w:t> </w:t>
      </w:r>
      <w:r>
        <w:rPr/>
        <w:t>broadly</w:t>
      </w:r>
      <w:r>
        <w:rPr>
          <w:spacing w:val="-7"/>
        </w:rPr>
        <w:t> </w:t>
      </w:r>
      <w:r>
        <w:rPr/>
        <w:t>in </w:t>
      </w:r>
      <w:r>
        <w:rPr>
          <w:spacing w:val="-3"/>
        </w:rPr>
        <w:t>line with expectations. </w:t>
      </w:r>
      <w:r>
        <w:rPr/>
        <w:t>But the </w:t>
      </w:r>
      <w:r>
        <w:rPr>
          <w:spacing w:val="-3"/>
        </w:rPr>
        <w:t>number </w:t>
      </w:r>
      <w:r>
        <w:rPr/>
        <w:t>of </w:t>
      </w:r>
      <w:r>
        <w:rPr>
          <w:spacing w:val="-3"/>
        </w:rPr>
        <w:t>claimants </w:t>
      </w:r>
      <w:r>
        <w:rPr/>
        <w:t>not </w:t>
      </w:r>
      <w:r>
        <w:rPr>
          <w:spacing w:val="-3"/>
        </w:rPr>
        <w:t>searching continued </w:t>
      </w:r>
      <w:r>
        <w:rPr/>
        <w:t>to </w:t>
      </w:r>
      <w:r>
        <w:rPr>
          <w:spacing w:val="-3"/>
        </w:rPr>
        <w:t>fall. This possibly </w:t>
      </w:r>
      <w:r>
        <w:rPr/>
        <w:t>reflected</w:t>
      </w:r>
      <w:r>
        <w:rPr>
          <w:spacing w:val="-10"/>
        </w:rPr>
        <w:t> </w:t>
      </w:r>
      <w:r>
        <w:rPr/>
        <w:t>further</w:t>
      </w:r>
      <w:r>
        <w:rPr>
          <w:spacing w:val="-9"/>
        </w:rPr>
        <w:t> </w:t>
      </w:r>
      <w:r>
        <w:rPr/>
        <w:t>deterrent</w:t>
      </w:r>
      <w:r>
        <w:rPr>
          <w:spacing w:val="-10"/>
        </w:rPr>
        <w:t> </w:t>
      </w:r>
      <w:r>
        <w:rPr/>
        <w:t>effects</w:t>
      </w:r>
      <w:r>
        <w:rPr>
          <w:spacing w:val="-9"/>
        </w:rPr>
        <w:t> </w:t>
      </w:r>
      <w:r>
        <w:rPr/>
        <w:t>of</w:t>
      </w:r>
      <w:r>
        <w:rPr>
          <w:spacing w:val="-10"/>
        </w:rPr>
        <w:t> </w:t>
      </w:r>
      <w:r>
        <w:rPr/>
        <w:t>the</w:t>
      </w:r>
      <w:r>
        <w:rPr>
          <w:spacing w:val="-9"/>
        </w:rPr>
        <w:t> </w:t>
      </w:r>
      <w:r>
        <w:rPr/>
        <w:t>JSA,</w:t>
      </w:r>
      <w:r>
        <w:rPr>
          <w:spacing w:val="-9"/>
        </w:rPr>
        <w:t> </w:t>
      </w:r>
      <w:r>
        <w:rPr/>
        <w:t>as</w:t>
      </w:r>
      <w:r>
        <w:rPr>
          <w:spacing w:val="-10"/>
        </w:rPr>
        <w:t> </w:t>
      </w:r>
      <w:r>
        <w:rPr/>
        <w:t>students</w:t>
      </w:r>
      <w:r>
        <w:rPr>
          <w:spacing w:val="-9"/>
        </w:rPr>
        <w:t> </w:t>
      </w:r>
      <w:r>
        <w:rPr/>
        <w:t>may</w:t>
      </w:r>
      <w:r>
        <w:rPr>
          <w:spacing w:val="-10"/>
        </w:rPr>
        <w:t> </w:t>
      </w:r>
      <w:r>
        <w:rPr/>
        <w:t>have</w:t>
      </w:r>
      <w:r>
        <w:rPr>
          <w:spacing w:val="-9"/>
        </w:rPr>
        <w:t> </w:t>
      </w:r>
      <w:r>
        <w:rPr/>
        <w:t>been</w:t>
      </w:r>
      <w:r>
        <w:rPr>
          <w:spacing w:val="-10"/>
        </w:rPr>
        <w:t> </w:t>
      </w:r>
      <w:r>
        <w:rPr/>
        <w:t>discouraged</w:t>
      </w:r>
      <w:r>
        <w:rPr>
          <w:spacing w:val="-9"/>
        </w:rPr>
        <w:t> </w:t>
      </w:r>
      <w:r>
        <w:rPr/>
        <w:t>from</w:t>
      </w:r>
      <w:r>
        <w:rPr>
          <w:spacing w:val="-9"/>
        </w:rPr>
        <w:t> </w:t>
      </w:r>
      <w:r>
        <w:rPr/>
        <w:t>signing on for benefit during the vacation - an effect on the claimant count which could unwind in </w:t>
      </w:r>
      <w:r>
        <w:rPr>
          <w:spacing w:val="-2"/>
        </w:rPr>
        <w:t>the </w:t>
      </w:r>
      <w:r>
        <w:rPr/>
        <w:t>autumn when fewer students than normal leave the register. Also the number of</w:t>
      </w:r>
      <w:r>
        <w:rPr>
          <w:spacing w:val="-7"/>
        </w:rPr>
        <w:t> </w:t>
      </w:r>
      <w:r>
        <w:rPr>
          <w:spacing w:val="-2"/>
        </w:rPr>
        <w:t>non-claimant</w:t>
      </w:r>
    </w:p>
    <w:p>
      <w:pPr>
        <w:spacing w:after="0" w:line="372" w:lineRule="auto"/>
        <w:sectPr>
          <w:pgSz w:w="11900" w:h="16840"/>
          <w:pgMar w:header="724" w:footer="0" w:top="1340" w:bottom="280" w:left="880" w:right="740"/>
        </w:sectPr>
      </w:pPr>
    </w:p>
    <w:p>
      <w:pPr>
        <w:pStyle w:val="BodyText"/>
        <w:spacing w:before="3"/>
        <w:rPr>
          <w:sz w:val="13"/>
        </w:rPr>
      </w:pPr>
    </w:p>
    <w:p>
      <w:pPr>
        <w:pStyle w:val="BodyText"/>
        <w:spacing w:line="372" w:lineRule="auto" w:before="90"/>
        <w:ind w:left="560" w:right="289"/>
      </w:pPr>
      <w:r>
        <w:rPr/>
        <w:t>searchers rose more strongly, as more women entered the job market, but were unable to find jobs immediately.</w:t>
      </w:r>
    </w:p>
    <w:p>
      <w:pPr>
        <w:pStyle w:val="BodyText"/>
        <w:rPr>
          <w:sz w:val="37"/>
        </w:rPr>
      </w:pPr>
    </w:p>
    <w:p>
      <w:pPr>
        <w:pStyle w:val="BodyText"/>
        <w:spacing w:line="372" w:lineRule="auto"/>
        <w:ind w:left="560" w:right="275"/>
      </w:pPr>
      <w:r>
        <w:rPr/>
        <w:t>A32 Over the autumn, a further fall in claimant searchers of 75,000-90,000 is expected. </w:t>
      </w:r>
      <w:r>
        <w:rPr>
          <w:spacing w:val="-2"/>
        </w:rPr>
        <w:t>The </w:t>
      </w:r>
      <w:r>
        <w:rPr>
          <w:spacing w:val="-3"/>
        </w:rPr>
        <w:t>student effect </w:t>
      </w:r>
      <w:r>
        <w:rPr/>
        <w:t>may </w:t>
      </w:r>
      <w:r>
        <w:rPr>
          <w:spacing w:val="-3"/>
        </w:rPr>
        <w:t>lead </w:t>
      </w:r>
      <w:r>
        <w:rPr/>
        <w:t>to a </w:t>
      </w:r>
      <w:r>
        <w:rPr>
          <w:spacing w:val="-3"/>
        </w:rPr>
        <w:t>slight rise </w:t>
      </w:r>
      <w:r>
        <w:rPr/>
        <w:t>in the </w:t>
      </w:r>
      <w:r>
        <w:rPr>
          <w:spacing w:val="-3"/>
        </w:rPr>
        <w:t>claimants </w:t>
      </w:r>
      <w:r>
        <w:rPr/>
        <w:t>who are not </w:t>
      </w:r>
      <w:r>
        <w:rPr>
          <w:spacing w:val="-3"/>
        </w:rPr>
        <w:t>searching, </w:t>
      </w:r>
      <w:r>
        <w:rPr/>
        <w:t>but </w:t>
      </w:r>
      <w:r>
        <w:rPr>
          <w:spacing w:val="-3"/>
        </w:rPr>
        <w:t>equally there may </w:t>
      </w:r>
      <w:r>
        <w:rPr/>
        <w:t>be </w:t>
      </w:r>
      <w:r>
        <w:rPr>
          <w:spacing w:val="-3"/>
        </w:rPr>
        <w:t>some further </w:t>
      </w:r>
      <w:r>
        <w:rPr/>
        <w:t>JSA </w:t>
      </w:r>
      <w:r>
        <w:rPr>
          <w:spacing w:val="-3"/>
        </w:rPr>
        <w:t>effects pushing this number down </w:t>
      </w:r>
      <w:r>
        <w:rPr/>
        <w:t>as </w:t>
      </w:r>
      <w:r>
        <w:rPr>
          <w:spacing w:val="-3"/>
        </w:rPr>
        <w:t>checks </w:t>
      </w:r>
      <w:r>
        <w:rPr/>
        <w:t>on </w:t>
      </w:r>
      <w:r>
        <w:rPr>
          <w:spacing w:val="-3"/>
        </w:rPr>
        <w:t>continued eligibility </w:t>
      </w:r>
      <w:r>
        <w:rPr/>
        <w:t>for </w:t>
      </w:r>
      <w:r>
        <w:rPr>
          <w:spacing w:val="-3"/>
        </w:rPr>
        <w:t>the </w:t>
      </w:r>
      <w:r>
        <w:rPr/>
        <w:t>allowance are carried out after six, twelve and twenty-four months. It was also possible that there may be a </w:t>
      </w:r>
      <w:r>
        <w:rPr>
          <w:spacing w:val="-3"/>
        </w:rPr>
        <w:t>further small rise </w:t>
      </w:r>
      <w:r>
        <w:rPr/>
        <w:t>in </w:t>
      </w:r>
      <w:r>
        <w:rPr>
          <w:spacing w:val="-3"/>
        </w:rPr>
        <w:t>searching non-claimants </w:t>
      </w:r>
      <w:r>
        <w:rPr/>
        <w:t>as </w:t>
      </w:r>
      <w:r>
        <w:rPr>
          <w:spacing w:val="-3"/>
        </w:rPr>
        <w:t>more people </w:t>
      </w:r>
      <w:r>
        <w:rPr/>
        <w:t>are </w:t>
      </w:r>
      <w:r>
        <w:rPr>
          <w:spacing w:val="-3"/>
        </w:rPr>
        <w:t>encouraged back into the </w:t>
      </w:r>
      <w:r>
        <w:rPr/>
        <w:t>labour market.</w:t>
      </w:r>
    </w:p>
    <w:p>
      <w:pPr>
        <w:pStyle w:val="BodyText"/>
        <w:spacing w:before="10"/>
        <w:rPr>
          <w:sz w:val="36"/>
        </w:rPr>
      </w:pPr>
    </w:p>
    <w:p>
      <w:pPr>
        <w:pStyle w:val="BodyText"/>
        <w:spacing w:line="372" w:lineRule="auto"/>
        <w:ind w:left="560"/>
      </w:pPr>
      <w:r>
        <w:rPr/>
        <w:t>A33 This raised the question as to whether the possibility of more people joining the labour market increased the level of potential labour market slack. Inactivity rates (ie those who were neither employed nor looking for work as a percentage of the population of working age) were still well above the trough in the late 1980s. However, since the 1980s there had been significant increases in the numbers of students and long-term sick and disabled. These were two categories that were relatively unlikely to be drawn back into the labour force by strong demand. The inactivity rate excluding these two groups was below its previous trough in the late 1980s.</w:t>
      </w:r>
    </w:p>
    <w:p>
      <w:pPr>
        <w:pStyle w:val="BodyText"/>
        <w:spacing w:before="9"/>
        <w:rPr>
          <w:sz w:val="36"/>
        </w:rPr>
      </w:pPr>
    </w:p>
    <w:p>
      <w:pPr>
        <w:pStyle w:val="BodyText"/>
        <w:spacing w:line="372" w:lineRule="auto"/>
        <w:ind w:left="560" w:right="178"/>
      </w:pPr>
      <w:r>
        <w:rPr/>
        <w:t>A34 </w:t>
      </w:r>
      <w:r>
        <w:rPr>
          <w:spacing w:val="-3"/>
        </w:rPr>
        <w:t>There </w:t>
      </w:r>
      <w:r>
        <w:rPr/>
        <w:t>was </w:t>
      </w:r>
      <w:r>
        <w:rPr>
          <w:spacing w:val="-3"/>
        </w:rPr>
        <w:t>little news </w:t>
      </w:r>
      <w:r>
        <w:rPr/>
        <w:t>on </w:t>
      </w:r>
      <w:r>
        <w:rPr>
          <w:spacing w:val="-3"/>
        </w:rPr>
        <w:t>earnings this month. There </w:t>
      </w:r>
      <w:r>
        <w:rPr/>
        <w:t>had </w:t>
      </w:r>
      <w:r>
        <w:rPr>
          <w:spacing w:val="-3"/>
        </w:rPr>
        <w:t>been </w:t>
      </w:r>
      <w:r>
        <w:rPr/>
        <w:t>no </w:t>
      </w:r>
      <w:r>
        <w:rPr>
          <w:spacing w:val="-3"/>
        </w:rPr>
        <w:t>change </w:t>
      </w:r>
      <w:r>
        <w:rPr/>
        <w:t>in the </w:t>
      </w:r>
      <w:r>
        <w:rPr>
          <w:spacing w:val="-3"/>
        </w:rPr>
        <w:t>headline underlying earnings growth </w:t>
      </w:r>
      <w:r>
        <w:rPr/>
        <w:t>in </w:t>
      </w:r>
      <w:r>
        <w:rPr>
          <w:spacing w:val="-3"/>
        </w:rPr>
        <w:t>August, which remained </w:t>
      </w:r>
      <w:r>
        <w:rPr/>
        <w:t>at 4 1/2 per cent.  Although the actual growth rate of earnings had increased from 4.3 per cent to 4.6 per cent, this had been due to</w:t>
      </w:r>
      <w:r>
        <w:rPr>
          <w:spacing w:val="-43"/>
        </w:rPr>
        <w:t> </w:t>
      </w:r>
      <w:r>
        <w:rPr/>
        <w:t>arrears, the timing of settlements and back-pay. After smoothing bonus payments over the whole year, </w:t>
      </w:r>
      <w:r>
        <w:rPr>
          <w:spacing w:val="-2"/>
        </w:rPr>
        <w:t>the </w:t>
      </w:r>
      <w:r>
        <w:rPr/>
        <w:t>trend</w:t>
      </w:r>
      <w:r>
        <w:rPr>
          <w:spacing w:val="-5"/>
        </w:rPr>
        <w:t> </w:t>
      </w:r>
      <w:r>
        <w:rPr/>
        <w:t>in</w:t>
      </w:r>
      <w:r>
        <w:rPr>
          <w:spacing w:val="-4"/>
        </w:rPr>
        <w:t> </w:t>
      </w:r>
      <w:r>
        <w:rPr/>
        <w:t>average</w:t>
      </w:r>
      <w:r>
        <w:rPr>
          <w:spacing w:val="-4"/>
        </w:rPr>
        <w:t> </w:t>
      </w:r>
      <w:r>
        <w:rPr/>
        <w:t>earnings</w:t>
      </w:r>
      <w:r>
        <w:rPr>
          <w:spacing w:val="-5"/>
        </w:rPr>
        <w:t> </w:t>
      </w:r>
      <w:r>
        <w:rPr/>
        <w:t>growth</w:t>
      </w:r>
      <w:r>
        <w:rPr>
          <w:spacing w:val="-4"/>
        </w:rPr>
        <w:t> </w:t>
      </w:r>
      <w:r>
        <w:rPr/>
        <w:t>remained</w:t>
      </w:r>
      <w:r>
        <w:rPr>
          <w:spacing w:val="-4"/>
        </w:rPr>
        <w:t> </w:t>
      </w:r>
      <w:r>
        <w:rPr/>
        <w:t>at</w:t>
      </w:r>
      <w:r>
        <w:rPr>
          <w:spacing w:val="-5"/>
        </w:rPr>
        <w:t> </w:t>
      </w:r>
      <w:r>
        <w:rPr/>
        <w:t>just</w:t>
      </w:r>
      <w:r>
        <w:rPr>
          <w:spacing w:val="-4"/>
        </w:rPr>
        <w:t> </w:t>
      </w:r>
      <w:r>
        <w:rPr/>
        <w:t>below</w:t>
      </w:r>
      <w:r>
        <w:rPr>
          <w:spacing w:val="-4"/>
        </w:rPr>
        <w:t> </w:t>
      </w:r>
      <w:r>
        <w:rPr/>
        <w:t>4</w:t>
      </w:r>
      <w:r>
        <w:rPr>
          <w:spacing w:val="-3"/>
        </w:rPr>
        <w:t> </w:t>
      </w:r>
      <w:r>
        <w:rPr/>
        <w:t>1/2</w:t>
      </w:r>
      <w:r>
        <w:rPr>
          <w:spacing w:val="-3"/>
        </w:rPr>
        <w:t> </w:t>
      </w:r>
      <w:r>
        <w:rPr/>
        <w:t>per</w:t>
      </w:r>
      <w:r>
        <w:rPr>
          <w:spacing w:val="-4"/>
        </w:rPr>
        <w:t> </w:t>
      </w:r>
      <w:r>
        <w:rPr/>
        <w:t>cent</w:t>
      </w:r>
      <w:r>
        <w:rPr>
          <w:spacing w:val="-4"/>
        </w:rPr>
        <w:t> </w:t>
      </w:r>
      <w:r>
        <w:rPr/>
        <w:t>in</w:t>
      </w:r>
      <w:r>
        <w:rPr>
          <w:spacing w:val="-5"/>
        </w:rPr>
        <w:t> </w:t>
      </w:r>
      <w:r>
        <w:rPr/>
        <w:t>the</w:t>
      </w:r>
      <w:r>
        <w:rPr>
          <w:spacing w:val="-4"/>
        </w:rPr>
        <w:t> </w:t>
      </w:r>
      <w:r>
        <w:rPr/>
        <w:t>whole</w:t>
      </w:r>
      <w:r>
        <w:rPr>
          <w:spacing w:val="-4"/>
        </w:rPr>
        <w:t> </w:t>
      </w:r>
      <w:r>
        <w:rPr/>
        <w:t>economy.</w:t>
      </w:r>
    </w:p>
    <w:p>
      <w:pPr>
        <w:pStyle w:val="BodyText"/>
        <w:spacing w:before="11"/>
        <w:rPr>
          <w:sz w:val="36"/>
        </w:rPr>
      </w:pPr>
    </w:p>
    <w:p>
      <w:pPr>
        <w:pStyle w:val="BodyText"/>
        <w:spacing w:line="372" w:lineRule="auto"/>
        <w:ind w:left="560" w:right="205"/>
      </w:pPr>
      <w:r>
        <w:rPr/>
        <w:t>A35 There had been few wage settlements in September; the autumn was a very fallow period on this front - only 8% of employees covered by the Bank’s settlements database had settled between September and December 1996. January was the next key month. The Committee was warned that the Bank’s Agents expected increased wage pressure in 1998. This was partly due to the tightness in the labour market; another factor was that the first stage of the phasing out of profit related pay would probably put upward pressure on basic settlements.</w:t>
      </w:r>
    </w:p>
    <w:p>
      <w:pPr>
        <w:spacing w:after="0" w:line="372" w:lineRule="auto"/>
        <w:sectPr>
          <w:pgSz w:w="11900" w:h="16840"/>
          <w:pgMar w:header="724" w:footer="0" w:top="1340" w:bottom="280" w:left="880" w:right="740"/>
        </w:sectPr>
      </w:pPr>
    </w:p>
    <w:p>
      <w:pPr>
        <w:pStyle w:val="BodyText"/>
        <w:spacing w:before="3"/>
        <w:rPr>
          <w:sz w:val="13"/>
        </w:rPr>
      </w:pPr>
    </w:p>
    <w:p>
      <w:pPr>
        <w:pStyle w:val="ListParagraph"/>
        <w:numPr>
          <w:ilvl w:val="1"/>
          <w:numId w:val="1"/>
        </w:numPr>
        <w:tabs>
          <w:tab w:pos="970" w:val="left" w:leader="none"/>
        </w:tabs>
        <w:spacing w:line="240" w:lineRule="auto" w:before="90" w:after="0"/>
        <w:ind w:left="969" w:right="0" w:hanging="377"/>
        <w:jc w:val="left"/>
        <w:rPr>
          <w:sz w:val="24"/>
        </w:rPr>
      </w:pPr>
      <w:r>
        <w:rPr>
          <w:spacing w:val="-2"/>
          <w:sz w:val="24"/>
          <w:u w:val="single"/>
        </w:rPr>
        <w:t>Prices</w:t>
      </w:r>
    </w:p>
    <w:p>
      <w:pPr>
        <w:pStyle w:val="BodyText"/>
        <w:rPr>
          <w:sz w:val="20"/>
        </w:rPr>
      </w:pPr>
    </w:p>
    <w:p>
      <w:pPr>
        <w:pStyle w:val="BodyText"/>
        <w:spacing w:before="5"/>
        <w:rPr>
          <w:sz w:val="22"/>
        </w:rPr>
      </w:pPr>
    </w:p>
    <w:p>
      <w:pPr>
        <w:pStyle w:val="BodyText"/>
        <w:spacing w:line="372" w:lineRule="auto" w:before="90"/>
        <w:ind w:left="560" w:right="128"/>
      </w:pPr>
      <w:r>
        <w:rPr/>
        <w:t>A36 There was no sign of upward pressure on non-oil commodity prices currently: the Bank index had fallen in September, according to latest estimates, although it might be revised upwards modestly when hard data on food prices have been incorporated. Oil prices had risen in October, to around $20 per barrel. They were expected to stabilise at or just below this level into next year as supply kept pace with demand.</w:t>
      </w:r>
    </w:p>
    <w:p>
      <w:pPr>
        <w:pStyle w:val="BodyText"/>
        <w:spacing w:before="10"/>
        <w:rPr>
          <w:sz w:val="36"/>
        </w:rPr>
      </w:pPr>
    </w:p>
    <w:p>
      <w:pPr>
        <w:pStyle w:val="BodyText"/>
        <w:spacing w:line="372" w:lineRule="auto"/>
        <w:ind w:left="560"/>
      </w:pPr>
      <w:r>
        <w:rPr/>
        <w:t>A37 Input prices rose in the two months to September, but they were still 7.8% lower than a year earlier. Moreover, the most recent CIPS survey had suggested that there was still a downward impetus.</w:t>
      </w:r>
    </w:p>
    <w:p>
      <w:pPr>
        <w:pStyle w:val="BodyText"/>
        <w:rPr>
          <w:sz w:val="37"/>
        </w:rPr>
      </w:pPr>
    </w:p>
    <w:p>
      <w:pPr>
        <w:pStyle w:val="BodyText"/>
        <w:spacing w:line="372" w:lineRule="auto"/>
        <w:ind w:left="560" w:right="243"/>
      </w:pPr>
      <w:r>
        <w:rPr/>
        <w:t>A38 Output prices were showing some signs of an upturn, however. Producer prices (excluding duties) had risen by 0.2% in September; and there had been no monthly fall since March. The CBI Survey balance had increased slightly and the Bank’s Agents reported expectations of higher price rises in 1998 than this year. Also margins on domestic sales seemed to have risen.</w:t>
      </w:r>
    </w:p>
    <w:p>
      <w:pPr>
        <w:pStyle w:val="BodyText"/>
        <w:rPr>
          <w:sz w:val="37"/>
        </w:rPr>
      </w:pPr>
    </w:p>
    <w:p>
      <w:pPr>
        <w:pStyle w:val="BodyText"/>
        <w:spacing w:line="372" w:lineRule="auto"/>
        <w:ind w:left="560" w:right="230"/>
      </w:pPr>
      <w:r>
        <w:rPr/>
        <w:t>A39 Export prices appeared to have bottomed out although margins did appear to have fallen further. Import prices had also risen in August. RPIX inflation had been 2.7% in September, compared with 2.8% in August.</w:t>
      </w:r>
    </w:p>
    <w:p>
      <w:pPr>
        <w:pStyle w:val="BodyText"/>
        <w:rPr>
          <w:sz w:val="37"/>
        </w:rPr>
      </w:pPr>
    </w:p>
    <w:p>
      <w:pPr>
        <w:pStyle w:val="BodyText"/>
        <w:spacing w:line="372" w:lineRule="auto"/>
        <w:ind w:left="559" w:right="330"/>
      </w:pPr>
      <w:r>
        <w:rPr/>
        <w:t>A40 The wedge between RPIX goods and RPIX service inflation had narrowed, but this </w:t>
      </w:r>
      <w:r>
        <w:rPr>
          <w:spacing w:val="-2"/>
        </w:rPr>
        <w:t>was </w:t>
      </w:r>
      <w:r>
        <w:rPr/>
        <w:t>largely due to tax effects: higher taxes on petrol and reduced VAT on domestic energy bills. Rent and </w:t>
      </w:r>
      <w:r>
        <w:rPr>
          <w:spacing w:val="-3"/>
        </w:rPr>
        <w:t>utility prices </w:t>
      </w:r>
      <w:r>
        <w:rPr/>
        <w:t>had </w:t>
      </w:r>
      <w:r>
        <w:rPr>
          <w:spacing w:val="-3"/>
        </w:rPr>
        <w:t>been affected </w:t>
      </w:r>
      <w:r>
        <w:rPr/>
        <w:t>by </w:t>
      </w:r>
      <w:r>
        <w:rPr>
          <w:spacing w:val="-3"/>
        </w:rPr>
        <w:t>special factors; excluding these components would have given underlying service sector inflation </w:t>
      </w:r>
      <w:r>
        <w:rPr/>
        <w:t>of </w:t>
      </w:r>
      <w:r>
        <w:rPr>
          <w:spacing w:val="-3"/>
        </w:rPr>
        <w:t>around </w:t>
      </w:r>
      <w:r>
        <w:rPr/>
        <w:t>4 1/2%. Goods price inflation had continued to moderate, but by less than expected given sterling’s appreciation.</w:t>
      </w:r>
    </w:p>
    <w:p>
      <w:pPr>
        <w:pStyle w:val="BodyText"/>
        <w:spacing w:before="10"/>
        <w:rPr>
          <w:sz w:val="36"/>
        </w:rPr>
      </w:pPr>
    </w:p>
    <w:p>
      <w:pPr>
        <w:pStyle w:val="BodyText"/>
        <w:spacing w:line="372" w:lineRule="auto"/>
        <w:ind w:left="559" w:right="128"/>
      </w:pPr>
      <w:r>
        <w:rPr/>
        <w:t>A41 A gap had opened up between the UK and the main EU economies on local measures of consumer price inflation, with the former above the latter. But the UK was close to the EU average on a harmonised basis. Lower “harmonised” inflation in the UK was largely due to the exclusion of housing from the index and its construction as a geometric rather than an arithmetic mean.</w:t>
      </w:r>
    </w:p>
    <w:p>
      <w:pPr>
        <w:pStyle w:val="BodyText"/>
        <w:rPr>
          <w:sz w:val="37"/>
        </w:rPr>
      </w:pPr>
    </w:p>
    <w:p>
      <w:pPr>
        <w:pStyle w:val="BodyText"/>
        <w:spacing w:line="372" w:lineRule="auto"/>
        <w:ind w:left="559"/>
      </w:pPr>
      <w:r>
        <w:rPr/>
        <w:t>A42 The effect of the appreciation on RPIX inflation had been less than might have been expected. Some sectors had felt the effect of the exchange rate more than others: the appreciation had held</w:t>
      </w:r>
    </w:p>
    <w:p>
      <w:pPr>
        <w:spacing w:after="0" w:line="372" w:lineRule="auto"/>
        <w:sectPr>
          <w:pgSz w:w="11900" w:h="16840"/>
          <w:pgMar w:header="724" w:footer="0" w:top="1340" w:bottom="280" w:left="880" w:right="740"/>
        </w:sectPr>
      </w:pPr>
    </w:p>
    <w:p>
      <w:pPr>
        <w:pStyle w:val="BodyText"/>
        <w:spacing w:before="3"/>
        <w:rPr>
          <w:sz w:val="13"/>
        </w:rPr>
      </w:pPr>
    </w:p>
    <w:p>
      <w:pPr>
        <w:pStyle w:val="BodyText"/>
        <w:spacing w:line="372" w:lineRule="auto" w:before="90"/>
        <w:ind w:left="560" w:right="230"/>
      </w:pPr>
      <w:r>
        <w:rPr/>
        <w:t>down prices of leisure goods and to some extent household goods, but there was no sign of any effect on clothing and footwear prices. Retailers’ margins appeared to have been significantly boosted</w:t>
      </w:r>
      <w:r>
        <w:rPr>
          <w:spacing w:val="-10"/>
        </w:rPr>
        <w:t> </w:t>
      </w:r>
      <w:r>
        <w:rPr/>
        <w:t>by</w:t>
      </w:r>
      <w:r>
        <w:rPr>
          <w:spacing w:val="-9"/>
        </w:rPr>
        <w:t> </w:t>
      </w:r>
      <w:r>
        <w:rPr/>
        <w:t>the</w:t>
      </w:r>
      <w:r>
        <w:rPr>
          <w:spacing w:val="-10"/>
        </w:rPr>
        <w:t> </w:t>
      </w:r>
      <w:r>
        <w:rPr/>
        <w:t>appreciation:</w:t>
      </w:r>
      <w:r>
        <w:rPr>
          <w:spacing w:val="-9"/>
        </w:rPr>
        <w:t> </w:t>
      </w:r>
      <w:r>
        <w:rPr/>
        <w:t>it</w:t>
      </w:r>
      <w:r>
        <w:rPr>
          <w:spacing w:val="-9"/>
        </w:rPr>
        <w:t> </w:t>
      </w:r>
      <w:r>
        <w:rPr/>
        <w:t>had</w:t>
      </w:r>
      <w:r>
        <w:rPr>
          <w:spacing w:val="-10"/>
        </w:rPr>
        <w:t> </w:t>
      </w:r>
      <w:r>
        <w:rPr/>
        <w:t>reversed</w:t>
      </w:r>
      <w:r>
        <w:rPr>
          <w:spacing w:val="-9"/>
        </w:rPr>
        <w:t> </w:t>
      </w:r>
      <w:r>
        <w:rPr/>
        <w:t>much</w:t>
      </w:r>
      <w:r>
        <w:rPr>
          <w:spacing w:val="-9"/>
        </w:rPr>
        <w:t> </w:t>
      </w:r>
      <w:r>
        <w:rPr/>
        <w:t>of</w:t>
      </w:r>
      <w:r>
        <w:rPr>
          <w:spacing w:val="-10"/>
        </w:rPr>
        <w:t> </w:t>
      </w:r>
      <w:r>
        <w:rPr/>
        <w:t>the</w:t>
      </w:r>
      <w:r>
        <w:rPr>
          <w:spacing w:val="-9"/>
        </w:rPr>
        <w:t> </w:t>
      </w:r>
      <w:r>
        <w:rPr/>
        <w:t>narrowing</w:t>
      </w:r>
      <w:r>
        <w:rPr>
          <w:spacing w:val="-10"/>
        </w:rPr>
        <w:t> </w:t>
      </w:r>
      <w:r>
        <w:rPr/>
        <w:t>which</w:t>
      </w:r>
      <w:r>
        <w:rPr>
          <w:spacing w:val="-9"/>
        </w:rPr>
        <w:t> </w:t>
      </w:r>
      <w:r>
        <w:rPr/>
        <w:t>margins</w:t>
      </w:r>
      <w:r>
        <w:rPr>
          <w:spacing w:val="-9"/>
        </w:rPr>
        <w:t> </w:t>
      </w:r>
      <w:r>
        <w:rPr/>
        <w:t>had</w:t>
      </w:r>
      <w:r>
        <w:rPr>
          <w:spacing w:val="-10"/>
        </w:rPr>
        <w:t> </w:t>
      </w:r>
      <w:r>
        <w:rPr/>
        <w:t>experienced from 1992 to</w:t>
      </w:r>
      <w:r>
        <w:rPr>
          <w:spacing w:val="6"/>
        </w:rPr>
        <w:t> </w:t>
      </w:r>
      <w:r>
        <w:rPr/>
        <w:t>1995.</w:t>
      </w:r>
    </w:p>
    <w:p>
      <w:pPr>
        <w:pStyle w:val="BodyText"/>
        <w:spacing w:before="10"/>
        <w:rPr>
          <w:sz w:val="36"/>
        </w:rPr>
      </w:pPr>
    </w:p>
    <w:p>
      <w:pPr>
        <w:pStyle w:val="ListParagraph"/>
        <w:numPr>
          <w:ilvl w:val="1"/>
          <w:numId w:val="1"/>
        </w:numPr>
        <w:tabs>
          <w:tab w:pos="890" w:val="left" w:leader="none"/>
        </w:tabs>
        <w:spacing w:line="240" w:lineRule="auto" w:before="1" w:after="0"/>
        <w:ind w:left="889" w:right="0" w:hanging="297"/>
        <w:jc w:val="left"/>
        <w:rPr>
          <w:sz w:val="24"/>
        </w:rPr>
      </w:pPr>
      <w:r>
        <w:rPr>
          <w:sz w:val="24"/>
          <w:u w:val="single"/>
        </w:rPr>
        <w:t> </w:t>
      </w:r>
      <w:r>
        <w:rPr>
          <w:spacing w:val="2"/>
          <w:sz w:val="24"/>
          <w:u w:val="single"/>
        </w:rPr>
        <w:t> </w:t>
      </w:r>
      <w:r>
        <w:rPr>
          <w:spacing w:val="-3"/>
          <w:sz w:val="24"/>
          <w:u w:val="single"/>
        </w:rPr>
        <w:t>Financial</w:t>
      </w:r>
      <w:r>
        <w:rPr>
          <w:spacing w:val="-1"/>
          <w:sz w:val="24"/>
          <w:u w:val="single"/>
        </w:rPr>
        <w:t> </w:t>
      </w:r>
      <w:r>
        <w:rPr>
          <w:spacing w:val="-3"/>
          <w:sz w:val="24"/>
          <w:u w:val="single"/>
        </w:rPr>
        <w:t>Markets</w:t>
      </w:r>
    </w:p>
    <w:p>
      <w:pPr>
        <w:pStyle w:val="BodyText"/>
        <w:rPr>
          <w:sz w:val="20"/>
        </w:rPr>
      </w:pPr>
    </w:p>
    <w:p>
      <w:pPr>
        <w:pStyle w:val="BodyText"/>
        <w:spacing w:before="5"/>
        <w:rPr>
          <w:sz w:val="22"/>
        </w:rPr>
      </w:pPr>
    </w:p>
    <w:p>
      <w:pPr>
        <w:pStyle w:val="BodyText"/>
        <w:spacing w:line="372" w:lineRule="auto" w:before="90"/>
        <w:ind w:left="560" w:right="156"/>
      </w:pPr>
      <w:r>
        <w:rPr/>
        <w:t>A43 It had </w:t>
      </w:r>
      <w:r>
        <w:rPr>
          <w:spacing w:val="-3"/>
        </w:rPr>
        <w:t>been </w:t>
      </w:r>
      <w:r>
        <w:rPr/>
        <w:t>a </w:t>
      </w:r>
      <w:r>
        <w:rPr>
          <w:spacing w:val="-3"/>
        </w:rPr>
        <w:t>turbulent month </w:t>
      </w:r>
      <w:r>
        <w:rPr/>
        <w:t>in the </w:t>
      </w:r>
      <w:r>
        <w:rPr>
          <w:spacing w:val="-3"/>
        </w:rPr>
        <w:t>financial markets. </w:t>
      </w:r>
      <w:r>
        <w:rPr/>
        <w:t>The </w:t>
      </w:r>
      <w:r>
        <w:rPr>
          <w:spacing w:val="-3"/>
        </w:rPr>
        <w:t>main developments </w:t>
      </w:r>
      <w:r>
        <w:rPr/>
        <w:t>had </w:t>
      </w:r>
      <w:r>
        <w:rPr>
          <w:spacing w:val="-3"/>
        </w:rPr>
        <w:t>been </w:t>
      </w:r>
      <w:r>
        <w:rPr/>
        <w:t>in </w:t>
      </w:r>
      <w:r>
        <w:rPr>
          <w:spacing w:val="-3"/>
        </w:rPr>
        <w:t>the </w:t>
      </w:r>
      <w:r>
        <w:rPr/>
        <w:t>equity markets, and they had had an important influence on the foreign exchanges. There had been an </w:t>
      </w:r>
      <w:r>
        <w:rPr>
          <w:spacing w:val="-3"/>
        </w:rPr>
        <w:t>increase </w:t>
      </w:r>
      <w:r>
        <w:rPr/>
        <w:t>in </w:t>
      </w:r>
      <w:r>
        <w:rPr>
          <w:spacing w:val="-3"/>
        </w:rPr>
        <w:t>volatility </w:t>
      </w:r>
      <w:r>
        <w:rPr/>
        <w:t>for the </w:t>
      </w:r>
      <w:r>
        <w:rPr>
          <w:spacing w:val="-3"/>
        </w:rPr>
        <w:t>major currencies rather than </w:t>
      </w:r>
      <w:r>
        <w:rPr/>
        <w:t>any </w:t>
      </w:r>
      <w:r>
        <w:rPr>
          <w:spacing w:val="-3"/>
        </w:rPr>
        <w:t>major shifts </w:t>
      </w:r>
      <w:r>
        <w:rPr/>
        <w:t>in the </w:t>
      </w:r>
      <w:r>
        <w:rPr>
          <w:spacing w:val="-3"/>
        </w:rPr>
        <w:t>levels over the </w:t>
      </w:r>
      <w:r>
        <w:rPr/>
        <w:t>month as a whole. The dollar was little changed in October; the Deutsche Mark strengthened at </w:t>
      </w:r>
      <w:r>
        <w:rPr>
          <w:spacing w:val="-2"/>
        </w:rPr>
        <w:t>the </w:t>
      </w:r>
      <w:r>
        <w:rPr/>
        <w:t>beginning of the month following the unexpected size of the rise in the Bundesbank repo rate, </w:t>
      </w:r>
      <w:r>
        <w:rPr>
          <w:spacing w:val="-2"/>
        </w:rPr>
        <w:t>but </w:t>
      </w:r>
      <w:r>
        <w:rPr/>
        <w:t>ended the month slightly down. The Yen strengthened temporarily in mid-October on rumours of a package to stimulate the economy. Sterling moved within a narrow channel in the first half of </w:t>
      </w:r>
      <w:r>
        <w:rPr>
          <w:spacing w:val="-2"/>
        </w:rPr>
        <w:t>the </w:t>
      </w:r>
      <w:r>
        <w:rPr/>
        <w:t>month, until news that the UK would not join EMU in 1999 pushed the pound up. Sterling </w:t>
      </w:r>
      <w:r>
        <w:rPr>
          <w:spacing w:val="-2"/>
        </w:rPr>
        <w:t>had </w:t>
      </w:r>
      <w:r>
        <w:rPr/>
        <w:t>appreciated by 2.0% since the October MPC, but had depreciated by 2.6% since the </w:t>
      </w:r>
      <w:r>
        <w:rPr>
          <w:spacing w:val="-2"/>
        </w:rPr>
        <w:t>August </w:t>
      </w:r>
      <w:r>
        <w:rPr/>
        <w:t>Inflation Report was finalised. However, the depreciation was small compared to the </w:t>
      </w:r>
      <w:r>
        <w:rPr>
          <w:spacing w:val="-2"/>
        </w:rPr>
        <w:t>appreciation </w:t>
      </w:r>
      <w:r>
        <w:rPr>
          <w:spacing w:val="-3"/>
        </w:rPr>
        <w:t>which </w:t>
      </w:r>
      <w:r>
        <w:rPr/>
        <w:t>had </w:t>
      </w:r>
      <w:r>
        <w:rPr>
          <w:spacing w:val="-3"/>
        </w:rPr>
        <w:t>preceded </w:t>
      </w:r>
      <w:r>
        <w:rPr/>
        <w:t>it. </w:t>
      </w:r>
      <w:r>
        <w:rPr>
          <w:spacing w:val="-3"/>
        </w:rPr>
        <w:t>(Details </w:t>
      </w:r>
      <w:r>
        <w:rPr/>
        <w:t>of </w:t>
      </w:r>
      <w:r>
        <w:rPr>
          <w:spacing w:val="-3"/>
        </w:rPr>
        <w:t>changes </w:t>
      </w:r>
      <w:r>
        <w:rPr/>
        <w:t>in the </w:t>
      </w:r>
      <w:r>
        <w:rPr>
          <w:spacing w:val="-3"/>
        </w:rPr>
        <w:t>value </w:t>
      </w:r>
      <w:r>
        <w:rPr/>
        <w:t>of </w:t>
      </w:r>
      <w:r>
        <w:rPr>
          <w:spacing w:val="-3"/>
        </w:rPr>
        <w:t>sterling between </w:t>
      </w:r>
      <w:r>
        <w:rPr/>
        <w:t>MPC </w:t>
      </w:r>
      <w:r>
        <w:rPr>
          <w:spacing w:val="-3"/>
        </w:rPr>
        <w:t>meetings </w:t>
      </w:r>
      <w:r>
        <w:rPr/>
        <w:t>are </w:t>
      </w:r>
      <w:r>
        <w:rPr>
          <w:spacing w:val="-3"/>
        </w:rPr>
        <w:t>given </w:t>
      </w:r>
      <w:r>
        <w:rPr/>
        <w:t>in the table below.) There were increasing signs of convergence among the ERM currencies </w:t>
      </w:r>
      <w:r>
        <w:rPr>
          <w:spacing w:val="-2"/>
        </w:rPr>
        <w:t>and </w:t>
      </w:r>
      <w:r>
        <w:rPr/>
        <w:t>expected future short-term interest rates, reflecting confidence that EMU would go</w:t>
      </w:r>
      <w:r>
        <w:rPr>
          <w:spacing w:val="-16"/>
        </w:rPr>
        <w:t> </w:t>
      </w:r>
      <w:r>
        <w:rPr/>
        <w:t>ahead.</w:t>
      </w:r>
    </w:p>
    <w:p>
      <w:pPr>
        <w:pStyle w:val="BodyText"/>
        <w:rPr>
          <w:sz w:val="20"/>
        </w:rPr>
      </w:pPr>
    </w:p>
    <w:p>
      <w:pPr>
        <w:pStyle w:val="BodyText"/>
        <w:rPr>
          <w:sz w:val="20"/>
        </w:rPr>
      </w:pPr>
    </w:p>
    <w:p>
      <w:pPr>
        <w:pStyle w:val="BodyText"/>
        <w:rPr>
          <w:sz w:val="20"/>
        </w:rPr>
      </w:pPr>
    </w:p>
    <w:p>
      <w:pPr>
        <w:pStyle w:val="BodyText"/>
        <w:spacing w:before="11"/>
        <w:rPr>
          <w:sz w:val="14"/>
        </w:rPr>
      </w:pPr>
    </w:p>
    <w:tbl>
      <w:tblPr>
        <w:tblW w:w="0" w:type="auto"/>
        <w:jc w:val="left"/>
        <w:tblInd w:w="5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5"/>
        <w:gridCol w:w="2777"/>
        <w:gridCol w:w="2659"/>
      </w:tblGrid>
      <w:tr>
        <w:trPr>
          <w:trHeight w:val="272" w:hRule="atLeast"/>
        </w:trPr>
        <w:tc>
          <w:tcPr>
            <w:tcW w:w="2935" w:type="dxa"/>
          </w:tcPr>
          <w:p>
            <w:pPr>
              <w:pStyle w:val="TableParagraph"/>
              <w:spacing w:line="252" w:lineRule="exact"/>
              <w:rPr>
                <w:b/>
                <w:sz w:val="24"/>
              </w:rPr>
            </w:pPr>
            <w:r>
              <w:rPr>
                <w:b/>
                <w:sz w:val="24"/>
              </w:rPr>
              <w:t>Sterling Exchange Rates</w:t>
            </w:r>
          </w:p>
        </w:tc>
        <w:tc>
          <w:tcPr>
            <w:tcW w:w="5436" w:type="dxa"/>
            <w:gridSpan w:val="2"/>
          </w:tcPr>
          <w:p>
            <w:pPr>
              <w:pStyle w:val="TableParagraph"/>
              <w:spacing w:line="240" w:lineRule="auto"/>
              <w:ind w:left="0"/>
              <w:rPr>
                <w:sz w:val="20"/>
              </w:rPr>
            </w:pPr>
          </w:p>
        </w:tc>
      </w:tr>
      <w:tr>
        <w:trPr>
          <w:trHeight w:val="280" w:hRule="atLeast"/>
        </w:trPr>
        <w:tc>
          <w:tcPr>
            <w:tcW w:w="2935" w:type="dxa"/>
          </w:tcPr>
          <w:p>
            <w:pPr>
              <w:pStyle w:val="TableParagraph"/>
              <w:spacing w:line="240" w:lineRule="auto"/>
              <w:ind w:left="0"/>
              <w:rPr>
                <w:sz w:val="20"/>
              </w:rPr>
            </w:pPr>
          </w:p>
        </w:tc>
        <w:tc>
          <w:tcPr>
            <w:tcW w:w="2777" w:type="dxa"/>
          </w:tcPr>
          <w:p>
            <w:pPr>
              <w:pStyle w:val="TableParagraph"/>
              <w:spacing w:line="261" w:lineRule="exact"/>
              <w:ind w:left="388"/>
              <w:rPr>
                <w:sz w:val="24"/>
              </w:rPr>
            </w:pPr>
            <w:r>
              <w:rPr>
                <w:sz w:val="24"/>
              </w:rPr>
              <w:t>8 October 1997</w:t>
            </w:r>
          </w:p>
        </w:tc>
        <w:tc>
          <w:tcPr>
            <w:tcW w:w="2659" w:type="dxa"/>
          </w:tcPr>
          <w:p>
            <w:pPr>
              <w:pStyle w:val="TableParagraph"/>
              <w:spacing w:line="261" w:lineRule="exact"/>
              <w:ind w:left="885"/>
              <w:rPr>
                <w:sz w:val="24"/>
              </w:rPr>
            </w:pPr>
            <w:r>
              <w:rPr>
                <w:sz w:val="24"/>
              </w:rPr>
              <w:t>5 November 1997</w:t>
            </w:r>
          </w:p>
        </w:tc>
      </w:tr>
      <w:tr>
        <w:trPr>
          <w:trHeight w:val="283" w:hRule="atLeast"/>
        </w:trPr>
        <w:tc>
          <w:tcPr>
            <w:tcW w:w="2935" w:type="dxa"/>
          </w:tcPr>
          <w:p>
            <w:pPr>
              <w:pStyle w:val="TableParagraph"/>
              <w:rPr>
                <w:sz w:val="24"/>
              </w:rPr>
            </w:pPr>
            <w:r>
              <w:rPr>
                <w:sz w:val="24"/>
              </w:rPr>
              <w:t>£ ERI</w:t>
            </w:r>
          </w:p>
        </w:tc>
        <w:tc>
          <w:tcPr>
            <w:tcW w:w="2777" w:type="dxa"/>
          </w:tcPr>
          <w:p>
            <w:pPr>
              <w:pStyle w:val="TableParagraph"/>
              <w:ind w:left="388"/>
              <w:rPr>
                <w:sz w:val="24"/>
              </w:rPr>
            </w:pPr>
            <w:r>
              <w:rPr>
                <w:sz w:val="24"/>
              </w:rPr>
              <w:t>100.39</w:t>
            </w:r>
          </w:p>
        </w:tc>
        <w:tc>
          <w:tcPr>
            <w:tcW w:w="2659" w:type="dxa"/>
          </w:tcPr>
          <w:p>
            <w:pPr>
              <w:pStyle w:val="TableParagraph"/>
              <w:ind w:left="885"/>
              <w:rPr>
                <w:sz w:val="24"/>
              </w:rPr>
            </w:pPr>
            <w:r>
              <w:rPr>
                <w:sz w:val="24"/>
              </w:rPr>
              <w:t>102.41</w:t>
            </w:r>
          </w:p>
        </w:tc>
      </w:tr>
      <w:tr>
        <w:trPr>
          <w:trHeight w:val="283" w:hRule="atLeast"/>
        </w:trPr>
        <w:tc>
          <w:tcPr>
            <w:tcW w:w="2935" w:type="dxa"/>
          </w:tcPr>
          <w:p>
            <w:pPr>
              <w:pStyle w:val="TableParagraph"/>
              <w:rPr>
                <w:sz w:val="24"/>
              </w:rPr>
            </w:pPr>
            <w:r>
              <w:rPr>
                <w:sz w:val="24"/>
              </w:rPr>
              <w:t>£/$</w:t>
            </w:r>
          </w:p>
        </w:tc>
        <w:tc>
          <w:tcPr>
            <w:tcW w:w="2777" w:type="dxa"/>
          </w:tcPr>
          <w:p>
            <w:pPr>
              <w:pStyle w:val="TableParagraph"/>
              <w:ind w:left="388"/>
              <w:rPr>
                <w:sz w:val="24"/>
              </w:rPr>
            </w:pPr>
            <w:r>
              <w:rPr>
                <w:sz w:val="24"/>
              </w:rPr>
              <w:t>1.62</w:t>
            </w:r>
          </w:p>
        </w:tc>
        <w:tc>
          <w:tcPr>
            <w:tcW w:w="2659" w:type="dxa"/>
          </w:tcPr>
          <w:p>
            <w:pPr>
              <w:pStyle w:val="TableParagraph"/>
              <w:ind w:left="885"/>
              <w:rPr>
                <w:sz w:val="24"/>
              </w:rPr>
            </w:pPr>
            <w:r>
              <w:rPr>
                <w:sz w:val="24"/>
              </w:rPr>
              <w:t>1.68</w:t>
            </w:r>
          </w:p>
        </w:tc>
      </w:tr>
      <w:tr>
        <w:trPr>
          <w:trHeight w:val="274" w:hRule="atLeast"/>
        </w:trPr>
        <w:tc>
          <w:tcPr>
            <w:tcW w:w="2935" w:type="dxa"/>
          </w:tcPr>
          <w:p>
            <w:pPr>
              <w:pStyle w:val="TableParagraph"/>
              <w:spacing w:line="254" w:lineRule="exact"/>
              <w:rPr>
                <w:sz w:val="24"/>
              </w:rPr>
            </w:pPr>
            <w:r>
              <w:rPr>
                <w:sz w:val="24"/>
              </w:rPr>
              <w:t>£/DM</w:t>
            </w:r>
          </w:p>
        </w:tc>
        <w:tc>
          <w:tcPr>
            <w:tcW w:w="2777" w:type="dxa"/>
          </w:tcPr>
          <w:p>
            <w:pPr>
              <w:pStyle w:val="TableParagraph"/>
              <w:spacing w:line="254" w:lineRule="exact"/>
              <w:ind w:left="388"/>
              <w:rPr>
                <w:sz w:val="24"/>
              </w:rPr>
            </w:pPr>
            <w:r>
              <w:rPr>
                <w:sz w:val="24"/>
              </w:rPr>
              <w:t>2.85</w:t>
            </w:r>
          </w:p>
        </w:tc>
        <w:tc>
          <w:tcPr>
            <w:tcW w:w="2659" w:type="dxa"/>
          </w:tcPr>
          <w:p>
            <w:pPr>
              <w:pStyle w:val="TableParagraph"/>
              <w:spacing w:line="254" w:lineRule="exact"/>
              <w:ind w:left="885"/>
              <w:rPr>
                <w:sz w:val="24"/>
              </w:rPr>
            </w:pPr>
            <w:r>
              <w:rPr>
                <w:sz w:val="24"/>
              </w:rPr>
              <w:t>2.89</w:t>
            </w:r>
          </w:p>
        </w:tc>
      </w:tr>
    </w:tbl>
    <w:p>
      <w:pPr>
        <w:pStyle w:val="BodyText"/>
        <w:rPr>
          <w:sz w:val="20"/>
        </w:rPr>
      </w:pPr>
    </w:p>
    <w:p>
      <w:pPr>
        <w:pStyle w:val="BodyText"/>
        <w:rPr>
          <w:sz w:val="20"/>
        </w:rPr>
      </w:pPr>
    </w:p>
    <w:p>
      <w:pPr>
        <w:pStyle w:val="BodyText"/>
        <w:spacing w:before="1"/>
        <w:rPr>
          <w:sz w:val="27"/>
        </w:rPr>
      </w:pPr>
    </w:p>
    <w:p>
      <w:pPr>
        <w:pStyle w:val="BodyText"/>
        <w:spacing w:line="372" w:lineRule="auto" w:before="90"/>
        <w:ind w:left="560" w:right="309"/>
      </w:pPr>
      <w:r>
        <w:rPr/>
        <w:t>A44 As a general rule the correlations of the £/DM and $/DM rates was fairly strong. But there had been a break in this relationship during October: sterling had not depreciated against the Deutsche Mark at a time when the dollar had. It seemed possible that expectations of a rate rise in the USA before the year end had ebbed, more so than in the UK.</w:t>
      </w:r>
    </w:p>
    <w:p>
      <w:pPr>
        <w:spacing w:after="0" w:line="372" w:lineRule="auto"/>
        <w:sectPr>
          <w:pgSz w:w="11900" w:h="16840"/>
          <w:pgMar w:header="724" w:footer="0" w:top="1340" w:bottom="280" w:left="880" w:right="740"/>
        </w:sectPr>
      </w:pPr>
    </w:p>
    <w:p>
      <w:pPr>
        <w:pStyle w:val="BodyText"/>
        <w:spacing w:before="3"/>
        <w:rPr>
          <w:sz w:val="13"/>
        </w:rPr>
      </w:pPr>
    </w:p>
    <w:p>
      <w:pPr>
        <w:pStyle w:val="BodyText"/>
        <w:spacing w:line="372" w:lineRule="auto" w:before="90"/>
        <w:ind w:left="560" w:right="141"/>
      </w:pPr>
      <w:r>
        <w:rPr/>
        <w:t>A45 Even so, in domestic financial markets, short-term interest rate expectations had fallen slightly between 8 and 28 October at maturities out as far as September 1998. But there had been an increase in expected rates for the period from next September outwards.</w:t>
      </w:r>
    </w:p>
    <w:p>
      <w:pPr>
        <w:pStyle w:val="BodyText"/>
        <w:spacing w:before="11"/>
        <w:rPr>
          <w:sz w:val="36"/>
        </w:rPr>
      </w:pPr>
    </w:p>
    <w:p>
      <w:pPr>
        <w:pStyle w:val="BodyText"/>
        <w:spacing w:line="372" w:lineRule="auto"/>
        <w:ind w:left="560" w:right="201"/>
      </w:pPr>
      <w:r>
        <w:rPr/>
        <w:t>A46 Longer-term UK real yields had declined since mid-September in contrast to the US, where they had remained flat. This could have been due to several factors. Pension and investment fund managers had moved into the UK market; in the case of pension funds, because of new regulations causing them to favour holding more UK index-linked gilts. Low PSBR numbers may have caused the market to expect a reduced supply of index-linked gilts. The flight from volatile equities had been a modest support to index linked gilts as well as conventionals in late October. This was in contrast to the US where the “flight to quality” had been predominantly towards non-index-linked government stock. There may also have been a fall in UK inflation expectations.</w:t>
      </w:r>
    </w:p>
    <w:p>
      <w:pPr>
        <w:pStyle w:val="BodyText"/>
        <w:spacing w:before="9"/>
        <w:rPr>
          <w:sz w:val="36"/>
        </w:rPr>
      </w:pPr>
    </w:p>
    <w:p>
      <w:pPr>
        <w:pStyle w:val="BodyText"/>
        <w:spacing w:line="372" w:lineRule="auto"/>
        <w:ind w:left="560" w:right="210"/>
      </w:pPr>
      <w:r>
        <w:rPr/>
        <w:t>A47 There was some talk in the market of the possibility of an interest rate rise this month but no general expectation, in contrast with a month ago when a rise in November had been expected. </w:t>
      </w:r>
      <w:r>
        <w:rPr>
          <w:spacing w:val="-2"/>
        </w:rPr>
        <w:t>But </w:t>
      </w:r>
      <w:r>
        <w:rPr/>
        <w:t>the expectation of a possible rate rise in December remained. The market’s assessment that a rise was not likely in November seemed to rest on labour market data which were more modest than expected;</w:t>
      </w:r>
      <w:r>
        <w:rPr>
          <w:spacing w:val="-9"/>
        </w:rPr>
        <w:t> </w:t>
      </w:r>
      <w:r>
        <w:rPr/>
        <w:t>the</w:t>
      </w:r>
      <w:r>
        <w:rPr>
          <w:spacing w:val="-9"/>
        </w:rPr>
        <w:t> </w:t>
      </w:r>
      <w:r>
        <w:rPr/>
        <w:t>unanimity</w:t>
      </w:r>
      <w:r>
        <w:rPr>
          <w:spacing w:val="-9"/>
        </w:rPr>
        <w:t> </w:t>
      </w:r>
      <w:r>
        <w:rPr/>
        <w:t>of</w:t>
      </w:r>
      <w:r>
        <w:rPr>
          <w:spacing w:val="-9"/>
        </w:rPr>
        <w:t> </w:t>
      </w:r>
      <w:r>
        <w:rPr/>
        <w:t>the</w:t>
      </w:r>
      <w:r>
        <w:rPr>
          <w:spacing w:val="-8"/>
        </w:rPr>
        <w:t> </w:t>
      </w:r>
      <w:r>
        <w:rPr/>
        <w:t>September</w:t>
      </w:r>
      <w:r>
        <w:rPr>
          <w:spacing w:val="-9"/>
        </w:rPr>
        <w:t> </w:t>
      </w:r>
      <w:r>
        <w:rPr/>
        <w:t>MPC</w:t>
      </w:r>
      <w:r>
        <w:rPr>
          <w:spacing w:val="-9"/>
        </w:rPr>
        <w:t> </w:t>
      </w:r>
      <w:r>
        <w:rPr/>
        <w:t>decision</w:t>
      </w:r>
      <w:r>
        <w:rPr>
          <w:spacing w:val="-9"/>
        </w:rPr>
        <w:t> </w:t>
      </w:r>
      <w:r>
        <w:rPr/>
        <w:t>for</w:t>
      </w:r>
      <w:r>
        <w:rPr>
          <w:spacing w:val="-8"/>
        </w:rPr>
        <w:t> </w:t>
      </w:r>
      <w:r>
        <w:rPr/>
        <w:t>no</w:t>
      </w:r>
      <w:r>
        <w:rPr>
          <w:spacing w:val="-9"/>
        </w:rPr>
        <w:t> </w:t>
      </w:r>
      <w:r>
        <w:rPr/>
        <w:t>change;</w:t>
      </w:r>
      <w:r>
        <w:rPr>
          <w:spacing w:val="-9"/>
        </w:rPr>
        <w:t> </w:t>
      </w:r>
      <w:r>
        <w:rPr/>
        <w:t>stronger</w:t>
      </w:r>
      <w:r>
        <w:rPr>
          <w:spacing w:val="-9"/>
        </w:rPr>
        <w:t> </w:t>
      </w:r>
      <w:r>
        <w:rPr/>
        <w:t>sterling</w:t>
      </w:r>
      <w:r>
        <w:rPr>
          <w:spacing w:val="-9"/>
        </w:rPr>
        <w:t> </w:t>
      </w:r>
      <w:r>
        <w:rPr/>
        <w:t>after</w:t>
      </w:r>
      <w:r>
        <w:rPr>
          <w:spacing w:val="-8"/>
        </w:rPr>
        <w:t> </w:t>
      </w:r>
      <w:r>
        <w:rPr>
          <w:spacing w:val="-2"/>
        </w:rPr>
        <w:t>EMU </w:t>
      </w:r>
      <w:r>
        <w:rPr>
          <w:spacing w:val="-3"/>
        </w:rPr>
        <w:t>reversals; possible concern </w:t>
      </w:r>
      <w:r>
        <w:rPr/>
        <w:t>for </w:t>
      </w:r>
      <w:r>
        <w:rPr>
          <w:spacing w:val="-3"/>
        </w:rPr>
        <w:t>systemic stability after </w:t>
      </w:r>
      <w:r>
        <w:rPr/>
        <w:t>the </w:t>
      </w:r>
      <w:r>
        <w:rPr>
          <w:spacing w:val="-3"/>
        </w:rPr>
        <w:t>equity market volatility; </w:t>
      </w:r>
      <w:r>
        <w:rPr/>
        <w:t>and the </w:t>
      </w:r>
      <w:r>
        <w:rPr>
          <w:spacing w:val="-3"/>
        </w:rPr>
        <w:t>need to </w:t>
      </w:r>
      <w:r>
        <w:rPr/>
        <w:t>see data on retail sales which were unaffected by the death of Princess Diana. Some </w:t>
      </w:r>
      <w:r>
        <w:rPr>
          <w:spacing w:val="-2"/>
        </w:rPr>
        <w:t>market </w:t>
      </w:r>
      <w:r>
        <w:rPr/>
        <w:t>participants had commented on the positive gap between RPI and RPIX, which they thought might make further interest rate rises counter-productive by fuelling higher wage demands. Those </w:t>
      </w:r>
      <w:r>
        <w:rPr>
          <w:spacing w:val="-2"/>
        </w:rPr>
        <w:t>who </w:t>
      </w:r>
      <w:r>
        <w:rPr/>
        <w:t>expected an increase in the near term pointed to strong economic data; and the suggestion of a possible lower inflation target in the Chancellor’s recent EMU</w:t>
      </w:r>
      <w:r>
        <w:rPr>
          <w:spacing w:val="-17"/>
        </w:rPr>
        <w:t> </w:t>
      </w:r>
      <w:r>
        <w:rPr/>
        <w:t>speech.</w:t>
      </w:r>
    </w:p>
    <w:p>
      <w:pPr>
        <w:pStyle w:val="BodyText"/>
        <w:spacing w:before="7"/>
        <w:rPr>
          <w:sz w:val="36"/>
        </w:rPr>
      </w:pPr>
    </w:p>
    <w:p>
      <w:pPr>
        <w:pStyle w:val="BodyText"/>
        <w:spacing w:line="372" w:lineRule="auto"/>
        <w:ind w:left="560" w:right="109"/>
      </w:pPr>
      <w:r>
        <w:rPr/>
        <w:t>A48 Equity markets had fallen worldwide. The biggest falls had been in the perceived riskier developing markets like Brazil and in those markets that had risen most rapidly, eg Germany. There was little clear correlation between movements in G7 stock market indices and trade exposure to Asia.</w:t>
      </w:r>
    </w:p>
    <w:p>
      <w:pPr>
        <w:pStyle w:val="BodyText"/>
        <w:spacing w:before="11"/>
        <w:rPr>
          <w:sz w:val="36"/>
        </w:rPr>
      </w:pPr>
    </w:p>
    <w:p>
      <w:pPr>
        <w:pStyle w:val="BodyText"/>
        <w:spacing w:line="372" w:lineRule="auto"/>
        <w:ind w:left="560"/>
      </w:pPr>
      <w:r>
        <w:rPr/>
        <w:t>A49 One </w:t>
      </w:r>
      <w:r>
        <w:rPr>
          <w:spacing w:val="-3"/>
        </w:rPr>
        <w:t>reason </w:t>
      </w:r>
      <w:r>
        <w:rPr/>
        <w:t>for the </w:t>
      </w:r>
      <w:r>
        <w:rPr>
          <w:spacing w:val="-3"/>
        </w:rPr>
        <w:t>fall </w:t>
      </w:r>
      <w:r>
        <w:rPr/>
        <w:t>in UK and US </w:t>
      </w:r>
      <w:r>
        <w:rPr>
          <w:spacing w:val="-3"/>
        </w:rPr>
        <w:t>equity prices recently </w:t>
      </w:r>
      <w:r>
        <w:rPr/>
        <w:t>may </w:t>
      </w:r>
      <w:r>
        <w:rPr>
          <w:spacing w:val="-3"/>
        </w:rPr>
        <w:t>have been </w:t>
      </w:r>
      <w:r>
        <w:rPr/>
        <w:t>an </w:t>
      </w:r>
      <w:r>
        <w:rPr>
          <w:spacing w:val="-3"/>
        </w:rPr>
        <w:t>increase </w:t>
      </w:r>
      <w:r>
        <w:rPr/>
        <w:t>in </w:t>
      </w:r>
      <w:r>
        <w:rPr>
          <w:spacing w:val="-3"/>
        </w:rPr>
        <w:t>the </w:t>
      </w:r>
      <w:r>
        <w:rPr/>
        <w:t>equity risk premium. Equity prices reflect discounted future earnings. The rate at which expected profits</w:t>
      </w:r>
      <w:r>
        <w:rPr>
          <w:spacing w:val="-9"/>
        </w:rPr>
        <w:t> </w:t>
      </w:r>
      <w:r>
        <w:rPr/>
        <w:t>are</w:t>
      </w:r>
      <w:r>
        <w:rPr>
          <w:spacing w:val="-8"/>
        </w:rPr>
        <w:t> </w:t>
      </w:r>
      <w:r>
        <w:rPr/>
        <w:t>discounted</w:t>
      </w:r>
      <w:r>
        <w:rPr>
          <w:spacing w:val="-8"/>
        </w:rPr>
        <w:t> </w:t>
      </w:r>
      <w:r>
        <w:rPr/>
        <w:t>includes</w:t>
      </w:r>
      <w:r>
        <w:rPr>
          <w:spacing w:val="-9"/>
        </w:rPr>
        <w:t> </w:t>
      </w:r>
      <w:r>
        <w:rPr/>
        <w:t>a</w:t>
      </w:r>
      <w:r>
        <w:rPr>
          <w:spacing w:val="-8"/>
        </w:rPr>
        <w:t> </w:t>
      </w:r>
      <w:r>
        <w:rPr/>
        <w:t>risk</w:t>
      </w:r>
      <w:r>
        <w:rPr>
          <w:spacing w:val="-8"/>
        </w:rPr>
        <w:t> </w:t>
      </w:r>
      <w:r>
        <w:rPr/>
        <w:t>premium,</w:t>
      </w:r>
      <w:r>
        <w:rPr>
          <w:spacing w:val="-9"/>
        </w:rPr>
        <w:t> </w:t>
      </w:r>
      <w:r>
        <w:rPr/>
        <w:t>because</w:t>
      </w:r>
      <w:r>
        <w:rPr>
          <w:spacing w:val="-8"/>
        </w:rPr>
        <w:t> </w:t>
      </w:r>
      <w:r>
        <w:rPr/>
        <w:t>equities</w:t>
      </w:r>
      <w:r>
        <w:rPr>
          <w:spacing w:val="-8"/>
        </w:rPr>
        <w:t> </w:t>
      </w:r>
      <w:r>
        <w:rPr/>
        <w:t>are</w:t>
      </w:r>
      <w:r>
        <w:rPr>
          <w:spacing w:val="-9"/>
        </w:rPr>
        <w:t> </w:t>
      </w:r>
      <w:r>
        <w:rPr/>
        <w:t>riskier</w:t>
      </w:r>
      <w:r>
        <w:rPr>
          <w:spacing w:val="-8"/>
        </w:rPr>
        <w:t> </w:t>
      </w:r>
      <w:r>
        <w:rPr/>
        <w:t>than</w:t>
      </w:r>
      <w:r>
        <w:rPr>
          <w:spacing w:val="-8"/>
        </w:rPr>
        <w:t> </w:t>
      </w:r>
      <w:r>
        <w:rPr/>
        <w:t>other</w:t>
      </w:r>
      <w:r>
        <w:rPr>
          <w:spacing w:val="-9"/>
        </w:rPr>
        <w:t> </w:t>
      </w:r>
      <w:r>
        <w:rPr/>
        <w:t>assets</w:t>
      </w:r>
      <w:r>
        <w:rPr>
          <w:spacing w:val="-8"/>
        </w:rPr>
        <w:t> </w:t>
      </w:r>
      <w:r>
        <w:rPr/>
        <w:t>such</w:t>
      </w:r>
      <w:r>
        <w:rPr>
          <w:spacing w:val="-8"/>
        </w:rPr>
        <w:t> </w:t>
      </w:r>
      <w:r>
        <w:rPr/>
        <w:t>as government</w:t>
      </w:r>
      <w:r>
        <w:rPr>
          <w:spacing w:val="-6"/>
        </w:rPr>
        <w:t> </w:t>
      </w:r>
      <w:r>
        <w:rPr/>
        <w:t>bonds.</w:t>
      </w:r>
      <w:r>
        <w:rPr>
          <w:spacing w:val="51"/>
        </w:rPr>
        <w:t> </w:t>
      </w:r>
      <w:r>
        <w:rPr/>
        <w:t>A</w:t>
      </w:r>
      <w:r>
        <w:rPr>
          <w:spacing w:val="-6"/>
        </w:rPr>
        <w:t> </w:t>
      </w:r>
      <w:r>
        <w:rPr/>
        <w:t>rise</w:t>
      </w:r>
      <w:r>
        <w:rPr>
          <w:spacing w:val="-6"/>
        </w:rPr>
        <w:t> </w:t>
      </w:r>
      <w:r>
        <w:rPr/>
        <w:t>in</w:t>
      </w:r>
      <w:r>
        <w:rPr>
          <w:spacing w:val="-6"/>
        </w:rPr>
        <w:t> </w:t>
      </w:r>
      <w:r>
        <w:rPr/>
        <w:t>the</w:t>
      </w:r>
      <w:r>
        <w:rPr>
          <w:spacing w:val="-6"/>
        </w:rPr>
        <w:t> </w:t>
      </w:r>
      <w:r>
        <w:rPr/>
        <w:t>risk</w:t>
      </w:r>
      <w:r>
        <w:rPr>
          <w:spacing w:val="-6"/>
        </w:rPr>
        <w:t> </w:t>
      </w:r>
      <w:r>
        <w:rPr/>
        <w:t>premium</w:t>
      </w:r>
      <w:r>
        <w:rPr>
          <w:spacing w:val="-6"/>
        </w:rPr>
        <w:t> </w:t>
      </w:r>
      <w:r>
        <w:rPr/>
        <w:t>would</w:t>
      </w:r>
      <w:r>
        <w:rPr>
          <w:spacing w:val="-5"/>
        </w:rPr>
        <w:t> </w:t>
      </w:r>
      <w:r>
        <w:rPr/>
        <w:t>cause</w:t>
      </w:r>
      <w:r>
        <w:rPr>
          <w:spacing w:val="-6"/>
        </w:rPr>
        <w:t> </w:t>
      </w:r>
      <w:r>
        <w:rPr/>
        <w:t>a</w:t>
      </w:r>
      <w:r>
        <w:rPr>
          <w:spacing w:val="-6"/>
        </w:rPr>
        <w:t> </w:t>
      </w:r>
      <w:r>
        <w:rPr/>
        <w:t>rise</w:t>
      </w:r>
      <w:r>
        <w:rPr>
          <w:spacing w:val="-6"/>
        </w:rPr>
        <w:t> </w:t>
      </w:r>
      <w:r>
        <w:rPr/>
        <w:t>in</w:t>
      </w:r>
      <w:r>
        <w:rPr>
          <w:spacing w:val="-6"/>
        </w:rPr>
        <w:t> </w:t>
      </w:r>
      <w:r>
        <w:rPr/>
        <w:t>the</w:t>
      </w:r>
      <w:r>
        <w:rPr>
          <w:spacing w:val="-6"/>
        </w:rPr>
        <w:t> </w:t>
      </w:r>
      <w:r>
        <w:rPr/>
        <w:t>rate</w:t>
      </w:r>
      <w:r>
        <w:rPr>
          <w:spacing w:val="-6"/>
        </w:rPr>
        <w:t> </w:t>
      </w:r>
      <w:r>
        <w:rPr/>
        <w:t>of</w:t>
      </w:r>
      <w:r>
        <w:rPr>
          <w:spacing w:val="-5"/>
        </w:rPr>
        <w:t> </w:t>
      </w:r>
      <w:r>
        <w:rPr/>
        <w:t>discount</w:t>
      </w:r>
      <w:r>
        <w:rPr>
          <w:spacing w:val="-6"/>
        </w:rPr>
        <w:t> </w:t>
      </w:r>
      <w:r>
        <w:rPr/>
        <w:t>and</w:t>
      </w:r>
      <w:r>
        <w:rPr>
          <w:spacing w:val="-6"/>
        </w:rPr>
        <w:t> </w:t>
      </w:r>
      <w:r>
        <w:rPr/>
        <w:t>hence</w:t>
      </w:r>
      <w:r>
        <w:rPr>
          <w:spacing w:val="-6"/>
        </w:rPr>
        <w:t> </w:t>
      </w:r>
      <w:r>
        <w:rPr/>
        <w:t>a</w:t>
      </w:r>
    </w:p>
    <w:p>
      <w:pPr>
        <w:spacing w:after="0" w:line="372" w:lineRule="auto"/>
        <w:sectPr>
          <w:pgSz w:w="11900" w:h="16840"/>
          <w:pgMar w:header="724" w:footer="0" w:top="1340" w:bottom="280" w:left="880" w:right="740"/>
        </w:sectPr>
      </w:pPr>
    </w:p>
    <w:p>
      <w:pPr>
        <w:pStyle w:val="BodyText"/>
        <w:spacing w:before="3"/>
        <w:rPr>
          <w:sz w:val="13"/>
        </w:rPr>
      </w:pPr>
    </w:p>
    <w:p>
      <w:pPr>
        <w:pStyle w:val="BodyText"/>
        <w:spacing w:line="372" w:lineRule="auto" w:before="90"/>
        <w:ind w:left="560" w:right="234"/>
        <w:jc w:val="both"/>
      </w:pPr>
      <w:r>
        <w:rPr/>
        <w:t>fall</w:t>
      </w:r>
      <w:r>
        <w:rPr>
          <w:spacing w:val="-8"/>
        </w:rPr>
        <w:t> </w:t>
      </w:r>
      <w:r>
        <w:rPr/>
        <w:t>in</w:t>
      </w:r>
      <w:r>
        <w:rPr>
          <w:spacing w:val="-7"/>
        </w:rPr>
        <w:t> </w:t>
      </w:r>
      <w:r>
        <w:rPr/>
        <w:t>equity</w:t>
      </w:r>
      <w:r>
        <w:rPr>
          <w:spacing w:val="-7"/>
        </w:rPr>
        <w:t> </w:t>
      </w:r>
      <w:r>
        <w:rPr/>
        <w:t>prices.</w:t>
      </w:r>
      <w:r>
        <w:rPr>
          <w:spacing w:val="-7"/>
        </w:rPr>
        <w:t> </w:t>
      </w:r>
      <w:r>
        <w:rPr/>
        <w:t>Staff</w:t>
      </w:r>
      <w:r>
        <w:rPr>
          <w:spacing w:val="-8"/>
        </w:rPr>
        <w:t> </w:t>
      </w:r>
      <w:r>
        <w:rPr/>
        <w:t>research</w:t>
      </w:r>
      <w:r>
        <w:rPr>
          <w:spacing w:val="-7"/>
        </w:rPr>
        <w:t> </w:t>
      </w:r>
      <w:r>
        <w:rPr/>
        <w:t>suggested</w:t>
      </w:r>
      <w:r>
        <w:rPr>
          <w:spacing w:val="-7"/>
        </w:rPr>
        <w:t> </w:t>
      </w:r>
      <w:r>
        <w:rPr/>
        <w:t>that</w:t>
      </w:r>
      <w:r>
        <w:rPr>
          <w:spacing w:val="-7"/>
        </w:rPr>
        <w:t> </w:t>
      </w:r>
      <w:r>
        <w:rPr/>
        <w:t>risk</w:t>
      </w:r>
      <w:r>
        <w:rPr>
          <w:spacing w:val="-8"/>
        </w:rPr>
        <w:t> </w:t>
      </w:r>
      <w:r>
        <w:rPr/>
        <w:t>premia</w:t>
      </w:r>
      <w:r>
        <w:rPr>
          <w:spacing w:val="-7"/>
        </w:rPr>
        <w:t> </w:t>
      </w:r>
      <w:r>
        <w:rPr/>
        <w:t>in</w:t>
      </w:r>
      <w:r>
        <w:rPr>
          <w:spacing w:val="-7"/>
        </w:rPr>
        <w:t> </w:t>
      </w:r>
      <w:r>
        <w:rPr/>
        <w:t>the</w:t>
      </w:r>
      <w:r>
        <w:rPr>
          <w:spacing w:val="-7"/>
        </w:rPr>
        <w:t> </w:t>
      </w:r>
      <w:r>
        <w:rPr/>
        <w:t>UK</w:t>
      </w:r>
      <w:r>
        <w:rPr>
          <w:spacing w:val="-8"/>
        </w:rPr>
        <w:t> </w:t>
      </w:r>
      <w:r>
        <w:rPr/>
        <w:t>and</w:t>
      </w:r>
      <w:r>
        <w:rPr>
          <w:spacing w:val="-7"/>
        </w:rPr>
        <w:t> </w:t>
      </w:r>
      <w:r>
        <w:rPr/>
        <w:t>US</w:t>
      </w:r>
      <w:r>
        <w:rPr>
          <w:spacing w:val="-7"/>
        </w:rPr>
        <w:t> </w:t>
      </w:r>
      <w:r>
        <w:rPr/>
        <w:t>were</w:t>
      </w:r>
      <w:r>
        <w:rPr>
          <w:spacing w:val="-7"/>
        </w:rPr>
        <w:t> </w:t>
      </w:r>
      <w:r>
        <w:rPr/>
        <w:t>not</w:t>
      </w:r>
      <w:r>
        <w:rPr>
          <w:spacing w:val="-8"/>
        </w:rPr>
        <w:t> </w:t>
      </w:r>
      <w:r>
        <w:rPr/>
        <w:t>unusually low</w:t>
      </w:r>
      <w:r>
        <w:rPr>
          <w:spacing w:val="-7"/>
        </w:rPr>
        <w:t> </w:t>
      </w:r>
      <w:r>
        <w:rPr/>
        <w:t>prior</w:t>
      </w:r>
      <w:r>
        <w:rPr>
          <w:spacing w:val="-7"/>
        </w:rPr>
        <w:t> </w:t>
      </w:r>
      <w:r>
        <w:rPr/>
        <w:t>to</w:t>
      </w:r>
      <w:r>
        <w:rPr>
          <w:spacing w:val="-7"/>
        </w:rPr>
        <w:t> </w:t>
      </w:r>
      <w:r>
        <w:rPr/>
        <w:t>the</w:t>
      </w:r>
      <w:r>
        <w:rPr>
          <w:spacing w:val="-7"/>
        </w:rPr>
        <w:t> </w:t>
      </w:r>
      <w:r>
        <w:rPr/>
        <w:t>downturn.</w:t>
      </w:r>
      <w:r>
        <w:rPr>
          <w:spacing w:val="47"/>
        </w:rPr>
        <w:t> </w:t>
      </w:r>
      <w:r>
        <w:rPr/>
        <w:t>Price-earnings</w:t>
      </w:r>
      <w:r>
        <w:rPr>
          <w:spacing w:val="-7"/>
        </w:rPr>
        <w:t> </w:t>
      </w:r>
      <w:r>
        <w:rPr/>
        <w:t>ratios</w:t>
      </w:r>
      <w:r>
        <w:rPr>
          <w:spacing w:val="-7"/>
        </w:rPr>
        <w:t> </w:t>
      </w:r>
      <w:r>
        <w:rPr/>
        <w:t>had</w:t>
      </w:r>
      <w:r>
        <w:rPr>
          <w:spacing w:val="-7"/>
        </w:rPr>
        <w:t> </w:t>
      </w:r>
      <w:r>
        <w:rPr/>
        <w:t>also</w:t>
      </w:r>
      <w:r>
        <w:rPr>
          <w:spacing w:val="-7"/>
        </w:rPr>
        <w:t> </w:t>
      </w:r>
      <w:r>
        <w:rPr/>
        <w:t>been</w:t>
      </w:r>
      <w:r>
        <w:rPr>
          <w:spacing w:val="-6"/>
        </w:rPr>
        <w:t> </w:t>
      </w:r>
      <w:r>
        <w:rPr/>
        <w:t>high</w:t>
      </w:r>
      <w:r>
        <w:rPr>
          <w:spacing w:val="-7"/>
        </w:rPr>
        <w:t> </w:t>
      </w:r>
      <w:r>
        <w:rPr/>
        <w:t>by</w:t>
      </w:r>
      <w:r>
        <w:rPr>
          <w:spacing w:val="-7"/>
        </w:rPr>
        <w:t> </w:t>
      </w:r>
      <w:r>
        <w:rPr/>
        <w:t>historic</w:t>
      </w:r>
      <w:r>
        <w:rPr>
          <w:spacing w:val="-7"/>
        </w:rPr>
        <w:t> </w:t>
      </w:r>
      <w:r>
        <w:rPr/>
        <w:t>standards</w:t>
      </w:r>
      <w:r>
        <w:rPr>
          <w:spacing w:val="-7"/>
        </w:rPr>
        <w:t> </w:t>
      </w:r>
      <w:r>
        <w:rPr/>
        <w:t>before</w:t>
      </w:r>
      <w:r>
        <w:rPr>
          <w:spacing w:val="-7"/>
        </w:rPr>
        <w:t> </w:t>
      </w:r>
      <w:r>
        <w:rPr>
          <w:spacing w:val="-2"/>
        </w:rPr>
        <w:t>the </w:t>
      </w:r>
      <w:r>
        <w:rPr>
          <w:spacing w:val="-3"/>
        </w:rPr>
        <w:t>equity price</w:t>
      </w:r>
      <w:r>
        <w:rPr>
          <w:spacing w:val="1"/>
        </w:rPr>
        <w:t> </w:t>
      </w:r>
      <w:r>
        <w:rPr>
          <w:spacing w:val="-3"/>
        </w:rPr>
        <w:t>falls.</w:t>
      </w:r>
    </w:p>
    <w:p>
      <w:pPr>
        <w:pStyle w:val="BodyText"/>
        <w:spacing w:before="11"/>
        <w:rPr>
          <w:sz w:val="36"/>
        </w:rPr>
      </w:pPr>
    </w:p>
    <w:p>
      <w:pPr>
        <w:pStyle w:val="BodyText"/>
        <w:spacing w:line="372" w:lineRule="auto"/>
        <w:ind w:left="560"/>
      </w:pPr>
      <w:r>
        <w:rPr/>
        <w:t>A50 Inspection of implied volatilities derived from options prices suggested that the </w:t>
      </w:r>
      <w:r>
        <w:rPr>
          <w:spacing w:val="-2"/>
        </w:rPr>
        <w:t>market </w:t>
      </w:r>
      <w:r>
        <w:rPr/>
        <w:t>uncertainty about future equity prices was most evident in the short term; it declined over the next twelve months. Nevertheless, there appeared to be a much more pronounced negative skew in </w:t>
      </w:r>
      <w:r>
        <w:rPr>
          <w:spacing w:val="-2"/>
        </w:rPr>
        <w:t>the </w:t>
      </w:r>
      <w:r>
        <w:rPr/>
        <w:t>implied</w:t>
      </w:r>
      <w:r>
        <w:rPr>
          <w:spacing w:val="-11"/>
        </w:rPr>
        <w:t> </w:t>
      </w:r>
      <w:r>
        <w:rPr/>
        <w:t>probability</w:t>
      </w:r>
      <w:r>
        <w:rPr>
          <w:spacing w:val="-11"/>
        </w:rPr>
        <w:t> </w:t>
      </w:r>
      <w:r>
        <w:rPr/>
        <w:t>distributions</w:t>
      </w:r>
      <w:r>
        <w:rPr>
          <w:spacing w:val="-11"/>
        </w:rPr>
        <w:t> </w:t>
      </w:r>
      <w:r>
        <w:rPr/>
        <w:t>than</w:t>
      </w:r>
      <w:r>
        <w:rPr>
          <w:spacing w:val="-11"/>
        </w:rPr>
        <w:t> </w:t>
      </w:r>
      <w:r>
        <w:rPr/>
        <w:t>there</w:t>
      </w:r>
      <w:r>
        <w:rPr>
          <w:spacing w:val="-11"/>
        </w:rPr>
        <w:t> </w:t>
      </w:r>
      <w:r>
        <w:rPr/>
        <w:t>had</w:t>
      </w:r>
      <w:r>
        <w:rPr>
          <w:spacing w:val="-11"/>
        </w:rPr>
        <w:t> </w:t>
      </w:r>
      <w:r>
        <w:rPr/>
        <w:t>been</w:t>
      </w:r>
      <w:r>
        <w:rPr>
          <w:spacing w:val="-11"/>
        </w:rPr>
        <w:t> </w:t>
      </w:r>
      <w:r>
        <w:rPr/>
        <w:t>before</w:t>
      </w:r>
      <w:r>
        <w:rPr>
          <w:spacing w:val="-11"/>
        </w:rPr>
        <w:t> </w:t>
      </w:r>
      <w:r>
        <w:rPr/>
        <w:t>the</w:t>
      </w:r>
      <w:r>
        <w:rPr>
          <w:spacing w:val="-11"/>
        </w:rPr>
        <w:t> </w:t>
      </w:r>
      <w:r>
        <w:rPr/>
        <w:t>recent</w:t>
      </w:r>
      <w:r>
        <w:rPr>
          <w:spacing w:val="-10"/>
        </w:rPr>
        <w:t> </w:t>
      </w:r>
      <w:r>
        <w:rPr/>
        <w:t>turbulence,</w:t>
      </w:r>
      <w:r>
        <w:rPr>
          <w:spacing w:val="-11"/>
        </w:rPr>
        <w:t> </w:t>
      </w:r>
      <w:r>
        <w:rPr/>
        <w:t>suggesting</w:t>
      </w:r>
      <w:r>
        <w:rPr>
          <w:spacing w:val="-11"/>
        </w:rPr>
        <w:t> </w:t>
      </w:r>
      <w:r>
        <w:rPr/>
        <w:t>that</w:t>
      </w:r>
      <w:r>
        <w:rPr>
          <w:spacing w:val="-11"/>
        </w:rPr>
        <w:t> </w:t>
      </w:r>
      <w:r>
        <w:rPr>
          <w:spacing w:val="-2"/>
        </w:rPr>
        <w:t>the </w:t>
      </w:r>
      <w:r>
        <w:rPr>
          <w:spacing w:val="-3"/>
        </w:rPr>
        <w:t>markets believed </w:t>
      </w:r>
      <w:r>
        <w:rPr/>
        <w:t>a </w:t>
      </w:r>
      <w:r>
        <w:rPr>
          <w:spacing w:val="-3"/>
        </w:rPr>
        <w:t>large fall over </w:t>
      </w:r>
      <w:r>
        <w:rPr/>
        <w:t>the </w:t>
      </w:r>
      <w:r>
        <w:rPr>
          <w:spacing w:val="-3"/>
        </w:rPr>
        <w:t>coming months </w:t>
      </w:r>
      <w:r>
        <w:rPr/>
        <w:t>was </w:t>
      </w:r>
      <w:r>
        <w:rPr>
          <w:spacing w:val="-3"/>
        </w:rPr>
        <w:t>more</w:t>
      </w:r>
      <w:r>
        <w:rPr>
          <w:spacing w:val="12"/>
        </w:rPr>
        <w:t> </w:t>
      </w:r>
      <w:r>
        <w:rPr>
          <w:spacing w:val="-3"/>
        </w:rPr>
        <w:t>likely.</w:t>
      </w:r>
    </w:p>
    <w:sectPr>
      <w:pgSz w:w="11900" w:h="16840"/>
      <w:pgMar w:header="724" w:footer="0" w:top="1340" w:bottom="280" w:left="88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5.320007pt;margin-top:42.146641pt;width:12pt;height:15.3pt;mso-position-horizontal-relative:page;mso-position-vertical-relative:page;z-index:-252091392"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3.640015pt;margin-top:35.186642pt;width:18pt;height:15.3pt;mso-position-horizontal-relative:page;mso-position-vertical-relative:page;z-index:-2520903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52" w:hanging="850"/>
        <w:jc w:val="left"/>
      </w:pPr>
      <w:rPr>
        <w:rFonts w:hint="default" w:ascii="Times New Roman" w:hAnsi="Times New Roman" w:eastAsia="Times New Roman" w:cs="Times New Roman"/>
        <w:spacing w:val="-2"/>
        <w:w w:val="100"/>
        <w:sz w:val="24"/>
        <w:szCs w:val="24"/>
      </w:rPr>
    </w:lvl>
    <w:lvl w:ilvl="1">
      <w:start w:val="1"/>
      <w:numFmt w:val="upperRoman"/>
      <w:lvlText w:val="%2"/>
      <w:lvlJc w:val="left"/>
      <w:pPr>
        <w:ind w:left="763" w:hanging="204"/>
        <w:jc w:val="left"/>
      </w:pPr>
      <w:rPr>
        <w:rFonts w:hint="default" w:ascii="Times New Roman" w:hAnsi="Times New Roman" w:eastAsia="Times New Roman" w:cs="Times New Roman"/>
        <w:spacing w:val="-2"/>
        <w:w w:val="100"/>
        <w:sz w:val="24"/>
        <w:szCs w:val="24"/>
        <w:u w:val="single" w:color="000000"/>
      </w:rPr>
    </w:lvl>
    <w:lvl w:ilvl="2">
      <w:start w:val="0"/>
      <w:numFmt w:val="bullet"/>
      <w:lvlText w:val="•"/>
      <w:lvlJc w:val="left"/>
      <w:pPr>
        <w:ind w:left="1817" w:hanging="204"/>
      </w:pPr>
      <w:rPr>
        <w:rFonts w:hint="default"/>
      </w:rPr>
    </w:lvl>
    <w:lvl w:ilvl="3">
      <w:start w:val="0"/>
      <w:numFmt w:val="bullet"/>
      <w:lvlText w:val="•"/>
      <w:lvlJc w:val="left"/>
      <w:pPr>
        <w:ind w:left="2875" w:hanging="204"/>
      </w:pPr>
      <w:rPr>
        <w:rFonts w:hint="default"/>
      </w:rPr>
    </w:lvl>
    <w:lvl w:ilvl="4">
      <w:start w:val="0"/>
      <w:numFmt w:val="bullet"/>
      <w:lvlText w:val="•"/>
      <w:lvlJc w:val="left"/>
      <w:pPr>
        <w:ind w:left="3933" w:hanging="204"/>
      </w:pPr>
      <w:rPr>
        <w:rFonts w:hint="default"/>
      </w:rPr>
    </w:lvl>
    <w:lvl w:ilvl="5">
      <w:start w:val="0"/>
      <w:numFmt w:val="bullet"/>
      <w:lvlText w:val="•"/>
      <w:lvlJc w:val="left"/>
      <w:pPr>
        <w:ind w:left="4991" w:hanging="204"/>
      </w:pPr>
      <w:rPr>
        <w:rFonts w:hint="default"/>
      </w:rPr>
    </w:lvl>
    <w:lvl w:ilvl="6">
      <w:start w:val="0"/>
      <w:numFmt w:val="bullet"/>
      <w:lvlText w:val="•"/>
      <w:lvlJc w:val="left"/>
      <w:pPr>
        <w:ind w:left="6048" w:hanging="204"/>
      </w:pPr>
      <w:rPr>
        <w:rFonts w:hint="default"/>
      </w:rPr>
    </w:lvl>
    <w:lvl w:ilvl="7">
      <w:start w:val="0"/>
      <w:numFmt w:val="bullet"/>
      <w:lvlText w:val="•"/>
      <w:lvlJc w:val="left"/>
      <w:pPr>
        <w:ind w:left="7106" w:hanging="204"/>
      </w:pPr>
      <w:rPr>
        <w:rFonts w:hint="default"/>
      </w:rPr>
    </w:lvl>
    <w:lvl w:ilvl="8">
      <w:start w:val="0"/>
      <w:numFmt w:val="bullet"/>
      <w:lvlText w:val="•"/>
      <w:lvlJc w:val="left"/>
      <w:pPr>
        <w:ind w:left="8164" w:hanging="20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5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252"/>
    </w:pPr>
    <w:rPr>
      <w:rFonts w:ascii="Times New Roman" w:hAnsi="Times New Roman" w:eastAsia="Times New Roman" w:cs="Times New Roman"/>
    </w:rPr>
  </w:style>
  <w:style w:styleId="TableParagraph" w:type="paragraph">
    <w:name w:val="Table Paragraph"/>
    <w:basedOn w:val="Normal"/>
    <w:uiPriority w:val="1"/>
    <w:qFormat/>
    <w:pPr>
      <w:spacing w:line="263" w:lineRule="exact"/>
      <w:ind w:left="5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Barker</dc:creator>
  <dc:title>58909.PDF</dc:title>
  <dcterms:created xsi:type="dcterms:W3CDTF">2020-06-02T20:47:17Z</dcterms:created>
  <dcterms:modified xsi:type="dcterms:W3CDTF">2020-06-02T20:47:17Z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2020-06-02T00:00:00Z</vt:filetime>
  </property>
  <property fmtid="{D5CDD505-2E9C-101B-9397-08002B2CF9AE}" pid="3" name="Creator">
    <vt:lpwstr>Microsoft Word </vt:lpwstr>
  </property>
  <property fmtid="{D5CDD505-2E9C-101B-9397-08002B2CF9AE}" pid="4" name="LastSaved">
    <vt:filetime>2020-06-02T00:00:00Z</vt:filetime>
  </property>
</Properties>
</file>