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20 September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494" w:right="2505" w:firstLine="0"/>
        <w:jc w:val="center"/>
        <w:rPr>
          <w:rFonts w:ascii="Palatino Linotype"/>
          <w:b/>
          <w:sz w:val="48"/>
        </w:rPr>
      </w:pPr>
      <w:r>
        <w:rPr>
          <w:rFonts w:ascii="Palatino Linotype"/>
          <w:b/>
          <w:color w:val="231F20"/>
          <w:sz w:val="48"/>
        </w:rPr>
        <w:t>6 and 7 September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6 and 7 September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mpc0009.pdf).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4 and 5 October will be published</w:t>
      </w:r>
      <w:r>
        <w:rPr>
          <w:rFonts w:ascii="Palatino Linotype" w:hAnsi="Palatino Linotype"/>
          <w:color w:val="231F20"/>
          <w:spacing w:val="62"/>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18 October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BodyText"/>
        <w:spacing w:before="11"/>
        <w:rPr>
          <w:rFonts w:ascii="Palatino Linotype"/>
          <w:sz w:val="16"/>
        </w:rPr>
      </w:pPr>
    </w:p>
    <w:p>
      <w:pPr>
        <w:pStyle w:val="Heading1"/>
        <w:spacing w:line="249" w:lineRule="auto"/>
        <w:ind w:right="462"/>
      </w:pPr>
      <w:r>
        <w:rPr/>
        <w:t>MINUTES OF THE MONETARY POLICY COMMITTEE MEETING HELD ON 6-7 SEPTEMBER 2000</w:t>
      </w:r>
    </w:p>
    <w:p>
      <w:pPr>
        <w:pStyle w:val="BodyText"/>
        <w:rPr>
          <w:b/>
          <w:sz w:val="28"/>
        </w:rPr>
      </w:pPr>
    </w:p>
    <w:p>
      <w:pPr>
        <w:pStyle w:val="ListParagraph"/>
        <w:numPr>
          <w:ilvl w:val="0"/>
          <w:numId w:val="1"/>
        </w:numPr>
        <w:tabs>
          <w:tab w:pos="524" w:val="left" w:leader="none"/>
          <w:tab w:pos="525" w:val="left" w:leader="none"/>
        </w:tabs>
        <w:spacing w:line="352" w:lineRule="auto" w:before="230" w:after="0"/>
        <w:ind w:left="105" w:right="283" w:firstLine="0"/>
        <w:jc w:val="left"/>
        <w:rPr>
          <w:sz w:val="24"/>
        </w:rPr>
      </w:pPr>
      <w:r>
        <w:rPr>
          <w:sz w:val="24"/>
        </w:rPr>
        <w:t>Before turning to its immediate policy decision, the Committee discussed demand and output; the world economy; money, credit and asset prices; the labour market; and prices and</w:t>
      </w:r>
      <w:r>
        <w:rPr>
          <w:spacing w:val="-16"/>
          <w:sz w:val="24"/>
        </w:rPr>
        <w:t> </w:t>
      </w:r>
      <w:r>
        <w:rPr>
          <w:sz w:val="24"/>
        </w:rPr>
        <w:t>costs.</w:t>
      </w:r>
    </w:p>
    <w:p>
      <w:pPr>
        <w:pStyle w:val="BodyText"/>
        <w:spacing w:before="4"/>
        <w:rPr>
          <w:sz w:val="36"/>
        </w:rPr>
      </w:pPr>
    </w:p>
    <w:p>
      <w:pPr>
        <w:pStyle w:val="Heading2"/>
        <w:spacing w:before="1"/>
        <w:ind w:left="105" w:firstLine="0"/>
      </w:pPr>
      <w:r>
        <w:rPr/>
        <w:t>Demand and output</w:t>
      </w:r>
    </w:p>
    <w:p>
      <w:pPr>
        <w:pStyle w:val="BodyText"/>
        <w:rPr>
          <w:b/>
          <w:sz w:val="26"/>
        </w:rPr>
      </w:pPr>
    </w:p>
    <w:p>
      <w:pPr>
        <w:pStyle w:val="BodyText"/>
        <w:rPr>
          <w:b/>
          <w:sz w:val="23"/>
        </w:rPr>
      </w:pPr>
    </w:p>
    <w:p>
      <w:pPr>
        <w:pStyle w:val="ListParagraph"/>
        <w:numPr>
          <w:ilvl w:val="0"/>
          <w:numId w:val="1"/>
        </w:numPr>
        <w:tabs>
          <w:tab w:pos="524" w:val="left" w:leader="none"/>
          <w:tab w:pos="525" w:val="left" w:leader="none"/>
        </w:tabs>
        <w:spacing w:line="360" w:lineRule="auto" w:before="0" w:after="0"/>
        <w:ind w:left="105" w:right="132" w:firstLine="0"/>
        <w:jc w:val="left"/>
        <w:rPr>
          <w:sz w:val="24"/>
        </w:rPr>
      </w:pPr>
      <w:r>
        <w:rPr>
          <w:sz w:val="24"/>
        </w:rPr>
        <w:t>According to the latest estimate, GDP in Q2 had risen by 0.9% on the quarter, after increasing by 0.5% in Q1. Much of the pick-up reflected rapid growth in the primary sectors of the economy, such as mining and utilities output, following a fall in Q1; if these were excluded, growth in Q2 was at 0.7%, close to the average quarterly growth rate for GDP over the past eighteen months. </w:t>
      </w:r>
      <w:r>
        <w:rPr>
          <w:spacing w:val="-2"/>
          <w:sz w:val="24"/>
        </w:rPr>
        <w:t>The </w:t>
      </w:r>
      <w:r>
        <w:rPr>
          <w:sz w:val="24"/>
        </w:rPr>
        <w:t>National Institute of Economic and Social Research projected GDP growth of 0.8% in the three months to</w:t>
      </w:r>
      <w:r>
        <w:rPr>
          <w:spacing w:val="9"/>
          <w:sz w:val="24"/>
        </w:rPr>
        <w:t> </w:t>
      </w:r>
      <w:r>
        <w:rPr>
          <w:sz w:val="24"/>
        </w:rPr>
        <w:t>August.</w:t>
      </w:r>
    </w:p>
    <w:p>
      <w:pPr>
        <w:pStyle w:val="BodyText"/>
        <w:spacing w:before="9"/>
        <w:rPr>
          <w:sz w:val="35"/>
        </w:rPr>
      </w:pPr>
    </w:p>
    <w:p>
      <w:pPr>
        <w:pStyle w:val="ListParagraph"/>
        <w:numPr>
          <w:ilvl w:val="0"/>
          <w:numId w:val="1"/>
        </w:numPr>
        <w:tabs>
          <w:tab w:pos="524" w:val="left" w:leader="none"/>
          <w:tab w:pos="525" w:val="left" w:leader="none"/>
        </w:tabs>
        <w:spacing w:line="357" w:lineRule="auto" w:before="0" w:after="0"/>
        <w:ind w:left="105" w:right="132" w:firstLine="0"/>
        <w:jc w:val="left"/>
        <w:rPr>
          <w:sz w:val="24"/>
        </w:rPr>
      </w:pPr>
      <w:r>
        <w:rPr>
          <w:sz w:val="24"/>
        </w:rPr>
        <w:t>The central projection in the August </w:t>
      </w:r>
      <w:r>
        <w:rPr>
          <w:i/>
          <w:sz w:val="24"/>
        </w:rPr>
        <w:t>Inflation Report </w:t>
      </w:r>
      <w:r>
        <w:rPr>
          <w:sz w:val="24"/>
        </w:rPr>
        <w:t>was for consumption growth to moderate from its recent rapid pace. In Q2 household consumption had grown by 0.8%, after an increase of 0.6% the previous quarter; this compared with an average quarterly growth rate of 1.2% during 1999. The question was whether consumption growth would continue to moderate over the forecast period to a little below its long-run average rate, in line with the </w:t>
      </w:r>
      <w:r>
        <w:rPr>
          <w:i/>
          <w:sz w:val="24"/>
        </w:rPr>
        <w:t>Inflation Report</w:t>
      </w:r>
      <w:r>
        <w:rPr>
          <w:i/>
          <w:spacing w:val="30"/>
          <w:sz w:val="24"/>
        </w:rPr>
        <w:t> </w:t>
      </w:r>
      <w:r>
        <w:rPr>
          <w:spacing w:val="-2"/>
          <w:sz w:val="24"/>
        </w:rPr>
        <w:t>projections.</w:t>
      </w:r>
    </w:p>
    <w:p>
      <w:pPr>
        <w:pStyle w:val="BodyText"/>
        <w:spacing w:before="5"/>
        <w:rPr>
          <w:sz w:val="36"/>
        </w:rPr>
      </w:pPr>
    </w:p>
    <w:p>
      <w:pPr>
        <w:pStyle w:val="ListParagraph"/>
        <w:numPr>
          <w:ilvl w:val="0"/>
          <w:numId w:val="1"/>
        </w:numPr>
        <w:tabs>
          <w:tab w:pos="524" w:val="left" w:leader="none"/>
          <w:tab w:pos="525" w:val="left" w:leader="none"/>
        </w:tabs>
        <w:spacing w:line="360" w:lineRule="auto" w:before="0" w:after="0"/>
        <w:ind w:left="105" w:right="208" w:firstLine="0"/>
        <w:jc w:val="left"/>
        <w:rPr>
          <w:sz w:val="24"/>
        </w:rPr>
      </w:pPr>
      <w:r>
        <w:rPr>
          <w:sz w:val="24"/>
        </w:rPr>
        <w:t>Retail sales had been flat in volume terms in July, which was consistent with some slowdown in consumption, although sales of clothing and footwear might have been affected by the weather. On a three-month basis volumes were around 4% higher than a year earlier, with growth rates having fallen steadily from the peak seen around the turn of the millennium. The CBI </w:t>
      </w:r>
      <w:r>
        <w:rPr>
          <w:spacing w:val="-2"/>
          <w:sz w:val="24"/>
        </w:rPr>
        <w:t>Distributive </w:t>
      </w:r>
      <w:r>
        <w:rPr>
          <w:sz w:val="24"/>
        </w:rPr>
        <w:t>Trades Survey suggested a slowing in annual retail sales growth in August, and the three-month average balance had now fallen for the past four months, with a broadly similar picture shown by the British Retail Consortium retail sales monitor. But the Distributive Trades survey also reported a </w:t>
      </w:r>
      <w:r>
        <w:rPr>
          <w:spacing w:val="-3"/>
          <w:sz w:val="24"/>
        </w:rPr>
        <w:t>less negative balance </w:t>
      </w:r>
      <w:r>
        <w:rPr>
          <w:sz w:val="24"/>
        </w:rPr>
        <w:t>for </w:t>
      </w:r>
      <w:r>
        <w:rPr>
          <w:spacing w:val="-3"/>
          <w:sz w:val="24"/>
        </w:rPr>
        <w:t>motor traders’ sales volumes (although </w:t>
      </w:r>
      <w:r>
        <w:rPr>
          <w:sz w:val="24"/>
        </w:rPr>
        <w:t>the </w:t>
      </w:r>
      <w:r>
        <w:rPr>
          <w:spacing w:val="-3"/>
          <w:sz w:val="24"/>
        </w:rPr>
        <w:t>improvement here might  </w:t>
      </w:r>
      <w:r>
        <w:rPr>
          <w:sz w:val="24"/>
        </w:rPr>
        <w:t>prove temporary) and wholesalers’ volumes were stronger than</w:t>
      </w:r>
      <w:r>
        <w:rPr>
          <w:spacing w:val="22"/>
          <w:sz w:val="24"/>
        </w:rPr>
        <w:t> </w:t>
      </w:r>
      <w:r>
        <w:rPr>
          <w:sz w:val="24"/>
        </w:rPr>
        <w:t>expected.</w:t>
      </w:r>
    </w:p>
    <w:p>
      <w:pPr>
        <w:spacing w:after="0" w:line="360" w:lineRule="auto"/>
        <w:jc w:val="left"/>
        <w:rPr>
          <w:sz w:val="24"/>
        </w:rPr>
        <w:sectPr>
          <w:pgSz w:w="12240" w:h="15840"/>
          <w:pgMar w:top="1500" w:bottom="280" w:left="1200" w:right="1200"/>
        </w:sectPr>
      </w:pPr>
    </w:p>
    <w:p>
      <w:pPr>
        <w:pStyle w:val="BodyText"/>
        <w:spacing w:before="6"/>
        <w:rPr>
          <w:sz w:val="23"/>
        </w:rPr>
      </w:pPr>
    </w:p>
    <w:p>
      <w:pPr>
        <w:pStyle w:val="ListParagraph"/>
        <w:numPr>
          <w:ilvl w:val="0"/>
          <w:numId w:val="1"/>
        </w:numPr>
        <w:tabs>
          <w:tab w:pos="524" w:val="left" w:leader="none"/>
          <w:tab w:pos="525" w:val="left" w:leader="none"/>
        </w:tabs>
        <w:spacing w:line="360" w:lineRule="auto" w:before="90" w:after="0"/>
        <w:ind w:left="105" w:right="118" w:firstLine="0"/>
        <w:jc w:val="left"/>
        <w:rPr>
          <w:sz w:val="24"/>
        </w:rPr>
      </w:pPr>
      <w:r>
        <w:rPr>
          <w:sz w:val="24"/>
        </w:rPr>
        <w:t>Most indicators of housing market activity pointed to a moderation of growth in that sector in </w:t>
      </w:r>
      <w:r>
        <w:rPr>
          <w:spacing w:val="-3"/>
          <w:sz w:val="24"/>
        </w:rPr>
        <w:t>recent months. </w:t>
      </w:r>
      <w:r>
        <w:rPr>
          <w:sz w:val="24"/>
        </w:rPr>
        <w:t>The </w:t>
      </w:r>
      <w:r>
        <w:rPr>
          <w:spacing w:val="-3"/>
          <w:sz w:val="24"/>
        </w:rPr>
        <w:t>number </w:t>
      </w:r>
      <w:r>
        <w:rPr>
          <w:sz w:val="24"/>
        </w:rPr>
        <w:t>of </w:t>
      </w:r>
      <w:r>
        <w:rPr>
          <w:spacing w:val="-3"/>
          <w:sz w:val="24"/>
        </w:rPr>
        <w:t>particulars delivered </w:t>
      </w:r>
      <w:r>
        <w:rPr>
          <w:sz w:val="24"/>
        </w:rPr>
        <w:t>and </w:t>
      </w:r>
      <w:r>
        <w:rPr>
          <w:spacing w:val="-3"/>
          <w:sz w:val="24"/>
        </w:rPr>
        <w:t>loan approvals </w:t>
      </w:r>
      <w:r>
        <w:rPr>
          <w:sz w:val="24"/>
        </w:rPr>
        <w:t>had </w:t>
      </w:r>
      <w:r>
        <w:rPr>
          <w:spacing w:val="-3"/>
          <w:sz w:val="24"/>
        </w:rPr>
        <w:t>fallen </w:t>
      </w:r>
      <w:r>
        <w:rPr>
          <w:sz w:val="24"/>
        </w:rPr>
        <w:t>in </w:t>
      </w:r>
      <w:r>
        <w:rPr>
          <w:spacing w:val="-3"/>
          <w:sz w:val="24"/>
        </w:rPr>
        <w:t>July, </w:t>
      </w:r>
      <w:r>
        <w:rPr>
          <w:sz w:val="24"/>
        </w:rPr>
        <w:t>and </w:t>
      </w:r>
      <w:r>
        <w:rPr>
          <w:spacing w:val="-3"/>
          <w:sz w:val="24"/>
        </w:rPr>
        <w:t>the </w:t>
      </w:r>
      <w:r>
        <w:rPr>
          <w:sz w:val="24"/>
        </w:rPr>
        <w:t>House Builders’ Federation net reservations balance had reached its lowest level for almost five years. Net secured lending had also fallen sharply in July, although the Bank’s first estimate of mortgage equity withdrawal in Q2 was for an increase to £3.3 billion, from £2.3 billion in </w:t>
      </w:r>
      <w:r>
        <w:rPr>
          <w:spacing w:val="-2"/>
          <w:sz w:val="24"/>
        </w:rPr>
        <w:t>the </w:t>
      </w:r>
      <w:r>
        <w:rPr>
          <w:sz w:val="24"/>
        </w:rPr>
        <w:t>previous quarter. The latest Halifax and Nationwide house price indices, while continuing to show significant increases on a year earlier, were decelerating; indeed on these measures prices were virtually unchanged between April and August. The slowdown was sharper than had previously been expected, and was no longer confined to London and the South-East. Nevertheless, such a </w:t>
      </w:r>
      <w:r>
        <w:rPr>
          <w:spacing w:val="-3"/>
          <w:sz w:val="24"/>
        </w:rPr>
        <w:t>slowdown need </w:t>
      </w:r>
      <w:r>
        <w:rPr>
          <w:sz w:val="24"/>
        </w:rPr>
        <w:t>not </w:t>
      </w:r>
      <w:r>
        <w:rPr>
          <w:spacing w:val="-3"/>
          <w:sz w:val="24"/>
        </w:rPr>
        <w:t>entail slower consumption growth </w:t>
      </w:r>
      <w:r>
        <w:rPr>
          <w:sz w:val="24"/>
        </w:rPr>
        <w:t>in the </w:t>
      </w:r>
      <w:r>
        <w:rPr>
          <w:spacing w:val="-3"/>
          <w:sz w:val="24"/>
        </w:rPr>
        <w:t>near term, particularly </w:t>
      </w:r>
      <w:r>
        <w:rPr>
          <w:sz w:val="24"/>
        </w:rPr>
        <w:t>if it </w:t>
      </w:r>
      <w:r>
        <w:rPr>
          <w:spacing w:val="-3"/>
          <w:sz w:val="24"/>
        </w:rPr>
        <w:t>were </w:t>
      </w:r>
      <w:r>
        <w:rPr>
          <w:sz w:val="24"/>
        </w:rPr>
        <w:t>to </w:t>
      </w:r>
      <w:r>
        <w:rPr>
          <w:spacing w:val="-3"/>
          <w:sz w:val="24"/>
        </w:rPr>
        <w:t>take </w:t>
      </w:r>
      <w:r>
        <w:rPr>
          <w:sz w:val="24"/>
        </w:rPr>
        <w:t>some time for past increases in housing wealth to feed through into household</w:t>
      </w:r>
      <w:r>
        <w:rPr>
          <w:spacing w:val="51"/>
          <w:sz w:val="24"/>
        </w:rPr>
        <w:t> </w:t>
      </w:r>
      <w:r>
        <w:rPr>
          <w:sz w:val="24"/>
        </w:rPr>
        <w:t>spending.</w:t>
      </w:r>
    </w:p>
    <w:p>
      <w:pPr>
        <w:pStyle w:val="BodyText"/>
        <w:spacing w:before="9"/>
        <w:rPr>
          <w:sz w:val="35"/>
        </w:rPr>
      </w:pPr>
    </w:p>
    <w:p>
      <w:pPr>
        <w:pStyle w:val="ListParagraph"/>
        <w:numPr>
          <w:ilvl w:val="0"/>
          <w:numId w:val="1"/>
        </w:numPr>
        <w:tabs>
          <w:tab w:pos="524" w:val="left" w:leader="none"/>
          <w:tab w:pos="525" w:val="left" w:leader="none"/>
        </w:tabs>
        <w:spacing w:line="362" w:lineRule="auto" w:before="0" w:after="0"/>
        <w:ind w:left="105" w:right="133" w:firstLine="0"/>
        <w:jc w:val="left"/>
        <w:rPr>
          <w:sz w:val="24"/>
        </w:rPr>
      </w:pPr>
      <w:r>
        <w:rPr>
          <w:sz w:val="24"/>
        </w:rPr>
        <w:t>In the services sector, evidence was more patchy, although services output had risen by 0.9% </w:t>
      </w:r>
      <w:r>
        <w:rPr>
          <w:spacing w:val="-9"/>
          <w:sz w:val="24"/>
        </w:rPr>
        <w:t>in </w:t>
      </w:r>
      <w:r>
        <w:rPr>
          <w:sz w:val="24"/>
        </w:rPr>
        <w:t>Q2. Optimism in consumer services, as measured by the CBI/Deloitte and Touche survey, </w:t>
      </w:r>
      <w:r>
        <w:rPr>
          <w:spacing w:val="-2"/>
          <w:sz w:val="24"/>
        </w:rPr>
        <w:t>had </w:t>
      </w:r>
      <w:r>
        <w:rPr>
          <w:sz w:val="24"/>
        </w:rPr>
        <w:t>fallen between May and August, but optimism in business and professional services had risen slightly; this was consistent with the continuing growth in business services reported by the Bank’s regional</w:t>
      </w:r>
      <w:r>
        <w:rPr>
          <w:spacing w:val="12"/>
          <w:sz w:val="24"/>
        </w:rPr>
        <w:t> </w:t>
      </w:r>
      <w:r>
        <w:rPr>
          <w:sz w:val="24"/>
        </w:rPr>
        <w:t>Agents.</w:t>
      </w:r>
    </w:p>
    <w:p>
      <w:pPr>
        <w:pStyle w:val="BodyText"/>
        <w:spacing w:before="4"/>
        <w:rPr>
          <w:sz w:val="35"/>
        </w:rPr>
      </w:pPr>
    </w:p>
    <w:p>
      <w:pPr>
        <w:pStyle w:val="ListParagraph"/>
        <w:numPr>
          <w:ilvl w:val="0"/>
          <w:numId w:val="1"/>
        </w:numPr>
        <w:tabs>
          <w:tab w:pos="524" w:val="left" w:leader="none"/>
          <w:tab w:pos="525" w:val="left" w:leader="none"/>
        </w:tabs>
        <w:spacing w:line="357" w:lineRule="auto" w:before="0" w:after="0"/>
        <w:ind w:left="105" w:right="163" w:firstLine="0"/>
        <w:jc w:val="left"/>
        <w:rPr>
          <w:sz w:val="24"/>
        </w:rPr>
      </w:pPr>
      <w:r>
        <w:rPr>
          <w:sz w:val="24"/>
        </w:rPr>
        <w:t>The underlying determinants of consumption seemed on balance to be a little less buoyant than at the start of the year. Taking the average earnings numbers at face value, labour incomes </w:t>
      </w:r>
      <w:r>
        <w:rPr>
          <w:spacing w:val="-2"/>
          <w:sz w:val="24"/>
        </w:rPr>
        <w:t>now </w:t>
      </w:r>
      <w:r>
        <w:rPr>
          <w:sz w:val="24"/>
        </w:rPr>
        <w:t>appeared to be growing less fast, even though employment growth was somewhat stronger. Both the GfK and MORI consumer confidence measures had risen in August, but were lower than at </w:t>
      </w:r>
      <w:r>
        <w:rPr>
          <w:spacing w:val="-2"/>
          <w:sz w:val="24"/>
        </w:rPr>
        <w:t>the </w:t>
      </w:r>
      <w:r>
        <w:rPr>
          <w:sz w:val="24"/>
        </w:rPr>
        <w:t>start of the year. Household borrowing was still growing rapidly, but a little less fast than in previous months, and while equity prices were higher than a month ago, the growth in housing wealth had</w:t>
      </w:r>
      <w:r>
        <w:rPr>
          <w:spacing w:val="9"/>
          <w:sz w:val="24"/>
        </w:rPr>
        <w:t> </w:t>
      </w:r>
      <w:r>
        <w:rPr>
          <w:sz w:val="24"/>
        </w:rPr>
        <w:t>slowed.</w:t>
      </w:r>
    </w:p>
    <w:p>
      <w:pPr>
        <w:pStyle w:val="BodyText"/>
        <w:spacing w:before="11"/>
        <w:rPr>
          <w:sz w:val="37"/>
        </w:rPr>
      </w:pPr>
    </w:p>
    <w:p>
      <w:pPr>
        <w:pStyle w:val="ListParagraph"/>
        <w:numPr>
          <w:ilvl w:val="0"/>
          <w:numId w:val="1"/>
        </w:numPr>
        <w:tabs>
          <w:tab w:pos="524" w:val="left" w:leader="none"/>
          <w:tab w:pos="525" w:val="left" w:leader="none"/>
        </w:tabs>
        <w:spacing w:line="360" w:lineRule="auto" w:before="0" w:after="0"/>
        <w:ind w:left="105" w:right="418" w:firstLine="0"/>
        <w:jc w:val="left"/>
        <w:rPr>
          <w:sz w:val="24"/>
        </w:rPr>
      </w:pPr>
      <w:r>
        <w:rPr>
          <w:sz w:val="24"/>
        </w:rPr>
        <w:t>The other components of GDP in Q2 were rather mixed. Investment growth was relatively weak, after a fall in the previous quarter: while services investment had recovered a little </w:t>
      </w:r>
      <w:r>
        <w:rPr>
          <w:spacing w:val="-2"/>
          <w:sz w:val="24"/>
        </w:rPr>
        <w:t>and </w:t>
      </w:r>
      <w:r>
        <w:rPr>
          <w:sz w:val="24"/>
        </w:rPr>
        <w:t>investment</w:t>
      </w:r>
      <w:r>
        <w:rPr>
          <w:spacing w:val="-5"/>
          <w:sz w:val="24"/>
        </w:rPr>
        <w:t> </w:t>
      </w:r>
      <w:r>
        <w:rPr>
          <w:sz w:val="24"/>
        </w:rPr>
        <w:t>by</w:t>
      </w:r>
      <w:r>
        <w:rPr>
          <w:spacing w:val="-4"/>
          <w:sz w:val="24"/>
        </w:rPr>
        <w:t> </w:t>
      </w:r>
      <w:r>
        <w:rPr>
          <w:sz w:val="24"/>
        </w:rPr>
        <w:t>general</w:t>
      </w:r>
      <w:r>
        <w:rPr>
          <w:spacing w:val="-4"/>
          <w:sz w:val="24"/>
        </w:rPr>
        <w:t> </w:t>
      </w:r>
      <w:r>
        <w:rPr>
          <w:sz w:val="24"/>
        </w:rPr>
        <w:t>government</w:t>
      </w:r>
      <w:r>
        <w:rPr>
          <w:spacing w:val="-5"/>
          <w:sz w:val="24"/>
        </w:rPr>
        <w:t> </w:t>
      </w:r>
      <w:r>
        <w:rPr>
          <w:sz w:val="24"/>
        </w:rPr>
        <w:t>had</w:t>
      </w:r>
      <w:r>
        <w:rPr>
          <w:spacing w:val="-4"/>
          <w:sz w:val="24"/>
        </w:rPr>
        <w:t> </w:t>
      </w:r>
      <w:r>
        <w:rPr>
          <w:sz w:val="24"/>
        </w:rPr>
        <w:t>risen</w:t>
      </w:r>
      <w:r>
        <w:rPr>
          <w:spacing w:val="-4"/>
          <w:sz w:val="24"/>
        </w:rPr>
        <w:t> </w:t>
      </w:r>
      <w:r>
        <w:rPr>
          <w:sz w:val="24"/>
        </w:rPr>
        <w:t>strongly,</w:t>
      </w:r>
      <w:r>
        <w:rPr>
          <w:spacing w:val="-4"/>
          <w:sz w:val="24"/>
        </w:rPr>
        <w:t> </w:t>
      </w:r>
      <w:r>
        <w:rPr>
          <w:sz w:val="24"/>
        </w:rPr>
        <w:t>manufacturing</w:t>
      </w:r>
      <w:r>
        <w:rPr>
          <w:spacing w:val="-5"/>
          <w:sz w:val="24"/>
        </w:rPr>
        <w:t> </w:t>
      </w:r>
      <w:r>
        <w:rPr>
          <w:sz w:val="24"/>
        </w:rPr>
        <w:t>investment</w:t>
      </w:r>
      <w:r>
        <w:rPr>
          <w:spacing w:val="-4"/>
          <w:sz w:val="24"/>
        </w:rPr>
        <w:t> </w:t>
      </w:r>
      <w:r>
        <w:rPr>
          <w:sz w:val="24"/>
        </w:rPr>
        <w:t>had</w:t>
      </w:r>
      <w:r>
        <w:rPr>
          <w:spacing w:val="-4"/>
          <w:sz w:val="24"/>
        </w:rPr>
        <w:t> </w:t>
      </w:r>
      <w:r>
        <w:rPr>
          <w:sz w:val="24"/>
        </w:rPr>
        <w:t>fallen</w:t>
      </w:r>
      <w:r>
        <w:rPr>
          <w:spacing w:val="-5"/>
          <w:sz w:val="24"/>
        </w:rPr>
        <w:t> </w:t>
      </w:r>
      <w:r>
        <w:rPr>
          <w:sz w:val="24"/>
        </w:rPr>
        <w:t>back. Government consumption in Q2 had also grown rapidly, both in real and nominal terms, </w:t>
      </w:r>
      <w:r>
        <w:rPr>
          <w:spacing w:val="-2"/>
          <w:sz w:val="24"/>
        </w:rPr>
        <w:t>having </w:t>
      </w:r>
      <w:r>
        <w:rPr>
          <w:sz w:val="24"/>
        </w:rPr>
        <w:t>earlier been surprisingly weak; such an acceleration in spending had been foreshadowed in </w:t>
      </w:r>
      <w:r>
        <w:rPr>
          <w:spacing w:val="-2"/>
          <w:sz w:val="24"/>
        </w:rPr>
        <w:t>the </w:t>
      </w:r>
      <w:r>
        <w:rPr>
          <w:spacing w:val="-3"/>
          <w:sz w:val="24"/>
        </w:rPr>
        <w:t>plans</w:t>
      </w:r>
      <w:r>
        <w:rPr>
          <w:spacing w:val="4"/>
          <w:sz w:val="24"/>
        </w:rPr>
        <w:t> </w:t>
      </w:r>
      <w:r>
        <w:rPr>
          <w:sz w:val="24"/>
        </w:rPr>
        <w:t>set</w:t>
      </w:r>
      <w:r>
        <w:rPr>
          <w:spacing w:val="5"/>
          <w:sz w:val="24"/>
        </w:rPr>
        <w:t> </w:t>
      </w:r>
      <w:r>
        <w:rPr>
          <w:sz w:val="24"/>
        </w:rPr>
        <w:t>out</w:t>
      </w:r>
      <w:r>
        <w:rPr>
          <w:spacing w:val="4"/>
          <w:sz w:val="24"/>
        </w:rPr>
        <w:t> </w:t>
      </w:r>
      <w:r>
        <w:rPr>
          <w:sz w:val="24"/>
        </w:rPr>
        <w:t>in</w:t>
      </w:r>
      <w:r>
        <w:rPr>
          <w:spacing w:val="5"/>
          <w:sz w:val="24"/>
        </w:rPr>
        <w:t> </w:t>
      </w:r>
      <w:r>
        <w:rPr>
          <w:sz w:val="24"/>
        </w:rPr>
        <w:t>the</w:t>
      </w:r>
      <w:r>
        <w:rPr>
          <w:spacing w:val="5"/>
          <w:sz w:val="24"/>
        </w:rPr>
        <w:t> </w:t>
      </w:r>
      <w:r>
        <w:rPr>
          <w:spacing w:val="-3"/>
          <w:sz w:val="24"/>
        </w:rPr>
        <w:t>Budget,</w:t>
      </w:r>
      <w:r>
        <w:rPr>
          <w:spacing w:val="4"/>
          <w:sz w:val="24"/>
        </w:rPr>
        <w:t> </w:t>
      </w:r>
      <w:r>
        <w:rPr>
          <w:sz w:val="24"/>
        </w:rPr>
        <w:t>but</w:t>
      </w:r>
      <w:r>
        <w:rPr>
          <w:spacing w:val="5"/>
          <w:sz w:val="24"/>
        </w:rPr>
        <w:t> </w:t>
      </w:r>
      <w:r>
        <w:rPr>
          <w:sz w:val="24"/>
        </w:rPr>
        <w:t>the</w:t>
      </w:r>
      <w:r>
        <w:rPr>
          <w:spacing w:val="5"/>
          <w:sz w:val="24"/>
        </w:rPr>
        <w:t> </w:t>
      </w:r>
      <w:r>
        <w:rPr>
          <w:spacing w:val="-3"/>
          <w:sz w:val="24"/>
        </w:rPr>
        <w:t>numbers</w:t>
      </w:r>
      <w:r>
        <w:rPr>
          <w:spacing w:val="4"/>
          <w:sz w:val="24"/>
        </w:rPr>
        <w:t> </w:t>
      </w:r>
      <w:r>
        <w:rPr>
          <w:spacing w:val="-3"/>
          <w:sz w:val="24"/>
        </w:rPr>
        <w:t>were</w:t>
      </w:r>
      <w:r>
        <w:rPr>
          <w:spacing w:val="5"/>
          <w:sz w:val="24"/>
        </w:rPr>
        <w:t> </w:t>
      </w:r>
      <w:r>
        <w:rPr>
          <w:sz w:val="24"/>
        </w:rPr>
        <w:t>erratic</w:t>
      </w:r>
      <w:r>
        <w:rPr>
          <w:spacing w:val="5"/>
          <w:sz w:val="24"/>
        </w:rPr>
        <w:t> </w:t>
      </w:r>
      <w:r>
        <w:rPr>
          <w:sz w:val="24"/>
        </w:rPr>
        <w:t>and</w:t>
      </w:r>
      <w:r>
        <w:rPr>
          <w:spacing w:val="4"/>
          <w:sz w:val="24"/>
        </w:rPr>
        <w:t> </w:t>
      </w:r>
      <w:r>
        <w:rPr>
          <w:sz w:val="24"/>
        </w:rPr>
        <w:t>it</w:t>
      </w:r>
      <w:r>
        <w:rPr>
          <w:spacing w:val="5"/>
          <w:sz w:val="24"/>
        </w:rPr>
        <w:t> </w:t>
      </w:r>
      <w:r>
        <w:rPr>
          <w:sz w:val="24"/>
        </w:rPr>
        <w:t>was</w:t>
      </w:r>
      <w:r>
        <w:rPr>
          <w:spacing w:val="5"/>
          <w:sz w:val="24"/>
        </w:rPr>
        <w:t> </w:t>
      </w:r>
      <w:r>
        <w:rPr>
          <w:sz w:val="24"/>
        </w:rPr>
        <w:t>too</w:t>
      </w:r>
      <w:r>
        <w:rPr>
          <w:spacing w:val="4"/>
          <w:sz w:val="24"/>
        </w:rPr>
        <w:t> </w:t>
      </w:r>
      <w:r>
        <w:rPr>
          <w:spacing w:val="-3"/>
          <w:sz w:val="24"/>
        </w:rPr>
        <w:t>soon</w:t>
      </w:r>
      <w:r>
        <w:rPr>
          <w:spacing w:val="5"/>
          <w:sz w:val="24"/>
        </w:rPr>
        <w:t> </w:t>
      </w:r>
      <w:r>
        <w:rPr>
          <w:sz w:val="24"/>
        </w:rPr>
        <w:t>to</w:t>
      </w:r>
      <w:r>
        <w:rPr>
          <w:spacing w:val="4"/>
          <w:sz w:val="24"/>
        </w:rPr>
        <w:t> </w:t>
      </w:r>
      <w:r>
        <w:rPr>
          <w:spacing w:val="-3"/>
          <w:sz w:val="24"/>
        </w:rPr>
        <w:t>draw</w:t>
      </w:r>
      <w:r>
        <w:rPr>
          <w:spacing w:val="5"/>
          <w:sz w:val="24"/>
        </w:rPr>
        <w:t> </w:t>
      </w:r>
      <w:r>
        <w:rPr>
          <w:spacing w:val="-3"/>
          <w:sz w:val="24"/>
        </w:rPr>
        <w:t>firm</w:t>
      </w:r>
    </w:p>
    <w:p>
      <w:pPr>
        <w:spacing w:after="0" w:line="360" w:lineRule="auto"/>
        <w:jc w:val="left"/>
        <w:rPr>
          <w:sz w:val="24"/>
        </w:rPr>
        <w:sectPr>
          <w:pgSz w:w="12240" w:h="15840"/>
          <w:pgMar w:top="1500" w:bottom="280" w:left="1200" w:right="1200"/>
        </w:sectPr>
      </w:pPr>
    </w:p>
    <w:p>
      <w:pPr>
        <w:pStyle w:val="BodyText"/>
        <w:spacing w:before="6"/>
        <w:rPr>
          <w:sz w:val="23"/>
        </w:rPr>
      </w:pPr>
    </w:p>
    <w:p>
      <w:pPr>
        <w:pStyle w:val="BodyText"/>
        <w:spacing w:line="360" w:lineRule="auto" w:before="90"/>
        <w:ind w:left="105" w:right="462"/>
      </w:pPr>
      <w:r>
        <w:rPr/>
        <w:t>conclusions from them. The same applied to the estimates for stockbuilding, which included an alignment adjustment and which at present did not show any contribution to growth during the quarter. The net trade position was also little changed in Q2, with export volumes aided by the rapid growth in world demand.</w:t>
      </w:r>
    </w:p>
    <w:p>
      <w:pPr>
        <w:pStyle w:val="BodyText"/>
        <w:rPr>
          <w:sz w:val="36"/>
        </w:rPr>
      </w:pPr>
    </w:p>
    <w:p>
      <w:pPr>
        <w:pStyle w:val="ListParagraph"/>
        <w:numPr>
          <w:ilvl w:val="0"/>
          <w:numId w:val="1"/>
        </w:numPr>
        <w:tabs>
          <w:tab w:pos="524" w:val="left" w:leader="none"/>
          <w:tab w:pos="525" w:val="left" w:leader="none"/>
        </w:tabs>
        <w:spacing w:line="360" w:lineRule="auto" w:before="0" w:after="0"/>
        <w:ind w:left="105" w:right="223" w:firstLine="0"/>
        <w:jc w:val="left"/>
        <w:rPr>
          <w:sz w:val="24"/>
        </w:rPr>
      </w:pPr>
      <w:r>
        <w:rPr>
          <w:sz w:val="24"/>
        </w:rPr>
        <w:t>Survey evidence from the Chartered Institute of Purchasing and Supply (CIPS) was consistent with steady output growth across the economy. In manufacturing the output index was a </w:t>
      </w:r>
      <w:r>
        <w:rPr>
          <w:spacing w:val="-2"/>
          <w:sz w:val="24"/>
        </w:rPr>
        <w:t>little </w:t>
      </w:r>
      <w:r>
        <w:rPr>
          <w:sz w:val="24"/>
        </w:rPr>
        <w:t>higher in August, and had remained above the ‘no change’ level of 50 for the seventeenth month</w:t>
      </w:r>
      <w:r>
        <w:rPr>
          <w:spacing w:val="-22"/>
          <w:sz w:val="24"/>
        </w:rPr>
        <w:t> </w:t>
      </w:r>
      <w:r>
        <w:rPr>
          <w:sz w:val="24"/>
        </w:rPr>
        <w:t>in a row, while the business activity index for services was also stronger, at 58.4. There was </w:t>
      </w:r>
      <w:r>
        <w:rPr>
          <w:spacing w:val="-2"/>
          <w:sz w:val="24"/>
        </w:rPr>
        <w:t>little </w:t>
      </w:r>
      <w:r>
        <w:rPr>
          <w:sz w:val="24"/>
        </w:rPr>
        <w:t>evidence from surveys that growth at this pace was leading to increasing pressure on prices. More generally, the buoyancy of government revenues suggested that activity remained quite</w:t>
      </w:r>
      <w:r>
        <w:rPr>
          <w:spacing w:val="-10"/>
          <w:sz w:val="24"/>
        </w:rPr>
        <w:t> </w:t>
      </w:r>
      <w:r>
        <w:rPr>
          <w:sz w:val="24"/>
        </w:rPr>
        <w:t>strong.</w:t>
      </w:r>
    </w:p>
    <w:p>
      <w:pPr>
        <w:pStyle w:val="BodyText"/>
        <w:spacing w:before="9"/>
        <w:rPr>
          <w:sz w:val="35"/>
        </w:rPr>
      </w:pPr>
    </w:p>
    <w:p>
      <w:pPr>
        <w:pStyle w:val="ListParagraph"/>
        <w:numPr>
          <w:ilvl w:val="0"/>
          <w:numId w:val="1"/>
        </w:numPr>
        <w:tabs>
          <w:tab w:pos="525" w:val="left" w:leader="none"/>
        </w:tabs>
        <w:spacing w:line="360" w:lineRule="auto" w:before="0" w:after="0"/>
        <w:ind w:left="105" w:right="221" w:firstLine="0"/>
        <w:jc w:val="left"/>
        <w:rPr>
          <w:sz w:val="24"/>
        </w:rPr>
      </w:pPr>
      <w:r>
        <w:rPr>
          <w:sz w:val="24"/>
        </w:rPr>
        <w:t>Manufacturing</w:t>
      </w:r>
      <w:r>
        <w:rPr>
          <w:spacing w:val="-6"/>
          <w:sz w:val="24"/>
        </w:rPr>
        <w:t> </w:t>
      </w:r>
      <w:r>
        <w:rPr>
          <w:sz w:val="24"/>
        </w:rPr>
        <w:t>output</w:t>
      </w:r>
      <w:r>
        <w:rPr>
          <w:spacing w:val="-5"/>
          <w:sz w:val="24"/>
        </w:rPr>
        <w:t> </w:t>
      </w:r>
      <w:r>
        <w:rPr>
          <w:sz w:val="24"/>
        </w:rPr>
        <w:t>and</w:t>
      </w:r>
      <w:r>
        <w:rPr>
          <w:spacing w:val="-6"/>
          <w:sz w:val="24"/>
        </w:rPr>
        <w:t> </w:t>
      </w:r>
      <w:r>
        <w:rPr>
          <w:sz w:val="24"/>
        </w:rPr>
        <w:t>industrial</w:t>
      </w:r>
      <w:r>
        <w:rPr>
          <w:spacing w:val="-5"/>
          <w:sz w:val="24"/>
        </w:rPr>
        <w:t> </w:t>
      </w:r>
      <w:r>
        <w:rPr>
          <w:sz w:val="24"/>
        </w:rPr>
        <w:t>production</w:t>
      </w:r>
      <w:r>
        <w:rPr>
          <w:spacing w:val="-6"/>
          <w:sz w:val="24"/>
        </w:rPr>
        <w:t> </w:t>
      </w:r>
      <w:r>
        <w:rPr>
          <w:sz w:val="24"/>
        </w:rPr>
        <w:t>were</w:t>
      </w:r>
      <w:r>
        <w:rPr>
          <w:spacing w:val="-5"/>
          <w:sz w:val="24"/>
        </w:rPr>
        <w:t> </w:t>
      </w:r>
      <w:r>
        <w:rPr>
          <w:sz w:val="24"/>
        </w:rPr>
        <w:t>both</w:t>
      </w:r>
      <w:r>
        <w:rPr>
          <w:spacing w:val="-6"/>
          <w:sz w:val="24"/>
        </w:rPr>
        <w:t> </w:t>
      </w:r>
      <w:r>
        <w:rPr>
          <w:sz w:val="24"/>
        </w:rPr>
        <w:t>slightly</w:t>
      </w:r>
      <w:r>
        <w:rPr>
          <w:spacing w:val="-5"/>
          <w:sz w:val="24"/>
        </w:rPr>
        <w:t> </w:t>
      </w:r>
      <w:r>
        <w:rPr>
          <w:sz w:val="24"/>
        </w:rPr>
        <w:t>lower</w:t>
      </w:r>
      <w:r>
        <w:rPr>
          <w:spacing w:val="-6"/>
          <w:sz w:val="24"/>
        </w:rPr>
        <w:t> </w:t>
      </w:r>
      <w:r>
        <w:rPr>
          <w:sz w:val="24"/>
        </w:rPr>
        <w:t>in</w:t>
      </w:r>
      <w:r>
        <w:rPr>
          <w:spacing w:val="-5"/>
          <w:sz w:val="24"/>
        </w:rPr>
        <w:t> </w:t>
      </w:r>
      <w:r>
        <w:rPr>
          <w:sz w:val="24"/>
        </w:rPr>
        <w:t>July,</w:t>
      </w:r>
      <w:r>
        <w:rPr>
          <w:spacing w:val="-6"/>
          <w:sz w:val="24"/>
        </w:rPr>
        <w:t> </w:t>
      </w:r>
      <w:r>
        <w:rPr>
          <w:sz w:val="24"/>
        </w:rPr>
        <w:t>although</w:t>
      </w:r>
      <w:r>
        <w:rPr>
          <w:spacing w:val="-5"/>
          <w:sz w:val="24"/>
        </w:rPr>
        <w:t> </w:t>
      </w:r>
      <w:r>
        <w:rPr>
          <w:sz w:val="24"/>
        </w:rPr>
        <w:t>on</w:t>
      </w:r>
      <w:r>
        <w:rPr>
          <w:spacing w:val="-6"/>
          <w:sz w:val="24"/>
        </w:rPr>
        <w:t> </w:t>
      </w:r>
      <w:r>
        <w:rPr>
          <w:sz w:val="24"/>
        </w:rPr>
        <w:t>a three-month basis they showed growth over the previous three months of 0.5% and 1.2% respectively. Comparing the past three months with a year earlier, manufacturing production was up by 1.5%, and industrial output by a little more, despite the lagged effects of sterling’s earlier appreciation. The Bank’s regional Agents had also reported a pick-up in manufacturing in </w:t>
      </w:r>
      <w:r>
        <w:rPr>
          <w:spacing w:val="-2"/>
          <w:sz w:val="24"/>
        </w:rPr>
        <w:t>recent </w:t>
      </w:r>
      <w:r>
        <w:rPr>
          <w:spacing w:val="-3"/>
          <w:sz w:val="24"/>
        </w:rPr>
        <w:t>months.</w:t>
      </w:r>
    </w:p>
    <w:p>
      <w:pPr>
        <w:pStyle w:val="BodyText"/>
        <w:spacing w:before="9"/>
        <w:rPr>
          <w:sz w:val="35"/>
        </w:rPr>
      </w:pPr>
    </w:p>
    <w:p>
      <w:pPr>
        <w:pStyle w:val="ListParagraph"/>
        <w:numPr>
          <w:ilvl w:val="0"/>
          <w:numId w:val="1"/>
        </w:numPr>
        <w:tabs>
          <w:tab w:pos="525" w:val="left" w:leader="none"/>
        </w:tabs>
        <w:spacing w:line="362" w:lineRule="auto" w:before="0" w:after="0"/>
        <w:ind w:left="105" w:right="132" w:firstLine="0"/>
        <w:jc w:val="left"/>
        <w:rPr>
          <w:i/>
          <w:sz w:val="24"/>
        </w:rPr>
      </w:pPr>
      <w:r>
        <w:rPr>
          <w:sz w:val="24"/>
        </w:rPr>
        <w:t>The Committee agreed that some of the uncertainties surrounding the path of output in general, and consumption in particular, had reduced over the past month. In the view of some members, this was particularly so with regard to the upside risks, and in consequence these members now felt rather more confident that domestic demand growth would ease back in line with the projections in the August </w:t>
      </w:r>
      <w:r>
        <w:rPr>
          <w:i/>
          <w:sz w:val="24"/>
        </w:rPr>
        <w:t>Inflation</w:t>
      </w:r>
      <w:r>
        <w:rPr>
          <w:i/>
          <w:spacing w:val="10"/>
          <w:sz w:val="24"/>
        </w:rPr>
        <w:t> </w:t>
      </w:r>
      <w:r>
        <w:rPr>
          <w:i/>
          <w:sz w:val="24"/>
        </w:rPr>
        <w:t>Report.</w:t>
      </w:r>
    </w:p>
    <w:p>
      <w:pPr>
        <w:pStyle w:val="BodyText"/>
        <w:spacing w:before="4"/>
        <w:rPr>
          <w:i/>
          <w:sz w:val="35"/>
        </w:rPr>
      </w:pPr>
    </w:p>
    <w:p>
      <w:pPr>
        <w:pStyle w:val="Heading2"/>
        <w:ind w:left="105"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2" w:lineRule="auto" w:before="0" w:after="0"/>
        <w:ind w:left="105" w:right="133" w:firstLine="0"/>
        <w:jc w:val="left"/>
        <w:rPr>
          <w:sz w:val="24"/>
        </w:rPr>
      </w:pPr>
      <w:r>
        <w:rPr>
          <w:sz w:val="24"/>
        </w:rPr>
        <w:t>Activity in the world economy in Q2 now appeared to have been a little stronger than expected </w:t>
      </w:r>
      <w:r>
        <w:rPr>
          <w:spacing w:val="-3"/>
          <w:sz w:val="24"/>
        </w:rPr>
        <w:t>in </w:t>
      </w:r>
      <w:r>
        <w:rPr>
          <w:spacing w:val="-4"/>
          <w:sz w:val="24"/>
        </w:rPr>
        <w:t>the </w:t>
      </w:r>
      <w:r>
        <w:rPr>
          <w:spacing w:val="-5"/>
          <w:sz w:val="24"/>
        </w:rPr>
        <w:t>August </w:t>
      </w:r>
      <w:r>
        <w:rPr>
          <w:i/>
          <w:sz w:val="24"/>
        </w:rPr>
        <w:t>Inflation Report</w:t>
      </w:r>
      <w:r>
        <w:rPr>
          <w:sz w:val="24"/>
        </w:rPr>
        <w:t>, in part as a result of continued rapid growth in the United States. More recently there had been some rather weaker numbers for US non-farm payrolls, and in </w:t>
      </w:r>
      <w:r>
        <w:rPr>
          <w:spacing w:val="-2"/>
          <w:sz w:val="24"/>
        </w:rPr>
        <w:t>the </w:t>
      </w:r>
      <w:r>
        <w:rPr>
          <w:sz w:val="24"/>
        </w:rPr>
        <w:t>National Association of Purchasing Managers survey. As a result, the probability of a ‘soft landing’ in the United States seemed to have increased, with less risk of a more precipitous adjustment</w:t>
      </w:r>
      <w:r>
        <w:rPr>
          <w:spacing w:val="-9"/>
          <w:sz w:val="24"/>
        </w:rPr>
        <w:t> </w:t>
      </w:r>
      <w:r>
        <w:rPr>
          <w:sz w:val="24"/>
        </w:rPr>
        <w:t>to</w:t>
      </w:r>
    </w:p>
    <w:p>
      <w:pPr>
        <w:spacing w:after="0" w:line="362" w:lineRule="auto"/>
        <w:jc w:val="left"/>
        <w:rPr>
          <w:sz w:val="24"/>
        </w:rPr>
        <w:sectPr>
          <w:pgSz w:w="12240" w:h="15840"/>
          <w:pgMar w:top="1500" w:bottom="280" w:left="1200" w:right="1200"/>
        </w:sectPr>
      </w:pPr>
    </w:p>
    <w:p>
      <w:pPr>
        <w:pStyle w:val="BodyText"/>
        <w:spacing w:before="6"/>
        <w:rPr>
          <w:sz w:val="23"/>
        </w:rPr>
      </w:pPr>
    </w:p>
    <w:p>
      <w:pPr>
        <w:pStyle w:val="BodyText"/>
        <w:spacing w:line="364" w:lineRule="auto" w:before="90"/>
        <w:ind w:left="105"/>
      </w:pPr>
      <w:r>
        <w:rPr/>
        <w:t>activity but with perhaps rather slower growth than previously expected in the United States in the coming year.</w:t>
      </w:r>
    </w:p>
    <w:p>
      <w:pPr>
        <w:pStyle w:val="BodyText"/>
        <w:spacing w:before="4"/>
        <w:rPr>
          <w:sz w:val="35"/>
        </w:rPr>
      </w:pPr>
    </w:p>
    <w:p>
      <w:pPr>
        <w:pStyle w:val="ListParagraph"/>
        <w:numPr>
          <w:ilvl w:val="0"/>
          <w:numId w:val="1"/>
        </w:numPr>
        <w:tabs>
          <w:tab w:pos="525" w:val="left" w:leader="none"/>
        </w:tabs>
        <w:spacing w:line="360" w:lineRule="auto" w:before="0" w:after="0"/>
        <w:ind w:left="105" w:right="102" w:firstLine="0"/>
        <w:jc w:val="left"/>
        <w:rPr>
          <w:sz w:val="24"/>
        </w:rPr>
      </w:pPr>
      <w:r>
        <w:rPr>
          <w:sz w:val="24"/>
        </w:rPr>
        <w:t>Elsewhere, the German IFO index had fallen for the second consecutive month, and was </w:t>
      </w:r>
      <w:r>
        <w:rPr>
          <w:spacing w:val="-2"/>
          <w:sz w:val="24"/>
        </w:rPr>
        <w:t>now </w:t>
      </w:r>
      <w:r>
        <w:rPr>
          <w:sz w:val="24"/>
        </w:rPr>
        <w:t>3% below its level in May, with the fall in the forward-looking element of the index </w:t>
      </w:r>
      <w:r>
        <w:rPr>
          <w:spacing w:val="-2"/>
          <w:sz w:val="24"/>
        </w:rPr>
        <w:t>particularly </w:t>
      </w:r>
      <w:r>
        <w:rPr>
          <w:sz w:val="24"/>
        </w:rPr>
        <w:t>marked. In the past, falls of this magnitude in the overall index had presaged a slowdown in </w:t>
      </w:r>
      <w:r>
        <w:rPr>
          <w:spacing w:val="-2"/>
          <w:sz w:val="24"/>
        </w:rPr>
        <w:t>growth </w:t>
      </w:r>
      <w:r>
        <w:rPr>
          <w:sz w:val="24"/>
        </w:rPr>
        <w:t>in Germany. Industrial production in Japan had declined, although it was still well above the </w:t>
      </w:r>
      <w:r>
        <w:rPr>
          <w:spacing w:val="-2"/>
          <w:sz w:val="24"/>
        </w:rPr>
        <w:t>levels </w:t>
      </w:r>
      <w:r>
        <w:rPr>
          <w:sz w:val="24"/>
        </w:rPr>
        <w:t>of a year ago, and growth rates in the Asian emerging market economies had generally fallen back a little, after a very rapid recovery during</w:t>
      </w:r>
      <w:r>
        <w:rPr>
          <w:spacing w:val="16"/>
          <w:sz w:val="24"/>
        </w:rPr>
        <w:t> </w:t>
      </w:r>
      <w:r>
        <w:rPr>
          <w:sz w:val="24"/>
        </w:rPr>
        <w:t>1999.</w:t>
      </w:r>
    </w:p>
    <w:p>
      <w:pPr>
        <w:pStyle w:val="BodyText"/>
        <w:spacing w:before="8"/>
        <w:rPr>
          <w:sz w:val="35"/>
        </w:rPr>
      </w:pPr>
    </w:p>
    <w:p>
      <w:pPr>
        <w:pStyle w:val="ListParagraph"/>
        <w:numPr>
          <w:ilvl w:val="0"/>
          <w:numId w:val="1"/>
        </w:numPr>
        <w:tabs>
          <w:tab w:pos="525" w:val="left" w:leader="none"/>
        </w:tabs>
        <w:spacing w:line="360" w:lineRule="auto" w:before="0" w:after="0"/>
        <w:ind w:left="105" w:right="132" w:firstLine="0"/>
        <w:jc w:val="left"/>
        <w:rPr>
          <w:sz w:val="24"/>
        </w:rPr>
      </w:pPr>
      <w:r>
        <w:rPr>
          <w:sz w:val="24"/>
        </w:rPr>
        <w:t>Over the past month oil prices had risen sharply, with the Brent one month future more than $5 higher, at over $33 per barrel. This would have a direct short-term effect on retail prices. Over the medium term, higher oil prices would tend to restrain demand, if it took the oil producers longer to spend their additional revenue than it took those whose real incomes were squeezed to reduce their expenditure. However, the energy intensity of output was now much less than it had been twenty or thirty years ago, and as a result the effects both on inflation and output would be correspondingly less than in the 1970s. To date, there was little sign in most countries of any effects on wage demands from higher oil</w:t>
      </w:r>
      <w:r>
        <w:rPr>
          <w:spacing w:val="18"/>
          <w:sz w:val="24"/>
        </w:rPr>
        <w:t> </w:t>
      </w:r>
      <w:r>
        <w:rPr>
          <w:sz w:val="24"/>
        </w:rPr>
        <w:t>prices.</w:t>
      </w:r>
    </w:p>
    <w:p>
      <w:pPr>
        <w:pStyle w:val="BodyText"/>
        <w:spacing w:before="6"/>
        <w:rPr>
          <w:sz w:val="35"/>
        </w:rPr>
      </w:pPr>
    </w:p>
    <w:p>
      <w:pPr>
        <w:pStyle w:val="ListParagraph"/>
        <w:numPr>
          <w:ilvl w:val="0"/>
          <w:numId w:val="1"/>
        </w:numPr>
        <w:tabs>
          <w:tab w:pos="525" w:val="left" w:leader="none"/>
        </w:tabs>
        <w:spacing w:line="360" w:lineRule="auto" w:before="0" w:after="0"/>
        <w:ind w:left="105" w:right="118" w:firstLine="0"/>
        <w:jc w:val="left"/>
        <w:rPr>
          <w:sz w:val="24"/>
        </w:rPr>
      </w:pPr>
      <w:r>
        <w:rPr>
          <w:sz w:val="24"/>
        </w:rPr>
        <w:t>The Committee noted that the prospects for the oil price might be rather clearer after the OPEC meeting on 10 September, but that demand for oil produced by OPEC was very sensitive to fluctuations in world activity, which had recently been growing faster than expected. If the oil price were no longer expected to fall back sharply, there might be an attempt to rebuild stocks, </w:t>
      </w:r>
      <w:r>
        <w:rPr>
          <w:spacing w:val="-2"/>
          <w:sz w:val="24"/>
        </w:rPr>
        <w:t>though </w:t>
      </w:r>
      <w:r>
        <w:rPr>
          <w:sz w:val="24"/>
        </w:rPr>
        <w:t>this could put further upward pressure on prices in the short run. Over the longer term, if </w:t>
      </w:r>
      <w:r>
        <w:rPr>
          <w:spacing w:val="-2"/>
          <w:sz w:val="24"/>
        </w:rPr>
        <w:t>oil </w:t>
      </w:r>
      <w:r>
        <w:rPr>
          <w:sz w:val="24"/>
        </w:rPr>
        <w:t>companies believed that prices would remain higher for longer, the production of oil from non- OPEC countries would also</w:t>
      </w:r>
      <w:r>
        <w:rPr>
          <w:spacing w:val="6"/>
          <w:sz w:val="24"/>
        </w:rPr>
        <w:t> </w:t>
      </w:r>
      <w:r>
        <w:rPr>
          <w:sz w:val="24"/>
        </w:rPr>
        <w:t>increase.</w:t>
      </w:r>
    </w:p>
    <w:p>
      <w:pPr>
        <w:pStyle w:val="BodyText"/>
        <w:spacing w:before="3"/>
        <w:rPr>
          <w:sz w:val="36"/>
        </w:rPr>
      </w:pPr>
    </w:p>
    <w:p>
      <w:pPr>
        <w:pStyle w:val="Heading2"/>
        <w:spacing w:before="1"/>
        <w:ind w:left="105" w:firstLine="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4" w:lineRule="auto" w:before="0" w:after="0"/>
        <w:ind w:left="105" w:right="178" w:firstLine="0"/>
        <w:jc w:val="left"/>
        <w:rPr>
          <w:sz w:val="24"/>
        </w:rPr>
      </w:pPr>
      <w:r>
        <w:rPr>
          <w:sz w:val="24"/>
        </w:rPr>
        <w:t>M4 lending to the household sector was still growing at an annual rate of 10%, although </w:t>
      </w:r>
      <w:r>
        <w:rPr>
          <w:spacing w:val="-2"/>
          <w:sz w:val="24"/>
        </w:rPr>
        <w:t>within </w:t>
      </w:r>
      <w:r>
        <w:rPr>
          <w:spacing w:val="-3"/>
          <w:sz w:val="24"/>
        </w:rPr>
        <w:t>this figure secured lending </w:t>
      </w:r>
      <w:r>
        <w:rPr>
          <w:sz w:val="24"/>
        </w:rPr>
        <w:t>had </w:t>
      </w:r>
      <w:r>
        <w:rPr>
          <w:spacing w:val="-3"/>
          <w:sz w:val="24"/>
        </w:rPr>
        <w:t>fallen sharply </w:t>
      </w:r>
      <w:r>
        <w:rPr>
          <w:sz w:val="24"/>
        </w:rPr>
        <w:t>in </w:t>
      </w:r>
      <w:r>
        <w:rPr>
          <w:spacing w:val="-3"/>
          <w:sz w:val="24"/>
        </w:rPr>
        <w:t>July. Meanwhile </w:t>
      </w:r>
      <w:r>
        <w:rPr>
          <w:sz w:val="24"/>
        </w:rPr>
        <w:t>M4 </w:t>
      </w:r>
      <w:r>
        <w:rPr>
          <w:spacing w:val="-3"/>
          <w:sz w:val="24"/>
        </w:rPr>
        <w:t>lending </w:t>
      </w:r>
      <w:r>
        <w:rPr>
          <w:sz w:val="24"/>
        </w:rPr>
        <w:t>to </w:t>
      </w:r>
      <w:r>
        <w:rPr>
          <w:spacing w:val="-3"/>
          <w:sz w:val="24"/>
        </w:rPr>
        <w:t>private non-  </w:t>
      </w:r>
      <w:r>
        <w:rPr>
          <w:sz w:val="24"/>
        </w:rPr>
        <w:t>financial companies </w:t>
      </w:r>
      <w:r>
        <w:rPr>
          <w:spacing w:val="-3"/>
          <w:sz w:val="24"/>
        </w:rPr>
        <w:t>(PNFCs) </w:t>
      </w:r>
      <w:r>
        <w:rPr>
          <w:sz w:val="24"/>
        </w:rPr>
        <w:t>had accelerated dramatically, with the annual growth rate in</w:t>
      </w:r>
      <w:r>
        <w:rPr>
          <w:spacing w:val="25"/>
          <w:sz w:val="24"/>
        </w:rPr>
        <w:t> </w:t>
      </w:r>
      <w:r>
        <w:rPr>
          <w:sz w:val="24"/>
        </w:rPr>
        <w:t>July</w:t>
      </w:r>
    </w:p>
    <w:p>
      <w:pPr>
        <w:spacing w:after="0" w:line="364" w:lineRule="auto"/>
        <w:jc w:val="left"/>
        <w:rPr>
          <w:sz w:val="24"/>
        </w:rPr>
        <w:sectPr>
          <w:pgSz w:w="12240" w:h="15840"/>
          <w:pgMar w:top="1500" w:bottom="280" w:left="1200" w:right="1200"/>
        </w:sectPr>
      </w:pPr>
    </w:p>
    <w:p>
      <w:pPr>
        <w:pStyle w:val="BodyText"/>
        <w:spacing w:before="6"/>
        <w:rPr>
          <w:sz w:val="23"/>
        </w:rPr>
      </w:pPr>
    </w:p>
    <w:p>
      <w:pPr>
        <w:pStyle w:val="BodyText"/>
        <w:spacing w:line="360" w:lineRule="auto" w:before="90"/>
        <w:ind w:left="105" w:right="137"/>
      </w:pPr>
      <w:r>
        <w:rPr/>
        <w:t>reaching 14 ½% compared with less than 6% in 1999 Q4, and with PNFC finance from other sources also growing quickly. Deposits made by PNFCs had risen rapidly earlier in the year, possibly related to tax changes which made it less attractive to hold surplus funds overseas, and this increase in corporate balance sheets was something of a puzzle. Although net debt did not appear that high as a percentage of capital stock measured at market values, at replacement cost the net debt ratio was above that of the early 1990s.</w:t>
      </w:r>
    </w:p>
    <w:p>
      <w:pPr>
        <w:pStyle w:val="BodyText"/>
        <w:spacing w:before="9"/>
        <w:rPr>
          <w:sz w:val="35"/>
        </w:rPr>
      </w:pPr>
    </w:p>
    <w:p>
      <w:pPr>
        <w:pStyle w:val="ListParagraph"/>
        <w:numPr>
          <w:ilvl w:val="0"/>
          <w:numId w:val="1"/>
        </w:numPr>
        <w:tabs>
          <w:tab w:pos="525" w:val="left" w:leader="none"/>
        </w:tabs>
        <w:spacing w:line="360" w:lineRule="auto" w:before="0" w:after="0"/>
        <w:ind w:left="105" w:right="148" w:firstLine="0"/>
        <w:jc w:val="left"/>
        <w:rPr>
          <w:sz w:val="24"/>
        </w:rPr>
      </w:pPr>
      <w:r>
        <w:rPr>
          <w:sz w:val="24"/>
        </w:rPr>
        <w:t>One possibility was that ‘distress’ borrowing was increasing, but there was little evidence for this from the deposit figures. Another was that investment was buoyant, but this seemed difficult to square with the latest Q2 figures, although it was always possible that the investment numbers would be revised up. A third possibility was that although growth in investment had been sluggish so far in 2000, the level of investment remained high by historic standards; companies might have funded higher investment initially out of internal funds and later, as investment remained buoyant, by borrowing. However, when measured at current prices the share of investment in GDP was </w:t>
      </w:r>
      <w:r>
        <w:rPr>
          <w:spacing w:val="-2"/>
          <w:sz w:val="24"/>
        </w:rPr>
        <w:t>not </w:t>
      </w:r>
      <w:r>
        <w:rPr>
          <w:sz w:val="24"/>
        </w:rPr>
        <w:t>as high as when measured at constant prices, and for these purposes the current-price measure </w:t>
      </w:r>
      <w:r>
        <w:rPr>
          <w:spacing w:val="-2"/>
          <w:sz w:val="24"/>
        </w:rPr>
        <w:t>was </w:t>
      </w:r>
      <w:r>
        <w:rPr>
          <w:sz w:val="24"/>
        </w:rPr>
        <w:t>the more relevant. Finally, it might be that companies were borrowing in order to invest overseas, and that some of this borrowing was held on deposit in the UK ahead of a prospective </w:t>
      </w:r>
      <w:r>
        <w:rPr>
          <w:spacing w:val="-2"/>
          <w:sz w:val="24"/>
        </w:rPr>
        <w:t>acquisition. </w:t>
      </w:r>
      <w:r>
        <w:rPr>
          <w:sz w:val="24"/>
        </w:rPr>
        <w:t>All in all, the continuing combination of heavy corporate borrowing and low reported investment remained a</w:t>
      </w:r>
      <w:r>
        <w:rPr>
          <w:spacing w:val="-5"/>
          <w:sz w:val="24"/>
        </w:rPr>
        <w:t> </w:t>
      </w:r>
      <w:r>
        <w:rPr>
          <w:sz w:val="24"/>
        </w:rPr>
        <w:t>puzzle.</w:t>
      </w:r>
    </w:p>
    <w:p>
      <w:pPr>
        <w:pStyle w:val="BodyText"/>
        <w:spacing w:before="3"/>
        <w:rPr>
          <w:sz w:val="36"/>
        </w:rPr>
      </w:pPr>
    </w:p>
    <w:p>
      <w:pPr>
        <w:pStyle w:val="ListParagraph"/>
        <w:numPr>
          <w:ilvl w:val="0"/>
          <w:numId w:val="1"/>
        </w:numPr>
        <w:tabs>
          <w:tab w:pos="525" w:val="left" w:leader="none"/>
        </w:tabs>
        <w:spacing w:line="360" w:lineRule="auto" w:before="0" w:after="0"/>
        <w:ind w:left="105" w:right="103" w:firstLine="0"/>
        <w:jc w:val="left"/>
        <w:rPr>
          <w:sz w:val="24"/>
        </w:rPr>
      </w:pPr>
      <w:r>
        <w:rPr>
          <w:sz w:val="24"/>
        </w:rPr>
        <w:t>While sterling’s exchange rate was little changed in effective terms over the past month, there had been some movement in the bilateral rates. In particular, sterling had fallen to a seven-year </w:t>
      </w:r>
      <w:r>
        <w:rPr>
          <w:spacing w:val="-2"/>
          <w:sz w:val="24"/>
        </w:rPr>
        <w:t>low </w:t>
      </w:r>
      <w:r>
        <w:rPr>
          <w:sz w:val="24"/>
        </w:rPr>
        <w:t>against the US dollar, perhaps because the market was becoming increasingly convinced that </w:t>
      </w:r>
      <w:r>
        <w:rPr>
          <w:spacing w:val="-2"/>
          <w:sz w:val="24"/>
        </w:rPr>
        <w:t>the </w:t>
      </w:r>
      <w:r>
        <w:rPr>
          <w:sz w:val="24"/>
        </w:rPr>
        <w:t>recent rapid productivity gains in the United States were sustainable, and that the US economy </w:t>
      </w:r>
      <w:r>
        <w:rPr>
          <w:spacing w:val="-2"/>
          <w:sz w:val="24"/>
        </w:rPr>
        <w:t>was </w:t>
      </w:r>
      <w:r>
        <w:rPr>
          <w:sz w:val="24"/>
        </w:rPr>
        <w:t>now less likely to undergo a ‘hard landing’. The US dollar had been stronger against a wide range of currencies over the past month, so the weakness of sterling against the dollar was unlikely to have arisen for UK-specific reasons. Sterling had meanwhile appreciated a little against the euro, </w:t>
      </w:r>
      <w:r>
        <w:rPr>
          <w:spacing w:val="-3"/>
          <w:sz w:val="24"/>
        </w:rPr>
        <w:t>which </w:t>
      </w:r>
      <w:r>
        <w:rPr>
          <w:sz w:val="24"/>
        </w:rPr>
        <w:t>had </w:t>
      </w:r>
      <w:r>
        <w:rPr>
          <w:spacing w:val="-3"/>
          <w:sz w:val="24"/>
        </w:rPr>
        <w:t>fallen </w:t>
      </w:r>
      <w:r>
        <w:rPr>
          <w:sz w:val="24"/>
        </w:rPr>
        <w:t>to new </w:t>
      </w:r>
      <w:r>
        <w:rPr>
          <w:spacing w:val="-3"/>
          <w:sz w:val="24"/>
        </w:rPr>
        <w:t>lows against </w:t>
      </w:r>
      <w:r>
        <w:rPr>
          <w:sz w:val="24"/>
        </w:rPr>
        <w:t>the </w:t>
      </w:r>
      <w:r>
        <w:rPr>
          <w:spacing w:val="-3"/>
          <w:sz w:val="24"/>
        </w:rPr>
        <w:t>dollar. While sterling </w:t>
      </w:r>
      <w:r>
        <w:rPr>
          <w:sz w:val="24"/>
        </w:rPr>
        <w:t>had in </w:t>
      </w:r>
      <w:r>
        <w:rPr>
          <w:spacing w:val="-3"/>
          <w:sz w:val="24"/>
        </w:rPr>
        <w:t>general </w:t>
      </w:r>
      <w:r>
        <w:rPr>
          <w:sz w:val="24"/>
        </w:rPr>
        <w:t>not </w:t>
      </w:r>
      <w:r>
        <w:rPr>
          <w:spacing w:val="-3"/>
          <w:sz w:val="24"/>
        </w:rPr>
        <w:t>moved with the </w:t>
      </w:r>
      <w:r>
        <w:rPr>
          <w:sz w:val="24"/>
        </w:rPr>
        <w:t>dollar against the euro in recent weeks, the evidence of a more fundamental delinking of sterling and the dollar remained</w:t>
      </w:r>
      <w:r>
        <w:rPr>
          <w:spacing w:val="19"/>
          <w:sz w:val="24"/>
        </w:rPr>
        <w:t> </w:t>
      </w:r>
      <w:r>
        <w:rPr>
          <w:sz w:val="24"/>
        </w:rPr>
        <w:t>inconclusive.</w:t>
      </w:r>
    </w:p>
    <w:p>
      <w:pPr>
        <w:spacing w:after="0" w:line="360" w:lineRule="auto"/>
        <w:jc w:val="left"/>
        <w:rPr>
          <w:sz w:val="24"/>
        </w:rPr>
        <w:sectPr>
          <w:pgSz w:w="12240" w:h="15840"/>
          <w:pgMar w:top="1500" w:bottom="280" w:left="1200" w:right="1200"/>
        </w:sectPr>
      </w:pPr>
    </w:p>
    <w:p>
      <w:pPr>
        <w:pStyle w:val="BodyText"/>
        <w:spacing w:before="6"/>
        <w:rPr>
          <w:sz w:val="23"/>
        </w:rPr>
      </w:pPr>
    </w:p>
    <w:p>
      <w:pPr>
        <w:pStyle w:val="ListParagraph"/>
        <w:numPr>
          <w:ilvl w:val="0"/>
          <w:numId w:val="1"/>
        </w:numPr>
        <w:tabs>
          <w:tab w:pos="525" w:val="left" w:leader="none"/>
        </w:tabs>
        <w:spacing w:line="357" w:lineRule="auto" w:before="90" w:after="0"/>
        <w:ind w:left="105" w:right="193" w:firstLine="0"/>
        <w:jc w:val="left"/>
        <w:rPr>
          <w:sz w:val="24"/>
        </w:rPr>
      </w:pPr>
      <w:r>
        <w:rPr>
          <w:sz w:val="24"/>
        </w:rPr>
        <w:t>To the extent that sterling’s exchange rate index properly captured the relative importance of the United States and the euro area, the effects on trade flows of the recent movements in sterling (which had left the index broadly unchanged) should on balance be neutral. Firms which competed principally with US producers would benefit from the fall in sterling against the dollar, at </w:t>
      </w:r>
      <w:r>
        <w:rPr>
          <w:spacing w:val="-2"/>
          <w:sz w:val="24"/>
        </w:rPr>
        <w:t>the </w:t>
      </w:r>
      <w:r>
        <w:rPr>
          <w:sz w:val="24"/>
        </w:rPr>
        <w:t>expense of those whose main competitors were from the euro</w:t>
      </w:r>
      <w:r>
        <w:rPr>
          <w:spacing w:val="34"/>
          <w:sz w:val="24"/>
        </w:rPr>
        <w:t> </w:t>
      </w:r>
      <w:r>
        <w:rPr>
          <w:sz w:val="24"/>
        </w:rPr>
        <w:t>area.</w:t>
      </w:r>
    </w:p>
    <w:p>
      <w:pPr>
        <w:pStyle w:val="BodyText"/>
        <w:spacing w:before="8"/>
        <w:rPr>
          <w:sz w:val="37"/>
        </w:rPr>
      </w:pPr>
    </w:p>
    <w:p>
      <w:pPr>
        <w:pStyle w:val="ListParagraph"/>
        <w:numPr>
          <w:ilvl w:val="0"/>
          <w:numId w:val="1"/>
        </w:numPr>
        <w:tabs>
          <w:tab w:pos="525" w:val="left" w:leader="none"/>
        </w:tabs>
        <w:spacing w:line="357" w:lineRule="auto" w:before="1" w:after="0"/>
        <w:ind w:left="105" w:right="238" w:firstLine="0"/>
        <w:jc w:val="left"/>
        <w:rPr>
          <w:sz w:val="24"/>
        </w:rPr>
      </w:pPr>
      <w:r>
        <w:rPr>
          <w:sz w:val="24"/>
        </w:rPr>
        <w:t>Over the longer term, it was far from clear that an appreciation of the dollar against the euro would be sustained, given the size of the US current account deficit. But for as long as relative rates of return on capital in the United States appeared high, the United States would continue to attract capital from the rest of the world. In that sense the present position might be sustainable </w:t>
      </w:r>
      <w:r>
        <w:rPr>
          <w:spacing w:val="-2"/>
          <w:sz w:val="24"/>
        </w:rPr>
        <w:t>for </w:t>
      </w:r>
      <w:r>
        <w:rPr>
          <w:spacing w:val="-3"/>
          <w:sz w:val="24"/>
        </w:rPr>
        <w:t>some time </w:t>
      </w:r>
      <w:r>
        <w:rPr>
          <w:sz w:val="24"/>
        </w:rPr>
        <w:t>to</w:t>
      </w:r>
      <w:r>
        <w:rPr>
          <w:spacing w:val="12"/>
          <w:sz w:val="24"/>
        </w:rPr>
        <w:t> </w:t>
      </w:r>
      <w:r>
        <w:rPr>
          <w:spacing w:val="-3"/>
          <w:sz w:val="24"/>
        </w:rPr>
        <w:t>come.</w:t>
      </w:r>
    </w:p>
    <w:p>
      <w:pPr>
        <w:pStyle w:val="BodyText"/>
        <w:spacing w:before="4"/>
        <w:rPr>
          <w:sz w:val="36"/>
        </w:rPr>
      </w:pPr>
    </w:p>
    <w:p>
      <w:pPr>
        <w:pStyle w:val="Heading2"/>
        <w:spacing w:before="1"/>
        <w:ind w:left="105"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147" w:firstLine="0"/>
        <w:jc w:val="left"/>
        <w:rPr>
          <w:sz w:val="24"/>
        </w:rPr>
      </w:pPr>
      <w:r>
        <w:rPr>
          <w:sz w:val="24"/>
        </w:rPr>
        <w:t>Employment growth had picked up in Q2, with the Labour Force Survey (LFS) measure up by 0.4%, compared with 0.2% in Q1. The estimate of average hours worked was 0.6% higher in Q2 and so, on the basis of that measure, whole-economy productivity growth on an hourly basis would be </w:t>
      </w:r>
      <w:r>
        <w:rPr>
          <w:spacing w:val="-3"/>
          <w:sz w:val="24"/>
        </w:rPr>
        <w:t>close </w:t>
      </w:r>
      <w:r>
        <w:rPr>
          <w:sz w:val="24"/>
        </w:rPr>
        <w:t>to </w:t>
      </w:r>
      <w:r>
        <w:rPr>
          <w:spacing w:val="-3"/>
          <w:sz w:val="24"/>
        </w:rPr>
        <w:t>zero </w:t>
      </w:r>
      <w:r>
        <w:rPr>
          <w:sz w:val="24"/>
        </w:rPr>
        <w:t>in </w:t>
      </w:r>
      <w:r>
        <w:rPr>
          <w:spacing w:val="-3"/>
          <w:sz w:val="24"/>
        </w:rPr>
        <w:t>that quarter. </w:t>
      </w:r>
      <w:r>
        <w:rPr>
          <w:sz w:val="24"/>
        </w:rPr>
        <w:t>The </w:t>
      </w:r>
      <w:r>
        <w:rPr>
          <w:spacing w:val="-3"/>
          <w:sz w:val="24"/>
        </w:rPr>
        <w:t>increase </w:t>
      </w:r>
      <w:r>
        <w:rPr>
          <w:sz w:val="24"/>
        </w:rPr>
        <w:t>in </w:t>
      </w:r>
      <w:r>
        <w:rPr>
          <w:spacing w:val="-3"/>
          <w:sz w:val="24"/>
        </w:rPr>
        <w:t>hours worked </w:t>
      </w:r>
      <w:r>
        <w:rPr>
          <w:sz w:val="24"/>
        </w:rPr>
        <w:t>was </w:t>
      </w:r>
      <w:r>
        <w:rPr>
          <w:spacing w:val="-3"/>
          <w:sz w:val="24"/>
        </w:rPr>
        <w:t>consistent with signs that the  </w:t>
      </w:r>
      <w:r>
        <w:rPr>
          <w:sz w:val="24"/>
        </w:rPr>
        <w:t>labour market was tightening further, although the series was volatile, with average hours still 0.9% </w:t>
      </w:r>
      <w:r>
        <w:rPr>
          <w:spacing w:val="-3"/>
          <w:sz w:val="24"/>
        </w:rPr>
        <w:t>below </w:t>
      </w:r>
      <w:r>
        <w:rPr>
          <w:sz w:val="24"/>
        </w:rPr>
        <w:t>the </w:t>
      </w:r>
      <w:r>
        <w:rPr>
          <w:spacing w:val="-3"/>
          <w:sz w:val="24"/>
        </w:rPr>
        <w:t>levels </w:t>
      </w:r>
      <w:r>
        <w:rPr>
          <w:sz w:val="24"/>
        </w:rPr>
        <w:t>of a </w:t>
      </w:r>
      <w:r>
        <w:rPr>
          <w:spacing w:val="-3"/>
          <w:sz w:val="24"/>
        </w:rPr>
        <w:t>year</w:t>
      </w:r>
      <w:r>
        <w:rPr>
          <w:spacing w:val="36"/>
          <w:sz w:val="24"/>
        </w:rPr>
        <w:t> </w:t>
      </w:r>
      <w:r>
        <w:rPr>
          <w:spacing w:val="-3"/>
          <w:sz w:val="24"/>
        </w:rPr>
        <w:t>ago.</w:t>
      </w:r>
    </w:p>
    <w:p>
      <w:pPr>
        <w:pStyle w:val="BodyText"/>
        <w:spacing w:before="1"/>
        <w:rPr>
          <w:sz w:val="37"/>
        </w:rPr>
      </w:pPr>
    </w:p>
    <w:p>
      <w:pPr>
        <w:pStyle w:val="ListParagraph"/>
        <w:numPr>
          <w:ilvl w:val="0"/>
          <w:numId w:val="1"/>
        </w:numPr>
        <w:tabs>
          <w:tab w:pos="525" w:val="left" w:leader="none"/>
        </w:tabs>
        <w:spacing w:line="357" w:lineRule="auto" w:before="0" w:after="0"/>
        <w:ind w:left="105" w:right="297" w:firstLine="0"/>
        <w:jc w:val="left"/>
        <w:rPr>
          <w:sz w:val="24"/>
        </w:rPr>
      </w:pPr>
      <w:r>
        <w:rPr>
          <w:sz w:val="24"/>
        </w:rPr>
        <w:t>Unemployment continued to fall rather steadily on the claimant count basis, but had fallen more rapidly on the LFS measure, from 5.8% of the labour force in Q1 to 5.5% in Q2. This </w:t>
      </w:r>
      <w:r>
        <w:rPr>
          <w:spacing w:val="-2"/>
          <w:sz w:val="24"/>
        </w:rPr>
        <w:t>partly </w:t>
      </w:r>
      <w:r>
        <w:rPr>
          <w:sz w:val="24"/>
        </w:rPr>
        <w:t>reflected – in an accounting sense – a rise in male inactivity, but it was probably too soon to read anything significant into</w:t>
      </w:r>
      <w:r>
        <w:rPr>
          <w:spacing w:val="11"/>
          <w:sz w:val="24"/>
        </w:rPr>
        <w:t> </w:t>
      </w:r>
      <w:r>
        <w:rPr>
          <w:sz w:val="24"/>
        </w:rPr>
        <w:t>this.</w:t>
      </w:r>
    </w:p>
    <w:p>
      <w:pPr>
        <w:pStyle w:val="BodyText"/>
        <w:rPr>
          <w:sz w:val="37"/>
        </w:rPr>
      </w:pPr>
    </w:p>
    <w:p>
      <w:pPr>
        <w:pStyle w:val="ListParagraph"/>
        <w:numPr>
          <w:ilvl w:val="0"/>
          <w:numId w:val="1"/>
        </w:numPr>
        <w:tabs>
          <w:tab w:pos="525" w:val="left" w:leader="none"/>
        </w:tabs>
        <w:spacing w:line="357" w:lineRule="auto" w:before="0" w:after="0"/>
        <w:ind w:left="105" w:right="133" w:firstLine="0"/>
        <w:jc w:val="left"/>
        <w:rPr>
          <w:sz w:val="24"/>
        </w:rPr>
      </w:pPr>
      <w:r>
        <w:rPr>
          <w:sz w:val="24"/>
        </w:rPr>
        <w:t>CIPS survey data suggested a slower pace of decline in manufacturing employment, and steady growth in services employment, although in this case the balance was below that for business activity in services. The most recent Recruitment and Employment Confederation survey </w:t>
      </w:r>
      <w:r>
        <w:rPr>
          <w:spacing w:val="-2"/>
          <w:sz w:val="24"/>
        </w:rPr>
        <w:t>and </w:t>
      </w:r>
      <w:r>
        <w:rPr>
          <w:sz w:val="24"/>
        </w:rPr>
        <w:t>reports from the Bank’s regional Agents both indicated widespread skill shortages, but it </w:t>
      </w:r>
      <w:r>
        <w:rPr>
          <w:spacing w:val="-2"/>
          <w:sz w:val="24"/>
        </w:rPr>
        <w:t>was </w:t>
      </w:r>
      <w:r>
        <w:rPr>
          <w:sz w:val="24"/>
        </w:rPr>
        <w:t>unclear to what extent these problems were increasing across the economy as a</w:t>
      </w:r>
      <w:r>
        <w:rPr>
          <w:spacing w:val="16"/>
          <w:sz w:val="24"/>
        </w:rPr>
        <w:t> </w:t>
      </w:r>
      <w:r>
        <w:rPr>
          <w:sz w:val="24"/>
        </w:rPr>
        <w:t>whole.</w:t>
      </w:r>
    </w:p>
    <w:p>
      <w:pPr>
        <w:spacing w:after="0" w:line="357" w:lineRule="auto"/>
        <w:jc w:val="left"/>
        <w:rPr>
          <w:sz w:val="24"/>
        </w:rPr>
        <w:sectPr>
          <w:pgSz w:w="12240" w:h="15840"/>
          <w:pgMar w:top="1500" w:bottom="280" w:left="1200" w:right="1200"/>
        </w:sectPr>
      </w:pPr>
    </w:p>
    <w:p>
      <w:pPr>
        <w:pStyle w:val="BodyText"/>
        <w:spacing w:before="6"/>
        <w:rPr>
          <w:sz w:val="23"/>
        </w:rPr>
      </w:pPr>
    </w:p>
    <w:p>
      <w:pPr>
        <w:pStyle w:val="ListParagraph"/>
        <w:numPr>
          <w:ilvl w:val="0"/>
          <w:numId w:val="1"/>
        </w:numPr>
        <w:tabs>
          <w:tab w:pos="525" w:val="left" w:leader="none"/>
        </w:tabs>
        <w:spacing w:line="360" w:lineRule="auto" w:before="90" w:after="0"/>
        <w:ind w:left="105" w:right="208" w:firstLine="0"/>
        <w:jc w:val="left"/>
        <w:rPr>
          <w:sz w:val="24"/>
        </w:rPr>
      </w:pPr>
      <w:r>
        <w:rPr>
          <w:sz w:val="24"/>
        </w:rPr>
        <w:t>While the quantities data suggested that the labour market remained tight, and might be </w:t>
      </w:r>
      <w:r>
        <w:rPr>
          <w:spacing w:val="-3"/>
          <w:sz w:val="24"/>
        </w:rPr>
        <w:t>tightening further, there </w:t>
      </w:r>
      <w:r>
        <w:rPr>
          <w:sz w:val="24"/>
        </w:rPr>
        <w:t>was </w:t>
      </w:r>
      <w:r>
        <w:rPr>
          <w:spacing w:val="-3"/>
          <w:sz w:val="24"/>
        </w:rPr>
        <w:t>little sign </w:t>
      </w:r>
      <w:r>
        <w:rPr>
          <w:sz w:val="24"/>
        </w:rPr>
        <w:t>yet of </w:t>
      </w:r>
      <w:r>
        <w:rPr>
          <w:spacing w:val="-3"/>
          <w:sz w:val="24"/>
        </w:rPr>
        <w:t>this feeding through into higher nominal earnings.     </w:t>
      </w:r>
      <w:r>
        <w:rPr>
          <w:sz w:val="24"/>
        </w:rPr>
        <w:t>The Average Earnings Index (AEI) showed another fall in earnings growth, from 4.6% to 4.1% on the </w:t>
      </w:r>
      <w:r>
        <w:rPr>
          <w:spacing w:val="-3"/>
          <w:sz w:val="24"/>
        </w:rPr>
        <w:t>three-month headline basis, </w:t>
      </w:r>
      <w:r>
        <w:rPr>
          <w:sz w:val="24"/>
        </w:rPr>
        <w:t>and </w:t>
      </w:r>
      <w:r>
        <w:rPr>
          <w:spacing w:val="-3"/>
          <w:sz w:val="24"/>
        </w:rPr>
        <w:t>from 4.0% </w:t>
      </w:r>
      <w:r>
        <w:rPr>
          <w:sz w:val="24"/>
        </w:rPr>
        <w:t>in the </w:t>
      </w:r>
      <w:r>
        <w:rPr>
          <w:spacing w:val="-3"/>
          <w:sz w:val="24"/>
        </w:rPr>
        <w:t>year </w:t>
      </w:r>
      <w:r>
        <w:rPr>
          <w:sz w:val="24"/>
        </w:rPr>
        <w:t>to May to </w:t>
      </w:r>
      <w:r>
        <w:rPr>
          <w:spacing w:val="-3"/>
          <w:sz w:val="24"/>
        </w:rPr>
        <w:t>3.8% </w:t>
      </w:r>
      <w:r>
        <w:rPr>
          <w:sz w:val="24"/>
        </w:rPr>
        <w:t>in the </w:t>
      </w:r>
      <w:r>
        <w:rPr>
          <w:spacing w:val="-3"/>
          <w:sz w:val="24"/>
        </w:rPr>
        <w:t>year </w:t>
      </w:r>
      <w:r>
        <w:rPr>
          <w:sz w:val="24"/>
        </w:rPr>
        <w:t>to </w:t>
      </w:r>
      <w:r>
        <w:rPr>
          <w:spacing w:val="-3"/>
          <w:sz w:val="24"/>
        </w:rPr>
        <w:t>June.   </w:t>
      </w:r>
      <w:r>
        <w:rPr>
          <w:sz w:val="24"/>
        </w:rPr>
        <w:t>These figures were below those incorporated for Q2 in the August </w:t>
      </w:r>
      <w:r>
        <w:rPr>
          <w:i/>
          <w:sz w:val="24"/>
        </w:rPr>
        <w:t>Inflation Report</w:t>
      </w:r>
      <w:r>
        <w:rPr>
          <w:sz w:val="24"/>
        </w:rPr>
        <w:t>, but it</w:t>
      </w:r>
      <w:r>
        <w:rPr>
          <w:spacing w:val="-29"/>
          <w:sz w:val="24"/>
        </w:rPr>
        <w:t> </w:t>
      </w:r>
      <w:r>
        <w:rPr>
          <w:sz w:val="24"/>
        </w:rPr>
        <w:t>remained to be seen how far they reflected one-off influences, and how far a continuing moderation in </w:t>
      </w:r>
      <w:r>
        <w:rPr>
          <w:spacing w:val="-3"/>
          <w:sz w:val="24"/>
        </w:rPr>
        <w:t>earnings</w:t>
      </w:r>
      <w:r>
        <w:rPr>
          <w:spacing w:val="12"/>
          <w:sz w:val="24"/>
        </w:rPr>
        <w:t> </w:t>
      </w:r>
      <w:r>
        <w:rPr>
          <w:spacing w:val="-3"/>
          <w:sz w:val="24"/>
        </w:rPr>
        <w:t>growth.</w:t>
      </w:r>
    </w:p>
    <w:p>
      <w:pPr>
        <w:pStyle w:val="BodyText"/>
        <w:spacing w:before="3"/>
        <w:rPr>
          <w:sz w:val="36"/>
        </w:rPr>
      </w:pPr>
    </w:p>
    <w:p>
      <w:pPr>
        <w:pStyle w:val="ListParagraph"/>
        <w:numPr>
          <w:ilvl w:val="0"/>
          <w:numId w:val="1"/>
        </w:numPr>
        <w:tabs>
          <w:tab w:pos="525" w:val="left" w:leader="none"/>
        </w:tabs>
        <w:spacing w:line="357" w:lineRule="auto" w:before="0" w:after="0"/>
        <w:ind w:left="105" w:right="148" w:firstLine="0"/>
        <w:jc w:val="left"/>
        <w:rPr>
          <w:sz w:val="24"/>
        </w:rPr>
      </w:pPr>
      <w:r>
        <w:rPr>
          <w:sz w:val="24"/>
        </w:rPr>
        <w:t>The recent slowdown in earnings growth was accounted for by a substantial negative contribution from bonuses, both in May and June, most notably in the private services sector,</w:t>
      </w:r>
      <w:r>
        <w:rPr>
          <w:spacing w:val="-31"/>
          <w:sz w:val="24"/>
        </w:rPr>
        <w:t> </w:t>
      </w:r>
      <w:r>
        <w:rPr>
          <w:sz w:val="24"/>
        </w:rPr>
        <w:t>where earnings in June were only 3.3% higher than a year ago, as against 4.4% in manufacturing. In as much as this deceleration reflected pressure on profits, this was consistent with the stock market underperformance of the retail sector and reports from the Bank’s regional Agents of subdued high street activity. Whole-economy regular pay, ie earnings excluding bonuses, had been growing at </w:t>
      </w:r>
      <w:r>
        <w:rPr>
          <w:spacing w:val="-3"/>
          <w:sz w:val="24"/>
        </w:rPr>
        <w:t>around </w:t>
      </w:r>
      <w:r>
        <w:rPr>
          <w:sz w:val="24"/>
        </w:rPr>
        <w:t>4 ½% a </w:t>
      </w:r>
      <w:r>
        <w:rPr>
          <w:spacing w:val="-3"/>
          <w:sz w:val="24"/>
        </w:rPr>
        <w:t>year </w:t>
      </w:r>
      <w:r>
        <w:rPr>
          <w:spacing w:val="-4"/>
          <w:sz w:val="24"/>
        </w:rPr>
        <w:t>since</w:t>
      </w:r>
      <w:r>
        <w:rPr>
          <w:spacing w:val="30"/>
          <w:sz w:val="24"/>
        </w:rPr>
        <w:t> </w:t>
      </w:r>
      <w:r>
        <w:rPr>
          <w:spacing w:val="-4"/>
          <w:sz w:val="24"/>
        </w:rPr>
        <w:t>March.</w:t>
      </w:r>
    </w:p>
    <w:p>
      <w:pPr>
        <w:pStyle w:val="BodyText"/>
        <w:rPr>
          <w:sz w:val="38"/>
        </w:rPr>
      </w:pPr>
    </w:p>
    <w:p>
      <w:pPr>
        <w:pStyle w:val="ListParagraph"/>
        <w:numPr>
          <w:ilvl w:val="0"/>
          <w:numId w:val="1"/>
        </w:numPr>
        <w:tabs>
          <w:tab w:pos="525" w:val="left" w:leader="none"/>
        </w:tabs>
        <w:spacing w:line="360" w:lineRule="auto" w:before="0" w:after="0"/>
        <w:ind w:left="105" w:right="132" w:firstLine="0"/>
        <w:jc w:val="left"/>
        <w:rPr>
          <w:sz w:val="24"/>
        </w:rPr>
      </w:pPr>
      <w:r>
        <w:rPr>
          <w:sz w:val="24"/>
        </w:rPr>
        <w:t>The Committee discussed the significance of these figures. Earlier in the year it had noted that millennium-related payments had pushed up earnings growth, and that as a result the figures </w:t>
      </w:r>
      <w:r>
        <w:rPr>
          <w:spacing w:val="-2"/>
          <w:sz w:val="24"/>
        </w:rPr>
        <w:t>needed </w:t>
      </w:r>
      <w:r>
        <w:rPr>
          <w:sz w:val="24"/>
        </w:rPr>
        <w:t>to be interpreted with care. This was less of a problem now that the change of millennium was past, and in any case the main news was the surprisingly large fall in bonus payments; growth in regular pay was relatively stable. This could suggest welcome evidence of a more flexible wages structure. While some recovery in bonuses and thus AEI growth rates was quite likely, bonuses for many workers in 2000 Q4 and 2001 Q1 would not be as large as those paid around the turn of the millennium. This effect had been incorporated into the central projection of the August </w:t>
      </w:r>
      <w:r>
        <w:rPr>
          <w:i/>
          <w:sz w:val="24"/>
        </w:rPr>
        <w:t>Inflation </w:t>
      </w:r>
      <w:r>
        <w:rPr>
          <w:i/>
          <w:sz w:val="24"/>
        </w:rPr>
        <w:t>Report</w:t>
      </w:r>
      <w:r>
        <w:rPr>
          <w:sz w:val="24"/>
        </w:rPr>
        <w:t>, but </w:t>
      </w:r>
      <w:r>
        <w:rPr>
          <w:spacing w:val="-3"/>
          <w:sz w:val="24"/>
        </w:rPr>
        <w:t>some members </w:t>
      </w:r>
      <w:r>
        <w:rPr>
          <w:sz w:val="24"/>
        </w:rPr>
        <w:t>now </w:t>
      </w:r>
      <w:r>
        <w:rPr>
          <w:spacing w:val="-3"/>
          <w:sz w:val="24"/>
        </w:rPr>
        <w:t>thought </w:t>
      </w:r>
      <w:r>
        <w:rPr>
          <w:sz w:val="24"/>
        </w:rPr>
        <w:t>it </w:t>
      </w:r>
      <w:r>
        <w:rPr>
          <w:spacing w:val="-3"/>
          <w:sz w:val="24"/>
        </w:rPr>
        <w:t>likely that over </w:t>
      </w:r>
      <w:r>
        <w:rPr>
          <w:sz w:val="24"/>
        </w:rPr>
        <w:t>the </w:t>
      </w:r>
      <w:r>
        <w:rPr>
          <w:spacing w:val="-3"/>
          <w:sz w:val="24"/>
        </w:rPr>
        <w:t>next </w:t>
      </w:r>
      <w:r>
        <w:rPr>
          <w:sz w:val="24"/>
        </w:rPr>
        <w:t>few </w:t>
      </w:r>
      <w:r>
        <w:rPr>
          <w:spacing w:val="-3"/>
          <w:sz w:val="24"/>
        </w:rPr>
        <w:t>quarters </w:t>
      </w:r>
      <w:r>
        <w:rPr>
          <w:sz w:val="24"/>
        </w:rPr>
        <w:t>the AEI </w:t>
      </w:r>
      <w:r>
        <w:rPr>
          <w:spacing w:val="-3"/>
          <w:sz w:val="24"/>
        </w:rPr>
        <w:t>would   </w:t>
      </w:r>
      <w:r>
        <w:rPr>
          <w:sz w:val="24"/>
        </w:rPr>
        <w:t>grow more slowly than had been assumed in the</w:t>
      </w:r>
      <w:r>
        <w:rPr>
          <w:spacing w:val="44"/>
          <w:sz w:val="24"/>
        </w:rPr>
        <w:t> </w:t>
      </w:r>
      <w:r>
        <w:rPr>
          <w:sz w:val="24"/>
        </w:rPr>
        <w:t>forecast.</w:t>
      </w:r>
    </w:p>
    <w:p>
      <w:pPr>
        <w:pStyle w:val="BodyText"/>
        <w:spacing w:before="3"/>
        <w:rPr>
          <w:sz w:val="35"/>
        </w:rPr>
      </w:pPr>
    </w:p>
    <w:p>
      <w:pPr>
        <w:pStyle w:val="ListParagraph"/>
        <w:numPr>
          <w:ilvl w:val="0"/>
          <w:numId w:val="1"/>
        </w:numPr>
        <w:tabs>
          <w:tab w:pos="525" w:val="left" w:leader="none"/>
        </w:tabs>
        <w:spacing w:line="360" w:lineRule="auto" w:before="0" w:after="0"/>
        <w:ind w:left="105" w:right="177" w:firstLine="0"/>
        <w:jc w:val="left"/>
        <w:rPr>
          <w:sz w:val="24"/>
        </w:rPr>
      </w:pPr>
      <w:r>
        <w:rPr>
          <w:sz w:val="24"/>
        </w:rPr>
        <w:t>Despite the tightness of the labour market, nominal wage settlements had fallen back from close</w:t>
      </w:r>
      <w:r>
        <w:rPr>
          <w:spacing w:val="-3"/>
          <w:sz w:val="24"/>
        </w:rPr>
        <w:t> </w:t>
      </w:r>
      <w:r>
        <w:rPr>
          <w:sz w:val="24"/>
        </w:rPr>
        <w:t>to</w:t>
      </w:r>
      <w:r>
        <w:rPr>
          <w:spacing w:val="-3"/>
          <w:sz w:val="24"/>
        </w:rPr>
        <w:t> </w:t>
      </w:r>
      <w:r>
        <w:rPr>
          <w:sz w:val="24"/>
        </w:rPr>
        <w:t>4%</w:t>
      </w:r>
      <w:r>
        <w:rPr>
          <w:spacing w:val="-3"/>
          <w:sz w:val="24"/>
        </w:rPr>
        <w:t> </w:t>
      </w:r>
      <w:r>
        <w:rPr>
          <w:sz w:val="24"/>
        </w:rPr>
        <w:t>two</w:t>
      </w:r>
      <w:r>
        <w:rPr>
          <w:spacing w:val="-2"/>
          <w:sz w:val="24"/>
        </w:rPr>
        <w:t> </w:t>
      </w:r>
      <w:r>
        <w:rPr>
          <w:sz w:val="24"/>
        </w:rPr>
        <w:t>years</w:t>
      </w:r>
      <w:r>
        <w:rPr>
          <w:spacing w:val="-3"/>
          <w:sz w:val="24"/>
        </w:rPr>
        <w:t> </w:t>
      </w:r>
      <w:r>
        <w:rPr>
          <w:sz w:val="24"/>
        </w:rPr>
        <w:t>ago</w:t>
      </w:r>
      <w:r>
        <w:rPr>
          <w:spacing w:val="-3"/>
          <w:sz w:val="24"/>
        </w:rPr>
        <w:t> </w:t>
      </w:r>
      <w:r>
        <w:rPr>
          <w:sz w:val="24"/>
        </w:rPr>
        <w:t>to</w:t>
      </w:r>
      <w:r>
        <w:rPr>
          <w:spacing w:val="-3"/>
          <w:sz w:val="24"/>
        </w:rPr>
        <w:t> </w:t>
      </w:r>
      <w:r>
        <w:rPr>
          <w:sz w:val="24"/>
        </w:rPr>
        <w:t>around</w:t>
      </w:r>
      <w:r>
        <w:rPr>
          <w:spacing w:val="-2"/>
          <w:sz w:val="24"/>
        </w:rPr>
        <w:t> </w:t>
      </w:r>
      <w:r>
        <w:rPr>
          <w:sz w:val="24"/>
        </w:rPr>
        <w:t>3%</w:t>
      </w:r>
      <w:r>
        <w:rPr>
          <w:spacing w:val="-3"/>
          <w:sz w:val="24"/>
        </w:rPr>
        <w:t> </w:t>
      </w:r>
      <w:r>
        <w:rPr>
          <w:sz w:val="24"/>
        </w:rPr>
        <w:t>now,</w:t>
      </w:r>
      <w:r>
        <w:rPr>
          <w:spacing w:val="-3"/>
          <w:sz w:val="24"/>
        </w:rPr>
        <w:t> </w:t>
      </w:r>
      <w:r>
        <w:rPr>
          <w:sz w:val="24"/>
        </w:rPr>
        <w:t>during</w:t>
      </w:r>
      <w:r>
        <w:rPr>
          <w:spacing w:val="-3"/>
          <w:sz w:val="24"/>
        </w:rPr>
        <w:t> </w:t>
      </w:r>
      <w:r>
        <w:rPr>
          <w:sz w:val="24"/>
        </w:rPr>
        <w:t>a</w:t>
      </w:r>
      <w:r>
        <w:rPr>
          <w:spacing w:val="-2"/>
          <w:sz w:val="24"/>
        </w:rPr>
        <w:t> </w:t>
      </w:r>
      <w:r>
        <w:rPr>
          <w:sz w:val="24"/>
        </w:rPr>
        <w:t>period</w:t>
      </w:r>
      <w:r>
        <w:rPr>
          <w:spacing w:val="-3"/>
          <w:sz w:val="24"/>
        </w:rPr>
        <w:t> </w:t>
      </w:r>
      <w:r>
        <w:rPr>
          <w:sz w:val="24"/>
        </w:rPr>
        <w:t>in</w:t>
      </w:r>
      <w:r>
        <w:rPr>
          <w:spacing w:val="-3"/>
          <w:sz w:val="24"/>
        </w:rPr>
        <w:t> </w:t>
      </w:r>
      <w:r>
        <w:rPr>
          <w:sz w:val="24"/>
        </w:rPr>
        <w:t>which</w:t>
      </w:r>
      <w:r>
        <w:rPr>
          <w:spacing w:val="-2"/>
          <w:sz w:val="24"/>
        </w:rPr>
        <w:t> </w:t>
      </w:r>
      <w:r>
        <w:rPr>
          <w:sz w:val="24"/>
        </w:rPr>
        <w:t>inflation</w:t>
      </w:r>
      <w:r>
        <w:rPr>
          <w:spacing w:val="-3"/>
          <w:sz w:val="24"/>
        </w:rPr>
        <w:t> </w:t>
      </w:r>
      <w:r>
        <w:rPr>
          <w:sz w:val="24"/>
        </w:rPr>
        <w:t>as</w:t>
      </w:r>
      <w:r>
        <w:rPr>
          <w:spacing w:val="-3"/>
          <w:sz w:val="24"/>
        </w:rPr>
        <w:t> </w:t>
      </w:r>
      <w:r>
        <w:rPr>
          <w:sz w:val="24"/>
        </w:rPr>
        <w:t>measured</w:t>
      </w:r>
      <w:r>
        <w:rPr>
          <w:spacing w:val="-3"/>
          <w:sz w:val="24"/>
        </w:rPr>
        <w:t> </w:t>
      </w:r>
      <w:r>
        <w:rPr>
          <w:sz w:val="24"/>
        </w:rPr>
        <w:t>by</w:t>
      </w:r>
      <w:r>
        <w:rPr>
          <w:spacing w:val="-2"/>
          <w:sz w:val="24"/>
        </w:rPr>
        <w:t> the </w:t>
      </w:r>
      <w:r>
        <w:rPr>
          <w:sz w:val="24"/>
        </w:rPr>
        <w:t>RPI (which included mortgage interest payments) had generally been very low. More recently </w:t>
      </w:r>
      <w:r>
        <w:rPr>
          <w:spacing w:val="-2"/>
          <w:sz w:val="24"/>
        </w:rPr>
        <w:t>RPI </w:t>
      </w:r>
      <w:r>
        <w:rPr>
          <w:sz w:val="24"/>
        </w:rPr>
        <w:t>inflation had risen, and there were signs of a small pick-up in settlements when measured on</w:t>
      </w:r>
      <w:r>
        <w:rPr>
          <w:spacing w:val="-15"/>
          <w:sz w:val="24"/>
        </w:rPr>
        <w:t> </w:t>
      </w:r>
      <w:r>
        <w:rPr>
          <w:sz w:val="24"/>
        </w:rPr>
        <w:t>a</w:t>
      </w:r>
    </w:p>
    <w:p>
      <w:pPr>
        <w:pStyle w:val="BodyText"/>
        <w:spacing w:before="9"/>
        <w:ind w:left="105"/>
      </w:pPr>
      <w:r>
        <w:rPr/>
        <w:t>three-month basis, although this figure was susceptible to distortions from compositional and timing</w:t>
      </w:r>
    </w:p>
    <w:p>
      <w:pPr>
        <w:spacing w:after="0"/>
        <w:sectPr>
          <w:pgSz w:w="12240" w:h="15840"/>
          <w:pgMar w:top="1500" w:bottom="280" w:left="1200" w:right="1200"/>
        </w:sectPr>
      </w:pPr>
    </w:p>
    <w:p>
      <w:pPr>
        <w:pStyle w:val="BodyText"/>
        <w:spacing w:before="6"/>
        <w:rPr>
          <w:sz w:val="23"/>
        </w:rPr>
      </w:pPr>
    </w:p>
    <w:p>
      <w:pPr>
        <w:pStyle w:val="BodyText"/>
        <w:spacing w:line="357" w:lineRule="auto" w:before="90"/>
        <w:ind w:left="105" w:right="462"/>
      </w:pPr>
      <w:r>
        <w:rPr/>
        <w:t>effects. Most firms still seemed able to achieve relatively low nominal settlements, and in many there was now no such thing as an annual settlement, with pay depending instead on the performance of the individual or of the division in which they worked.</w:t>
      </w:r>
    </w:p>
    <w:p>
      <w:pPr>
        <w:pStyle w:val="BodyText"/>
        <w:spacing w:before="2"/>
        <w:rPr>
          <w:sz w:val="36"/>
        </w:rPr>
      </w:pPr>
    </w:p>
    <w:p>
      <w:pPr>
        <w:pStyle w:val="ListParagraph"/>
        <w:numPr>
          <w:ilvl w:val="0"/>
          <w:numId w:val="1"/>
        </w:numPr>
        <w:tabs>
          <w:tab w:pos="525" w:val="left" w:leader="none"/>
        </w:tabs>
        <w:spacing w:line="360" w:lineRule="auto" w:before="1" w:after="0"/>
        <w:ind w:left="105" w:right="237" w:firstLine="0"/>
        <w:jc w:val="left"/>
        <w:rPr>
          <w:sz w:val="24"/>
        </w:rPr>
      </w:pPr>
      <w:r>
        <w:rPr>
          <w:sz w:val="24"/>
        </w:rPr>
        <w:t>In real terms the position was more complex. The strength of the exchange rate and </w:t>
      </w:r>
      <w:r>
        <w:rPr>
          <w:spacing w:val="-2"/>
          <w:sz w:val="24"/>
        </w:rPr>
        <w:t>the </w:t>
      </w:r>
      <w:r>
        <w:rPr>
          <w:sz w:val="24"/>
        </w:rPr>
        <w:t>weakness</w:t>
      </w:r>
      <w:r>
        <w:rPr>
          <w:spacing w:val="-6"/>
          <w:sz w:val="24"/>
        </w:rPr>
        <w:t> </w:t>
      </w:r>
      <w:r>
        <w:rPr>
          <w:sz w:val="24"/>
        </w:rPr>
        <w:t>of</w:t>
      </w:r>
      <w:r>
        <w:rPr>
          <w:spacing w:val="-6"/>
          <w:sz w:val="24"/>
        </w:rPr>
        <w:t> </w:t>
      </w:r>
      <w:r>
        <w:rPr>
          <w:sz w:val="24"/>
        </w:rPr>
        <w:t>most</w:t>
      </w:r>
      <w:r>
        <w:rPr>
          <w:spacing w:val="-5"/>
          <w:sz w:val="24"/>
        </w:rPr>
        <w:t> </w:t>
      </w:r>
      <w:r>
        <w:rPr>
          <w:sz w:val="24"/>
        </w:rPr>
        <w:t>commodity</w:t>
      </w:r>
      <w:r>
        <w:rPr>
          <w:spacing w:val="-6"/>
          <w:sz w:val="24"/>
        </w:rPr>
        <w:t> </w:t>
      </w:r>
      <w:r>
        <w:rPr>
          <w:sz w:val="24"/>
        </w:rPr>
        <w:t>prices</w:t>
      </w:r>
      <w:r>
        <w:rPr>
          <w:spacing w:val="-5"/>
          <w:sz w:val="24"/>
        </w:rPr>
        <w:t> </w:t>
      </w:r>
      <w:r>
        <w:rPr>
          <w:sz w:val="24"/>
        </w:rPr>
        <w:t>during</w:t>
      </w:r>
      <w:r>
        <w:rPr>
          <w:spacing w:val="-6"/>
          <w:sz w:val="24"/>
        </w:rPr>
        <w:t> </w:t>
      </w:r>
      <w:r>
        <w:rPr>
          <w:sz w:val="24"/>
        </w:rPr>
        <w:t>1998</w:t>
      </w:r>
      <w:r>
        <w:rPr>
          <w:spacing w:val="-5"/>
          <w:sz w:val="24"/>
        </w:rPr>
        <w:t> </w:t>
      </w:r>
      <w:r>
        <w:rPr>
          <w:sz w:val="24"/>
        </w:rPr>
        <w:t>and</w:t>
      </w:r>
      <w:r>
        <w:rPr>
          <w:spacing w:val="-6"/>
          <w:sz w:val="24"/>
        </w:rPr>
        <w:t> </w:t>
      </w:r>
      <w:r>
        <w:rPr>
          <w:sz w:val="24"/>
        </w:rPr>
        <w:t>1999</w:t>
      </w:r>
      <w:r>
        <w:rPr>
          <w:spacing w:val="-5"/>
          <w:sz w:val="24"/>
        </w:rPr>
        <w:t> </w:t>
      </w:r>
      <w:r>
        <w:rPr>
          <w:sz w:val="24"/>
        </w:rPr>
        <w:t>had</w:t>
      </w:r>
      <w:r>
        <w:rPr>
          <w:spacing w:val="-6"/>
          <w:sz w:val="24"/>
        </w:rPr>
        <w:t> </w:t>
      </w:r>
      <w:r>
        <w:rPr>
          <w:sz w:val="24"/>
        </w:rPr>
        <w:t>enabled</w:t>
      </w:r>
      <w:r>
        <w:rPr>
          <w:spacing w:val="-5"/>
          <w:sz w:val="24"/>
        </w:rPr>
        <w:t> </w:t>
      </w:r>
      <w:r>
        <w:rPr>
          <w:sz w:val="24"/>
        </w:rPr>
        <w:t>the</w:t>
      </w:r>
      <w:r>
        <w:rPr>
          <w:spacing w:val="-6"/>
          <w:sz w:val="24"/>
        </w:rPr>
        <w:t> </w:t>
      </w:r>
      <w:r>
        <w:rPr>
          <w:sz w:val="24"/>
        </w:rPr>
        <w:t>real</w:t>
      </w:r>
      <w:r>
        <w:rPr>
          <w:spacing w:val="-5"/>
          <w:sz w:val="24"/>
        </w:rPr>
        <w:t> </w:t>
      </w:r>
      <w:r>
        <w:rPr>
          <w:sz w:val="24"/>
        </w:rPr>
        <w:t>consumption</w:t>
      </w:r>
      <w:r>
        <w:rPr>
          <w:spacing w:val="-6"/>
          <w:sz w:val="24"/>
        </w:rPr>
        <w:t> </w:t>
      </w:r>
      <w:r>
        <w:rPr>
          <w:sz w:val="24"/>
        </w:rPr>
        <w:t>wage (deflated by the taxes and prices index) to rise by 4% in 1999, compared with less than 2 ½% </w:t>
      </w:r>
      <w:r>
        <w:rPr>
          <w:spacing w:val="-3"/>
          <w:sz w:val="24"/>
        </w:rPr>
        <w:t>for </w:t>
      </w:r>
      <w:r>
        <w:rPr>
          <w:sz w:val="24"/>
        </w:rPr>
        <w:t>the </w:t>
      </w:r>
      <w:r>
        <w:rPr>
          <w:spacing w:val="-3"/>
          <w:sz w:val="24"/>
        </w:rPr>
        <w:t>real product wage (measured using </w:t>
      </w:r>
      <w:r>
        <w:rPr>
          <w:sz w:val="24"/>
        </w:rPr>
        <w:t>the GDP </w:t>
      </w:r>
      <w:r>
        <w:rPr>
          <w:spacing w:val="-3"/>
          <w:sz w:val="24"/>
        </w:rPr>
        <w:t>deflator). This </w:t>
      </w:r>
      <w:r>
        <w:rPr>
          <w:sz w:val="24"/>
        </w:rPr>
        <w:t>gap had </w:t>
      </w:r>
      <w:r>
        <w:rPr>
          <w:spacing w:val="-3"/>
          <w:sz w:val="24"/>
        </w:rPr>
        <w:t>begun </w:t>
      </w:r>
      <w:r>
        <w:rPr>
          <w:sz w:val="24"/>
        </w:rPr>
        <w:t>to </w:t>
      </w:r>
      <w:r>
        <w:rPr>
          <w:spacing w:val="-3"/>
          <w:sz w:val="24"/>
        </w:rPr>
        <w:t>narrow recently, </w:t>
      </w:r>
      <w:r>
        <w:rPr>
          <w:sz w:val="24"/>
        </w:rPr>
        <w:t>but as import prices began to rise and the growth in the real consumption wage fell back towards 3% it remained to be seen whether pressure for higher nominal wages would increase, and</w:t>
      </w:r>
      <w:r>
        <w:rPr>
          <w:spacing w:val="-36"/>
          <w:sz w:val="24"/>
        </w:rPr>
        <w:t> </w:t>
      </w:r>
      <w:r>
        <w:rPr>
          <w:sz w:val="24"/>
        </w:rPr>
        <w:t>whether unit labour costs would continue to moderate as in the </w:t>
      </w:r>
      <w:r>
        <w:rPr>
          <w:i/>
          <w:sz w:val="24"/>
        </w:rPr>
        <w:t>Inflation Report</w:t>
      </w:r>
      <w:r>
        <w:rPr>
          <w:i/>
          <w:spacing w:val="29"/>
          <w:sz w:val="24"/>
        </w:rPr>
        <w:t> </w:t>
      </w:r>
      <w:r>
        <w:rPr>
          <w:spacing w:val="-2"/>
          <w:sz w:val="24"/>
        </w:rPr>
        <w:t>projections.</w:t>
      </w:r>
    </w:p>
    <w:p>
      <w:pPr>
        <w:pStyle w:val="BodyText"/>
        <w:spacing w:before="3"/>
        <w:rPr>
          <w:sz w:val="36"/>
        </w:rPr>
      </w:pPr>
    </w:p>
    <w:p>
      <w:pPr>
        <w:pStyle w:val="Heading2"/>
        <w:ind w:left="105"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103" w:firstLine="0"/>
        <w:jc w:val="left"/>
        <w:rPr>
          <w:sz w:val="24"/>
        </w:rPr>
      </w:pPr>
      <w:r>
        <w:rPr>
          <w:sz w:val="24"/>
        </w:rPr>
        <w:t>RPIX inflation had remained at 2.2% in July, with increases in seasonal food prices offset by record monthly falls in the prices of clothing and footwear, reflecting greater discounting than normal in the July sales. Looking forward, the latest ONS advance estimate of RPIX, which was on this occasion available for the Committee’s meeting, was for the inflation rate to fall in August. If so, this would be the seventeenth month in succession in which RPIX inflation had been below </w:t>
      </w:r>
      <w:r>
        <w:rPr>
          <w:spacing w:val="-2"/>
          <w:sz w:val="24"/>
        </w:rPr>
        <w:t>the </w:t>
      </w:r>
      <w:r>
        <w:rPr>
          <w:sz w:val="24"/>
        </w:rPr>
        <w:t>2.5% target. Petrol prices had fallen in August, partly as a result of greater retail competition, but it was unclear whether such falls would persist if the oil price itself remained</w:t>
      </w:r>
      <w:r>
        <w:rPr>
          <w:spacing w:val="39"/>
          <w:sz w:val="24"/>
        </w:rPr>
        <w:t> </w:t>
      </w:r>
      <w:r>
        <w:rPr>
          <w:sz w:val="24"/>
        </w:rPr>
        <w:t>strong.</w:t>
      </w:r>
    </w:p>
    <w:p>
      <w:pPr>
        <w:pStyle w:val="BodyText"/>
        <w:spacing w:before="4"/>
        <w:rPr>
          <w:sz w:val="36"/>
        </w:rPr>
      </w:pPr>
    </w:p>
    <w:p>
      <w:pPr>
        <w:pStyle w:val="ListParagraph"/>
        <w:numPr>
          <w:ilvl w:val="0"/>
          <w:numId w:val="1"/>
        </w:numPr>
        <w:tabs>
          <w:tab w:pos="525" w:val="left" w:leader="none"/>
        </w:tabs>
        <w:spacing w:line="360" w:lineRule="auto" w:before="0" w:after="0"/>
        <w:ind w:left="105" w:right="253" w:firstLine="0"/>
        <w:jc w:val="left"/>
        <w:rPr>
          <w:sz w:val="24"/>
        </w:rPr>
      </w:pPr>
      <w:r>
        <w:rPr>
          <w:sz w:val="24"/>
        </w:rPr>
        <w:t>Survey data were consistent with continuing subdued price pressures in the short term, despite the tightness of labour and product markets. The CBI Distributive Trades Survey showed a steep fall</w:t>
      </w:r>
      <w:r>
        <w:rPr>
          <w:spacing w:val="-4"/>
          <w:sz w:val="24"/>
        </w:rPr>
        <w:t> </w:t>
      </w:r>
      <w:r>
        <w:rPr>
          <w:sz w:val="24"/>
        </w:rPr>
        <w:t>in</w:t>
      </w:r>
      <w:r>
        <w:rPr>
          <w:spacing w:val="-3"/>
          <w:sz w:val="24"/>
        </w:rPr>
        <w:t> </w:t>
      </w:r>
      <w:r>
        <w:rPr>
          <w:sz w:val="24"/>
        </w:rPr>
        <w:t>the</w:t>
      </w:r>
      <w:r>
        <w:rPr>
          <w:spacing w:val="-3"/>
          <w:sz w:val="24"/>
        </w:rPr>
        <w:t> </w:t>
      </w:r>
      <w:r>
        <w:rPr>
          <w:sz w:val="24"/>
        </w:rPr>
        <w:t>balance</w:t>
      </w:r>
      <w:r>
        <w:rPr>
          <w:spacing w:val="-3"/>
          <w:sz w:val="24"/>
        </w:rPr>
        <w:t> </w:t>
      </w:r>
      <w:r>
        <w:rPr>
          <w:sz w:val="24"/>
        </w:rPr>
        <w:t>for</w:t>
      </w:r>
      <w:r>
        <w:rPr>
          <w:spacing w:val="-4"/>
          <w:sz w:val="24"/>
        </w:rPr>
        <w:t> </w:t>
      </w:r>
      <w:r>
        <w:rPr>
          <w:sz w:val="24"/>
        </w:rPr>
        <w:t>average</w:t>
      </w:r>
      <w:r>
        <w:rPr>
          <w:spacing w:val="-3"/>
          <w:sz w:val="24"/>
        </w:rPr>
        <w:t> </w:t>
      </w:r>
      <w:r>
        <w:rPr>
          <w:sz w:val="24"/>
        </w:rPr>
        <w:t>retail</w:t>
      </w:r>
      <w:r>
        <w:rPr>
          <w:spacing w:val="-3"/>
          <w:sz w:val="24"/>
        </w:rPr>
        <w:t> </w:t>
      </w:r>
      <w:r>
        <w:rPr>
          <w:sz w:val="24"/>
        </w:rPr>
        <w:t>selling</w:t>
      </w:r>
      <w:r>
        <w:rPr>
          <w:spacing w:val="-3"/>
          <w:sz w:val="24"/>
        </w:rPr>
        <w:t> </w:t>
      </w:r>
      <w:r>
        <w:rPr>
          <w:sz w:val="24"/>
        </w:rPr>
        <w:t>prices,</w:t>
      </w:r>
      <w:r>
        <w:rPr>
          <w:spacing w:val="-4"/>
          <w:sz w:val="24"/>
        </w:rPr>
        <w:t> </w:t>
      </w:r>
      <w:r>
        <w:rPr>
          <w:sz w:val="24"/>
        </w:rPr>
        <w:t>from</w:t>
      </w:r>
      <w:r>
        <w:rPr>
          <w:spacing w:val="-3"/>
          <w:sz w:val="24"/>
        </w:rPr>
        <w:t> </w:t>
      </w:r>
      <w:r>
        <w:rPr>
          <w:sz w:val="24"/>
        </w:rPr>
        <w:t>-6</w:t>
      </w:r>
      <w:r>
        <w:rPr>
          <w:spacing w:val="-3"/>
          <w:sz w:val="24"/>
        </w:rPr>
        <w:t> </w:t>
      </w:r>
      <w:r>
        <w:rPr>
          <w:sz w:val="24"/>
        </w:rPr>
        <w:t>in</w:t>
      </w:r>
      <w:r>
        <w:rPr>
          <w:spacing w:val="-3"/>
          <w:sz w:val="24"/>
        </w:rPr>
        <w:t> </w:t>
      </w:r>
      <w:r>
        <w:rPr>
          <w:sz w:val="24"/>
        </w:rPr>
        <w:t>2000</w:t>
      </w:r>
      <w:r>
        <w:rPr>
          <w:spacing w:val="-4"/>
          <w:sz w:val="24"/>
        </w:rPr>
        <w:t> </w:t>
      </w:r>
      <w:r>
        <w:rPr>
          <w:sz w:val="24"/>
        </w:rPr>
        <w:t>Q2</w:t>
      </w:r>
      <w:r>
        <w:rPr>
          <w:spacing w:val="-3"/>
          <w:sz w:val="24"/>
        </w:rPr>
        <w:t> </w:t>
      </w:r>
      <w:r>
        <w:rPr>
          <w:sz w:val="24"/>
        </w:rPr>
        <w:t>to</w:t>
      </w:r>
      <w:r>
        <w:rPr>
          <w:spacing w:val="-3"/>
          <w:sz w:val="24"/>
        </w:rPr>
        <w:t> </w:t>
      </w:r>
      <w:r>
        <w:rPr>
          <w:sz w:val="24"/>
        </w:rPr>
        <w:t>-25</w:t>
      </w:r>
      <w:r>
        <w:rPr>
          <w:spacing w:val="-3"/>
          <w:sz w:val="24"/>
        </w:rPr>
        <w:t> </w:t>
      </w:r>
      <w:r>
        <w:rPr>
          <w:sz w:val="24"/>
        </w:rPr>
        <w:t>in</w:t>
      </w:r>
      <w:r>
        <w:rPr>
          <w:spacing w:val="-4"/>
          <w:sz w:val="24"/>
        </w:rPr>
        <w:t> </w:t>
      </w:r>
      <w:r>
        <w:rPr>
          <w:sz w:val="24"/>
        </w:rPr>
        <w:t>Q3,</w:t>
      </w:r>
      <w:r>
        <w:rPr>
          <w:spacing w:val="-3"/>
          <w:sz w:val="24"/>
        </w:rPr>
        <w:t> </w:t>
      </w:r>
      <w:r>
        <w:rPr>
          <w:sz w:val="24"/>
        </w:rPr>
        <w:t>and</w:t>
      </w:r>
      <w:r>
        <w:rPr>
          <w:spacing w:val="-3"/>
          <w:sz w:val="24"/>
        </w:rPr>
        <w:t> </w:t>
      </w:r>
      <w:r>
        <w:rPr>
          <w:sz w:val="24"/>
        </w:rPr>
        <w:t>the</w:t>
      </w:r>
      <w:r>
        <w:rPr>
          <w:spacing w:val="-3"/>
          <w:sz w:val="24"/>
        </w:rPr>
        <w:t> </w:t>
      </w:r>
      <w:r>
        <w:rPr>
          <w:sz w:val="24"/>
        </w:rPr>
        <w:t>‘prices charged’ measure in the CIPS services survey had also fallen. Inflation as measured by the </w:t>
      </w:r>
      <w:r>
        <w:rPr>
          <w:spacing w:val="-2"/>
          <w:sz w:val="24"/>
        </w:rPr>
        <w:t>GDP </w:t>
      </w:r>
      <w:r>
        <w:rPr>
          <w:sz w:val="24"/>
        </w:rPr>
        <w:t>deflator had declined sharply in Q2, to only 1.8%, but this was subject to revision when </w:t>
      </w:r>
      <w:r>
        <w:rPr>
          <w:spacing w:val="-2"/>
          <w:sz w:val="24"/>
        </w:rPr>
        <w:t>new </w:t>
      </w:r>
      <w:r>
        <w:rPr>
          <w:sz w:val="24"/>
        </w:rPr>
        <w:t>estimates for the National Accounts were</w:t>
      </w:r>
      <w:r>
        <w:rPr>
          <w:spacing w:val="29"/>
          <w:sz w:val="24"/>
        </w:rPr>
        <w:t> </w:t>
      </w:r>
      <w:r>
        <w:rPr>
          <w:sz w:val="24"/>
        </w:rPr>
        <w:t>produced.</w:t>
      </w:r>
    </w:p>
    <w:p>
      <w:pPr>
        <w:pStyle w:val="BodyText"/>
        <w:spacing w:before="8"/>
        <w:rPr>
          <w:sz w:val="35"/>
        </w:rPr>
      </w:pPr>
    </w:p>
    <w:p>
      <w:pPr>
        <w:pStyle w:val="ListParagraph"/>
        <w:numPr>
          <w:ilvl w:val="0"/>
          <w:numId w:val="1"/>
        </w:numPr>
        <w:tabs>
          <w:tab w:pos="525" w:val="left" w:leader="none"/>
        </w:tabs>
        <w:spacing w:line="364" w:lineRule="auto" w:before="0" w:after="0"/>
        <w:ind w:left="105" w:right="178" w:firstLine="0"/>
        <w:jc w:val="left"/>
        <w:rPr>
          <w:sz w:val="24"/>
        </w:rPr>
      </w:pPr>
      <w:r>
        <w:rPr>
          <w:sz w:val="24"/>
        </w:rPr>
        <w:t>Views differed on the significance of the persistent undershoot of the inflation target. By historic standards RPIX inflation had been extremely stable in recent years, and had remained</w:t>
      </w:r>
      <w:r>
        <w:rPr>
          <w:spacing w:val="-39"/>
          <w:sz w:val="24"/>
        </w:rPr>
        <w:t> </w:t>
      </w:r>
      <w:r>
        <w:rPr>
          <w:sz w:val="24"/>
        </w:rPr>
        <w:t>close to its 2.5% target since the establishment of the Committee. It was in any case unrealistic to</w:t>
      </w:r>
      <w:r>
        <w:rPr>
          <w:spacing w:val="-41"/>
          <w:sz w:val="24"/>
        </w:rPr>
        <w:t> </w:t>
      </w:r>
      <w:r>
        <w:rPr>
          <w:spacing w:val="-2"/>
          <w:sz w:val="24"/>
        </w:rPr>
        <w:t>expect</w:t>
      </w:r>
    </w:p>
    <w:p>
      <w:pPr>
        <w:spacing w:after="0" w:line="364" w:lineRule="auto"/>
        <w:jc w:val="left"/>
        <w:rPr>
          <w:sz w:val="24"/>
        </w:rPr>
        <w:sectPr>
          <w:pgSz w:w="12240" w:h="15840"/>
          <w:pgMar w:top="1500" w:bottom="280" w:left="1200" w:right="1200"/>
        </w:sectPr>
      </w:pPr>
    </w:p>
    <w:p>
      <w:pPr>
        <w:pStyle w:val="BodyText"/>
        <w:spacing w:before="6"/>
        <w:rPr>
          <w:sz w:val="23"/>
        </w:rPr>
      </w:pPr>
    </w:p>
    <w:p>
      <w:pPr>
        <w:pStyle w:val="BodyText"/>
        <w:spacing w:line="357" w:lineRule="auto" w:before="90"/>
        <w:ind w:left="105" w:right="102"/>
      </w:pPr>
      <w:r>
        <w:rPr/>
        <w:t>inflation outturns very near 2.5% month after month, not least because of external shocks such as movements in oil and other import prices. Against this background the Committee should remain forward-looking and symmetric in its actions, aiming equally to avoid both overshoots and undershoots of the target, while acknowledging that it could do little to affect inflation over the very short term.</w:t>
      </w:r>
    </w:p>
    <w:p>
      <w:pPr>
        <w:pStyle w:val="BodyText"/>
        <w:spacing w:before="8"/>
        <w:rPr>
          <w:sz w:val="37"/>
        </w:rPr>
      </w:pPr>
    </w:p>
    <w:p>
      <w:pPr>
        <w:pStyle w:val="ListParagraph"/>
        <w:numPr>
          <w:ilvl w:val="0"/>
          <w:numId w:val="1"/>
        </w:numPr>
        <w:tabs>
          <w:tab w:pos="525" w:val="left" w:leader="none"/>
        </w:tabs>
        <w:spacing w:line="360" w:lineRule="auto" w:before="1" w:after="0"/>
        <w:ind w:left="105" w:right="268" w:firstLine="0"/>
        <w:jc w:val="left"/>
        <w:rPr>
          <w:sz w:val="24"/>
        </w:rPr>
      </w:pPr>
      <w:r>
        <w:rPr>
          <w:sz w:val="24"/>
        </w:rPr>
        <w:t>There were various possible explanations for inflation having recently been slightly below target. Some members thought that the short-term relationship between growth and inflation had become</w:t>
      </w:r>
      <w:r>
        <w:rPr>
          <w:spacing w:val="-4"/>
          <w:sz w:val="24"/>
        </w:rPr>
        <w:t> </w:t>
      </w:r>
      <w:r>
        <w:rPr>
          <w:sz w:val="24"/>
        </w:rPr>
        <w:t>more</w:t>
      </w:r>
      <w:r>
        <w:rPr>
          <w:spacing w:val="-4"/>
          <w:sz w:val="24"/>
        </w:rPr>
        <w:t> </w:t>
      </w:r>
      <w:r>
        <w:rPr>
          <w:sz w:val="24"/>
        </w:rPr>
        <w:t>benign,</w:t>
      </w:r>
      <w:r>
        <w:rPr>
          <w:spacing w:val="-4"/>
          <w:sz w:val="24"/>
        </w:rPr>
        <w:t> </w:t>
      </w:r>
      <w:r>
        <w:rPr>
          <w:sz w:val="24"/>
        </w:rPr>
        <w:t>for</w:t>
      </w:r>
      <w:r>
        <w:rPr>
          <w:spacing w:val="-3"/>
          <w:sz w:val="24"/>
        </w:rPr>
        <w:t> </w:t>
      </w:r>
      <w:r>
        <w:rPr>
          <w:sz w:val="24"/>
        </w:rPr>
        <w:t>instance</w:t>
      </w:r>
      <w:r>
        <w:rPr>
          <w:spacing w:val="-4"/>
          <w:sz w:val="24"/>
        </w:rPr>
        <w:t> </w:t>
      </w:r>
      <w:r>
        <w:rPr>
          <w:sz w:val="24"/>
        </w:rPr>
        <w:t>because</w:t>
      </w:r>
      <w:r>
        <w:rPr>
          <w:spacing w:val="-4"/>
          <w:sz w:val="24"/>
        </w:rPr>
        <w:t> </w:t>
      </w:r>
      <w:r>
        <w:rPr>
          <w:sz w:val="24"/>
        </w:rPr>
        <w:t>of</w:t>
      </w:r>
      <w:r>
        <w:rPr>
          <w:spacing w:val="-3"/>
          <w:sz w:val="24"/>
        </w:rPr>
        <w:t> </w:t>
      </w:r>
      <w:r>
        <w:rPr>
          <w:sz w:val="24"/>
        </w:rPr>
        <w:t>structural</w:t>
      </w:r>
      <w:r>
        <w:rPr>
          <w:spacing w:val="-4"/>
          <w:sz w:val="24"/>
        </w:rPr>
        <w:t> </w:t>
      </w:r>
      <w:r>
        <w:rPr>
          <w:sz w:val="24"/>
        </w:rPr>
        <w:t>changes</w:t>
      </w:r>
      <w:r>
        <w:rPr>
          <w:spacing w:val="-4"/>
          <w:sz w:val="24"/>
        </w:rPr>
        <w:t> </w:t>
      </w:r>
      <w:r>
        <w:rPr>
          <w:sz w:val="24"/>
        </w:rPr>
        <w:t>to</w:t>
      </w:r>
      <w:r>
        <w:rPr>
          <w:spacing w:val="-3"/>
          <w:sz w:val="24"/>
        </w:rPr>
        <w:t> </w:t>
      </w:r>
      <w:r>
        <w:rPr>
          <w:sz w:val="24"/>
        </w:rPr>
        <w:t>the</w:t>
      </w:r>
      <w:r>
        <w:rPr>
          <w:spacing w:val="-4"/>
          <w:sz w:val="24"/>
        </w:rPr>
        <w:t> </w:t>
      </w:r>
      <w:r>
        <w:rPr>
          <w:sz w:val="24"/>
        </w:rPr>
        <w:t>supply</w:t>
      </w:r>
      <w:r>
        <w:rPr>
          <w:spacing w:val="-4"/>
          <w:sz w:val="24"/>
        </w:rPr>
        <w:t> </w:t>
      </w:r>
      <w:r>
        <w:rPr>
          <w:sz w:val="24"/>
        </w:rPr>
        <w:t>side</w:t>
      </w:r>
      <w:r>
        <w:rPr>
          <w:spacing w:val="-3"/>
          <w:sz w:val="24"/>
        </w:rPr>
        <w:t> </w:t>
      </w:r>
      <w:r>
        <w:rPr>
          <w:sz w:val="24"/>
        </w:rPr>
        <w:t>of</w:t>
      </w:r>
      <w:r>
        <w:rPr>
          <w:spacing w:val="-4"/>
          <w:sz w:val="24"/>
        </w:rPr>
        <w:t> </w:t>
      </w:r>
      <w:r>
        <w:rPr>
          <w:sz w:val="24"/>
        </w:rPr>
        <w:t>the</w:t>
      </w:r>
      <w:r>
        <w:rPr>
          <w:spacing w:val="-4"/>
          <w:sz w:val="24"/>
        </w:rPr>
        <w:t> </w:t>
      </w:r>
      <w:r>
        <w:rPr>
          <w:sz w:val="24"/>
        </w:rPr>
        <w:t>economy. They pointed out that the Committee’s inflation forecasts of two years ago had been above </w:t>
      </w:r>
      <w:r>
        <w:rPr>
          <w:spacing w:val="-2"/>
          <w:sz w:val="24"/>
        </w:rPr>
        <w:t>the </w:t>
      </w:r>
      <w:r>
        <w:rPr>
          <w:sz w:val="24"/>
        </w:rPr>
        <w:t>actual outturns while its forecasts for growth had been below. Other members thought that </w:t>
      </w:r>
      <w:r>
        <w:rPr>
          <w:spacing w:val="-2"/>
          <w:sz w:val="24"/>
        </w:rPr>
        <w:t>the </w:t>
      </w:r>
      <w:r>
        <w:rPr>
          <w:sz w:val="24"/>
        </w:rPr>
        <w:t>recent inflation numbers might simply reflect continuing downward pressure from </w:t>
      </w:r>
      <w:r>
        <w:rPr>
          <w:spacing w:val="-2"/>
          <w:sz w:val="24"/>
        </w:rPr>
        <w:t>weaker-than- </w:t>
      </w:r>
      <w:r>
        <w:rPr>
          <w:sz w:val="24"/>
        </w:rPr>
        <w:t>anticipated import prices, with the exchange rate remaining stronger for longer than had been projected in earlier forecasts. The Committee would continue to look at the information contained in the most recent inflation outturns, and compare this with its forecasts, to see how far </w:t>
      </w:r>
      <w:r>
        <w:rPr>
          <w:spacing w:val="-2"/>
          <w:sz w:val="24"/>
        </w:rPr>
        <w:t>the </w:t>
      </w:r>
      <w:r>
        <w:rPr>
          <w:sz w:val="24"/>
        </w:rPr>
        <w:t>comparison cast any light on how much weight to put on each of these</w:t>
      </w:r>
      <w:r>
        <w:rPr>
          <w:spacing w:val="14"/>
          <w:sz w:val="24"/>
        </w:rPr>
        <w:t> </w:t>
      </w:r>
      <w:r>
        <w:rPr>
          <w:sz w:val="24"/>
        </w:rPr>
        <w:t>explanations.</w:t>
      </w:r>
    </w:p>
    <w:p>
      <w:pPr>
        <w:pStyle w:val="BodyText"/>
        <w:spacing w:before="2"/>
        <w:rPr>
          <w:sz w:val="35"/>
        </w:rPr>
      </w:pPr>
    </w:p>
    <w:p>
      <w:pPr>
        <w:pStyle w:val="ListParagraph"/>
        <w:numPr>
          <w:ilvl w:val="0"/>
          <w:numId w:val="1"/>
        </w:numPr>
        <w:tabs>
          <w:tab w:pos="525" w:val="left" w:leader="none"/>
        </w:tabs>
        <w:spacing w:line="357" w:lineRule="auto" w:before="1" w:after="0"/>
        <w:ind w:left="105" w:right="147" w:firstLine="0"/>
        <w:jc w:val="left"/>
        <w:rPr>
          <w:sz w:val="24"/>
        </w:rPr>
      </w:pPr>
      <w:r>
        <w:rPr>
          <w:sz w:val="24"/>
        </w:rPr>
        <w:t>The Committee noted that while inflation continued to run slightly below target, inflation expectations for 2001 remained very stable, and appeared anchored close to the 2.5% target,</w:t>
      </w:r>
      <w:r>
        <w:rPr>
          <w:spacing w:val="-40"/>
          <w:sz w:val="24"/>
        </w:rPr>
        <w:t> </w:t>
      </w:r>
      <w:r>
        <w:rPr>
          <w:sz w:val="24"/>
        </w:rPr>
        <w:t>despite the sharp movements in the oil price and the exchange rate in recent</w:t>
      </w:r>
      <w:r>
        <w:rPr>
          <w:spacing w:val="50"/>
          <w:sz w:val="24"/>
        </w:rPr>
        <w:t> </w:t>
      </w:r>
      <w:r>
        <w:rPr>
          <w:sz w:val="24"/>
        </w:rPr>
        <w:t>months.</w:t>
      </w:r>
    </w:p>
    <w:p>
      <w:pPr>
        <w:pStyle w:val="BodyText"/>
        <w:spacing w:before="5"/>
        <w:rPr>
          <w:sz w:val="37"/>
        </w:rPr>
      </w:pPr>
    </w:p>
    <w:p>
      <w:pPr>
        <w:pStyle w:val="ListParagraph"/>
        <w:numPr>
          <w:ilvl w:val="0"/>
          <w:numId w:val="1"/>
        </w:numPr>
        <w:tabs>
          <w:tab w:pos="525" w:val="left" w:leader="none"/>
        </w:tabs>
        <w:spacing w:line="360" w:lineRule="auto" w:before="0" w:after="0"/>
        <w:ind w:left="105" w:right="163" w:firstLine="0"/>
        <w:jc w:val="left"/>
        <w:rPr>
          <w:sz w:val="24"/>
        </w:rPr>
      </w:pPr>
      <w:r>
        <w:rPr>
          <w:sz w:val="24"/>
        </w:rPr>
        <w:t>Surveys and reports from the Bank’s regional Agents suggested that downward competitive pressures on prices continued to intensify, for example in areas such as cars and petrol retailing. But stories of fierce competition in product markets were by no means new, and while the </w:t>
      </w:r>
      <w:r>
        <w:rPr>
          <w:spacing w:val="-2"/>
          <w:sz w:val="24"/>
        </w:rPr>
        <w:t>profit </w:t>
      </w:r>
      <w:r>
        <w:rPr>
          <w:sz w:val="24"/>
        </w:rPr>
        <w:t>share in GDP had fallen back since 1997, it was still close to its long-run average. As such, official and company accounts data provided little hard evidence yet of a structural reduction in margins on an economy-wide basis, although there was more evidence of a decline from surveys. For some members, the relative stability of the profit share suggested that the pressures on prices were being translated into pressure on nominal earnings on account of accompanying changes in the </w:t>
      </w:r>
      <w:r>
        <w:rPr>
          <w:spacing w:val="-2"/>
          <w:sz w:val="24"/>
        </w:rPr>
        <w:t>labour </w:t>
      </w:r>
      <w:r>
        <w:rPr>
          <w:sz w:val="24"/>
        </w:rPr>
        <w:t>market, rather than a margins squeeze: if so an intensification of competition would be difficult to discern in reported</w:t>
      </w:r>
      <w:r>
        <w:rPr>
          <w:spacing w:val="8"/>
          <w:sz w:val="24"/>
        </w:rPr>
        <w:t> </w:t>
      </w:r>
      <w:r>
        <w:rPr>
          <w:sz w:val="24"/>
        </w:rPr>
        <w:t>profits.</w:t>
      </w:r>
    </w:p>
    <w:p>
      <w:pPr>
        <w:spacing w:after="0" w:line="360" w:lineRule="auto"/>
        <w:jc w:val="left"/>
        <w:rPr>
          <w:sz w:val="24"/>
        </w:rPr>
        <w:sectPr>
          <w:pgSz w:w="12240" w:h="15840"/>
          <w:pgMar w:top="1500" w:bottom="280" w:left="1200" w:right="1200"/>
        </w:sectPr>
      </w:pPr>
    </w:p>
    <w:p>
      <w:pPr>
        <w:pStyle w:val="BodyText"/>
        <w:spacing w:before="6"/>
        <w:rPr>
          <w:sz w:val="23"/>
        </w:rPr>
      </w:pPr>
    </w:p>
    <w:p>
      <w:pPr>
        <w:pStyle w:val="Heading2"/>
        <w:spacing w:before="90"/>
        <w:ind w:left="105"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117" w:firstLine="0"/>
        <w:jc w:val="left"/>
        <w:rPr>
          <w:sz w:val="24"/>
        </w:rPr>
      </w:pPr>
      <w:r>
        <w:rPr>
          <w:sz w:val="24"/>
        </w:rPr>
        <w:t>Most members felt that there had been little news on balance over the month. Oil prices were higher than expected, and the AEI lower, but it was possible that movements in both would prove</w:t>
      </w:r>
      <w:r>
        <w:rPr>
          <w:spacing w:val="-24"/>
          <w:sz w:val="24"/>
        </w:rPr>
        <w:t> </w:t>
      </w:r>
      <w:r>
        <w:rPr>
          <w:sz w:val="24"/>
        </w:rPr>
        <w:t>to be erratic.  For this reason, the considerations underlying the immediate policy decision were similar</w:t>
      </w:r>
      <w:r>
        <w:rPr>
          <w:spacing w:val="-4"/>
          <w:sz w:val="24"/>
        </w:rPr>
        <w:t> </w:t>
      </w:r>
      <w:r>
        <w:rPr>
          <w:sz w:val="24"/>
        </w:rPr>
        <w:t>to</w:t>
      </w:r>
      <w:r>
        <w:rPr>
          <w:spacing w:val="-4"/>
          <w:sz w:val="24"/>
        </w:rPr>
        <w:t> </w:t>
      </w:r>
      <w:r>
        <w:rPr>
          <w:sz w:val="24"/>
        </w:rPr>
        <w:t>those</w:t>
      </w:r>
      <w:r>
        <w:rPr>
          <w:spacing w:val="-3"/>
          <w:sz w:val="24"/>
        </w:rPr>
        <w:t> </w:t>
      </w:r>
      <w:r>
        <w:rPr>
          <w:sz w:val="24"/>
        </w:rPr>
        <w:t>the</w:t>
      </w:r>
      <w:r>
        <w:rPr>
          <w:spacing w:val="-4"/>
          <w:sz w:val="24"/>
        </w:rPr>
        <w:t> </w:t>
      </w:r>
      <w:r>
        <w:rPr>
          <w:sz w:val="24"/>
        </w:rPr>
        <w:t>previous</w:t>
      </w:r>
      <w:r>
        <w:rPr>
          <w:spacing w:val="-3"/>
          <w:sz w:val="24"/>
        </w:rPr>
        <w:t> </w:t>
      </w:r>
      <w:r>
        <w:rPr>
          <w:sz w:val="24"/>
        </w:rPr>
        <w:t>month,</w:t>
      </w:r>
      <w:r>
        <w:rPr>
          <w:spacing w:val="-4"/>
          <w:sz w:val="24"/>
        </w:rPr>
        <w:t> </w:t>
      </w:r>
      <w:r>
        <w:rPr>
          <w:sz w:val="24"/>
        </w:rPr>
        <w:t>and</w:t>
      </w:r>
      <w:r>
        <w:rPr>
          <w:spacing w:val="-3"/>
          <w:sz w:val="24"/>
        </w:rPr>
        <w:t> </w:t>
      </w:r>
      <w:r>
        <w:rPr>
          <w:sz w:val="24"/>
        </w:rPr>
        <w:t>for</w:t>
      </w:r>
      <w:r>
        <w:rPr>
          <w:spacing w:val="-4"/>
          <w:sz w:val="24"/>
        </w:rPr>
        <w:t> </w:t>
      </w:r>
      <w:r>
        <w:rPr>
          <w:sz w:val="24"/>
        </w:rPr>
        <w:t>some</w:t>
      </w:r>
      <w:r>
        <w:rPr>
          <w:spacing w:val="-3"/>
          <w:sz w:val="24"/>
        </w:rPr>
        <w:t> </w:t>
      </w:r>
      <w:r>
        <w:rPr>
          <w:sz w:val="24"/>
        </w:rPr>
        <w:t>members</w:t>
      </w:r>
      <w:r>
        <w:rPr>
          <w:spacing w:val="-4"/>
          <w:sz w:val="24"/>
        </w:rPr>
        <w:t> </w:t>
      </w:r>
      <w:r>
        <w:rPr>
          <w:sz w:val="24"/>
        </w:rPr>
        <w:t>the</w:t>
      </w:r>
      <w:r>
        <w:rPr>
          <w:spacing w:val="-3"/>
          <w:sz w:val="24"/>
        </w:rPr>
        <w:t> </w:t>
      </w:r>
      <w:r>
        <w:rPr>
          <w:sz w:val="24"/>
        </w:rPr>
        <w:t>position</w:t>
      </w:r>
      <w:r>
        <w:rPr>
          <w:spacing w:val="-4"/>
          <w:sz w:val="24"/>
        </w:rPr>
        <w:t> </w:t>
      </w:r>
      <w:r>
        <w:rPr>
          <w:sz w:val="24"/>
        </w:rPr>
        <w:t>remained</w:t>
      </w:r>
      <w:r>
        <w:rPr>
          <w:spacing w:val="-3"/>
          <w:sz w:val="24"/>
        </w:rPr>
        <w:t> </w:t>
      </w:r>
      <w:r>
        <w:rPr>
          <w:sz w:val="24"/>
        </w:rPr>
        <w:t>finely</w:t>
      </w:r>
      <w:r>
        <w:rPr>
          <w:spacing w:val="-4"/>
          <w:sz w:val="24"/>
        </w:rPr>
        <w:t> </w:t>
      </w:r>
      <w:r>
        <w:rPr>
          <w:sz w:val="24"/>
        </w:rPr>
        <w:t>balanced.</w:t>
      </w:r>
    </w:p>
    <w:p>
      <w:pPr>
        <w:pStyle w:val="BodyText"/>
        <w:rPr>
          <w:sz w:val="36"/>
        </w:rPr>
      </w:pPr>
    </w:p>
    <w:p>
      <w:pPr>
        <w:pStyle w:val="ListParagraph"/>
        <w:numPr>
          <w:ilvl w:val="0"/>
          <w:numId w:val="1"/>
        </w:numPr>
        <w:tabs>
          <w:tab w:pos="525" w:val="left" w:leader="none"/>
        </w:tabs>
        <w:spacing w:line="360" w:lineRule="auto" w:before="0" w:after="0"/>
        <w:ind w:left="105" w:right="118" w:firstLine="0"/>
        <w:jc w:val="left"/>
        <w:rPr>
          <w:sz w:val="24"/>
        </w:rPr>
      </w:pPr>
      <w:r>
        <w:rPr>
          <w:sz w:val="24"/>
        </w:rPr>
        <w:t>On one view, the repo rate should be maintained at 6% this month. Various arguments were identified for so doing, to which different members attached different weights. First, there were now more signs that domestic demand growth in general, and consumption growth in particular, might indeed be moderating in line with the central projection in the August </w:t>
      </w:r>
      <w:r>
        <w:rPr>
          <w:i/>
          <w:sz w:val="24"/>
        </w:rPr>
        <w:t>Inflation Report</w:t>
      </w:r>
      <w:r>
        <w:rPr>
          <w:sz w:val="24"/>
        </w:rPr>
        <w:t>. Housing wealth and nominal earnings were both slowing rather faster than assumed there; most other housing market indicators (such as secured lending, net reservations and particulars delivered) were consistent with such a slowdown, as were retail sales, although the corporate borrowing figures were a puzzle. Second, higher oil prices would tend to raise RPIX inflation in the short term, but it was questionable whether policy should react to any pick-up in inflation which was </w:t>
      </w:r>
      <w:r>
        <w:rPr>
          <w:spacing w:val="-2"/>
          <w:sz w:val="24"/>
        </w:rPr>
        <w:t>due </w:t>
      </w:r>
      <w:r>
        <w:rPr>
          <w:sz w:val="24"/>
        </w:rPr>
        <w:t>solely to higher oil prices, particularly in the present conjuncture where this was likely to push RPIX inflation closer to target. In the longer term the oil price might fall back in line with </w:t>
      </w:r>
      <w:r>
        <w:rPr>
          <w:spacing w:val="-2"/>
          <w:sz w:val="24"/>
        </w:rPr>
        <w:t>market </w:t>
      </w:r>
      <w:r>
        <w:rPr>
          <w:sz w:val="24"/>
        </w:rPr>
        <w:t>expectations, and if it did not it would tend to dampen domestic demand both here and abroad. Third, the prospects for the world economy might now be a little less buoyant than had been </w:t>
      </w:r>
      <w:r>
        <w:rPr>
          <w:spacing w:val="-2"/>
          <w:sz w:val="24"/>
        </w:rPr>
        <w:t>the </w:t>
      </w:r>
      <w:r>
        <w:rPr>
          <w:sz w:val="24"/>
        </w:rPr>
        <w:t>case a month ago. Fourth, the latest figures for quantities and prices in the labour market – while very far from conclusive – suggested to some members that the rate of unemployment at which inflation tended to increase might have fallen, or at any rate that this was sufficiently uncertain </w:t>
      </w:r>
      <w:r>
        <w:rPr>
          <w:spacing w:val="-2"/>
          <w:sz w:val="24"/>
        </w:rPr>
        <w:t>for </w:t>
      </w:r>
      <w:r>
        <w:rPr>
          <w:sz w:val="24"/>
        </w:rPr>
        <w:t>rates to be left on hold while the recent pattern of continued employment growth and moderate wage pressure persisted. Fifth, not only had some measures of inflation come in lower than expected, but some survey-based measures of price pressures continued to fall. Sixth, a rise in rates now, at a time when the euro was weak, might strengthen the perceived link between sterling </w:t>
      </w:r>
      <w:r>
        <w:rPr>
          <w:spacing w:val="-2"/>
          <w:sz w:val="24"/>
        </w:rPr>
        <w:t>and </w:t>
      </w:r>
      <w:r>
        <w:rPr>
          <w:sz w:val="24"/>
        </w:rPr>
        <w:t>the dollar in an unhelpful way. Seventh, for some there remained upside risks from higher </w:t>
      </w:r>
      <w:r>
        <w:rPr>
          <w:spacing w:val="-2"/>
          <w:sz w:val="24"/>
        </w:rPr>
        <w:t>import </w:t>
      </w:r>
      <w:r>
        <w:rPr>
          <w:sz w:val="24"/>
        </w:rPr>
        <w:t>prices and buoyant growth in some parts of the economy. But given the present benign picture on earnings and retail price inflation there was still time to react to inflationary pressures later;  </w:t>
      </w:r>
      <w:r>
        <w:rPr>
          <w:spacing w:val="-2"/>
          <w:sz w:val="24"/>
        </w:rPr>
        <w:t>the </w:t>
      </w:r>
      <w:r>
        <w:rPr>
          <w:spacing w:val="-3"/>
          <w:sz w:val="24"/>
        </w:rPr>
        <w:t>risks </w:t>
      </w:r>
      <w:r>
        <w:rPr>
          <w:sz w:val="24"/>
        </w:rPr>
        <w:t>to </w:t>
      </w:r>
      <w:r>
        <w:rPr>
          <w:spacing w:val="-3"/>
          <w:sz w:val="24"/>
        </w:rPr>
        <w:t>waiting were </w:t>
      </w:r>
      <w:r>
        <w:rPr>
          <w:sz w:val="24"/>
        </w:rPr>
        <w:t>not</w:t>
      </w:r>
      <w:r>
        <w:rPr>
          <w:spacing w:val="39"/>
          <w:sz w:val="24"/>
        </w:rPr>
        <w:t> </w:t>
      </w:r>
      <w:r>
        <w:rPr>
          <w:spacing w:val="-3"/>
          <w:sz w:val="24"/>
        </w:rPr>
        <w:t>great.</w:t>
      </w:r>
    </w:p>
    <w:p>
      <w:pPr>
        <w:spacing w:after="0" w:line="360" w:lineRule="auto"/>
        <w:jc w:val="left"/>
        <w:rPr>
          <w:sz w:val="24"/>
        </w:rPr>
        <w:sectPr>
          <w:pgSz w:w="12240" w:h="15840"/>
          <w:pgMar w:top="1500" w:bottom="280" w:left="1200" w:right="1200"/>
        </w:sectPr>
      </w:pPr>
    </w:p>
    <w:p>
      <w:pPr>
        <w:pStyle w:val="BodyText"/>
        <w:spacing w:before="6"/>
        <w:rPr>
          <w:sz w:val="23"/>
        </w:rPr>
      </w:pPr>
    </w:p>
    <w:p>
      <w:pPr>
        <w:pStyle w:val="ListParagraph"/>
        <w:numPr>
          <w:ilvl w:val="0"/>
          <w:numId w:val="1"/>
        </w:numPr>
        <w:tabs>
          <w:tab w:pos="525" w:val="left" w:leader="none"/>
        </w:tabs>
        <w:spacing w:line="360" w:lineRule="auto" w:before="90" w:after="0"/>
        <w:ind w:left="105" w:right="103" w:firstLine="0"/>
        <w:jc w:val="left"/>
        <w:rPr>
          <w:sz w:val="24"/>
        </w:rPr>
      </w:pPr>
      <w:r>
        <w:rPr>
          <w:sz w:val="24"/>
        </w:rPr>
        <w:t>On a second view, the balance of risks pointed to the need for a further small increase in interest rates soon. Given that there were no pressing reasons to postpone such a move, an immediate increase of 25 basis points in the repo rate was warranted. On this view, while consumption growth had slowed from the rapid rates recorded during 1999, it was unclear whether it would moderate further, as was implied by the central projection in the August </w:t>
      </w:r>
      <w:r>
        <w:rPr>
          <w:i/>
          <w:sz w:val="24"/>
        </w:rPr>
        <w:t>Inflation Report</w:t>
      </w:r>
      <w:r>
        <w:rPr>
          <w:sz w:val="24"/>
        </w:rPr>
        <w:t>. The housing market had clearly slowed, but household borrowing remained buoyant, and borrowing by non-financial companies had risen rapidly, perhaps foreshadowing some recovery in business investment.  Increases in public spending now seemed to be beginning to be reflected in </w:t>
      </w:r>
      <w:r>
        <w:rPr>
          <w:spacing w:val="-2"/>
          <w:sz w:val="24"/>
        </w:rPr>
        <w:t>the </w:t>
      </w:r>
      <w:r>
        <w:rPr>
          <w:sz w:val="24"/>
        </w:rPr>
        <w:t>National Accounts data, and employment had risen rapidly in Q2, both in terms of heads and </w:t>
      </w:r>
      <w:r>
        <w:rPr>
          <w:spacing w:val="-2"/>
          <w:sz w:val="24"/>
        </w:rPr>
        <w:t>hours. </w:t>
      </w:r>
      <w:r>
        <w:rPr>
          <w:sz w:val="24"/>
        </w:rPr>
        <w:t>There were therefore upside risks to output both in the short and medium term, even if net trade were to act as a drag on growth throughout the next two years, as had been forecast. The </w:t>
      </w:r>
      <w:r>
        <w:rPr>
          <w:spacing w:val="-2"/>
          <w:sz w:val="24"/>
        </w:rPr>
        <w:t>labour </w:t>
      </w:r>
      <w:r>
        <w:rPr>
          <w:sz w:val="24"/>
        </w:rPr>
        <w:t>market was tight. Recent AEI figures had been lower than expected, but they perhaps reflected transitory movements in bonuses. Moreover, until recently real consumption wages had been growing at around 4% a year, and the August central projection in the </w:t>
      </w:r>
      <w:r>
        <w:rPr>
          <w:i/>
          <w:sz w:val="24"/>
        </w:rPr>
        <w:t>Inflation Report </w:t>
      </w:r>
      <w:r>
        <w:rPr>
          <w:spacing w:val="4"/>
          <w:sz w:val="24"/>
        </w:rPr>
        <w:t>already </w:t>
      </w:r>
      <w:r>
        <w:rPr>
          <w:sz w:val="24"/>
        </w:rPr>
        <w:t>incorporated a substantial fall in the growth of unit labour costs. There was little evidence for a marked structural shift in economy-wide margins, and whole-economy productivity growth had </w:t>
      </w:r>
      <w:r>
        <w:rPr>
          <w:spacing w:val="-2"/>
          <w:sz w:val="24"/>
        </w:rPr>
        <w:t>yet </w:t>
      </w:r>
      <w:r>
        <w:rPr>
          <w:sz w:val="24"/>
        </w:rPr>
        <w:t>to strengthen significantly. Although oil prices might well fall back, they had remained stronger </w:t>
      </w:r>
      <w:r>
        <w:rPr>
          <w:spacing w:val="-2"/>
          <w:sz w:val="24"/>
        </w:rPr>
        <w:t>for </w:t>
      </w:r>
      <w:r>
        <w:rPr>
          <w:sz w:val="24"/>
        </w:rPr>
        <w:t>longer than had been expected, and with sterling’s exchange rate weaker since May, RPIX inflation would begin to rise above target unless domestically-generated inflation fell back to offset the effect of </w:t>
      </w:r>
      <w:r>
        <w:rPr>
          <w:spacing w:val="-3"/>
          <w:sz w:val="24"/>
        </w:rPr>
        <w:t>higher import prices. </w:t>
      </w:r>
      <w:r>
        <w:rPr>
          <w:sz w:val="24"/>
        </w:rPr>
        <w:t>The </w:t>
      </w:r>
      <w:r>
        <w:rPr>
          <w:spacing w:val="-3"/>
          <w:sz w:val="24"/>
        </w:rPr>
        <w:t>risks were still that </w:t>
      </w:r>
      <w:r>
        <w:rPr>
          <w:sz w:val="24"/>
        </w:rPr>
        <w:t>it </w:t>
      </w:r>
      <w:r>
        <w:rPr>
          <w:spacing w:val="-3"/>
          <w:sz w:val="24"/>
        </w:rPr>
        <w:t>might </w:t>
      </w:r>
      <w:r>
        <w:rPr>
          <w:sz w:val="24"/>
        </w:rPr>
        <w:t>not do so </w:t>
      </w:r>
      <w:r>
        <w:rPr>
          <w:spacing w:val="-3"/>
          <w:sz w:val="24"/>
        </w:rPr>
        <w:t>sufficiently quickly </w:t>
      </w:r>
      <w:r>
        <w:rPr>
          <w:sz w:val="24"/>
        </w:rPr>
        <w:t>to </w:t>
      </w:r>
      <w:r>
        <w:rPr>
          <w:spacing w:val="-3"/>
          <w:sz w:val="24"/>
        </w:rPr>
        <w:t>meet the </w:t>
      </w:r>
      <w:r>
        <w:rPr>
          <w:spacing w:val="-4"/>
          <w:sz w:val="24"/>
        </w:rPr>
        <w:t>inflation target </w:t>
      </w:r>
      <w:r>
        <w:rPr>
          <w:sz w:val="24"/>
        </w:rPr>
        <w:t>in </w:t>
      </w:r>
      <w:r>
        <w:rPr>
          <w:spacing w:val="-3"/>
          <w:sz w:val="24"/>
        </w:rPr>
        <w:t>the </w:t>
      </w:r>
      <w:r>
        <w:rPr>
          <w:spacing w:val="-4"/>
          <w:sz w:val="24"/>
        </w:rPr>
        <w:t>medium</w:t>
      </w:r>
      <w:r>
        <w:rPr>
          <w:spacing w:val="10"/>
          <w:sz w:val="24"/>
        </w:rPr>
        <w:t> </w:t>
      </w:r>
      <w:r>
        <w:rPr>
          <w:spacing w:val="-4"/>
          <w:sz w:val="24"/>
        </w:rPr>
        <w:t>term.</w:t>
      </w:r>
    </w:p>
    <w:p>
      <w:pPr>
        <w:pStyle w:val="BodyText"/>
        <w:spacing w:before="9"/>
        <w:rPr>
          <w:sz w:val="35"/>
        </w:rPr>
      </w:pPr>
    </w:p>
    <w:p>
      <w:pPr>
        <w:pStyle w:val="ListParagraph"/>
        <w:numPr>
          <w:ilvl w:val="0"/>
          <w:numId w:val="1"/>
        </w:numPr>
        <w:tabs>
          <w:tab w:pos="525" w:val="left" w:leader="none"/>
        </w:tabs>
        <w:spacing w:line="360" w:lineRule="auto" w:before="0" w:after="0"/>
        <w:ind w:left="105" w:right="463" w:firstLine="0"/>
        <w:jc w:val="left"/>
        <w:rPr>
          <w:sz w:val="24"/>
        </w:rPr>
      </w:pPr>
      <w:r>
        <w:rPr>
          <w:sz w:val="24"/>
        </w:rPr>
        <w:t>The Governor invited members to vote on the proposition that the Bank’s repo rate be maintained at 6.0%. Five members of the Committee (the Governor, Christopher Allsopp, </w:t>
      </w:r>
      <w:r>
        <w:rPr>
          <w:spacing w:val="-5"/>
          <w:sz w:val="24"/>
        </w:rPr>
        <w:t>DeAnne </w:t>
      </w:r>
      <w:r>
        <w:rPr>
          <w:spacing w:val="2"/>
          <w:sz w:val="24"/>
        </w:rPr>
        <w:t>Julius, </w:t>
      </w:r>
      <w:r>
        <w:rPr>
          <w:sz w:val="24"/>
        </w:rPr>
        <w:t>Ian Plenderleith and Sushil Wadhwani) voted for the proposition. Mervyn</w:t>
      </w:r>
      <w:r>
        <w:rPr>
          <w:spacing w:val="-22"/>
          <w:sz w:val="24"/>
        </w:rPr>
        <w:t> </w:t>
      </w:r>
      <w:r>
        <w:rPr>
          <w:sz w:val="24"/>
        </w:rPr>
        <w:t>King, David Clementi, Stephen Nickell and John Vickers voted against, preferring a rise in rates</w:t>
      </w:r>
      <w:r>
        <w:rPr>
          <w:spacing w:val="-15"/>
          <w:sz w:val="24"/>
        </w:rPr>
        <w:t> </w:t>
      </w:r>
      <w:r>
        <w:rPr>
          <w:sz w:val="24"/>
        </w:rPr>
        <w:t>of</w:t>
      </w:r>
    </w:p>
    <w:p>
      <w:pPr>
        <w:pStyle w:val="BodyText"/>
        <w:spacing w:before="10"/>
        <w:ind w:left="105"/>
      </w:pPr>
      <w:r>
        <w:rPr/>
        <w:t>25 basis points.</w:t>
      </w:r>
    </w:p>
    <w:p>
      <w:pPr>
        <w:pStyle w:val="BodyText"/>
        <w:rPr>
          <w:sz w:val="26"/>
        </w:rPr>
      </w:pPr>
    </w:p>
    <w:p>
      <w:pPr>
        <w:pStyle w:val="BodyText"/>
        <w:spacing w:before="8"/>
        <w:rPr>
          <w:sz w:val="21"/>
        </w:rPr>
      </w:pPr>
    </w:p>
    <w:p>
      <w:pPr>
        <w:pStyle w:val="ListParagraph"/>
        <w:numPr>
          <w:ilvl w:val="0"/>
          <w:numId w:val="2"/>
        </w:numPr>
        <w:tabs>
          <w:tab w:pos="525" w:val="left" w:leader="none"/>
        </w:tabs>
        <w:spacing w:line="357" w:lineRule="auto" w:before="0" w:after="0"/>
        <w:ind w:left="105" w:right="418" w:firstLine="0"/>
        <w:jc w:val="left"/>
        <w:rPr>
          <w:sz w:val="24"/>
        </w:rPr>
      </w:pPr>
      <w:r>
        <w:rPr>
          <w:sz w:val="24"/>
        </w:rPr>
        <w:t>Finally,</w:t>
      </w:r>
      <w:r>
        <w:rPr>
          <w:spacing w:val="-4"/>
          <w:sz w:val="24"/>
        </w:rPr>
        <w:t> </w:t>
      </w:r>
      <w:r>
        <w:rPr>
          <w:sz w:val="24"/>
        </w:rPr>
        <w:t>the</w:t>
      </w:r>
      <w:r>
        <w:rPr>
          <w:spacing w:val="-4"/>
          <w:sz w:val="24"/>
        </w:rPr>
        <w:t> </w:t>
      </w:r>
      <w:r>
        <w:rPr>
          <w:sz w:val="24"/>
        </w:rPr>
        <w:t>Governor</w:t>
      </w:r>
      <w:r>
        <w:rPr>
          <w:spacing w:val="-4"/>
          <w:sz w:val="24"/>
        </w:rPr>
        <w:t> </w:t>
      </w:r>
      <w:r>
        <w:rPr>
          <w:sz w:val="24"/>
        </w:rPr>
        <w:t>expressed</w:t>
      </w:r>
      <w:r>
        <w:rPr>
          <w:spacing w:val="-3"/>
          <w:sz w:val="24"/>
        </w:rPr>
        <w:t> </w:t>
      </w:r>
      <w:r>
        <w:rPr>
          <w:sz w:val="24"/>
        </w:rPr>
        <w:t>his</w:t>
      </w:r>
      <w:r>
        <w:rPr>
          <w:spacing w:val="-4"/>
          <w:sz w:val="24"/>
        </w:rPr>
        <w:t> </w:t>
      </w:r>
      <w:r>
        <w:rPr>
          <w:sz w:val="24"/>
        </w:rPr>
        <w:t>gratitude</w:t>
      </w:r>
      <w:r>
        <w:rPr>
          <w:spacing w:val="-4"/>
          <w:sz w:val="24"/>
        </w:rPr>
        <w:t> </w:t>
      </w:r>
      <w:r>
        <w:rPr>
          <w:sz w:val="24"/>
        </w:rPr>
        <w:t>to</w:t>
      </w:r>
      <w:r>
        <w:rPr>
          <w:spacing w:val="-3"/>
          <w:sz w:val="24"/>
        </w:rPr>
        <w:t> </w:t>
      </w:r>
      <w:r>
        <w:rPr>
          <w:sz w:val="24"/>
        </w:rPr>
        <w:t>John</w:t>
      </w:r>
      <w:r>
        <w:rPr>
          <w:spacing w:val="-4"/>
          <w:sz w:val="24"/>
        </w:rPr>
        <w:t> </w:t>
      </w:r>
      <w:r>
        <w:rPr>
          <w:sz w:val="24"/>
        </w:rPr>
        <w:t>Vickers</w:t>
      </w:r>
      <w:r>
        <w:rPr>
          <w:spacing w:val="-4"/>
          <w:sz w:val="24"/>
        </w:rPr>
        <w:t> </w:t>
      </w:r>
      <w:r>
        <w:rPr>
          <w:sz w:val="24"/>
        </w:rPr>
        <w:t>not</w:t>
      </w:r>
      <w:r>
        <w:rPr>
          <w:spacing w:val="-4"/>
          <w:sz w:val="24"/>
        </w:rPr>
        <w:t> </w:t>
      </w:r>
      <w:r>
        <w:rPr>
          <w:sz w:val="24"/>
        </w:rPr>
        <w:t>only</w:t>
      </w:r>
      <w:r>
        <w:rPr>
          <w:spacing w:val="-4"/>
          <w:sz w:val="24"/>
        </w:rPr>
        <w:t> </w:t>
      </w:r>
      <w:r>
        <w:rPr>
          <w:sz w:val="24"/>
        </w:rPr>
        <w:t>for</w:t>
      </w:r>
      <w:r>
        <w:rPr>
          <w:spacing w:val="-4"/>
          <w:sz w:val="24"/>
        </w:rPr>
        <w:t> </w:t>
      </w:r>
      <w:r>
        <w:rPr>
          <w:sz w:val="24"/>
        </w:rPr>
        <w:t>his</w:t>
      </w:r>
      <w:r>
        <w:rPr>
          <w:spacing w:val="-4"/>
          <w:sz w:val="24"/>
        </w:rPr>
        <w:t> </w:t>
      </w:r>
      <w:r>
        <w:rPr>
          <w:sz w:val="24"/>
        </w:rPr>
        <w:t>contribution</w:t>
      </w:r>
      <w:r>
        <w:rPr>
          <w:spacing w:val="-3"/>
          <w:sz w:val="24"/>
        </w:rPr>
        <w:t> </w:t>
      </w:r>
      <w:r>
        <w:rPr>
          <w:sz w:val="24"/>
        </w:rPr>
        <w:t>to the Committee’s discussion and decisions, but also for all he had done as Chief Economist </w:t>
      </w:r>
      <w:r>
        <w:rPr>
          <w:spacing w:val="-2"/>
          <w:sz w:val="24"/>
        </w:rPr>
        <w:t>and </w:t>
      </w:r>
      <w:r>
        <w:rPr>
          <w:sz w:val="24"/>
        </w:rPr>
        <w:t>Executive Director of the Bank. On behalf of the Chancellor of the Exchequer, the</w:t>
      </w:r>
      <w:r>
        <w:rPr>
          <w:spacing w:val="3"/>
          <w:sz w:val="24"/>
        </w:rPr>
        <w:t> </w:t>
      </w:r>
      <w:r>
        <w:rPr>
          <w:sz w:val="24"/>
        </w:rPr>
        <w:t>Treasury</w:t>
      </w:r>
    </w:p>
    <w:p>
      <w:pPr>
        <w:spacing w:after="0" w:line="357" w:lineRule="auto"/>
        <w:jc w:val="left"/>
        <w:rPr>
          <w:sz w:val="24"/>
        </w:rPr>
        <w:sectPr>
          <w:pgSz w:w="12240" w:h="15840"/>
          <w:pgMar w:top="1500" w:bottom="280" w:left="1200" w:right="1200"/>
        </w:sectPr>
      </w:pPr>
    </w:p>
    <w:p>
      <w:pPr>
        <w:pStyle w:val="BodyText"/>
        <w:spacing w:before="6"/>
        <w:rPr>
          <w:sz w:val="23"/>
        </w:rPr>
      </w:pPr>
    </w:p>
    <w:p>
      <w:pPr>
        <w:pStyle w:val="BodyText"/>
        <w:spacing w:line="364" w:lineRule="auto" w:before="90"/>
        <w:ind w:left="105" w:right="137"/>
      </w:pPr>
      <w:r>
        <w:rPr/>
        <w:t>representative also expressed his thanks for the contribution John Vickers had made to enhancing the credibility of the Committee, and thereby the institutional framework of UK monetary policy.</w:t>
      </w:r>
    </w:p>
    <w:p>
      <w:pPr>
        <w:pStyle w:val="ListParagraph"/>
        <w:numPr>
          <w:ilvl w:val="0"/>
          <w:numId w:val="2"/>
        </w:numPr>
        <w:tabs>
          <w:tab w:pos="525" w:val="left" w:leader="none"/>
        </w:tabs>
        <w:spacing w:line="706" w:lineRule="exact" w:before="65" w:after="0"/>
        <w:ind w:left="105" w:right="391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177" w:lineRule="exact"/>
        <w:ind w:left="105"/>
      </w:pPr>
      <w:r>
        <w:rPr/>
        <w:t>Mervyn King, Deputy Governor responsible for monetary policy</w:t>
      </w:r>
    </w:p>
    <w:p>
      <w:pPr>
        <w:pStyle w:val="BodyText"/>
        <w:spacing w:line="247" w:lineRule="auto"/>
        <w:ind w:left="105" w:right="3156"/>
      </w:pPr>
      <w:r>
        <w:rPr/>
        <w:t>David Clementi, Deputy Governor responsible for financial stability Christopher Allsopp</w:t>
      </w:r>
    </w:p>
    <w:p>
      <w:pPr>
        <w:pStyle w:val="BodyText"/>
        <w:spacing w:line="242" w:lineRule="auto"/>
        <w:ind w:left="105" w:right="7908"/>
      </w:pPr>
      <w:r>
        <w:rPr/>
        <w:t>DeAnne Julius Stephen Nickell Ian Plenderleith John Vickers Sushil Wadhwani</w:t>
      </w:r>
    </w:p>
    <w:p>
      <w:pPr>
        <w:pStyle w:val="BodyText"/>
        <w:spacing w:before="2"/>
        <w:rPr>
          <w:sz w:val="22"/>
        </w:rPr>
      </w:pPr>
    </w:p>
    <w:p>
      <w:pPr>
        <w:pStyle w:val="BodyText"/>
        <w:ind w:left="105"/>
      </w:pPr>
      <w:r>
        <w:rPr/>
        <w:t>Gus O’Donnell was present as the Treasury representative.</w:t>
      </w:r>
    </w:p>
    <w:p>
      <w:pPr>
        <w:spacing w:after="0"/>
        <w:sectPr>
          <w:pgSz w:w="12240" w:h="15840"/>
          <w:pgMar w:top="1500" w:bottom="280" w:left="1200" w:right="1200"/>
        </w:sectPr>
      </w:pPr>
    </w:p>
    <w:p>
      <w:pPr>
        <w:pStyle w:val="BodyText"/>
        <w:spacing w:before="9"/>
        <w:rPr>
          <w:sz w:val="19"/>
        </w:rPr>
      </w:pPr>
    </w:p>
    <w:p>
      <w:pPr>
        <w:pStyle w:val="Heading1"/>
      </w:pPr>
      <w:r>
        <w:rPr>
          <w:spacing w:val="2"/>
        </w:rPr>
        <w:t>ANNEX: SUMMARY </w:t>
      </w:r>
      <w:r>
        <w:rPr/>
        <w:t>OF </w:t>
      </w:r>
      <w:r>
        <w:rPr>
          <w:spacing w:val="2"/>
        </w:rPr>
        <w:t>DATA PRESENTED </w:t>
      </w:r>
      <w:r>
        <w:rPr/>
        <w:t>BY </w:t>
      </w:r>
      <w:r>
        <w:rPr>
          <w:spacing w:val="2"/>
        </w:rPr>
        <w:t>BANK</w:t>
      </w:r>
      <w:r>
        <w:rPr>
          <w:spacing w:val="65"/>
        </w:rPr>
        <w:t> </w:t>
      </w:r>
      <w:r>
        <w:rPr>
          <w:spacing w:val="3"/>
        </w:rPr>
        <w:t>STAFF</w:t>
      </w:r>
    </w:p>
    <w:p>
      <w:pPr>
        <w:pStyle w:val="BodyText"/>
        <w:rPr>
          <w:b/>
          <w:sz w:val="28"/>
        </w:rPr>
      </w:pPr>
    </w:p>
    <w:p>
      <w:pPr>
        <w:pStyle w:val="BodyText"/>
        <w:spacing w:before="9"/>
        <w:rPr>
          <w:b/>
        </w:rPr>
      </w:pPr>
    </w:p>
    <w:p>
      <w:pPr>
        <w:pStyle w:val="BodyText"/>
        <w:tabs>
          <w:tab w:pos="674" w:val="left" w:leader="none"/>
        </w:tabs>
        <w:spacing w:line="360" w:lineRule="auto"/>
        <w:ind w:left="105" w:right="312"/>
      </w:pPr>
      <w:r>
        <w:rPr>
          <w:spacing w:val="-6"/>
        </w:rPr>
        <w:t>A1</w:t>
        <w:tab/>
      </w:r>
      <w:r>
        <w:rPr>
          <w:spacing w:val="-3"/>
        </w:rPr>
        <w:t>This </w:t>
      </w:r>
      <w:r>
        <w:rPr>
          <w:spacing w:val="-4"/>
        </w:rPr>
        <w:t>Annex </w:t>
      </w:r>
      <w:r>
        <w:rPr/>
        <w:t>summarises the analysis presented by Bank staff to the Monetary Policy Committee on 1 September in advance of its meeting on 6-7 September 2000. At the start of </w:t>
      </w:r>
      <w:r>
        <w:rPr>
          <w:spacing w:val="-2"/>
        </w:rPr>
        <w:t>the </w:t>
      </w:r>
      <w:r>
        <w:rPr/>
        <w:t>meeting itself, members were made aware of information that had subsequently become</w:t>
      </w:r>
      <w:r>
        <w:rPr>
          <w:spacing w:val="-39"/>
        </w:rPr>
        <w:t> </w:t>
      </w:r>
      <w:r>
        <w:rPr/>
        <w:t>available, and </w:t>
      </w:r>
      <w:r>
        <w:rPr>
          <w:spacing w:val="-3"/>
        </w:rPr>
        <w:t>that information </w:t>
      </w:r>
      <w:r>
        <w:rPr/>
        <w:t>is </w:t>
      </w:r>
      <w:r>
        <w:rPr>
          <w:spacing w:val="-3"/>
        </w:rPr>
        <w:t>included </w:t>
      </w:r>
      <w:r>
        <w:rPr/>
        <w:t>in </w:t>
      </w:r>
      <w:r>
        <w:rPr>
          <w:spacing w:val="-3"/>
        </w:rPr>
        <w:t>this</w:t>
      </w:r>
      <w:r>
        <w:rPr>
          <w:spacing w:val="22"/>
        </w:rPr>
        <w:t> </w:t>
      </w:r>
      <w:r>
        <w:rPr>
          <w:spacing w:val="-3"/>
        </w:rPr>
        <w:t>Annex.</w:t>
      </w:r>
    </w:p>
    <w:p>
      <w:pPr>
        <w:pStyle w:val="BodyText"/>
        <w:rPr>
          <w:sz w:val="36"/>
        </w:rPr>
      </w:pPr>
    </w:p>
    <w:p>
      <w:pPr>
        <w:pStyle w:val="Heading2"/>
        <w:numPr>
          <w:ilvl w:val="0"/>
          <w:numId w:val="3"/>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60" w:lineRule="auto"/>
        <w:ind w:left="105" w:right="133"/>
      </w:pPr>
      <w:r>
        <w:rPr>
          <w:spacing w:val="-6"/>
        </w:rPr>
        <w:t>A2</w:t>
        <w:tab/>
      </w:r>
      <w:r>
        <w:rPr/>
        <w:t>The preliminary estimate of Q2 GDP growth in the United States had been 1.3%. Investment had remained strong, growing at 2.6% on the quarter, but quarterly consumption growth had</w:t>
      </w:r>
      <w:r>
        <w:rPr>
          <w:spacing w:val="-38"/>
        </w:rPr>
        <w:t> </w:t>
      </w:r>
      <w:r>
        <w:rPr/>
        <w:t>slowed to 0.7%.  Labour productivity had grown strongly in Q2, by 1.5%.  The FOMC had noted that recent data indicated that more rapid advances in productivity had raised the US potential </w:t>
      </w:r>
      <w:r>
        <w:rPr>
          <w:spacing w:val="-2"/>
        </w:rPr>
        <w:t>growth </w:t>
      </w:r>
      <w:r>
        <w:rPr>
          <w:spacing w:val="-3"/>
        </w:rPr>
        <w:t>rate. Real personal consumption </w:t>
      </w:r>
      <w:r>
        <w:rPr/>
        <w:t>had </w:t>
      </w:r>
      <w:r>
        <w:rPr>
          <w:spacing w:val="-3"/>
        </w:rPr>
        <w:t>strengthened </w:t>
      </w:r>
      <w:r>
        <w:rPr/>
        <w:t>in </w:t>
      </w:r>
      <w:r>
        <w:rPr>
          <w:spacing w:val="-3"/>
        </w:rPr>
        <w:t>July, with </w:t>
      </w:r>
      <w:r>
        <w:rPr/>
        <w:t>the </w:t>
      </w:r>
      <w:r>
        <w:rPr>
          <w:spacing w:val="-3"/>
        </w:rPr>
        <w:t>savings rate having fallen </w:t>
      </w:r>
      <w:r>
        <w:rPr/>
        <w:t>to </w:t>
      </w:r>
      <w:r>
        <w:rPr>
          <w:spacing w:val="-3"/>
        </w:rPr>
        <w:t>its </w:t>
      </w:r>
      <w:r>
        <w:rPr/>
        <w:t>lowest recorded level. There had been signs of a slowdown in the labour market, where private payrolls growth had slowed further in August.  Unemployment had risen to 4.1%.  </w:t>
      </w:r>
      <w:r>
        <w:rPr>
          <w:spacing w:val="-2"/>
        </w:rPr>
        <w:t>Furthermore, </w:t>
      </w:r>
      <w:r>
        <w:rPr/>
        <w:t>new orders had fallen sharply in July, albeit from a high level. The National Association of Purchasing Managers index had also declined further in August, and for the first time</w:t>
      </w:r>
      <w:r>
        <w:rPr>
          <w:spacing w:val="19"/>
        </w:rPr>
        <w:t> </w:t>
      </w:r>
      <w:r>
        <w:rPr/>
        <w:t>since</w:t>
      </w:r>
    </w:p>
    <w:p>
      <w:pPr>
        <w:pStyle w:val="BodyText"/>
        <w:spacing w:line="364" w:lineRule="auto"/>
        <w:ind w:left="105" w:right="576"/>
      </w:pPr>
      <w:r>
        <w:rPr/>
        <w:t>January 1999 was belo w 50. But industrial production had risen in July, with high-tech sectors continuing to grow strongly.</w:t>
      </w:r>
    </w:p>
    <w:p>
      <w:pPr>
        <w:pStyle w:val="BodyText"/>
        <w:spacing w:before="10"/>
        <w:rPr>
          <w:sz w:val="34"/>
        </w:rPr>
      </w:pPr>
    </w:p>
    <w:p>
      <w:pPr>
        <w:pStyle w:val="BodyText"/>
        <w:tabs>
          <w:tab w:pos="674" w:val="left" w:leader="none"/>
        </w:tabs>
        <w:spacing w:line="360" w:lineRule="auto"/>
        <w:ind w:left="105" w:right="133"/>
      </w:pPr>
      <w:r>
        <w:rPr>
          <w:spacing w:val="-6"/>
        </w:rPr>
        <w:t>A3</w:t>
        <w:tab/>
      </w:r>
      <w:r>
        <w:rPr/>
        <w:t>GDP in Germany had grown strongly in Q2, by 1.1%, while French GDP had grown by</w:t>
      </w:r>
      <w:r>
        <w:rPr>
          <w:spacing w:val="-40"/>
        </w:rPr>
        <w:t> </w:t>
      </w:r>
      <w:r>
        <w:rPr/>
        <w:t>0.7%. In July, euro-area unemployment had remained unchanged on the month at 9.1%. German manufacturing orders had risen by 0.7% on a month earlier, but the German IFO index had fallen in July for the second consecutive month, with the fall in the forward-looking component of the index being more pronounced.  Euro-area business confidence had fallen, but was still close to </w:t>
      </w:r>
      <w:r>
        <w:rPr>
          <w:spacing w:val="-2"/>
        </w:rPr>
        <w:t>record </w:t>
      </w:r>
      <w:r>
        <w:rPr/>
        <w:t>high levels. Euro-area consumer confidence had risen in July, and was also close to its all-time high, with increases in both the French and Italian</w:t>
      </w:r>
      <w:r>
        <w:rPr>
          <w:spacing w:val="34"/>
        </w:rPr>
        <w:t> </w:t>
      </w:r>
      <w:r>
        <w:rPr/>
        <w:t>indices.</w:t>
      </w:r>
    </w:p>
    <w:p>
      <w:pPr>
        <w:pStyle w:val="BodyText"/>
        <w:spacing w:before="3"/>
        <w:rPr>
          <w:sz w:val="36"/>
        </w:rPr>
      </w:pPr>
    </w:p>
    <w:p>
      <w:pPr>
        <w:pStyle w:val="BodyText"/>
        <w:tabs>
          <w:tab w:pos="674" w:val="left" w:leader="none"/>
        </w:tabs>
        <w:spacing w:line="357" w:lineRule="auto"/>
        <w:ind w:left="105" w:right="137"/>
      </w:pPr>
      <w:r>
        <w:rPr>
          <w:spacing w:val="-6"/>
        </w:rPr>
        <w:t>A4</w:t>
        <w:tab/>
      </w:r>
      <w:r>
        <w:rPr/>
        <w:t>Japanese</w:t>
      </w:r>
      <w:r>
        <w:rPr>
          <w:spacing w:val="-6"/>
        </w:rPr>
        <w:t> </w:t>
      </w:r>
      <w:r>
        <w:rPr/>
        <w:t>industrial</w:t>
      </w:r>
      <w:r>
        <w:rPr>
          <w:spacing w:val="-6"/>
        </w:rPr>
        <w:t> </w:t>
      </w:r>
      <w:r>
        <w:rPr/>
        <w:t>production,</w:t>
      </w:r>
      <w:r>
        <w:rPr>
          <w:spacing w:val="-6"/>
        </w:rPr>
        <w:t> </w:t>
      </w:r>
      <w:r>
        <w:rPr/>
        <w:t>seasonally</w:t>
      </w:r>
      <w:r>
        <w:rPr>
          <w:spacing w:val="-6"/>
        </w:rPr>
        <w:t> </w:t>
      </w:r>
      <w:r>
        <w:rPr/>
        <w:t>adjusted,</w:t>
      </w:r>
      <w:r>
        <w:rPr>
          <w:spacing w:val="-6"/>
        </w:rPr>
        <w:t> </w:t>
      </w:r>
      <w:r>
        <w:rPr/>
        <w:t>had</w:t>
      </w:r>
      <w:r>
        <w:rPr>
          <w:spacing w:val="-6"/>
        </w:rPr>
        <w:t> </w:t>
      </w:r>
      <w:r>
        <w:rPr/>
        <w:t>declined</w:t>
      </w:r>
      <w:r>
        <w:rPr>
          <w:spacing w:val="-5"/>
        </w:rPr>
        <w:t> </w:t>
      </w:r>
      <w:r>
        <w:rPr/>
        <w:t>by</w:t>
      </w:r>
      <w:r>
        <w:rPr>
          <w:spacing w:val="-6"/>
        </w:rPr>
        <w:t> </w:t>
      </w:r>
      <w:r>
        <w:rPr/>
        <w:t>0.7%</w:t>
      </w:r>
      <w:r>
        <w:rPr>
          <w:spacing w:val="-6"/>
        </w:rPr>
        <w:t> </w:t>
      </w:r>
      <w:r>
        <w:rPr/>
        <w:t>in</w:t>
      </w:r>
      <w:r>
        <w:rPr>
          <w:spacing w:val="-6"/>
        </w:rPr>
        <w:t> </w:t>
      </w:r>
      <w:r>
        <w:rPr/>
        <w:t>July,</w:t>
      </w:r>
      <w:r>
        <w:rPr>
          <w:spacing w:val="-6"/>
        </w:rPr>
        <w:t> </w:t>
      </w:r>
      <w:r>
        <w:rPr/>
        <w:t>but</w:t>
      </w:r>
      <w:r>
        <w:rPr>
          <w:spacing w:val="-6"/>
        </w:rPr>
        <w:t> </w:t>
      </w:r>
      <w:r>
        <w:rPr/>
        <w:t>had</w:t>
      </w:r>
      <w:r>
        <w:rPr>
          <w:spacing w:val="-6"/>
        </w:rPr>
        <w:t> </w:t>
      </w:r>
      <w:r>
        <w:rPr/>
        <w:t>still risen by 5.7% on a year earlier. Investment indicators had remained robust;  for example, machinery orders had risen in June by 23.5% on a year earlier. Nominal cash earnings had fallen</w:t>
      </w:r>
      <w:r>
        <w:rPr>
          <w:spacing w:val="-2"/>
        </w:rPr>
        <w:t> </w:t>
      </w:r>
      <w:r>
        <w:rPr/>
        <w:t>in</w:t>
      </w:r>
    </w:p>
    <w:p>
      <w:pPr>
        <w:spacing w:after="0" w:line="357" w:lineRule="auto"/>
        <w:sectPr>
          <w:pgSz w:w="12240" w:h="15840"/>
          <w:pgMar w:top="1500" w:bottom="280" w:left="1200" w:right="1200"/>
        </w:sectPr>
      </w:pPr>
    </w:p>
    <w:p>
      <w:pPr>
        <w:pStyle w:val="BodyText"/>
        <w:spacing w:before="6"/>
        <w:rPr>
          <w:sz w:val="23"/>
        </w:rPr>
      </w:pPr>
    </w:p>
    <w:p>
      <w:pPr>
        <w:pStyle w:val="BodyText"/>
        <w:spacing w:line="360" w:lineRule="auto" w:before="90"/>
        <w:ind w:left="105"/>
      </w:pPr>
      <w:r>
        <w:rPr/>
        <w:t>July, by 0.1% on a year earlier, following a rise of 1.8% in June, while contracted earnings and overtime payments had risen respectively by 0.9% and 3.9% on a year earlier. The unemployment rate had remained at 4.7% in July, and the ratio of new job offers to applicants had fallen back slightly to 1.08.</w:t>
      </w:r>
    </w:p>
    <w:p>
      <w:pPr>
        <w:pStyle w:val="BodyText"/>
        <w:rPr>
          <w:sz w:val="36"/>
        </w:rPr>
      </w:pPr>
    </w:p>
    <w:p>
      <w:pPr>
        <w:pStyle w:val="BodyText"/>
        <w:tabs>
          <w:tab w:pos="674" w:val="left" w:leader="none"/>
        </w:tabs>
        <w:spacing w:line="364" w:lineRule="auto"/>
        <w:ind w:left="105" w:right="538"/>
      </w:pPr>
      <w:r>
        <w:rPr>
          <w:spacing w:val="-6"/>
        </w:rPr>
        <w:t>A5</w:t>
        <w:tab/>
      </w:r>
      <w:r>
        <w:rPr/>
        <w:t>The</w:t>
      </w:r>
      <w:r>
        <w:rPr>
          <w:spacing w:val="-4"/>
        </w:rPr>
        <w:t> </w:t>
      </w:r>
      <w:r>
        <w:rPr/>
        <w:t>oil</w:t>
      </w:r>
      <w:r>
        <w:rPr>
          <w:spacing w:val="-4"/>
        </w:rPr>
        <w:t> </w:t>
      </w:r>
      <w:r>
        <w:rPr/>
        <w:t>price</w:t>
      </w:r>
      <w:r>
        <w:rPr>
          <w:spacing w:val="-4"/>
        </w:rPr>
        <w:t> </w:t>
      </w:r>
      <w:r>
        <w:rPr/>
        <w:t>rose</w:t>
      </w:r>
      <w:r>
        <w:rPr>
          <w:spacing w:val="-4"/>
        </w:rPr>
        <w:t> </w:t>
      </w:r>
      <w:r>
        <w:rPr/>
        <w:t>during</w:t>
      </w:r>
      <w:r>
        <w:rPr>
          <w:spacing w:val="-4"/>
        </w:rPr>
        <w:t> </w:t>
      </w:r>
      <w:r>
        <w:rPr/>
        <w:t>August</w:t>
      </w:r>
      <w:r>
        <w:rPr>
          <w:spacing w:val="-4"/>
        </w:rPr>
        <w:t> </w:t>
      </w:r>
      <w:r>
        <w:rPr/>
        <w:t>following</w:t>
      </w:r>
      <w:r>
        <w:rPr>
          <w:spacing w:val="-3"/>
        </w:rPr>
        <w:t> </w:t>
      </w:r>
      <w:r>
        <w:rPr/>
        <w:t>its</w:t>
      </w:r>
      <w:r>
        <w:rPr>
          <w:spacing w:val="-4"/>
        </w:rPr>
        <w:t> </w:t>
      </w:r>
      <w:r>
        <w:rPr/>
        <w:t>fall</w:t>
      </w:r>
      <w:r>
        <w:rPr>
          <w:spacing w:val="-4"/>
        </w:rPr>
        <w:t> </w:t>
      </w:r>
      <w:r>
        <w:rPr/>
        <w:t>in</w:t>
      </w:r>
      <w:r>
        <w:rPr>
          <w:spacing w:val="-4"/>
        </w:rPr>
        <w:t> </w:t>
      </w:r>
      <w:r>
        <w:rPr/>
        <w:t>July,</w:t>
      </w:r>
      <w:r>
        <w:rPr>
          <w:spacing w:val="-4"/>
        </w:rPr>
        <w:t> </w:t>
      </w:r>
      <w:r>
        <w:rPr/>
        <w:t>and</w:t>
      </w:r>
      <w:r>
        <w:rPr>
          <w:spacing w:val="-4"/>
        </w:rPr>
        <w:t> </w:t>
      </w:r>
      <w:r>
        <w:rPr/>
        <w:t>one-month</w:t>
      </w:r>
      <w:r>
        <w:rPr>
          <w:spacing w:val="-3"/>
        </w:rPr>
        <w:t> </w:t>
      </w:r>
      <w:r>
        <w:rPr/>
        <w:t>oil</w:t>
      </w:r>
      <w:r>
        <w:rPr>
          <w:spacing w:val="-4"/>
        </w:rPr>
        <w:t> </w:t>
      </w:r>
      <w:r>
        <w:rPr/>
        <w:t>price</w:t>
      </w:r>
      <w:r>
        <w:rPr>
          <w:spacing w:val="-4"/>
        </w:rPr>
        <w:t> </w:t>
      </w:r>
      <w:r>
        <w:rPr/>
        <w:t>futures averaged around $31 per barrel over the month. Prices for non-oil commodities fell in</w:t>
      </w:r>
      <w:r>
        <w:rPr>
          <w:spacing w:val="-37"/>
        </w:rPr>
        <w:t> </w:t>
      </w:r>
      <w:r>
        <w:rPr/>
        <w:t>August.</w:t>
      </w:r>
    </w:p>
    <w:p>
      <w:pPr>
        <w:pStyle w:val="BodyText"/>
        <w:spacing w:before="4"/>
        <w:rPr>
          <w:sz w:val="35"/>
        </w:rPr>
      </w:pPr>
    </w:p>
    <w:p>
      <w:pPr>
        <w:pStyle w:val="BodyText"/>
        <w:tabs>
          <w:tab w:pos="674" w:val="left" w:leader="none"/>
        </w:tabs>
        <w:spacing w:line="360" w:lineRule="auto"/>
        <w:ind w:left="105" w:right="283"/>
      </w:pPr>
      <w:r>
        <w:rPr>
          <w:spacing w:val="-6"/>
        </w:rPr>
        <w:t>A6</w:t>
        <w:tab/>
      </w:r>
      <w:r>
        <w:rPr/>
        <w:t>Hourly compensation growth in the United States had risen by 1.3% in Q2, but unit </w:t>
      </w:r>
      <w:r>
        <w:rPr>
          <w:spacing w:val="-2"/>
        </w:rPr>
        <w:t>labour </w:t>
      </w:r>
      <w:r>
        <w:rPr/>
        <w:t>costs had fallen by 0.1% on the previous quarter. Core inflation had remained unchanged at 2.4%, while CPI inflation had fallen to 3.6% in July. Japanese consumer prices had fallen by 0.2% in </w:t>
      </w:r>
      <w:r>
        <w:rPr>
          <w:spacing w:val="-3"/>
        </w:rPr>
        <w:t>July.</w:t>
      </w:r>
    </w:p>
    <w:p>
      <w:pPr>
        <w:pStyle w:val="BodyText"/>
        <w:rPr>
          <w:sz w:val="36"/>
        </w:rPr>
      </w:pPr>
    </w:p>
    <w:p>
      <w:pPr>
        <w:pStyle w:val="BodyText"/>
        <w:tabs>
          <w:tab w:pos="674" w:val="left" w:leader="none"/>
        </w:tabs>
        <w:spacing w:line="357" w:lineRule="auto"/>
        <w:ind w:left="105" w:right="283"/>
      </w:pPr>
      <w:r>
        <w:rPr>
          <w:spacing w:val="-6"/>
        </w:rPr>
        <w:t>A7</w:t>
        <w:tab/>
      </w:r>
      <w:r>
        <w:rPr/>
        <w:t>In July, euro-area producer price inflation had risen by 5.5% on a year earlier, in part due to strong growth in energy prices. The harmonized index of consumer prices for the euro area </w:t>
      </w:r>
      <w:r>
        <w:rPr>
          <w:spacing w:val="-2"/>
        </w:rPr>
        <w:t>had </w:t>
      </w:r>
      <w:r>
        <w:rPr/>
        <w:t>remained unchanged at 2.4% in July. Euro-area M3 had grown by 5.3% on a year earlier in July, following growth of 5.4% in June. The European Central Bank raised the minimum bid rate on</w:t>
      </w:r>
      <w:r>
        <w:rPr>
          <w:spacing w:val="-13"/>
        </w:rPr>
        <w:t> </w:t>
      </w:r>
      <w:r>
        <w:rPr>
          <w:spacing w:val="-2"/>
        </w:rPr>
        <w:t>its </w:t>
      </w:r>
      <w:r>
        <w:rPr/>
        <w:t>main refinancing operations by 0.25 percentage points, to 4.50% in</w:t>
      </w:r>
      <w:r>
        <w:rPr>
          <w:spacing w:val="9"/>
        </w:rPr>
        <w:t> </w:t>
      </w:r>
      <w:r>
        <w:rPr/>
        <w:t>July.</w:t>
      </w:r>
    </w:p>
    <w:p>
      <w:pPr>
        <w:pStyle w:val="BodyText"/>
        <w:spacing w:before="5"/>
        <w:rPr>
          <w:sz w:val="36"/>
        </w:rPr>
      </w:pPr>
    </w:p>
    <w:p>
      <w:pPr>
        <w:pStyle w:val="BodyText"/>
        <w:tabs>
          <w:tab w:pos="674" w:val="left" w:leader="none"/>
        </w:tabs>
        <w:spacing w:line="360" w:lineRule="auto"/>
        <w:ind w:left="105" w:right="137"/>
      </w:pPr>
      <w:r>
        <w:rPr>
          <w:spacing w:val="-6"/>
        </w:rPr>
        <w:t>A8</w:t>
        <w:tab/>
      </w:r>
      <w:r>
        <w:rPr/>
        <w:t>Since 2 August, the euro exchange rate index had depreciated by around 2.5%, while the yen ERI had appreciated by around 5%. The dollar ERI was broadly flat on the month. Over the same </w:t>
      </w:r>
      <w:r>
        <w:rPr>
          <w:spacing w:val="-3"/>
        </w:rPr>
        <w:t>period, </w:t>
      </w:r>
      <w:r>
        <w:rPr/>
        <w:t>the Wilshire 5000 index (a broad measure of the US stock market) had risen by around </w:t>
      </w:r>
      <w:r>
        <w:rPr>
          <w:spacing w:val="-2"/>
        </w:rPr>
        <w:t>5%, </w:t>
      </w:r>
      <w:r>
        <w:rPr/>
        <w:t>while the NASDAQ index, with a higher proportion of technology stocks, had grown by 10%. </w:t>
      </w:r>
      <w:r>
        <w:rPr>
          <w:spacing w:val="-2"/>
        </w:rPr>
        <w:t>The </w:t>
      </w:r>
      <w:r>
        <w:rPr>
          <w:spacing w:val="-4"/>
        </w:rPr>
        <w:t>Euro </w:t>
      </w:r>
      <w:r>
        <w:rPr/>
        <w:t>Stoxx index was up by around 4%, but the Japanese TOPIX index had remained broadly </w:t>
      </w:r>
      <w:r>
        <w:rPr>
          <w:spacing w:val="-3"/>
        </w:rPr>
        <w:t>unchanged. Interest rates </w:t>
      </w:r>
      <w:r>
        <w:rPr/>
        <w:t>implied by </w:t>
      </w:r>
      <w:r>
        <w:rPr>
          <w:spacing w:val="-3"/>
        </w:rPr>
        <w:t>futures </w:t>
      </w:r>
      <w:r>
        <w:rPr/>
        <w:t>contracts had </w:t>
      </w:r>
      <w:r>
        <w:rPr>
          <w:spacing w:val="-3"/>
        </w:rPr>
        <w:t>fallen </w:t>
      </w:r>
      <w:r>
        <w:rPr/>
        <w:t>on the month for the </w:t>
      </w:r>
      <w:r>
        <w:rPr>
          <w:spacing w:val="-3"/>
        </w:rPr>
        <w:t>United States, </w:t>
      </w:r>
      <w:r>
        <w:rPr/>
        <w:t>but had risen somewhat for the euro area and</w:t>
      </w:r>
      <w:r>
        <w:rPr>
          <w:spacing w:val="21"/>
        </w:rPr>
        <w:t> </w:t>
      </w:r>
      <w:r>
        <w:rPr>
          <w:spacing w:val="-2"/>
        </w:rPr>
        <w:t>Japan.</w:t>
      </w:r>
    </w:p>
    <w:p>
      <w:pPr>
        <w:pStyle w:val="BodyText"/>
        <w:spacing w:before="3"/>
        <w:rPr>
          <w:sz w:val="36"/>
        </w:rPr>
      </w:pPr>
    </w:p>
    <w:p>
      <w:pPr>
        <w:pStyle w:val="Heading2"/>
        <w:numPr>
          <w:ilvl w:val="0"/>
          <w:numId w:val="3"/>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tabs>
          <w:tab w:pos="674" w:val="left" w:leader="none"/>
        </w:tabs>
        <w:spacing w:line="364" w:lineRule="auto"/>
        <w:ind w:left="105" w:right="327"/>
      </w:pPr>
      <w:r>
        <w:rPr>
          <w:spacing w:val="-6"/>
        </w:rPr>
        <w:t>A9</w:t>
        <w:tab/>
      </w:r>
      <w:r>
        <w:rPr/>
        <w:t>The twelve-month growth rate of notes and coin had continued to fall slightly, from 7.1%</w:t>
      </w:r>
      <w:r>
        <w:rPr>
          <w:spacing w:val="-43"/>
        </w:rPr>
        <w:t> </w:t>
      </w:r>
      <w:r>
        <w:rPr/>
        <w:t>in </w:t>
      </w:r>
      <w:r>
        <w:rPr>
          <w:spacing w:val="-3"/>
        </w:rPr>
        <w:t>July </w:t>
      </w:r>
      <w:r>
        <w:rPr/>
        <w:t>to </w:t>
      </w:r>
      <w:r>
        <w:rPr>
          <w:spacing w:val="-3"/>
        </w:rPr>
        <w:t>6.9% </w:t>
      </w:r>
      <w:r>
        <w:rPr/>
        <w:t>in</w:t>
      </w:r>
      <w:r>
        <w:rPr>
          <w:spacing w:val="26"/>
        </w:rPr>
        <w:t> </w:t>
      </w:r>
      <w:r>
        <w:rPr>
          <w:spacing w:val="-3"/>
        </w:rPr>
        <w:t>August.</w:t>
      </w:r>
    </w:p>
    <w:p>
      <w:pPr>
        <w:spacing w:after="0" w:line="364" w:lineRule="auto"/>
        <w:sectPr>
          <w:pgSz w:w="12240" w:h="15840"/>
          <w:pgMar w:top="1500" w:bottom="280" w:left="1200" w:right="1200"/>
        </w:sectPr>
      </w:pPr>
    </w:p>
    <w:p>
      <w:pPr>
        <w:pStyle w:val="BodyText"/>
        <w:spacing w:before="6"/>
        <w:rPr>
          <w:sz w:val="23"/>
        </w:rPr>
      </w:pPr>
    </w:p>
    <w:p>
      <w:pPr>
        <w:pStyle w:val="BodyText"/>
        <w:spacing w:line="357" w:lineRule="auto" w:before="90"/>
        <w:ind w:left="105" w:right="283"/>
      </w:pPr>
      <w:r>
        <w:rPr/>
        <w:t>A10 M4 had been weak in July, rising by only £0.2 billion. The twelve-month growth rate had risen slightly to 6.7% as a weak outturn a year ago fell out of the calculation. But, excluding other financial corporations’ (OFCs) deposits, twelve-month M4 growth had fallen to 5.3% in July.</w:t>
      </w:r>
    </w:p>
    <w:p>
      <w:pPr>
        <w:pStyle w:val="BodyText"/>
        <w:spacing w:line="357" w:lineRule="auto" w:before="12"/>
        <w:ind w:left="105" w:right="462"/>
      </w:pPr>
      <w:r>
        <w:rPr/>
        <w:t>Aggregate M4 lending (excluding the effects of securitisations) had remained strong in July, increasing by £7.9 billion on the month. The twelve-month growth rate had risen to 11.9%, still </w:t>
      </w:r>
      <w:r>
        <w:rPr>
          <w:spacing w:val="-3"/>
        </w:rPr>
        <w:t>close </w:t>
      </w:r>
      <w:r>
        <w:rPr/>
        <w:t>to its </w:t>
      </w:r>
      <w:r>
        <w:rPr>
          <w:spacing w:val="-3"/>
        </w:rPr>
        <w:t>highest value since</w:t>
      </w:r>
      <w:r>
        <w:rPr>
          <w:spacing w:val="51"/>
        </w:rPr>
        <w:t> </w:t>
      </w:r>
      <w:r>
        <w:rPr>
          <w:spacing w:val="-3"/>
        </w:rPr>
        <w:t>1991.</w:t>
      </w:r>
    </w:p>
    <w:p>
      <w:pPr>
        <w:pStyle w:val="BodyText"/>
        <w:spacing w:before="2"/>
        <w:rPr>
          <w:sz w:val="36"/>
        </w:rPr>
      </w:pPr>
    </w:p>
    <w:p>
      <w:pPr>
        <w:pStyle w:val="BodyText"/>
        <w:spacing w:line="357" w:lineRule="auto"/>
        <w:ind w:left="105" w:right="193"/>
        <w:jc w:val="both"/>
      </w:pPr>
      <w:r>
        <w:rPr/>
        <w:t>A11 Households’ M4 had been unchanged in July, and the twelve-month growth rate had fallen to a five-year low of 4.6%. Timing factors and self-assessment tax payments may have contributed to the</w:t>
      </w:r>
      <w:r>
        <w:rPr>
          <w:spacing w:val="-3"/>
        </w:rPr>
        <w:t> </w:t>
      </w:r>
      <w:r>
        <w:rPr/>
        <w:t>weakness</w:t>
      </w:r>
      <w:r>
        <w:rPr>
          <w:spacing w:val="-2"/>
        </w:rPr>
        <w:t> </w:t>
      </w:r>
      <w:r>
        <w:rPr/>
        <w:t>in</w:t>
      </w:r>
      <w:r>
        <w:rPr>
          <w:spacing w:val="-3"/>
        </w:rPr>
        <w:t> </w:t>
      </w:r>
      <w:r>
        <w:rPr/>
        <w:t>July,</w:t>
      </w:r>
      <w:r>
        <w:rPr>
          <w:spacing w:val="-2"/>
        </w:rPr>
        <w:t> </w:t>
      </w:r>
      <w:r>
        <w:rPr/>
        <w:t>but</w:t>
      </w:r>
      <w:r>
        <w:rPr>
          <w:spacing w:val="-3"/>
        </w:rPr>
        <w:t> </w:t>
      </w:r>
      <w:r>
        <w:rPr/>
        <w:t>a</w:t>
      </w:r>
      <w:r>
        <w:rPr>
          <w:spacing w:val="-2"/>
        </w:rPr>
        <w:t> </w:t>
      </w:r>
      <w:r>
        <w:rPr/>
        <w:t>more</w:t>
      </w:r>
      <w:r>
        <w:rPr>
          <w:spacing w:val="-3"/>
        </w:rPr>
        <w:t> </w:t>
      </w:r>
      <w:r>
        <w:rPr/>
        <w:t>general</w:t>
      </w:r>
      <w:r>
        <w:rPr>
          <w:spacing w:val="-2"/>
        </w:rPr>
        <w:t> </w:t>
      </w:r>
      <w:r>
        <w:rPr/>
        <w:t>weakening</w:t>
      </w:r>
      <w:r>
        <w:rPr>
          <w:spacing w:val="-3"/>
        </w:rPr>
        <w:t> </w:t>
      </w:r>
      <w:r>
        <w:rPr/>
        <w:t>trend</w:t>
      </w:r>
      <w:r>
        <w:rPr>
          <w:spacing w:val="-2"/>
        </w:rPr>
        <w:t> </w:t>
      </w:r>
      <w:r>
        <w:rPr/>
        <w:t>had</w:t>
      </w:r>
      <w:r>
        <w:rPr>
          <w:spacing w:val="-2"/>
        </w:rPr>
        <w:t> </w:t>
      </w:r>
      <w:r>
        <w:rPr/>
        <w:t>been</w:t>
      </w:r>
      <w:r>
        <w:rPr>
          <w:spacing w:val="-3"/>
        </w:rPr>
        <w:t> </w:t>
      </w:r>
      <w:r>
        <w:rPr/>
        <w:t>apparent</w:t>
      </w:r>
      <w:r>
        <w:rPr>
          <w:spacing w:val="-2"/>
        </w:rPr>
        <w:t> </w:t>
      </w:r>
      <w:r>
        <w:rPr/>
        <w:t>for</w:t>
      </w:r>
      <w:r>
        <w:rPr>
          <w:spacing w:val="-3"/>
        </w:rPr>
        <w:t> </w:t>
      </w:r>
      <w:r>
        <w:rPr/>
        <w:t>the</w:t>
      </w:r>
      <w:r>
        <w:rPr>
          <w:spacing w:val="-2"/>
        </w:rPr>
        <w:t> </w:t>
      </w:r>
      <w:r>
        <w:rPr/>
        <w:t>past</w:t>
      </w:r>
      <w:r>
        <w:rPr>
          <w:spacing w:val="-3"/>
        </w:rPr>
        <w:t> </w:t>
      </w:r>
      <w:r>
        <w:rPr/>
        <w:t>year</w:t>
      </w:r>
      <w:r>
        <w:rPr>
          <w:spacing w:val="-2"/>
        </w:rPr>
        <w:t> </w:t>
      </w:r>
      <w:r>
        <w:rPr/>
        <w:t>or</w:t>
      </w:r>
      <w:r>
        <w:rPr>
          <w:spacing w:val="-3"/>
        </w:rPr>
        <w:t> </w:t>
      </w:r>
      <w:r>
        <w:rPr>
          <w:spacing w:val="-2"/>
        </w:rPr>
        <w:t>so.</w:t>
      </w:r>
    </w:p>
    <w:p>
      <w:pPr>
        <w:pStyle w:val="BodyText"/>
        <w:spacing w:before="6"/>
        <w:rPr>
          <w:sz w:val="37"/>
        </w:rPr>
      </w:pPr>
    </w:p>
    <w:p>
      <w:pPr>
        <w:pStyle w:val="BodyText"/>
        <w:spacing w:line="360" w:lineRule="auto"/>
        <w:ind w:left="105" w:right="156"/>
      </w:pPr>
      <w:r>
        <w:rPr/>
        <w:t>A12 The twelve-month growth rate in households’ M4 lending (excluding securitisations) had ticked down to 10.1% in July. Within total lending to individuals, net secured lending had been substantially weaker than in previous months, at £2.8 billion in July. The value of all loans approved in July had been £8.9 billion (down £0.9 billion from June), and the total number of approvals for house purchase had fallen by 8,000 to 93,000 in July, compared with an average of around 100,000 for the first half of this year. These latest falls had perhaps brought the monetary data more into line with other indicators suggesting that underlying housing activity would begin to fall in future months.</w:t>
      </w:r>
    </w:p>
    <w:p>
      <w:pPr>
        <w:pStyle w:val="BodyText"/>
        <w:spacing w:before="6"/>
        <w:rPr>
          <w:sz w:val="35"/>
        </w:rPr>
      </w:pPr>
    </w:p>
    <w:p>
      <w:pPr>
        <w:pStyle w:val="BodyText"/>
        <w:spacing w:line="360" w:lineRule="auto"/>
        <w:ind w:left="105" w:right="156"/>
      </w:pPr>
      <w:r>
        <w:rPr/>
        <w:t>A13 The Bank’s first estimate of mortgage equity withdrawal in Q2 was £3.3 billion, compared with £2.3 billion in Q1 and a recent peak of £3.4 billion in 1999 Q3. The latest estimate had suggested that the flow of real borrowing for consumption had remained broadly flat over the past three quarters or so, following the sharp pick-up around the middle of 1999.</w:t>
      </w:r>
    </w:p>
    <w:p>
      <w:pPr>
        <w:pStyle w:val="BodyText"/>
        <w:rPr>
          <w:sz w:val="36"/>
        </w:rPr>
      </w:pPr>
    </w:p>
    <w:p>
      <w:pPr>
        <w:pStyle w:val="BodyText"/>
        <w:spacing w:line="357" w:lineRule="auto"/>
        <w:ind w:left="105" w:right="137"/>
      </w:pPr>
      <w:r>
        <w:rPr/>
        <w:t>A14 Private non-financial corporations’ (PNFCs) M4 had fallen by £0.1 billion in July after strong growth in earlier months, possibly related to tax changes in the Budget reducing the incentives to hold surplus funds overseas. The twelve-month growth rate in PNFCs’ M4 had declined to 7.9%.</w:t>
      </w:r>
    </w:p>
    <w:p>
      <w:pPr>
        <w:pStyle w:val="BodyText"/>
        <w:spacing w:line="357" w:lineRule="auto" w:before="11"/>
        <w:ind w:left="105"/>
      </w:pPr>
      <w:r>
        <w:rPr/>
        <w:t>By contrast, M4 lending to PNFCs (excluding securitisations) had risen strongly by £3.2 billion in July after falling in June. The twelve-month growth rate of PNFCs’ M4 lending had risen to 14.5%, continuing its recent strength. Total corporate financing had also been strong, at £7.0 billion in</w:t>
      </w:r>
    </w:p>
    <w:p>
      <w:pPr>
        <w:spacing w:after="0" w:line="357" w:lineRule="auto"/>
        <w:sectPr>
          <w:pgSz w:w="12240" w:h="15840"/>
          <w:pgMar w:top="1500" w:bottom="280" w:left="1200" w:right="1200"/>
        </w:sectPr>
      </w:pPr>
    </w:p>
    <w:p>
      <w:pPr>
        <w:pStyle w:val="BodyText"/>
        <w:spacing w:before="6"/>
        <w:rPr>
          <w:sz w:val="23"/>
        </w:rPr>
      </w:pPr>
    </w:p>
    <w:p>
      <w:pPr>
        <w:pStyle w:val="BodyText"/>
        <w:spacing w:line="364" w:lineRule="auto" w:before="90"/>
        <w:ind w:left="105"/>
      </w:pPr>
      <w:r>
        <w:rPr/>
        <w:t>July. In real terms the average monthly flow of financing raised by PNFCs was now at the highest level since 1989.</w:t>
      </w:r>
    </w:p>
    <w:p>
      <w:pPr>
        <w:pStyle w:val="BodyText"/>
        <w:spacing w:before="4"/>
        <w:rPr>
          <w:sz w:val="35"/>
        </w:rPr>
      </w:pPr>
    </w:p>
    <w:p>
      <w:pPr>
        <w:pStyle w:val="BodyText"/>
        <w:spacing w:line="357" w:lineRule="auto"/>
        <w:ind w:left="105" w:right="137"/>
      </w:pPr>
      <w:r>
        <w:rPr/>
        <w:t>A15 Holdings of M4 by OFCs had increased by £0.3 billion (0.2%) in July. The twelve-month growth rate had been 11.8%. OFCs’ M4 lending had increased by £0.2 billion (0.1%) in July, and the twelve-month growth rate had been 14%.</w:t>
      </w:r>
    </w:p>
    <w:p>
      <w:pPr>
        <w:pStyle w:val="BodyText"/>
        <w:spacing w:before="2"/>
        <w:rPr>
          <w:sz w:val="36"/>
        </w:rPr>
      </w:pPr>
    </w:p>
    <w:p>
      <w:pPr>
        <w:pStyle w:val="BodyText"/>
        <w:spacing w:line="362" w:lineRule="auto"/>
        <w:ind w:left="105" w:right="298"/>
      </w:pPr>
      <w:r>
        <w:rPr/>
        <w:t>A16 Since the August MPC meeting, shorter-term interest rate expectations, as measured by the two-week gilt repo forward curve, had fallen slightly. Longer-term rates had changed little. But corporate bond yields had risen slightly since the August MPC meeting. With the flattening of the corporate term structure, the maturity of bond issuance in recent months had become more evenly spread across the yield curve, and less concentrated at the long end.</w:t>
      </w:r>
    </w:p>
    <w:p>
      <w:pPr>
        <w:pStyle w:val="BodyText"/>
        <w:spacing w:before="4"/>
        <w:rPr>
          <w:sz w:val="35"/>
        </w:rPr>
      </w:pPr>
    </w:p>
    <w:p>
      <w:pPr>
        <w:pStyle w:val="BodyText"/>
        <w:spacing w:line="357" w:lineRule="auto"/>
        <w:ind w:left="105" w:right="291"/>
      </w:pPr>
      <w:r>
        <w:rPr/>
        <w:t>A17 Retail interest rates had been little changed since the August MPC meeting, and survey measures of inflation expectations were very close to the values reported at the time of the August MPC meeting.</w:t>
      </w:r>
    </w:p>
    <w:p>
      <w:pPr>
        <w:pStyle w:val="BodyText"/>
        <w:spacing w:before="2"/>
        <w:rPr>
          <w:sz w:val="36"/>
        </w:rPr>
      </w:pPr>
    </w:p>
    <w:p>
      <w:pPr>
        <w:pStyle w:val="BodyText"/>
        <w:spacing w:line="362" w:lineRule="auto"/>
        <w:ind w:left="105" w:right="183"/>
      </w:pPr>
      <w:r>
        <w:rPr/>
        <w:t>A18  The FTSE 100, the FTSE All-Share, the FTSE 250, and the FTSE Small Cap indices </w:t>
      </w:r>
      <w:r>
        <w:rPr>
          <w:spacing w:val="-2"/>
        </w:rPr>
        <w:t>had </w:t>
      </w:r>
      <w:r>
        <w:rPr/>
        <w:t>risen by between 3.9% and 6.8% since the August MPC meeting, broadly in line with international markets. The UK IT sector, as measured by the FTSE IT Sector index, had risen by 16.4% over </w:t>
      </w:r>
      <w:r>
        <w:rPr>
          <w:spacing w:val="-2"/>
        </w:rPr>
        <w:t>the </w:t>
      </w:r>
      <w:r>
        <w:rPr/>
        <w:t>month, reflecting the continued global rebound of IT stocks. The FTSE 100 implied volatility level had</w:t>
      </w:r>
      <w:r>
        <w:rPr>
          <w:spacing w:val="8"/>
        </w:rPr>
        <w:t> </w:t>
      </w:r>
      <w:r>
        <w:rPr>
          <w:spacing w:val="-3"/>
        </w:rPr>
        <w:t>fallen</w:t>
      </w:r>
      <w:r>
        <w:rPr>
          <w:spacing w:val="8"/>
        </w:rPr>
        <w:t> </w:t>
      </w:r>
      <w:r>
        <w:rPr>
          <w:spacing w:val="-3"/>
        </w:rPr>
        <w:t>sharply</w:t>
      </w:r>
      <w:r>
        <w:rPr>
          <w:spacing w:val="8"/>
        </w:rPr>
        <w:t> </w:t>
      </w:r>
      <w:r>
        <w:rPr/>
        <w:t>in</w:t>
      </w:r>
      <w:r>
        <w:rPr>
          <w:spacing w:val="8"/>
        </w:rPr>
        <w:t> </w:t>
      </w:r>
      <w:r>
        <w:rPr>
          <w:spacing w:val="-3"/>
        </w:rPr>
        <w:t>August</w:t>
      </w:r>
      <w:r>
        <w:rPr>
          <w:spacing w:val="8"/>
        </w:rPr>
        <w:t> </w:t>
      </w:r>
      <w:r>
        <w:rPr>
          <w:spacing w:val="-3"/>
        </w:rPr>
        <w:t>towards</w:t>
      </w:r>
      <w:r>
        <w:rPr>
          <w:spacing w:val="8"/>
        </w:rPr>
        <w:t> </w:t>
      </w:r>
      <w:r>
        <w:rPr>
          <w:spacing w:val="-3"/>
        </w:rPr>
        <w:t>levels</w:t>
      </w:r>
      <w:r>
        <w:rPr>
          <w:spacing w:val="8"/>
        </w:rPr>
        <w:t> </w:t>
      </w:r>
      <w:r>
        <w:rPr>
          <w:spacing w:val="-3"/>
        </w:rPr>
        <w:t>last</w:t>
      </w:r>
      <w:r>
        <w:rPr>
          <w:spacing w:val="9"/>
        </w:rPr>
        <w:t> </w:t>
      </w:r>
      <w:r>
        <w:rPr>
          <w:spacing w:val="-3"/>
        </w:rPr>
        <w:t>seen</w:t>
      </w:r>
      <w:r>
        <w:rPr>
          <w:spacing w:val="8"/>
        </w:rPr>
        <w:t> </w:t>
      </w:r>
      <w:r>
        <w:rPr/>
        <w:t>in</w:t>
      </w:r>
      <w:r>
        <w:rPr>
          <w:spacing w:val="8"/>
        </w:rPr>
        <w:t> </w:t>
      </w:r>
      <w:r>
        <w:rPr>
          <w:spacing w:val="-3"/>
        </w:rPr>
        <w:t>1997.</w:t>
      </w:r>
    </w:p>
    <w:p>
      <w:pPr>
        <w:pStyle w:val="BodyText"/>
        <w:spacing w:before="4"/>
        <w:rPr>
          <w:sz w:val="35"/>
        </w:rPr>
      </w:pPr>
    </w:p>
    <w:p>
      <w:pPr>
        <w:pStyle w:val="BodyText"/>
        <w:spacing w:line="360" w:lineRule="auto"/>
        <w:ind w:left="105"/>
      </w:pPr>
      <w:r>
        <w:rPr/>
        <w:t>A19 Since the previous MPC meeting, the sterling exchange rate index had changed little, depreciating by 0.2%. Within the index, sterling had appreciated by 1.1% against the euro and depreciated by 2.9% against the US dollar. The $/£ rate had been at its lowest level in seven years. Changes in interest differentials could not explain sterling’s depreciation against the dollar.</w:t>
      </w:r>
    </w:p>
    <w:p>
      <w:pPr>
        <w:pStyle w:val="BodyText"/>
        <w:rPr>
          <w:sz w:val="36"/>
        </w:rPr>
      </w:pPr>
    </w:p>
    <w:p>
      <w:pPr>
        <w:pStyle w:val="Heading2"/>
        <w:numPr>
          <w:ilvl w:val="0"/>
          <w:numId w:val="3"/>
        </w:numPr>
        <w:tabs>
          <w:tab w:pos="674" w:val="left" w:leader="none"/>
          <w:tab w:pos="675" w:val="left" w:leader="none"/>
        </w:tabs>
        <w:spacing w:line="240" w:lineRule="auto" w:before="1"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64" w:lineRule="auto"/>
        <w:ind w:left="105" w:right="462"/>
      </w:pPr>
      <w:r>
        <w:rPr/>
        <w:t>A20 Quarterly GDP had risen by 0.9% in Q2, unrevised from the previous GDP release, with growth up from 0.5% in Q1. Service sector growth had been revised down to 0.9% from 1.0%,</w:t>
      </w:r>
    </w:p>
    <w:p>
      <w:pPr>
        <w:spacing w:after="0" w:line="364" w:lineRule="auto"/>
        <w:sectPr>
          <w:pgSz w:w="12240" w:h="15840"/>
          <w:pgMar w:top="1500" w:bottom="280" w:left="1200" w:right="1200"/>
        </w:sectPr>
      </w:pPr>
    </w:p>
    <w:p>
      <w:pPr>
        <w:pStyle w:val="BodyText"/>
        <w:spacing w:before="6"/>
        <w:rPr>
          <w:sz w:val="23"/>
        </w:rPr>
      </w:pPr>
    </w:p>
    <w:p>
      <w:pPr>
        <w:pStyle w:val="BodyText"/>
        <w:spacing w:line="360" w:lineRule="auto" w:before="90"/>
        <w:ind w:left="105" w:right="137"/>
      </w:pPr>
      <w:r>
        <w:rPr/>
        <w:t>while manufacturing output had increased by 0.4% on the quarter. Construction output had fallen by 0.7% in Q2.</w:t>
      </w:r>
      <w:r>
        <w:rPr>
          <w:spacing w:val="7"/>
        </w:rPr>
        <w:t> </w:t>
      </w:r>
      <w:r>
        <w:rPr/>
        <w:t>The increase in quarterly GDP growth had been partly accounted for by a sharp rise in the growth of mining and utilities output, reported to have been due to adverse weather conditions, which had contributed 0.3 percentage points to quarterly GDP growth in Q2. Excluding the primary sectors, GDP had risen by an estimated 0.7% on the quarter.</w:t>
      </w:r>
      <w:r>
        <w:rPr>
          <w:spacing w:val="13"/>
        </w:rPr>
        <w:t> </w:t>
      </w:r>
      <w:r>
        <w:rPr/>
        <w:t>Within manufacturing, the divergence between growth in the electrical/optical and chemical sectors and the rest of manufacturing had continued in Q2. Within services, business services at 1.5% had shown </w:t>
      </w:r>
      <w:r>
        <w:rPr>
          <w:spacing w:val="-2"/>
        </w:rPr>
        <w:t>the </w:t>
      </w:r>
      <w:r>
        <w:rPr/>
        <w:t>strongest quarterly growth rate for two years. By contrast, growth in distribution output </w:t>
      </w:r>
      <w:r>
        <w:rPr>
          <w:spacing w:val="-2"/>
        </w:rPr>
        <w:t>had </w:t>
      </w:r>
      <w:r>
        <w:rPr/>
        <w:t>weakened to 0.6% from 1.0% in</w:t>
      </w:r>
      <w:r>
        <w:rPr>
          <w:spacing w:val="15"/>
        </w:rPr>
        <w:t> </w:t>
      </w:r>
      <w:r>
        <w:rPr>
          <w:spacing w:val="-2"/>
        </w:rPr>
        <w:t>Q1.</w:t>
      </w:r>
    </w:p>
    <w:p>
      <w:pPr>
        <w:pStyle w:val="BodyText"/>
        <w:rPr>
          <w:sz w:val="36"/>
        </w:rPr>
      </w:pPr>
    </w:p>
    <w:p>
      <w:pPr>
        <w:pStyle w:val="BodyText"/>
        <w:spacing w:line="364" w:lineRule="auto" w:before="1"/>
        <w:ind w:left="105"/>
      </w:pPr>
      <w:r>
        <w:rPr/>
        <w:t>A21 On the expenditure side, quarterly household consumption growth had been 0.8% in Q2. The ONS had reported strong increases in energy and communications, but a decline in sales of cars.</w:t>
      </w:r>
    </w:p>
    <w:p>
      <w:pPr>
        <w:pStyle w:val="BodyText"/>
        <w:spacing w:line="360" w:lineRule="auto"/>
        <w:ind w:left="105" w:right="137"/>
      </w:pPr>
      <w:r>
        <w:rPr/>
        <w:t>Government consumption growth in Q2 had been strong at 1.9%. Investment had shown quarterly growth of just 0.2% in Q2 reflecting weak business investment growth of 0.4%. Manufacturing investment had fallen by 3.2%, but services investment had increased. Inventories had made no contribution to GDP growth in Q2. The ONS had said that the entire rise in stocks had been accounted for by the alignment adjustment; excluding the alignment adjustment, stocks were lower than in the previous quarter. Growth in both export and import volumes had picked up in Q2, to 2.6% and 2.3% on the quarter. Net trade had made no contribution to quarterly GDP growth.</w:t>
      </w:r>
    </w:p>
    <w:p>
      <w:pPr>
        <w:pStyle w:val="BodyText"/>
        <w:rPr>
          <w:sz w:val="35"/>
        </w:rPr>
      </w:pPr>
    </w:p>
    <w:p>
      <w:pPr>
        <w:pStyle w:val="BodyText"/>
        <w:spacing w:line="364" w:lineRule="auto"/>
        <w:ind w:left="105"/>
      </w:pPr>
      <w:r>
        <w:rPr/>
        <w:t>A22 Retail sales volumes in July had been broadly unchanged. Sales of clothing and footwear </w:t>
      </w:r>
      <w:r>
        <w:rPr>
          <w:spacing w:val="-2"/>
        </w:rPr>
        <w:t>and </w:t>
      </w:r>
      <w:r>
        <w:rPr>
          <w:spacing w:val="-3"/>
        </w:rPr>
        <w:t>food </w:t>
      </w:r>
      <w:r>
        <w:rPr/>
        <w:t>had </w:t>
      </w:r>
      <w:r>
        <w:rPr>
          <w:spacing w:val="-3"/>
        </w:rPr>
        <w:t>declined </w:t>
      </w:r>
      <w:r>
        <w:rPr/>
        <w:t>on the </w:t>
      </w:r>
      <w:r>
        <w:rPr>
          <w:spacing w:val="-3"/>
        </w:rPr>
        <w:t>month. </w:t>
      </w:r>
      <w:r>
        <w:rPr/>
        <w:t>But </w:t>
      </w:r>
      <w:r>
        <w:rPr>
          <w:spacing w:val="-3"/>
        </w:rPr>
        <w:t>growth </w:t>
      </w:r>
      <w:r>
        <w:rPr/>
        <w:t>in the </w:t>
      </w:r>
      <w:r>
        <w:rPr>
          <w:spacing w:val="-3"/>
        </w:rPr>
        <w:t>three months </w:t>
      </w:r>
      <w:r>
        <w:rPr/>
        <w:t>to </w:t>
      </w:r>
      <w:r>
        <w:rPr>
          <w:spacing w:val="-3"/>
        </w:rPr>
        <w:t>July compared with</w:t>
      </w:r>
      <w:r>
        <w:rPr>
          <w:spacing w:val="53"/>
        </w:rPr>
        <w:t> </w:t>
      </w:r>
      <w:r>
        <w:rPr>
          <w:spacing w:val="-3"/>
        </w:rPr>
        <w:t>the</w:t>
      </w:r>
    </w:p>
    <w:p>
      <w:pPr>
        <w:pStyle w:val="BodyText"/>
        <w:spacing w:line="360" w:lineRule="auto"/>
        <w:ind w:left="105" w:right="97"/>
      </w:pPr>
      <w:r>
        <w:rPr/>
        <w:t>previous three months had risen to 0.9%, from 0.4% in June, as the high January figure had dropped out of the calculation. The CBI Distributive Trades Survey reported that the retail sales balance had fallen to 18 in August from 24 in July. The British Retail Consortium had recorded a decline in annual growth of total sales values to 4.3% in August from 4.7% in July. By contrast, the GfK consumer confidence balance had risen in August to 1.4 from -2.0 in July. Private car registrations in July at -15.4% had continued to be lower than the previous year. Housing market activity had generally eased. Particulars delivered had decreased by 7,000 to 119,000 in July, while the (seasonally adjusted) HBF net reservations balance had fallen to -28, its lowest level since 1995.</w:t>
      </w:r>
    </w:p>
    <w:p>
      <w:pPr>
        <w:pStyle w:val="BodyText"/>
        <w:ind w:left="105"/>
      </w:pPr>
      <w:r>
        <w:rPr/>
        <w:t>The Halifax house price index had shown a fall from 8.0% in July to 7.4% in August. Similarly, the</w:t>
      </w:r>
    </w:p>
    <w:p>
      <w:pPr>
        <w:spacing w:after="0"/>
        <w:sectPr>
          <w:pgSz w:w="12240" w:h="15840"/>
          <w:pgMar w:top="1500" w:bottom="280" w:left="1200" w:right="1200"/>
        </w:sectPr>
      </w:pPr>
    </w:p>
    <w:p>
      <w:pPr>
        <w:pStyle w:val="BodyText"/>
        <w:spacing w:before="6"/>
        <w:rPr>
          <w:sz w:val="23"/>
        </w:rPr>
      </w:pPr>
    </w:p>
    <w:p>
      <w:pPr>
        <w:pStyle w:val="BodyText"/>
        <w:spacing w:line="364" w:lineRule="auto" w:before="90"/>
        <w:ind w:left="105"/>
      </w:pPr>
      <w:r>
        <w:rPr/>
        <w:t>Nationwide house price index had been 11.2% higher in August than a year earlier, compared with 13.9% in July.</w:t>
      </w:r>
    </w:p>
    <w:p>
      <w:pPr>
        <w:pStyle w:val="BodyText"/>
        <w:spacing w:before="4"/>
        <w:rPr>
          <w:sz w:val="35"/>
        </w:rPr>
      </w:pPr>
    </w:p>
    <w:p>
      <w:pPr>
        <w:pStyle w:val="BodyText"/>
        <w:spacing w:line="360" w:lineRule="auto"/>
        <w:ind w:left="105" w:right="118"/>
      </w:pPr>
      <w:r>
        <w:rPr/>
        <w:t>A23  The surplus on government </w:t>
      </w:r>
      <w:r>
        <w:rPr>
          <w:spacing w:val="-10"/>
        </w:rPr>
        <w:t>net </w:t>
      </w:r>
      <w:r>
        <w:rPr/>
        <w:t>borrowing had been £6.6 billion in July, the largest July surplus since monthly figures started in 1993. This had reflected strong current receipts and weak current expenditure. The strength of current receipts had partly reflected special factors. </w:t>
      </w:r>
      <w:r>
        <w:rPr>
          <w:spacing w:val="-2"/>
        </w:rPr>
        <w:t>The </w:t>
      </w:r>
      <w:r>
        <w:rPr/>
        <w:t>weakness of current expenditure had followed strong central government current expenditure in </w:t>
      </w:r>
      <w:r>
        <w:rPr>
          <w:spacing w:val="-3"/>
        </w:rPr>
        <w:t>Q2, </w:t>
      </w:r>
      <w:r>
        <w:rPr/>
        <w:t>a pattern which may have reflected timing changes related to the introduction of end-year flexibility for departmental</w:t>
      </w:r>
      <w:r>
        <w:rPr>
          <w:spacing w:val="-3"/>
        </w:rPr>
        <w:t> </w:t>
      </w:r>
      <w:r>
        <w:rPr/>
        <w:t>expenditure.</w:t>
      </w:r>
    </w:p>
    <w:p>
      <w:pPr>
        <w:pStyle w:val="BodyText"/>
        <w:spacing w:before="8"/>
        <w:rPr>
          <w:sz w:val="35"/>
        </w:rPr>
      </w:pPr>
    </w:p>
    <w:p>
      <w:pPr>
        <w:pStyle w:val="BodyText"/>
        <w:spacing w:line="360" w:lineRule="auto"/>
        <w:ind w:left="105" w:right="163"/>
      </w:pPr>
      <w:r>
        <w:rPr/>
        <w:t>A24 The CBI Monthly Trends survey had reported a rise in the orders balance in August, from </w:t>
      </w:r>
      <w:r>
        <w:rPr>
          <w:spacing w:val="-2"/>
        </w:rPr>
        <w:t>-20 </w:t>
      </w:r>
      <w:r>
        <w:rPr/>
        <w:t>to -17. The Chartered Institute of Purchasing Supply (CIPS) manufacturing survey total orders </w:t>
      </w:r>
      <w:r>
        <w:rPr>
          <w:spacing w:val="-3"/>
        </w:rPr>
        <w:t>balance </w:t>
      </w:r>
      <w:r>
        <w:rPr/>
        <w:t>had </w:t>
      </w:r>
      <w:r>
        <w:rPr>
          <w:spacing w:val="-3"/>
        </w:rPr>
        <w:t>fallen back slightly </w:t>
      </w:r>
      <w:r>
        <w:rPr/>
        <w:t>in </w:t>
      </w:r>
      <w:r>
        <w:rPr>
          <w:spacing w:val="-3"/>
        </w:rPr>
        <w:t>August </w:t>
      </w:r>
      <w:r>
        <w:rPr/>
        <w:t>to </w:t>
      </w:r>
      <w:r>
        <w:rPr>
          <w:spacing w:val="-3"/>
        </w:rPr>
        <w:t>52.7 from 53.9 </w:t>
      </w:r>
      <w:r>
        <w:rPr/>
        <w:t>in the </w:t>
      </w:r>
      <w:r>
        <w:rPr>
          <w:spacing w:val="-3"/>
        </w:rPr>
        <w:t>previous month, </w:t>
      </w:r>
      <w:r>
        <w:rPr/>
        <w:t>but </w:t>
      </w:r>
      <w:r>
        <w:rPr>
          <w:spacing w:val="-3"/>
        </w:rPr>
        <w:t>had   </w:t>
      </w:r>
      <w:r>
        <w:rPr/>
        <w:t>remained well above the no-growth reading of 50. The CIPS services activity index had increased from 58.0 in July to 58.4 in August. But the CIPS construction activity index fell to 57.8 from 58.9 in July, indicating the slowest rate of monthly expansion since November</w:t>
      </w:r>
      <w:r>
        <w:rPr>
          <w:spacing w:val="35"/>
        </w:rPr>
        <w:t> </w:t>
      </w:r>
      <w:r>
        <w:rPr/>
        <w:t>1999.</w:t>
      </w:r>
    </w:p>
    <w:p>
      <w:pPr>
        <w:pStyle w:val="BodyText"/>
        <w:spacing w:before="9"/>
        <w:rPr>
          <w:sz w:val="35"/>
        </w:rPr>
      </w:pPr>
    </w:p>
    <w:p>
      <w:pPr>
        <w:pStyle w:val="Heading2"/>
        <w:numPr>
          <w:ilvl w:val="0"/>
          <w:numId w:val="3"/>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9"/>
        <w:rPr>
          <w:b/>
          <w:sz w:val="21"/>
        </w:rPr>
      </w:pPr>
    </w:p>
    <w:p>
      <w:pPr>
        <w:pStyle w:val="BodyText"/>
        <w:spacing w:line="360" w:lineRule="auto"/>
        <w:ind w:left="105" w:right="156"/>
      </w:pPr>
      <w:r>
        <w:rPr/>
        <w:t>A25  Employment growth had remained firm.  LFS employment had risen by 106,000 (0.4%) in Q2. This growth rate had been higher than growth in Q1 (0.2%), though a little weaker than </w:t>
      </w:r>
      <w:r>
        <w:rPr>
          <w:spacing w:val="-2"/>
        </w:rPr>
        <w:t>growth </w:t>
      </w:r>
      <w:r>
        <w:rPr/>
        <w:t>in the three months to May (0.5%). Average hours worked had risen by 0.6% in Q2, which meant that total hours worked had risen by</w:t>
      </w:r>
      <w:r>
        <w:rPr>
          <w:spacing w:val="23"/>
        </w:rPr>
        <w:t> </w:t>
      </w:r>
      <w:r>
        <w:rPr/>
        <w:t>0.9%.</w:t>
      </w:r>
    </w:p>
    <w:p>
      <w:pPr>
        <w:pStyle w:val="BodyText"/>
        <w:rPr>
          <w:sz w:val="36"/>
        </w:rPr>
      </w:pPr>
    </w:p>
    <w:p>
      <w:pPr>
        <w:pStyle w:val="BodyText"/>
        <w:spacing w:line="360" w:lineRule="auto"/>
        <w:ind w:left="105" w:right="156"/>
      </w:pPr>
      <w:r>
        <w:rPr/>
        <w:t>A26 According to the CIPS survey, employment growth in the service sector had continued in August at rates broadly similar to those in the second quarter. Employment growth in construction had slowed but the index, at 60.6, had been significantly above the neutral level of 50. The reduction in manufacturing employment had been smaller than in recent months.</w:t>
      </w:r>
    </w:p>
    <w:p>
      <w:pPr>
        <w:pStyle w:val="BodyText"/>
        <w:rPr>
          <w:sz w:val="36"/>
        </w:rPr>
      </w:pPr>
    </w:p>
    <w:p>
      <w:pPr>
        <w:pStyle w:val="BodyText"/>
        <w:spacing w:line="364" w:lineRule="auto"/>
        <w:ind w:left="105" w:right="118"/>
      </w:pPr>
      <w:r>
        <w:rPr/>
        <w:t>A27  The Recruitment and Employment Confederation (REC) had reported a further deterioration in the availability of agency staff in August (notably for permanent rather than temporary staff).</w:t>
      </w:r>
      <w:r>
        <w:rPr>
          <w:spacing w:val="56"/>
        </w:rPr>
        <w:t> </w:t>
      </w:r>
      <w:r>
        <w:rPr/>
        <w:t>By</w:t>
      </w:r>
    </w:p>
    <w:p>
      <w:pPr>
        <w:spacing w:after="0" w:line="364" w:lineRule="auto"/>
        <w:sectPr>
          <w:pgSz w:w="12240" w:h="15840"/>
          <w:pgMar w:top="1500" w:bottom="280" w:left="1200" w:right="1200"/>
        </w:sectPr>
      </w:pPr>
    </w:p>
    <w:p>
      <w:pPr>
        <w:pStyle w:val="BodyText"/>
        <w:spacing w:before="6"/>
        <w:rPr>
          <w:sz w:val="23"/>
        </w:rPr>
      </w:pPr>
    </w:p>
    <w:p>
      <w:pPr>
        <w:pStyle w:val="BodyText"/>
        <w:spacing w:line="364" w:lineRule="auto" w:before="90"/>
        <w:ind w:left="105"/>
      </w:pPr>
      <w:r>
        <w:rPr/>
        <w:t>contrast, the Bank’s regional Agents had reported that skill shortages, while still high, appeared to have stabilised.</w:t>
      </w:r>
    </w:p>
    <w:p>
      <w:pPr>
        <w:pStyle w:val="BodyText"/>
        <w:spacing w:before="4"/>
        <w:rPr>
          <w:sz w:val="35"/>
        </w:rPr>
      </w:pPr>
    </w:p>
    <w:p>
      <w:pPr>
        <w:pStyle w:val="BodyText"/>
        <w:spacing w:line="357" w:lineRule="auto"/>
        <w:ind w:left="105" w:right="137"/>
      </w:pPr>
      <w:r>
        <w:rPr/>
        <w:t>A28 LFS unemployment had fallen by 91,000 in Q2, which meant that the LFS unemployment rate had fallen by 0.3 percentage points to 5.5%. That compared with an average reduction of 54,000 in the two most recent overlapping periods, and with a reduction of 20,000 in Q1. These movements had contrasted with the steadier reductions in the claimant count measure. Claimant count unemployment had fallen, on average, by 16,000 per month in Q2 and by a further 22,700 in July.</w:t>
      </w:r>
    </w:p>
    <w:p>
      <w:pPr>
        <w:pStyle w:val="BodyText"/>
        <w:spacing w:before="5"/>
        <w:rPr>
          <w:sz w:val="36"/>
        </w:rPr>
      </w:pPr>
    </w:p>
    <w:p>
      <w:pPr>
        <w:pStyle w:val="BodyText"/>
        <w:spacing w:line="364" w:lineRule="auto"/>
        <w:ind w:left="105" w:right="462"/>
      </w:pPr>
      <w:r>
        <w:rPr/>
        <w:t>A29 Inactivity had risen by 22,000 in Q2. This had been accounted for entirely by a rise in the number of inactive males.</w:t>
      </w:r>
    </w:p>
    <w:p>
      <w:pPr>
        <w:pStyle w:val="BodyText"/>
        <w:spacing w:before="3"/>
        <w:rPr>
          <w:sz w:val="35"/>
        </w:rPr>
      </w:pPr>
    </w:p>
    <w:p>
      <w:pPr>
        <w:pStyle w:val="BodyText"/>
        <w:spacing w:line="357" w:lineRule="auto"/>
        <w:ind w:left="105" w:right="137"/>
      </w:pPr>
      <w:r>
        <w:rPr/>
        <w:t>A30 Whole-economy productivity, based on LFS employment data and the first expenditure breakdown of GDP, was estimated to have risen by 1.9% in the year to Q2. This estimate was close to its long-run average growth rate.</w:t>
      </w:r>
    </w:p>
    <w:p>
      <w:pPr>
        <w:pStyle w:val="BodyText"/>
        <w:spacing w:before="6"/>
        <w:rPr>
          <w:sz w:val="37"/>
        </w:rPr>
      </w:pPr>
    </w:p>
    <w:p>
      <w:pPr>
        <w:pStyle w:val="BodyText"/>
        <w:spacing w:line="357" w:lineRule="auto"/>
        <w:ind w:left="105" w:right="102"/>
      </w:pPr>
      <w:r>
        <w:rPr/>
        <w:t>A31 Whole-economy headline earnings growth, a three-month moving average of the annual monthly rates, had fallen by 0.5 percentage points to 4.1% in June. Headline private sector earnings growth had fallen by 0.6 percentage points to 4.2%, while headline public sector earnings growth had fallen by 0.1 percentage point to 3.7%. Headline earnings growth in the manufacturing sector had remained unchanged at 4.7%. For the first time in more than three years it was faster than headline earnings growth in the private services sector, which had fallen by 0.9 percentage points to 3.9%.</w:t>
      </w:r>
    </w:p>
    <w:p>
      <w:pPr>
        <w:pStyle w:val="BodyText"/>
        <w:spacing w:before="8"/>
        <w:rPr>
          <w:sz w:val="36"/>
        </w:rPr>
      </w:pPr>
    </w:p>
    <w:p>
      <w:pPr>
        <w:pStyle w:val="BodyText"/>
        <w:spacing w:line="362" w:lineRule="auto"/>
        <w:ind w:left="105"/>
      </w:pPr>
      <w:r>
        <w:rPr/>
        <w:t>A32 Annual whole-economy earnings growth had been 4.6% in April, 4.0% in May and 3.8% in June. During this period, regular pay growth had remained close to 4.5%. So the profile of annual earnings growth in the second quarter had reflected changes in the bonus contribution, which had fallen from 0.0 percentage points in April, to -0.7 percentage points in May and -0.8 percentage points in June.</w:t>
      </w:r>
    </w:p>
    <w:p>
      <w:pPr>
        <w:spacing w:after="0" w:line="362" w:lineRule="auto"/>
        <w:sectPr>
          <w:pgSz w:w="12240" w:h="15840"/>
          <w:pgMar w:top="1500" w:bottom="280" w:left="1200" w:right="1200"/>
        </w:sectPr>
      </w:pPr>
    </w:p>
    <w:p>
      <w:pPr>
        <w:pStyle w:val="BodyText"/>
        <w:spacing w:before="6"/>
        <w:rPr>
          <w:sz w:val="23"/>
        </w:rPr>
      </w:pPr>
    </w:p>
    <w:p>
      <w:pPr>
        <w:pStyle w:val="BodyText"/>
        <w:spacing w:line="357" w:lineRule="auto" w:before="90"/>
        <w:ind w:left="105" w:right="137"/>
      </w:pPr>
      <w:r>
        <w:rPr/>
        <w:t>A33 The Bank’s AEI-weighted twelve-month mean settlement measure had remained at 3.0% in July. Shorter-term measures from the Bank’s database had increased since the start of the year, though by less than the increase in RPI inflation.</w:t>
      </w:r>
    </w:p>
    <w:p>
      <w:pPr>
        <w:pStyle w:val="BodyText"/>
        <w:spacing w:before="2"/>
        <w:rPr>
          <w:sz w:val="36"/>
        </w:rPr>
      </w:pPr>
    </w:p>
    <w:p>
      <w:pPr>
        <w:pStyle w:val="BodyText"/>
        <w:spacing w:line="364" w:lineRule="auto" w:before="1"/>
        <w:ind w:left="105"/>
      </w:pPr>
      <w:r>
        <w:rPr/>
        <w:t>A34 A Bank estimate of the growth in unit wage costs, based on the AEI and the first expenditure breakdown of GDP, had fallen from 3.8% in the year to Q1 to 2.2% in the year to Q2. This fall reflected weaker earnings growth rather than stronger productivity growth.</w:t>
      </w:r>
    </w:p>
    <w:p>
      <w:pPr>
        <w:pStyle w:val="BodyText"/>
        <w:spacing w:before="3"/>
        <w:rPr>
          <w:sz w:val="35"/>
        </w:rPr>
      </w:pPr>
    </w:p>
    <w:p>
      <w:pPr>
        <w:pStyle w:val="Heading2"/>
        <w:numPr>
          <w:ilvl w:val="0"/>
          <w:numId w:val="3"/>
        </w:numPr>
        <w:tabs>
          <w:tab w:pos="674" w:val="left" w:leader="none"/>
          <w:tab w:pos="675" w:val="left" w:leader="none"/>
        </w:tabs>
        <w:spacing w:line="240" w:lineRule="auto" w:before="1" w:after="0"/>
        <w:ind w:left="675" w:right="0" w:hanging="570"/>
        <w:jc w:val="left"/>
      </w:pPr>
      <w:r>
        <w:rPr/>
        <w:t>Prices</w:t>
      </w:r>
    </w:p>
    <w:p>
      <w:pPr>
        <w:pStyle w:val="BodyText"/>
        <w:rPr>
          <w:b/>
          <w:sz w:val="26"/>
        </w:rPr>
      </w:pPr>
    </w:p>
    <w:p>
      <w:pPr>
        <w:pStyle w:val="BodyText"/>
        <w:spacing w:before="8"/>
        <w:rPr>
          <w:b/>
          <w:sz w:val="21"/>
        </w:rPr>
      </w:pPr>
    </w:p>
    <w:p>
      <w:pPr>
        <w:pStyle w:val="BodyText"/>
        <w:spacing w:line="360" w:lineRule="auto"/>
        <w:ind w:left="105" w:right="158"/>
      </w:pPr>
      <w:r>
        <w:rPr/>
        <w:t>A35 The Bank’s oil-inclusive commodity price index had fallen by 0.4% in July, taking the annual inflation rate from 23.7% to 17.6%. The decline had mainly reflected a largely oil-related fall in </w:t>
      </w:r>
      <w:r>
        <w:rPr>
          <w:spacing w:val="-2"/>
        </w:rPr>
        <w:t>the </w:t>
      </w:r>
      <w:r>
        <w:rPr>
          <w:spacing w:val="-3"/>
        </w:rPr>
        <w:t>price </w:t>
      </w:r>
      <w:r>
        <w:rPr/>
        <w:t>of the </w:t>
      </w:r>
      <w:r>
        <w:rPr>
          <w:spacing w:val="-3"/>
        </w:rPr>
        <w:t>fuels component </w:t>
      </w:r>
      <w:r>
        <w:rPr/>
        <w:t>of the </w:t>
      </w:r>
      <w:r>
        <w:rPr>
          <w:spacing w:val="-3"/>
        </w:rPr>
        <w:t>index that more than offset </w:t>
      </w:r>
      <w:r>
        <w:rPr/>
        <w:t>a </w:t>
      </w:r>
      <w:r>
        <w:rPr>
          <w:spacing w:val="-3"/>
        </w:rPr>
        <w:t>rise </w:t>
      </w:r>
      <w:r>
        <w:rPr/>
        <w:t>in the </w:t>
      </w:r>
      <w:r>
        <w:rPr>
          <w:spacing w:val="-3"/>
        </w:rPr>
        <w:t>price </w:t>
      </w:r>
      <w:r>
        <w:rPr/>
        <w:t>of the </w:t>
      </w:r>
      <w:r>
        <w:rPr>
          <w:spacing w:val="-3"/>
        </w:rPr>
        <w:t>domestic  </w:t>
      </w:r>
      <w:r>
        <w:rPr/>
        <w:t>food component. The sterling price of oil had since risen by 6.3% in August and was therefore likely to affect commodity prices in August. The Bank’s oil-exclusive commodity price index </w:t>
      </w:r>
      <w:r>
        <w:rPr>
          <w:spacing w:val="-2"/>
        </w:rPr>
        <w:t>had </w:t>
      </w:r>
      <w:r>
        <w:rPr/>
        <w:t>risen by 0.5% in July, and by 5.1% over the past</w:t>
      </w:r>
      <w:r>
        <w:rPr>
          <w:spacing w:val="2"/>
        </w:rPr>
        <w:t> </w:t>
      </w:r>
      <w:r>
        <w:rPr/>
        <w:t>year.</w:t>
      </w:r>
    </w:p>
    <w:p>
      <w:pPr>
        <w:pStyle w:val="BodyText"/>
        <w:spacing w:before="9"/>
        <w:rPr>
          <w:sz w:val="35"/>
        </w:rPr>
      </w:pPr>
    </w:p>
    <w:p>
      <w:pPr>
        <w:pStyle w:val="BodyText"/>
        <w:spacing w:line="360" w:lineRule="auto"/>
        <w:ind w:left="105" w:right="192"/>
      </w:pPr>
      <w:r>
        <w:rPr/>
        <w:t>A36 Manufacturing input prices had risen by 0.4% in July, but due to base effects the </w:t>
      </w:r>
      <w:r>
        <w:rPr>
          <w:spacing w:val="-2"/>
        </w:rPr>
        <w:t>annual </w:t>
      </w:r>
      <w:r>
        <w:rPr>
          <w:spacing w:val="-3"/>
        </w:rPr>
        <w:t>inflation rate </w:t>
      </w:r>
      <w:r>
        <w:rPr/>
        <w:t>had </w:t>
      </w:r>
      <w:r>
        <w:rPr>
          <w:spacing w:val="-3"/>
        </w:rPr>
        <w:t>fallen from 14.4% </w:t>
      </w:r>
      <w:r>
        <w:rPr/>
        <w:t>to </w:t>
      </w:r>
      <w:r>
        <w:rPr>
          <w:spacing w:val="-3"/>
        </w:rPr>
        <w:t>11.3%.  </w:t>
      </w:r>
      <w:r>
        <w:rPr/>
        <w:t>The </w:t>
      </w:r>
      <w:r>
        <w:rPr>
          <w:spacing w:val="-3"/>
        </w:rPr>
        <w:t>monthly increase </w:t>
      </w:r>
      <w:r>
        <w:rPr/>
        <w:t>had </w:t>
      </w:r>
      <w:r>
        <w:rPr>
          <w:spacing w:val="-3"/>
        </w:rPr>
        <w:t>mainly reflected rises in  </w:t>
      </w:r>
      <w:r>
        <w:rPr/>
        <w:t>the prices of domestic food and chemicals, which had been partially offset by the decline in the oil price. Input prices excluding food, drink, tobacco and petroleum had risen by 0.4% in July and </w:t>
      </w:r>
      <w:r>
        <w:rPr>
          <w:spacing w:val="-2"/>
        </w:rPr>
        <w:t>the </w:t>
      </w:r>
      <w:r>
        <w:rPr/>
        <w:t>annual rate of inflation had fallen to 3.5% from 4.3% in June. The CIPS manufacturing </w:t>
      </w:r>
      <w:r>
        <w:rPr>
          <w:spacing w:val="-2"/>
        </w:rPr>
        <w:t>survey </w:t>
      </w:r>
      <w:r>
        <w:rPr/>
        <w:t>input price index had fallen to 55.6 in August from 61.2 in the previous month. Output </w:t>
      </w:r>
      <w:r>
        <w:rPr>
          <w:spacing w:val="-2"/>
        </w:rPr>
        <w:t>prices </w:t>
      </w:r>
      <w:r>
        <w:rPr/>
        <w:t>excluding</w:t>
      </w:r>
      <w:r>
        <w:rPr>
          <w:spacing w:val="-4"/>
        </w:rPr>
        <w:t> </w:t>
      </w:r>
      <w:r>
        <w:rPr/>
        <w:t>excise</w:t>
      </w:r>
      <w:r>
        <w:rPr>
          <w:spacing w:val="-3"/>
        </w:rPr>
        <w:t> </w:t>
      </w:r>
      <w:r>
        <w:rPr/>
        <w:t>duties</w:t>
      </w:r>
      <w:r>
        <w:rPr>
          <w:spacing w:val="-4"/>
        </w:rPr>
        <w:t> </w:t>
      </w:r>
      <w:r>
        <w:rPr/>
        <w:t>(PPIY)</w:t>
      </w:r>
      <w:r>
        <w:rPr>
          <w:spacing w:val="-3"/>
        </w:rPr>
        <w:t> </w:t>
      </w:r>
      <w:r>
        <w:rPr/>
        <w:t>had</w:t>
      </w:r>
      <w:r>
        <w:rPr>
          <w:spacing w:val="-4"/>
        </w:rPr>
        <w:t> </w:t>
      </w:r>
      <w:r>
        <w:rPr/>
        <w:t>risen</w:t>
      </w:r>
      <w:r>
        <w:rPr>
          <w:spacing w:val="-3"/>
        </w:rPr>
        <w:t> </w:t>
      </w:r>
      <w:r>
        <w:rPr/>
        <w:t>by</w:t>
      </w:r>
      <w:r>
        <w:rPr>
          <w:spacing w:val="-4"/>
        </w:rPr>
        <w:t> </w:t>
      </w:r>
      <w:r>
        <w:rPr/>
        <w:t>0.1%</w:t>
      </w:r>
      <w:r>
        <w:rPr>
          <w:spacing w:val="-3"/>
        </w:rPr>
        <w:t> </w:t>
      </w:r>
      <w:r>
        <w:rPr/>
        <w:t>in</w:t>
      </w:r>
      <w:r>
        <w:rPr>
          <w:spacing w:val="-4"/>
        </w:rPr>
        <w:t> </w:t>
      </w:r>
      <w:r>
        <w:rPr/>
        <w:t>July,</w:t>
      </w:r>
      <w:r>
        <w:rPr>
          <w:spacing w:val="-3"/>
        </w:rPr>
        <w:t> </w:t>
      </w:r>
      <w:r>
        <w:rPr/>
        <w:t>and</w:t>
      </w:r>
      <w:r>
        <w:rPr>
          <w:spacing w:val="-4"/>
        </w:rPr>
        <w:t> </w:t>
      </w:r>
      <w:r>
        <w:rPr/>
        <w:t>the</w:t>
      </w:r>
      <w:r>
        <w:rPr>
          <w:spacing w:val="-3"/>
        </w:rPr>
        <w:t> </w:t>
      </w:r>
      <w:r>
        <w:rPr/>
        <w:t>annual</w:t>
      </w:r>
      <w:r>
        <w:rPr>
          <w:spacing w:val="-4"/>
        </w:rPr>
        <w:t> </w:t>
      </w:r>
      <w:r>
        <w:rPr/>
        <w:t>inflation</w:t>
      </w:r>
      <w:r>
        <w:rPr>
          <w:spacing w:val="-3"/>
        </w:rPr>
        <w:t> </w:t>
      </w:r>
      <w:r>
        <w:rPr/>
        <w:t>rate</w:t>
      </w:r>
      <w:r>
        <w:rPr>
          <w:spacing w:val="-4"/>
        </w:rPr>
        <w:t> </w:t>
      </w:r>
      <w:r>
        <w:rPr/>
        <w:t>had</w:t>
      </w:r>
      <w:r>
        <w:rPr>
          <w:spacing w:val="-3"/>
        </w:rPr>
        <w:t> </w:t>
      </w:r>
      <w:r>
        <w:rPr/>
        <w:t>fallen</w:t>
      </w:r>
      <w:r>
        <w:rPr>
          <w:spacing w:val="-4"/>
        </w:rPr>
        <w:t> </w:t>
      </w:r>
      <w:r>
        <w:rPr/>
        <w:t>to 2.1% from 2.4% in June. The output price balance in the August CBI Industrial Trends survey </w:t>
      </w:r>
      <w:r>
        <w:rPr>
          <w:spacing w:val="-2"/>
        </w:rPr>
        <w:t>had </w:t>
      </w:r>
      <w:r>
        <w:rPr/>
        <w:t>remained unchanged at</w:t>
      </w:r>
      <w:r>
        <w:rPr>
          <w:spacing w:val="7"/>
        </w:rPr>
        <w:t> </w:t>
      </w:r>
      <w:r>
        <w:rPr/>
        <w:t>-15.</w:t>
      </w:r>
    </w:p>
    <w:p>
      <w:pPr>
        <w:pStyle w:val="BodyText"/>
        <w:rPr>
          <w:sz w:val="36"/>
        </w:rPr>
      </w:pPr>
    </w:p>
    <w:p>
      <w:pPr>
        <w:pStyle w:val="BodyText"/>
        <w:spacing w:line="357" w:lineRule="auto"/>
        <w:ind w:left="105" w:right="137"/>
      </w:pPr>
      <w:r>
        <w:rPr/>
        <w:t>A37 Prices of total imported goods had risen by 0.8% in June. Excluding oil and erratic items, prices of imported goods had risen by 0.6%. On the same basis, prices of exported goods had risen by 1.1% in June.</w:t>
      </w:r>
    </w:p>
    <w:p>
      <w:pPr>
        <w:spacing w:after="0" w:line="357" w:lineRule="auto"/>
        <w:sectPr>
          <w:pgSz w:w="12240" w:h="15840"/>
          <w:pgMar w:top="1500" w:bottom="280" w:left="1200" w:right="1200"/>
        </w:sectPr>
      </w:pPr>
    </w:p>
    <w:p>
      <w:pPr>
        <w:pStyle w:val="BodyText"/>
        <w:spacing w:before="6"/>
        <w:rPr>
          <w:sz w:val="23"/>
        </w:rPr>
      </w:pPr>
    </w:p>
    <w:p>
      <w:pPr>
        <w:pStyle w:val="BodyText"/>
        <w:spacing w:line="364" w:lineRule="auto" w:before="90"/>
        <w:ind w:left="105"/>
      </w:pPr>
      <w:r>
        <w:rPr/>
        <w:t>A38 Annual inflation as measured by the GDP deflator at market prices in 2000 Q2 had fallen to 1.8% from 2.7% in Q1. The domestic demand deflator had fallen to 1.5% from 2.3%.</w:t>
      </w:r>
    </w:p>
    <w:p>
      <w:pPr>
        <w:pStyle w:val="BodyText"/>
        <w:spacing w:before="4"/>
        <w:rPr>
          <w:sz w:val="35"/>
        </w:rPr>
      </w:pPr>
    </w:p>
    <w:p>
      <w:pPr>
        <w:pStyle w:val="BodyText"/>
        <w:spacing w:line="360" w:lineRule="auto"/>
        <w:ind w:left="105" w:right="283"/>
      </w:pPr>
      <w:r>
        <w:rPr/>
        <w:t>A39 RPIX inflation had been 2.2% in July, unchanged from the previous month. Increases in seasonal food prices were offset by falls in clothing and footwear prices. RPI inflation had also remained unchanged at 3.3% in July. RPIY inflation had eased slightly to 1.9% in July from 2.0% in June, while HICP inflation had risen from 0.8% to 1.0% in July.</w:t>
      </w:r>
    </w:p>
    <w:p>
      <w:pPr>
        <w:pStyle w:val="BodyText"/>
        <w:rPr>
          <w:sz w:val="36"/>
        </w:rPr>
      </w:pPr>
    </w:p>
    <w:p>
      <w:pPr>
        <w:pStyle w:val="Heading2"/>
        <w:numPr>
          <w:ilvl w:val="0"/>
          <w:numId w:val="3"/>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spacing w:line="357" w:lineRule="auto"/>
        <w:ind w:left="105" w:right="137"/>
      </w:pPr>
      <w:r>
        <w:rPr/>
        <w:t>A40 The Agents reported that manufacturing output growth in both domestic and export markets had picked up in recent months in many regions. However, it was stressed that the recovery had remained modest and had not been broadly based across sectors.</w:t>
      </w:r>
    </w:p>
    <w:p>
      <w:pPr>
        <w:pStyle w:val="BodyText"/>
        <w:spacing w:before="3"/>
        <w:rPr>
          <w:sz w:val="36"/>
        </w:rPr>
      </w:pPr>
    </w:p>
    <w:p>
      <w:pPr>
        <w:pStyle w:val="BodyText"/>
        <w:spacing w:line="360" w:lineRule="auto"/>
        <w:ind w:left="105" w:right="223"/>
      </w:pPr>
      <w:r>
        <w:rPr/>
        <w:t>A41 Service sector growth was reported to have stabilised, following a reported easing in many regions last month. Most areas of business services continued to record strong growth, particularly IT and financial services. By contrast, there had been a noticeable downturn in domestic tourism, as well as in housing-related services such as real estate and conveyancing.</w:t>
      </w:r>
    </w:p>
    <w:p>
      <w:pPr>
        <w:pStyle w:val="BodyText"/>
        <w:rPr>
          <w:sz w:val="36"/>
        </w:rPr>
      </w:pPr>
    </w:p>
    <w:p>
      <w:pPr>
        <w:pStyle w:val="BodyText"/>
        <w:spacing w:line="360" w:lineRule="auto"/>
        <w:ind w:left="105" w:right="223"/>
      </w:pPr>
      <w:r>
        <w:rPr/>
        <w:t>A42 There had been evidence of a further slowing in residential construction in recent months. This was reported to have been the result of both supply-side constraints (eg limited availability of land and planning delays) and an easing in demand. House price inflation appeared to have </w:t>
      </w:r>
      <w:r>
        <w:rPr>
          <w:spacing w:val="-2"/>
        </w:rPr>
        <w:t>slowed </w:t>
      </w:r>
      <w:r>
        <w:rPr/>
        <w:t>further in most regions. By contrast, growth in commercial construction was said to have been maintained, and had been even stronger in some regions. Moreover, the outlook had been </w:t>
      </w:r>
      <w:r>
        <w:rPr>
          <w:spacing w:val="-2"/>
        </w:rPr>
        <w:t>for </w:t>
      </w:r>
      <w:r>
        <w:rPr/>
        <w:t>commercial construction activity to remain strong in coming quarters, reportedly as a result of the Comprehensive Spending Review and an expected increase in PFI</w:t>
      </w:r>
      <w:r>
        <w:rPr>
          <w:spacing w:val="25"/>
        </w:rPr>
        <w:t> </w:t>
      </w:r>
      <w:r>
        <w:rPr/>
        <w:t>projects.</w:t>
      </w:r>
    </w:p>
    <w:p>
      <w:pPr>
        <w:pStyle w:val="BodyText"/>
        <w:spacing w:before="3"/>
        <w:rPr>
          <w:sz w:val="36"/>
        </w:rPr>
      </w:pPr>
    </w:p>
    <w:p>
      <w:pPr>
        <w:pStyle w:val="BodyText"/>
        <w:spacing w:line="357" w:lineRule="auto"/>
        <w:ind w:left="105" w:right="102"/>
      </w:pPr>
      <w:r>
        <w:rPr/>
        <w:t>A43 Annual retail sales value growth continued to ease slightly, although discounting during the sales had reportedly strengthened volume growth. There had been little significant news about sales of motor vehicles.</w:t>
      </w:r>
    </w:p>
    <w:p>
      <w:pPr>
        <w:spacing w:after="0" w:line="357" w:lineRule="auto"/>
        <w:sectPr>
          <w:pgSz w:w="12240" w:h="15840"/>
          <w:pgMar w:top="1500" w:bottom="280" w:left="1200" w:right="1200"/>
        </w:sectPr>
      </w:pPr>
    </w:p>
    <w:p>
      <w:pPr>
        <w:pStyle w:val="BodyText"/>
        <w:spacing w:before="6"/>
        <w:rPr>
          <w:sz w:val="23"/>
        </w:rPr>
      </w:pPr>
    </w:p>
    <w:p>
      <w:pPr>
        <w:pStyle w:val="BodyText"/>
        <w:spacing w:line="360" w:lineRule="auto" w:before="90"/>
        <w:ind w:left="105"/>
      </w:pPr>
      <w:r>
        <w:rPr/>
        <w:t>A44 The Agents had reported a stabilisation in input price inflation, although there had been offsetting influences. Contacts had reported that price increases in oil and related products had become more evident, as well as sharply higher gas prices. But these had been mitigated to some extent by increased importing, efficiency gains and more effective purchasing strategies.</w:t>
      </w:r>
    </w:p>
    <w:p>
      <w:pPr>
        <w:pStyle w:val="BodyText"/>
        <w:spacing w:line="364" w:lineRule="auto"/>
        <w:ind w:left="105"/>
      </w:pPr>
      <w:r>
        <w:rPr/>
        <w:t>Competitive pressures on manufacturers’ output prices continued to be reported, although there had been a slightly greater degree of input cost pass-through recently.</w:t>
      </w:r>
    </w:p>
    <w:p>
      <w:pPr>
        <w:pStyle w:val="BodyText"/>
        <w:spacing w:before="9"/>
        <w:rPr>
          <w:sz w:val="34"/>
        </w:rPr>
      </w:pPr>
    </w:p>
    <w:p>
      <w:pPr>
        <w:pStyle w:val="BodyText"/>
        <w:spacing w:line="364" w:lineRule="auto"/>
        <w:ind w:left="105" w:right="283"/>
      </w:pPr>
      <w:r>
        <w:rPr/>
        <w:t>A45 The labour market picture had changed little from previous months. Skill shortages remained a serious concern to contacts, but most suggested that these were no worse than in recent</w:t>
      </w:r>
      <w:r>
        <w:rPr>
          <w:spacing w:val="-39"/>
        </w:rPr>
        <w:t> </w:t>
      </w:r>
      <w:r>
        <w:rPr/>
        <w:t>months.</w:t>
      </w:r>
    </w:p>
    <w:p>
      <w:pPr>
        <w:pStyle w:val="BodyText"/>
        <w:spacing w:line="360" w:lineRule="auto"/>
        <w:ind w:left="105"/>
      </w:pPr>
      <w:r>
        <w:rPr/>
        <w:t>Although little change to manufacturing settlements had been reported, there had been some increased difficulties during negotiations, perhaps an indication of rising future settlements. While there had been some moderation in service sector earnings growth recently because of relatively lower bonuses compared to last year, upward pressures remained in many regions.</w:t>
      </w:r>
    </w:p>
    <w:p>
      <w:pPr>
        <w:pStyle w:val="BodyText"/>
        <w:spacing w:before="9"/>
        <w:rPr>
          <w:sz w:val="34"/>
        </w:rPr>
      </w:pPr>
    </w:p>
    <w:p>
      <w:pPr>
        <w:pStyle w:val="Heading2"/>
        <w:numPr>
          <w:ilvl w:val="0"/>
          <w:numId w:val="3"/>
        </w:numPr>
        <w:tabs>
          <w:tab w:pos="674" w:val="left" w:leader="none"/>
          <w:tab w:pos="675" w:val="left" w:leader="none"/>
        </w:tabs>
        <w:spacing w:line="240" w:lineRule="auto" w:before="1" w:after="0"/>
        <w:ind w:left="675" w:right="0" w:hanging="570"/>
        <w:jc w:val="left"/>
      </w:pPr>
      <w:r>
        <w:rPr/>
        <w:t>Market</w:t>
      </w:r>
      <w:r>
        <w:rPr>
          <w:spacing w:val="-2"/>
        </w:rPr>
        <w:t> </w:t>
      </w:r>
      <w:r>
        <w:rPr/>
        <w:t>intelligence</w:t>
      </w:r>
    </w:p>
    <w:p>
      <w:pPr>
        <w:pStyle w:val="BodyText"/>
        <w:rPr>
          <w:b/>
          <w:sz w:val="26"/>
        </w:rPr>
      </w:pPr>
    </w:p>
    <w:p>
      <w:pPr>
        <w:pStyle w:val="BodyText"/>
        <w:rPr>
          <w:b/>
          <w:sz w:val="23"/>
        </w:rPr>
      </w:pPr>
    </w:p>
    <w:p>
      <w:pPr>
        <w:pStyle w:val="BodyText"/>
        <w:spacing w:line="360" w:lineRule="auto"/>
        <w:ind w:left="105" w:right="132"/>
      </w:pPr>
      <w:r>
        <w:rPr/>
        <w:t>A46 Expectations of interest rates, derived from both short sterling contracts and the gilt forward curve, had fallen over the month, and suggested that market participants were generally </w:t>
      </w:r>
      <w:r>
        <w:rPr>
          <w:spacing w:val="-2"/>
        </w:rPr>
        <w:t>not </w:t>
      </w:r>
      <w:r>
        <w:rPr/>
        <w:t>anticipating a rise in the official interest rate in September. Nevertheless, the central expectation was for the MPC to </w:t>
      </w:r>
      <w:r>
        <w:rPr>
          <w:spacing w:val="-3"/>
        </w:rPr>
        <w:t>raise </w:t>
      </w:r>
      <w:r>
        <w:rPr/>
        <w:t>the </w:t>
      </w:r>
      <w:r>
        <w:rPr>
          <w:spacing w:val="-3"/>
        </w:rPr>
        <w:t>Bank repo rate </w:t>
      </w:r>
      <w:r>
        <w:rPr/>
        <w:t>to 6¼% by the end of the </w:t>
      </w:r>
      <w:r>
        <w:rPr>
          <w:spacing w:val="-3"/>
        </w:rPr>
        <w:t>year. </w:t>
      </w:r>
      <w:r>
        <w:rPr/>
        <w:t>In the </w:t>
      </w:r>
      <w:r>
        <w:rPr>
          <w:spacing w:val="-3"/>
        </w:rPr>
        <w:t>most recent </w:t>
      </w:r>
      <w:r>
        <w:rPr/>
        <w:t>Reuters survey, 24 out of 31 economists had expected the MPC to leave the Bank repo rate unchanged in September, but the average probability attached to this outcome in the survey </w:t>
      </w:r>
      <w:r>
        <w:rPr>
          <w:spacing w:val="-2"/>
        </w:rPr>
        <w:t>had </w:t>
      </w:r>
      <w:r>
        <w:rPr/>
        <w:t>been only 55%. Over the month as a whole, the major influences on short-term interest rate expectations had been policy-related announcements, although the impact of the publication of the minutes of the August MPC meeting might have been offset in part by the simultaneous publication of labour market data (in particular the weaker-than-expected average earnings figures). There </w:t>
      </w:r>
      <w:r>
        <w:rPr>
          <w:spacing w:val="-2"/>
        </w:rPr>
        <w:t>had </w:t>
      </w:r>
      <w:r>
        <w:rPr/>
        <w:t>been little evidence from implied volatility data derived from options on short sterling contracts</w:t>
      </w:r>
      <w:r>
        <w:rPr>
          <w:spacing w:val="-19"/>
        </w:rPr>
        <w:t> </w:t>
      </w:r>
      <w:r>
        <w:rPr/>
        <w:t>that market participants had become more uncertain about the interest rate outlook for the next three to six months. Those expecting ‘no change’ at the September meeting had cited signs of </w:t>
      </w:r>
      <w:r>
        <w:rPr>
          <w:spacing w:val="-2"/>
        </w:rPr>
        <w:t>slower </w:t>
      </w:r>
      <w:r>
        <w:rPr/>
        <w:t>earnings and domestic demand growth as well as lower-than-expected RPIX data. Those</w:t>
      </w:r>
      <w:r>
        <w:rPr>
          <w:spacing w:val="-23"/>
        </w:rPr>
        <w:t> </w:t>
      </w:r>
      <w:r>
        <w:rPr/>
        <w:t>expecting</w:t>
      </w:r>
    </w:p>
    <w:p>
      <w:pPr>
        <w:spacing w:after="0" w:line="360" w:lineRule="auto"/>
        <w:sectPr>
          <w:pgSz w:w="12240" w:h="15840"/>
          <w:pgMar w:top="1500" w:bottom="280" w:left="1200" w:right="1200"/>
        </w:sectPr>
      </w:pPr>
    </w:p>
    <w:p>
      <w:pPr>
        <w:pStyle w:val="BodyText"/>
        <w:spacing w:before="6"/>
        <w:rPr>
          <w:sz w:val="23"/>
        </w:rPr>
      </w:pPr>
    </w:p>
    <w:p>
      <w:pPr>
        <w:pStyle w:val="BodyText"/>
        <w:spacing w:line="364" w:lineRule="auto" w:before="90"/>
        <w:ind w:left="105" w:right="462"/>
      </w:pPr>
      <w:r>
        <w:rPr/>
        <w:t>a rise had noted the continuing robustness of overseas demand, the increase in oil prices and the closeness of the Committee’s vote in August.</w:t>
      </w:r>
    </w:p>
    <w:p>
      <w:pPr>
        <w:pStyle w:val="BodyText"/>
        <w:spacing w:before="4"/>
        <w:rPr>
          <w:sz w:val="35"/>
        </w:rPr>
      </w:pPr>
    </w:p>
    <w:p>
      <w:pPr>
        <w:pStyle w:val="BodyText"/>
        <w:spacing w:line="360" w:lineRule="auto"/>
        <w:ind w:left="105" w:right="207"/>
      </w:pPr>
      <w:r>
        <w:rPr/>
        <w:t>A47 The sterling exchange rate index had depreciated by 0.2% since 2 August to a level a little above the August </w:t>
      </w:r>
      <w:r>
        <w:rPr>
          <w:i/>
        </w:rPr>
        <w:t>Inflation Report </w:t>
      </w:r>
      <w:r>
        <w:rPr/>
        <w:t>assumption. Sterling had reached seven-year lows against the dollar, but had appreciated by 1.1% against the euro. The general strength of the US dollar in part reflected expectations about the likelihood of a ‘soft landing’ in the US economy and the release of stronger-than-expected productivity data. Expectations of future exchange rate volatility derived from options on foreign exchange suggested that, in the short run, expectations that sterling would follow movements in the dollar had fallen a little, but that in the longer term, the relationship was little changed. On that basis, evidence for a de-linking between sterling and the dollar was still somewhat limited.</w:t>
      </w:r>
    </w:p>
    <w:sectPr>
      <w:pgSz w:w="12240" w:h="15840"/>
      <w:pgMar w:top="1500" w:bottom="280" w:left="12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596" w:hanging="570"/>
      </w:pPr>
      <w:rPr>
        <w:rFonts w:hint="default"/>
      </w:rPr>
    </w:lvl>
    <w:lvl w:ilvl="2">
      <w:start w:val="0"/>
      <w:numFmt w:val="bullet"/>
      <w:lvlText w:val="•"/>
      <w:lvlJc w:val="left"/>
      <w:pPr>
        <w:ind w:left="2512" w:hanging="570"/>
      </w:pPr>
      <w:rPr>
        <w:rFonts w:hint="default"/>
      </w:rPr>
    </w:lvl>
    <w:lvl w:ilvl="3">
      <w:start w:val="0"/>
      <w:numFmt w:val="bullet"/>
      <w:lvlText w:val="•"/>
      <w:lvlJc w:val="left"/>
      <w:pPr>
        <w:ind w:left="3428" w:hanging="570"/>
      </w:pPr>
      <w:rPr>
        <w:rFonts w:hint="default"/>
      </w:rPr>
    </w:lvl>
    <w:lvl w:ilvl="4">
      <w:start w:val="0"/>
      <w:numFmt w:val="bullet"/>
      <w:lvlText w:val="•"/>
      <w:lvlJc w:val="left"/>
      <w:pPr>
        <w:ind w:left="4344" w:hanging="570"/>
      </w:pPr>
      <w:rPr>
        <w:rFonts w:hint="default"/>
      </w:rPr>
    </w:lvl>
    <w:lvl w:ilvl="5">
      <w:start w:val="0"/>
      <w:numFmt w:val="bullet"/>
      <w:lvlText w:val="•"/>
      <w:lvlJc w:val="left"/>
      <w:pPr>
        <w:ind w:left="5260" w:hanging="570"/>
      </w:pPr>
      <w:rPr>
        <w:rFonts w:hint="default"/>
      </w:rPr>
    </w:lvl>
    <w:lvl w:ilvl="6">
      <w:start w:val="0"/>
      <w:numFmt w:val="bullet"/>
      <w:lvlText w:val="•"/>
      <w:lvlJc w:val="left"/>
      <w:pPr>
        <w:ind w:left="6176" w:hanging="570"/>
      </w:pPr>
      <w:rPr>
        <w:rFonts w:hint="default"/>
      </w:rPr>
    </w:lvl>
    <w:lvl w:ilvl="7">
      <w:start w:val="0"/>
      <w:numFmt w:val="bullet"/>
      <w:lvlText w:val="•"/>
      <w:lvlJc w:val="left"/>
      <w:pPr>
        <w:ind w:left="7092" w:hanging="570"/>
      </w:pPr>
      <w:rPr>
        <w:rFonts w:hint="default"/>
      </w:rPr>
    </w:lvl>
    <w:lvl w:ilvl="8">
      <w:start w:val="0"/>
      <w:numFmt w:val="bullet"/>
      <w:lvlText w:val="•"/>
      <w:lvlJc w:val="left"/>
      <w:pPr>
        <w:ind w:left="8008" w:hanging="570"/>
      </w:pPr>
      <w:rPr>
        <w:rFonts w:hint="default"/>
      </w:rPr>
    </w:lvl>
  </w:abstractNum>
  <w:abstractNum w:abstractNumId="1">
    <w:multiLevelType w:val="hybridMultilevel"/>
    <w:lvl w:ilvl="0">
      <w:start w:val="39"/>
      <w:numFmt w:val="decimal"/>
      <w:lvlText w:val="%1"/>
      <w:lvlJc w:val="left"/>
      <w:pPr>
        <w:ind w:left="105" w:hanging="4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74" w:hanging="420"/>
      </w:pPr>
      <w:rPr>
        <w:rFonts w:hint="default"/>
      </w:rPr>
    </w:lvl>
    <w:lvl w:ilvl="2">
      <w:start w:val="0"/>
      <w:numFmt w:val="bullet"/>
      <w:lvlText w:val="•"/>
      <w:lvlJc w:val="left"/>
      <w:pPr>
        <w:ind w:left="2048" w:hanging="420"/>
      </w:pPr>
      <w:rPr>
        <w:rFonts w:hint="default"/>
      </w:rPr>
    </w:lvl>
    <w:lvl w:ilvl="3">
      <w:start w:val="0"/>
      <w:numFmt w:val="bullet"/>
      <w:lvlText w:val="•"/>
      <w:lvlJc w:val="left"/>
      <w:pPr>
        <w:ind w:left="3022" w:hanging="420"/>
      </w:pPr>
      <w:rPr>
        <w:rFonts w:hint="default"/>
      </w:rPr>
    </w:lvl>
    <w:lvl w:ilvl="4">
      <w:start w:val="0"/>
      <w:numFmt w:val="bullet"/>
      <w:lvlText w:val="•"/>
      <w:lvlJc w:val="left"/>
      <w:pPr>
        <w:ind w:left="3996" w:hanging="420"/>
      </w:pPr>
      <w:rPr>
        <w:rFonts w:hint="default"/>
      </w:rPr>
    </w:lvl>
    <w:lvl w:ilvl="5">
      <w:start w:val="0"/>
      <w:numFmt w:val="bullet"/>
      <w:lvlText w:val="•"/>
      <w:lvlJc w:val="left"/>
      <w:pPr>
        <w:ind w:left="4970" w:hanging="420"/>
      </w:pPr>
      <w:rPr>
        <w:rFonts w:hint="default"/>
      </w:rPr>
    </w:lvl>
    <w:lvl w:ilvl="6">
      <w:start w:val="0"/>
      <w:numFmt w:val="bullet"/>
      <w:lvlText w:val="•"/>
      <w:lvlJc w:val="left"/>
      <w:pPr>
        <w:ind w:left="5944" w:hanging="420"/>
      </w:pPr>
      <w:rPr>
        <w:rFonts w:hint="default"/>
      </w:rPr>
    </w:lvl>
    <w:lvl w:ilvl="7">
      <w:start w:val="0"/>
      <w:numFmt w:val="bullet"/>
      <w:lvlText w:val="•"/>
      <w:lvlJc w:val="left"/>
      <w:pPr>
        <w:ind w:left="6918" w:hanging="420"/>
      </w:pPr>
      <w:rPr>
        <w:rFonts w:hint="default"/>
      </w:rPr>
    </w:lvl>
    <w:lvl w:ilvl="8">
      <w:start w:val="0"/>
      <w:numFmt w:val="bullet"/>
      <w:lvlText w:val="•"/>
      <w:lvlJc w:val="left"/>
      <w:pPr>
        <w:ind w:left="7892" w:hanging="420"/>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074" w:hanging="420"/>
      </w:pPr>
      <w:rPr>
        <w:rFonts w:hint="default"/>
      </w:rPr>
    </w:lvl>
    <w:lvl w:ilvl="2">
      <w:start w:val="0"/>
      <w:numFmt w:val="bullet"/>
      <w:lvlText w:val="•"/>
      <w:lvlJc w:val="left"/>
      <w:pPr>
        <w:ind w:left="2048" w:hanging="420"/>
      </w:pPr>
      <w:rPr>
        <w:rFonts w:hint="default"/>
      </w:rPr>
    </w:lvl>
    <w:lvl w:ilvl="3">
      <w:start w:val="0"/>
      <w:numFmt w:val="bullet"/>
      <w:lvlText w:val="•"/>
      <w:lvlJc w:val="left"/>
      <w:pPr>
        <w:ind w:left="3022" w:hanging="420"/>
      </w:pPr>
      <w:rPr>
        <w:rFonts w:hint="default"/>
      </w:rPr>
    </w:lvl>
    <w:lvl w:ilvl="4">
      <w:start w:val="0"/>
      <w:numFmt w:val="bullet"/>
      <w:lvlText w:val="•"/>
      <w:lvlJc w:val="left"/>
      <w:pPr>
        <w:ind w:left="3996" w:hanging="420"/>
      </w:pPr>
      <w:rPr>
        <w:rFonts w:hint="default"/>
      </w:rPr>
    </w:lvl>
    <w:lvl w:ilvl="5">
      <w:start w:val="0"/>
      <w:numFmt w:val="bullet"/>
      <w:lvlText w:val="•"/>
      <w:lvlJc w:val="left"/>
      <w:pPr>
        <w:ind w:left="4970" w:hanging="420"/>
      </w:pPr>
      <w:rPr>
        <w:rFonts w:hint="default"/>
      </w:rPr>
    </w:lvl>
    <w:lvl w:ilvl="6">
      <w:start w:val="0"/>
      <w:numFmt w:val="bullet"/>
      <w:lvlText w:val="•"/>
      <w:lvlJc w:val="left"/>
      <w:pPr>
        <w:ind w:left="5944" w:hanging="420"/>
      </w:pPr>
      <w:rPr>
        <w:rFonts w:hint="default"/>
      </w:rPr>
    </w:lvl>
    <w:lvl w:ilvl="7">
      <w:start w:val="0"/>
      <w:numFmt w:val="bullet"/>
      <w:lvlText w:val="•"/>
      <w:lvlJc w:val="left"/>
      <w:pPr>
        <w:ind w:left="6918" w:hanging="420"/>
      </w:pPr>
      <w:rPr>
        <w:rFonts w:hint="default"/>
      </w:rPr>
    </w:lvl>
    <w:lvl w:ilvl="8">
      <w:start w:val="0"/>
      <w:numFmt w:val="bullet"/>
      <w:lvlText w:val="•"/>
      <w:lvlJc w:val="left"/>
      <w:pPr>
        <w:ind w:left="7892"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5"/>
      <w:outlineLvl w:val="1"/>
    </w:pPr>
    <w:rPr>
      <w:rFonts w:ascii="Times New Roman" w:hAnsi="Times New Roman" w:eastAsia="Times New Roman" w:cs="Times New Roman"/>
      <w:b/>
      <w:bCs/>
      <w:sz w:val="25"/>
      <w:szCs w:val="25"/>
    </w:rPr>
  </w:style>
  <w:style w:styleId="Heading2" w:type="paragraph">
    <w:name w:val="Heading 2"/>
    <w:basedOn w:val="Normal"/>
    <w:uiPriority w:val="1"/>
    <w:qFormat/>
    <w:pPr>
      <w:ind w:left="67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dc:creator>
  <dc:title>MPC Minutes.qxd</dc:title>
  <dcterms:created xsi:type="dcterms:W3CDTF">2020-06-02T20:51:07Z</dcterms:created>
  <dcterms:modified xsi:type="dcterms:W3CDTF">2020-06-02T20:51:07Z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2000-09-12T00:00:00Z</vt:filetime>
  </property>
  <property fmtid="{D5CDD505-2E9C-101B-9397-08002B2CF9AE}" pid="3" name="Creator">
    <vt:lpwstr>QuarkXPress(tm) 4.1</vt:lpwstr>
  </property>
  <property fmtid="{D5CDD505-2E9C-101B-9397-08002B2CF9AE}" pid="4" name="LastSaved">
    <vt:filetime>2020-06-02T00:00:00Z</vt:filetime>
  </property>
</Properties>
</file>