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21 April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208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13" w:right="3304" w:firstLine="0"/>
        <w:jc w:val="center"/>
        <w:rPr>
          <w:rFonts w:ascii="Arial"/>
          <w:b/>
          <w:sz w:val="48"/>
        </w:rPr>
      </w:pPr>
      <w:r>
        <w:rPr>
          <w:rFonts w:ascii="Arial"/>
          <w:b/>
          <w:color w:val="231F20"/>
          <w:sz w:val="48"/>
        </w:rPr>
        <w:t>7 and 8 April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732" w:firstLine="0"/>
        <w:jc w:val="left"/>
        <w:rPr>
          <w:rFonts w:ascii="Arial"/>
          <w:sz w:val="26"/>
        </w:rPr>
      </w:pPr>
      <w:r>
        <w:rPr>
          <w:rFonts w:ascii="Arial"/>
          <w:color w:val="231F20"/>
          <w:sz w:val="26"/>
        </w:rPr>
        <w:t>These are the minutes of the Monetary Policy Committee meeting held on 7 and 8 April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.bankofengland.co.uk/mpc9904.pdf).</w:t>
        </w:r>
      </w:hyperlink>
    </w:p>
    <w:p>
      <w:pPr>
        <w:pStyle w:val="BodyText"/>
        <w:spacing w:before="2"/>
        <w:rPr>
          <w:rFonts w:ascii="Arial"/>
          <w:sz w:val="26"/>
        </w:rPr>
      </w:pPr>
    </w:p>
    <w:p>
      <w:pPr>
        <w:spacing w:line="288" w:lineRule="auto" w:before="0"/>
        <w:ind w:left="100" w:right="48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5 and 6 May will be published</w:t>
      </w:r>
      <w:r>
        <w:rPr>
          <w:rFonts w:ascii="Arial"/>
          <w:color w:val="231F20"/>
          <w:spacing w:val="3"/>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19 May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580"/>
        </w:sectPr>
      </w:pPr>
    </w:p>
    <w:p>
      <w:pPr>
        <w:pStyle w:val="BodyText"/>
        <w:spacing w:before="10"/>
        <w:rPr>
          <w:rFonts w:ascii="Arial"/>
          <w:sz w:val="26"/>
        </w:rPr>
      </w:pPr>
    </w:p>
    <w:p>
      <w:pPr>
        <w:pStyle w:val="Heading1"/>
        <w:spacing w:before="87"/>
        <w:ind w:right="767"/>
      </w:pPr>
      <w:r>
        <w:rPr/>
        <w:t>MINUTES OF THE MONETARY POLICY COMMITTEE MEETING ON 7-8 APRIL 1999</w:t>
      </w:r>
    </w:p>
    <w:p>
      <w:pPr>
        <w:pStyle w:val="BodyText"/>
        <w:spacing w:before="8"/>
        <w:rPr>
          <w:b/>
          <w:sz w:val="30"/>
        </w:rPr>
      </w:pPr>
    </w:p>
    <w:p>
      <w:pPr>
        <w:pStyle w:val="ListParagraph"/>
        <w:numPr>
          <w:ilvl w:val="0"/>
          <w:numId w:val="1"/>
        </w:numPr>
        <w:tabs>
          <w:tab w:pos="924" w:val="left" w:leader="none"/>
          <w:tab w:pos="925" w:val="left" w:leader="none"/>
        </w:tabs>
        <w:spacing w:line="360" w:lineRule="auto" w:before="0" w:after="0"/>
        <w:ind w:left="564" w:right="472" w:firstLine="0"/>
        <w:jc w:val="left"/>
        <w:rPr>
          <w:sz w:val="24"/>
        </w:rPr>
      </w:pPr>
      <w:r>
        <w:rPr>
          <w:sz w:val="24"/>
        </w:rPr>
        <w:t>The Committee discussed the prospects for the world economy; the exchange rate, money and credit; demand and </w:t>
      </w:r>
      <w:r>
        <w:rPr>
          <w:spacing w:val="5"/>
          <w:sz w:val="24"/>
        </w:rPr>
        <w:t>output </w:t>
      </w:r>
      <w:r>
        <w:rPr>
          <w:sz w:val="24"/>
        </w:rPr>
        <w:t>(including business confidence indicators); the housing market; the labour market; prices; and </w:t>
      </w:r>
      <w:r>
        <w:rPr>
          <w:spacing w:val="4"/>
          <w:sz w:val="24"/>
        </w:rPr>
        <w:t>other </w:t>
      </w:r>
      <w:r>
        <w:rPr>
          <w:sz w:val="24"/>
        </w:rPr>
        <w:t>issues including tactics, before turning </w:t>
      </w:r>
      <w:r>
        <w:rPr>
          <w:spacing w:val="3"/>
          <w:sz w:val="24"/>
        </w:rPr>
        <w:t>to </w:t>
      </w:r>
      <w:r>
        <w:rPr>
          <w:sz w:val="24"/>
        </w:rPr>
        <w:t>its immediate policy decision.</w:t>
      </w:r>
    </w:p>
    <w:p>
      <w:pPr>
        <w:pStyle w:val="BodyText"/>
        <w:spacing w:before="9"/>
        <w:rPr>
          <w:sz w:val="31"/>
        </w:rPr>
      </w:pPr>
    </w:p>
    <w:p>
      <w:pPr>
        <w:pStyle w:val="Heading2"/>
      </w:pPr>
      <w:r>
        <w:rPr/>
        <w:t>The world economy</w:t>
      </w:r>
    </w:p>
    <w:p>
      <w:pPr>
        <w:pStyle w:val="BodyText"/>
        <w:rPr>
          <w:b/>
          <w:sz w:val="26"/>
        </w:rPr>
      </w:pPr>
    </w:p>
    <w:p>
      <w:pPr>
        <w:pStyle w:val="ListParagraph"/>
        <w:numPr>
          <w:ilvl w:val="0"/>
          <w:numId w:val="1"/>
        </w:numPr>
        <w:tabs>
          <w:tab w:pos="924" w:val="left" w:leader="none"/>
          <w:tab w:pos="925" w:val="left" w:leader="none"/>
        </w:tabs>
        <w:spacing w:line="360" w:lineRule="auto" w:before="198" w:after="0"/>
        <w:ind w:left="564" w:right="191" w:firstLine="0"/>
        <w:jc w:val="left"/>
        <w:rPr>
          <w:sz w:val="24"/>
        </w:rPr>
      </w:pPr>
      <w:r>
        <w:rPr>
          <w:sz w:val="24"/>
        </w:rPr>
        <w:t>The Committee discussed whether the prospects for the world economy had improved </w:t>
      </w:r>
      <w:r>
        <w:rPr>
          <w:spacing w:val="3"/>
          <w:sz w:val="24"/>
        </w:rPr>
        <w:t>over </w:t>
      </w:r>
      <w:r>
        <w:rPr>
          <w:sz w:val="24"/>
        </w:rPr>
        <w:t>the past month. In the United States, domestic demand in particular had continued </w:t>
      </w:r>
      <w:r>
        <w:rPr>
          <w:spacing w:val="2"/>
          <w:sz w:val="24"/>
        </w:rPr>
        <w:t>to </w:t>
      </w:r>
      <w:r>
        <w:rPr>
          <w:sz w:val="24"/>
        </w:rPr>
        <w:t>grow strongly, with little sign yet </w:t>
      </w:r>
      <w:r>
        <w:rPr>
          <w:spacing w:val="3"/>
          <w:sz w:val="24"/>
        </w:rPr>
        <w:t>of </w:t>
      </w:r>
      <w:r>
        <w:rPr>
          <w:sz w:val="24"/>
        </w:rPr>
        <w:t>any slowdown in growth </w:t>
      </w:r>
      <w:r>
        <w:rPr>
          <w:spacing w:val="3"/>
          <w:sz w:val="24"/>
        </w:rPr>
        <w:t>or </w:t>
      </w:r>
      <w:r>
        <w:rPr>
          <w:sz w:val="24"/>
        </w:rPr>
        <w:t>any pick-up in inflation. Supply side developments in the United States appeared </w:t>
      </w:r>
      <w:r>
        <w:rPr>
          <w:spacing w:val="2"/>
          <w:sz w:val="24"/>
        </w:rPr>
        <w:t>to </w:t>
      </w:r>
      <w:r>
        <w:rPr>
          <w:sz w:val="24"/>
        </w:rPr>
        <w:t>be more favourable than in the euro area, although in several European countries </w:t>
      </w:r>
      <w:r>
        <w:rPr>
          <w:spacing w:val="4"/>
          <w:sz w:val="24"/>
        </w:rPr>
        <w:t>output </w:t>
      </w:r>
      <w:r>
        <w:rPr>
          <w:sz w:val="24"/>
        </w:rPr>
        <w:t>remained below potential. Growth was sluggish and industrial sentiment weak, particularly in Germany.  Meanwhile expectations had grown </w:t>
      </w:r>
      <w:r>
        <w:rPr>
          <w:spacing w:val="2"/>
          <w:sz w:val="24"/>
        </w:rPr>
        <w:t>of </w:t>
      </w:r>
      <w:r>
        <w:rPr>
          <w:sz w:val="24"/>
        </w:rPr>
        <w:t>a reduction in interest rates by the European Central Bank (ECB). In Japan, the Nikkei had recovered strongly in the last few weeks </w:t>
      </w:r>
      <w:r>
        <w:rPr>
          <w:spacing w:val="3"/>
          <w:sz w:val="24"/>
        </w:rPr>
        <w:t>of </w:t>
      </w:r>
      <w:r>
        <w:rPr>
          <w:sz w:val="24"/>
        </w:rPr>
        <w:t>the financial year, with buying from foreign </w:t>
      </w:r>
      <w:r>
        <w:rPr>
          <w:spacing w:val="2"/>
          <w:sz w:val="24"/>
        </w:rPr>
        <w:t>investors </w:t>
      </w:r>
      <w:r>
        <w:rPr>
          <w:sz w:val="24"/>
        </w:rPr>
        <w:t>amid signs </w:t>
      </w:r>
      <w:r>
        <w:rPr>
          <w:spacing w:val="3"/>
          <w:sz w:val="24"/>
        </w:rPr>
        <w:t>of </w:t>
      </w:r>
      <w:r>
        <w:rPr>
          <w:sz w:val="24"/>
        </w:rPr>
        <w:t>a higher probability </w:t>
      </w:r>
      <w:r>
        <w:rPr>
          <w:spacing w:val="4"/>
          <w:sz w:val="24"/>
        </w:rPr>
        <w:t>of </w:t>
      </w:r>
      <w:r>
        <w:rPr>
          <w:sz w:val="24"/>
        </w:rPr>
        <w:t>corporate restructuring. But any recovery in business sentiment had been muted - and might be </w:t>
      </w:r>
      <w:r>
        <w:rPr>
          <w:spacing w:val="2"/>
          <w:sz w:val="24"/>
        </w:rPr>
        <w:t>reversed</w:t>
      </w:r>
      <w:r>
        <w:rPr>
          <w:spacing w:val="-4"/>
          <w:sz w:val="24"/>
        </w:rPr>
        <w:t> </w:t>
      </w:r>
      <w:r>
        <w:rPr>
          <w:sz w:val="24"/>
        </w:rPr>
        <w:t>-</w:t>
      </w:r>
      <w:r>
        <w:rPr>
          <w:spacing w:val="-4"/>
          <w:sz w:val="24"/>
        </w:rPr>
        <w:t> </w:t>
      </w:r>
      <w:r>
        <w:rPr>
          <w:sz w:val="24"/>
        </w:rPr>
        <w:t>while</w:t>
      </w:r>
      <w:r>
        <w:rPr>
          <w:spacing w:val="-5"/>
          <w:sz w:val="24"/>
        </w:rPr>
        <w:t> </w:t>
      </w:r>
      <w:r>
        <w:rPr>
          <w:sz w:val="24"/>
        </w:rPr>
        <w:t>consumer</w:t>
      </w:r>
      <w:r>
        <w:rPr>
          <w:spacing w:val="-5"/>
          <w:sz w:val="24"/>
        </w:rPr>
        <w:t> </w:t>
      </w:r>
      <w:r>
        <w:rPr>
          <w:sz w:val="24"/>
        </w:rPr>
        <w:t>confidence</w:t>
      </w:r>
      <w:r>
        <w:rPr>
          <w:spacing w:val="-5"/>
          <w:sz w:val="24"/>
        </w:rPr>
        <w:t> </w:t>
      </w:r>
      <w:r>
        <w:rPr>
          <w:sz w:val="24"/>
        </w:rPr>
        <w:t>could</w:t>
      </w:r>
      <w:r>
        <w:rPr>
          <w:spacing w:val="-4"/>
          <w:sz w:val="24"/>
        </w:rPr>
        <w:t> </w:t>
      </w:r>
      <w:r>
        <w:rPr>
          <w:sz w:val="24"/>
        </w:rPr>
        <w:t>be</w:t>
      </w:r>
      <w:r>
        <w:rPr>
          <w:spacing w:val="-5"/>
          <w:sz w:val="24"/>
        </w:rPr>
        <w:t> </w:t>
      </w:r>
      <w:r>
        <w:rPr>
          <w:sz w:val="24"/>
        </w:rPr>
        <w:t>further</w:t>
      </w:r>
      <w:r>
        <w:rPr>
          <w:spacing w:val="-5"/>
          <w:sz w:val="24"/>
        </w:rPr>
        <w:t> </w:t>
      </w:r>
      <w:r>
        <w:rPr>
          <w:sz w:val="24"/>
        </w:rPr>
        <w:t>damaged</w:t>
      </w:r>
      <w:r>
        <w:rPr>
          <w:spacing w:val="-5"/>
          <w:sz w:val="24"/>
        </w:rPr>
        <w:t> </w:t>
      </w:r>
      <w:r>
        <w:rPr>
          <w:sz w:val="24"/>
        </w:rPr>
        <w:t>by</w:t>
      </w:r>
      <w:r>
        <w:rPr>
          <w:spacing w:val="-5"/>
          <w:sz w:val="24"/>
        </w:rPr>
        <w:t> </w:t>
      </w:r>
      <w:r>
        <w:rPr>
          <w:spacing w:val="2"/>
          <w:sz w:val="24"/>
        </w:rPr>
        <w:t>record</w:t>
      </w:r>
      <w:r>
        <w:rPr>
          <w:spacing w:val="-3"/>
          <w:sz w:val="24"/>
        </w:rPr>
        <w:t> </w:t>
      </w:r>
      <w:r>
        <w:rPr>
          <w:sz w:val="24"/>
        </w:rPr>
        <w:t>levels</w:t>
      </w:r>
      <w:r>
        <w:rPr>
          <w:spacing w:val="-5"/>
          <w:sz w:val="24"/>
        </w:rPr>
        <w:t> </w:t>
      </w:r>
      <w:r>
        <w:rPr>
          <w:spacing w:val="3"/>
          <w:sz w:val="24"/>
        </w:rPr>
        <w:t>of</w:t>
      </w:r>
      <w:r>
        <w:rPr>
          <w:spacing w:val="-2"/>
          <w:sz w:val="24"/>
        </w:rPr>
        <w:t> </w:t>
      </w:r>
      <w:r>
        <w:rPr>
          <w:sz w:val="24"/>
        </w:rPr>
        <w:t>unemployment.</w:t>
      </w:r>
    </w:p>
    <w:p>
      <w:pPr>
        <w:pStyle w:val="BodyText"/>
        <w:spacing w:before="1"/>
        <w:rPr>
          <w:sz w:val="31"/>
        </w:rPr>
      </w:pPr>
    </w:p>
    <w:p>
      <w:pPr>
        <w:pStyle w:val="ListParagraph"/>
        <w:numPr>
          <w:ilvl w:val="0"/>
          <w:numId w:val="1"/>
        </w:numPr>
        <w:tabs>
          <w:tab w:pos="924" w:val="left" w:leader="none"/>
          <w:tab w:pos="925" w:val="left" w:leader="none"/>
        </w:tabs>
        <w:spacing w:line="360" w:lineRule="auto" w:before="0" w:after="0"/>
        <w:ind w:left="564" w:right="198" w:firstLine="0"/>
        <w:jc w:val="left"/>
        <w:rPr>
          <w:sz w:val="24"/>
        </w:rPr>
      </w:pPr>
      <w:r>
        <w:rPr>
          <w:sz w:val="24"/>
        </w:rPr>
        <w:t>Outside the major industrial countries, spreads </w:t>
      </w:r>
      <w:r>
        <w:rPr>
          <w:spacing w:val="2"/>
          <w:sz w:val="24"/>
        </w:rPr>
        <w:t>on </w:t>
      </w:r>
      <w:r>
        <w:rPr>
          <w:sz w:val="24"/>
        </w:rPr>
        <w:t>emerging market sovereign dollar debt - as measured by J P Morgan - had fallen by </w:t>
      </w:r>
      <w:r>
        <w:rPr>
          <w:spacing w:val="3"/>
          <w:sz w:val="24"/>
        </w:rPr>
        <w:t>over </w:t>
      </w:r>
      <w:r>
        <w:rPr>
          <w:sz w:val="24"/>
        </w:rPr>
        <w:t>200 basis points during the month. Sentiment - and in some cases activity - was a little stronger in </w:t>
      </w:r>
      <w:r>
        <w:rPr>
          <w:spacing w:val="2"/>
          <w:sz w:val="24"/>
        </w:rPr>
        <w:t>East </w:t>
      </w:r>
      <w:r>
        <w:rPr>
          <w:sz w:val="24"/>
        </w:rPr>
        <w:t>Asia and Latin America, where some countries had benefited from higher </w:t>
      </w:r>
      <w:r>
        <w:rPr>
          <w:spacing w:val="3"/>
          <w:sz w:val="24"/>
        </w:rPr>
        <w:t>oil </w:t>
      </w:r>
      <w:r>
        <w:rPr>
          <w:sz w:val="24"/>
        </w:rPr>
        <w:t>prices. The markets appeared </w:t>
      </w:r>
      <w:r>
        <w:rPr>
          <w:spacing w:val="3"/>
          <w:sz w:val="24"/>
        </w:rPr>
        <w:t>to </w:t>
      </w:r>
      <w:r>
        <w:rPr>
          <w:sz w:val="24"/>
        </w:rPr>
        <w:t>have discounted a deterioration in prospects in Russia. So in general, developments in the world economy seemed much as expected in the February </w:t>
      </w:r>
      <w:r>
        <w:rPr>
          <w:i/>
          <w:sz w:val="24"/>
        </w:rPr>
        <w:t>Inflation Report</w:t>
      </w:r>
      <w:r>
        <w:rPr>
          <w:sz w:val="24"/>
        </w:rPr>
        <w:t>, although the downside </w:t>
      </w:r>
      <w:r>
        <w:rPr>
          <w:spacing w:val="2"/>
          <w:sz w:val="24"/>
        </w:rPr>
        <w:t>risks </w:t>
      </w:r>
      <w:r>
        <w:rPr>
          <w:spacing w:val="3"/>
          <w:sz w:val="24"/>
        </w:rPr>
        <w:t>to </w:t>
      </w:r>
      <w:r>
        <w:rPr>
          <w:sz w:val="24"/>
        </w:rPr>
        <w:t>activity might have diminished somewhat. A major uncertainty was </w:t>
      </w:r>
      <w:r>
        <w:rPr>
          <w:spacing w:val="3"/>
          <w:sz w:val="24"/>
        </w:rPr>
        <w:t>over </w:t>
      </w:r>
      <w:r>
        <w:rPr>
          <w:sz w:val="24"/>
        </w:rPr>
        <w:t>the events in Kosovo, where the effects </w:t>
      </w:r>
      <w:r>
        <w:rPr>
          <w:spacing w:val="2"/>
          <w:sz w:val="24"/>
        </w:rPr>
        <w:t>on </w:t>
      </w:r>
      <w:r>
        <w:rPr>
          <w:sz w:val="24"/>
        </w:rPr>
        <w:t>consumer and business confidence elsewhere, and </w:t>
      </w:r>
      <w:r>
        <w:rPr>
          <w:spacing w:val="3"/>
          <w:sz w:val="24"/>
        </w:rPr>
        <w:t>on </w:t>
      </w:r>
      <w:r>
        <w:rPr>
          <w:sz w:val="24"/>
        </w:rPr>
        <w:t>the budgetary positions </w:t>
      </w:r>
      <w:r>
        <w:rPr>
          <w:spacing w:val="3"/>
          <w:sz w:val="24"/>
        </w:rPr>
        <w:t>of </w:t>
      </w:r>
      <w:r>
        <w:rPr>
          <w:sz w:val="24"/>
        </w:rPr>
        <w:t>the </w:t>
      </w:r>
      <w:r>
        <w:rPr>
          <w:spacing w:val="5"/>
          <w:sz w:val="24"/>
        </w:rPr>
        <w:t>N</w:t>
      </w:r>
      <w:r>
        <w:rPr>
          <w:spacing w:val="5"/>
          <w:sz w:val="20"/>
        </w:rPr>
        <w:t>ATO </w:t>
      </w:r>
      <w:r>
        <w:rPr>
          <w:sz w:val="24"/>
        </w:rPr>
        <w:t>countries, were not yet clear.</w:t>
      </w:r>
    </w:p>
    <w:p>
      <w:pPr>
        <w:pStyle w:val="BodyText"/>
        <w:spacing w:before="3"/>
        <w:rPr>
          <w:sz w:val="31"/>
        </w:rPr>
      </w:pPr>
    </w:p>
    <w:p>
      <w:pPr>
        <w:pStyle w:val="ListParagraph"/>
        <w:numPr>
          <w:ilvl w:val="0"/>
          <w:numId w:val="1"/>
        </w:numPr>
        <w:tabs>
          <w:tab w:pos="924" w:val="left" w:leader="none"/>
          <w:tab w:pos="925" w:val="left" w:leader="none"/>
        </w:tabs>
        <w:spacing w:line="360" w:lineRule="auto" w:before="0" w:after="0"/>
        <w:ind w:left="564" w:right="364" w:firstLine="0"/>
        <w:jc w:val="left"/>
        <w:rPr>
          <w:sz w:val="24"/>
        </w:rPr>
      </w:pPr>
      <w:r>
        <w:rPr>
          <w:sz w:val="24"/>
        </w:rPr>
        <w:t>There</w:t>
      </w:r>
      <w:r>
        <w:rPr>
          <w:spacing w:val="-5"/>
          <w:sz w:val="24"/>
        </w:rPr>
        <w:t> </w:t>
      </w:r>
      <w:r>
        <w:rPr>
          <w:sz w:val="24"/>
        </w:rPr>
        <w:t>were</w:t>
      </w:r>
      <w:r>
        <w:rPr>
          <w:spacing w:val="-6"/>
          <w:sz w:val="24"/>
        </w:rPr>
        <w:t> </w:t>
      </w:r>
      <w:r>
        <w:rPr>
          <w:sz w:val="24"/>
        </w:rPr>
        <w:t>some</w:t>
      </w:r>
      <w:r>
        <w:rPr>
          <w:spacing w:val="-6"/>
          <w:sz w:val="24"/>
        </w:rPr>
        <w:t> </w:t>
      </w:r>
      <w:r>
        <w:rPr>
          <w:sz w:val="24"/>
        </w:rPr>
        <w:t>signs</w:t>
      </w:r>
      <w:r>
        <w:rPr>
          <w:spacing w:val="-6"/>
          <w:sz w:val="24"/>
        </w:rPr>
        <w:t> </w:t>
      </w:r>
      <w:r>
        <w:rPr>
          <w:sz w:val="24"/>
        </w:rPr>
        <w:t>that</w:t>
      </w:r>
      <w:r>
        <w:rPr>
          <w:spacing w:val="-1"/>
          <w:sz w:val="24"/>
        </w:rPr>
        <w:t> </w:t>
      </w:r>
      <w:r>
        <w:rPr>
          <w:sz w:val="24"/>
        </w:rPr>
        <w:t>commodity</w:t>
      </w:r>
      <w:r>
        <w:rPr>
          <w:spacing w:val="-6"/>
          <w:sz w:val="24"/>
        </w:rPr>
        <w:t> </w:t>
      </w:r>
      <w:r>
        <w:rPr>
          <w:sz w:val="24"/>
        </w:rPr>
        <w:t>prices</w:t>
      </w:r>
      <w:r>
        <w:rPr>
          <w:spacing w:val="-6"/>
          <w:sz w:val="24"/>
        </w:rPr>
        <w:t> </w:t>
      </w:r>
      <w:r>
        <w:rPr>
          <w:sz w:val="24"/>
        </w:rPr>
        <w:t>had</w:t>
      </w:r>
      <w:r>
        <w:rPr>
          <w:spacing w:val="-6"/>
          <w:sz w:val="24"/>
        </w:rPr>
        <w:t> </w:t>
      </w:r>
      <w:r>
        <w:rPr>
          <w:sz w:val="24"/>
        </w:rPr>
        <w:t>begun</w:t>
      </w:r>
      <w:r>
        <w:rPr>
          <w:spacing w:val="-6"/>
          <w:sz w:val="24"/>
        </w:rPr>
        <w:t> </w:t>
      </w:r>
      <w:r>
        <w:rPr>
          <w:spacing w:val="2"/>
          <w:sz w:val="24"/>
        </w:rPr>
        <w:t>to</w:t>
      </w:r>
      <w:r>
        <w:rPr>
          <w:spacing w:val="-2"/>
          <w:sz w:val="24"/>
        </w:rPr>
        <w:t> </w:t>
      </w:r>
      <w:r>
        <w:rPr>
          <w:sz w:val="24"/>
        </w:rPr>
        <w:t>bottom</w:t>
      </w:r>
      <w:r>
        <w:rPr>
          <w:spacing w:val="-6"/>
          <w:sz w:val="24"/>
        </w:rPr>
        <w:t> </w:t>
      </w:r>
      <w:r>
        <w:rPr>
          <w:spacing w:val="3"/>
          <w:sz w:val="24"/>
        </w:rPr>
        <w:t>out,</w:t>
      </w:r>
      <w:r>
        <w:rPr>
          <w:spacing w:val="-1"/>
          <w:sz w:val="24"/>
        </w:rPr>
        <w:t> </w:t>
      </w:r>
      <w:r>
        <w:rPr>
          <w:sz w:val="24"/>
        </w:rPr>
        <w:t>and</w:t>
      </w:r>
      <w:r>
        <w:rPr>
          <w:spacing w:val="-6"/>
          <w:sz w:val="24"/>
        </w:rPr>
        <w:t> </w:t>
      </w:r>
      <w:r>
        <w:rPr>
          <w:spacing w:val="3"/>
          <w:sz w:val="24"/>
        </w:rPr>
        <w:t>oil</w:t>
      </w:r>
      <w:r>
        <w:rPr>
          <w:spacing w:val="-2"/>
          <w:sz w:val="24"/>
        </w:rPr>
        <w:t> </w:t>
      </w:r>
      <w:r>
        <w:rPr>
          <w:sz w:val="24"/>
        </w:rPr>
        <w:t>prices</w:t>
      </w:r>
      <w:r>
        <w:rPr>
          <w:spacing w:val="-6"/>
          <w:sz w:val="24"/>
        </w:rPr>
        <w:t> </w:t>
      </w:r>
      <w:r>
        <w:rPr>
          <w:sz w:val="24"/>
        </w:rPr>
        <w:t>had</w:t>
      </w:r>
      <w:r>
        <w:rPr>
          <w:spacing w:val="-6"/>
          <w:sz w:val="24"/>
        </w:rPr>
        <w:t> </w:t>
      </w:r>
      <w:r>
        <w:rPr>
          <w:sz w:val="24"/>
        </w:rPr>
        <w:t>risen sharply as a result </w:t>
      </w:r>
      <w:r>
        <w:rPr>
          <w:spacing w:val="2"/>
          <w:sz w:val="24"/>
        </w:rPr>
        <w:t>of </w:t>
      </w:r>
      <w:r>
        <w:rPr>
          <w:sz w:val="24"/>
        </w:rPr>
        <w:t>agreed cutbacks in supply. While it was </w:t>
      </w:r>
      <w:r>
        <w:rPr>
          <w:spacing w:val="3"/>
          <w:sz w:val="24"/>
        </w:rPr>
        <w:t>too </w:t>
      </w:r>
      <w:r>
        <w:rPr>
          <w:sz w:val="24"/>
        </w:rPr>
        <w:t>soon </w:t>
      </w:r>
      <w:r>
        <w:rPr>
          <w:spacing w:val="2"/>
          <w:sz w:val="24"/>
        </w:rPr>
        <w:t>to </w:t>
      </w:r>
      <w:r>
        <w:rPr>
          <w:sz w:val="24"/>
        </w:rPr>
        <w:t>judge whether these increases</w:t>
      </w:r>
      <w:r>
        <w:rPr>
          <w:spacing w:val="-5"/>
          <w:sz w:val="24"/>
        </w:rPr>
        <w:t> </w:t>
      </w:r>
      <w:r>
        <w:rPr>
          <w:sz w:val="24"/>
        </w:rPr>
        <w:t>would</w:t>
      </w:r>
      <w:r>
        <w:rPr>
          <w:spacing w:val="-5"/>
          <w:sz w:val="24"/>
        </w:rPr>
        <w:t> </w:t>
      </w:r>
      <w:r>
        <w:rPr>
          <w:sz w:val="24"/>
        </w:rPr>
        <w:t>persist,</w:t>
      </w:r>
      <w:r>
        <w:rPr>
          <w:spacing w:val="1"/>
          <w:sz w:val="24"/>
        </w:rPr>
        <w:t> </w:t>
      </w:r>
      <w:r>
        <w:rPr>
          <w:sz w:val="24"/>
        </w:rPr>
        <w:t>the</w:t>
      </w:r>
      <w:r>
        <w:rPr>
          <w:spacing w:val="-4"/>
          <w:sz w:val="24"/>
        </w:rPr>
        <w:t> </w:t>
      </w:r>
      <w:r>
        <w:rPr>
          <w:sz w:val="24"/>
        </w:rPr>
        <w:t>cutbacks</w:t>
      </w:r>
      <w:r>
        <w:rPr>
          <w:spacing w:val="-5"/>
          <w:sz w:val="24"/>
        </w:rPr>
        <w:t> </w:t>
      </w:r>
      <w:r>
        <w:rPr>
          <w:sz w:val="24"/>
        </w:rPr>
        <w:t>appeared</w:t>
      </w:r>
      <w:r>
        <w:rPr>
          <w:spacing w:val="-4"/>
          <w:sz w:val="24"/>
        </w:rPr>
        <w:t> </w:t>
      </w:r>
      <w:r>
        <w:rPr>
          <w:spacing w:val="3"/>
          <w:sz w:val="24"/>
        </w:rPr>
        <w:t>to</w:t>
      </w:r>
      <w:r>
        <w:rPr>
          <w:sz w:val="24"/>
        </w:rPr>
        <w:t> have</w:t>
      </w:r>
      <w:r>
        <w:rPr>
          <w:spacing w:val="-5"/>
          <w:sz w:val="24"/>
        </w:rPr>
        <w:t> </w:t>
      </w:r>
      <w:r>
        <w:rPr>
          <w:sz w:val="24"/>
        </w:rPr>
        <w:t>greater</w:t>
      </w:r>
      <w:r>
        <w:rPr>
          <w:spacing w:val="-4"/>
          <w:sz w:val="24"/>
        </w:rPr>
        <w:t> </w:t>
      </w:r>
      <w:r>
        <w:rPr>
          <w:sz w:val="24"/>
        </w:rPr>
        <w:t>credibility</w:t>
      </w:r>
      <w:r>
        <w:rPr>
          <w:spacing w:val="-5"/>
          <w:sz w:val="24"/>
        </w:rPr>
        <w:t> </w:t>
      </w:r>
      <w:r>
        <w:rPr>
          <w:sz w:val="24"/>
        </w:rPr>
        <w:t>in</w:t>
      </w:r>
      <w:r>
        <w:rPr>
          <w:spacing w:val="-4"/>
          <w:sz w:val="24"/>
        </w:rPr>
        <w:t> </w:t>
      </w:r>
      <w:r>
        <w:rPr>
          <w:sz w:val="24"/>
        </w:rPr>
        <w:t>the</w:t>
      </w:r>
      <w:r>
        <w:rPr>
          <w:spacing w:val="-5"/>
          <w:sz w:val="24"/>
        </w:rPr>
        <w:t> </w:t>
      </w:r>
      <w:r>
        <w:rPr>
          <w:sz w:val="24"/>
        </w:rPr>
        <w:t>market</w:t>
      </w:r>
      <w:r>
        <w:rPr>
          <w:spacing w:val="1"/>
          <w:sz w:val="24"/>
        </w:rPr>
        <w:t> </w:t>
      </w:r>
      <w:r>
        <w:rPr>
          <w:sz w:val="24"/>
        </w:rPr>
        <w:t>than</w:t>
      </w:r>
      <w:r>
        <w:rPr>
          <w:spacing w:val="-5"/>
          <w:sz w:val="24"/>
        </w:rPr>
        <w:t> </w:t>
      </w:r>
      <w:r>
        <w:rPr>
          <w:sz w:val="24"/>
        </w:rPr>
        <w:t>had</w:t>
      </w:r>
    </w:p>
    <w:p>
      <w:pPr>
        <w:spacing w:after="0" w:line="360" w:lineRule="auto"/>
        <w:jc w:val="left"/>
        <w:rPr>
          <w:sz w:val="24"/>
        </w:rPr>
        <w:sectPr>
          <w:pgSz w:w="11900" w:h="16840"/>
          <w:pgMar w:top="160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391"/>
        <w:jc w:val="both"/>
      </w:pPr>
      <w:r>
        <w:rPr/>
        <w:t>sometimes been the case. The downward pressure on world prices from oil and other commodities might therefore be less than in the recent past. But with most economies outside the United States below productive capacity, the scope for a generalised pick-up in inflation was limited.</w:t>
      </w:r>
    </w:p>
    <w:p>
      <w:pPr>
        <w:pStyle w:val="BodyText"/>
        <w:spacing w:before="9"/>
        <w:rPr>
          <w:sz w:val="31"/>
        </w:rPr>
      </w:pPr>
    </w:p>
    <w:p>
      <w:pPr>
        <w:pStyle w:val="Heading2"/>
        <w:spacing w:before="1"/>
        <w:jc w:val="both"/>
      </w:pPr>
      <w:r>
        <w:rPr/>
        <w:t>The exchange rate, money and credit</w:t>
      </w:r>
    </w:p>
    <w:p>
      <w:pPr>
        <w:pStyle w:val="BodyText"/>
        <w:rPr>
          <w:b/>
          <w:sz w:val="26"/>
        </w:rPr>
      </w:pPr>
    </w:p>
    <w:p>
      <w:pPr>
        <w:pStyle w:val="ListParagraph"/>
        <w:numPr>
          <w:ilvl w:val="0"/>
          <w:numId w:val="1"/>
        </w:numPr>
        <w:tabs>
          <w:tab w:pos="924" w:val="left" w:leader="none"/>
          <w:tab w:pos="925" w:val="left" w:leader="none"/>
        </w:tabs>
        <w:spacing w:line="360" w:lineRule="auto" w:before="193" w:after="0"/>
        <w:ind w:left="564" w:right="262" w:firstLine="0"/>
        <w:jc w:val="left"/>
        <w:rPr>
          <w:sz w:val="24"/>
        </w:rPr>
      </w:pPr>
      <w:r>
        <w:rPr>
          <w:sz w:val="24"/>
        </w:rPr>
        <w:t>For most </w:t>
      </w:r>
      <w:r>
        <w:rPr>
          <w:spacing w:val="2"/>
          <w:sz w:val="24"/>
        </w:rPr>
        <w:t>of </w:t>
      </w:r>
      <w:r>
        <w:rPr>
          <w:sz w:val="24"/>
        </w:rPr>
        <w:t>the month sterling had been stronger than at the time </w:t>
      </w:r>
      <w:r>
        <w:rPr>
          <w:spacing w:val="2"/>
          <w:sz w:val="24"/>
        </w:rPr>
        <w:t>of </w:t>
      </w:r>
      <w:r>
        <w:rPr>
          <w:sz w:val="24"/>
        </w:rPr>
        <w:t>the previous meeting </w:t>
      </w:r>
      <w:r>
        <w:rPr>
          <w:spacing w:val="2"/>
          <w:sz w:val="24"/>
        </w:rPr>
        <w:t>of </w:t>
      </w:r>
      <w:r>
        <w:rPr>
          <w:sz w:val="24"/>
        </w:rPr>
        <w:t>the Committee, particularly against the euro, although it had weakened a little in recent days. But the effective</w:t>
      </w:r>
      <w:r>
        <w:rPr>
          <w:spacing w:val="-7"/>
          <w:sz w:val="24"/>
        </w:rPr>
        <w:t> </w:t>
      </w:r>
      <w:r>
        <w:rPr>
          <w:sz w:val="24"/>
        </w:rPr>
        <w:t>exchange</w:t>
      </w:r>
      <w:r>
        <w:rPr>
          <w:spacing w:val="-6"/>
          <w:sz w:val="24"/>
        </w:rPr>
        <w:t> </w:t>
      </w:r>
      <w:r>
        <w:rPr>
          <w:spacing w:val="2"/>
          <w:sz w:val="24"/>
        </w:rPr>
        <w:t>rate</w:t>
      </w:r>
      <w:r>
        <w:rPr>
          <w:spacing w:val="-5"/>
          <w:sz w:val="24"/>
        </w:rPr>
        <w:t> </w:t>
      </w:r>
      <w:r>
        <w:rPr>
          <w:sz w:val="24"/>
        </w:rPr>
        <w:t>index</w:t>
      </w:r>
      <w:r>
        <w:rPr>
          <w:spacing w:val="-7"/>
          <w:sz w:val="24"/>
        </w:rPr>
        <w:t> </w:t>
      </w:r>
      <w:r>
        <w:rPr>
          <w:spacing w:val="2"/>
          <w:sz w:val="24"/>
        </w:rPr>
        <w:t>remained</w:t>
      </w:r>
      <w:r>
        <w:rPr>
          <w:spacing w:val="-4"/>
          <w:sz w:val="24"/>
        </w:rPr>
        <w:t> </w:t>
      </w:r>
      <w:r>
        <w:rPr>
          <w:spacing w:val="4"/>
          <w:sz w:val="24"/>
        </w:rPr>
        <w:t>over</w:t>
      </w:r>
      <w:r>
        <w:rPr>
          <w:spacing w:val="-3"/>
          <w:sz w:val="24"/>
        </w:rPr>
        <w:t> </w:t>
      </w:r>
      <w:r>
        <w:rPr>
          <w:sz w:val="24"/>
        </w:rPr>
        <w:t>2%</w:t>
      </w:r>
      <w:r>
        <w:rPr>
          <w:spacing w:val="-6"/>
          <w:sz w:val="24"/>
        </w:rPr>
        <w:t> </w:t>
      </w:r>
      <w:r>
        <w:rPr>
          <w:sz w:val="24"/>
        </w:rPr>
        <w:t>higher</w:t>
      </w:r>
      <w:r>
        <w:rPr>
          <w:spacing w:val="-7"/>
          <w:sz w:val="24"/>
        </w:rPr>
        <w:t> </w:t>
      </w:r>
      <w:r>
        <w:rPr>
          <w:sz w:val="24"/>
        </w:rPr>
        <w:t>than</w:t>
      </w:r>
      <w:r>
        <w:rPr>
          <w:spacing w:val="-6"/>
          <w:sz w:val="24"/>
        </w:rPr>
        <w:t> </w:t>
      </w:r>
      <w:r>
        <w:rPr>
          <w:sz w:val="24"/>
        </w:rPr>
        <w:t>implied</w:t>
      </w:r>
      <w:r>
        <w:rPr>
          <w:spacing w:val="-6"/>
          <w:sz w:val="24"/>
        </w:rPr>
        <w:t> </w:t>
      </w:r>
      <w:r>
        <w:rPr>
          <w:sz w:val="24"/>
        </w:rPr>
        <w:t>by</w:t>
      </w:r>
      <w:r>
        <w:rPr>
          <w:spacing w:val="-7"/>
          <w:sz w:val="24"/>
        </w:rPr>
        <w:t> </w:t>
      </w:r>
      <w:r>
        <w:rPr>
          <w:sz w:val="24"/>
        </w:rPr>
        <w:t>the</w:t>
      </w:r>
      <w:r>
        <w:rPr>
          <w:spacing w:val="-6"/>
          <w:sz w:val="24"/>
        </w:rPr>
        <w:t> </w:t>
      </w:r>
      <w:r>
        <w:rPr>
          <w:sz w:val="24"/>
        </w:rPr>
        <w:t>central</w:t>
      </w:r>
      <w:r>
        <w:rPr>
          <w:spacing w:val="-7"/>
          <w:sz w:val="24"/>
        </w:rPr>
        <w:t> </w:t>
      </w:r>
      <w:r>
        <w:rPr>
          <w:sz w:val="24"/>
        </w:rPr>
        <w:t>projection</w:t>
      </w:r>
      <w:r>
        <w:rPr>
          <w:spacing w:val="-6"/>
          <w:sz w:val="24"/>
        </w:rPr>
        <w:t> </w:t>
      </w:r>
      <w:r>
        <w:rPr>
          <w:sz w:val="24"/>
        </w:rPr>
        <w:t>in</w:t>
      </w:r>
      <w:r>
        <w:rPr>
          <w:spacing w:val="-7"/>
          <w:sz w:val="24"/>
        </w:rPr>
        <w:t> </w:t>
      </w:r>
      <w:r>
        <w:rPr>
          <w:spacing w:val="2"/>
          <w:sz w:val="24"/>
        </w:rPr>
        <w:t>the </w:t>
      </w:r>
      <w:r>
        <w:rPr>
          <w:sz w:val="24"/>
        </w:rPr>
        <w:t>February </w:t>
      </w:r>
      <w:r>
        <w:rPr>
          <w:i/>
          <w:sz w:val="24"/>
        </w:rPr>
        <w:t>Inflation Report</w:t>
      </w:r>
      <w:r>
        <w:rPr>
          <w:sz w:val="24"/>
        </w:rPr>
        <w:t>. Many possible explanations had been advanced for sterling’s strength, and discussed by the Committee in this as in previous meetings. If this strength in the exchange rate were sustained, it would tend </w:t>
      </w:r>
      <w:r>
        <w:rPr>
          <w:spacing w:val="3"/>
          <w:sz w:val="24"/>
        </w:rPr>
        <w:t>to </w:t>
      </w:r>
      <w:r>
        <w:rPr>
          <w:sz w:val="24"/>
        </w:rPr>
        <w:t>dampen inflation, and also activity in the internationally traded sectors </w:t>
      </w:r>
      <w:r>
        <w:rPr>
          <w:spacing w:val="2"/>
          <w:sz w:val="24"/>
        </w:rPr>
        <w:t>of </w:t>
      </w:r>
      <w:r>
        <w:rPr>
          <w:sz w:val="24"/>
        </w:rPr>
        <w:t>the</w:t>
      </w:r>
      <w:r>
        <w:rPr>
          <w:spacing w:val="5"/>
          <w:sz w:val="24"/>
        </w:rPr>
        <w:t> </w:t>
      </w:r>
      <w:r>
        <w:rPr>
          <w:sz w:val="24"/>
        </w:rPr>
        <w:t>economy.</w:t>
      </w:r>
    </w:p>
    <w:p>
      <w:pPr>
        <w:pStyle w:val="BodyText"/>
        <w:spacing w:before="4"/>
        <w:rPr>
          <w:sz w:val="31"/>
        </w:rPr>
      </w:pPr>
    </w:p>
    <w:p>
      <w:pPr>
        <w:pStyle w:val="ListParagraph"/>
        <w:numPr>
          <w:ilvl w:val="0"/>
          <w:numId w:val="1"/>
        </w:numPr>
        <w:tabs>
          <w:tab w:pos="925" w:val="left" w:leader="none"/>
        </w:tabs>
        <w:spacing w:line="360" w:lineRule="auto" w:before="1" w:after="0"/>
        <w:ind w:left="564" w:right="324" w:firstLine="0"/>
        <w:jc w:val="both"/>
        <w:rPr>
          <w:sz w:val="24"/>
        </w:rPr>
      </w:pPr>
      <w:r>
        <w:rPr>
          <w:sz w:val="24"/>
        </w:rPr>
        <w:t>So</w:t>
      </w:r>
      <w:r>
        <w:rPr>
          <w:spacing w:val="-4"/>
          <w:sz w:val="24"/>
        </w:rPr>
        <w:t> </w:t>
      </w:r>
      <w:r>
        <w:rPr>
          <w:sz w:val="24"/>
        </w:rPr>
        <w:t>far</w:t>
      </w:r>
      <w:r>
        <w:rPr>
          <w:spacing w:val="-5"/>
          <w:sz w:val="24"/>
        </w:rPr>
        <w:t> </w:t>
      </w:r>
      <w:r>
        <w:rPr>
          <w:sz w:val="24"/>
        </w:rPr>
        <w:t>as</w:t>
      </w:r>
      <w:r>
        <w:rPr>
          <w:spacing w:val="-5"/>
          <w:sz w:val="24"/>
        </w:rPr>
        <w:t> </w:t>
      </w:r>
      <w:r>
        <w:rPr>
          <w:sz w:val="24"/>
        </w:rPr>
        <w:t>money</w:t>
      </w:r>
      <w:r>
        <w:rPr>
          <w:spacing w:val="-5"/>
          <w:sz w:val="24"/>
        </w:rPr>
        <w:t> </w:t>
      </w:r>
      <w:r>
        <w:rPr>
          <w:sz w:val="24"/>
        </w:rPr>
        <w:t>was</w:t>
      </w:r>
      <w:r>
        <w:rPr>
          <w:spacing w:val="-5"/>
          <w:sz w:val="24"/>
        </w:rPr>
        <w:t> </w:t>
      </w:r>
      <w:r>
        <w:rPr>
          <w:sz w:val="24"/>
        </w:rPr>
        <w:t>concerned,</w:t>
      </w:r>
      <w:r>
        <w:rPr>
          <w:spacing w:val="-4"/>
          <w:sz w:val="24"/>
        </w:rPr>
        <w:t> </w:t>
      </w:r>
      <w:r>
        <w:rPr>
          <w:sz w:val="24"/>
        </w:rPr>
        <w:t>growth</w:t>
      </w:r>
      <w:r>
        <w:rPr>
          <w:spacing w:val="-5"/>
          <w:sz w:val="24"/>
        </w:rPr>
        <w:t> </w:t>
      </w:r>
      <w:r>
        <w:rPr>
          <w:sz w:val="24"/>
        </w:rPr>
        <w:t>rates</w:t>
      </w:r>
      <w:r>
        <w:rPr>
          <w:spacing w:val="-3"/>
          <w:sz w:val="24"/>
        </w:rPr>
        <w:t> </w:t>
      </w:r>
      <w:r>
        <w:rPr>
          <w:sz w:val="24"/>
        </w:rPr>
        <w:t>for</w:t>
      </w:r>
      <w:r>
        <w:rPr>
          <w:spacing w:val="-5"/>
          <w:sz w:val="24"/>
        </w:rPr>
        <w:t> </w:t>
      </w:r>
      <w:r>
        <w:rPr>
          <w:sz w:val="24"/>
        </w:rPr>
        <w:t>M4</w:t>
      </w:r>
      <w:r>
        <w:rPr>
          <w:spacing w:val="-5"/>
          <w:sz w:val="24"/>
        </w:rPr>
        <w:t> </w:t>
      </w:r>
      <w:r>
        <w:rPr>
          <w:sz w:val="24"/>
        </w:rPr>
        <w:t>had</w:t>
      </w:r>
      <w:r>
        <w:rPr>
          <w:spacing w:val="-5"/>
          <w:sz w:val="24"/>
        </w:rPr>
        <w:t> </w:t>
      </w:r>
      <w:r>
        <w:rPr>
          <w:sz w:val="24"/>
        </w:rPr>
        <w:t>continued</w:t>
      </w:r>
      <w:r>
        <w:rPr>
          <w:spacing w:val="-5"/>
          <w:sz w:val="24"/>
        </w:rPr>
        <w:t> </w:t>
      </w:r>
      <w:r>
        <w:rPr>
          <w:spacing w:val="2"/>
          <w:sz w:val="24"/>
        </w:rPr>
        <w:t>to</w:t>
      </w:r>
      <w:r>
        <w:rPr>
          <w:spacing w:val="1"/>
          <w:sz w:val="24"/>
        </w:rPr>
        <w:t> </w:t>
      </w:r>
      <w:r>
        <w:rPr>
          <w:sz w:val="24"/>
        </w:rPr>
        <w:t>slow,</w:t>
      </w:r>
      <w:r>
        <w:rPr>
          <w:spacing w:val="-5"/>
          <w:sz w:val="24"/>
        </w:rPr>
        <w:t> </w:t>
      </w:r>
      <w:r>
        <w:rPr>
          <w:sz w:val="24"/>
        </w:rPr>
        <w:t>as</w:t>
      </w:r>
      <w:r>
        <w:rPr>
          <w:spacing w:val="-5"/>
          <w:sz w:val="24"/>
        </w:rPr>
        <w:t> </w:t>
      </w:r>
      <w:r>
        <w:rPr>
          <w:sz w:val="24"/>
        </w:rPr>
        <w:t>expected,</w:t>
      </w:r>
      <w:r>
        <w:rPr>
          <w:spacing w:val="-4"/>
          <w:sz w:val="24"/>
        </w:rPr>
        <w:t> </w:t>
      </w:r>
      <w:r>
        <w:rPr>
          <w:sz w:val="24"/>
        </w:rPr>
        <w:t>with</w:t>
      </w:r>
      <w:r>
        <w:rPr>
          <w:spacing w:val="-5"/>
          <w:sz w:val="24"/>
        </w:rPr>
        <w:t> </w:t>
      </w:r>
      <w:r>
        <w:rPr>
          <w:sz w:val="24"/>
        </w:rPr>
        <w:t>a sharp</w:t>
      </w:r>
      <w:r>
        <w:rPr>
          <w:spacing w:val="-9"/>
          <w:sz w:val="24"/>
        </w:rPr>
        <w:t> </w:t>
      </w:r>
      <w:r>
        <w:rPr>
          <w:sz w:val="24"/>
        </w:rPr>
        <w:t>decrease</w:t>
      </w:r>
      <w:r>
        <w:rPr>
          <w:spacing w:val="-8"/>
          <w:sz w:val="24"/>
        </w:rPr>
        <w:t> </w:t>
      </w:r>
      <w:r>
        <w:rPr>
          <w:sz w:val="24"/>
        </w:rPr>
        <w:t>in</w:t>
      </w:r>
      <w:r>
        <w:rPr>
          <w:spacing w:val="-8"/>
          <w:sz w:val="24"/>
        </w:rPr>
        <w:t> </w:t>
      </w:r>
      <w:r>
        <w:rPr>
          <w:sz w:val="24"/>
        </w:rPr>
        <w:t>the</w:t>
      </w:r>
      <w:r>
        <w:rPr>
          <w:spacing w:val="-8"/>
          <w:sz w:val="24"/>
        </w:rPr>
        <w:t> </w:t>
      </w:r>
      <w:r>
        <w:rPr>
          <w:sz w:val="24"/>
        </w:rPr>
        <w:t>contribution</w:t>
      </w:r>
      <w:r>
        <w:rPr>
          <w:spacing w:val="-8"/>
          <w:sz w:val="24"/>
        </w:rPr>
        <w:t> </w:t>
      </w:r>
      <w:r>
        <w:rPr>
          <w:sz w:val="24"/>
        </w:rPr>
        <w:t>from</w:t>
      </w:r>
      <w:r>
        <w:rPr>
          <w:spacing w:val="-8"/>
          <w:sz w:val="24"/>
        </w:rPr>
        <w:t> </w:t>
      </w:r>
      <w:r>
        <w:rPr>
          <w:spacing w:val="4"/>
          <w:sz w:val="24"/>
        </w:rPr>
        <w:t>other</w:t>
      </w:r>
      <w:r>
        <w:rPr>
          <w:spacing w:val="-4"/>
          <w:sz w:val="24"/>
        </w:rPr>
        <w:t> </w:t>
      </w:r>
      <w:r>
        <w:rPr>
          <w:sz w:val="24"/>
        </w:rPr>
        <w:t>financial</w:t>
      </w:r>
      <w:r>
        <w:rPr>
          <w:spacing w:val="-8"/>
          <w:sz w:val="24"/>
        </w:rPr>
        <w:t> </w:t>
      </w:r>
      <w:r>
        <w:rPr>
          <w:sz w:val="24"/>
        </w:rPr>
        <w:t>corporations</w:t>
      </w:r>
      <w:r>
        <w:rPr>
          <w:spacing w:val="-8"/>
          <w:sz w:val="24"/>
        </w:rPr>
        <w:t> </w:t>
      </w:r>
      <w:r>
        <w:rPr>
          <w:sz w:val="24"/>
        </w:rPr>
        <w:t>(OFCs).</w:t>
      </w:r>
      <w:r>
        <w:rPr>
          <w:spacing w:val="46"/>
          <w:sz w:val="24"/>
        </w:rPr>
        <w:t> </w:t>
      </w:r>
      <w:r>
        <w:rPr>
          <w:sz w:val="24"/>
        </w:rPr>
        <w:t>Growth</w:t>
      </w:r>
      <w:r>
        <w:rPr>
          <w:spacing w:val="-8"/>
          <w:sz w:val="24"/>
        </w:rPr>
        <w:t> </w:t>
      </w:r>
      <w:r>
        <w:rPr>
          <w:sz w:val="24"/>
        </w:rPr>
        <w:t>in</w:t>
      </w:r>
      <w:r>
        <w:rPr>
          <w:spacing w:val="-8"/>
          <w:sz w:val="24"/>
        </w:rPr>
        <w:t> </w:t>
      </w:r>
      <w:r>
        <w:rPr>
          <w:sz w:val="24"/>
        </w:rPr>
        <w:t>M4</w:t>
      </w:r>
      <w:r>
        <w:rPr>
          <w:spacing w:val="-8"/>
          <w:sz w:val="24"/>
        </w:rPr>
        <w:t> </w:t>
      </w:r>
      <w:r>
        <w:rPr>
          <w:sz w:val="24"/>
        </w:rPr>
        <w:t>lending had also slowed</w:t>
      </w:r>
      <w:r>
        <w:rPr>
          <w:spacing w:val="7"/>
          <w:sz w:val="24"/>
        </w:rPr>
        <w:t> </w:t>
      </w:r>
      <w:r>
        <w:rPr>
          <w:sz w:val="24"/>
        </w:rPr>
        <w:t>further.</w:t>
      </w:r>
    </w:p>
    <w:p>
      <w:pPr>
        <w:pStyle w:val="BodyText"/>
        <w:spacing w:before="9"/>
        <w:rPr>
          <w:sz w:val="31"/>
        </w:rPr>
      </w:pPr>
    </w:p>
    <w:p>
      <w:pPr>
        <w:pStyle w:val="Heading2"/>
        <w:jc w:val="both"/>
      </w:pPr>
      <w:r>
        <w:rPr/>
        <w:t>Demand and output</w:t>
      </w:r>
    </w:p>
    <w:p>
      <w:pPr>
        <w:pStyle w:val="BodyText"/>
        <w:rPr>
          <w:b/>
          <w:sz w:val="26"/>
        </w:rPr>
      </w:pPr>
    </w:p>
    <w:p>
      <w:pPr>
        <w:pStyle w:val="ListParagraph"/>
        <w:numPr>
          <w:ilvl w:val="0"/>
          <w:numId w:val="1"/>
        </w:numPr>
        <w:tabs>
          <w:tab w:pos="924" w:val="left" w:leader="none"/>
          <w:tab w:pos="925" w:val="left" w:leader="none"/>
        </w:tabs>
        <w:spacing w:line="360" w:lineRule="auto" w:before="193" w:after="0"/>
        <w:ind w:left="564" w:right="245" w:firstLine="0"/>
        <w:jc w:val="left"/>
        <w:rPr>
          <w:sz w:val="24"/>
        </w:rPr>
      </w:pPr>
      <w:r>
        <w:rPr>
          <w:sz w:val="24"/>
        </w:rPr>
        <w:t>The Committee discussed the revisions made </w:t>
      </w:r>
      <w:r>
        <w:rPr>
          <w:spacing w:val="3"/>
          <w:sz w:val="24"/>
        </w:rPr>
        <w:t>to </w:t>
      </w:r>
      <w:r>
        <w:rPr>
          <w:sz w:val="24"/>
        </w:rPr>
        <w:t>the estimates </w:t>
      </w:r>
      <w:r>
        <w:rPr>
          <w:spacing w:val="2"/>
          <w:sz w:val="24"/>
        </w:rPr>
        <w:t>of </w:t>
      </w:r>
      <w:r>
        <w:rPr>
          <w:sz w:val="24"/>
        </w:rPr>
        <w:t>the level and composition </w:t>
      </w:r>
      <w:r>
        <w:rPr>
          <w:spacing w:val="3"/>
          <w:sz w:val="24"/>
        </w:rPr>
        <w:t>of </w:t>
      </w:r>
      <w:r>
        <w:rPr>
          <w:sz w:val="24"/>
        </w:rPr>
        <w:t>GDP for 1997 and 1998. Since the February </w:t>
      </w:r>
      <w:r>
        <w:rPr>
          <w:i/>
          <w:sz w:val="24"/>
        </w:rPr>
        <w:t>Inflation Report, </w:t>
      </w:r>
      <w:r>
        <w:rPr>
          <w:sz w:val="24"/>
        </w:rPr>
        <w:t>the estimated level </w:t>
      </w:r>
      <w:r>
        <w:rPr>
          <w:spacing w:val="2"/>
          <w:sz w:val="24"/>
        </w:rPr>
        <w:t>of </w:t>
      </w:r>
      <w:r>
        <w:rPr>
          <w:sz w:val="24"/>
        </w:rPr>
        <w:t>GDP at market prices in 1998 Q4 had been reduced by ½ %, although by </w:t>
      </w:r>
      <w:r>
        <w:rPr>
          <w:spacing w:val="3"/>
          <w:sz w:val="24"/>
        </w:rPr>
        <w:t>only </w:t>
      </w:r>
      <w:r>
        <w:rPr>
          <w:sz w:val="24"/>
        </w:rPr>
        <w:t>¼ % when measured at basic prices. This had consequences for measures </w:t>
      </w:r>
      <w:r>
        <w:rPr>
          <w:spacing w:val="2"/>
          <w:sz w:val="24"/>
        </w:rPr>
        <w:t>of </w:t>
      </w:r>
      <w:r>
        <w:rPr>
          <w:sz w:val="24"/>
        </w:rPr>
        <w:t>the </w:t>
      </w:r>
      <w:r>
        <w:rPr>
          <w:spacing w:val="4"/>
          <w:sz w:val="24"/>
        </w:rPr>
        <w:t>output </w:t>
      </w:r>
      <w:r>
        <w:rPr>
          <w:sz w:val="24"/>
        </w:rPr>
        <w:t>gap and labour productivity. The implications for future price developments were unclear. On </w:t>
      </w:r>
      <w:r>
        <w:rPr>
          <w:spacing w:val="3"/>
          <w:sz w:val="24"/>
        </w:rPr>
        <w:t>one </w:t>
      </w:r>
      <w:r>
        <w:rPr>
          <w:sz w:val="24"/>
        </w:rPr>
        <w:t>interpretation, this implied that there was less pressure </w:t>
      </w:r>
      <w:r>
        <w:rPr>
          <w:spacing w:val="2"/>
          <w:sz w:val="24"/>
        </w:rPr>
        <w:t>on </w:t>
      </w:r>
      <w:r>
        <w:rPr>
          <w:sz w:val="24"/>
        </w:rPr>
        <w:t>capacity and that, given the lags involved, the effects </w:t>
      </w:r>
      <w:r>
        <w:rPr>
          <w:spacing w:val="2"/>
          <w:sz w:val="24"/>
        </w:rPr>
        <w:t>of </w:t>
      </w:r>
      <w:r>
        <w:rPr>
          <w:sz w:val="24"/>
        </w:rPr>
        <w:t>slower GDP growth had yet </w:t>
      </w:r>
      <w:r>
        <w:rPr>
          <w:spacing w:val="3"/>
          <w:sz w:val="24"/>
        </w:rPr>
        <w:t>to </w:t>
      </w:r>
      <w:r>
        <w:rPr>
          <w:sz w:val="24"/>
        </w:rPr>
        <w:t>feed through fully into lower inflation. On an alternative view, it suggested a less</w:t>
      </w:r>
      <w:r>
        <w:rPr>
          <w:spacing w:val="-7"/>
          <w:sz w:val="24"/>
        </w:rPr>
        <w:t> </w:t>
      </w:r>
      <w:r>
        <w:rPr>
          <w:sz w:val="24"/>
        </w:rPr>
        <w:t>favourable</w:t>
      </w:r>
    </w:p>
    <w:p>
      <w:pPr>
        <w:pStyle w:val="BodyText"/>
        <w:spacing w:line="360" w:lineRule="auto" w:before="2"/>
        <w:ind w:left="564"/>
      </w:pPr>
      <w:r>
        <w:rPr/>
        <w:t>short-run trade-off between activity and inflation; inflation was unchanged and either capacity utilisation was lower, core inflation higher or estimates of capacity had been reduced. But the size of the changes had not been large, and it was not clear on either view how much significance should be attached to this.</w:t>
      </w:r>
    </w:p>
    <w:p>
      <w:pPr>
        <w:pStyle w:val="BodyText"/>
        <w:spacing w:before="3"/>
        <w:rPr>
          <w:sz w:val="31"/>
        </w:rPr>
      </w:pPr>
    </w:p>
    <w:p>
      <w:pPr>
        <w:pStyle w:val="ListParagraph"/>
        <w:numPr>
          <w:ilvl w:val="0"/>
          <w:numId w:val="1"/>
        </w:numPr>
        <w:tabs>
          <w:tab w:pos="925" w:val="left" w:leader="none"/>
        </w:tabs>
        <w:spacing w:line="360" w:lineRule="auto" w:before="0" w:after="0"/>
        <w:ind w:left="564" w:right="219" w:firstLine="0"/>
        <w:jc w:val="both"/>
        <w:rPr>
          <w:sz w:val="24"/>
        </w:rPr>
      </w:pPr>
      <w:r>
        <w:rPr>
          <w:sz w:val="24"/>
        </w:rPr>
        <w:t>Estimates</w:t>
      </w:r>
      <w:r>
        <w:rPr>
          <w:spacing w:val="-2"/>
          <w:sz w:val="24"/>
        </w:rPr>
        <w:t> </w:t>
      </w:r>
      <w:r>
        <w:rPr>
          <w:sz w:val="24"/>
        </w:rPr>
        <w:t>for</w:t>
      </w:r>
      <w:r>
        <w:rPr>
          <w:spacing w:val="-4"/>
          <w:sz w:val="24"/>
        </w:rPr>
        <w:t> </w:t>
      </w:r>
      <w:r>
        <w:rPr>
          <w:sz w:val="24"/>
        </w:rPr>
        <w:t>the</w:t>
      </w:r>
      <w:r>
        <w:rPr>
          <w:spacing w:val="-4"/>
          <w:sz w:val="24"/>
        </w:rPr>
        <w:t> </w:t>
      </w:r>
      <w:r>
        <w:rPr>
          <w:sz w:val="24"/>
        </w:rPr>
        <w:t>growth</w:t>
      </w:r>
      <w:r>
        <w:rPr>
          <w:spacing w:val="-4"/>
          <w:sz w:val="24"/>
        </w:rPr>
        <w:t> </w:t>
      </w:r>
      <w:r>
        <w:rPr>
          <w:spacing w:val="2"/>
          <w:sz w:val="24"/>
        </w:rPr>
        <w:t>of</w:t>
      </w:r>
      <w:r>
        <w:rPr>
          <w:spacing w:val="1"/>
          <w:sz w:val="24"/>
        </w:rPr>
        <w:t> </w:t>
      </w:r>
      <w:r>
        <w:rPr>
          <w:sz w:val="24"/>
        </w:rPr>
        <w:t>GDP</w:t>
      </w:r>
      <w:r>
        <w:rPr>
          <w:spacing w:val="-3"/>
          <w:sz w:val="24"/>
        </w:rPr>
        <w:t> </w:t>
      </w:r>
      <w:r>
        <w:rPr>
          <w:sz w:val="24"/>
        </w:rPr>
        <w:t>in</w:t>
      </w:r>
      <w:r>
        <w:rPr>
          <w:spacing w:val="-4"/>
          <w:sz w:val="24"/>
        </w:rPr>
        <w:t> </w:t>
      </w:r>
      <w:r>
        <w:rPr>
          <w:sz w:val="24"/>
        </w:rPr>
        <w:t>1998</w:t>
      </w:r>
      <w:r>
        <w:rPr>
          <w:spacing w:val="-4"/>
          <w:sz w:val="24"/>
        </w:rPr>
        <w:t> </w:t>
      </w:r>
      <w:r>
        <w:rPr>
          <w:sz w:val="24"/>
        </w:rPr>
        <w:t>Q4</w:t>
      </w:r>
      <w:r>
        <w:rPr>
          <w:spacing w:val="-4"/>
          <w:sz w:val="24"/>
        </w:rPr>
        <w:t> </w:t>
      </w:r>
      <w:r>
        <w:rPr>
          <w:sz w:val="24"/>
        </w:rPr>
        <w:t>had</w:t>
      </w:r>
      <w:r>
        <w:rPr>
          <w:spacing w:val="-3"/>
          <w:sz w:val="24"/>
        </w:rPr>
        <w:t> </w:t>
      </w:r>
      <w:r>
        <w:rPr>
          <w:sz w:val="24"/>
        </w:rPr>
        <w:t>also</w:t>
      </w:r>
      <w:r>
        <w:rPr>
          <w:spacing w:val="-4"/>
          <w:sz w:val="24"/>
        </w:rPr>
        <w:t> </w:t>
      </w:r>
      <w:r>
        <w:rPr>
          <w:sz w:val="24"/>
        </w:rPr>
        <w:t>been</w:t>
      </w:r>
      <w:r>
        <w:rPr>
          <w:spacing w:val="-4"/>
          <w:sz w:val="24"/>
        </w:rPr>
        <w:t> </w:t>
      </w:r>
      <w:r>
        <w:rPr>
          <w:sz w:val="24"/>
        </w:rPr>
        <w:t>revised</w:t>
      </w:r>
      <w:r>
        <w:rPr>
          <w:spacing w:val="-3"/>
          <w:sz w:val="24"/>
        </w:rPr>
        <w:t> </w:t>
      </w:r>
      <w:r>
        <w:rPr>
          <w:sz w:val="24"/>
        </w:rPr>
        <w:t>downwards,</w:t>
      </w:r>
      <w:r>
        <w:rPr>
          <w:spacing w:val="-3"/>
          <w:sz w:val="24"/>
        </w:rPr>
        <w:t> </w:t>
      </w:r>
      <w:r>
        <w:rPr>
          <w:spacing w:val="2"/>
          <w:sz w:val="24"/>
        </w:rPr>
        <w:t>to</w:t>
      </w:r>
      <w:r>
        <w:rPr>
          <w:spacing w:val="1"/>
          <w:sz w:val="24"/>
        </w:rPr>
        <w:t> </w:t>
      </w:r>
      <w:r>
        <w:rPr>
          <w:sz w:val="24"/>
        </w:rPr>
        <w:t>0.1%</w:t>
      </w:r>
      <w:r>
        <w:rPr>
          <w:spacing w:val="-4"/>
          <w:sz w:val="24"/>
        </w:rPr>
        <w:t> </w:t>
      </w:r>
      <w:r>
        <w:rPr>
          <w:spacing w:val="3"/>
          <w:sz w:val="24"/>
        </w:rPr>
        <w:t>over</w:t>
      </w:r>
      <w:r>
        <w:rPr>
          <w:spacing w:val="1"/>
          <w:sz w:val="24"/>
        </w:rPr>
        <w:t> </w:t>
      </w:r>
      <w:r>
        <w:rPr>
          <w:sz w:val="24"/>
        </w:rPr>
        <w:t>the previous quarter. Within this total, the weakest demand components had been</w:t>
      </w:r>
      <w:r>
        <w:rPr>
          <w:spacing w:val="-22"/>
          <w:sz w:val="24"/>
        </w:rPr>
        <w:t> </w:t>
      </w:r>
      <w:r>
        <w:rPr>
          <w:sz w:val="24"/>
        </w:rPr>
        <w:t>government</w:t>
      </w:r>
    </w:p>
    <w:p>
      <w:pPr>
        <w:spacing w:after="0" w:line="360" w:lineRule="auto"/>
        <w:jc w:val="both"/>
        <w:rPr>
          <w:sz w:val="24"/>
        </w:rPr>
        <w:sectPr>
          <w:headerReference w:type="default" r:id="rId7"/>
          <w:pgSz w:w="11900" w:h="16840"/>
          <w:pgMar w:header="743" w:footer="0" w:top="1160" w:bottom="280" w:left="880" w:right="580"/>
          <w:pgNumType w:start="2"/>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08"/>
      </w:pPr>
      <w:r>
        <w:rPr/>
        <w:t>consumption and net trade. In contrast private consumption and investment had been revised up, significantly so in the case of business investment. At the same time, the downwards revision to inventories suggested that the risks of a significant stock cycle in 1999 had diminished, particularly since stocks held by manufacturers and retailers appeared under control. This interpretation was in line with earlier survey evidence for these sectors. But because of the downwards revision to the level of GDP, the estimated stock-output ratio was little changed.</w:t>
      </w:r>
    </w:p>
    <w:p>
      <w:pPr>
        <w:pStyle w:val="BodyText"/>
        <w:spacing w:before="6"/>
        <w:rPr>
          <w:sz w:val="31"/>
        </w:rPr>
      </w:pPr>
    </w:p>
    <w:p>
      <w:pPr>
        <w:pStyle w:val="ListParagraph"/>
        <w:numPr>
          <w:ilvl w:val="0"/>
          <w:numId w:val="1"/>
        </w:numPr>
        <w:tabs>
          <w:tab w:pos="924" w:val="left" w:leader="none"/>
          <w:tab w:pos="925" w:val="left" w:leader="none"/>
        </w:tabs>
        <w:spacing w:line="360" w:lineRule="auto" w:before="0" w:after="0"/>
        <w:ind w:left="564" w:right="329" w:firstLine="0"/>
        <w:jc w:val="left"/>
        <w:rPr>
          <w:sz w:val="24"/>
        </w:rPr>
      </w:pPr>
      <w:r>
        <w:rPr>
          <w:sz w:val="24"/>
        </w:rPr>
        <w:t>Retail</w:t>
      </w:r>
      <w:r>
        <w:rPr>
          <w:spacing w:val="-4"/>
          <w:sz w:val="24"/>
        </w:rPr>
        <w:t> </w:t>
      </w:r>
      <w:r>
        <w:rPr>
          <w:sz w:val="24"/>
        </w:rPr>
        <w:t>sales</w:t>
      </w:r>
      <w:r>
        <w:rPr>
          <w:spacing w:val="-4"/>
          <w:sz w:val="24"/>
        </w:rPr>
        <w:t> </w:t>
      </w:r>
      <w:r>
        <w:rPr>
          <w:sz w:val="24"/>
        </w:rPr>
        <w:t>volumes</w:t>
      </w:r>
      <w:r>
        <w:rPr>
          <w:spacing w:val="-3"/>
          <w:sz w:val="24"/>
        </w:rPr>
        <w:t> </w:t>
      </w:r>
      <w:r>
        <w:rPr>
          <w:sz w:val="24"/>
        </w:rPr>
        <w:t>had</w:t>
      </w:r>
      <w:r>
        <w:rPr>
          <w:spacing w:val="-4"/>
          <w:sz w:val="24"/>
        </w:rPr>
        <w:t> </w:t>
      </w:r>
      <w:r>
        <w:rPr>
          <w:sz w:val="24"/>
        </w:rPr>
        <w:t>declined</w:t>
      </w:r>
      <w:r>
        <w:rPr>
          <w:spacing w:val="-4"/>
          <w:sz w:val="24"/>
        </w:rPr>
        <w:t> </w:t>
      </w:r>
      <w:r>
        <w:rPr>
          <w:sz w:val="24"/>
        </w:rPr>
        <w:t>in</w:t>
      </w:r>
      <w:r>
        <w:rPr>
          <w:spacing w:val="-3"/>
          <w:sz w:val="24"/>
        </w:rPr>
        <w:t> </w:t>
      </w:r>
      <w:r>
        <w:rPr>
          <w:sz w:val="24"/>
        </w:rPr>
        <w:t>February,</w:t>
      </w:r>
      <w:r>
        <w:rPr>
          <w:spacing w:val="-4"/>
          <w:sz w:val="24"/>
        </w:rPr>
        <w:t> </w:t>
      </w:r>
      <w:r>
        <w:rPr>
          <w:sz w:val="24"/>
        </w:rPr>
        <w:t>and</w:t>
      </w:r>
      <w:r>
        <w:rPr>
          <w:spacing w:val="-4"/>
          <w:sz w:val="24"/>
        </w:rPr>
        <w:t> </w:t>
      </w:r>
      <w:r>
        <w:rPr>
          <w:spacing w:val="3"/>
          <w:sz w:val="24"/>
        </w:rPr>
        <w:t>on</w:t>
      </w:r>
      <w:r>
        <w:rPr>
          <w:sz w:val="24"/>
        </w:rPr>
        <w:t> a</w:t>
      </w:r>
      <w:r>
        <w:rPr>
          <w:spacing w:val="-3"/>
          <w:sz w:val="24"/>
        </w:rPr>
        <w:t> </w:t>
      </w:r>
      <w:r>
        <w:rPr>
          <w:sz w:val="24"/>
        </w:rPr>
        <w:t>three</w:t>
      </w:r>
      <w:r>
        <w:rPr>
          <w:spacing w:val="-4"/>
          <w:sz w:val="24"/>
        </w:rPr>
        <w:t> </w:t>
      </w:r>
      <w:r>
        <w:rPr>
          <w:sz w:val="24"/>
        </w:rPr>
        <w:t>month</w:t>
      </w:r>
      <w:r>
        <w:rPr>
          <w:spacing w:val="-4"/>
          <w:sz w:val="24"/>
        </w:rPr>
        <w:t> </w:t>
      </w:r>
      <w:r>
        <w:rPr>
          <w:sz w:val="24"/>
        </w:rPr>
        <w:t>average</w:t>
      </w:r>
      <w:r>
        <w:rPr>
          <w:spacing w:val="-3"/>
          <w:sz w:val="24"/>
        </w:rPr>
        <w:t> </w:t>
      </w:r>
      <w:r>
        <w:rPr>
          <w:sz w:val="24"/>
        </w:rPr>
        <w:t>had</w:t>
      </w:r>
      <w:r>
        <w:rPr>
          <w:spacing w:val="-4"/>
          <w:sz w:val="24"/>
        </w:rPr>
        <w:t> </w:t>
      </w:r>
      <w:r>
        <w:rPr>
          <w:sz w:val="24"/>
        </w:rPr>
        <w:t>been</w:t>
      </w:r>
      <w:r>
        <w:rPr>
          <w:spacing w:val="-4"/>
          <w:sz w:val="24"/>
        </w:rPr>
        <w:t> </w:t>
      </w:r>
      <w:r>
        <w:rPr>
          <w:spacing w:val="4"/>
          <w:sz w:val="24"/>
        </w:rPr>
        <w:t>only</w:t>
      </w:r>
      <w:r>
        <w:rPr>
          <w:sz w:val="24"/>
        </w:rPr>
        <w:t> 1% above the levels </w:t>
      </w:r>
      <w:r>
        <w:rPr>
          <w:spacing w:val="2"/>
          <w:sz w:val="24"/>
        </w:rPr>
        <w:t>of </w:t>
      </w:r>
      <w:r>
        <w:rPr>
          <w:sz w:val="24"/>
        </w:rPr>
        <w:t>a year earlier. But the CBI distributive trades survey suggested that a trough might have been </w:t>
      </w:r>
      <w:r>
        <w:rPr>
          <w:spacing w:val="2"/>
          <w:sz w:val="24"/>
        </w:rPr>
        <w:t>reached, </w:t>
      </w:r>
      <w:r>
        <w:rPr>
          <w:sz w:val="24"/>
        </w:rPr>
        <w:t>and spending </w:t>
      </w:r>
      <w:r>
        <w:rPr>
          <w:spacing w:val="3"/>
          <w:sz w:val="24"/>
        </w:rPr>
        <w:t>on </w:t>
      </w:r>
      <w:r>
        <w:rPr>
          <w:sz w:val="24"/>
        </w:rPr>
        <w:t>services, which was not included in </w:t>
      </w:r>
      <w:r>
        <w:rPr>
          <w:spacing w:val="2"/>
          <w:sz w:val="24"/>
        </w:rPr>
        <w:t>retail </w:t>
      </w:r>
      <w:r>
        <w:rPr>
          <w:sz w:val="24"/>
        </w:rPr>
        <w:t>sales, had continued </w:t>
      </w:r>
      <w:r>
        <w:rPr>
          <w:spacing w:val="3"/>
          <w:sz w:val="24"/>
        </w:rPr>
        <w:t>to </w:t>
      </w:r>
      <w:r>
        <w:rPr>
          <w:sz w:val="24"/>
        </w:rPr>
        <w:t>grow faster than spending </w:t>
      </w:r>
      <w:r>
        <w:rPr>
          <w:spacing w:val="2"/>
          <w:sz w:val="24"/>
        </w:rPr>
        <w:t>on </w:t>
      </w:r>
      <w:r>
        <w:rPr>
          <w:sz w:val="24"/>
        </w:rPr>
        <w:t>goods. The GfK consumer confidence index was now positive</w:t>
      </w:r>
      <w:r>
        <w:rPr>
          <w:spacing w:val="-9"/>
          <w:sz w:val="24"/>
        </w:rPr>
        <w:t> </w:t>
      </w:r>
      <w:r>
        <w:rPr>
          <w:sz w:val="24"/>
        </w:rPr>
        <w:t>for</w:t>
      </w:r>
      <w:r>
        <w:rPr>
          <w:spacing w:val="-8"/>
          <w:sz w:val="24"/>
        </w:rPr>
        <w:t> </w:t>
      </w:r>
      <w:r>
        <w:rPr>
          <w:sz w:val="24"/>
        </w:rPr>
        <w:t>the</w:t>
      </w:r>
      <w:r>
        <w:rPr>
          <w:spacing w:val="-8"/>
          <w:sz w:val="24"/>
        </w:rPr>
        <w:t> </w:t>
      </w:r>
      <w:r>
        <w:rPr>
          <w:sz w:val="24"/>
        </w:rPr>
        <w:t>first</w:t>
      </w:r>
      <w:r>
        <w:rPr>
          <w:spacing w:val="-3"/>
          <w:sz w:val="24"/>
        </w:rPr>
        <w:t> </w:t>
      </w:r>
      <w:r>
        <w:rPr>
          <w:sz w:val="24"/>
        </w:rPr>
        <w:t>time</w:t>
      </w:r>
      <w:r>
        <w:rPr>
          <w:spacing w:val="-9"/>
          <w:sz w:val="24"/>
        </w:rPr>
        <w:t> </w:t>
      </w:r>
      <w:r>
        <w:rPr>
          <w:sz w:val="24"/>
        </w:rPr>
        <w:t>in</w:t>
      </w:r>
      <w:r>
        <w:rPr>
          <w:spacing w:val="-8"/>
          <w:sz w:val="24"/>
        </w:rPr>
        <w:t> </w:t>
      </w:r>
      <w:r>
        <w:rPr>
          <w:sz w:val="24"/>
        </w:rPr>
        <w:t>nine</w:t>
      </w:r>
      <w:r>
        <w:rPr>
          <w:spacing w:val="-8"/>
          <w:sz w:val="24"/>
        </w:rPr>
        <w:t> </w:t>
      </w:r>
      <w:r>
        <w:rPr>
          <w:sz w:val="24"/>
        </w:rPr>
        <w:t>months.</w:t>
      </w:r>
      <w:r>
        <w:rPr>
          <w:spacing w:val="43"/>
          <w:sz w:val="24"/>
        </w:rPr>
        <w:t> </w:t>
      </w:r>
      <w:r>
        <w:rPr>
          <w:sz w:val="24"/>
        </w:rPr>
        <w:t>When</w:t>
      </w:r>
      <w:r>
        <w:rPr>
          <w:spacing w:val="-8"/>
          <w:sz w:val="24"/>
        </w:rPr>
        <w:t> </w:t>
      </w:r>
      <w:r>
        <w:rPr>
          <w:sz w:val="24"/>
        </w:rPr>
        <w:t>taken</w:t>
      </w:r>
      <w:r>
        <w:rPr>
          <w:spacing w:val="-8"/>
          <w:sz w:val="24"/>
        </w:rPr>
        <w:t> </w:t>
      </w:r>
      <w:r>
        <w:rPr>
          <w:sz w:val="24"/>
        </w:rPr>
        <w:t>together</w:t>
      </w:r>
      <w:r>
        <w:rPr>
          <w:spacing w:val="-8"/>
          <w:sz w:val="24"/>
        </w:rPr>
        <w:t> </w:t>
      </w:r>
      <w:r>
        <w:rPr>
          <w:sz w:val="24"/>
        </w:rPr>
        <w:t>with</w:t>
      </w:r>
      <w:r>
        <w:rPr>
          <w:spacing w:val="-8"/>
          <w:sz w:val="24"/>
        </w:rPr>
        <w:t> </w:t>
      </w:r>
      <w:r>
        <w:rPr>
          <w:spacing w:val="4"/>
          <w:sz w:val="24"/>
        </w:rPr>
        <w:t>other</w:t>
      </w:r>
      <w:r>
        <w:rPr>
          <w:spacing w:val="-5"/>
          <w:sz w:val="24"/>
        </w:rPr>
        <w:t> </w:t>
      </w:r>
      <w:r>
        <w:rPr>
          <w:sz w:val="24"/>
        </w:rPr>
        <w:t>information</w:t>
      </w:r>
      <w:r>
        <w:rPr>
          <w:spacing w:val="-8"/>
          <w:sz w:val="24"/>
        </w:rPr>
        <w:t> </w:t>
      </w:r>
      <w:r>
        <w:rPr>
          <w:spacing w:val="2"/>
          <w:sz w:val="24"/>
        </w:rPr>
        <w:t>on</w:t>
      </w:r>
      <w:r>
        <w:rPr>
          <w:spacing w:val="-4"/>
          <w:sz w:val="24"/>
        </w:rPr>
        <w:t> </w:t>
      </w:r>
      <w:r>
        <w:rPr>
          <w:sz w:val="24"/>
        </w:rPr>
        <w:t>consumer spending,</w:t>
      </w:r>
      <w:r>
        <w:rPr>
          <w:spacing w:val="-7"/>
          <w:sz w:val="24"/>
        </w:rPr>
        <w:t> </w:t>
      </w:r>
      <w:r>
        <w:rPr>
          <w:sz w:val="24"/>
        </w:rPr>
        <w:t>the</w:t>
      </w:r>
      <w:r>
        <w:rPr>
          <w:spacing w:val="-6"/>
          <w:sz w:val="24"/>
        </w:rPr>
        <w:t> </w:t>
      </w:r>
      <w:r>
        <w:rPr>
          <w:sz w:val="24"/>
        </w:rPr>
        <w:t>data</w:t>
      </w:r>
      <w:r>
        <w:rPr>
          <w:spacing w:val="-6"/>
          <w:sz w:val="24"/>
        </w:rPr>
        <w:t> </w:t>
      </w:r>
      <w:r>
        <w:rPr>
          <w:sz w:val="24"/>
        </w:rPr>
        <w:t>appeared</w:t>
      </w:r>
      <w:r>
        <w:rPr>
          <w:spacing w:val="-6"/>
          <w:sz w:val="24"/>
        </w:rPr>
        <w:t> </w:t>
      </w:r>
      <w:r>
        <w:rPr>
          <w:sz w:val="24"/>
        </w:rPr>
        <w:t>in</w:t>
      </w:r>
      <w:r>
        <w:rPr>
          <w:spacing w:val="-6"/>
          <w:sz w:val="24"/>
        </w:rPr>
        <w:t> </w:t>
      </w:r>
      <w:r>
        <w:rPr>
          <w:sz w:val="24"/>
        </w:rPr>
        <w:t>line</w:t>
      </w:r>
      <w:r>
        <w:rPr>
          <w:spacing w:val="-6"/>
          <w:sz w:val="24"/>
        </w:rPr>
        <w:t> </w:t>
      </w:r>
      <w:r>
        <w:rPr>
          <w:sz w:val="24"/>
        </w:rPr>
        <w:t>with</w:t>
      </w:r>
      <w:r>
        <w:rPr>
          <w:spacing w:val="-6"/>
          <w:sz w:val="24"/>
        </w:rPr>
        <w:t> </w:t>
      </w:r>
      <w:r>
        <w:rPr>
          <w:sz w:val="24"/>
        </w:rPr>
        <w:t>the</w:t>
      </w:r>
      <w:r>
        <w:rPr>
          <w:spacing w:val="6"/>
          <w:sz w:val="24"/>
        </w:rPr>
        <w:t> </w:t>
      </w:r>
      <w:r>
        <w:rPr>
          <w:i/>
          <w:sz w:val="24"/>
        </w:rPr>
        <w:t>Inflation</w:t>
      </w:r>
      <w:r>
        <w:rPr>
          <w:i/>
          <w:spacing w:val="-6"/>
          <w:sz w:val="24"/>
        </w:rPr>
        <w:t> </w:t>
      </w:r>
      <w:r>
        <w:rPr>
          <w:i/>
          <w:sz w:val="24"/>
        </w:rPr>
        <w:t>Report</w:t>
      </w:r>
      <w:r>
        <w:rPr>
          <w:i/>
          <w:spacing w:val="-13"/>
          <w:sz w:val="24"/>
        </w:rPr>
        <w:t> </w:t>
      </w:r>
      <w:r>
        <w:rPr>
          <w:sz w:val="24"/>
        </w:rPr>
        <w:t>projections</w:t>
      </w:r>
      <w:r>
        <w:rPr>
          <w:spacing w:val="-4"/>
          <w:sz w:val="24"/>
        </w:rPr>
        <w:t> </w:t>
      </w:r>
      <w:r>
        <w:rPr>
          <w:sz w:val="24"/>
        </w:rPr>
        <w:t>for</w:t>
      </w:r>
      <w:r>
        <w:rPr>
          <w:spacing w:val="-5"/>
          <w:sz w:val="24"/>
        </w:rPr>
        <w:t> </w:t>
      </w:r>
      <w:r>
        <w:rPr>
          <w:sz w:val="24"/>
        </w:rPr>
        <w:t>consumption</w:t>
      </w:r>
      <w:r>
        <w:rPr>
          <w:spacing w:val="-4"/>
          <w:sz w:val="24"/>
        </w:rPr>
        <w:t> </w:t>
      </w:r>
      <w:r>
        <w:rPr>
          <w:sz w:val="24"/>
        </w:rPr>
        <w:t>in</w:t>
      </w:r>
      <w:r>
        <w:rPr>
          <w:spacing w:val="-4"/>
          <w:sz w:val="24"/>
        </w:rPr>
        <w:t> </w:t>
      </w:r>
      <w:r>
        <w:rPr>
          <w:sz w:val="24"/>
        </w:rPr>
        <w:t>the</w:t>
      </w:r>
      <w:r>
        <w:rPr>
          <w:spacing w:val="-5"/>
          <w:sz w:val="24"/>
        </w:rPr>
        <w:t> </w:t>
      </w:r>
      <w:r>
        <w:rPr>
          <w:sz w:val="24"/>
        </w:rPr>
        <w:t>first quarter of</w:t>
      </w:r>
      <w:r>
        <w:rPr>
          <w:spacing w:val="2"/>
          <w:sz w:val="24"/>
        </w:rPr>
        <w:t> </w:t>
      </w:r>
      <w:r>
        <w:rPr>
          <w:sz w:val="24"/>
        </w:rPr>
        <w:t>1999.</w:t>
      </w:r>
    </w:p>
    <w:p>
      <w:pPr>
        <w:pStyle w:val="BodyText"/>
        <w:rPr>
          <w:sz w:val="31"/>
        </w:rPr>
      </w:pPr>
    </w:p>
    <w:p>
      <w:pPr>
        <w:pStyle w:val="ListParagraph"/>
        <w:numPr>
          <w:ilvl w:val="0"/>
          <w:numId w:val="1"/>
        </w:numPr>
        <w:tabs>
          <w:tab w:pos="925" w:val="left" w:leader="none"/>
        </w:tabs>
        <w:spacing w:line="360" w:lineRule="auto" w:before="0" w:after="0"/>
        <w:ind w:left="564" w:right="406" w:firstLine="0"/>
        <w:jc w:val="left"/>
        <w:rPr>
          <w:sz w:val="24"/>
        </w:rPr>
      </w:pPr>
      <w:r>
        <w:rPr>
          <w:sz w:val="24"/>
        </w:rPr>
        <w:t>The Committee considered the prospects for investment. The financial deficit </w:t>
      </w:r>
      <w:r>
        <w:rPr>
          <w:spacing w:val="3"/>
          <w:sz w:val="24"/>
        </w:rPr>
        <w:t>of </w:t>
      </w:r>
      <w:r>
        <w:rPr>
          <w:sz w:val="24"/>
        </w:rPr>
        <w:t>the private </w:t>
      </w:r>
      <w:r>
        <w:rPr>
          <w:spacing w:val="2"/>
          <w:sz w:val="24"/>
        </w:rPr>
        <w:t>non-financial </w:t>
      </w:r>
      <w:r>
        <w:rPr>
          <w:sz w:val="24"/>
        </w:rPr>
        <w:t>corporations (P</w:t>
      </w:r>
      <w:r>
        <w:rPr>
          <w:sz w:val="20"/>
        </w:rPr>
        <w:t>NFC</w:t>
      </w:r>
      <w:r>
        <w:rPr>
          <w:sz w:val="24"/>
        </w:rPr>
        <w:t>s) had widened </w:t>
      </w:r>
      <w:r>
        <w:rPr>
          <w:spacing w:val="3"/>
          <w:sz w:val="24"/>
        </w:rPr>
        <w:t>to </w:t>
      </w:r>
      <w:r>
        <w:rPr>
          <w:sz w:val="24"/>
        </w:rPr>
        <w:t>3% </w:t>
      </w:r>
      <w:r>
        <w:rPr>
          <w:spacing w:val="2"/>
          <w:sz w:val="24"/>
        </w:rPr>
        <w:t>of </w:t>
      </w:r>
      <w:r>
        <w:rPr>
          <w:sz w:val="24"/>
        </w:rPr>
        <w:t>GDP, the highest level since 1990. This might in part </w:t>
      </w:r>
      <w:r>
        <w:rPr>
          <w:spacing w:val="2"/>
          <w:sz w:val="24"/>
        </w:rPr>
        <w:t>reflect </w:t>
      </w:r>
      <w:r>
        <w:rPr>
          <w:sz w:val="24"/>
        </w:rPr>
        <w:t>the growth </w:t>
      </w:r>
      <w:r>
        <w:rPr>
          <w:spacing w:val="3"/>
          <w:sz w:val="24"/>
        </w:rPr>
        <w:t>of </w:t>
      </w:r>
      <w:r>
        <w:rPr>
          <w:sz w:val="24"/>
        </w:rPr>
        <w:t>business investment in the second half </w:t>
      </w:r>
      <w:r>
        <w:rPr>
          <w:spacing w:val="3"/>
          <w:sz w:val="24"/>
        </w:rPr>
        <w:t>of </w:t>
      </w:r>
      <w:r>
        <w:rPr>
          <w:sz w:val="24"/>
        </w:rPr>
        <w:t>1998. The</w:t>
      </w:r>
      <w:r>
        <w:rPr>
          <w:spacing w:val="15"/>
          <w:sz w:val="24"/>
        </w:rPr>
        <w:t> </w:t>
      </w:r>
      <w:r>
        <w:rPr>
          <w:sz w:val="24"/>
        </w:rPr>
        <w:t>increase</w:t>
      </w:r>
    </w:p>
    <w:p>
      <w:pPr>
        <w:pStyle w:val="BodyText"/>
        <w:spacing w:line="360" w:lineRule="auto" w:before="2"/>
        <w:ind w:left="564" w:right="208"/>
      </w:pPr>
      <w:r>
        <w:rPr/>
        <w:t>appeared to have been most marked in the services sector, and might represent a bringing forward of IT-related spending ahead of the millennium. The millennium might also boost spending on construction this year, with signs, perhaps, that next year would be less buoyant. All this might have implications for the profile of activity over the next two years. But work by Bank staff suggested that movements in the credit and money holdings of the P</w:t>
      </w:r>
      <w:r>
        <w:rPr>
          <w:sz w:val="20"/>
        </w:rPr>
        <w:t>NFC</w:t>
      </w:r>
      <w:r>
        <w:rPr/>
        <w:t>s were consistent both with the recent strength of investment, and continued growth in 1999.</w:t>
      </w:r>
    </w:p>
    <w:p>
      <w:pPr>
        <w:pStyle w:val="BodyText"/>
        <w:spacing w:before="6"/>
        <w:rPr>
          <w:sz w:val="31"/>
        </w:rPr>
      </w:pPr>
    </w:p>
    <w:p>
      <w:pPr>
        <w:pStyle w:val="ListParagraph"/>
        <w:numPr>
          <w:ilvl w:val="0"/>
          <w:numId w:val="1"/>
        </w:numPr>
        <w:tabs>
          <w:tab w:pos="925" w:val="left" w:leader="none"/>
        </w:tabs>
        <w:spacing w:line="360" w:lineRule="auto" w:before="0" w:after="0"/>
        <w:ind w:left="564" w:right="324" w:firstLine="0"/>
        <w:jc w:val="left"/>
        <w:rPr>
          <w:sz w:val="24"/>
        </w:rPr>
      </w:pPr>
      <w:r>
        <w:rPr>
          <w:sz w:val="24"/>
        </w:rPr>
        <w:t>The Committee agreed that the Budget contained little that altered the </w:t>
      </w:r>
      <w:r>
        <w:rPr>
          <w:spacing w:val="4"/>
          <w:sz w:val="24"/>
        </w:rPr>
        <w:t>outlook </w:t>
      </w:r>
      <w:r>
        <w:rPr>
          <w:sz w:val="24"/>
        </w:rPr>
        <w:t>for inflation. At its previous meeting it had decided that the figures for the </w:t>
      </w:r>
      <w:r>
        <w:rPr>
          <w:spacing w:val="4"/>
          <w:sz w:val="24"/>
        </w:rPr>
        <w:t>overall </w:t>
      </w:r>
      <w:r>
        <w:rPr>
          <w:sz w:val="24"/>
        </w:rPr>
        <w:t>fiscal position, </w:t>
      </w:r>
      <w:r>
        <w:rPr>
          <w:spacing w:val="2"/>
          <w:sz w:val="24"/>
        </w:rPr>
        <w:t>on </w:t>
      </w:r>
      <w:r>
        <w:rPr>
          <w:sz w:val="24"/>
        </w:rPr>
        <w:t>which the Committee had been briefed, were in line with the assumptions made in the February </w:t>
      </w:r>
      <w:r>
        <w:rPr>
          <w:i/>
          <w:sz w:val="24"/>
        </w:rPr>
        <w:t>Inflation </w:t>
      </w:r>
      <w:r>
        <w:rPr>
          <w:i/>
          <w:sz w:val="24"/>
        </w:rPr>
        <w:t>Report. </w:t>
      </w:r>
      <w:r>
        <w:rPr>
          <w:sz w:val="24"/>
        </w:rPr>
        <w:t>Following the Budget itself, an analysis </w:t>
      </w:r>
      <w:r>
        <w:rPr>
          <w:spacing w:val="3"/>
          <w:sz w:val="24"/>
        </w:rPr>
        <w:t>of </w:t>
      </w:r>
      <w:r>
        <w:rPr>
          <w:sz w:val="24"/>
        </w:rPr>
        <w:t>the implications </w:t>
      </w:r>
      <w:r>
        <w:rPr>
          <w:spacing w:val="3"/>
          <w:sz w:val="24"/>
        </w:rPr>
        <w:t>of </w:t>
      </w:r>
      <w:r>
        <w:rPr>
          <w:sz w:val="24"/>
        </w:rPr>
        <w:t>the detailed measures for </w:t>
      </w:r>
      <w:r>
        <w:rPr>
          <w:spacing w:val="2"/>
          <w:sz w:val="24"/>
        </w:rPr>
        <w:t>the </w:t>
      </w:r>
      <w:r>
        <w:rPr>
          <w:sz w:val="24"/>
        </w:rPr>
        <w:t>composition </w:t>
      </w:r>
      <w:r>
        <w:rPr>
          <w:spacing w:val="3"/>
          <w:sz w:val="24"/>
        </w:rPr>
        <w:t>of </w:t>
      </w:r>
      <w:r>
        <w:rPr>
          <w:sz w:val="24"/>
        </w:rPr>
        <w:t>demand suggested that these should not have a significant additional effect </w:t>
      </w:r>
      <w:r>
        <w:rPr>
          <w:spacing w:val="3"/>
          <w:sz w:val="24"/>
        </w:rPr>
        <w:t>on </w:t>
      </w:r>
      <w:r>
        <w:rPr>
          <w:sz w:val="24"/>
        </w:rPr>
        <w:t>the prospects for activity and inflation </w:t>
      </w:r>
      <w:r>
        <w:rPr>
          <w:spacing w:val="3"/>
          <w:sz w:val="24"/>
        </w:rPr>
        <w:t>over </w:t>
      </w:r>
      <w:r>
        <w:rPr>
          <w:sz w:val="24"/>
        </w:rPr>
        <w:t>the forecast</w:t>
      </w:r>
      <w:r>
        <w:rPr>
          <w:spacing w:val="19"/>
          <w:sz w:val="24"/>
        </w:rPr>
        <w:t> </w:t>
      </w:r>
      <w:r>
        <w:rPr>
          <w:sz w:val="24"/>
        </w:rPr>
        <w:t>period.</w:t>
      </w:r>
    </w:p>
    <w:p>
      <w:pPr>
        <w:pStyle w:val="BodyText"/>
        <w:spacing w:before="1"/>
        <w:rPr>
          <w:sz w:val="31"/>
        </w:rPr>
      </w:pPr>
    </w:p>
    <w:p>
      <w:pPr>
        <w:pStyle w:val="ListParagraph"/>
        <w:numPr>
          <w:ilvl w:val="0"/>
          <w:numId w:val="1"/>
        </w:numPr>
        <w:tabs>
          <w:tab w:pos="925" w:val="left" w:leader="none"/>
        </w:tabs>
        <w:spacing w:line="360" w:lineRule="auto" w:before="0" w:after="0"/>
        <w:ind w:left="564" w:right="296" w:firstLine="0"/>
        <w:jc w:val="left"/>
        <w:rPr>
          <w:sz w:val="24"/>
        </w:rPr>
      </w:pPr>
      <w:r>
        <w:rPr>
          <w:sz w:val="24"/>
        </w:rPr>
        <w:t>Forward-looking survey evidence continued </w:t>
      </w:r>
      <w:r>
        <w:rPr>
          <w:spacing w:val="3"/>
          <w:sz w:val="24"/>
        </w:rPr>
        <w:t>to </w:t>
      </w:r>
      <w:r>
        <w:rPr>
          <w:sz w:val="24"/>
        </w:rPr>
        <w:t>suggest an improvement (from a low base) in business confidence in all </w:t>
      </w:r>
      <w:r>
        <w:rPr>
          <w:spacing w:val="2"/>
          <w:sz w:val="24"/>
        </w:rPr>
        <w:t>sectors </w:t>
      </w:r>
      <w:r>
        <w:rPr>
          <w:spacing w:val="3"/>
          <w:sz w:val="24"/>
        </w:rPr>
        <w:t>of </w:t>
      </w:r>
      <w:r>
        <w:rPr>
          <w:sz w:val="24"/>
        </w:rPr>
        <w:t>the economy. But </w:t>
      </w:r>
      <w:r>
        <w:rPr>
          <w:spacing w:val="5"/>
          <w:sz w:val="24"/>
        </w:rPr>
        <w:t>official</w:t>
      </w:r>
      <w:r>
        <w:rPr>
          <w:spacing w:val="-42"/>
          <w:sz w:val="24"/>
        </w:rPr>
        <w:t> </w:t>
      </w:r>
      <w:r>
        <w:rPr>
          <w:sz w:val="24"/>
        </w:rPr>
        <w:t>data and that from surveys indicated</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25"/>
      </w:pPr>
      <w:r>
        <w:rPr/>
        <w:t>that manufacturing output was still declining, and information from the Bank’s regional Agents suggested that in this sector in particular, confidence remained fragile. By contrast, the C</w:t>
      </w:r>
      <w:r>
        <w:rPr>
          <w:sz w:val="20"/>
        </w:rPr>
        <w:t>IPS </w:t>
      </w:r>
      <w:r>
        <w:rPr/>
        <w:t>index for services output had risen above 50, indicating growth rather than contraction, for the first time since October. The sharp fall seen in the second half of 1998 might have been partly in response to events in financial markets at that time. A recovery in confidence had therefore been expected, with the readings now consistent with the central projection for output in 1999 contained in the February </w:t>
      </w:r>
      <w:r>
        <w:rPr>
          <w:i/>
        </w:rPr>
        <w:t>Inflation Report</w:t>
      </w:r>
      <w:r>
        <w:rPr/>
        <w:t>. The C</w:t>
      </w:r>
      <w:r>
        <w:rPr>
          <w:sz w:val="20"/>
        </w:rPr>
        <w:t>IPS </w:t>
      </w:r>
      <w:r>
        <w:rPr/>
        <w:t>survey for construction had also strengthened, in line with other indicators for that sector.</w:t>
      </w:r>
    </w:p>
    <w:p>
      <w:pPr>
        <w:pStyle w:val="BodyText"/>
        <w:spacing w:before="4"/>
        <w:rPr>
          <w:sz w:val="31"/>
        </w:rPr>
      </w:pPr>
    </w:p>
    <w:p>
      <w:pPr>
        <w:pStyle w:val="ListParagraph"/>
        <w:numPr>
          <w:ilvl w:val="0"/>
          <w:numId w:val="1"/>
        </w:numPr>
        <w:tabs>
          <w:tab w:pos="925" w:val="left" w:leader="none"/>
        </w:tabs>
        <w:spacing w:line="360" w:lineRule="auto" w:before="0" w:after="0"/>
        <w:ind w:left="564" w:right="323" w:firstLine="0"/>
        <w:jc w:val="left"/>
        <w:rPr>
          <w:sz w:val="24"/>
        </w:rPr>
      </w:pPr>
      <w:r>
        <w:rPr>
          <w:sz w:val="24"/>
        </w:rPr>
        <w:t>All in all, the data suggested that the prospects for activity were little different from those expected at the time </w:t>
      </w:r>
      <w:r>
        <w:rPr>
          <w:spacing w:val="2"/>
          <w:sz w:val="24"/>
        </w:rPr>
        <w:t>of </w:t>
      </w:r>
      <w:r>
        <w:rPr>
          <w:sz w:val="24"/>
        </w:rPr>
        <w:t>the February </w:t>
      </w:r>
      <w:r>
        <w:rPr>
          <w:i/>
          <w:sz w:val="24"/>
        </w:rPr>
        <w:t>Inflation Report</w:t>
      </w:r>
      <w:r>
        <w:rPr>
          <w:sz w:val="24"/>
        </w:rPr>
        <w:t>. The downwards revision </w:t>
      </w:r>
      <w:r>
        <w:rPr>
          <w:spacing w:val="3"/>
          <w:sz w:val="24"/>
        </w:rPr>
        <w:t>to </w:t>
      </w:r>
      <w:r>
        <w:rPr>
          <w:sz w:val="24"/>
        </w:rPr>
        <w:t>the level </w:t>
      </w:r>
      <w:r>
        <w:rPr>
          <w:spacing w:val="2"/>
          <w:sz w:val="24"/>
        </w:rPr>
        <w:t>of </w:t>
      </w:r>
      <w:r>
        <w:rPr>
          <w:sz w:val="24"/>
        </w:rPr>
        <w:t>GDP had been interpreted by some commentators as reducing inflationary pressures, but the size </w:t>
      </w:r>
      <w:r>
        <w:rPr>
          <w:spacing w:val="2"/>
          <w:sz w:val="24"/>
        </w:rPr>
        <w:t>of </w:t>
      </w:r>
      <w:r>
        <w:rPr>
          <w:sz w:val="24"/>
        </w:rPr>
        <w:t>the </w:t>
      </w:r>
      <w:r>
        <w:rPr>
          <w:spacing w:val="2"/>
          <w:sz w:val="24"/>
        </w:rPr>
        <w:t>revision </w:t>
      </w:r>
      <w:r>
        <w:rPr>
          <w:spacing w:val="3"/>
          <w:sz w:val="24"/>
        </w:rPr>
        <w:t>of </w:t>
      </w:r>
      <w:r>
        <w:rPr>
          <w:sz w:val="24"/>
        </w:rPr>
        <w:t>GDP measured at basic prices was small, and the implications for inflation ambiguous. At the same time, significant changes had been made </w:t>
      </w:r>
      <w:r>
        <w:rPr>
          <w:spacing w:val="3"/>
          <w:sz w:val="24"/>
        </w:rPr>
        <w:t>to </w:t>
      </w:r>
      <w:r>
        <w:rPr>
          <w:sz w:val="24"/>
        </w:rPr>
        <w:t>the composition </w:t>
      </w:r>
      <w:r>
        <w:rPr>
          <w:spacing w:val="3"/>
          <w:sz w:val="24"/>
        </w:rPr>
        <w:t>of </w:t>
      </w:r>
      <w:r>
        <w:rPr>
          <w:sz w:val="24"/>
        </w:rPr>
        <w:t>demand, particularly </w:t>
      </w:r>
      <w:r>
        <w:rPr>
          <w:spacing w:val="4"/>
          <w:sz w:val="24"/>
        </w:rPr>
        <w:t>to </w:t>
      </w:r>
      <w:r>
        <w:rPr>
          <w:sz w:val="24"/>
        </w:rPr>
        <w:t>investment and stockbuilding. While the </w:t>
      </w:r>
      <w:r>
        <w:rPr>
          <w:spacing w:val="2"/>
          <w:sz w:val="24"/>
        </w:rPr>
        <w:t>recovery </w:t>
      </w:r>
      <w:r>
        <w:rPr>
          <w:sz w:val="24"/>
        </w:rPr>
        <w:t>in business confidence had yet </w:t>
      </w:r>
      <w:r>
        <w:rPr>
          <w:spacing w:val="3"/>
          <w:sz w:val="24"/>
        </w:rPr>
        <w:t>to </w:t>
      </w:r>
      <w:r>
        <w:rPr>
          <w:sz w:val="24"/>
        </w:rPr>
        <w:t>be </w:t>
      </w:r>
      <w:r>
        <w:rPr>
          <w:spacing w:val="2"/>
          <w:sz w:val="24"/>
        </w:rPr>
        <w:t>reflected </w:t>
      </w:r>
      <w:r>
        <w:rPr>
          <w:sz w:val="24"/>
        </w:rPr>
        <w:t>in </w:t>
      </w:r>
      <w:r>
        <w:rPr>
          <w:spacing w:val="5"/>
          <w:sz w:val="24"/>
        </w:rPr>
        <w:t>official </w:t>
      </w:r>
      <w:r>
        <w:rPr>
          <w:sz w:val="24"/>
        </w:rPr>
        <w:t>figures, this was </w:t>
      </w:r>
      <w:r>
        <w:rPr>
          <w:spacing w:val="3"/>
          <w:sz w:val="24"/>
        </w:rPr>
        <w:t>to </w:t>
      </w:r>
      <w:r>
        <w:rPr>
          <w:sz w:val="24"/>
        </w:rPr>
        <w:t>be expected given the lags</w:t>
      </w:r>
      <w:r>
        <w:rPr>
          <w:spacing w:val="32"/>
          <w:sz w:val="24"/>
        </w:rPr>
        <w:t> </w:t>
      </w:r>
      <w:r>
        <w:rPr>
          <w:sz w:val="24"/>
        </w:rPr>
        <w:t>involved.</w:t>
      </w:r>
    </w:p>
    <w:p>
      <w:pPr>
        <w:pStyle w:val="BodyText"/>
        <w:spacing w:before="9"/>
        <w:rPr>
          <w:sz w:val="31"/>
        </w:rPr>
      </w:pPr>
    </w:p>
    <w:p>
      <w:pPr>
        <w:pStyle w:val="Heading2"/>
        <w:spacing w:before="1"/>
      </w:pPr>
      <w:r>
        <w:rPr/>
        <w:t>The housing market</w:t>
      </w:r>
    </w:p>
    <w:p>
      <w:pPr>
        <w:pStyle w:val="BodyText"/>
        <w:rPr>
          <w:b/>
          <w:sz w:val="26"/>
        </w:rPr>
      </w:pPr>
    </w:p>
    <w:p>
      <w:pPr>
        <w:pStyle w:val="ListParagraph"/>
        <w:numPr>
          <w:ilvl w:val="0"/>
          <w:numId w:val="1"/>
        </w:numPr>
        <w:tabs>
          <w:tab w:pos="925" w:val="left" w:leader="none"/>
        </w:tabs>
        <w:spacing w:line="360" w:lineRule="auto" w:before="193" w:after="0"/>
        <w:ind w:left="564" w:right="289" w:firstLine="0"/>
        <w:jc w:val="left"/>
        <w:rPr>
          <w:sz w:val="24"/>
        </w:rPr>
      </w:pPr>
      <w:r>
        <w:rPr>
          <w:spacing w:val="2"/>
          <w:sz w:val="24"/>
        </w:rPr>
        <w:t>There </w:t>
      </w:r>
      <w:r>
        <w:rPr>
          <w:sz w:val="24"/>
        </w:rPr>
        <w:t>had been a sharp increase in the Halifax and Nationwide house price indices in March. Data</w:t>
      </w:r>
      <w:r>
        <w:rPr>
          <w:spacing w:val="-7"/>
          <w:sz w:val="24"/>
        </w:rPr>
        <w:t> </w:t>
      </w:r>
      <w:r>
        <w:rPr>
          <w:sz w:val="24"/>
        </w:rPr>
        <w:t>from</w:t>
      </w:r>
      <w:r>
        <w:rPr>
          <w:spacing w:val="-6"/>
          <w:sz w:val="24"/>
        </w:rPr>
        <w:t> </w:t>
      </w:r>
      <w:r>
        <w:rPr>
          <w:sz w:val="24"/>
        </w:rPr>
        <w:t>the</w:t>
      </w:r>
      <w:r>
        <w:rPr>
          <w:spacing w:val="-7"/>
          <w:sz w:val="24"/>
        </w:rPr>
        <w:t> </w:t>
      </w:r>
      <w:r>
        <w:rPr>
          <w:sz w:val="24"/>
        </w:rPr>
        <w:t>House</w:t>
      </w:r>
      <w:r>
        <w:rPr>
          <w:spacing w:val="-6"/>
          <w:sz w:val="24"/>
        </w:rPr>
        <w:t> </w:t>
      </w:r>
      <w:r>
        <w:rPr>
          <w:sz w:val="24"/>
        </w:rPr>
        <w:t>Builders</w:t>
      </w:r>
      <w:r>
        <w:rPr>
          <w:spacing w:val="-7"/>
          <w:sz w:val="24"/>
        </w:rPr>
        <w:t> </w:t>
      </w:r>
      <w:r>
        <w:rPr>
          <w:sz w:val="24"/>
        </w:rPr>
        <w:t>Federation</w:t>
      </w:r>
      <w:r>
        <w:rPr>
          <w:spacing w:val="-6"/>
          <w:sz w:val="24"/>
        </w:rPr>
        <w:t> </w:t>
      </w:r>
      <w:r>
        <w:rPr>
          <w:spacing w:val="2"/>
          <w:sz w:val="24"/>
        </w:rPr>
        <w:t>on</w:t>
      </w:r>
      <w:r>
        <w:rPr>
          <w:spacing w:val="-2"/>
          <w:sz w:val="24"/>
        </w:rPr>
        <w:t> </w:t>
      </w:r>
      <w:r>
        <w:rPr>
          <w:sz w:val="24"/>
        </w:rPr>
        <w:t>net</w:t>
      </w:r>
      <w:r>
        <w:rPr>
          <w:spacing w:val="-2"/>
          <w:sz w:val="24"/>
        </w:rPr>
        <w:t> </w:t>
      </w:r>
      <w:r>
        <w:rPr>
          <w:sz w:val="24"/>
        </w:rPr>
        <w:t>reservations</w:t>
      </w:r>
      <w:r>
        <w:rPr>
          <w:spacing w:val="-5"/>
          <w:sz w:val="24"/>
        </w:rPr>
        <w:t> </w:t>
      </w:r>
      <w:r>
        <w:rPr>
          <w:sz w:val="24"/>
        </w:rPr>
        <w:t>and</w:t>
      </w:r>
      <w:r>
        <w:rPr>
          <w:spacing w:val="-6"/>
          <w:sz w:val="24"/>
        </w:rPr>
        <w:t> </w:t>
      </w:r>
      <w:r>
        <w:rPr>
          <w:sz w:val="24"/>
        </w:rPr>
        <w:t>site</w:t>
      </w:r>
      <w:r>
        <w:rPr>
          <w:spacing w:val="-7"/>
          <w:sz w:val="24"/>
        </w:rPr>
        <w:t> </w:t>
      </w:r>
      <w:r>
        <w:rPr>
          <w:sz w:val="24"/>
        </w:rPr>
        <w:t>visits,</w:t>
      </w:r>
      <w:r>
        <w:rPr>
          <w:spacing w:val="-6"/>
          <w:sz w:val="24"/>
        </w:rPr>
        <w:t> </w:t>
      </w:r>
      <w:r>
        <w:rPr>
          <w:sz w:val="24"/>
        </w:rPr>
        <w:t>together</w:t>
      </w:r>
      <w:r>
        <w:rPr>
          <w:spacing w:val="-7"/>
          <w:sz w:val="24"/>
        </w:rPr>
        <w:t> </w:t>
      </w:r>
      <w:r>
        <w:rPr>
          <w:sz w:val="24"/>
        </w:rPr>
        <w:t>with</w:t>
      </w:r>
      <w:r>
        <w:rPr>
          <w:spacing w:val="-6"/>
          <w:sz w:val="24"/>
        </w:rPr>
        <w:t> </w:t>
      </w:r>
      <w:r>
        <w:rPr>
          <w:sz w:val="24"/>
        </w:rPr>
        <w:t>figures</w:t>
      </w:r>
      <w:r>
        <w:rPr>
          <w:spacing w:val="-7"/>
          <w:sz w:val="24"/>
        </w:rPr>
        <w:t> </w:t>
      </w:r>
      <w:r>
        <w:rPr>
          <w:spacing w:val="3"/>
          <w:sz w:val="24"/>
        </w:rPr>
        <w:t>on </w:t>
      </w:r>
      <w:r>
        <w:rPr>
          <w:sz w:val="24"/>
        </w:rPr>
        <w:t>loan</w:t>
      </w:r>
      <w:r>
        <w:rPr>
          <w:spacing w:val="-7"/>
          <w:sz w:val="24"/>
        </w:rPr>
        <w:t> </w:t>
      </w:r>
      <w:r>
        <w:rPr>
          <w:sz w:val="24"/>
        </w:rPr>
        <w:t>approvals</w:t>
      </w:r>
      <w:r>
        <w:rPr>
          <w:spacing w:val="-6"/>
          <w:sz w:val="24"/>
        </w:rPr>
        <w:t> </w:t>
      </w:r>
      <w:r>
        <w:rPr>
          <w:sz w:val="24"/>
        </w:rPr>
        <w:t>and</w:t>
      </w:r>
      <w:r>
        <w:rPr>
          <w:spacing w:val="-6"/>
          <w:sz w:val="24"/>
        </w:rPr>
        <w:t> </w:t>
      </w:r>
      <w:r>
        <w:rPr>
          <w:sz w:val="24"/>
        </w:rPr>
        <w:t>particulars</w:t>
      </w:r>
      <w:r>
        <w:rPr>
          <w:spacing w:val="-7"/>
          <w:sz w:val="24"/>
        </w:rPr>
        <w:t> </w:t>
      </w:r>
      <w:r>
        <w:rPr>
          <w:sz w:val="24"/>
        </w:rPr>
        <w:t>delivered,</w:t>
      </w:r>
      <w:r>
        <w:rPr>
          <w:spacing w:val="-6"/>
          <w:sz w:val="24"/>
        </w:rPr>
        <w:t> </w:t>
      </w:r>
      <w:r>
        <w:rPr>
          <w:sz w:val="24"/>
        </w:rPr>
        <w:t>suggested</w:t>
      </w:r>
      <w:r>
        <w:rPr>
          <w:spacing w:val="-5"/>
          <w:sz w:val="24"/>
        </w:rPr>
        <w:t> </w:t>
      </w:r>
      <w:r>
        <w:rPr>
          <w:sz w:val="24"/>
        </w:rPr>
        <w:t>that</w:t>
      </w:r>
      <w:r>
        <w:rPr>
          <w:spacing w:val="-1"/>
          <w:sz w:val="24"/>
        </w:rPr>
        <w:t> </w:t>
      </w:r>
      <w:r>
        <w:rPr>
          <w:sz w:val="24"/>
        </w:rPr>
        <w:t>turnover</w:t>
      </w:r>
      <w:r>
        <w:rPr>
          <w:spacing w:val="-7"/>
          <w:sz w:val="24"/>
        </w:rPr>
        <w:t> </w:t>
      </w:r>
      <w:r>
        <w:rPr>
          <w:sz w:val="24"/>
        </w:rPr>
        <w:t>in</w:t>
      </w:r>
      <w:r>
        <w:rPr>
          <w:spacing w:val="-5"/>
          <w:sz w:val="24"/>
        </w:rPr>
        <w:t> </w:t>
      </w:r>
      <w:r>
        <w:rPr>
          <w:sz w:val="24"/>
        </w:rPr>
        <w:t>the</w:t>
      </w:r>
      <w:r>
        <w:rPr>
          <w:spacing w:val="-6"/>
          <w:sz w:val="24"/>
        </w:rPr>
        <w:t> </w:t>
      </w:r>
      <w:r>
        <w:rPr>
          <w:sz w:val="24"/>
        </w:rPr>
        <w:t>housing</w:t>
      </w:r>
      <w:r>
        <w:rPr>
          <w:spacing w:val="-7"/>
          <w:sz w:val="24"/>
        </w:rPr>
        <w:t> </w:t>
      </w:r>
      <w:r>
        <w:rPr>
          <w:sz w:val="24"/>
        </w:rPr>
        <w:t>market</w:t>
      </w:r>
      <w:r>
        <w:rPr>
          <w:spacing w:val="-1"/>
          <w:sz w:val="24"/>
        </w:rPr>
        <w:t> </w:t>
      </w:r>
      <w:r>
        <w:rPr>
          <w:sz w:val="24"/>
        </w:rPr>
        <w:t>had</w:t>
      </w:r>
      <w:r>
        <w:rPr>
          <w:spacing w:val="-6"/>
          <w:sz w:val="24"/>
        </w:rPr>
        <w:t> </w:t>
      </w:r>
      <w:r>
        <w:rPr>
          <w:sz w:val="24"/>
        </w:rPr>
        <w:t>risen.</w:t>
      </w:r>
    </w:p>
    <w:p>
      <w:pPr>
        <w:pStyle w:val="BodyText"/>
        <w:spacing w:line="360" w:lineRule="auto" w:before="1"/>
        <w:ind w:left="564"/>
      </w:pPr>
      <w:r>
        <w:rPr/>
        <w:t>The increase had followed a sharp fall towards the end of 1998, and the turnaround might have been influenced by the fall in interest rates since October.</w:t>
      </w:r>
    </w:p>
    <w:p>
      <w:pPr>
        <w:pStyle w:val="BodyText"/>
        <w:spacing w:before="6"/>
        <w:rPr>
          <w:sz w:val="31"/>
        </w:rPr>
      </w:pPr>
    </w:p>
    <w:p>
      <w:pPr>
        <w:pStyle w:val="Heading2"/>
      </w:pPr>
      <w:r>
        <w:rPr/>
        <w:t>The labour market</w:t>
      </w:r>
    </w:p>
    <w:p>
      <w:pPr>
        <w:pStyle w:val="BodyText"/>
        <w:rPr>
          <w:b/>
          <w:sz w:val="26"/>
        </w:rPr>
      </w:pPr>
    </w:p>
    <w:p>
      <w:pPr>
        <w:pStyle w:val="ListParagraph"/>
        <w:numPr>
          <w:ilvl w:val="0"/>
          <w:numId w:val="1"/>
        </w:numPr>
        <w:tabs>
          <w:tab w:pos="925" w:val="left" w:leader="none"/>
        </w:tabs>
        <w:spacing w:line="360" w:lineRule="auto" w:before="198" w:after="0"/>
        <w:ind w:left="564" w:right="199" w:firstLine="0"/>
        <w:jc w:val="left"/>
        <w:rPr>
          <w:sz w:val="24"/>
        </w:rPr>
      </w:pPr>
      <w:r>
        <w:rPr>
          <w:spacing w:val="2"/>
          <w:sz w:val="24"/>
        </w:rPr>
        <w:t>Employment </w:t>
      </w:r>
      <w:r>
        <w:rPr>
          <w:sz w:val="24"/>
        </w:rPr>
        <w:t>had continued </w:t>
      </w:r>
      <w:r>
        <w:rPr>
          <w:spacing w:val="3"/>
          <w:sz w:val="24"/>
        </w:rPr>
        <w:t>to </w:t>
      </w:r>
      <w:r>
        <w:rPr>
          <w:sz w:val="24"/>
        </w:rPr>
        <w:t>rise, with the LFS measure increasing by 119,000 in the last three months. However, much </w:t>
      </w:r>
      <w:r>
        <w:rPr>
          <w:spacing w:val="3"/>
          <w:sz w:val="24"/>
        </w:rPr>
        <w:t>of </w:t>
      </w:r>
      <w:r>
        <w:rPr>
          <w:sz w:val="24"/>
        </w:rPr>
        <w:t>this increase had been in part-time employment, and </w:t>
      </w:r>
      <w:r>
        <w:rPr>
          <w:spacing w:val="3"/>
          <w:sz w:val="24"/>
        </w:rPr>
        <w:t>on </w:t>
      </w:r>
      <w:r>
        <w:rPr>
          <w:sz w:val="24"/>
        </w:rPr>
        <w:t>a full time equivalent basis the increase had probably been closer </w:t>
      </w:r>
      <w:r>
        <w:rPr>
          <w:spacing w:val="3"/>
          <w:sz w:val="24"/>
        </w:rPr>
        <w:t>to </w:t>
      </w:r>
      <w:r>
        <w:rPr>
          <w:sz w:val="24"/>
        </w:rPr>
        <w:t>50,000. </w:t>
      </w:r>
      <w:r>
        <w:rPr>
          <w:spacing w:val="2"/>
          <w:sz w:val="24"/>
        </w:rPr>
        <w:t>Total </w:t>
      </w:r>
      <w:r>
        <w:rPr>
          <w:sz w:val="24"/>
        </w:rPr>
        <w:t>hours worked had fallen, and the unemployment rate had risen. The effects </w:t>
      </w:r>
      <w:r>
        <w:rPr>
          <w:spacing w:val="3"/>
          <w:sz w:val="24"/>
        </w:rPr>
        <w:t>of </w:t>
      </w:r>
      <w:r>
        <w:rPr>
          <w:sz w:val="24"/>
        </w:rPr>
        <w:t>this </w:t>
      </w:r>
      <w:r>
        <w:rPr>
          <w:spacing w:val="3"/>
          <w:sz w:val="24"/>
        </w:rPr>
        <w:t>on </w:t>
      </w:r>
      <w:r>
        <w:rPr>
          <w:sz w:val="24"/>
        </w:rPr>
        <w:t>consumer confidence may not yet have been seen. The surveys were mixed; while some suggested a sharp downturn in the demand for labour, with the Manpower survey showing the weakest job prospects since 1993, the C </w:t>
      </w:r>
      <w:r>
        <w:rPr>
          <w:sz w:val="20"/>
        </w:rPr>
        <w:t>IPS </w:t>
      </w:r>
      <w:r>
        <w:rPr>
          <w:sz w:val="24"/>
        </w:rPr>
        <w:t>employment index had </w:t>
      </w:r>
      <w:r>
        <w:rPr>
          <w:spacing w:val="2"/>
          <w:sz w:val="24"/>
        </w:rPr>
        <w:t>risen </w:t>
      </w:r>
      <w:r>
        <w:rPr>
          <w:sz w:val="24"/>
        </w:rPr>
        <w:t>slightly, but </w:t>
      </w:r>
      <w:r>
        <w:rPr>
          <w:spacing w:val="2"/>
          <w:sz w:val="24"/>
        </w:rPr>
        <w:t>remained </w:t>
      </w:r>
      <w:r>
        <w:rPr>
          <w:sz w:val="24"/>
        </w:rPr>
        <w:t>below</w:t>
      </w:r>
      <w:r>
        <w:rPr>
          <w:spacing w:val="38"/>
          <w:sz w:val="24"/>
        </w:rPr>
        <w:t> </w:t>
      </w:r>
      <w:r>
        <w:rPr>
          <w:sz w:val="24"/>
        </w:rPr>
        <w:t>50.</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ListParagraph"/>
        <w:numPr>
          <w:ilvl w:val="0"/>
          <w:numId w:val="1"/>
        </w:numPr>
        <w:tabs>
          <w:tab w:pos="925" w:val="left" w:leader="none"/>
        </w:tabs>
        <w:spacing w:line="360" w:lineRule="auto" w:before="0" w:after="0"/>
        <w:ind w:left="564" w:right="115" w:firstLine="0"/>
        <w:jc w:val="left"/>
        <w:rPr>
          <w:sz w:val="24"/>
        </w:rPr>
      </w:pPr>
      <w:r>
        <w:rPr>
          <w:sz w:val="24"/>
        </w:rPr>
        <w:t>The latest data for average earnings growth continued the fall seen since the new series was </w:t>
      </w:r>
      <w:r>
        <w:rPr>
          <w:spacing w:val="2"/>
          <w:sz w:val="24"/>
        </w:rPr>
        <w:t>released. </w:t>
      </w:r>
      <w:r>
        <w:rPr>
          <w:sz w:val="24"/>
        </w:rPr>
        <w:t>The headline figure had </w:t>
      </w:r>
      <w:r>
        <w:rPr>
          <w:spacing w:val="2"/>
          <w:sz w:val="24"/>
        </w:rPr>
        <w:t>reached </w:t>
      </w:r>
      <w:r>
        <w:rPr>
          <w:sz w:val="24"/>
        </w:rPr>
        <w:t>4.3% in December. </w:t>
      </w:r>
      <w:r>
        <w:rPr>
          <w:spacing w:val="2"/>
          <w:sz w:val="24"/>
        </w:rPr>
        <w:t>This </w:t>
      </w:r>
      <w:r>
        <w:rPr>
          <w:sz w:val="24"/>
        </w:rPr>
        <w:t>decline was linked </w:t>
      </w:r>
      <w:r>
        <w:rPr>
          <w:spacing w:val="3"/>
          <w:sz w:val="24"/>
        </w:rPr>
        <w:t>to </w:t>
      </w:r>
      <w:r>
        <w:rPr>
          <w:sz w:val="24"/>
        </w:rPr>
        <w:t>a reduction in hours worked per head, and </w:t>
      </w:r>
      <w:r>
        <w:rPr>
          <w:spacing w:val="2"/>
          <w:sz w:val="24"/>
        </w:rPr>
        <w:t>to </w:t>
      </w:r>
      <w:r>
        <w:rPr>
          <w:sz w:val="24"/>
        </w:rPr>
        <w:t>a negative contribution from</w:t>
      </w:r>
      <w:r>
        <w:rPr>
          <w:spacing w:val="14"/>
          <w:sz w:val="24"/>
        </w:rPr>
        <w:t> </w:t>
      </w:r>
      <w:r>
        <w:rPr>
          <w:sz w:val="24"/>
        </w:rPr>
        <w:t>bonuses.</w:t>
      </w:r>
    </w:p>
    <w:p>
      <w:pPr>
        <w:pStyle w:val="BodyText"/>
        <w:spacing w:before="5"/>
        <w:rPr>
          <w:sz w:val="31"/>
        </w:rPr>
      </w:pPr>
    </w:p>
    <w:p>
      <w:pPr>
        <w:pStyle w:val="ListParagraph"/>
        <w:numPr>
          <w:ilvl w:val="0"/>
          <w:numId w:val="1"/>
        </w:numPr>
        <w:tabs>
          <w:tab w:pos="925" w:val="left" w:leader="none"/>
        </w:tabs>
        <w:spacing w:line="360" w:lineRule="auto" w:before="0" w:after="0"/>
        <w:ind w:left="564" w:right="217" w:firstLine="0"/>
        <w:jc w:val="left"/>
        <w:rPr>
          <w:sz w:val="24"/>
        </w:rPr>
      </w:pPr>
      <w:r>
        <w:rPr>
          <w:sz w:val="24"/>
        </w:rPr>
        <w:t>Data </w:t>
      </w:r>
      <w:r>
        <w:rPr>
          <w:spacing w:val="3"/>
          <w:sz w:val="24"/>
        </w:rPr>
        <w:t>on </w:t>
      </w:r>
      <w:r>
        <w:rPr>
          <w:sz w:val="24"/>
        </w:rPr>
        <w:t>settlements also indicated a decline in nominal wage pressures, although inflation expectations appeared </w:t>
      </w:r>
      <w:r>
        <w:rPr>
          <w:spacing w:val="3"/>
          <w:sz w:val="24"/>
        </w:rPr>
        <w:t>to </w:t>
      </w:r>
      <w:r>
        <w:rPr>
          <w:sz w:val="24"/>
        </w:rPr>
        <w:t>have fallen by even more. The decline in settlements was not yet apparent from</w:t>
      </w:r>
      <w:r>
        <w:rPr>
          <w:spacing w:val="-6"/>
          <w:sz w:val="24"/>
        </w:rPr>
        <w:t> </w:t>
      </w:r>
      <w:r>
        <w:rPr>
          <w:sz w:val="24"/>
        </w:rPr>
        <w:t>the</w:t>
      </w:r>
      <w:r>
        <w:rPr>
          <w:spacing w:val="-5"/>
          <w:sz w:val="24"/>
        </w:rPr>
        <w:t> </w:t>
      </w:r>
      <w:r>
        <w:rPr>
          <w:sz w:val="24"/>
        </w:rPr>
        <w:t>headline</w:t>
      </w:r>
      <w:r>
        <w:rPr>
          <w:spacing w:val="-5"/>
          <w:sz w:val="24"/>
        </w:rPr>
        <w:t> </w:t>
      </w:r>
      <w:r>
        <w:rPr>
          <w:sz w:val="24"/>
        </w:rPr>
        <w:t>twelve</w:t>
      </w:r>
      <w:r>
        <w:rPr>
          <w:spacing w:val="-5"/>
          <w:sz w:val="24"/>
        </w:rPr>
        <w:t> </w:t>
      </w:r>
      <w:r>
        <w:rPr>
          <w:sz w:val="24"/>
        </w:rPr>
        <w:t>month</w:t>
      </w:r>
      <w:r>
        <w:rPr>
          <w:spacing w:val="-6"/>
          <w:sz w:val="24"/>
        </w:rPr>
        <w:t> </w:t>
      </w:r>
      <w:r>
        <w:rPr>
          <w:sz w:val="24"/>
        </w:rPr>
        <w:t>figures,</w:t>
      </w:r>
      <w:r>
        <w:rPr>
          <w:spacing w:val="-5"/>
          <w:sz w:val="24"/>
        </w:rPr>
        <w:t> </w:t>
      </w:r>
      <w:r>
        <w:rPr>
          <w:sz w:val="24"/>
        </w:rPr>
        <w:t>but</w:t>
      </w:r>
      <w:r>
        <w:rPr>
          <w:spacing w:val="-1"/>
          <w:sz w:val="24"/>
        </w:rPr>
        <w:t> </w:t>
      </w:r>
      <w:r>
        <w:rPr>
          <w:sz w:val="24"/>
        </w:rPr>
        <w:t>for</w:t>
      </w:r>
      <w:r>
        <w:rPr>
          <w:spacing w:val="-5"/>
          <w:sz w:val="24"/>
        </w:rPr>
        <w:t> </w:t>
      </w:r>
      <w:r>
        <w:rPr>
          <w:sz w:val="24"/>
        </w:rPr>
        <w:t>a</w:t>
      </w:r>
      <w:r>
        <w:rPr>
          <w:spacing w:val="-5"/>
          <w:sz w:val="24"/>
        </w:rPr>
        <w:t> </w:t>
      </w:r>
      <w:r>
        <w:rPr>
          <w:sz w:val="24"/>
        </w:rPr>
        <w:t>matched</w:t>
      </w:r>
      <w:r>
        <w:rPr>
          <w:spacing w:val="-5"/>
          <w:sz w:val="24"/>
        </w:rPr>
        <w:t> </w:t>
      </w:r>
      <w:r>
        <w:rPr>
          <w:sz w:val="24"/>
        </w:rPr>
        <w:t>sample</w:t>
      </w:r>
      <w:r>
        <w:rPr>
          <w:spacing w:val="-6"/>
          <w:sz w:val="24"/>
        </w:rPr>
        <w:t> </w:t>
      </w:r>
      <w:r>
        <w:rPr>
          <w:spacing w:val="3"/>
          <w:sz w:val="24"/>
        </w:rPr>
        <w:t>of</w:t>
      </w:r>
      <w:r>
        <w:rPr>
          <w:spacing w:val="-1"/>
          <w:sz w:val="24"/>
        </w:rPr>
        <w:t> </w:t>
      </w:r>
      <w:r>
        <w:rPr>
          <w:sz w:val="24"/>
        </w:rPr>
        <w:t>firms</w:t>
      </w:r>
      <w:r>
        <w:rPr>
          <w:spacing w:val="-6"/>
          <w:sz w:val="24"/>
        </w:rPr>
        <w:t> </w:t>
      </w:r>
      <w:r>
        <w:rPr>
          <w:sz w:val="24"/>
        </w:rPr>
        <w:t>from</w:t>
      </w:r>
      <w:r>
        <w:rPr>
          <w:spacing w:val="-5"/>
          <w:sz w:val="24"/>
        </w:rPr>
        <w:t> </w:t>
      </w:r>
      <w:r>
        <w:rPr>
          <w:sz w:val="24"/>
        </w:rPr>
        <w:t>the</w:t>
      </w:r>
      <w:r>
        <w:rPr>
          <w:spacing w:val="-5"/>
          <w:sz w:val="24"/>
        </w:rPr>
        <w:t> </w:t>
      </w:r>
      <w:r>
        <w:rPr>
          <w:spacing w:val="-4"/>
          <w:sz w:val="24"/>
        </w:rPr>
        <w:t>Bank’s</w:t>
      </w:r>
      <w:r>
        <w:rPr>
          <w:spacing w:val="-8"/>
          <w:sz w:val="24"/>
        </w:rPr>
        <w:t> </w:t>
      </w:r>
      <w:r>
        <w:rPr>
          <w:sz w:val="24"/>
        </w:rPr>
        <w:t>database, settlements</w:t>
      </w:r>
      <w:r>
        <w:rPr>
          <w:spacing w:val="-4"/>
          <w:sz w:val="24"/>
        </w:rPr>
        <w:t> </w:t>
      </w:r>
      <w:r>
        <w:rPr>
          <w:sz w:val="24"/>
        </w:rPr>
        <w:t>this</w:t>
      </w:r>
      <w:r>
        <w:rPr>
          <w:spacing w:val="-4"/>
          <w:sz w:val="24"/>
        </w:rPr>
        <w:t> </w:t>
      </w:r>
      <w:r>
        <w:rPr>
          <w:sz w:val="24"/>
        </w:rPr>
        <w:t>year</w:t>
      </w:r>
      <w:r>
        <w:rPr>
          <w:spacing w:val="-4"/>
          <w:sz w:val="24"/>
        </w:rPr>
        <w:t> </w:t>
      </w:r>
      <w:r>
        <w:rPr>
          <w:sz w:val="24"/>
        </w:rPr>
        <w:t>were</w:t>
      </w:r>
      <w:r>
        <w:rPr>
          <w:spacing w:val="-4"/>
          <w:sz w:val="24"/>
        </w:rPr>
        <w:t> </w:t>
      </w:r>
      <w:r>
        <w:rPr>
          <w:sz w:val="24"/>
        </w:rPr>
        <w:t>running</w:t>
      </w:r>
      <w:r>
        <w:rPr>
          <w:spacing w:val="-2"/>
          <w:sz w:val="24"/>
        </w:rPr>
        <w:t> </w:t>
      </w:r>
      <w:r>
        <w:rPr>
          <w:sz w:val="24"/>
        </w:rPr>
        <w:t>at</w:t>
      </w:r>
      <w:r>
        <w:rPr>
          <w:spacing w:val="1"/>
          <w:sz w:val="24"/>
        </w:rPr>
        <w:t> </w:t>
      </w:r>
      <w:r>
        <w:rPr>
          <w:sz w:val="24"/>
        </w:rPr>
        <w:t>3.3%</w:t>
      </w:r>
      <w:r>
        <w:rPr>
          <w:spacing w:val="-4"/>
          <w:sz w:val="24"/>
        </w:rPr>
        <w:t> </w:t>
      </w:r>
      <w:r>
        <w:rPr>
          <w:sz w:val="24"/>
        </w:rPr>
        <w:t>in</w:t>
      </w:r>
      <w:r>
        <w:rPr>
          <w:spacing w:val="-4"/>
          <w:sz w:val="24"/>
        </w:rPr>
        <w:t> </w:t>
      </w:r>
      <w:r>
        <w:rPr>
          <w:sz w:val="24"/>
        </w:rPr>
        <w:t>January</w:t>
      </w:r>
      <w:r>
        <w:rPr>
          <w:spacing w:val="-4"/>
          <w:sz w:val="24"/>
        </w:rPr>
        <w:t> </w:t>
      </w:r>
      <w:r>
        <w:rPr>
          <w:sz w:val="24"/>
        </w:rPr>
        <w:t>and</w:t>
      </w:r>
      <w:r>
        <w:rPr>
          <w:spacing w:val="-4"/>
          <w:sz w:val="24"/>
        </w:rPr>
        <w:t> </w:t>
      </w:r>
      <w:r>
        <w:rPr>
          <w:sz w:val="24"/>
        </w:rPr>
        <w:t>February,</w:t>
      </w:r>
      <w:r>
        <w:rPr>
          <w:spacing w:val="-3"/>
          <w:sz w:val="24"/>
        </w:rPr>
        <w:t> </w:t>
      </w:r>
      <w:r>
        <w:rPr>
          <w:sz w:val="24"/>
        </w:rPr>
        <w:t>as</w:t>
      </w:r>
      <w:r>
        <w:rPr>
          <w:spacing w:val="-4"/>
          <w:sz w:val="24"/>
        </w:rPr>
        <w:t> </w:t>
      </w:r>
      <w:r>
        <w:rPr>
          <w:sz w:val="24"/>
        </w:rPr>
        <w:t>against 4%</w:t>
      </w:r>
      <w:r>
        <w:rPr>
          <w:spacing w:val="-3"/>
          <w:sz w:val="24"/>
        </w:rPr>
        <w:t> </w:t>
      </w:r>
      <w:r>
        <w:rPr>
          <w:sz w:val="24"/>
        </w:rPr>
        <w:t>the</w:t>
      </w:r>
      <w:r>
        <w:rPr>
          <w:spacing w:val="-4"/>
          <w:sz w:val="24"/>
        </w:rPr>
        <w:t> </w:t>
      </w:r>
      <w:r>
        <w:rPr>
          <w:sz w:val="24"/>
        </w:rPr>
        <w:t>previous</w:t>
      </w:r>
      <w:r>
        <w:rPr>
          <w:spacing w:val="-4"/>
          <w:sz w:val="24"/>
        </w:rPr>
        <w:t> </w:t>
      </w:r>
      <w:r>
        <w:rPr>
          <w:sz w:val="24"/>
        </w:rPr>
        <w:t>year.</w:t>
      </w:r>
    </w:p>
    <w:p>
      <w:pPr>
        <w:pStyle w:val="BodyText"/>
        <w:spacing w:before="8"/>
        <w:rPr>
          <w:sz w:val="31"/>
        </w:rPr>
      </w:pPr>
    </w:p>
    <w:p>
      <w:pPr>
        <w:pStyle w:val="Heading2"/>
      </w:pPr>
      <w:r>
        <w:rPr/>
        <w:t>Prices</w:t>
      </w:r>
    </w:p>
    <w:p>
      <w:pPr>
        <w:pStyle w:val="BodyText"/>
        <w:rPr>
          <w:b/>
          <w:sz w:val="26"/>
        </w:rPr>
      </w:pPr>
    </w:p>
    <w:p>
      <w:pPr>
        <w:pStyle w:val="ListParagraph"/>
        <w:numPr>
          <w:ilvl w:val="0"/>
          <w:numId w:val="1"/>
        </w:numPr>
        <w:tabs>
          <w:tab w:pos="925" w:val="left" w:leader="none"/>
        </w:tabs>
        <w:spacing w:line="360" w:lineRule="auto" w:before="193" w:after="0"/>
        <w:ind w:left="564" w:right="402" w:firstLine="0"/>
        <w:jc w:val="left"/>
        <w:rPr>
          <w:sz w:val="24"/>
        </w:rPr>
      </w:pPr>
      <w:r>
        <w:rPr>
          <w:sz w:val="24"/>
        </w:rPr>
        <w:t>The implications </w:t>
      </w:r>
      <w:r>
        <w:rPr>
          <w:spacing w:val="3"/>
          <w:sz w:val="24"/>
        </w:rPr>
        <w:t>of </w:t>
      </w:r>
      <w:r>
        <w:rPr>
          <w:sz w:val="24"/>
        </w:rPr>
        <w:t>a reduction in earnings growth for inflation would depend </w:t>
      </w:r>
      <w:r>
        <w:rPr>
          <w:spacing w:val="3"/>
          <w:sz w:val="24"/>
        </w:rPr>
        <w:t>on </w:t>
      </w:r>
      <w:r>
        <w:rPr>
          <w:sz w:val="24"/>
        </w:rPr>
        <w:t>a variety </w:t>
      </w:r>
      <w:r>
        <w:rPr>
          <w:spacing w:val="3"/>
          <w:sz w:val="24"/>
        </w:rPr>
        <w:t>of </w:t>
      </w:r>
      <w:r>
        <w:rPr>
          <w:sz w:val="24"/>
        </w:rPr>
        <w:t>factors, including developments in productivity, margins and import prices. Productivity growth </w:t>
      </w:r>
      <w:r>
        <w:rPr>
          <w:spacing w:val="3"/>
          <w:sz w:val="24"/>
        </w:rPr>
        <w:t>over </w:t>
      </w:r>
      <w:r>
        <w:rPr>
          <w:sz w:val="24"/>
        </w:rPr>
        <w:t>the past three years had been below its 40 year average. It was difficult </w:t>
      </w:r>
      <w:r>
        <w:rPr>
          <w:spacing w:val="2"/>
          <w:sz w:val="24"/>
        </w:rPr>
        <w:t>to </w:t>
      </w:r>
      <w:r>
        <w:rPr>
          <w:sz w:val="24"/>
        </w:rPr>
        <w:t>know how much weight </w:t>
      </w:r>
      <w:r>
        <w:rPr>
          <w:spacing w:val="2"/>
          <w:sz w:val="24"/>
        </w:rPr>
        <w:t>to </w:t>
      </w:r>
      <w:r>
        <w:rPr>
          <w:sz w:val="24"/>
        </w:rPr>
        <w:t>attach </w:t>
      </w:r>
      <w:r>
        <w:rPr>
          <w:spacing w:val="2"/>
          <w:sz w:val="24"/>
        </w:rPr>
        <w:t>to </w:t>
      </w:r>
      <w:r>
        <w:rPr>
          <w:spacing w:val="4"/>
          <w:sz w:val="24"/>
        </w:rPr>
        <w:t>observed </w:t>
      </w:r>
      <w:r>
        <w:rPr>
          <w:sz w:val="24"/>
        </w:rPr>
        <w:t>productivity growth </w:t>
      </w:r>
      <w:r>
        <w:rPr>
          <w:spacing w:val="3"/>
          <w:sz w:val="24"/>
        </w:rPr>
        <w:t>over </w:t>
      </w:r>
      <w:r>
        <w:rPr>
          <w:sz w:val="24"/>
        </w:rPr>
        <w:t>such a short period. But relatively small differences in assumptions about productivity could have a material effect </w:t>
      </w:r>
      <w:r>
        <w:rPr>
          <w:spacing w:val="2"/>
          <w:sz w:val="24"/>
        </w:rPr>
        <w:t>on </w:t>
      </w:r>
      <w:r>
        <w:rPr>
          <w:sz w:val="24"/>
        </w:rPr>
        <w:t>the projections for inflation</w:t>
      </w:r>
      <w:r>
        <w:rPr>
          <w:spacing w:val="-9"/>
          <w:sz w:val="24"/>
        </w:rPr>
        <w:t> </w:t>
      </w:r>
      <w:r>
        <w:rPr>
          <w:spacing w:val="3"/>
          <w:sz w:val="24"/>
        </w:rPr>
        <w:t>over</w:t>
      </w:r>
      <w:r>
        <w:rPr>
          <w:spacing w:val="-5"/>
          <w:sz w:val="24"/>
        </w:rPr>
        <w:t> </w:t>
      </w:r>
      <w:r>
        <w:rPr>
          <w:sz w:val="24"/>
        </w:rPr>
        <w:t>the</w:t>
      </w:r>
      <w:r>
        <w:rPr>
          <w:spacing w:val="-8"/>
          <w:sz w:val="24"/>
        </w:rPr>
        <w:t> </w:t>
      </w:r>
      <w:r>
        <w:rPr>
          <w:sz w:val="24"/>
        </w:rPr>
        <w:t>next</w:t>
      </w:r>
      <w:r>
        <w:rPr>
          <w:spacing w:val="-4"/>
          <w:sz w:val="24"/>
        </w:rPr>
        <w:t> </w:t>
      </w:r>
      <w:r>
        <w:rPr>
          <w:sz w:val="24"/>
        </w:rPr>
        <w:t>two</w:t>
      </w:r>
      <w:r>
        <w:rPr>
          <w:spacing w:val="-8"/>
          <w:sz w:val="24"/>
        </w:rPr>
        <w:t> </w:t>
      </w:r>
      <w:r>
        <w:rPr>
          <w:sz w:val="24"/>
        </w:rPr>
        <w:t>years.</w:t>
      </w:r>
      <w:r>
        <w:rPr>
          <w:spacing w:val="43"/>
          <w:sz w:val="24"/>
        </w:rPr>
        <w:t> </w:t>
      </w:r>
      <w:r>
        <w:rPr>
          <w:sz w:val="24"/>
        </w:rPr>
        <w:t>More</w:t>
      </w:r>
      <w:r>
        <w:rPr>
          <w:spacing w:val="-8"/>
          <w:sz w:val="24"/>
        </w:rPr>
        <w:t> </w:t>
      </w:r>
      <w:r>
        <w:rPr>
          <w:sz w:val="24"/>
        </w:rPr>
        <w:t>generally,</w:t>
      </w:r>
      <w:r>
        <w:rPr>
          <w:spacing w:val="-8"/>
          <w:sz w:val="24"/>
        </w:rPr>
        <w:t> </w:t>
      </w:r>
      <w:r>
        <w:rPr>
          <w:sz w:val="24"/>
        </w:rPr>
        <w:t>the</w:t>
      </w:r>
      <w:r>
        <w:rPr>
          <w:spacing w:val="-9"/>
          <w:sz w:val="24"/>
        </w:rPr>
        <w:t> </w:t>
      </w:r>
      <w:r>
        <w:rPr>
          <w:sz w:val="24"/>
        </w:rPr>
        <w:t>pass-through</w:t>
      </w:r>
      <w:r>
        <w:rPr>
          <w:spacing w:val="-8"/>
          <w:sz w:val="24"/>
        </w:rPr>
        <w:t> </w:t>
      </w:r>
      <w:r>
        <w:rPr>
          <w:sz w:val="24"/>
        </w:rPr>
        <w:t>from</w:t>
      </w:r>
      <w:r>
        <w:rPr>
          <w:spacing w:val="-9"/>
          <w:sz w:val="24"/>
        </w:rPr>
        <w:t> </w:t>
      </w:r>
      <w:r>
        <w:rPr>
          <w:sz w:val="24"/>
        </w:rPr>
        <w:t>unit</w:t>
      </w:r>
      <w:r>
        <w:rPr>
          <w:spacing w:val="-4"/>
          <w:sz w:val="24"/>
        </w:rPr>
        <w:t> </w:t>
      </w:r>
      <w:r>
        <w:rPr>
          <w:sz w:val="24"/>
        </w:rPr>
        <w:t>labour</w:t>
      </w:r>
      <w:r>
        <w:rPr>
          <w:spacing w:val="-8"/>
          <w:sz w:val="24"/>
        </w:rPr>
        <w:t> </w:t>
      </w:r>
      <w:r>
        <w:rPr>
          <w:sz w:val="24"/>
        </w:rPr>
        <w:t>costs</w:t>
      </w:r>
      <w:r>
        <w:rPr>
          <w:spacing w:val="-8"/>
          <w:sz w:val="24"/>
        </w:rPr>
        <w:t> </w:t>
      </w:r>
      <w:r>
        <w:rPr>
          <w:spacing w:val="2"/>
          <w:sz w:val="24"/>
        </w:rPr>
        <w:t>to</w:t>
      </w:r>
      <w:r>
        <w:rPr>
          <w:spacing w:val="-4"/>
          <w:sz w:val="24"/>
        </w:rPr>
        <w:t> </w:t>
      </w:r>
      <w:r>
        <w:rPr>
          <w:sz w:val="24"/>
        </w:rPr>
        <w:t>prices was not straightforward. It would depend, among </w:t>
      </w:r>
      <w:r>
        <w:rPr>
          <w:spacing w:val="4"/>
          <w:sz w:val="24"/>
        </w:rPr>
        <w:t>other </w:t>
      </w:r>
      <w:r>
        <w:rPr>
          <w:sz w:val="24"/>
        </w:rPr>
        <w:t>things, </w:t>
      </w:r>
      <w:r>
        <w:rPr>
          <w:spacing w:val="2"/>
          <w:sz w:val="24"/>
        </w:rPr>
        <w:t>on </w:t>
      </w:r>
      <w:r>
        <w:rPr>
          <w:sz w:val="24"/>
        </w:rPr>
        <w:t>cyclical conditions and </w:t>
      </w:r>
      <w:r>
        <w:rPr>
          <w:spacing w:val="2"/>
          <w:sz w:val="24"/>
        </w:rPr>
        <w:t>on </w:t>
      </w:r>
      <w:r>
        <w:rPr>
          <w:spacing w:val="3"/>
          <w:sz w:val="24"/>
        </w:rPr>
        <w:t>other </w:t>
      </w:r>
      <w:r>
        <w:rPr>
          <w:sz w:val="24"/>
        </w:rPr>
        <w:t>input prices. These issues would be looked at again in the forthcoming </w:t>
      </w:r>
      <w:r>
        <w:rPr>
          <w:i/>
          <w:sz w:val="24"/>
        </w:rPr>
        <w:t>Inflation Report</w:t>
      </w:r>
      <w:r>
        <w:rPr>
          <w:i/>
          <w:spacing w:val="-16"/>
          <w:sz w:val="24"/>
        </w:rPr>
        <w:t> </w:t>
      </w:r>
      <w:r>
        <w:rPr>
          <w:sz w:val="24"/>
        </w:rPr>
        <w:t>round.</w:t>
      </w:r>
    </w:p>
    <w:p>
      <w:pPr>
        <w:pStyle w:val="BodyText"/>
        <w:spacing w:before="4"/>
        <w:rPr>
          <w:sz w:val="31"/>
        </w:rPr>
      </w:pPr>
    </w:p>
    <w:p>
      <w:pPr>
        <w:pStyle w:val="ListParagraph"/>
        <w:numPr>
          <w:ilvl w:val="0"/>
          <w:numId w:val="1"/>
        </w:numPr>
        <w:tabs>
          <w:tab w:pos="925" w:val="left" w:leader="none"/>
        </w:tabs>
        <w:spacing w:line="360" w:lineRule="auto" w:before="0" w:after="0"/>
        <w:ind w:left="564" w:right="303" w:firstLine="0"/>
        <w:jc w:val="left"/>
        <w:rPr>
          <w:sz w:val="24"/>
        </w:rPr>
      </w:pPr>
      <w:r>
        <w:rPr>
          <w:sz w:val="24"/>
        </w:rPr>
        <w:t>Oil</w:t>
      </w:r>
      <w:r>
        <w:rPr>
          <w:spacing w:val="-5"/>
          <w:sz w:val="24"/>
        </w:rPr>
        <w:t> </w:t>
      </w:r>
      <w:r>
        <w:rPr>
          <w:sz w:val="24"/>
        </w:rPr>
        <w:t>prices</w:t>
      </w:r>
      <w:r>
        <w:rPr>
          <w:spacing w:val="-5"/>
          <w:sz w:val="24"/>
        </w:rPr>
        <w:t> </w:t>
      </w:r>
      <w:r>
        <w:rPr>
          <w:sz w:val="24"/>
        </w:rPr>
        <w:t>were</w:t>
      </w:r>
      <w:r>
        <w:rPr>
          <w:spacing w:val="-4"/>
          <w:sz w:val="24"/>
        </w:rPr>
        <w:t> </w:t>
      </w:r>
      <w:r>
        <w:rPr>
          <w:sz w:val="24"/>
        </w:rPr>
        <w:t>much</w:t>
      </w:r>
      <w:r>
        <w:rPr>
          <w:spacing w:val="-5"/>
          <w:sz w:val="24"/>
        </w:rPr>
        <w:t> </w:t>
      </w:r>
      <w:r>
        <w:rPr>
          <w:sz w:val="24"/>
        </w:rPr>
        <w:t>higher</w:t>
      </w:r>
      <w:r>
        <w:rPr>
          <w:spacing w:val="-3"/>
          <w:sz w:val="24"/>
        </w:rPr>
        <w:t> </w:t>
      </w:r>
      <w:r>
        <w:rPr>
          <w:sz w:val="24"/>
        </w:rPr>
        <w:t>than</w:t>
      </w:r>
      <w:r>
        <w:rPr>
          <w:spacing w:val="-5"/>
          <w:sz w:val="24"/>
        </w:rPr>
        <w:t> </w:t>
      </w:r>
      <w:r>
        <w:rPr>
          <w:sz w:val="24"/>
        </w:rPr>
        <w:t>a</w:t>
      </w:r>
      <w:r>
        <w:rPr>
          <w:spacing w:val="-4"/>
          <w:sz w:val="24"/>
        </w:rPr>
        <w:t> </w:t>
      </w:r>
      <w:r>
        <w:rPr>
          <w:sz w:val="24"/>
        </w:rPr>
        <w:t>month</w:t>
      </w:r>
      <w:r>
        <w:rPr>
          <w:spacing w:val="-5"/>
          <w:sz w:val="24"/>
        </w:rPr>
        <w:t> </w:t>
      </w:r>
      <w:r>
        <w:rPr>
          <w:sz w:val="24"/>
        </w:rPr>
        <w:t>ago,</w:t>
      </w:r>
      <w:r>
        <w:rPr>
          <w:spacing w:val="-4"/>
          <w:sz w:val="24"/>
        </w:rPr>
        <w:t> </w:t>
      </w:r>
      <w:r>
        <w:rPr>
          <w:sz w:val="24"/>
        </w:rPr>
        <w:t>although</w:t>
      </w:r>
      <w:r>
        <w:rPr>
          <w:spacing w:val="-5"/>
          <w:sz w:val="24"/>
        </w:rPr>
        <w:t> </w:t>
      </w:r>
      <w:r>
        <w:rPr>
          <w:sz w:val="24"/>
        </w:rPr>
        <w:t>some</w:t>
      </w:r>
      <w:r>
        <w:rPr>
          <w:spacing w:val="-4"/>
          <w:sz w:val="24"/>
        </w:rPr>
        <w:t> </w:t>
      </w:r>
      <w:r>
        <w:rPr>
          <w:spacing w:val="2"/>
          <w:sz w:val="24"/>
        </w:rPr>
        <w:t>rise</w:t>
      </w:r>
      <w:r>
        <w:rPr>
          <w:spacing w:val="-3"/>
          <w:sz w:val="24"/>
        </w:rPr>
        <w:t> </w:t>
      </w:r>
      <w:r>
        <w:rPr>
          <w:sz w:val="24"/>
        </w:rPr>
        <w:t>had</w:t>
      </w:r>
      <w:r>
        <w:rPr>
          <w:spacing w:val="-5"/>
          <w:sz w:val="24"/>
        </w:rPr>
        <w:t> </w:t>
      </w:r>
      <w:r>
        <w:rPr>
          <w:sz w:val="24"/>
        </w:rPr>
        <w:t>already</w:t>
      </w:r>
      <w:r>
        <w:rPr>
          <w:spacing w:val="-4"/>
          <w:sz w:val="24"/>
        </w:rPr>
        <w:t> </w:t>
      </w:r>
      <w:r>
        <w:rPr>
          <w:sz w:val="24"/>
        </w:rPr>
        <w:t>been</w:t>
      </w:r>
      <w:r>
        <w:rPr>
          <w:spacing w:val="-5"/>
          <w:sz w:val="24"/>
        </w:rPr>
        <w:t> </w:t>
      </w:r>
      <w:r>
        <w:rPr>
          <w:sz w:val="24"/>
        </w:rPr>
        <w:t>assumed</w:t>
      </w:r>
      <w:r>
        <w:rPr>
          <w:spacing w:val="-4"/>
          <w:sz w:val="24"/>
        </w:rPr>
        <w:t> </w:t>
      </w:r>
      <w:r>
        <w:rPr>
          <w:sz w:val="24"/>
        </w:rPr>
        <w:t>in the central projection in the February </w:t>
      </w:r>
      <w:r>
        <w:rPr>
          <w:i/>
          <w:sz w:val="24"/>
        </w:rPr>
        <w:t>Inflation Report</w:t>
      </w:r>
      <w:r>
        <w:rPr>
          <w:sz w:val="24"/>
        </w:rPr>
        <w:t>. These increases would exert some upwards pressure</w:t>
      </w:r>
      <w:r>
        <w:rPr>
          <w:spacing w:val="-8"/>
          <w:sz w:val="24"/>
        </w:rPr>
        <w:t> </w:t>
      </w:r>
      <w:r>
        <w:rPr>
          <w:spacing w:val="3"/>
          <w:sz w:val="24"/>
        </w:rPr>
        <w:t>on</w:t>
      </w:r>
      <w:r>
        <w:rPr>
          <w:spacing w:val="-3"/>
          <w:sz w:val="24"/>
        </w:rPr>
        <w:t> </w:t>
      </w:r>
      <w:r>
        <w:rPr>
          <w:sz w:val="24"/>
        </w:rPr>
        <w:t>input</w:t>
      </w:r>
      <w:r>
        <w:rPr>
          <w:spacing w:val="-3"/>
          <w:sz w:val="24"/>
        </w:rPr>
        <w:t> </w:t>
      </w:r>
      <w:r>
        <w:rPr>
          <w:sz w:val="24"/>
        </w:rPr>
        <w:t>prices,</w:t>
      </w:r>
      <w:r>
        <w:rPr>
          <w:spacing w:val="-8"/>
          <w:sz w:val="24"/>
        </w:rPr>
        <w:t> </w:t>
      </w:r>
      <w:r>
        <w:rPr>
          <w:sz w:val="24"/>
        </w:rPr>
        <w:t>particularly</w:t>
      </w:r>
      <w:r>
        <w:rPr>
          <w:spacing w:val="-7"/>
          <w:sz w:val="24"/>
        </w:rPr>
        <w:t> </w:t>
      </w:r>
      <w:r>
        <w:rPr>
          <w:sz w:val="24"/>
        </w:rPr>
        <w:t>since</w:t>
      </w:r>
      <w:r>
        <w:rPr>
          <w:spacing w:val="-7"/>
          <w:sz w:val="24"/>
        </w:rPr>
        <w:t> </w:t>
      </w:r>
      <w:r>
        <w:rPr>
          <w:sz w:val="24"/>
        </w:rPr>
        <w:t>the</w:t>
      </w:r>
      <w:r>
        <w:rPr>
          <w:spacing w:val="-8"/>
          <w:sz w:val="24"/>
        </w:rPr>
        <w:t> </w:t>
      </w:r>
      <w:r>
        <w:rPr>
          <w:sz w:val="24"/>
        </w:rPr>
        <w:t>falls</w:t>
      </w:r>
      <w:r>
        <w:rPr>
          <w:spacing w:val="-7"/>
          <w:sz w:val="24"/>
        </w:rPr>
        <w:t> </w:t>
      </w:r>
      <w:r>
        <w:rPr>
          <w:sz w:val="24"/>
        </w:rPr>
        <w:t>in</w:t>
      </w:r>
      <w:r>
        <w:rPr>
          <w:spacing w:val="-7"/>
          <w:sz w:val="24"/>
        </w:rPr>
        <w:t> </w:t>
      </w:r>
      <w:r>
        <w:rPr>
          <w:sz w:val="24"/>
        </w:rPr>
        <w:t>non-oil</w:t>
      </w:r>
      <w:r>
        <w:rPr>
          <w:spacing w:val="-8"/>
          <w:sz w:val="24"/>
        </w:rPr>
        <w:t> </w:t>
      </w:r>
      <w:r>
        <w:rPr>
          <w:sz w:val="24"/>
        </w:rPr>
        <w:t>commodity</w:t>
      </w:r>
      <w:r>
        <w:rPr>
          <w:spacing w:val="-7"/>
          <w:sz w:val="24"/>
        </w:rPr>
        <w:t> </w:t>
      </w:r>
      <w:r>
        <w:rPr>
          <w:sz w:val="24"/>
        </w:rPr>
        <w:t>prices</w:t>
      </w:r>
      <w:r>
        <w:rPr>
          <w:spacing w:val="-7"/>
          <w:sz w:val="24"/>
        </w:rPr>
        <w:t> </w:t>
      </w:r>
      <w:r>
        <w:rPr>
          <w:sz w:val="24"/>
        </w:rPr>
        <w:t>might</w:t>
      </w:r>
      <w:r>
        <w:rPr>
          <w:spacing w:val="-4"/>
          <w:sz w:val="24"/>
        </w:rPr>
        <w:t> </w:t>
      </w:r>
      <w:r>
        <w:rPr>
          <w:sz w:val="24"/>
        </w:rPr>
        <w:t>be</w:t>
      </w:r>
      <w:r>
        <w:rPr>
          <w:spacing w:val="-7"/>
          <w:sz w:val="24"/>
        </w:rPr>
        <w:t> </w:t>
      </w:r>
      <w:r>
        <w:rPr>
          <w:sz w:val="24"/>
        </w:rPr>
        <w:t>coming</w:t>
      </w:r>
      <w:r>
        <w:rPr>
          <w:spacing w:val="-7"/>
          <w:sz w:val="24"/>
        </w:rPr>
        <w:t> </w:t>
      </w:r>
      <w:r>
        <w:rPr>
          <w:spacing w:val="4"/>
          <w:sz w:val="24"/>
        </w:rPr>
        <w:t>to </w:t>
      </w:r>
      <w:r>
        <w:rPr>
          <w:sz w:val="24"/>
        </w:rPr>
        <w:t>an end. Depending </w:t>
      </w:r>
      <w:r>
        <w:rPr>
          <w:spacing w:val="2"/>
          <w:sz w:val="24"/>
        </w:rPr>
        <w:t>on </w:t>
      </w:r>
      <w:r>
        <w:rPr>
          <w:sz w:val="24"/>
        </w:rPr>
        <w:t>the path </w:t>
      </w:r>
      <w:r>
        <w:rPr>
          <w:spacing w:val="2"/>
          <w:sz w:val="24"/>
        </w:rPr>
        <w:t>of </w:t>
      </w:r>
      <w:r>
        <w:rPr>
          <w:sz w:val="24"/>
        </w:rPr>
        <w:t>the exchange rate, domestic inflationary pressures might come more </w:t>
      </w:r>
      <w:r>
        <w:rPr>
          <w:spacing w:val="3"/>
          <w:sz w:val="24"/>
        </w:rPr>
        <w:t>to </w:t>
      </w:r>
      <w:r>
        <w:rPr>
          <w:sz w:val="24"/>
        </w:rPr>
        <w:t>the fore in determining the path </w:t>
      </w:r>
      <w:r>
        <w:rPr>
          <w:spacing w:val="2"/>
          <w:sz w:val="24"/>
        </w:rPr>
        <w:t>of </w:t>
      </w:r>
      <w:r>
        <w:rPr>
          <w:sz w:val="24"/>
        </w:rPr>
        <w:t>RPIX, even if competition from imports remained intense. On the </w:t>
      </w:r>
      <w:r>
        <w:rPr>
          <w:spacing w:val="4"/>
          <w:sz w:val="24"/>
        </w:rPr>
        <w:t>other </w:t>
      </w:r>
      <w:r>
        <w:rPr>
          <w:sz w:val="24"/>
        </w:rPr>
        <w:t>hand, the recent falls in non-oil commodity prices had been steeper than expected, and the exchange rate had strengthened. The balance between domestic and international inflationary pressures would be examined in the context </w:t>
      </w:r>
      <w:r>
        <w:rPr>
          <w:spacing w:val="3"/>
          <w:sz w:val="24"/>
        </w:rPr>
        <w:t>of </w:t>
      </w:r>
      <w:r>
        <w:rPr>
          <w:sz w:val="24"/>
        </w:rPr>
        <w:t>the next </w:t>
      </w:r>
      <w:r>
        <w:rPr>
          <w:i/>
          <w:sz w:val="24"/>
        </w:rPr>
        <w:t>Inflation</w:t>
      </w:r>
      <w:r>
        <w:rPr>
          <w:i/>
          <w:spacing w:val="-23"/>
          <w:sz w:val="24"/>
        </w:rPr>
        <w:t> </w:t>
      </w:r>
      <w:r>
        <w:rPr>
          <w:i/>
          <w:sz w:val="24"/>
        </w:rPr>
        <w:t>Report</w:t>
      </w:r>
      <w:r>
        <w:rPr>
          <w:sz w:val="24"/>
        </w:rPr>
        <w:t>.</w:t>
      </w:r>
    </w:p>
    <w:p>
      <w:pPr>
        <w:pStyle w:val="BodyText"/>
        <w:spacing w:before="4"/>
        <w:rPr>
          <w:sz w:val="31"/>
        </w:rPr>
      </w:pPr>
    </w:p>
    <w:p>
      <w:pPr>
        <w:pStyle w:val="ListParagraph"/>
        <w:numPr>
          <w:ilvl w:val="0"/>
          <w:numId w:val="1"/>
        </w:numPr>
        <w:tabs>
          <w:tab w:pos="925" w:val="left" w:leader="none"/>
        </w:tabs>
        <w:spacing w:line="360" w:lineRule="auto" w:before="0" w:after="0"/>
        <w:ind w:left="564" w:right="229" w:firstLine="0"/>
        <w:jc w:val="left"/>
        <w:rPr>
          <w:sz w:val="24"/>
        </w:rPr>
      </w:pPr>
      <w:r>
        <w:rPr>
          <w:sz w:val="24"/>
        </w:rPr>
        <w:t>The most recent figure for RPIX inflation - at 2.4% - had been below the target for the first time since the Committee had been established. </w:t>
      </w:r>
      <w:r>
        <w:rPr>
          <w:spacing w:val="2"/>
          <w:sz w:val="24"/>
        </w:rPr>
        <w:t>This </w:t>
      </w:r>
      <w:r>
        <w:rPr>
          <w:sz w:val="24"/>
        </w:rPr>
        <w:t>had been despite some strength in the price </w:t>
      </w:r>
      <w:r>
        <w:rPr>
          <w:spacing w:val="3"/>
          <w:sz w:val="24"/>
        </w:rPr>
        <w:t>of </w:t>
      </w:r>
      <w:r>
        <w:rPr>
          <w:sz w:val="24"/>
        </w:rPr>
        <w:t>seasonal foods, which might unwind in coming months. But the difference from the 2.5% target was very small, and </w:t>
      </w:r>
      <w:r>
        <w:rPr>
          <w:spacing w:val="2"/>
          <w:sz w:val="24"/>
        </w:rPr>
        <w:t>of </w:t>
      </w:r>
      <w:r>
        <w:rPr>
          <w:sz w:val="24"/>
        </w:rPr>
        <w:t>little relevance </w:t>
      </w:r>
      <w:r>
        <w:rPr>
          <w:spacing w:val="3"/>
          <w:sz w:val="24"/>
        </w:rPr>
        <w:t>to </w:t>
      </w:r>
      <w:r>
        <w:rPr>
          <w:sz w:val="24"/>
        </w:rPr>
        <w:t>the prospects for inflation two years ahead. Next month it was very</w:t>
      </w:r>
      <w:r>
        <w:rPr>
          <w:spacing w:val="-4"/>
          <w:sz w:val="24"/>
        </w:rPr>
        <w:t> </w:t>
      </w:r>
      <w:r>
        <w:rPr>
          <w:sz w:val="24"/>
        </w:rPr>
        <w:t>likely</w:t>
      </w:r>
      <w:r>
        <w:rPr>
          <w:spacing w:val="-4"/>
          <w:sz w:val="24"/>
        </w:rPr>
        <w:t> </w:t>
      </w:r>
      <w:r>
        <w:rPr>
          <w:sz w:val="24"/>
        </w:rPr>
        <w:t>that</w:t>
      </w:r>
      <w:r>
        <w:rPr>
          <w:spacing w:val="1"/>
          <w:sz w:val="24"/>
        </w:rPr>
        <w:t> </w:t>
      </w:r>
      <w:r>
        <w:rPr>
          <w:sz w:val="24"/>
        </w:rPr>
        <w:t>RPIX</w:t>
      </w:r>
      <w:r>
        <w:rPr>
          <w:spacing w:val="-4"/>
          <w:sz w:val="24"/>
        </w:rPr>
        <w:t> </w:t>
      </w:r>
      <w:r>
        <w:rPr>
          <w:sz w:val="24"/>
        </w:rPr>
        <w:t>inflation</w:t>
      </w:r>
      <w:r>
        <w:rPr>
          <w:spacing w:val="-4"/>
          <w:sz w:val="24"/>
        </w:rPr>
        <w:t> </w:t>
      </w:r>
      <w:r>
        <w:rPr>
          <w:sz w:val="24"/>
        </w:rPr>
        <w:t>would</w:t>
      </w:r>
      <w:r>
        <w:rPr>
          <w:spacing w:val="-4"/>
          <w:sz w:val="24"/>
        </w:rPr>
        <w:t> </w:t>
      </w:r>
      <w:r>
        <w:rPr>
          <w:sz w:val="24"/>
        </w:rPr>
        <w:t>be</w:t>
      </w:r>
      <w:r>
        <w:rPr>
          <w:spacing w:val="-3"/>
          <w:sz w:val="24"/>
        </w:rPr>
        <w:t> </w:t>
      </w:r>
      <w:r>
        <w:rPr>
          <w:sz w:val="24"/>
        </w:rPr>
        <w:t>above</w:t>
      </w:r>
      <w:r>
        <w:rPr>
          <w:spacing w:val="-4"/>
          <w:sz w:val="24"/>
        </w:rPr>
        <w:t> </w:t>
      </w:r>
      <w:r>
        <w:rPr>
          <w:sz w:val="24"/>
        </w:rPr>
        <w:t>target as</w:t>
      </w:r>
      <w:r>
        <w:rPr>
          <w:spacing w:val="-3"/>
          <w:sz w:val="24"/>
        </w:rPr>
        <w:t> </w:t>
      </w:r>
      <w:r>
        <w:rPr>
          <w:sz w:val="24"/>
        </w:rPr>
        <w:t>a</w:t>
      </w:r>
      <w:r>
        <w:rPr>
          <w:spacing w:val="-4"/>
          <w:sz w:val="24"/>
        </w:rPr>
        <w:t> </w:t>
      </w:r>
      <w:r>
        <w:rPr>
          <w:sz w:val="24"/>
        </w:rPr>
        <w:t>result</w:t>
      </w:r>
      <w:r>
        <w:rPr>
          <w:spacing w:val="-2"/>
          <w:sz w:val="24"/>
        </w:rPr>
        <w:t> </w:t>
      </w:r>
      <w:r>
        <w:rPr>
          <w:spacing w:val="2"/>
          <w:sz w:val="24"/>
        </w:rPr>
        <w:t>of</w:t>
      </w:r>
      <w:r>
        <w:rPr>
          <w:spacing w:val="1"/>
          <w:sz w:val="24"/>
        </w:rPr>
        <w:t> </w:t>
      </w:r>
      <w:r>
        <w:rPr>
          <w:sz w:val="24"/>
        </w:rPr>
        <w:t>the</w:t>
      </w:r>
      <w:r>
        <w:rPr>
          <w:spacing w:val="-4"/>
          <w:sz w:val="24"/>
        </w:rPr>
        <w:t> </w:t>
      </w:r>
      <w:r>
        <w:rPr>
          <w:sz w:val="24"/>
        </w:rPr>
        <w:t>timing</w:t>
      </w:r>
      <w:r>
        <w:rPr>
          <w:spacing w:val="-4"/>
          <w:sz w:val="24"/>
        </w:rPr>
        <w:t> </w:t>
      </w:r>
      <w:r>
        <w:rPr>
          <w:spacing w:val="2"/>
          <w:sz w:val="24"/>
        </w:rPr>
        <w:t>of</w:t>
      </w:r>
      <w:r>
        <w:rPr>
          <w:spacing w:val="1"/>
          <w:sz w:val="24"/>
        </w:rPr>
        <w:t> </w:t>
      </w:r>
      <w:r>
        <w:rPr>
          <w:sz w:val="24"/>
        </w:rPr>
        <w:t>Budget measures,</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08"/>
      </w:pPr>
      <w:r>
        <w:rPr/>
        <w:t>which would affect petrol prices in March as compared with April last year. But this effect would last for only a month, and should have no implications for inflation in two years’ time.</w:t>
      </w:r>
    </w:p>
    <w:p>
      <w:pPr>
        <w:pStyle w:val="BodyText"/>
        <w:spacing w:before="11"/>
        <w:rPr>
          <w:sz w:val="31"/>
        </w:rPr>
      </w:pPr>
    </w:p>
    <w:p>
      <w:pPr>
        <w:pStyle w:val="Heading2"/>
      </w:pPr>
      <w:r>
        <w:rPr/>
        <w:t>Tactical considerations</w:t>
      </w:r>
    </w:p>
    <w:p>
      <w:pPr>
        <w:pStyle w:val="BodyText"/>
        <w:rPr>
          <w:b/>
          <w:sz w:val="26"/>
        </w:rPr>
      </w:pPr>
    </w:p>
    <w:p>
      <w:pPr>
        <w:pStyle w:val="ListParagraph"/>
        <w:numPr>
          <w:ilvl w:val="0"/>
          <w:numId w:val="1"/>
        </w:numPr>
        <w:tabs>
          <w:tab w:pos="925" w:val="left" w:leader="none"/>
        </w:tabs>
        <w:spacing w:line="360" w:lineRule="auto" w:before="193" w:after="0"/>
        <w:ind w:left="564" w:right="424" w:firstLine="0"/>
        <w:jc w:val="left"/>
        <w:rPr>
          <w:sz w:val="24"/>
        </w:rPr>
      </w:pPr>
      <w:r>
        <w:rPr>
          <w:sz w:val="24"/>
        </w:rPr>
        <w:t>The</w:t>
      </w:r>
      <w:r>
        <w:rPr>
          <w:spacing w:val="-4"/>
          <w:sz w:val="24"/>
        </w:rPr>
        <w:t> </w:t>
      </w:r>
      <w:r>
        <w:rPr>
          <w:sz w:val="24"/>
        </w:rPr>
        <w:t>Committee</w:t>
      </w:r>
      <w:r>
        <w:rPr>
          <w:spacing w:val="-6"/>
          <w:sz w:val="24"/>
        </w:rPr>
        <w:t> </w:t>
      </w:r>
      <w:r>
        <w:rPr>
          <w:sz w:val="24"/>
        </w:rPr>
        <w:t>noted</w:t>
      </w:r>
      <w:r>
        <w:rPr>
          <w:spacing w:val="-5"/>
          <w:sz w:val="24"/>
        </w:rPr>
        <w:t> </w:t>
      </w:r>
      <w:r>
        <w:rPr>
          <w:sz w:val="24"/>
        </w:rPr>
        <w:t>that</w:t>
      </w:r>
      <w:r>
        <w:rPr>
          <w:spacing w:val="-2"/>
          <w:sz w:val="24"/>
        </w:rPr>
        <w:t> </w:t>
      </w:r>
      <w:r>
        <w:rPr>
          <w:sz w:val="24"/>
        </w:rPr>
        <w:t>a</w:t>
      </w:r>
      <w:r>
        <w:rPr>
          <w:spacing w:val="-5"/>
          <w:sz w:val="24"/>
        </w:rPr>
        <w:t> </w:t>
      </w:r>
      <w:r>
        <w:rPr>
          <w:sz w:val="24"/>
        </w:rPr>
        <w:t>reduction</w:t>
      </w:r>
      <w:r>
        <w:rPr>
          <w:spacing w:val="-5"/>
          <w:sz w:val="24"/>
        </w:rPr>
        <w:t> </w:t>
      </w:r>
      <w:r>
        <w:rPr>
          <w:sz w:val="24"/>
        </w:rPr>
        <w:t>in</w:t>
      </w:r>
      <w:r>
        <w:rPr>
          <w:spacing w:val="-5"/>
          <w:sz w:val="24"/>
        </w:rPr>
        <w:t> </w:t>
      </w:r>
      <w:r>
        <w:rPr>
          <w:sz w:val="24"/>
        </w:rPr>
        <w:t>rates</w:t>
      </w:r>
      <w:r>
        <w:rPr>
          <w:spacing w:val="-5"/>
          <w:sz w:val="24"/>
        </w:rPr>
        <w:t> </w:t>
      </w:r>
      <w:r>
        <w:rPr>
          <w:sz w:val="24"/>
        </w:rPr>
        <w:t>was</w:t>
      </w:r>
      <w:r>
        <w:rPr>
          <w:spacing w:val="-6"/>
          <w:sz w:val="24"/>
        </w:rPr>
        <w:t> </w:t>
      </w:r>
      <w:r>
        <w:rPr>
          <w:sz w:val="24"/>
        </w:rPr>
        <w:t>widely</w:t>
      </w:r>
      <w:r>
        <w:rPr>
          <w:spacing w:val="-5"/>
          <w:sz w:val="24"/>
        </w:rPr>
        <w:t> </w:t>
      </w:r>
      <w:r>
        <w:rPr>
          <w:sz w:val="24"/>
        </w:rPr>
        <w:t>expected</w:t>
      </w:r>
      <w:r>
        <w:rPr>
          <w:spacing w:val="-6"/>
          <w:sz w:val="24"/>
        </w:rPr>
        <w:t> </w:t>
      </w:r>
      <w:r>
        <w:rPr>
          <w:sz w:val="24"/>
        </w:rPr>
        <w:t>this</w:t>
      </w:r>
      <w:r>
        <w:rPr>
          <w:spacing w:val="-5"/>
          <w:sz w:val="24"/>
        </w:rPr>
        <w:t> </w:t>
      </w:r>
      <w:r>
        <w:rPr>
          <w:sz w:val="24"/>
        </w:rPr>
        <w:t>month,</w:t>
      </w:r>
      <w:r>
        <w:rPr>
          <w:spacing w:val="-6"/>
          <w:sz w:val="24"/>
        </w:rPr>
        <w:t> </w:t>
      </w:r>
      <w:r>
        <w:rPr>
          <w:sz w:val="24"/>
        </w:rPr>
        <w:t>although</w:t>
      </w:r>
      <w:r>
        <w:rPr>
          <w:spacing w:val="-5"/>
          <w:sz w:val="24"/>
        </w:rPr>
        <w:t> </w:t>
      </w:r>
      <w:r>
        <w:rPr>
          <w:sz w:val="24"/>
        </w:rPr>
        <w:t>rather less universally than had been the case a week earlier. </w:t>
      </w:r>
      <w:r>
        <w:rPr>
          <w:spacing w:val="2"/>
          <w:sz w:val="24"/>
        </w:rPr>
        <w:t>There </w:t>
      </w:r>
      <w:r>
        <w:rPr>
          <w:sz w:val="24"/>
        </w:rPr>
        <w:t>was also a growing feeling in </w:t>
      </w:r>
      <w:r>
        <w:rPr>
          <w:spacing w:val="2"/>
          <w:sz w:val="24"/>
        </w:rPr>
        <w:t>the </w:t>
      </w:r>
      <w:r>
        <w:rPr>
          <w:sz w:val="24"/>
        </w:rPr>
        <w:t>market that the ECB might reduce its rates later that day. Should either factor influence the Committee’s</w:t>
      </w:r>
      <w:r>
        <w:rPr>
          <w:spacing w:val="4"/>
          <w:sz w:val="24"/>
        </w:rPr>
        <w:t> </w:t>
      </w:r>
      <w:r>
        <w:rPr>
          <w:spacing w:val="2"/>
          <w:sz w:val="24"/>
        </w:rPr>
        <w:t>thinking?</w:t>
      </w:r>
    </w:p>
    <w:p>
      <w:pPr>
        <w:pStyle w:val="BodyText"/>
        <w:spacing w:before="3"/>
        <w:rPr>
          <w:sz w:val="31"/>
        </w:rPr>
      </w:pPr>
    </w:p>
    <w:p>
      <w:pPr>
        <w:pStyle w:val="ListParagraph"/>
        <w:numPr>
          <w:ilvl w:val="0"/>
          <w:numId w:val="1"/>
        </w:numPr>
        <w:tabs>
          <w:tab w:pos="925" w:val="left" w:leader="none"/>
        </w:tabs>
        <w:spacing w:line="360" w:lineRule="auto" w:before="0" w:after="0"/>
        <w:ind w:left="564" w:right="266" w:firstLine="0"/>
        <w:jc w:val="left"/>
        <w:rPr>
          <w:sz w:val="24"/>
        </w:rPr>
      </w:pPr>
      <w:r>
        <w:rPr>
          <w:sz w:val="24"/>
        </w:rPr>
        <w:t>It was possible that a decision </w:t>
      </w:r>
      <w:r>
        <w:rPr>
          <w:spacing w:val="2"/>
          <w:sz w:val="24"/>
        </w:rPr>
        <w:t>to </w:t>
      </w:r>
      <w:r>
        <w:rPr>
          <w:sz w:val="24"/>
        </w:rPr>
        <w:t>leave interest rates unchanged would be interpreted as a signal that current levels would be the trough </w:t>
      </w:r>
      <w:r>
        <w:rPr>
          <w:spacing w:val="2"/>
          <w:sz w:val="24"/>
        </w:rPr>
        <w:t>of </w:t>
      </w:r>
      <w:r>
        <w:rPr>
          <w:sz w:val="24"/>
        </w:rPr>
        <w:t>this interest rate cycle. It was also possible that a similar conclusion might be </w:t>
      </w:r>
      <w:r>
        <w:rPr>
          <w:spacing w:val="2"/>
          <w:sz w:val="24"/>
        </w:rPr>
        <w:t>reached </w:t>
      </w:r>
      <w:r>
        <w:rPr>
          <w:sz w:val="24"/>
        </w:rPr>
        <w:t>from an unexpectedly large </w:t>
      </w:r>
      <w:r>
        <w:rPr>
          <w:spacing w:val="2"/>
          <w:sz w:val="24"/>
        </w:rPr>
        <w:t>reduction </w:t>
      </w:r>
      <w:r>
        <w:rPr>
          <w:sz w:val="24"/>
        </w:rPr>
        <w:t>in </w:t>
      </w:r>
      <w:r>
        <w:rPr>
          <w:spacing w:val="2"/>
          <w:sz w:val="24"/>
        </w:rPr>
        <w:t>rates. </w:t>
      </w:r>
      <w:r>
        <w:rPr>
          <w:sz w:val="24"/>
        </w:rPr>
        <w:t>Given that any</w:t>
      </w:r>
      <w:r>
        <w:rPr>
          <w:spacing w:val="-24"/>
          <w:sz w:val="24"/>
        </w:rPr>
        <w:t> </w:t>
      </w:r>
      <w:r>
        <w:rPr>
          <w:sz w:val="24"/>
        </w:rPr>
        <w:t>decision was </w:t>
      </w:r>
      <w:r>
        <w:rPr>
          <w:spacing w:val="3"/>
          <w:sz w:val="24"/>
        </w:rPr>
        <w:t>open </w:t>
      </w:r>
      <w:r>
        <w:rPr>
          <w:spacing w:val="2"/>
          <w:sz w:val="24"/>
        </w:rPr>
        <w:t>to </w:t>
      </w:r>
      <w:r>
        <w:rPr>
          <w:sz w:val="24"/>
        </w:rPr>
        <w:t>misinterpretation, the Committee agreed that this was not a factor which it would take into</w:t>
      </w:r>
      <w:r>
        <w:rPr>
          <w:spacing w:val="6"/>
          <w:sz w:val="24"/>
        </w:rPr>
        <w:t> </w:t>
      </w:r>
      <w:r>
        <w:rPr>
          <w:sz w:val="24"/>
        </w:rPr>
        <w:t>account.</w:t>
      </w:r>
    </w:p>
    <w:p>
      <w:pPr>
        <w:pStyle w:val="BodyText"/>
        <w:spacing w:before="3"/>
        <w:rPr>
          <w:sz w:val="31"/>
        </w:rPr>
      </w:pPr>
    </w:p>
    <w:p>
      <w:pPr>
        <w:pStyle w:val="ListParagraph"/>
        <w:numPr>
          <w:ilvl w:val="0"/>
          <w:numId w:val="1"/>
        </w:numPr>
        <w:tabs>
          <w:tab w:pos="925" w:val="left" w:leader="none"/>
        </w:tabs>
        <w:spacing w:line="360" w:lineRule="auto" w:before="0" w:after="0"/>
        <w:ind w:left="565" w:right="181" w:hanging="1"/>
        <w:jc w:val="left"/>
        <w:rPr>
          <w:sz w:val="24"/>
        </w:rPr>
      </w:pPr>
      <w:r>
        <w:rPr>
          <w:spacing w:val="2"/>
          <w:sz w:val="24"/>
        </w:rPr>
        <w:t>There </w:t>
      </w:r>
      <w:r>
        <w:rPr>
          <w:sz w:val="24"/>
        </w:rPr>
        <w:t>was also the issue </w:t>
      </w:r>
      <w:r>
        <w:rPr>
          <w:spacing w:val="2"/>
          <w:sz w:val="24"/>
        </w:rPr>
        <w:t>of </w:t>
      </w:r>
      <w:r>
        <w:rPr>
          <w:sz w:val="24"/>
        </w:rPr>
        <w:t>the exchange rate. While this was little changed from its level at the time </w:t>
      </w:r>
      <w:r>
        <w:rPr>
          <w:spacing w:val="2"/>
          <w:sz w:val="24"/>
        </w:rPr>
        <w:t>of </w:t>
      </w:r>
      <w:r>
        <w:rPr>
          <w:sz w:val="24"/>
        </w:rPr>
        <w:t>the previous meeting, its strength against the euro continued </w:t>
      </w:r>
      <w:r>
        <w:rPr>
          <w:spacing w:val="2"/>
          <w:sz w:val="24"/>
        </w:rPr>
        <w:t>to </w:t>
      </w:r>
      <w:r>
        <w:rPr>
          <w:sz w:val="24"/>
        </w:rPr>
        <w:t>surprise many </w:t>
      </w:r>
      <w:r>
        <w:rPr>
          <w:spacing w:val="4"/>
          <w:sz w:val="24"/>
        </w:rPr>
        <w:t>observers. </w:t>
      </w:r>
      <w:r>
        <w:rPr>
          <w:sz w:val="24"/>
        </w:rPr>
        <w:t>But the reaction </w:t>
      </w:r>
      <w:r>
        <w:rPr>
          <w:spacing w:val="2"/>
          <w:sz w:val="24"/>
        </w:rPr>
        <w:t>of </w:t>
      </w:r>
      <w:r>
        <w:rPr>
          <w:sz w:val="24"/>
        </w:rPr>
        <w:t>sterling </w:t>
      </w:r>
      <w:r>
        <w:rPr>
          <w:spacing w:val="3"/>
          <w:sz w:val="24"/>
        </w:rPr>
        <w:t>to </w:t>
      </w:r>
      <w:r>
        <w:rPr>
          <w:sz w:val="24"/>
        </w:rPr>
        <w:t>any change in UK interest rates was</w:t>
      </w:r>
      <w:r>
        <w:rPr>
          <w:spacing w:val="29"/>
          <w:sz w:val="24"/>
        </w:rPr>
        <w:t> </w:t>
      </w:r>
      <w:r>
        <w:rPr>
          <w:sz w:val="24"/>
        </w:rPr>
        <w:t>unclear.</w:t>
      </w:r>
    </w:p>
    <w:p>
      <w:pPr>
        <w:pStyle w:val="BodyText"/>
        <w:spacing w:before="9"/>
        <w:rPr>
          <w:sz w:val="31"/>
        </w:rPr>
      </w:pPr>
    </w:p>
    <w:p>
      <w:pPr>
        <w:pStyle w:val="Heading2"/>
        <w:spacing w:before="1"/>
      </w:pPr>
      <w:r>
        <w:rPr/>
        <w:t>The immediate policy decision</w:t>
      </w:r>
    </w:p>
    <w:p>
      <w:pPr>
        <w:pStyle w:val="BodyText"/>
        <w:rPr>
          <w:b/>
          <w:sz w:val="26"/>
        </w:rPr>
      </w:pPr>
    </w:p>
    <w:p>
      <w:pPr>
        <w:pStyle w:val="ListParagraph"/>
        <w:numPr>
          <w:ilvl w:val="0"/>
          <w:numId w:val="1"/>
        </w:numPr>
        <w:tabs>
          <w:tab w:pos="925" w:val="left" w:leader="none"/>
        </w:tabs>
        <w:spacing w:line="360" w:lineRule="auto" w:before="193" w:after="0"/>
        <w:ind w:left="564" w:right="404" w:firstLine="0"/>
        <w:jc w:val="left"/>
        <w:rPr>
          <w:sz w:val="24"/>
        </w:rPr>
      </w:pPr>
      <w:r>
        <w:rPr>
          <w:sz w:val="24"/>
        </w:rPr>
        <w:t>Over the past month, there had been further revisions </w:t>
      </w:r>
      <w:r>
        <w:rPr>
          <w:spacing w:val="3"/>
          <w:sz w:val="24"/>
        </w:rPr>
        <w:t>to </w:t>
      </w:r>
      <w:r>
        <w:rPr>
          <w:sz w:val="24"/>
        </w:rPr>
        <w:t>the level and composition </w:t>
      </w:r>
      <w:r>
        <w:rPr>
          <w:spacing w:val="2"/>
          <w:sz w:val="24"/>
        </w:rPr>
        <w:t>of </w:t>
      </w:r>
      <w:r>
        <w:rPr>
          <w:sz w:val="24"/>
        </w:rPr>
        <w:t>GDP, a continuing</w:t>
      </w:r>
      <w:r>
        <w:rPr>
          <w:spacing w:val="-5"/>
          <w:sz w:val="24"/>
        </w:rPr>
        <w:t> </w:t>
      </w:r>
      <w:r>
        <w:rPr>
          <w:sz w:val="24"/>
        </w:rPr>
        <w:t>recovery</w:t>
      </w:r>
      <w:r>
        <w:rPr>
          <w:spacing w:val="-4"/>
          <w:sz w:val="24"/>
        </w:rPr>
        <w:t> </w:t>
      </w:r>
      <w:r>
        <w:rPr>
          <w:sz w:val="24"/>
        </w:rPr>
        <w:t>in</w:t>
      </w:r>
      <w:r>
        <w:rPr>
          <w:spacing w:val="-4"/>
          <w:sz w:val="24"/>
        </w:rPr>
        <w:t> </w:t>
      </w:r>
      <w:r>
        <w:rPr>
          <w:sz w:val="24"/>
        </w:rPr>
        <w:t>survey</w:t>
      </w:r>
      <w:r>
        <w:rPr>
          <w:spacing w:val="-4"/>
          <w:sz w:val="24"/>
        </w:rPr>
        <w:t> </w:t>
      </w:r>
      <w:r>
        <w:rPr>
          <w:sz w:val="24"/>
        </w:rPr>
        <w:t>data</w:t>
      </w:r>
      <w:r>
        <w:rPr>
          <w:spacing w:val="-5"/>
          <w:sz w:val="24"/>
        </w:rPr>
        <w:t> </w:t>
      </w:r>
      <w:r>
        <w:rPr>
          <w:sz w:val="24"/>
        </w:rPr>
        <w:t>from</w:t>
      </w:r>
      <w:r>
        <w:rPr>
          <w:spacing w:val="-4"/>
          <w:sz w:val="24"/>
        </w:rPr>
        <w:t> </w:t>
      </w:r>
      <w:r>
        <w:rPr>
          <w:sz w:val="24"/>
        </w:rPr>
        <w:t>the</w:t>
      </w:r>
      <w:r>
        <w:rPr>
          <w:spacing w:val="-5"/>
          <w:sz w:val="24"/>
        </w:rPr>
        <w:t> </w:t>
      </w:r>
      <w:r>
        <w:rPr>
          <w:sz w:val="24"/>
        </w:rPr>
        <w:t>low</w:t>
      </w:r>
      <w:r>
        <w:rPr>
          <w:spacing w:val="-4"/>
          <w:sz w:val="24"/>
        </w:rPr>
        <w:t> </w:t>
      </w:r>
      <w:r>
        <w:rPr>
          <w:sz w:val="24"/>
        </w:rPr>
        <w:t>points</w:t>
      </w:r>
      <w:r>
        <w:rPr>
          <w:spacing w:val="-5"/>
          <w:sz w:val="24"/>
        </w:rPr>
        <w:t> </w:t>
      </w:r>
      <w:r>
        <w:rPr>
          <w:sz w:val="24"/>
        </w:rPr>
        <w:t>reached</w:t>
      </w:r>
      <w:r>
        <w:rPr>
          <w:spacing w:val="-3"/>
          <w:sz w:val="24"/>
        </w:rPr>
        <w:t> </w:t>
      </w:r>
      <w:r>
        <w:rPr>
          <w:sz w:val="24"/>
        </w:rPr>
        <w:t>in</w:t>
      </w:r>
      <w:r>
        <w:rPr>
          <w:spacing w:val="-5"/>
          <w:sz w:val="24"/>
        </w:rPr>
        <w:t> </w:t>
      </w:r>
      <w:r>
        <w:rPr>
          <w:sz w:val="24"/>
        </w:rPr>
        <w:t>the</w:t>
      </w:r>
      <w:r>
        <w:rPr>
          <w:spacing w:val="-4"/>
          <w:sz w:val="24"/>
        </w:rPr>
        <w:t> </w:t>
      </w:r>
      <w:r>
        <w:rPr>
          <w:sz w:val="24"/>
        </w:rPr>
        <w:t>latter</w:t>
      </w:r>
      <w:r>
        <w:rPr>
          <w:spacing w:val="-5"/>
          <w:sz w:val="24"/>
        </w:rPr>
        <w:t> </w:t>
      </w:r>
      <w:r>
        <w:rPr>
          <w:sz w:val="24"/>
        </w:rPr>
        <w:t>part </w:t>
      </w:r>
      <w:r>
        <w:rPr>
          <w:spacing w:val="2"/>
          <w:sz w:val="24"/>
        </w:rPr>
        <w:t>of</w:t>
      </w:r>
      <w:r>
        <w:rPr>
          <w:spacing w:val="-1"/>
          <w:sz w:val="24"/>
        </w:rPr>
        <w:t> </w:t>
      </w:r>
      <w:r>
        <w:rPr>
          <w:sz w:val="24"/>
        </w:rPr>
        <w:t>1998,</w:t>
      </w:r>
      <w:r>
        <w:rPr>
          <w:spacing w:val="-4"/>
          <w:sz w:val="24"/>
        </w:rPr>
        <w:t> </w:t>
      </w:r>
      <w:r>
        <w:rPr>
          <w:sz w:val="24"/>
        </w:rPr>
        <w:t>and</w:t>
      </w:r>
      <w:r>
        <w:rPr>
          <w:spacing w:val="-5"/>
          <w:sz w:val="24"/>
        </w:rPr>
        <w:t> </w:t>
      </w:r>
      <w:r>
        <w:rPr>
          <w:sz w:val="24"/>
        </w:rPr>
        <w:t>some easing in labour market pressures, including lower settlements and earnings growth. </w:t>
      </w:r>
      <w:r>
        <w:rPr>
          <w:spacing w:val="2"/>
          <w:sz w:val="24"/>
        </w:rPr>
        <w:t>This </w:t>
      </w:r>
      <w:r>
        <w:rPr>
          <w:sz w:val="24"/>
        </w:rPr>
        <w:t>was against</w:t>
      </w:r>
      <w:r>
        <w:rPr>
          <w:spacing w:val="-2"/>
          <w:sz w:val="24"/>
        </w:rPr>
        <w:t> </w:t>
      </w:r>
      <w:r>
        <w:rPr>
          <w:sz w:val="24"/>
        </w:rPr>
        <w:t>the</w:t>
      </w:r>
      <w:r>
        <w:rPr>
          <w:spacing w:val="-7"/>
          <w:sz w:val="24"/>
        </w:rPr>
        <w:t> </w:t>
      </w:r>
      <w:r>
        <w:rPr>
          <w:sz w:val="24"/>
        </w:rPr>
        <w:t>backdrop</w:t>
      </w:r>
      <w:r>
        <w:rPr>
          <w:spacing w:val="-7"/>
          <w:sz w:val="24"/>
        </w:rPr>
        <w:t> </w:t>
      </w:r>
      <w:r>
        <w:rPr>
          <w:spacing w:val="3"/>
          <w:sz w:val="24"/>
        </w:rPr>
        <w:t>of</w:t>
      </w:r>
      <w:r>
        <w:rPr>
          <w:spacing w:val="-2"/>
          <w:sz w:val="24"/>
        </w:rPr>
        <w:t> </w:t>
      </w:r>
      <w:r>
        <w:rPr>
          <w:sz w:val="24"/>
        </w:rPr>
        <w:t>a</w:t>
      </w:r>
      <w:r>
        <w:rPr>
          <w:spacing w:val="-7"/>
          <w:sz w:val="24"/>
        </w:rPr>
        <w:t> </w:t>
      </w:r>
      <w:r>
        <w:rPr>
          <w:sz w:val="24"/>
        </w:rPr>
        <w:t>world</w:t>
      </w:r>
      <w:r>
        <w:rPr>
          <w:spacing w:val="-7"/>
          <w:sz w:val="24"/>
        </w:rPr>
        <w:t> </w:t>
      </w:r>
      <w:r>
        <w:rPr>
          <w:sz w:val="24"/>
        </w:rPr>
        <w:t>economy</w:t>
      </w:r>
      <w:r>
        <w:rPr>
          <w:spacing w:val="-7"/>
          <w:sz w:val="24"/>
        </w:rPr>
        <w:t> </w:t>
      </w:r>
      <w:r>
        <w:rPr>
          <w:sz w:val="24"/>
        </w:rPr>
        <w:t>in</w:t>
      </w:r>
      <w:r>
        <w:rPr>
          <w:spacing w:val="-6"/>
          <w:sz w:val="24"/>
        </w:rPr>
        <w:t> </w:t>
      </w:r>
      <w:r>
        <w:rPr>
          <w:sz w:val="24"/>
        </w:rPr>
        <w:t>which</w:t>
      </w:r>
      <w:r>
        <w:rPr>
          <w:spacing w:val="-7"/>
          <w:sz w:val="24"/>
        </w:rPr>
        <w:t> </w:t>
      </w:r>
      <w:r>
        <w:rPr>
          <w:sz w:val="24"/>
        </w:rPr>
        <w:t>some</w:t>
      </w:r>
      <w:r>
        <w:rPr>
          <w:spacing w:val="-7"/>
          <w:sz w:val="24"/>
        </w:rPr>
        <w:t> </w:t>
      </w:r>
      <w:r>
        <w:rPr>
          <w:spacing w:val="3"/>
          <w:sz w:val="24"/>
        </w:rPr>
        <w:t>of</w:t>
      </w:r>
      <w:r>
        <w:rPr>
          <w:spacing w:val="-2"/>
          <w:sz w:val="24"/>
        </w:rPr>
        <w:t> </w:t>
      </w:r>
      <w:r>
        <w:rPr>
          <w:sz w:val="24"/>
        </w:rPr>
        <w:t>the</w:t>
      </w:r>
      <w:r>
        <w:rPr>
          <w:spacing w:val="-7"/>
          <w:sz w:val="24"/>
        </w:rPr>
        <w:t> </w:t>
      </w:r>
      <w:r>
        <w:rPr>
          <w:sz w:val="24"/>
        </w:rPr>
        <w:t>downside</w:t>
      </w:r>
      <w:r>
        <w:rPr>
          <w:spacing w:val="-6"/>
          <w:sz w:val="24"/>
        </w:rPr>
        <w:t> </w:t>
      </w:r>
      <w:r>
        <w:rPr>
          <w:spacing w:val="2"/>
          <w:sz w:val="24"/>
        </w:rPr>
        <w:t>risks</w:t>
      </w:r>
      <w:r>
        <w:rPr>
          <w:spacing w:val="-5"/>
          <w:sz w:val="24"/>
        </w:rPr>
        <w:t> </w:t>
      </w:r>
      <w:r>
        <w:rPr>
          <w:sz w:val="24"/>
        </w:rPr>
        <w:t>had</w:t>
      </w:r>
      <w:r>
        <w:rPr>
          <w:spacing w:val="-7"/>
          <w:sz w:val="24"/>
        </w:rPr>
        <w:t> </w:t>
      </w:r>
      <w:r>
        <w:rPr>
          <w:sz w:val="24"/>
        </w:rPr>
        <w:t>diminished,</w:t>
      </w:r>
      <w:r>
        <w:rPr>
          <w:spacing w:val="-7"/>
          <w:sz w:val="24"/>
        </w:rPr>
        <w:t> </w:t>
      </w:r>
      <w:r>
        <w:rPr>
          <w:spacing w:val="3"/>
          <w:sz w:val="24"/>
        </w:rPr>
        <w:t>oil </w:t>
      </w:r>
      <w:r>
        <w:rPr>
          <w:sz w:val="24"/>
        </w:rPr>
        <w:t>prices had risen sharply, and the exchange rate was </w:t>
      </w:r>
      <w:r>
        <w:rPr>
          <w:spacing w:val="2"/>
          <w:sz w:val="24"/>
        </w:rPr>
        <w:t>over </w:t>
      </w:r>
      <w:r>
        <w:rPr>
          <w:sz w:val="24"/>
        </w:rPr>
        <w:t>2% higher than assumed in the February </w:t>
      </w:r>
      <w:r>
        <w:rPr>
          <w:i/>
          <w:sz w:val="24"/>
        </w:rPr>
        <w:t>Inflation</w:t>
      </w:r>
      <w:r>
        <w:rPr>
          <w:i/>
          <w:spacing w:val="-3"/>
          <w:sz w:val="24"/>
        </w:rPr>
        <w:t> </w:t>
      </w:r>
      <w:r>
        <w:rPr>
          <w:i/>
          <w:sz w:val="24"/>
        </w:rPr>
        <w:t>Report</w:t>
      </w:r>
      <w:r>
        <w:rPr>
          <w:sz w:val="24"/>
        </w:rPr>
        <w:t>.</w:t>
      </w:r>
    </w:p>
    <w:p>
      <w:pPr>
        <w:pStyle w:val="BodyText"/>
        <w:spacing w:before="6"/>
        <w:rPr>
          <w:sz w:val="31"/>
        </w:rPr>
      </w:pPr>
    </w:p>
    <w:p>
      <w:pPr>
        <w:pStyle w:val="ListParagraph"/>
        <w:numPr>
          <w:ilvl w:val="0"/>
          <w:numId w:val="1"/>
        </w:numPr>
        <w:tabs>
          <w:tab w:pos="925" w:val="left" w:leader="none"/>
        </w:tabs>
        <w:spacing w:line="360" w:lineRule="auto" w:before="0" w:after="0"/>
        <w:ind w:left="564" w:right="485" w:firstLine="0"/>
        <w:jc w:val="left"/>
        <w:rPr>
          <w:sz w:val="24"/>
        </w:rPr>
      </w:pPr>
      <w:r>
        <w:rPr>
          <w:sz w:val="24"/>
        </w:rPr>
        <w:t>Given</w:t>
      </w:r>
      <w:r>
        <w:rPr>
          <w:spacing w:val="-5"/>
          <w:sz w:val="24"/>
        </w:rPr>
        <w:t> </w:t>
      </w:r>
      <w:r>
        <w:rPr>
          <w:sz w:val="24"/>
        </w:rPr>
        <w:t>this</w:t>
      </w:r>
      <w:r>
        <w:rPr>
          <w:spacing w:val="-5"/>
          <w:sz w:val="24"/>
        </w:rPr>
        <w:t> </w:t>
      </w:r>
      <w:r>
        <w:rPr>
          <w:sz w:val="24"/>
        </w:rPr>
        <w:t>background</w:t>
      </w:r>
      <w:r>
        <w:rPr>
          <w:spacing w:val="-5"/>
          <w:sz w:val="24"/>
        </w:rPr>
        <w:t> </w:t>
      </w:r>
      <w:r>
        <w:rPr>
          <w:sz w:val="24"/>
        </w:rPr>
        <w:t>the</w:t>
      </w:r>
      <w:r>
        <w:rPr>
          <w:spacing w:val="-4"/>
          <w:sz w:val="24"/>
        </w:rPr>
        <w:t> </w:t>
      </w:r>
      <w:r>
        <w:rPr>
          <w:sz w:val="24"/>
        </w:rPr>
        <w:t>Committee</w:t>
      </w:r>
      <w:r>
        <w:rPr>
          <w:spacing w:val="-5"/>
          <w:sz w:val="24"/>
        </w:rPr>
        <w:t> </w:t>
      </w:r>
      <w:r>
        <w:rPr>
          <w:sz w:val="24"/>
        </w:rPr>
        <w:t>discussed</w:t>
      </w:r>
      <w:r>
        <w:rPr>
          <w:spacing w:val="-5"/>
          <w:sz w:val="24"/>
        </w:rPr>
        <w:t> </w:t>
      </w:r>
      <w:r>
        <w:rPr>
          <w:sz w:val="24"/>
        </w:rPr>
        <w:t>the</w:t>
      </w:r>
      <w:r>
        <w:rPr>
          <w:spacing w:val="-4"/>
          <w:sz w:val="24"/>
        </w:rPr>
        <w:t> </w:t>
      </w:r>
      <w:r>
        <w:rPr>
          <w:sz w:val="24"/>
        </w:rPr>
        <w:t>case</w:t>
      </w:r>
      <w:r>
        <w:rPr>
          <w:spacing w:val="-5"/>
          <w:sz w:val="24"/>
        </w:rPr>
        <w:t> </w:t>
      </w:r>
      <w:r>
        <w:rPr>
          <w:sz w:val="24"/>
        </w:rPr>
        <w:t>for</w:t>
      </w:r>
      <w:r>
        <w:rPr>
          <w:spacing w:val="-5"/>
          <w:sz w:val="24"/>
        </w:rPr>
        <w:t> </w:t>
      </w:r>
      <w:r>
        <w:rPr>
          <w:sz w:val="24"/>
        </w:rPr>
        <w:t>no</w:t>
      </w:r>
      <w:r>
        <w:rPr>
          <w:spacing w:val="-4"/>
          <w:sz w:val="24"/>
        </w:rPr>
        <w:t> </w:t>
      </w:r>
      <w:r>
        <w:rPr>
          <w:sz w:val="24"/>
        </w:rPr>
        <w:t>change</w:t>
      </w:r>
      <w:r>
        <w:rPr>
          <w:spacing w:val="-5"/>
          <w:sz w:val="24"/>
        </w:rPr>
        <w:t> </w:t>
      </w:r>
      <w:r>
        <w:rPr>
          <w:spacing w:val="2"/>
          <w:sz w:val="24"/>
        </w:rPr>
        <w:t>to</w:t>
      </w:r>
      <w:r>
        <w:rPr>
          <w:sz w:val="24"/>
        </w:rPr>
        <w:t> rates,</w:t>
      </w:r>
      <w:r>
        <w:rPr>
          <w:spacing w:val="-4"/>
          <w:sz w:val="24"/>
        </w:rPr>
        <w:t> </w:t>
      </w:r>
      <w:r>
        <w:rPr>
          <w:sz w:val="24"/>
        </w:rPr>
        <w:t>a</w:t>
      </w:r>
      <w:r>
        <w:rPr>
          <w:spacing w:val="-5"/>
          <w:sz w:val="24"/>
        </w:rPr>
        <w:t> </w:t>
      </w:r>
      <w:r>
        <w:rPr>
          <w:sz w:val="24"/>
        </w:rPr>
        <w:t>reduction</w:t>
      </w:r>
      <w:r>
        <w:rPr>
          <w:spacing w:val="-4"/>
          <w:sz w:val="24"/>
        </w:rPr>
        <w:t> </w:t>
      </w:r>
      <w:r>
        <w:rPr>
          <w:sz w:val="24"/>
        </w:rPr>
        <w:t>of 25 basis points, and a reduction </w:t>
      </w:r>
      <w:r>
        <w:rPr>
          <w:spacing w:val="2"/>
          <w:sz w:val="24"/>
        </w:rPr>
        <w:t>of </w:t>
      </w:r>
      <w:r>
        <w:rPr>
          <w:sz w:val="24"/>
        </w:rPr>
        <w:t>50 basis</w:t>
      </w:r>
      <w:r>
        <w:rPr>
          <w:spacing w:val="22"/>
          <w:sz w:val="24"/>
        </w:rPr>
        <w:t> </w:t>
      </w:r>
      <w:r>
        <w:rPr>
          <w:sz w:val="24"/>
        </w:rPr>
        <w:t>points.</w:t>
      </w:r>
    </w:p>
    <w:p>
      <w:pPr>
        <w:pStyle w:val="BodyText"/>
        <w:spacing w:before="1"/>
        <w:rPr>
          <w:sz w:val="31"/>
        </w:rPr>
      </w:pPr>
    </w:p>
    <w:p>
      <w:pPr>
        <w:pStyle w:val="ListParagraph"/>
        <w:numPr>
          <w:ilvl w:val="0"/>
          <w:numId w:val="1"/>
        </w:numPr>
        <w:tabs>
          <w:tab w:pos="925" w:val="left" w:leader="none"/>
        </w:tabs>
        <w:spacing w:line="360" w:lineRule="auto" w:before="0" w:after="0"/>
        <w:ind w:left="564" w:right="337" w:firstLine="0"/>
        <w:jc w:val="left"/>
        <w:rPr>
          <w:sz w:val="24"/>
        </w:rPr>
      </w:pPr>
      <w:r>
        <w:rPr>
          <w:sz w:val="24"/>
        </w:rPr>
        <w:t>The Committee considered various developments which could have suggested leaving rates unchanged this month. The prospects for activity were much as expected, with some signs that past reductions in interest rates were beginning </w:t>
      </w:r>
      <w:r>
        <w:rPr>
          <w:spacing w:val="3"/>
          <w:sz w:val="24"/>
        </w:rPr>
        <w:t>to </w:t>
      </w:r>
      <w:r>
        <w:rPr>
          <w:sz w:val="24"/>
        </w:rPr>
        <w:t>sustain activity. The changes </w:t>
      </w:r>
      <w:r>
        <w:rPr>
          <w:spacing w:val="3"/>
          <w:sz w:val="24"/>
        </w:rPr>
        <w:t>to </w:t>
      </w:r>
      <w:r>
        <w:rPr>
          <w:sz w:val="24"/>
        </w:rPr>
        <w:t>the composition</w:t>
      </w:r>
      <w:r>
        <w:rPr>
          <w:spacing w:val="-3"/>
          <w:sz w:val="24"/>
        </w:rPr>
        <w:t> </w:t>
      </w:r>
      <w:r>
        <w:rPr>
          <w:spacing w:val="3"/>
          <w:sz w:val="24"/>
        </w:rPr>
        <w:t>of</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138"/>
      </w:pPr>
      <w:r>
        <w:rPr/>
        <w:t>demand were at least as important as the downwards revision to GDP, and suggested that the downside risks to output from a stock cycle or weak investment during 1999 were less now than previously thought. Financial wealth had risen, with share prices up further during the month and the housing market showing signs of recovery. Survey measures of confidence had also recovered somewhat. Overall, the evidence appeared consistent with positive, if slow, growth in GDP during the rest of this year, as set out in the central projection of the February </w:t>
      </w:r>
      <w:r>
        <w:rPr>
          <w:i/>
        </w:rPr>
        <w:t>Inflation Report</w:t>
      </w:r>
      <w:r>
        <w:rPr/>
        <w:t>. And while there were signs that labour market pressures had begun to ease, the evidence was not conclusive (for example on earnings per hour) and the link between this and prices required further analysis.</w:t>
      </w:r>
    </w:p>
    <w:p>
      <w:pPr>
        <w:pStyle w:val="BodyText"/>
        <w:ind w:left="564"/>
      </w:pPr>
      <w:r>
        <w:rPr/>
        <w:t>Finally, oil prices were sharply higher.</w:t>
      </w:r>
    </w:p>
    <w:p>
      <w:pPr>
        <w:pStyle w:val="BodyText"/>
        <w:rPr>
          <w:sz w:val="26"/>
        </w:rPr>
      </w:pPr>
    </w:p>
    <w:p>
      <w:pPr>
        <w:pStyle w:val="ListParagraph"/>
        <w:numPr>
          <w:ilvl w:val="0"/>
          <w:numId w:val="1"/>
        </w:numPr>
        <w:tabs>
          <w:tab w:pos="925" w:val="left" w:leader="none"/>
        </w:tabs>
        <w:spacing w:line="360" w:lineRule="auto" w:before="198" w:after="0"/>
        <w:ind w:left="564" w:right="181" w:firstLine="0"/>
        <w:jc w:val="left"/>
        <w:rPr>
          <w:sz w:val="24"/>
        </w:rPr>
      </w:pPr>
      <w:r>
        <w:rPr>
          <w:sz w:val="24"/>
        </w:rPr>
        <w:t>But </w:t>
      </w:r>
      <w:r>
        <w:rPr>
          <w:spacing w:val="4"/>
          <w:sz w:val="24"/>
        </w:rPr>
        <w:t>other </w:t>
      </w:r>
      <w:r>
        <w:rPr>
          <w:sz w:val="24"/>
        </w:rPr>
        <w:t>developments pointed </w:t>
      </w:r>
      <w:r>
        <w:rPr>
          <w:spacing w:val="2"/>
          <w:sz w:val="24"/>
        </w:rPr>
        <w:t>to </w:t>
      </w:r>
      <w:r>
        <w:rPr>
          <w:sz w:val="24"/>
        </w:rPr>
        <w:t>the need for a further reduction in interest rates. The effective exchange rate had been stronger throughout most </w:t>
      </w:r>
      <w:r>
        <w:rPr>
          <w:spacing w:val="2"/>
          <w:sz w:val="24"/>
        </w:rPr>
        <w:t>of </w:t>
      </w:r>
      <w:r>
        <w:rPr>
          <w:sz w:val="24"/>
        </w:rPr>
        <w:t>the previous month. Earnings growth seemed to be lower than expected, a view supported by information </w:t>
      </w:r>
      <w:r>
        <w:rPr>
          <w:spacing w:val="2"/>
          <w:sz w:val="24"/>
        </w:rPr>
        <w:t>on </w:t>
      </w:r>
      <w:r>
        <w:rPr>
          <w:sz w:val="24"/>
        </w:rPr>
        <w:t>settlements, although assessing the implications</w:t>
      </w:r>
      <w:r>
        <w:rPr>
          <w:spacing w:val="-10"/>
          <w:sz w:val="24"/>
        </w:rPr>
        <w:t> </w:t>
      </w:r>
      <w:r>
        <w:rPr>
          <w:spacing w:val="3"/>
          <w:sz w:val="24"/>
        </w:rPr>
        <w:t>of</w:t>
      </w:r>
      <w:r>
        <w:rPr>
          <w:spacing w:val="-4"/>
          <w:sz w:val="24"/>
        </w:rPr>
        <w:t> </w:t>
      </w:r>
      <w:r>
        <w:rPr>
          <w:sz w:val="24"/>
        </w:rPr>
        <w:t>this</w:t>
      </w:r>
      <w:r>
        <w:rPr>
          <w:spacing w:val="-10"/>
          <w:sz w:val="24"/>
        </w:rPr>
        <w:t> </w:t>
      </w:r>
      <w:r>
        <w:rPr>
          <w:sz w:val="24"/>
        </w:rPr>
        <w:t>for</w:t>
      </w:r>
      <w:r>
        <w:rPr>
          <w:spacing w:val="-9"/>
          <w:sz w:val="24"/>
        </w:rPr>
        <w:t> </w:t>
      </w:r>
      <w:r>
        <w:rPr>
          <w:sz w:val="24"/>
        </w:rPr>
        <w:t>prices</w:t>
      </w:r>
      <w:r>
        <w:rPr>
          <w:spacing w:val="-9"/>
          <w:sz w:val="24"/>
        </w:rPr>
        <w:t> </w:t>
      </w:r>
      <w:r>
        <w:rPr>
          <w:spacing w:val="2"/>
          <w:sz w:val="24"/>
        </w:rPr>
        <w:t>required</w:t>
      </w:r>
      <w:r>
        <w:rPr>
          <w:spacing w:val="-8"/>
          <w:sz w:val="24"/>
        </w:rPr>
        <w:t> </w:t>
      </w:r>
      <w:r>
        <w:rPr>
          <w:sz w:val="24"/>
        </w:rPr>
        <w:t>more</w:t>
      </w:r>
      <w:r>
        <w:rPr>
          <w:spacing w:val="-9"/>
          <w:sz w:val="24"/>
        </w:rPr>
        <w:t> </w:t>
      </w:r>
      <w:r>
        <w:rPr>
          <w:sz w:val="24"/>
        </w:rPr>
        <w:t>work.</w:t>
      </w:r>
      <w:r>
        <w:rPr>
          <w:spacing w:val="41"/>
          <w:sz w:val="24"/>
        </w:rPr>
        <w:t> </w:t>
      </w:r>
      <w:r>
        <w:rPr>
          <w:sz w:val="24"/>
        </w:rPr>
        <w:t>Finally,</w:t>
      </w:r>
      <w:r>
        <w:rPr>
          <w:spacing w:val="-9"/>
          <w:sz w:val="24"/>
        </w:rPr>
        <w:t> </w:t>
      </w:r>
      <w:r>
        <w:rPr>
          <w:sz w:val="24"/>
        </w:rPr>
        <w:t>confidence,</w:t>
      </w:r>
      <w:r>
        <w:rPr>
          <w:spacing w:val="-10"/>
          <w:sz w:val="24"/>
        </w:rPr>
        <w:t> </w:t>
      </w:r>
      <w:r>
        <w:rPr>
          <w:sz w:val="24"/>
        </w:rPr>
        <w:t>although</w:t>
      </w:r>
      <w:r>
        <w:rPr>
          <w:spacing w:val="-9"/>
          <w:sz w:val="24"/>
        </w:rPr>
        <w:t> </w:t>
      </w:r>
      <w:r>
        <w:rPr>
          <w:sz w:val="24"/>
        </w:rPr>
        <w:t>improved,</w:t>
      </w:r>
      <w:r>
        <w:rPr>
          <w:spacing w:val="-9"/>
          <w:sz w:val="24"/>
        </w:rPr>
        <w:t> </w:t>
      </w:r>
      <w:r>
        <w:rPr>
          <w:sz w:val="24"/>
        </w:rPr>
        <w:t>probably remained fragile. With a reduction in interest rates widely expected a decision </w:t>
      </w:r>
      <w:r>
        <w:rPr>
          <w:spacing w:val="3"/>
          <w:sz w:val="24"/>
        </w:rPr>
        <w:t>to </w:t>
      </w:r>
      <w:r>
        <w:rPr>
          <w:sz w:val="24"/>
        </w:rPr>
        <w:t>maintain rates at their current levels could be seen as a policy tightening, which might have an unnecessarily damaging effect </w:t>
      </w:r>
      <w:r>
        <w:rPr>
          <w:spacing w:val="3"/>
          <w:sz w:val="24"/>
        </w:rPr>
        <w:t>on </w:t>
      </w:r>
      <w:r>
        <w:rPr>
          <w:sz w:val="24"/>
        </w:rPr>
        <w:t>confidence and</w:t>
      </w:r>
      <w:r>
        <w:rPr>
          <w:spacing w:val="22"/>
          <w:sz w:val="24"/>
        </w:rPr>
        <w:t> </w:t>
      </w:r>
      <w:r>
        <w:rPr>
          <w:sz w:val="24"/>
        </w:rPr>
        <w:t>activity.</w:t>
      </w:r>
    </w:p>
    <w:p>
      <w:pPr>
        <w:pStyle w:val="BodyText"/>
        <w:spacing w:before="5"/>
        <w:rPr>
          <w:sz w:val="31"/>
        </w:rPr>
      </w:pPr>
    </w:p>
    <w:p>
      <w:pPr>
        <w:pStyle w:val="ListParagraph"/>
        <w:numPr>
          <w:ilvl w:val="0"/>
          <w:numId w:val="1"/>
        </w:numPr>
        <w:tabs>
          <w:tab w:pos="925" w:val="left" w:leader="none"/>
        </w:tabs>
        <w:spacing w:line="360" w:lineRule="auto" w:before="0" w:after="0"/>
        <w:ind w:left="564" w:right="318" w:firstLine="0"/>
        <w:jc w:val="left"/>
        <w:rPr>
          <w:sz w:val="24"/>
        </w:rPr>
      </w:pPr>
      <w:r>
        <w:rPr>
          <w:sz w:val="24"/>
        </w:rPr>
        <w:t>The previous month several members had felt that not much additional news would be required </w:t>
      </w:r>
      <w:r>
        <w:rPr>
          <w:spacing w:val="3"/>
          <w:sz w:val="24"/>
        </w:rPr>
        <w:t>to </w:t>
      </w:r>
      <w:r>
        <w:rPr>
          <w:sz w:val="24"/>
        </w:rPr>
        <w:t>justify a further reduction in rates. </w:t>
      </w:r>
      <w:r>
        <w:rPr>
          <w:spacing w:val="2"/>
          <w:sz w:val="24"/>
        </w:rPr>
        <w:t>They took </w:t>
      </w:r>
      <w:r>
        <w:rPr>
          <w:sz w:val="24"/>
        </w:rPr>
        <w:t>the view that the balance </w:t>
      </w:r>
      <w:r>
        <w:rPr>
          <w:spacing w:val="2"/>
          <w:sz w:val="24"/>
        </w:rPr>
        <w:t>of </w:t>
      </w:r>
      <w:r>
        <w:rPr>
          <w:sz w:val="24"/>
        </w:rPr>
        <w:t>evidence since then supported a reduction in interest rates this month. While the prospects for activity were little changed </w:t>
      </w:r>
      <w:r>
        <w:rPr>
          <w:spacing w:val="3"/>
          <w:sz w:val="24"/>
        </w:rPr>
        <w:t>over </w:t>
      </w:r>
      <w:r>
        <w:rPr>
          <w:sz w:val="24"/>
        </w:rPr>
        <w:t>the month, the risks </w:t>
      </w:r>
      <w:r>
        <w:rPr>
          <w:spacing w:val="2"/>
          <w:sz w:val="24"/>
        </w:rPr>
        <w:t>to </w:t>
      </w:r>
      <w:r>
        <w:rPr>
          <w:sz w:val="24"/>
        </w:rPr>
        <w:t>the inflation </w:t>
      </w:r>
      <w:r>
        <w:rPr>
          <w:spacing w:val="4"/>
          <w:sz w:val="24"/>
        </w:rPr>
        <w:t>outlook </w:t>
      </w:r>
      <w:r>
        <w:rPr>
          <w:sz w:val="24"/>
        </w:rPr>
        <w:t>had shifted somewhat </w:t>
      </w:r>
      <w:r>
        <w:rPr>
          <w:spacing w:val="2"/>
          <w:sz w:val="24"/>
        </w:rPr>
        <w:t>to </w:t>
      </w:r>
      <w:r>
        <w:rPr>
          <w:sz w:val="24"/>
        </w:rPr>
        <w:t>the</w:t>
      </w:r>
      <w:r>
        <w:rPr>
          <w:spacing w:val="-41"/>
          <w:sz w:val="24"/>
        </w:rPr>
        <w:t> </w:t>
      </w:r>
      <w:r>
        <w:rPr>
          <w:sz w:val="24"/>
        </w:rPr>
        <w:t>downside. It was</w:t>
      </w:r>
      <w:r>
        <w:rPr>
          <w:spacing w:val="-4"/>
          <w:sz w:val="24"/>
        </w:rPr>
        <w:t> </w:t>
      </w:r>
      <w:r>
        <w:rPr>
          <w:sz w:val="24"/>
        </w:rPr>
        <w:t>therefore</w:t>
      </w:r>
      <w:r>
        <w:rPr>
          <w:spacing w:val="-4"/>
          <w:sz w:val="24"/>
        </w:rPr>
        <w:t> </w:t>
      </w:r>
      <w:r>
        <w:rPr>
          <w:sz w:val="24"/>
        </w:rPr>
        <w:t>appropriate</w:t>
      </w:r>
      <w:r>
        <w:rPr>
          <w:spacing w:val="-3"/>
          <w:sz w:val="24"/>
        </w:rPr>
        <w:t> </w:t>
      </w:r>
      <w:r>
        <w:rPr>
          <w:spacing w:val="2"/>
          <w:sz w:val="24"/>
        </w:rPr>
        <w:t>to</w:t>
      </w:r>
      <w:r>
        <w:rPr>
          <w:spacing w:val="1"/>
          <w:sz w:val="24"/>
        </w:rPr>
        <w:t> </w:t>
      </w:r>
      <w:r>
        <w:rPr>
          <w:sz w:val="24"/>
        </w:rPr>
        <w:t>reduce</w:t>
      </w:r>
      <w:r>
        <w:rPr>
          <w:spacing w:val="-2"/>
          <w:sz w:val="24"/>
        </w:rPr>
        <w:t> </w:t>
      </w:r>
      <w:r>
        <w:rPr>
          <w:sz w:val="24"/>
        </w:rPr>
        <w:t>rates</w:t>
      </w:r>
      <w:r>
        <w:rPr>
          <w:spacing w:val="-3"/>
          <w:sz w:val="24"/>
        </w:rPr>
        <w:t> </w:t>
      </w:r>
      <w:r>
        <w:rPr>
          <w:sz w:val="24"/>
        </w:rPr>
        <w:t>by</w:t>
      </w:r>
      <w:r>
        <w:rPr>
          <w:spacing w:val="-4"/>
          <w:sz w:val="24"/>
        </w:rPr>
        <w:t> </w:t>
      </w:r>
      <w:r>
        <w:rPr>
          <w:sz w:val="24"/>
        </w:rPr>
        <w:t>25</w:t>
      </w:r>
      <w:r>
        <w:rPr>
          <w:spacing w:val="-4"/>
          <w:sz w:val="24"/>
        </w:rPr>
        <w:t> </w:t>
      </w:r>
      <w:r>
        <w:rPr>
          <w:sz w:val="24"/>
        </w:rPr>
        <w:t>basis</w:t>
      </w:r>
      <w:r>
        <w:rPr>
          <w:spacing w:val="-4"/>
          <w:sz w:val="24"/>
        </w:rPr>
        <w:t> </w:t>
      </w:r>
      <w:r>
        <w:rPr>
          <w:sz w:val="24"/>
        </w:rPr>
        <w:t>points</w:t>
      </w:r>
      <w:r>
        <w:rPr>
          <w:spacing w:val="-5"/>
          <w:sz w:val="24"/>
        </w:rPr>
        <w:t> </w:t>
      </w:r>
      <w:r>
        <w:rPr>
          <w:sz w:val="24"/>
        </w:rPr>
        <w:t>in</w:t>
      </w:r>
      <w:r>
        <w:rPr>
          <w:spacing w:val="-4"/>
          <w:sz w:val="24"/>
        </w:rPr>
        <w:t> </w:t>
      </w:r>
      <w:r>
        <w:rPr>
          <w:spacing w:val="4"/>
          <w:sz w:val="24"/>
        </w:rPr>
        <w:t>order</w:t>
      </w:r>
      <w:r>
        <w:rPr>
          <w:spacing w:val="1"/>
          <w:sz w:val="24"/>
        </w:rPr>
        <w:t> </w:t>
      </w:r>
      <w:r>
        <w:rPr>
          <w:spacing w:val="2"/>
          <w:sz w:val="24"/>
        </w:rPr>
        <w:t>to</w:t>
      </w:r>
      <w:r>
        <w:rPr>
          <w:spacing w:val="1"/>
          <w:sz w:val="24"/>
        </w:rPr>
        <w:t> </w:t>
      </w:r>
      <w:r>
        <w:rPr>
          <w:sz w:val="24"/>
        </w:rPr>
        <w:t>meet</w:t>
      </w:r>
      <w:r>
        <w:rPr>
          <w:spacing w:val="1"/>
          <w:sz w:val="24"/>
        </w:rPr>
        <w:t> </w:t>
      </w:r>
      <w:r>
        <w:rPr>
          <w:sz w:val="24"/>
        </w:rPr>
        <w:t>the</w:t>
      </w:r>
      <w:r>
        <w:rPr>
          <w:spacing w:val="-4"/>
          <w:sz w:val="24"/>
        </w:rPr>
        <w:t> </w:t>
      </w:r>
      <w:r>
        <w:rPr>
          <w:sz w:val="24"/>
        </w:rPr>
        <w:t>inflation</w:t>
      </w:r>
      <w:r>
        <w:rPr>
          <w:spacing w:val="-3"/>
          <w:sz w:val="24"/>
        </w:rPr>
        <w:t> </w:t>
      </w:r>
      <w:r>
        <w:rPr>
          <w:sz w:val="24"/>
        </w:rPr>
        <w:t>target.</w:t>
      </w:r>
    </w:p>
    <w:p>
      <w:pPr>
        <w:pStyle w:val="BodyText"/>
        <w:spacing w:before="2"/>
        <w:rPr>
          <w:sz w:val="31"/>
        </w:rPr>
      </w:pPr>
    </w:p>
    <w:p>
      <w:pPr>
        <w:pStyle w:val="ListParagraph"/>
        <w:numPr>
          <w:ilvl w:val="0"/>
          <w:numId w:val="1"/>
        </w:numPr>
        <w:tabs>
          <w:tab w:pos="925" w:val="left" w:leader="none"/>
        </w:tabs>
        <w:spacing w:line="360" w:lineRule="auto" w:before="1" w:after="0"/>
        <w:ind w:left="564" w:right="234" w:firstLine="0"/>
        <w:jc w:val="left"/>
        <w:rPr>
          <w:sz w:val="24"/>
        </w:rPr>
      </w:pPr>
      <w:r>
        <w:rPr>
          <w:sz w:val="24"/>
        </w:rPr>
        <w:t>Another</w:t>
      </w:r>
      <w:r>
        <w:rPr>
          <w:spacing w:val="-4"/>
          <w:sz w:val="24"/>
        </w:rPr>
        <w:t> </w:t>
      </w:r>
      <w:r>
        <w:rPr>
          <w:sz w:val="24"/>
        </w:rPr>
        <w:t>view</w:t>
      </w:r>
      <w:r>
        <w:rPr>
          <w:spacing w:val="-4"/>
          <w:sz w:val="24"/>
        </w:rPr>
        <w:t> </w:t>
      </w:r>
      <w:r>
        <w:rPr>
          <w:sz w:val="24"/>
        </w:rPr>
        <w:t>which</w:t>
      </w:r>
      <w:r>
        <w:rPr>
          <w:spacing w:val="-4"/>
          <w:sz w:val="24"/>
        </w:rPr>
        <w:t> </w:t>
      </w:r>
      <w:r>
        <w:rPr>
          <w:sz w:val="24"/>
        </w:rPr>
        <w:t>favoured</w:t>
      </w:r>
      <w:r>
        <w:rPr>
          <w:spacing w:val="-4"/>
          <w:sz w:val="24"/>
        </w:rPr>
        <w:t> </w:t>
      </w:r>
      <w:r>
        <w:rPr>
          <w:sz w:val="24"/>
        </w:rPr>
        <w:t>an</w:t>
      </w:r>
      <w:r>
        <w:rPr>
          <w:spacing w:val="-4"/>
          <w:sz w:val="24"/>
        </w:rPr>
        <w:t> </w:t>
      </w:r>
      <w:r>
        <w:rPr>
          <w:sz w:val="24"/>
        </w:rPr>
        <w:t>immediate</w:t>
      </w:r>
      <w:r>
        <w:rPr>
          <w:spacing w:val="-4"/>
          <w:sz w:val="24"/>
        </w:rPr>
        <w:t> </w:t>
      </w:r>
      <w:r>
        <w:rPr>
          <w:sz w:val="24"/>
        </w:rPr>
        <w:t>reduction</w:t>
      </w:r>
      <w:r>
        <w:rPr>
          <w:spacing w:val="-2"/>
          <w:sz w:val="24"/>
        </w:rPr>
        <w:t> </w:t>
      </w:r>
      <w:r>
        <w:rPr>
          <w:sz w:val="24"/>
        </w:rPr>
        <w:t>in</w:t>
      </w:r>
      <w:r>
        <w:rPr>
          <w:spacing w:val="-4"/>
          <w:sz w:val="24"/>
        </w:rPr>
        <w:t> </w:t>
      </w:r>
      <w:r>
        <w:rPr>
          <w:sz w:val="24"/>
        </w:rPr>
        <w:t>the</w:t>
      </w:r>
      <w:r>
        <w:rPr>
          <w:spacing w:val="-4"/>
          <w:sz w:val="24"/>
        </w:rPr>
        <w:t> </w:t>
      </w:r>
      <w:r>
        <w:rPr>
          <w:sz w:val="24"/>
        </w:rPr>
        <w:t>repo</w:t>
      </w:r>
      <w:r>
        <w:rPr>
          <w:spacing w:val="-2"/>
          <w:sz w:val="24"/>
        </w:rPr>
        <w:t> </w:t>
      </w:r>
      <w:r>
        <w:rPr>
          <w:sz w:val="24"/>
        </w:rPr>
        <w:t>rate</w:t>
      </w:r>
      <w:r>
        <w:rPr>
          <w:spacing w:val="-2"/>
          <w:sz w:val="24"/>
        </w:rPr>
        <w:t> </w:t>
      </w:r>
      <w:r>
        <w:rPr>
          <w:spacing w:val="2"/>
          <w:sz w:val="24"/>
        </w:rPr>
        <w:t>of</w:t>
      </w:r>
      <w:r>
        <w:rPr>
          <w:sz w:val="24"/>
        </w:rPr>
        <w:t> 25</w:t>
      </w:r>
      <w:r>
        <w:rPr>
          <w:spacing w:val="-4"/>
          <w:sz w:val="24"/>
        </w:rPr>
        <w:t> </w:t>
      </w:r>
      <w:r>
        <w:rPr>
          <w:sz w:val="24"/>
        </w:rPr>
        <w:t>basis</w:t>
      </w:r>
      <w:r>
        <w:rPr>
          <w:spacing w:val="-4"/>
          <w:sz w:val="24"/>
        </w:rPr>
        <w:t> </w:t>
      </w:r>
      <w:r>
        <w:rPr>
          <w:sz w:val="24"/>
        </w:rPr>
        <w:t>points</w:t>
      </w:r>
      <w:r>
        <w:rPr>
          <w:spacing w:val="-4"/>
          <w:sz w:val="24"/>
        </w:rPr>
        <w:t> </w:t>
      </w:r>
      <w:r>
        <w:rPr>
          <w:sz w:val="24"/>
        </w:rPr>
        <w:t>was</w:t>
      </w:r>
      <w:r>
        <w:rPr>
          <w:spacing w:val="-3"/>
          <w:sz w:val="24"/>
        </w:rPr>
        <w:t> </w:t>
      </w:r>
      <w:r>
        <w:rPr>
          <w:sz w:val="24"/>
        </w:rPr>
        <w:t>that there was a growing risk that the inflation target would be undershot, given the lags between </w:t>
      </w:r>
      <w:r>
        <w:rPr>
          <w:spacing w:val="2"/>
          <w:sz w:val="24"/>
        </w:rPr>
        <w:t>output </w:t>
      </w:r>
      <w:r>
        <w:rPr>
          <w:sz w:val="24"/>
        </w:rPr>
        <w:t>and inflation, the intensity </w:t>
      </w:r>
      <w:r>
        <w:rPr>
          <w:spacing w:val="3"/>
          <w:sz w:val="24"/>
        </w:rPr>
        <w:t>of </w:t>
      </w:r>
      <w:r>
        <w:rPr>
          <w:sz w:val="24"/>
        </w:rPr>
        <w:t>price competition from </w:t>
      </w:r>
      <w:r>
        <w:rPr>
          <w:spacing w:val="5"/>
          <w:sz w:val="24"/>
        </w:rPr>
        <w:t>overseas </w:t>
      </w:r>
      <w:r>
        <w:rPr>
          <w:sz w:val="24"/>
        </w:rPr>
        <w:t>and the deceleration seen in settlements and earnings. Short-term inflation expectations as measured by surveys had declined, and might fall further given the sharp decline in the RPI measure </w:t>
      </w:r>
      <w:r>
        <w:rPr>
          <w:spacing w:val="3"/>
          <w:sz w:val="24"/>
        </w:rPr>
        <w:t>of </w:t>
      </w:r>
      <w:r>
        <w:rPr>
          <w:sz w:val="24"/>
        </w:rPr>
        <w:t>inflation. The size </w:t>
      </w:r>
      <w:r>
        <w:rPr>
          <w:spacing w:val="3"/>
          <w:sz w:val="24"/>
        </w:rPr>
        <w:t>of </w:t>
      </w:r>
      <w:r>
        <w:rPr>
          <w:sz w:val="24"/>
        </w:rPr>
        <w:t>the </w:t>
      </w:r>
      <w:r>
        <w:rPr>
          <w:spacing w:val="4"/>
          <w:sz w:val="24"/>
        </w:rPr>
        <w:t>P</w:t>
      </w:r>
      <w:r>
        <w:rPr>
          <w:spacing w:val="4"/>
          <w:sz w:val="20"/>
        </w:rPr>
        <w:t>NFC </w:t>
      </w:r>
      <w:r>
        <w:rPr>
          <w:sz w:val="24"/>
        </w:rPr>
        <w:t>deficit was a concern, and the growth in investment might well be a temporary pre-millennium effect. Finally, the intensifying Balkans conflict increased the downside </w:t>
      </w:r>
      <w:r>
        <w:rPr>
          <w:spacing w:val="2"/>
          <w:sz w:val="24"/>
        </w:rPr>
        <w:t>risks </w:t>
      </w:r>
      <w:r>
        <w:rPr>
          <w:spacing w:val="3"/>
          <w:sz w:val="24"/>
        </w:rPr>
        <w:t>of </w:t>
      </w:r>
      <w:r>
        <w:rPr>
          <w:sz w:val="24"/>
        </w:rPr>
        <w:t>a further blow </w:t>
      </w:r>
      <w:r>
        <w:rPr>
          <w:spacing w:val="4"/>
          <w:sz w:val="24"/>
        </w:rPr>
        <w:t>to </w:t>
      </w:r>
      <w:r>
        <w:rPr>
          <w:sz w:val="24"/>
        </w:rPr>
        <w:t>confidence in the global economy. It was therefore necessary </w:t>
      </w:r>
      <w:r>
        <w:rPr>
          <w:spacing w:val="3"/>
          <w:sz w:val="24"/>
        </w:rPr>
        <w:t>to </w:t>
      </w:r>
      <w:r>
        <w:rPr>
          <w:sz w:val="24"/>
        </w:rPr>
        <w:t>keep interest rates </w:t>
      </w:r>
      <w:r>
        <w:rPr>
          <w:spacing w:val="2"/>
          <w:sz w:val="24"/>
        </w:rPr>
        <w:t>on </w:t>
      </w:r>
      <w:r>
        <w:rPr>
          <w:sz w:val="24"/>
        </w:rPr>
        <w:t>a downwards path, and a reduction in rates </w:t>
      </w:r>
      <w:r>
        <w:rPr>
          <w:spacing w:val="2"/>
          <w:sz w:val="24"/>
        </w:rPr>
        <w:t>of </w:t>
      </w:r>
      <w:r>
        <w:rPr>
          <w:sz w:val="24"/>
        </w:rPr>
        <w:t>25 basis points this month was</w:t>
      </w:r>
      <w:r>
        <w:rPr>
          <w:spacing w:val="20"/>
          <w:sz w:val="24"/>
        </w:rPr>
        <w:t> </w:t>
      </w:r>
      <w:r>
        <w:rPr>
          <w:sz w:val="24"/>
        </w:rPr>
        <w:t>appropriate.</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ListParagraph"/>
        <w:numPr>
          <w:ilvl w:val="0"/>
          <w:numId w:val="1"/>
        </w:numPr>
        <w:tabs>
          <w:tab w:pos="925" w:val="left" w:leader="none"/>
        </w:tabs>
        <w:spacing w:line="360" w:lineRule="auto" w:before="0" w:after="0"/>
        <w:ind w:left="564" w:right="164" w:firstLine="0"/>
        <w:jc w:val="left"/>
        <w:rPr>
          <w:sz w:val="24"/>
        </w:rPr>
      </w:pPr>
      <w:r>
        <w:rPr>
          <w:sz w:val="24"/>
        </w:rPr>
        <w:t>Another view was that in March, a reduction </w:t>
      </w:r>
      <w:r>
        <w:rPr>
          <w:spacing w:val="2"/>
          <w:sz w:val="24"/>
        </w:rPr>
        <w:t>of </w:t>
      </w:r>
      <w:r>
        <w:rPr>
          <w:sz w:val="24"/>
        </w:rPr>
        <w:t>40 basis points had been required. Since then the revisions </w:t>
      </w:r>
      <w:r>
        <w:rPr>
          <w:spacing w:val="3"/>
          <w:sz w:val="24"/>
        </w:rPr>
        <w:t>to </w:t>
      </w:r>
      <w:r>
        <w:rPr>
          <w:sz w:val="24"/>
        </w:rPr>
        <w:t>GDP had contained little news, although given the underspend in 1998, it was possible that government final demand might increase by less than planned. With price developments favourable, and the future earnings profile likely </w:t>
      </w:r>
      <w:r>
        <w:rPr>
          <w:spacing w:val="3"/>
          <w:sz w:val="24"/>
        </w:rPr>
        <w:t>to </w:t>
      </w:r>
      <w:r>
        <w:rPr>
          <w:sz w:val="24"/>
        </w:rPr>
        <w:t>be below that contained in the February </w:t>
      </w:r>
      <w:r>
        <w:rPr>
          <w:i/>
          <w:sz w:val="24"/>
        </w:rPr>
        <w:t>Inflation </w:t>
      </w:r>
      <w:r>
        <w:rPr>
          <w:i/>
          <w:sz w:val="24"/>
        </w:rPr>
        <w:t>Report</w:t>
      </w:r>
      <w:r>
        <w:rPr>
          <w:sz w:val="24"/>
        </w:rPr>
        <w:t>, it was preferable </w:t>
      </w:r>
      <w:r>
        <w:rPr>
          <w:spacing w:val="2"/>
          <w:sz w:val="24"/>
        </w:rPr>
        <w:t>to </w:t>
      </w:r>
      <w:r>
        <w:rPr>
          <w:sz w:val="24"/>
        </w:rPr>
        <w:t>reduce the repo rate by 50 basis points now, in </w:t>
      </w:r>
      <w:r>
        <w:rPr>
          <w:spacing w:val="4"/>
          <w:sz w:val="24"/>
        </w:rPr>
        <w:t>order </w:t>
      </w:r>
      <w:r>
        <w:rPr>
          <w:spacing w:val="2"/>
          <w:sz w:val="24"/>
        </w:rPr>
        <w:t>to </w:t>
      </w:r>
      <w:r>
        <w:rPr>
          <w:sz w:val="24"/>
        </w:rPr>
        <w:t>prevent inflation falling below the target and </w:t>
      </w:r>
      <w:r>
        <w:rPr>
          <w:spacing w:val="3"/>
          <w:sz w:val="24"/>
        </w:rPr>
        <w:t>to </w:t>
      </w:r>
      <w:r>
        <w:rPr>
          <w:sz w:val="24"/>
        </w:rPr>
        <w:t>underpin</w:t>
      </w:r>
      <w:r>
        <w:rPr>
          <w:spacing w:val="21"/>
          <w:sz w:val="24"/>
        </w:rPr>
        <w:t> </w:t>
      </w:r>
      <w:r>
        <w:rPr>
          <w:sz w:val="24"/>
        </w:rPr>
        <w:t>activity.</w:t>
      </w:r>
    </w:p>
    <w:p>
      <w:pPr>
        <w:pStyle w:val="BodyText"/>
        <w:spacing w:before="6"/>
        <w:rPr>
          <w:sz w:val="31"/>
        </w:rPr>
      </w:pPr>
    </w:p>
    <w:p>
      <w:pPr>
        <w:pStyle w:val="ListParagraph"/>
        <w:numPr>
          <w:ilvl w:val="0"/>
          <w:numId w:val="1"/>
        </w:numPr>
        <w:tabs>
          <w:tab w:pos="925" w:val="left" w:leader="none"/>
        </w:tabs>
        <w:spacing w:line="360" w:lineRule="auto" w:before="0" w:after="0"/>
        <w:ind w:left="564" w:right="303"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6"/>
          <w:sz w:val="24"/>
        </w:rPr>
        <w:t>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2"/>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5"/>
          <w:sz w:val="24"/>
        </w:rPr>
        <w:t>Bank’s</w:t>
      </w:r>
      <w:r>
        <w:rPr>
          <w:spacing w:val="-6"/>
          <w:sz w:val="24"/>
        </w:rPr>
        <w:t> </w:t>
      </w:r>
      <w:r>
        <w:rPr>
          <w:sz w:val="24"/>
        </w:rPr>
        <w:t>repo rate be reduced by 25 basis points </w:t>
      </w:r>
      <w:r>
        <w:rPr>
          <w:spacing w:val="2"/>
          <w:sz w:val="24"/>
        </w:rPr>
        <w:t>to </w:t>
      </w:r>
      <w:r>
        <w:rPr>
          <w:sz w:val="24"/>
        </w:rPr>
        <w:t>5.25%. Eight members </w:t>
      </w:r>
      <w:r>
        <w:rPr>
          <w:spacing w:val="2"/>
          <w:sz w:val="24"/>
        </w:rPr>
        <w:t>of </w:t>
      </w:r>
      <w:r>
        <w:rPr>
          <w:sz w:val="24"/>
        </w:rPr>
        <w:t>the Committee (the Governor, Mervyn King, David Clementi, Alan Budd, Charles Goodhart, DeAnne Julius, Ian Plenderleith and John Vickers) voted for the proposition. Willem Buiter voted against, preferring a reduction </w:t>
      </w:r>
      <w:r>
        <w:rPr>
          <w:spacing w:val="2"/>
          <w:sz w:val="24"/>
        </w:rPr>
        <w:t>of </w:t>
      </w:r>
      <w:r>
        <w:rPr>
          <w:sz w:val="24"/>
        </w:rPr>
        <w:t>50 basis</w:t>
      </w:r>
      <w:r>
        <w:rPr>
          <w:spacing w:val="3"/>
          <w:sz w:val="24"/>
        </w:rPr>
        <w:t> </w:t>
      </w:r>
      <w:r>
        <w:rPr>
          <w:sz w:val="24"/>
        </w:rPr>
        <w:t>points.</w:t>
      </w:r>
    </w:p>
    <w:p>
      <w:pPr>
        <w:pStyle w:val="ListParagraph"/>
        <w:numPr>
          <w:ilvl w:val="0"/>
          <w:numId w:val="1"/>
        </w:numPr>
        <w:tabs>
          <w:tab w:pos="925" w:val="left" w:leader="none"/>
        </w:tabs>
        <w:spacing w:line="532" w:lineRule="exact" w:before="38" w:after="0"/>
        <w:ind w:left="564" w:right="4142" w:firstLine="0"/>
        <w:jc w:val="left"/>
        <w:rPr>
          <w:sz w:val="24"/>
        </w:rPr>
      </w:pPr>
      <w:r>
        <w:rPr>
          <w:sz w:val="24"/>
        </w:rPr>
        <w:t>The following members </w:t>
      </w:r>
      <w:r>
        <w:rPr>
          <w:spacing w:val="3"/>
          <w:sz w:val="24"/>
        </w:rPr>
        <w:t>of </w:t>
      </w:r>
      <w:r>
        <w:rPr>
          <w:sz w:val="24"/>
        </w:rPr>
        <w:t>the Committee were</w:t>
      </w:r>
      <w:r>
        <w:rPr>
          <w:spacing w:val="-36"/>
          <w:sz w:val="24"/>
        </w:rPr>
        <w:t> </w:t>
      </w:r>
      <w:r>
        <w:rPr>
          <w:sz w:val="24"/>
        </w:rPr>
        <w:t>present. Eddie George,</w:t>
      </w:r>
      <w:r>
        <w:rPr>
          <w:spacing w:val="4"/>
          <w:sz w:val="24"/>
        </w:rPr>
        <w:t> </w:t>
      </w:r>
      <w:r>
        <w:rPr>
          <w:sz w:val="24"/>
        </w:rPr>
        <w:t>Governor</w:t>
      </w:r>
    </w:p>
    <w:p>
      <w:pPr>
        <w:pStyle w:val="BodyText"/>
        <w:spacing w:line="224" w:lineRule="exact"/>
        <w:ind w:left="564"/>
      </w:pPr>
      <w:r>
        <w:rPr/>
        <w:t>Mervyn King, Deputy Governor responsible for monetary policy</w:t>
      </w:r>
    </w:p>
    <w:p>
      <w:pPr>
        <w:pStyle w:val="BodyText"/>
        <w:spacing w:line="242" w:lineRule="auto"/>
        <w:ind w:left="564" w:right="2871"/>
      </w:pPr>
      <w:r>
        <w:rPr/>
        <w:t>David Clementi, Deputy Governor responsible for financial stability Alan Budd</w:t>
      </w:r>
    </w:p>
    <w:p>
      <w:pPr>
        <w:pStyle w:val="BodyText"/>
        <w:ind w:left="564" w:right="8156"/>
      </w:pPr>
      <w:r>
        <w:rPr/>
        <w:t>Willem Buiter Charles Goodhart DeAnne Julius Ian Plenderleith John Vickers</w:t>
      </w:r>
    </w:p>
    <w:p>
      <w:pPr>
        <w:pStyle w:val="BodyText"/>
        <w:spacing w:before="4"/>
        <w:rPr>
          <w:sz w:val="23"/>
        </w:rPr>
      </w:pPr>
    </w:p>
    <w:p>
      <w:pPr>
        <w:pStyle w:val="BodyText"/>
        <w:spacing w:before="1"/>
        <w:ind w:left="564"/>
      </w:pPr>
      <w:r>
        <w:rPr/>
        <w:t>Andrew Turnbull was present as the Treasury representative.</w:t>
      </w:r>
    </w:p>
    <w:p>
      <w:pPr>
        <w:spacing w:after="0"/>
        <w:sectPr>
          <w:pgSz w:w="11900" w:h="16840"/>
          <w:pgMar w:header="743" w:footer="0" w:top="1160" w:bottom="280" w:left="880" w:right="580"/>
        </w:sectPr>
      </w:pPr>
    </w:p>
    <w:p>
      <w:pPr>
        <w:pStyle w:val="Heading1"/>
      </w:pPr>
      <w:r>
        <w:rPr/>
        <w:t>ANNEX: SUMMARY OF DATA PRESENTED BY BANK STAFF</w:t>
      </w:r>
    </w:p>
    <w:p>
      <w:pPr>
        <w:pStyle w:val="BodyText"/>
        <w:spacing w:before="5"/>
        <w:rPr>
          <w:b/>
          <w:sz w:val="27"/>
        </w:rPr>
      </w:pPr>
    </w:p>
    <w:p>
      <w:pPr>
        <w:pStyle w:val="BodyText"/>
        <w:tabs>
          <w:tab w:pos="1207" w:val="left" w:leader="none"/>
        </w:tabs>
        <w:spacing w:line="360" w:lineRule="auto"/>
        <w:ind w:left="564" w:right="474"/>
      </w:pPr>
      <w:r>
        <w:rPr/>
        <w:t>A1</w:t>
        <w:tab/>
      </w:r>
      <w:r>
        <w:rPr>
          <w:spacing w:val="3"/>
        </w:rPr>
        <w:t>This </w:t>
      </w:r>
      <w:r>
        <w:rPr/>
        <w:t>Annex summarises the analysis presented by the Bank staff </w:t>
      </w:r>
      <w:r>
        <w:rPr>
          <w:spacing w:val="3"/>
        </w:rPr>
        <w:t>to </w:t>
      </w:r>
      <w:r>
        <w:rPr/>
        <w:t>the Monetary </w:t>
      </w:r>
      <w:r>
        <w:rPr>
          <w:spacing w:val="2"/>
        </w:rPr>
        <w:t>Policy </w:t>
      </w:r>
      <w:r>
        <w:rPr/>
        <w:t>Committee </w:t>
      </w:r>
      <w:r>
        <w:rPr>
          <w:spacing w:val="2"/>
        </w:rPr>
        <w:t>on </w:t>
      </w:r>
      <w:r>
        <w:rPr/>
        <w:t>1 April, in advance </w:t>
      </w:r>
      <w:r>
        <w:rPr>
          <w:spacing w:val="2"/>
        </w:rPr>
        <w:t>of </w:t>
      </w:r>
      <w:r>
        <w:rPr/>
        <w:t>its meeting </w:t>
      </w:r>
      <w:r>
        <w:rPr>
          <w:spacing w:val="2"/>
        </w:rPr>
        <w:t>on </w:t>
      </w:r>
      <w:r>
        <w:rPr/>
        <w:t>7-8 April 1999. At the start </w:t>
      </w:r>
      <w:r>
        <w:rPr>
          <w:spacing w:val="2"/>
        </w:rPr>
        <w:t>of </w:t>
      </w:r>
      <w:r>
        <w:rPr/>
        <w:t>the Committee meeting</w:t>
      </w:r>
      <w:r>
        <w:rPr>
          <w:spacing w:val="-8"/>
        </w:rPr>
        <w:t> </w:t>
      </w:r>
      <w:r>
        <w:rPr/>
        <w:t>itself,</w:t>
      </w:r>
      <w:r>
        <w:rPr>
          <w:spacing w:val="-7"/>
        </w:rPr>
        <w:t> </w:t>
      </w:r>
      <w:r>
        <w:rPr/>
        <w:t>members</w:t>
      </w:r>
      <w:r>
        <w:rPr>
          <w:spacing w:val="-7"/>
        </w:rPr>
        <w:t> </w:t>
      </w:r>
      <w:r>
        <w:rPr/>
        <w:t>were</w:t>
      </w:r>
      <w:r>
        <w:rPr>
          <w:spacing w:val="-7"/>
        </w:rPr>
        <w:t> </w:t>
      </w:r>
      <w:r>
        <w:rPr/>
        <w:t>made</w:t>
      </w:r>
      <w:r>
        <w:rPr>
          <w:spacing w:val="-8"/>
        </w:rPr>
        <w:t> </w:t>
      </w:r>
      <w:r>
        <w:rPr/>
        <w:t>aware</w:t>
      </w:r>
      <w:r>
        <w:rPr>
          <w:spacing w:val="-7"/>
        </w:rPr>
        <w:t> </w:t>
      </w:r>
      <w:r>
        <w:rPr>
          <w:spacing w:val="3"/>
        </w:rPr>
        <w:t>of</w:t>
      </w:r>
      <w:r>
        <w:rPr>
          <w:spacing w:val="-4"/>
        </w:rPr>
        <w:t> </w:t>
      </w:r>
      <w:r>
        <w:rPr/>
        <w:t>information</w:t>
      </w:r>
      <w:r>
        <w:rPr>
          <w:spacing w:val="-7"/>
        </w:rPr>
        <w:t> </w:t>
      </w:r>
      <w:r>
        <w:rPr/>
        <w:t>that</w:t>
      </w:r>
      <w:r>
        <w:rPr>
          <w:spacing w:val="-3"/>
        </w:rPr>
        <w:t> </w:t>
      </w:r>
      <w:r>
        <w:rPr/>
        <w:t>had</w:t>
      </w:r>
      <w:r>
        <w:rPr>
          <w:spacing w:val="-8"/>
        </w:rPr>
        <w:t> </w:t>
      </w:r>
      <w:r>
        <w:rPr/>
        <w:t>subsequently</w:t>
      </w:r>
      <w:r>
        <w:rPr>
          <w:spacing w:val="-7"/>
        </w:rPr>
        <w:t> </w:t>
      </w:r>
      <w:r>
        <w:rPr/>
        <w:t>become</w:t>
      </w:r>
      <w:r>
        <w:rPr>
          <w:spacing w:val="-7"/>
        </w:rPr>
        <w:t> </w:t>
      </w:r>
      <w:r>
        <w:rPr/>
        <w:t>available, and that information is included in the</w:t>
      </w:r>
      <w:r>
        <w:rPr>
          <w:spacing w:val="39"/>
        </w:rPr>
        <w:t> </w:t>
      </w:r>
      <w:r>
        <w:rPr/>
        <w:t>Annex.</w:t>
      </w:r>
    </w:p>
    <w:p>
      <w:pPr>
        <w:pStyle w:val="BodyText"/>
        <w:spacing w:before="4"/>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The international</w:t>
      </w:r>
      <w:r>
        <w:rPr>
          <w:spacing w:val="6"/>
        </w:rPr>
        <w:t> </w:t>
      </w:r>
      <w:r>
        <w:rPr/>
        <w:t>economy</w:t>
      </w:r>
    </w:p>
    <w:p>
      <w:pPr>
        <w:pStyle w:val="BodyText"/>
        <w:spacing w:before="2"/>
        <w:rPr>
          <w:b/>
          <w:sz w:val="38"/>
        </w:rPr>
      </w:pPr>
    </w:p>
    <w:p>
      <w:pPr>
        <w:pStyle w:val="BodyText"/>
        <w:tabs>
          <w:tab w:pos="1207" w:val="left" w:leader="none"/>
        </w:tabs>
        <w:spacing w:line="312" w:lineRule="auto"/>
        <w:ind w:left="564" w:right="495"/>
      </w:pPr>
      <w:r>
        <w:rPr/>
        <w:t>A2</w:t>
        <w:tab/>
        <w:t>In the United States the final estimate </w:t>
      </w:r>
      <w:r>
        <w:rPr>
          <w:spacing w:val="2"/>
        </w:rPr>
        <w:t>of </w:t>
      </w:r>
      <w:r>
        <w:rPr/>
        <w:t>GDP in 1998 Q4 had been 1.5%, in line with the preliminary estimate. Some special factors which may have supported robust growth in Q4, such as the seasonality </w:t>
      </w:r>
      <w:r>
        <w:rPr>
          <w:spacing w:val="2"/>
        </w:rPr>
        <w:t>of </w:t>
      </w:r>
      <w:r>
        <w:rPr/>
        <w:t>trade data, had possibly begun </w:t>
      </w:r>
      <w:r>
        <w:rPr>
          <w:spacing w:val="3"/>
        </w:rPr>
        <w:t>to </w:t>
      </w:r>
      <w:r>
        <w:rPr/>
        <w:t>unwind in Q1. The trade deficit had widened </w:t>
      </w:r>
      <w:r>
        <w:rPr>
          <w:spacing w:val="2"/>
        </w:rPr>
        <w:t>to </w:t>
      </w:r>
      <w:r>
        <w:rPr/>
        <w:t>$17.0 billion in January from $14.1 billion in December. However, </w:t>
      </w:r>
      <w:r>
        <w:rPr>
          <w:spacing w:val="4"/>
        </w:rPr>
        <w:t>other </w:t>
      </w:r>
      <w:r>
        <w:rPr>
          <w:spacing w:val="2"/>
        </w:rPr>
        <w:t>factors </w:t>
      </w:r>
      <w:r>
        <w:rPr/>
        <w:t>supporting rapid growth in Q4 had persisted in early 1999. The </w:t>
      </w:r>
      <w:r>
        <w:rPr>
          <w:spacing w:val="4"/>
        </w:rPr>
        <w:t>outlook </w:t>
      </w:r>
      <w:r>
        <w:rPr/>
        <w:t>for consumption had been little changed: retail sales growth had remained rapid in the first two months </w:t>
      </w:r>
      <w:r>
        <w:rPr>
          <w:spacing w:val="2"/>
        </w:rPr>
        <w:t>of </w:t>
      </w:r>
      <w:r>
        <w:rPr/>
        <w:t>the year and consumer confidence had </w:t>
      </w:r>
      <w:r>
        <w:rPr>
          <w:spacing w:val="2"/>
        </w:rPr>
        <w:t>risen </w:t>
      </w:r>
      <w:r>
        <w:rPr/>
        <w:t>again in March. The N</w:t>
      </w:r>
      <w:r>
        <w:rPr>
          <w:sz w:val="20"/>
        </w:rPr>
        <w:t>APM </w:t>
      </w:r>
      <w:r>
        <w:rPr/>
        <w:t>index </w:t>
      </w:r>
      <w:r>
        <w:rPr>
          <w:spacing w:val="3"/>
        </w:rPr>
        <w:t>of </w:t>
      </w:r>
      <w:r>
        <w:rPr/>
        <w:t>industrial sentiment had risen further in March. The sharpness </w:t>
      </w:r>
      <w:r>
        <w:rPr>
          <w:spacing w:val="2"/>
        </w:rPr>
        <w:t>of </w:t>
      </w:r>
      <w:r>
        <w:rPr/>
        <w:t>the rise in the N</w:t>
      </w:r>
      <w:r>
        <w:rPr>
          <w:sz w:val="20"/>
        </w:rPr>
        <w:t>APM </w:t>
      </w:r>
      <w:r>
        <w:rPr/>
        <w:t>index in recent months had suggested at least that the slowdown in industrial production growth might have bottomed</w:t>
      </w:r>
      <w:r>
        <w:rPr>
          <w:spacing w:val="-43"/>
        </w:rPr>
        <w:t> </w:t>
      </w:r>
      <w:r>
        <w:rPr/>
        <w:t>out.</w:t>
      </w:r>
    </w:p>
    <w:p>
      <w:pPr>
        <w:pStyle w:val="BodyText"/>
        <w:spacing w:line="312" w:lineRule="auto"/>
        <w:ind w:left="564" w:right="474"/>
      </w:pPr>
      <w:r>
        <w:rPr/>
        <w:t>Employment growth had been strong in February, but had weakened in March. This month-to- month volatility may have reflected some weather-related erratic influences. The unemployment rate had fallen to 4.2% in March. Annual growth in average hourly earnings had continued to ease, falling to 3.6% in March, and consumer price inflation had remained muted. Since the March MPC meeting, market expectations of interest rates in the United States had declined, while equity prices in mid-1999 were expected by the market to be slightly higher.</w:t>
      </w:r>
    </w:p>
    <w:p>
      <w:pPr>
        <w:pStyle w:val="BodyText"/>
        <w:spacing w:before="9"/>
        <w:rPr>
          <w:sz w:val="30"/>
        </w:rPr>
      </w:pPr>
    </w:p>
    <w:p>
      <w:pPr>
        <w:pStyle w:val="BodyText"/>
        <w:tabs>
          <w:tab w:pos="1207" w:val="left" w:leader="none"/>
        </w:tabs>
        <w:spacing w:line="312" w:lineRule="auto" w:before="1"/>
        <w:ind w:left="564" w:right="447"/>
      </w:pPr>
      <w:r>
        <w:rPr/>
        <w:t>A3</w:t>
        <w:tab/>
        <w:t>Within the euro area, </w:t>
      </w:r>
      <w:r>
        <w:rPr>
          <w:spacing w:val="2"/>
        </w:rPr>
        <w:t>Italian </w:t>
      </w:r>
      <w:r>
        <w:rPr/>
        <w:t>GDP had declined by 0.3% in 1998 Q4. </w:t>
      </w:r>
      <w:r>
        <w:rPr>
          <w:spacing w:val="2"/>
        </w:rPr>
        <w:t>This </w:t>
      </w:r>
      <w:r>
        <w:rPr/>
        <w:t>decline had been exaggerated by the smaller number </w:t>
      </w:r>
      <w:r>
        <w:rPr>
          <w:spacing w:val="2"/>
        </w:rPr>
        <w:t>of </w:t>
      </w:r>
      <w:r>
        <w:rPr/>
        <w:t>working days in the quarter compared with Q3, though the data had still revealed unexpected weakness in domestic demand growth. In the euro area as a whole, industrial sentiment had weakened slightly in February. The western German Ifo index had fallen in February </w:t>
      </w:r>
      <w:r>
        <w:rPr>
          <w:spacing w:val="3"/>
        </w:rPr>
        <w:t>to </w:t>
      </w:r>
      <w:r>
        <w:rPr/>
        <w:t>its lowest level since August 1996. Yet consumer confidence had </w:t>
      </w:r>
      <w:r>
        <w:rPr>
          <w:spacing w:val="2"/>
        </w:rPr>
        <w:t>remained </w:t>
      </w:r>
      <w:r>
        <w:rPr/>
        <w:t>buoyant. French </w:t>
      </w:r>
      <w:r>
        <w:rPr>
          <w:spacing w:val="2"/>
        </w:rPr>
        <w:t>retail </w:t>
      </w:r>
      <w:r>
        <w:rPr/>
        <w:t>sales had fallen in February but underlying growth had remained robust. The three-month centred moving average </w:t>
      </w:r>
      <w:r>
        <w:rPr>
          <w:spacing w:val="2"/>
        </w:rPr>
        <w:t>of </w:t>
      </w:r>
      <w:r>
        <w:rPr/>
        <w:t>annual broad money growth in the euro area had risen </w:t>
      </w:r>
      <w:r>
        <w:rPr>
          <w:spacing w:val="3"/>
        </w:rPr>
        <w:t>to </w:t>
      </w:r>
      <w:r>
        <w:rPr/>
        <w:t>5.1% in January from 4.9% in December. Monthly data showed that year </w:t>
      </w:r>
      <w:r>
        <w:rPr>
          <w:spacing w:val="2"/>
        </w:rPr>
        <w:t>on </w:t>
      </w:r>
      <w:r>
        <w:rPr/>
        <w:t>year growth had slowed </w:t>
      </w:r>
      <w:r>
        <w:rPr>
          <w:spacing w:val="2"/>
        </w:rPr>
        <w:t>to </w:t>
      </w:r>
      <w:r>
        <w:rPr/>
        <w:t>5.2% in February from 5.6% in January, partly reflecting weaker growth </w:t>
      </w:r>
      <w:r>
        <w:rPr>
          <w:spacing w:val="3"/>
        </w:rPr>
        <w:t>of </w:t>
      </w:r>
      <w:r>
        <w:rPr>
          <w:spacing w:val="4"/>
        </w:rPr>
        <w:t>overnight </w:t>
      </w:r>
      <w:r>
        <w:rPr/>
        <w:t>deposits. Annual growth in the euro-area H</w:t>
      </w:r>
      <w:r>
        <w:rPr>
          <w:sz w:val="20"/>
        </w:rPr>
        <w:t>ICP </w:t>
      </w:r>
      <w:r>
        <w:rPr/>
        <w:t>had remained at 0.8% in February, and there had been little sign </w:t>
      </w:r>
      <w:r>
        <w:rPr>
          <w:spacing w:val="3"/>
        </w:rPr>
        <w:t>of </w:t>
      </w:r>
      <w:r>
        <w:rPr/>
        <w:t>inflationary pressure from intermediate prices. Since the previous MPC</w:t>
      </w:r>
      <w:r>
        <w:rPr>
          <w:spacing w:val="-6"/>
        </w:rPr>
        <w:t> </w:t>
      </w:r>
      <w:r>
        <w:rPr/>
        <w:t>meeting,</w:t>
      </w:r>
      <w:r>
        <w:rPr>
          <w:spacing w:val="-5"/>
        </w:rPr>
        <w:t> </w:t>
      </w:r>
      <w:r>
        <w:rPr/>
        <w:t>the</w:t>
      </w:r>
      <w:r>
        <w:rPr>
          <w:spacing w:val="-5"/>
        </w:rPr>
        <w:t> </w:t>
      </w:r>
      <w:r>
        <w:rPr/>
        <w:t>euro</w:t>
      </w:r>
      <w:r>
        <w:rPr>
          <w:spacing w:val="-5"/>
        </w:rPr>
        <w:t> </w:t>
      </w:r>
      <w:r>
        <w:rPr/>
        <w:t>had</w:t>
      </w:r>
      <w:r>
        <w:rPr>
          <w:spacing w:val="-5"/>
        </w:rPr>
        <w:t> </w:t>
      </w:r>
      <w:r>
        <w:rPr/>
        <w:t>depreciated</w:t>
      </w:r>
      <w:r>
        <w:rPr>
          <w:spacing w:val="-6"/>
        </w:rPr>
        <w:t> </w:t>
      </w:r>
      <w:r>
        <w:rPr/>
        <w:t>against the</w:t>
      </w:r>
      <w:r>
        <w:rPr>
          <w:spacing w:val="-6"/>
        </w:rPr>
        <w:t> </w:t>
      </w:r>
      <w:r>
        <w:rPr/>
        <w:t>dollar</w:t>
      </w:r>
      <w:r>
        <w:rPr>
          <w:spacing w:val="-5"/>
        </w:rPr>
        <w:t> </w:t>
      </w:r>
      <w:r>
        <w:rPr/>
        <w:t>and</w:t>
      </w:r>
      <w:r>
        <w:rPr>
          <w:spacing w:val="-5"/>
        </w:rPr>
        <w:t> </w:t>
      </w:r>
      <w:r>
        <w:rPr/>
        <w:t>market</w:t>
      </w:r>
      <w:r>
        <w:rPr>
          <w:spacing w:val="-1"/>
        </w:rPr>
        <w:t> </w:t>
      </w:r>
      <w:r>
        <w:rPr/>
        <w:t>expectations</w:t>
      </w:r>
      <w:r>
        <w:rPr>
          <w:spacing w:val="-5"/>
        </w:rPr>
        <w:t> </w:t>
      </w:r>
      <w:r>
        <w:rPr>
          <w:spacing w:val="2"/>
        </w:rPr>
        <w:t>of</w:t>
      </w:r>
      <w:r>
        <w:rPr>
          <w:spacing w:val="-1"/>
        </w:rPr>
        <w:t> </w:t>
      </w:r>
      <w:r>
        <w:rPr/>
        <w:t>short-term</w:t>
      </w:r>
    </w:p>
    <w:p>
      <w:pPr>
        <w:spacing w:after="0" w:line="312" w:lineRule="auto"/>
        <w:sectPr>
          <w:headerReference w:type="default" r:id="rId8"/>
          <w:pgSz w:w="11900" w:h="16840"/>
          <w:pgMar w:header="0" w:footer="0" w:top="1360" w:bottom="280" w:left="880" w:right="580"/>
        </w:sectPr>
      </w:pPr>
    </w:p>
    <w:p>
      <w:pPr>
        <w:pStyle w:val="BodyText"/>
        <w:spacing w:line="312" w:lineRule="auto" w:before="80"/>
        <w:ind w:left="564"/>
      </w:pPr>
      <w:r>
        <w:rPr/>
        <w:t>interest rates had declined. In its spring forecast, the European Commission had revised down its projections for GDP growth in the euro area in 1999 and 2000, to 2.2% and 2.7% respectively.</w:t>
      </w:r>
    </w:p>
    <w:p>
      <w:pPr>
        <w:pStyle w:val="BodyText"/>
        <w:spacing w:before="1"/>
        <w:rPr>
          <w:sz w:val="31"/>
        </w:rPr>
      </w:pPr>
    </w:p>
    <w:p>
      <w:pPr>
        <w:pStyle w:val="BodyText"/>
        <w:tabs>
          <w:tab w:pos="1207" w:val="left" w:leader="none"/>
        </w:tabs>
        <w:spacing w:line="312" w:lineRule="auto"/>
        <w:ind w:left="564" w:right="493"/>
      </w:pPr>
      <w:r>
        <w:rPr/>
        <w:t>A4</w:t>
        <w:tab/>
        <w:t>Japanese GDP had fallen by 0.8% in 1998 Q4. </w:t>
      </w:r>
      <w:r>
        <w:rPr>
          <w:spacing w:val="2"/>
        </w:rPr>
        <w:t>There </w:t>
      </w:r>
      <w:r>
        <w:rPr/>
        <w:t>had been evidence </w:t>
      </w:r>
      <w:r>
        <w:rPr>
          <w:spacing w:val="3"/>
        </w:rPr>
        <w:t>of </w:t>
      </w:r>
      <w:r>
        <w:rPr/>
        <w:t>earlier fiscal stimulus in the data </w:t>
      </w:r>
      <w:r>
        <w:rPr>
          <w:spacing w:val="2"/>
        </w:rPr>
        <w:t>on </w:t>
      </w:r>
      <w:r>
        <w:rPr/>
        <w:t>government investment, which had contributed 0.9 percentage points </w:t>
      </w:r>
      <w:r>
        <w:rPr>
          <w:spacing w:val="3"/>
        </w:rPr>
        <w:t>to </w:t>
      </w:r>
      <w:r>
        <w:rPr/>
        <w:t>growth in that quarter. But all </w:t>
      </w:r>
      <w:r>
        <w:rPr>
          <w:spacing w:val="4"/>
        </w:rPr>
        <w:t>other </w:t>
      </w:r>
      <w:r>
        <w:rPr/>
        <w:t>major components </w:t>
      </w:r>
      <w:r>
        <w:rPr>
          <w:spacing w:val="2"/>
        </w:rPr>
        <w:t>of </w:t>
      </w:r>
      <w:r>
        <w:rPr/>
        <w:t>GDP had remained weak in Q4. In February, the unemployment rate had risen </w:t>
      </w:r>
      <w:r>
        <w:rPr>
          <w:spacing w:val="3"/>
        </w:rPr>
        <w:t>to </w:t>
      </w:r>
      <w:r>
        <w:rPr/>
        <w:t>a record high </w:t>
      </w:r>
      <w:r>
        <w:rPr>
          <w:spacing w:val="2"/>
        </w:rPr>
        <w:t>of </w:t>
      </w:r>
      <w:r>
        <w:rPr/>
        <w:t>4.6% and inactivity had increased. </w:t>
      </w:r>
      <w:r>
        <w:rPr>
          <w:spacing w:val="2"/>
        </w:rPr>
        <w:t>Employment </w:t>
      </w:r>
      <w:r>
        <w:rPr/>
        <w:t>had continued </w:t>
      </w:r>
      <w:r>
        <w:rPr>
          <w:spacing w:val="3"/>
        </w:rPr>
        <w:t>to </w:t>
      </w:r>
      <w:r>
        <w:rPr/>
        <w:t>fall. In February, personal incomes had continued </w:t>
      </w:r>
      <w:r>
        <w:rPr>
          <w:spacing w:val="3"/>
        </w:rPr>
        <w:t>to </w:t>
      </w:r>
      <w:r>
        <w:rPr/>
        <w:t>decline. Real consumption had fallen by 3.8% in the year </w:t>
      </w:r>
      <w:r>
        <w:rPr>
          <w:spacing w:val="3"/>
        </w:rPr>
        <w:t>to </w:t>
      </w:r>
      <w:r>
        <w:rPr/>
        <w:t>February. The March </w:t>
      </w:r>
      <w:r>
        <w:rPr>
          <w:i/>
        </w:rPr>
        <w:t>Tankan </w:t>
      </w:r>
      <w:r>
        <w:rPr/>
        <w:t>survey </w:t>
      </w:r>
      <w:r>
        <w:rPr>
          <w:spacing w:val="3"/>
        </w:rPr>
        <w:t>of </w:t>
      </w:r>
      <w:r>
        <w:rPr/>
        <w:t>industrial sentiment had </w:t>
      </w:r>
      <w:r>
        <w:rPr>
          <w:spacing w:val="2"/>
        </w:rPr>
        <w:t>recorded </w:t>
      </w:r>
      <w:r>
        <w:rPr/>
        <w:t>a slight improvement in business confidence, </w:t>
      </w:r>
      <w:r>
        <w:rPr>
          <w:spacing w:val="4"/>
        </w:rPr>
        <w:t>owing </w:t>
      </w:r>
      <w:r>
        <w:rPr/>
        <w:t>primarily </w:t>
      </w:r>
      <w:r>
        <w:rPr>
          <w:spacing w:val="3"/>
        </w:rPr>
        <w:t>to </w:t>
      </w:r>
      <w:r>
        <w:rPr/>
        <w:t>an easing </w:t>
      </w:r>
      <w:r>
        <w:rPr>
          <w:spacing w:val="3"/>
        </w:rPr>
        <w:t>of </w:t>
      </w:r>
      <w:r>
        <w:rPr/>
        <w:t>financial conditions. But </w:t>
      </w:r>
      <w:r>
        <w:rPr>
          <w:spacing w:val="4"/>
        </w:rPr>
        <w:t>other </w:t>
      </w:r>
      <w:r>
        <w:rPr/>
        <w:t>indicators within the </w:t>
      </w:r>
      <w:r>
        <w:rPr>
          <w:i/>
        </w:rPr>
        <w:t>Tankan </w:t>
      </w:r>
      <w:r>
        <w:rPr/>
        <w:t>had </w:t>
      </w:r>
      <w:r>
        <w:rPr>
          <w:spacing w:val="2"/>
        </w:rPr>
        <w:t>remained </w:t>
      </w:r>
      <w:r>
        <w:rPr/>
        <w:t>weak. Since the March MPC meeting, </w:t>
      </w:r>
      <w:r>
        <w:rPr>
          <w:spacing w:val="2"/>
        </w:rPr>
        <w:t>ten-year </w:t>
      </w:r>
      <w:r>
        <w:rPr/>
        <w:t>government bond yields had continued </w:t>
      </w:r>
      <w:r>
        <w:rPr>
          <w:spacing w:val="3"/>
        </w:rPr>
        <w:t>to </w:t>
      </w:r>
      <w:r>
        <w:rPr/>
        <w:t>fall, by</w:t>
      </w:r>
      <w:r>
        <w:rPr>
          <w:spacing w:val="-22"/>
        </w:rPr>
        <w:t> </w:t>
      </w:r>
      <w:r>
        <w:rPr/>
        <w:t>around</w:t>
      </w:r>
    </w:p>
    <w:p>
      <w:pPr>
        <w:pStyle w:val="BodyText"/>
        <w:spacing w:line="309" w:lineRule="auto" w:before="1"/>
        <w:ind w:left="564" w:right="519"/>
      </w:pPr>
      <w:r>
        <w:rPr/>
        <w:t>25 basis points. Market expectations of Japanese short-term interest rates had remained relatively stable, as had the yen.</w:t>
      </w:r>
    </w:p>
    <w:p>
      <w:pPr>
        <w:pStyle w:val="BodyText"/>
        <w:rPr>
          <w:sz w:val="26"/>
        </w:rPr>
      </w:pPr>
    </w:p>
    <w:p>
      <w:pPr>
        <w:pStyle w:val="BodyText"/>
        <w:tabs>
          <w:tab w:pos="1207" w:val="left" w:leader="none"/>
        </w:tabs>
        <w:spacing w:line="312" w:lineRule="auto" w:before="184"/>
        <w:ind w:left="564" w:right="512"/>
      </w:pPr>
      <w:r>
        <w:rPr/>
        <w:t>A5</w:t>
        <w:tab/>
        <w:t>Spreads</w:t>
      </w:r>
      <w:r>
        <w:rPr>
          <w:spacing w:val="-6"/>
        </w:rPr>
        <w:t> </w:t>
      </w:r>
      <w:r>
        <w:rPr>
          <w:spacing w:val="2"/>
        </w:rPr>
        <w:t>on</w:t>
      </w:r>
      <w:r>
        <w:rPr>
          <w:spacing w:val="-2"/>
        </w:rPr>
        <w:t> </w:t>
      </w:r>
      <w:r>
        <w:rPr/>
        <w:t>government</w:t>
      </w:r>
      <w:r>
        <w:rPr>
          <w:spacing w:val="-1"/>
        </w:rPr>
        <w:t> </w:t>
      </w:r>
      <w:r>
        <w:rPr/>
        <w:t>bonds</w:t>
      </w:r>
      <w:r>
        <w:rPr>
          <w:spacing w:val="-5"/>
        </w:rPr>
        <w:t> </w:t>
      </w:r>
      <w:r>
        <w:rPr/>
        <w:t>in</w:t>
      </w:r>
      <w:r>
        <w:rPr>
          <w:spacing w:val="-5"/>
        </w:rPr>
        <w:t> </w:t>
      </w:r>
      <w:r>
        <w:rPr/>
        <w:t>emerging</w:t>
      </w:r>
      <w:r>
        <w:rPr>
          <w:spacing w:val="-6"/>
        </w:rPr>
        <w:t> </w:t>
      </w:r>
      <w:r>
        <w:rPr/>
        <w:t>markets</w:t>
      </w:r>
      <w:r>
        <w:rPr>
          <w:spacing w:val="-5"/>
        </w:rPr>
        <w:t> </w:t>
      </w:r>
      <w:r>
        <w:rPr>
          <w:spacing w:val="3"/>
        </w:rPr>
        <w:t>over</w:t>
      </w:r>
      <w:r>
        <w:rPr>
          <w:spacing w:val="-2"/>
        </w:rPr>
        <w:t> </w:t>
      </w:r>
      <w:r>
        <w:rPr/>
        <w:t>US</w:t>
      </w:r>
      <w:r>
        <w:rPr>
          <w:spacing w:val="-5"/>
        </w:rPr>
        <w:t> </w:t>
      </w:r>
      <w:r>
        <w:rPr/>
        <w:t>Treasuries</w:t>
      </w:r>
      <w:r>
        <w:rPr>
          <w:spacing w:val="-4"/>
        </w:rPr>
        <w:t> </w:t>
      </w:r>
      <w:r>
        <w:rPr/>
        <w:t>had</w:t>
      </w:r>
      <w:r>
        <w:rPr>
          <w:spacing w:val="-5"/>
        </w:rPr>
        <w:t> </w:t>
      </w:r>
      <w:r>
        <w:rPr/>
        <w:t>narrowed</w:t>
      </w:r>
      <w:r>
        <w:rPr>
          <w:spacing w:val="-5"/>
        </w:rPr>
        <w:t> </w:t>
      </w:r>
      <w:r>
        <w:rPr>
          <w:spacing w:val="3"/>
        </w:rPr>
        <w:t>over </w:t>
      </w:r>
      <w:r>
        <w:rPr/>
        <w:t>the month, although they </w:t>
      </w:r>
      <w:r>
        <w:rPr>
          <w:spacing w:val="2"/>
        </w:rPr>
        <w:t>remained </w:t>
      </w:r>
      <w:r>
        <w:rPr/>
        <w:t>higher in Latin America than in Asian countries. Agreement </w:t>
      </w:r>
      <w:r>
        <w:rPr>
          <w:spacing w:val="3"/>
        </w:rPr>
        <w:t>on </w:t>
      </w:r>
      <w:r>
        <w:rPr/>
        <w:t>a new IMF financial package for Brazil had been </w:t>
      </w:r>
      <w:r>
        <w:rPr>
          <w:spacing w:val="2"/>
        </w:rPr>
        <w:t>reflected </w:t>
      </w:r>
      <w:r>
        <w:rPr/>
        <w:t>in the appreciation </w:t>
      </w:r>
      <w:r>
        <w:rPr>
          <w:spacing w:val="3"/>
        </w:rPr>
        <w:t>of </w:t>
      </w:r>
      <w:r>
        <w:rPr/>
        <w:t>the Brazilian real since the previous MPC meeting. But available data for the first two months </w:t>
      </w:r>
      <w:r>
        <w:rPr>
          <w:spacing w:val="2"/>
        </w:rPr>
        <w:t>of </w:t>
      </w:r>
      <w:r>
        <w:rPr/>
        <w:t>this year had shown that capital flows </w:t>
      </w:r>
      <w:r>
        <w:rPr>
          <w:spacing w:val="3"/>
        </w:rPr>
        <w:t>to </w:t>
      </w:r>
      <w:r>
        <w:rPr/>
        <w:t>emerging markets were unlikely </w:t>
      </w:r>
      <w:r>
        <w:rPr>
          <w:spacing w:val="3"/>
        </w:rPr>
        <w:t>to </w:t>
      </w:r>
      <w:r>
        <w:rPr/>
        <w:t>be markedly larger in Q1 than in Q4.</w:t>
      </w:r>
    </w:p>
    <w:p>
      <w:pPr>
        <w:pStyle w:val="BodyText"/>
        <w:spacing w:before="1"/>
        <w:rPr>
          <w:sz w:val="21"/>
        </w:rPr>
      </w:pPr>
    </w:p>
    <w:p>
      <w:pPr>
        <w:pStyle w:val="Heading2"/>
        <w:numPr>
          <w:ilvl w:val="0"/>
          <w:numId w:val="2"/>
        </w:numPr>
        <w:tabs>
          <w:tab w:pos="1284" w:val="left" w:leader="none"/>
          <w:tab w:pos="1286" w:val="left" w:leader="none"/>
        </w:tabs>
        <w:spacing w:line="240" w:lineRule="auto" w:before="0" w:after="0"/>
        <w:ind w:left="1285" w:right="0" w:hanging="722"/>
        <w:jc w:val="left"/>
      </w:pPr>
      <w:r>
        <w:rPr/>
        <w:t>Monetary and </w:t>
      </w:r>
      <w:r>
        <w:rPr>
          <w:spacing w:val="2"/>
        </w:rPr>
        <w:t>financial</w:t>
      </w:r>
      <w:r>
        <w:rPr>
          <w:spacing w:val="11"/>
        </w:rPr>
        <w:t> </w:t>
      </w:r>
      <w:r>
        <w:rPr/>
        <w:t>conditions</w:t>
      </w:r>
    </w:p>
    <w:p>
      <w:pPr>
        <w:pStyle w:val="BodyText"/>
        <w:spacing w:before="9"/>
        <w:rPr>
          <w:b/>
          <w:sz w:val="27"/>
        </w:rPr>
      </w:pPr>
    </w:p>
    <w:p>
      <w:pPr>
        <w:pStyle w:val="BodyText"/>
        <w:tabs>
          <w:tab w:pos="1284" w:val="left" w:leader="none"/>
        </w:tabs>
        <w:spacing w:line="312" w:lineRule="auto"/>
        <w:ind w:left="564" w:right="528"/>
      </w:pPr>
      <w:r>
        <w:rPr/>
        <w:t>A6</w:t>
        <w:tab/>
        <w:t>Growth </w:t>
      </w:r>
      <w:r>
        <w:rPr>
          <w:spacing w:val="2"/>
        </w:rPr>
        <w:t>of </w:t>
      </w:r>
      <w:r>
        <w:rPr/>
        <w:t>notes and coin had remained stable in March. After adjusting for the effects </w:t>
      </w:r>
      <w:r>
        <w:rPr>
          <w:spacing w:val="3"/>
        </w:rPr>
        <w:t>of </w:t>
      </w:r>
      <w:r>
        <w:rPr/>
        <w:t>the new 50 pence and £2 coins, the </w:t>
      </w:r>
      <w:r>
        <w:rPr>
          <w:spacing w:val="4"/>
        </w:rPr>
        <w:t>one-month </w:t>
      </w:r>
      <w:r>
        <w:rPr/>
        <w:t>growth rate had remained at 0.5%, as in January and February. The annualised three-month growth rate had fallen </w:t>
      </w:r>
      <w:r>
        <w:rPr>
          <w:spacing w:val="3"/>
        </w:rPr>
        <w:t>to </w:t>
      </w:r>
      <w:r>
        <w:rPr/>
        <w:t>6.0% in March from 6.9% in February.</w:t>
      </w:r>
    </w:p>
    <w:p>
      <w:pPr>
        <w:pStyle w:val="BodyText"/>
        <w:spacing w:before="4"/>
        <w:rPr>
          <w:sz w:val="31"/>
        </w:rPr>
      </w:pPr>
    </w:p>
    <w:p>
      <w:pPr>
        <w:pStyle w:val="BodyText"/>
        <w:tabs>
          <w:tab w:pos="1284" w:val="left" w:leader="none"/>
        </w:tabs>
        <w:spacing w:line="312" w:lineRule="auto"/>
        <w:ind w:left="564" w:right="543"/>
      </w:pPr>
      <w:r>
        <w:rPr/>
        <w:t>A7</w:t>
        <w:tab/>
        <w:t>The stock </w:t>
      </w:r>
      <w:r>
        <w:rPr>
          <w:spacing w:val="3"/>
        </w:rPr>
        <w:t>of </w:t>
      </w:r>
      <w:r>
        <w:rPr/>
        <w:t>M4 had increased by £4.2 billion in February compared with £1.2 billion in January. The February figure included a £3.9 billion </w:t>
      </w:r>
      <w:r>
        <w:rPr>
          <w:spacing w:val="2"/>
        </w:rPr>
        <w:t>rise </w:t>
      </w:r>
      <w:r>
        <w:rPr/>
        <w:t>in </w:t>
      </w:r>
      <w:r>
        <w:rPr>
          <w:spacing w:val="2"/>
        </w:rPr>
        <w:t>repos (not </w:t>
      </w:r>
      <w:r>
        <w:rPr/>
        <w:t>seasonally adjusted). </w:t>
      </w:r>
      <w:r>
        <w:rPr>
          <w:spacing w:val="2"/>
        </w:rPr>
        <w:t>The </w:t>
      </w:r>
      <w:r>
        <w:rPr/>
        <w:t>slowdown</w:t>
      </w:r>
      <w:r>
        <w:rPr>
          <w:spacing w:val="-6"/>
        </w:rPr>
        <w:t> </w:t>
      </w:r>
      <w:r>
        <w:rPr/>
        <w:t>in</w:t>
      </w:r>
      <w:r>
        <w:rPr>
          <w:spacing w:val="-5"/>
        </w:rPr>
        <w:t> </w:t>
      </w:r>
      <w:r>
        <w:rPr/>
        <w:t>annual</w:t>
      </w:r>
      <w:r>
        <w:rPr>
          <w:spacing w:val="-5"/>
        </w:rPr>
        <w:t> </w:t>
      </w:r>
      <w:r>
        <w:rPr/>
        <w:t>M4</w:t>
      </w:r>
      <w:r>
        <w:rPr>
          <w:spacing w:val="-5"/>
        </w:rPr>
        <w:t> </w:t>
      </w:r>
      <w:r>
        <w:rPr/>
        <w:t>growth</w:t>
      </w:r>
      <w:r>
        <w:rPr>
          <w:spacing w:val="-5"/>
        </w:rPr>
        <w:t> </w:t>
      </w:r>
      <w:r>
        <w:rPr/>
        <w:t>had</w:t>
      </w:r>
      <w:r>
        <w:rPr>
          <w:spacing w:val="-5"/>
        </w:rPr>
        <w:t> </w:t>
      </w:r>
      <w:r>
        <w:rPr/>
        <w:t>continued</w:t>
      </w:r>
      <w:r>
        <w:rPr>
          <w:spacing w:val="-6"/>
        </w:rPr>
        <w:t> </w:t>
      </w:r>
      <w:r>
        <w:rPr/>
        <w:t>in</w:t>
      </w:r>
      <w:r>
        <w:rPr>
          <w:spacing w:val="-5"/>
        </w:rPr>
        <w:t> </w:t>
      </w:r>
      <w:r>
        <w:rPr/>
        <w:t>February:</w:t>
      </w:r>
      <w:r>
        <w:rPr>
          <w:spacing w:val="50"/>
        </w:rPr>
        <w:t> </w:t>
      </w:r>
      <w:r>
        <w:rPr/>
        <w:t>the</w:t>
      </w:r>
      <w:r>
        <w:rPr>
          <w:spacing w:val="-5"/>
        </w:rPr>
        <w:t> </w:t>
      </w:r>
      <w:r>
        <w:rPr/>
        <w:t>twelve</w:t>
      </w:r>
      <w:r>
        <w:rPr>
          <w:spacing w:val="-30"/>
        </w:rPr>
        <w:t> </w:t>
      </w:r>
      <w:r>
        <w:rPr/>
        <w:t>-month</w:t>
      </w:r>
      <w:r>
        <w:rPr>
          <w:spacing w:val="-7"/>
        </w:rPr>
        <w:t> </w:t>
      </w:r>
      <w:r>
        <w:rPr/>
        <w:t>growth</w:t>
      </w:r>
      <w:r>
        <w:rPr>
          <w:spacing w:val="-8"/>
        </w:rPr>
        <w:t> </w:t>
      </w:r>
      <w:r>
        <w:rPr/>
        <w:t>rate</w:t>
      </w:r>
      <w:r>
        <w:rPr>
          <w:spacing w:val="-7"/>
        </w:rPr>
        <w:t> </w:t>
      </w:r>
      <w:r>
        <w:rPr/>
        <w:t>of</w:t>
      </w:r>
      <w:r>
        <w:rPr>
          <w:spacing w:val="-3"/>
        </w:rPr>
        <w:t> </w:t>
      </w:r>
      <w:r>
        <w:rPr/>
        <w:t>M4 had fallen </w:t>
      </w:r>
      <w:r>
        <w:rPr>
          <w:spacing w:val="3"/>
        </w:rPr>
        <w:t>to </w:t>
      </w:r>
      <w:r>
        <w:rPr/>
        <w:t>7.4%, from 7.7% in</w:t>
      </w:r>
      <w:r>
        <w:rPr>
          <w:spacing w:val="18"/>
        </w:rPr>
        <w:t> </w:t>
      </w:r>
      <w:r>
        <w:rPr/>
        <w:t>January.</w:t>
      </w:r>
    </w:p>
    <w:p>
      <w:pPr>
        <w:pStyle w:val="BodyText"/>
        <w:spacing w:before="3"/>
        <w:rPr>
          <w:sz w:val="31"/>
        </w:rPr>
      </w:pPr>
    </w:p>
    <w:p>
      <w:pPr>
        <w:pStyle w:val="BodyText"/>
        <w:tabs>
          <w:tab w:pos="1284" w:val="left" w:leader="none"/>
        </w:tabs>
        <w:spacing w:line="312" w:lineRule="auto" w:before="1"/>
        <w:ind w:left="564" w:right="754"/>
      </w:pPr>
      <w:r>
        <w:rPr/>
        <w:t>A8</w:t>
        <w:tab/>
        <w:t>The</w:t>
      </w:r>
      <w:r>
        <w:rPr>
          <w:spacing w:val="-3"/>
        </w:rPr>
        <w:t> </w:t>
      </w:r>
      <w:r>
        <w:rPr/>
        <w:t>growth</w:t>
      </w:r>
      <w:r>
        <w:rPr>
          <w:spacing w:val="-5"/>
        </w:rPr>
        <w:t> </w:t>
      </w:r>
      <w:r>
        <w:rPr>
          <w:spacing w:val="3"/>
        </w:rPr>
        <w:t>of</w:t>
      </w:r>
      <w:r>
        <w:rPr>
          <w:spacing w:val="-1"/>
        </w:rPr>
        <w:t> </w:t>
      </w:r>
      <w:r>
        <w:rPr/>
        <w:t>M4</w:t>
      </w:r>
      <w:r>
        <w:rPr>
          <w:spacing w:val="-4"/>
        </w:rPr>
        <w:t> </w:t>
      </w:r>
      <w:r>
        <w:rPr/>
        <w:t>lending</w:t>
      </w:r>
      <w:r>
        <w:rPr>
          <w:spacing w:val="-5"/>
        </w:rPr>
        <w:t> </w:t>
      </w:r>
      <w:r>
        <w:rPr/>
        <w:t>had</w:t>
      </w:r>
      <w:r>
        <w:rPr>
          <w:spacing w:val="-4"/>
        </w:rPr>
        <w:t> </w:t>
      </w:r>
      <w:r>
        <w:rPr/>
        <w:t>been</w:t>
      </w:r>
      <w:r>
        <w:rPr>
          <w:spacing w:val="-5"/>
        </w:rPr>
        <w:t> </w:t>
      </w:r>
      <w:r>
        <w:rPr>
          <w:spacing w:val="2"/>
        </w:rPr>
        <w:t>relatively</w:t>
      </w:r>
      <w:r>
        <w:rPr>
          <w:spacing w:val="-3"/>
        </w:rPr>
        <w:t> </w:t>
      </w:r>
      <w:r>
        <w:rPr/>
        <w:t>weak</w:t>
      </w:r>
      <w:r>
        <w:rPr>
          <w:spacing w:val="-5"/>
        </w:rPr>
        <w:t> </w:t>
      </w:r>
      <w:r>
        <w:rPr/>
        <w:t>in</w:t>
      </w:r>
      <w:r>
        <w:rPr>
          <w:spacing w:val="-4"/>
        </w:rPr>
        <w:t> </w:t>
      </w:r>
      <w:r>
        <w:rPr/>
        <w:t>February</w:t>
      </w:r>
      <w:r>
        <w:rPr>
          <w:spacing w:val="-4"/>
        </w:rPr>
        <w:t> </w:t>
      </w:r>
      <w:r>
        <w:rPr/>
        <w:t>at</w:t>
      </w:r>
      <w:r>
        <w:rPr>
          <w:spacing w:val="-1"/>
        </w:rPr>
        <w:t> </w:t>
      </w:r>
      <w:r>
        <w:rPr/>
        <w:t>£3.6</w:t>
      </w:r>
      <w:r>
        <w:rPr>
          <w:spacing w:val="-4"/>
        </w:rPr>
        <w:t> </w:t>
      </w:r>
      <w:r>
        <w:rPr/>
        <w:t>billion,</w:t>
      </w:r>
      <w:r>
        <w:rPr>
          <w:spacing w:val="-5"/>
        </w:rPr>
        <w:t> </w:t>
      </w:r>
      <w:r>
        <w:rPr/>
        <w:t>despite strong reverse repo activity, partly reflecting a substantial securitisation. The twelve-month growth rate </w:t>
      </w:r>
      <w:r>
        <w:rPr>
          <w:spacing w:val="2"/>
        </w:rPr>
        <w:t>of </w:t>
      </w:r>
      <w:r>
        <w:rPr/>
        <w:t>M4 lending had been 6.9% in February compared with 7.8% in January (after adjustment for the securitisation, the twelve-month growth rate was 7.1%). This slowdown</w:t>
      </w:r>
      <w:r>
        <w:rPr>
          <w:spacing w:val="-34"/>
        </w:rPr>
        <w:t> </w:t>
      </w:r>
      <w:r>
        <w:rPr/>
        <w:t>had partly reflected strong February 1998 figures dropping </w:t>
      </w:r>
      <w:r>
        <w:rPr>
          <w:spacing w:val="3"/>
        </w:rPr>
        <w:t>out </w:t>
      </w:r>
      <w:r>
        <w:rPr>
          <w:spacing w:val="2"/>
        </w:rPr>
        <w:t>of </w:t>
      </w:r>
      <w:r>
        <w:rPr/>
        <w:t>the</w:t>
      </w:r>
      <w:r>
        <w:rPr>
          <w:spacing w:val="5"/>
        </w:rPr>
        <w:t> </w:t>
      </w:r>
      <w:r>
        <w:rPr/>
        <w:t>calculation.</w:t>
      </w:r>
    </w:p>
    <w:p>
      <w:pPr>
        <w:pStyle w:val="BodyText"/>
        <w:spacing w:before="4"/>
        <w:rPr>
          <w:sz w:val="31"/>
        </w:rPr>
      </w:pPr>
    </w:p>
    <w:p>
      <w:pPr>
        <w:pStyle w:val="BodyText"/>
        <w:tabs>
          <w:tab w:pos="1284" w:val="left" w:leader="none"/>
        </w:tabs>
        <w:ind w:left="564"/>
      </w:pPr>
      <w:r>
        <w:rPr/>
        <w:t>A9</w:t>
        <w:tab/>
        <w:t>Private non-financial corporations’ (P </w:t>
      </w:r>
      <w:r>
        <w:rPr>
          <w:spacing w:val="-6"/>
          <w:sz w:val="20"/>
        </w:rPr>
        <w:t>NFC</w:t>
      </w:r>
      <w:r>
        <w:rPr>
          <w:spacing w:val="-6"/>
        </w:rPr>
        <w:t>s’) </w:t>
      </w:r>
      <w:r>
        <w:rPr/>
        <w:t>holdings </w:t>
      </w:r>
      <w:r>
        <w:rPr>
          <w:spacing w:val="2"/>
        </w:rPr>
        <w:t>of </w:t>
      </w:r>
      <w:r>
        <w:rPr/>
        <w:t>M4 had grown by 1.6%</w:t>
      </w:r>
      <w:r>
        <w:rPr>
          <w:spacing w:val="-25"/>
        </w:rPr>
        <w:t> </w:t>
      </w:r>
      <w:r>
        <w:rPr/>
        <w:t>in</w:t>
      </w:r>
    </w:p>
    <w:p>
      <w:pPr>
        <w:spacing w:after="0"/>
        <w:sectPr>
          <w:headerReference w:type="default" r:id="rId9"/>
          <w:pgSz w:w="11900" w:h="16840"/>
          <w:pgMar w:header="719" w:footer="0" w:top="1160" w:bottom="280" w:left="880" w:right="580"/>
          <w:pgNumType w:start="2"/>
        </w:sectPr>
      </w:pPr>
    </w:p>
    <w:p>
      <w:pPr>
        <w:pStyle w:val="BodyText"/>
        <w:spacing w:line="312" w:lineRule="auto" w:before="80"/>
        <w:ind w:left="564" w:right="456"/>
      </w:pPr>
      <w:r>
        <w:rPr/>
        <w:t>February. The strong flow had been distorted by the proceeds of a large corporate debt issue being held </w:t>
      </w:r>
      <w:r>
        <w:rPr>
          <w:spacing w:val="2"/>
        </w:rPr>
        <w:t>on </w:t>
      </w:r>
      <w:r>
        <w:rPr/>
        <w:t>deposit. </w:t>
      </w:r>
      <w:r>
        <w:rPr>
          <w:spacing w:val="2"/>
        </w:rPr>
        <w:t>Excluding </w:t>
      </w:r>
      <w:r>
        <w:rPr/>
        <w:t>the estimated effects </w:t>
      </w:r>
      <w:r>
        <w:rPr>
          <w:spacing w:val="2"/>
        </w:rPr>
        <w:t>of </w:t>
      </w:r>
      <w:r>
        <w:rPr/>
        <w:t>this issue, the twelve-month growth rate had risen </w:t>
      </w:r>
      <w:r>
        <w:rPr>
          <w:spacing w:val="3"/>
        </w:rPr>
        <w:t>to </w:t>
      </w:r>
      <w:r>
        <w:rPr/>
        <w:t>6.2% in February from 5.8% in January. When adjusted in the same way, the three and six-month growth </w:t>
      </w:r>
      <w:r>
        <w:rPr>
          <w:spacing w:val="2"/>
        </w:rPr>
        <w:t>rates </w:t>
      </w:r>
      <w:r>
        <w:rPr/>
        <w:t>in February had fallen below their </w:t>
      </w:r>
      <w:r>
        <w:rPr>
          <w:spacing w:val="2"/>
        </w:rPr>
        <w:t>rates </w:t>
      </w:r>
      <w:r>
        <w:rPr/>
        <w:t>in January. M4 lending </w:t>
      </w:r>
      <w:r>
        <w:rPr>
          <w:spacing w:val="4"/>
        </w:rPr>
        <w:t>to </w:t>
      </w:r>
      <w:r>
        <w:rPr/>
        <w:t>P</w:t>
      </w:r>
      <w:r>
        <w:rPr>
          <w:sz w:val="20"/>
        </w:rPr>
        <w:t>NFC</w:t>
      </w:r>
      <w:r>
        <w:rPr/>
        <w:t>s had fallen by £0.2 billion in February. Analysis by Bank staff had suggested that </w:t>
      </w:r>
      <w:r>
        <w:rPr>
          <w:spacing w:val="2"/>
        </w:rPr>
        <w:t>the </w:t>
      </w:r>
      <w:r>
        <w:rPr/>
        <w:t>coincident pick-up in the growth </w:t>
      </w:r>
      <w:r>
        <w:rPr>
          <w:spacing w:val="2"/>
        </w:rPr>
        <w:t>of P</w:t>
      </w:r>
      <w:r>
        <w:rPr>
          <w:spacing w:val="2"/>
          <w:sz w:val="20"/>
        </w:rPr>
        <w:t>NFC</w:t>
      </w:r>
      <w:r>
        <w:rPr>
          <w:spacing w:val="2"/>
        </w:rPr>
        <w:t>s’ </w:t>
      </w:r>
      <w:r>
        <w:rPr/>
        <w:t>M4 lending and slowdown in M4 deposits </w:t>
      </w:r>
      <w:r>
        <w:rPr>
          <w:spacing w:val="3"/>
        </w:rPr>
        <w:t>over </w:t>
      </w:r>
      <w:r>
        <w:rPr/>
        <w:t>the previous six months might have been due </w:t>
      </w:r>
      <w:r>
        <w:rPr>
          <w:spacing w:val="3"/>
        </w:rPr>
        <w:t>to </w:t>
      </w:r>
      <w:r>
        <w:rPr/>
        <w:t>the strength </w:t>
      </w:r>
      <w:r>
        <w:rPr>
          <w:spacing w:val="3"/>
        </w:rPr>
        <w:t>of </w:t>
      </w:r>
      <w:r>
        <w:rPr/>
        <w:t>business investment in 1998 H2. </w:t>
      </w:r>
      <w:r>
        <w:rPr>
          <w:spacing w:val="2"/>
        </w:rPr>
        <w:t>The </w:t>
      </w:r>
      <w:r>
        <w:rPr/>
        <w:t>same analysis had indicated that the current level </w:t>
      </w:r>
      <w:r>
        <w:rPr>
          <w:spacing w:val="3"/>
        </w:rPr>
        <w:t>of </w:t>
      </w:r>
      <w:r>
        <w:rPr>
          <w:spacing w:val="2"/>
        </w:rPr>
        <w:t>P</w:t>
      </w:r>
      <w:r>
        <w:rPr>
          <w:spacing w:val="2"/>
          <w:sz w:val="20"/>
        </w:rPr>
        <w:t>NFC</w:t>
      </w:r>
      <w:r>
        <w:rPr>
          <w:spacing w:val="2"/>
        </w:rPr>
        <w:t>s’ </w:t>
      </w:r>
      <w:r>
        <w:rPr/>
        <w:t>M4 deposits and lending might suggest that business investment would </w:t>
      </w:r>
      <w:r>
        <w:rPr>
          <w:spacing w:val="2"/>
        </w:rPr>
        <w:t>remain relatively robust </w:t>
      </w:r>
      <w:r>
        <w:rPr/>
        <w:t>this</w:t>
      </w:r>
      <w:r>
        <w:rPr>
          <w:spacing w:val="19"/>
        </w:rPr>
        <w:t> </w:t>
      </w:r>
      <w:r>
        <w:rPr/>
        <w:t>year.</w:t>
      </w:r>
    </w:p>
    <w:p>
      <w:pPr>
        <w:pStyle w:val="BodyText"/>
        <w:spacing w:before="11"/>
        <w:rPr>
          <w:sz w:val="20"/>
        </w:rPr>
      </w:pPr>
    </w:p>
    <w:p>
      <w:pPr>
        <w:pStyle w:val="BodyText"/>
        <w:tabs>
          <w:tab w:pos="1284" w:val="left" w:leader="none"/>
        </w:tabs>
        <w:spacing w:line="312" w:lineRule="auto"/>
        <w:ind w:left="564" w:right="614"/>
      </w:pPr>
      <w:r>
        <w:rPr/>
        <w:t>A10</w:t>
        <w:tab/>
        <w:t>Households’</w:t>
      </w:r>
      <w:r>
        <w:rPr>
          <w:spacing w:val="-34"/>
        </w:rPr>
        <w:t> </w:t>
      </w:r>
      <w:r>
        <w:rPr/>
        <w:t>holdings</w:t>
      </w:r>
      <w:r>
        <w:rPr>
          <w:spacing w:val="-7"/>
        </w:rPr>
        <w:t> </w:t>
      </w:r>
      <w:r>
        <w:rPr>
          <w:spacing w:val="3"/>
        </w:rPr>
        <w:t>of</w:t>
      </w:r>
      <w:r>
        <w:rPr>
          <w:spacing w:val="-3"/>
        </w:rPr>
        <w:t> </w:t>
      </w:r>
      <w:r>
        <w:rPr/>
        <w:t>M4</w:t>
      </w:r>
      <w:r>
        <w:rPr>
          <w:spacing w:val="-6"/>
        </w:rPr>
        <w:t> </w:t>
      </w:r>
      <w:r>
        <w:rPr/>
        <w:t>had</w:t>
      </w:r>
      <w:r>
        <w:rPr>
          <w:spacing w:val="-7"/>
        </w:rPr>
        <w:t> </w:t>
      </w:r>
      <w:r>
        <w:rPr/>
        <w:t>increased</w:t>
      </w:r>
      <w:r>
        <w:rPr>
          <w:spacing w:val="-7"/>
        </w:rPr>
        <w:t> </w:t>
      </w:r>
      <w:r>
        <w:rPr/>
        <w:t>by</w:t>
      </w:r>
      <w:r>
        <w:rPr>
          <w:spacing w:val="-7"/>
        </w:rPr>
        <w:t> </w:t>
      </w:r>
      <w:r>
        <w:rPr/>
        <w:t>£2.0</w:t>
      </w:r>
      <w:r>
        <w:rPr>
          <w:spacing w:val="-6"/>
        </w:rPr>
        <w:t> </w:t>
      </w:r>
      <w:r>
        <w:rPr/>
        <w:t>billion</w:t>
      </w:r>
      <w:r>
        <w:rPr>
          <w:spacing w:val="-7"/>
        </w:rPr>
        <w:t> </w:t>
      </w:r>
      <w:r>
        <w:rPr/>
        <w:t>in</w:t>
      </w:r>
      <w:r>
        <w:rPr>
          <w:spacing w:val="-7"/>
        </w:rPr>
        <w:t> </w:t>
      </w:r>
      <w:r>
        <w:rPr/>
        <w:t>February,</w:t>
      </w:r>
      <w:r>
        <w:rPr>
          <w:spacing w:val="-6"/>
        </w:rPr>
        <w:t> </w:t>
      </w:r>
      <w:r>
        <w:rPr/>
        <w:t>compared</w:t>
      </w:r>
      <w:r>
        <w:rPr>
          <w:spacing w:val="-7"/>
        </w:rPr>
        <w:t> </w:t>
      </w:r>
      <w:r>
        <w:rPr/>
        <w:t>with</w:t>
      </w:r>
      <w:r>
        <w:rPr>
          <w:spacing w:val="-7"/>
        </w:rPr>
        <w:t> </w:t>
      </w:r>
      <w:r>
        <w:rPr/>
        <w:t>an increase </w:t>
      </w:r>
      <w:r>
        <w:rPr>
          <w:spacing w:val="2"/>
        </w:rPr>
        <w:t>of </w:t>
      </w:r>
      <w:r>
        <w:rPr/>
        <w:t>£1.9 billion in January. The weak figure for January had been attributed, in part, </w:t>
      </w:r>
      <w:r>
        <w:rPr>
          <w:spacing w:val="3"/>
        </w:rPr>
        <w:t>to </w:t>
      </w:r>
      <w:r>
        <w:rPr/>
        <w:t>the</w:t>
      </w:r>
      <w:r>
        <w:rPr>
          <w:spacing w:val="-6"/>
        </w:rPr>
        <w:t> </w:t>
      </w:r>
      <w:r>
        <w:rPr/>
        <w:t>effects</w:t>
      </w:r>
      <w:r>
        <w:rPr>
          <w:spacing w:val="-5"/>
        </w:rPr>
        <w:t> </w:t>
      </w:r>
      <w:r>
        <w:rPr>
          <w:spacing w:val="3"/>
        </w:rPr>
        <w:t>of</w:t>
      </w:r>
      <w:r>
        <w:rPr>
          <w:spacing w:val="-2"/>
        </w:rPr>
        <w:t> </w:t>
      </w:r>
      <w:r>
        <w:rPr/>
        <w:t>concentrated</w:t>
      </w:r>
      <w:r>
        <w:rPr>
          <w:spacing w:val="-5"/>
        </w:rPr>
        <w:t> </w:t>
      </w:r>
      <w:r>
        <w:rPr/>
        <w:t>income</w:t>
      </w:r>
      <w:r>
        <w:rPr>
          <w:spacing w:val="-5"/>
        </w:rPr>
        <w:t> </w:t>
      </w:r>
      <w:r>
        <w:rPr/>
        <w:t>tax</w:t>
      </w:r>
      <w:r>
        <w:rPr>
          <w:spacing w:val="-5"/>
        </w:rPr>
        <w:t> </w:t>
      </w:r>
      <w:r>
        <w:rPr/>
        <w:t>payments</w:t>
      </w:r>
      <w:r>
        <w:rPr>
          <w:spacing w:val="-5"/>
        </w:rPr>
        <w:t> </w:t>
      </w:r>
      <w:r>
        <w:rPr/>
        <w:t>following</w:t>
      </w:r>
      <w:r>
        <w:rPr>
          <w:spacing w:val="-5"/>
        </w:rPr>
        <w:t> </w:t>
      </w:r>
      <w:r>
        <w:rPr/>
        <w:t>the</w:t>
      </w:r>
      <w:r>
        <w:rPr>
          <w:spacing w:val="-6"/>
        </w:rPr>
        <w:t> </w:t>
      </w:r>
      <w:r>
        <w:rPr/>
        <w:t>introduction</w:t>
      </w:r>
      <w:r>
        <w:rPr>
          <w:spacing w:val="-5"/>
        </w:rPr>
        <w:t> </w:t>
      </w:r>
      <w:r>
        <w:rPr>
          <w:spacing w:val="3"/>
        </w:rPr>
        <w:t>of</w:t>
      </w:r>
      <w:r>
        <w:rPr>
          <w:spacing w:val="-2"/>
        </w:rPr>
        <w:t> </w:t>
      </w:r>
      <w:r>
        <w:rPr/>
        <w:t>self-assessment.</w:t>
      </w:r>
    </w:p>
    <w:p>
      <w:pPr>
        <w:pStyle w:val="BodyText"/>
        <w:spacing w:line="312" w:lineRule="auto"/>
        <w:ind w:left="564" w:right="767"/>
      </w:pPr>
      <w:r>
        <w:rPr/>
        <w:t>While it was possible that these effects had also been present in the February data, the new information might imply a more general slowdown. Households’ M4 borrowing had remained steady at £3.2 billion in February. Total lending to individuals had increased by 0.6% in February, much the same as the average since February 1998. Within individuals’ lending, secured lending had increased by 0.5% in February. Again this was broadly in line with one- month changes since February 1998. But the one-month growth rate of unsecured lending had fallen from 1.3% in January to 0.9% in February.</w:t>
      </w:r>
    </w:p>
    <w:p>
      <w:pPr>
        <w:pStyle w:val="BodyText"/>
        <w:spacing w:before="8"/>
        <w:rPr>
          <w:sz w:val="20"/>
        </w:rPr>
      </w:pPr>
    </w:p>
    <w:p>
      <w:pPr>
        <w:pStyle w:val="BodyText"/>
        <w:tabs>
          <w:tab w:pos="1284" w:val="left" w:leader="none"/>
        </w:tabs>
        <w:spacing w:line="312" w:lineRule="auto"/>
        <w:ind w:left="564" w:right="465"/>
      </w:pPr>
      <w:r>
        <w:rPr/>
        <w:t>A11</w:t>
        <w:tab/>
        <w:t>The</w:t>
      </w:r>
      <w:r>
        <w:rPr>
          <w:spacing w:val="-5"/>
        </w:rPr>
        <w:t> </w:t>
      </w:r>
      <w:r>
        <w:rPr/>
        <w:t>stock</w:t>
      </w:r>
      <w:r>
        <w:rPr>
          <w:spacing w:val="-5"/>
        </w:rPr>
        <w:t> </w:t>
      </w:r>
      <w:r>
        <w:rPr>
          <w:spacing w:val="3"/>
        </w:rPr>
        <w:t>of</w:t>
      </w:r>
      <w:r>
        <w:rPr>
          <w:spacing w:val="-3"/>
        </w:rPr>
        <w:t> </w:t>
      </w:r>
      <w:r>
        <w:rPr/>
        <w:t>M4</w:t>
      </w:r>
      <w:r>
        <w:rPr>
          <w:spacing w:val="-5"/>
        </w:rPr>
        <w:t> </w:t>
      </w:r>
      <w:r>
        <w:rPr/>
        <w:t>held</w:t>
      </w:r>
      <w:r>
        <w:rPr>
          <w:spacing w:val="-6"/>
        </w:rPr>
        <w:t> </w:t>
      </w:r>
      <w:r>
        <w:rPr/>
        <w:t>by</w:t>
      </w:r>
      <w:r>
        <w:rPr>
          <w:spacing w:val="-6"/>
        </w:rPr>
        <w:t> </w:t>
      </w:r>
      <w:r>
        <w:rPr>
          <w:spacing w:val="4"/>
        </w:rPr>
        <w:t>other</w:t>
      </w:r>
      <w:r>
        <w:rPr>
          <w:spacing w:val="-2"/>
        </w:rPr>
        <w:t> </w:t>
      </w:r>
      <w:r>
        <w:rPr/>
        <w:t>financial</w:t>
      </w:r>
      <w:r>
        <w:rPr>
          <w:spacing w:val="-6"/>
        </w:rPr>
        <w:t> </w:t>
      </w:r>
      <w:r>
        <w:rPr/>
        <w:t>corporations</w:t>
      </w:r>
      <w:r>
        <w:rPr>
          <w:spacing w:val="-6"/>
        </w:rPr>
        <w:t> </w:t>
      </w:r>
      <w:r>
        <w:rPr>
          <w:spacing w:val="2"/>
        </w:rPr>
        <w:t>(OFCs)</w:t>
      </w:r>
      <w:r>
        <w:rPr>
          <w:spacing w:val="-4"/>
        </w:rPr>
        <w:t> </w:t>
      </w:r>
      <w:r>
        <w:rPr/>
        <w:t>had</w:t>
      </w:r>
      <w:r>
        <w:rPr>
          <w:spacing w:val="-6"/>
        </w:rPr>
        <w:t> </w:t>
      </w:r>
      <w:r>
        <w:rPr/>
        <w:t>increased</w:t>
      </w:r>
      <w:r>
        <w:rPr>
          <w:spacing w:val="-6"/>
        </w:rPr>
        <w:t> </w:t>
      </w:r>
      <w:r>
        <w:rPr/>
        <w:t>by</w:t>
      </w:r>
      <w:r>
        <w:rPr>
          <w:spacing w:val="-6"/>
        </w:rPr>
        <w:t> </w:t>
      </w:r>
      <w:r>
        <w:rPr/>
        <w:t>£0.3</w:t>
      </w:r>
      <w:r>
        <w:rPr>
          <w:spacing w:val="-5"/>
        </w:rPr>
        <w:t> </w:t>
      </w:r>
      <w:r>
        <w:rPr/>
        <w:t>billion in February compared with a fall </w:t>
      </w:r>
      <w:r>
        <w:rPr>
          <w:spacing w:val="3"/>
        </w:rPr>
        <w:t>of </w:t>
      </w:r>
      <w:r>
        <w:rPr/>
        <w:t>£1.8 billion in January. The twelve-month growth rate in OFCs’ M4 had fallen </w:t>
      </w:r>
      <w:r>
        <w:rPr>
          <w:spacing w:val="3"/>
        </w:rPr>
        <w:t>to </w:t>
      </w:r>
      <w:r>
        <w:rPr/>
        <w:t>its lowest level since 1995Q1. M4 lending </w:t>
      </w:r>
      <w:r>
        <w:rPr>
          <w:spacing w:val="3"/>
        </w:rPr>
        <w:t>to </w:t>
      </w:r>
      <w:r>
        <w:rPr/>
        <w:t>OFCs had increased</w:t>
      </w:r>
      <w:r>
        <w:rPr>
          <w:spacing w:val="-40"/>
        </w:rPr>
        <w:t> </w:t>
      </w:r>
      <w:r>
        <w:rPr>
          <w:spacing w:val="3"/>
        </w:rPr>
        <w:t>to</w:t>
      </w:r>
    </w:p>
    <w:p>
      <w:pPr>
        <w:pStyle w:val="BodyText"/>
        <w:spacing w:line="275" w:lineRule="exact"/>
        <w:ind w:left="564"/>
      </w:pPr>
      <w:r>
        <w:rPr/>
        <w:t>£1.7 billion in February from £0.3 billion in January.</w:t>
      </w:r>
    </w:p>
    <w:p>
      <w:pPr>
        <w:pStyle w:val="BodyText"/>
        <w:spacing w:before="2"/>
        <w:rPr>
          <w:sz w:val="28"/>
        </w:rPr>
      </w:pPr>
    </w:p>
    <w:p>
      <w:pPr>
        <w:pStyle w:val="BodyText"/>
        <w:tabs>
          <w:tab w:pos="1284" w:val="left" w:leader="none"/>
        </w:tabs>
        <w:spacing w:line="312" w:lineRule="auto"/>
        <w:ind w:left="564" w:right="598"/>
      </w:pPr>
      <w:r>
        <w:rPr/>
        <w:t>A12</w:t>
        <w:tab/>
        <w:t>Turning</w:t>
      </w:r>
      <w:r>
        <w:rPr>
          <w:spacing w:val="-7"/>
        </w:rPr>
        <w:t> </w:t>
      </w:r>
      <w:r>
        <w:rPr>
          <w:spacing w:val="2"/>
        </w:rPr>
        <w:t>to</w:t>
      </w:r>
      <w:r>
        <w:rPr>
          <w:spacing w:val="-3"/>
        </w:rPr>
        <w:t> </w:t>
      </w:r>
      <w:r>
        <w:rPr/>
        <w:t>price</w:t>
      </w:r>
      <w:r>
        <w:rPr>
          <w:spacing w:val="-9"/>
        </w:rPr>
        <w:t> </w:t>
      </w:r>
      <w:r>
        <w:rPr/>
        <w:t>indicators</w:t>
      </w:r>
      <w:r>
        <w:rPr>
          <w:spacing w:val="-8"/>
        </w:rPr>
        <w:t> </w:t>
      </w:r>
      <w:r>
        <w:rPr>
          <w:spacing w:val="2"/>
        </w:rPr>
        <w:t>of</w:t>
      </w:r>
      <w:r>
        <w:rPr>
          <w:spacing w:val="-5"/>
        </w:rPr>
        <w:t> </w:t>
      </w:r>
      <w:r>
        <w:rPr/>
        <w:t>monetary</w:t>
      </w:r>
      <w:r>
        <w:rPr>
          <w:spacing w:val="-9"/>
        </w:rPr>
        <w:t> </w:t>
      </w:r>
      <w:r>
        <w:rPr/>
        <w:t>conditions,</w:t>
      </w:r>
      <w:r>
        <w:rPr>
          <w:spacing w:val="-8"/>
        </w:rPr>
        <w:t> </w:t>
      </w:r>
      <w:r>
        <w:rPr/>
        <w:t>sterling</w:t>
      </w:r>
      <w:r>
        <w:rPr>
          <w:spacing w:val="-9"/>
        </w:rPr>
        <w:t> </w:t>
      </w:r>
      <w:r>
        <w:rPr/>
        <w:t>interest</w:t>
      </w:r>
      <w:r>
        <w:rPr>
          <w:spacing w:val="-3"/>
        </w:rPr>
        <w:t> </w:t>
      </w:r>
      <w:r>
        <w:rPr/>
        <w:t>rate</w:t>
      </w:r>
      <w:r>
        <w:rPr>
          <w:spacing w:val="-7"/>
        </w:rPr>
        <w:t> </w:t>
      </w:r>
      <w:r>
        <w:rPr/>
        <w:t>expectations</w:t>
      </w:r>
      <w:r>
        <w:rPr>
          <w:spacing w:val="-9"/>
        </w:rPr>
        <w:t> </w:t>
      </w:r>
      <w:r>
        <w:rPr/>
        <w:t>had fallen since the March MPC decision. Short-term interest </w:t>
      </w:r>
      <w:r>
        <w:rPr>
          <w:spacing w:val="2"/>
        </w:rPr>
        <w:t>rates </w:t>
      </w:r>
      <w:r>
        <w:rPr/>
        <w:t>had implied that financial market participants expected the repo rate </w:t>
      </w:r>
      <w:r>
        <w:rPr>
          <w:spacing w:val="2"/>
        </w:rPr>
        <w:t>to </w:t>
      </w:r>
      <w:r>
        <w:rPr/>
        <w:t>fall </w:t>
      </w:r>
      <w:r>
        <w:rPr>
          <w:spacing w:val="2"/>
        </w:rPr>
        <w:t>to </w:t>
      </w:r>
      <w:r>
        <w:rPr/>
        <w:t>around 5% during 1999. Longer-term nominal interest rates had also fallen: three-year forward rates had fallen by around 20 basis points since the March MPC meeting. The falls had been concentrated at the short end </w:t>
      </w:r>
      <w:r>
        <w:rPr>
          <w:spacing w:val="2"/>
        </w:rPr>
        <w:t>of </w:t>
      </w:r>
      <w:r>
        <w:rPr/>
        <w:t>the yield</w:t>
      </w:r>
      <w:r>
        <w:rPr>
          <w:spacing w:val="16"/>
        </w:rPr>
        <w:t> </w:t>
      </w:r>
      <w:r>
        <w:rPr/>
        <w:t>curve.</w:t>
      </w:r>
    </w:p>
    <w:p>
      <w:pPr>
        <w:pStyle w:val="BodyText"/>
        <w:rPr>
          <w:sz w:val="21"/>
        </w:rPr>
      </w:pPr>
    </w:p>
    <w:p>
      <w:pPr>
        <w:pStyle w:val="BodyText"/>
        <w:tabs>
          <w:tab w:pos="1284" w:val="left" w:leader="none"/>
        </w:tabs>
        <w:spacing w:line="312" w:lineRule="auto"/>
        <w:ind w:left="564" w:right="469"/>
      </w:pPr>
      <w:r>
        <w:rPr/>
        <w:t>A13</w:t>
        <w:tab/>
        <w:t>Measures</w:t>
      </w:r>
      <w:r>
        <w:rPr>
          <w:spacing w:val="-9"/>
        </w:rPr>
        <w:t> </w:t>
      </w:r>
      <w:r>
        <w:rPr>
          <w:spacing w:val="3"/>
        </w:rPr>
        <w:t>of</w:t>
      </w:r>
      <w:r>
        <w:rPr>
          <w:spacing w:val="-4"/>
        </w:rPr>
        <w:t> </w:t>
      </w:r>
      <w:r>
        <w:rPr/>
        <w:t>short-term</w:t>
      </w:r>
      <w:r>
        <w:rPr>
          <w:spacing w:val="-8"/>
        </w:rPr>
        <w:t> </w:t>
      </w:r>
      <w:r>
        <w:rPr/>
        <w:t>inflation</w:t>
      </w:r>
      <w:r>
        <w:rPr>
          <w:spacing w:val="-8"/>
        </w:rPr>
        <w:t> </w:t>
      </w:r>
      <w:r>
        <w:rPr/>
        <w:t>expectations</w:t>
      </w:r>
      <w:r>
        <w:rPr>
          <w:spacing w:val="-9"/>
        </w:rPr>
        <w:t> </w:t>
      </w:r>
      <w:r>
        <w:rPr/>
        <w:t>from</w:t>
      </w:r>
      <w:r>
        <w:rPr>
          <w:spacing w:val="-8"/>
        </w:rPr>
        <w:t> </w:t>
      </w:r>
      <w:r>
        <w:rPr/>
        <w:t>monthly</w:t>
      </w:r>
      <w:r>
        <w:rPr>
          <w:spacing w:val="-8"/>
        </w:rPr>
        <w:t> </w:t>
      </w:r>
      <w:r>
        <w:rPr/>
        <w:t>surveys</w:t>
      </w:r>
      <w:r>
        <w:rPr>
          <w:spacing w:val="-8"/>
        </w:rPr>
        <w:t> </w:t>
      </w:r>
      <w:r>
        <w:rPr/>
        <w:t>had</w:t>
      </w:r>
      <w:r>
        <w:rPr>
          <w:spacing w:val="-9"/>
        </w:rPr>
        <w:t> </w:t>
      </w:r>
      <w:r>
        <w:rPr/>
        <w:t>remained</w:t>
      </w:r>
      <w:r>
        <w:rPr>
          <w:spacing w:val="-6"/>
        </w:rPr>
        <w:t> </w:t>
      </w:r>
      <w:r>
        <w:rPr/>
        <w:t>broadly unchanged at 2.2% </w:t>
      </w:r>
      <w:r>
        <w:rPr>
          <w:spacing w:val="2"/>
        </w:rPr>
        <w:t>to </w:t>
      </w:r>
      <w:r>
        <w:rPr/>
        <w:t>2.3%. Measures </w:t>
      </w:r>
      <w:r>
        <w:rPr>
          <w:spacing w:val="2"/>
        </w:rPr>
        <w:t>of </w:t>
      </w:r>
      <w:r>
        <w:rPr/>
        <w:t>two-year inflation expectations from quarterly surveys had shown falls for almost all groups surveyed: for example, the Barclays Basix survey had reported that trade unions’ average RPI inflation expectations for the next two years had fallen by 40 basis points since the 1998 Q4 survey. Inflation forward rates, derived from index-linked bond yields, had shown little change since the March MPC meeting. Since the February </w:t>
      </w:r>
      <w:r>
        <w:rPr>
          <w:i/>
        </w:rPr>
        <w:t>Inflation </w:t>
      </w:r>
      <w:r>
        <w:rPr>
          <w:i/>
        </w:rPr>
        <w:t>Report</w:t>
      </w:r>
      <w:r>
        <w:rPr/>
        <w:t>, however, inflation forward rates at all maturities had risen from a range </w:t>
      </w:r>
      <w:r>
        <w:rPr>
          <w:spacing w:val="2"/>
        </w:rPr>
        <w:t>of </w:t>
      </w:r>
      <w:r>
        <w:rPr/>
        <w:t>2.5% </w:t>
      </w:r>
      <w:r>
        <w:rPr>
          <w:spacing w:val="3"/>
        </w:rPr>
        <w:t>to </w:t>
      </w:r>
      <w:r>
        <w:rPr/>
        <w:t>2.9% </w:t>
      </w:r>
      <w:r>
        <w:rPr>
          <w:spacing w:val="3"/>
        </w:rPr>
        <w:t>to </w:t>
      </w:r>
      <w:r>
        <w:rPr/>
        <w:t>around 3%. One explanation </w:t>
      </w:r>
      <w:r>
        <w:rPr>
          <w:spacing w:val="5"/>
        </w:rPr>
        <w:t>offered </w:t>
      </w:r>
      <w:r>
        <w:rPr/>
        <w:t>by Bank staff was that nominal yields may have been artificially depressed earlier this year as a </w:t>
      </w:r>
      <w:r>
        <w:rPr>
          <w:spacing w:val="2"/>
        </w:rPr>
        <w:t>result </w:t>
      </w:r>
      <w:r>
        <w:rPr>
          <w:spacing w:val="3"/>
        </w:rPr>
        <w:t>of </w:t>
      </w:r>
      <w:r>
        <w:rPr/>
        <w:t>institutional </w:t>
      </w:r>
      <w:r>
        <w:rPr>
          <w:spacing w:val="2"/>
        </w:rPr>
        <w:t>investors’ </w:t>
      </w:r>
      <w:r>
        <w:rPr/>
        <w:t>demand </w:t>
      </w:r>
      <w:r>
        <w:rPr>
          <w:spacing w:val="3"/>
        </w:rPr>
        <w:t>to </w:t>
      </w:r>
      <w:r>
        <w:rPr/>
        <w:t>hold liquid instruments.</w:t>
      </w:r>
    </w:p>
    <w:p>
      <w:pPr>
        <w:spacing w:after="0" w:line="312" w:lineRule="auto"/>
        <w:sectPr>
          <w:pgSz w:w="11900" w:h="16840"/>
          <w:pgMar w:header="719" w:footer="0" w:top="1160" w:bottom="280" w:left="880" w:right="580"/>
        </w:sectPr>
      </w:pPr>
    </w:p>
    <w:p>
      <w:pPr>
        <w:pStyle w:val="BodyText"/>
        <w:tabs>
          <w:tab w:pos="1284" w:val="left" w:leader="none"/>
        </w:tabs>
        <w:spacing w:line="312" w:lineRule="auto" w:before="80"/>
        <w:ind w:left="564" w:right="454"/>
      </w:pPr>
      <w:r>
        <w:rPr/>
        <w:t>A14</w:t>
        <w:tab/>
        <w:t>The F</w:t>
      </w:r>
      <w:r>
        <w:rPr>
          <w:sz w:val="20"/>
        </w:rPr>
        <w:t>T-SE </w:t>
      </w:r>
      <w:r>
        <w:rPr/>
        <w:t>100 index had </w:t>
      </w:r>
      <w:r>
        <w:rPr>
          <w:spacing w:val="2"/>
        </w:rPr>
        <w:t>risen </w:t>
      </w:r>
      <w:r>
        <w:rPr/>
        <w:t>by 6.8% since the March MPC meeting. </w:t>
      </w:r>
      <w:r>
        <w:rPr>
          <w:spacing w:val="2"/>
        </w:rPr>
        <w:t>Implied </w:t>
      </w:r>
      <w:r>
        <w:rPr/>
        <w:t>volatility had fallen further, and </w:t>
      </w:r>
      <w:r>
        <w:rPr>
          <w:spacing w:val="3"/>
        </w:rPr>
        <w:t>to </w:t>
      </w:r>
      <w:r>
        <w:rPr/>
        <w:t>below the levels seen before the Russian debt crisis. The F </w:t>
      </w:r>
      <w:r>
        <w:rPr>
          <w:sz w:val="20"/>
        </w:rPr>
        <w:t>TSE </w:t>
      </w:r>
      <w:r>
        <w:rPr/>
        <w:t>SmallCap index had risen more than the rest </w:t>
      </w:r>
      <w:r>
        <w:rPr>
          <w:spacing w:val="2"/>
        </w:rPr>
        <w:t>of </w:t>
      </w:r>
      <w:r>
        <w:rPr/>
        <w:t>the market, reflecting in part the strength </w:t>
      </w:r>
      <w:r>
        <w:rPr>
          <w:spacing w:val="2"/>
        </w:rPr>
        <w:t>of </w:t>
      </w:r>
      <w:r>
        <w:rPr/>
        <w:t>the General industrials sector </w:t>
      </w:r>
      <w:r>
        <w:rPr>
          <w:spacing w:val="3"/>
        </w:rPr>
        <w:t>over </w:t>
      </w:r>
      <w:r>
        <w:rPr/>
        <w:t>the period. The Resources sector had also performed very strongly alongside the </w:t>
      </w:r>
      <w:r>
        <w:rPr>
          <w:spacing w:val="2"/>
        </w:rPr>
        <w:t>rise </w:t>
      </w:r>
      <w:r>
        <w:rPr/>
        <w:t>in </w:t>
      </w:r>
      <w:r>
        <w:rPr>
          <w:spacing w:val="4"/>
        </w:rPr>
        <w:t>oil</w:t>
      </w:r>
      <w:r>
        <w:rPr>
          <w:spacing w:val="24"/>
        </w:rPr>
        <w:t> </w:t>
      </w:r>
      <w:r>
        <w:rPr/>
        <w:t>prices.</w:t>
      </w:r>
    </w:p>
    <w:p>
      <w:pPr>
        <w:pStyle w:val="BodyText"/>
        <w:spacing w:before="11"/>
        <w:rPr>
          <w:sz w:val="20"/>
        </w:rPr>
      </w:pPr>
    </w:p>
    <w:p>
      <w:pPr>
        <w:pStyle w:val="BodyText"/>
        <w:tabs>
          <w:tab w:pos="1284" w:val="left" w:leader="none"/>
        </w:tabs>
        <w:spacing w:line="312" w:lineRule="auto"/>
        <w:ind w:left="564" w:right="473"/>
      </w:pPr>
      <w:r>
        <w:rPr/>
        <w:t>A15</w:t>
        <w:tab/>
        <w:t>The</w:t>
      </w:r>
      <w:r>
        <w:rPr>
          <w:spacing w:val="-3"/>
        </w:rPr>
        <w:t> </w:t>
      </w:r>
      <w:r>
        <w:rPr/>
        <w:t>effective</w:t>
      </w:r>
      <w:r>
        <w:rPr>
          <w:spacing w:val="-4"/>
        </w:rPr>
        <w:t> </w:t>
      </w:r>
      <w:r>
        <w:rPr/>
        <w:t>exchange</w:t>
      </w:r>
      <w:r>
        <w:rPr>
          <w:spacing w:val="-4"/>
        </w:rPr>
        <w:t> </w:t>
      </w:r>
      <w:r>
        <w:rPr/>
        <w:t>rate</w:t>
      </w:r>
      <w:r>
        <w:rPr>
          <w:spacing w:val="-3"/>
        </w:rPr>
        <w:t> </w:t>
      </w:r>
      <w:r>
        <w:rPr/>
        <w:t>had</w:t>
      </w:r>
      <w:r>
        <w:rPr>
          <w:spacing w:val="-4"/>
        </w:rPr>
        <w:t> </w:t>
      </w:r>
      <w:r>
        <w:rPr/>
        <w:t>fallen</w:t>
      </w:r>
      <w:r>
        <w:rPr>
          <w:spacing w:val="-4"/>
        </w:rPr>
        <w:t> </w:t>
      </w:r>
      <w:r>
        <w:rPr/>
        <w:t>in</w:t>
      </w:r>
      <w:r>
        <w:rPr>
          <w:spacing w:val="-4"/>
        </w:rPr>
        <w:t> </w:t>
      </w:r>
      <w:r>
        <w:rPr/>
        <w:t>recent</w:t>
      </w:r>
      <w:r>
        <w:rPr>
          <w:spacing w:val="-4"/>
        </w:rPr>
        <w:t> </w:t>
      </w:r>
      <w:r>
        <w:rPr/>
        <w:t>days,</w:t>
      </w:r>
      <w:r>
        <w:rPr>
          <w:spacing w:val="-4"/>
        </w:rPr>
        <w:t> </w:t>
      </w:r>
      <w:r>
        <w:rPr/>
        <w:t>after</w:t>
      </w:r>
      <w:r>
        <w:rPr>
          <w:spacing w:val="-4"/>
        </w:rPr>
        <w:t> </w:t>
      </w:r>
      <w:r>
        <w:rPr/>
        <w:t>an</w:t>
      </w:r>
      <w:r>
        <w:rPr>
          <w:spacing w:val="-4"/>
        </w:rPr>
        <w:t> </w:t>
      </w:r>
      <w:r>
        <w:rPr/>
        <w:t>earlier</w:t>
      </w:r>
      <w:r>
        <w:rPr>
          <w:spacing w:val="-4"/>
        </w:rPr>
        <w:t> </w:t>
      </w:r>
      <w:r>
        <w:rPr/>
        <w:t>appreciation,</w:t>
      </w:r>
      <w:r>
        <w:rPr>
          <w:spacing w:val="-4"/>
        </w:rPr>
        <w:t> </w:t>
      </w:r>
      <w:r>
        <w:rPr>
          <w:spacing w:val="3"/>
        </w:rPr>
        <w:t>to</w:t>
      </w:r>
      <w:r>
        <w:rPr/>
        <w:t> stand 0.3% lower than at the March MPC meeting. Sterling had changed little against the euro and had depreciated slightly against the US</w:t>
      </w:r>
      <w:r>
        <w:rPr>
          <w:spacing w:val="17"/>
        </w:rPr>
        <w:t> </w:t>
      </w:r>
      <w:r>
        <w:rPr/>
        <w:t>dollar.</w:t>
      </w:r>
    </w:p>
    <w:p>
      <w:pPr>
        <w:pStyle w:val="BodyText"/>
        <w:rPr>
          <w:sz w:val="26"/>
        </w:rPr>
      </w:pPr>
    </w:p>
    <w:p>
      <w:pPr>
        <w:pStyle w:val="Heading2"/>
        <w:numPr>
          <w:ilvl w:val="0"/>
          <w:numId w:val="2"/>
        </w:numPr>
        <w:tabs>
          <w:tab w:pos="1284" w:val="left" w:leader="none"/>
          <w:tab w:pos="1285" w:val="left" w:leader="none"/>
        </w:tabs>
        <w:spacing w:line="240" w:lineRule="auto" w:before="185" w:after="0"/>
        <w:ind w:left="1284" w:right="0" w:hanging="721"/>
        <w:jc w:val="left"/>
      </w:pPr>
      <w:r>
        <w:rPr/>
        <w:t>The</w:t>
      </w:r>
      <w:r>
        <w:rPr>
          <w:spacing w:val="4"/>
        </w:rPr>
        <w:t> </w:t>
      </w:r>
      <w:r>
        <w:rPr>
          <w:spacing w:val="2"/>
        </w:rPr>
        <w:t>Budget</w:t>
      </w:r>
    </w:p>
    <w:p>
      <w:pPr>
        <w:pStyle w:val="BodyText"/>
        <w:spacing w:before="8"/>
        <w:rPr>
          <w:b/>
          <w:sz w:val="37"/>
        </w:rPr>
      </w:pPr>
    </w:p>
    <w:p>
      <w:pPr>
        <w:pStyle w:val="BodyText"/>
        <w:tabs>
          <w:tab w:pos="1284" w:val="left" w:leader="none"/>
        </w:tabs>
        <w:spacing w:line="312" w:lineRule="auto" w:before="1"/>
        <w:ind w:left="564" w:right="607"/>
      </w:pPr>
      <w:r>
        <w:rPr/>
        <w:t>A16</w:t>
        <w:tab/>
        <w:t>Staff presented a short summary </w:t>
      </w:r>
      <w:r>
        <w:rPr>
          <w:spacing w:val="2"/>
        </w:rPr>
        <w:t>of </w:t>
      </w:r>
      <w:r>
        <w:rPr/>
        <w:t>the Chancellor’s recent Budget. HM </w:t>
      </w:r>
      <w:r>
        <w:rPr>
          <w:spacing w:val="-3"/>
        </w:rPr>
        <w:t>Treasury’s </w:t>
      </w:r>
      <w:r>
        <w:rPr/>
        <w:t>forecast of P</w:t>
      </w:r>
      <w:r>
        <w:rPr>
          <w:sz w:val="20"/>
        </w:rPr>
        <w:t>SNB </w:t>
      </w:r>
      <w:r>
        <w:rPr>
          <w:spacing w:val="2"/>
        </w:rPr>
        <w:t>(including </w:t>
      </w:r>
      <w:r>
        <w:rPr/>
        <w:t>the windfall tax) for 1998/99 had been </w:t>
      </w:r>
      <w:r>
        <w:rPr>
          <w:spacing w:val="2"/>
        </w:rPr>
        <w:t>revised </w:t>
      </w:r>
      <w:r>
        <w:rPr/>
        <w:t>up slightly. Lower receipts had more than </w:t>
      </w:r>
      <w:r>
        <w:rPr>
          <w:spacing w:val="4"/>
        </w:rPr>
        <w:t>off-set </w:t>
      </w:r>
      <w:r>
        <w:rPr/>
        <w:t>lower spending. The Budget had announced measures that would increase borrowing by £1 billion in 1999/00, £1.4 billion in 2000/01 and £3.6 billion in</w:t>
      </w:r>
      <w:r>
        <w:rPr>
          <w:spacing w:val="-33"/>
        </w:rPr>
        <w:t> </w:t>
      </w:r>
      <w:r>
        <w:rPr/>
        <w:t>2001/02. However, </w:t>
      </w:r>
      <w:r>
        <w:rPr>
          <w:spacing w:val="3"/>
        </w:rPr>
        <w:t>other </w:t>
      </w:r>
      <w:r>
        <w:rPr/>
        <w:t>changes </w:t>
      </w:r>
      <w:r>
        <w:rPr>
          <w:spacing w:val="2"/>
        </w:rPr>
        <w:t>to </w:t>
      </w:r>
      <w:r>
        <w:rPr/>
        <w:t>HM </w:t>
      </w:r>
      <w:r>
        <w:rPr>
          <w:spacing w:val="-3"/>
        </w:rPr>
        <w:t>Treasury’s </w:t>
      </w:r>
      <w:r>
        <w:rPr/>
        <w:t>forecasts for spending and receipts </w:t>
      </w:r>
      <w:r>
        <w:rPr>
          <w:spacing w:val="3"/>
        </w:rPr>
        <w:t>over </w:t>
      </w:r>
      <w:r>
        <w:rPr/>
        <w:t>these years had led </w:t>
      </w:r>
      <w:r>
        <w:rPr>
          <w:spacing w:val="2"/>
        </w:rPr>
        <w:t>to </w:t>
      </w:r>
      <w:r>
        <w:rPr/>
        <w:t>lower projected borrowing </w:t>
      </w:r>
      <w:r>
        <w:rPr>
          <w:spacing w:val="3"/>
        </w:rPr>
        <w:t>over </w:t>
      </w:r>
      <w:r>
        <w:rPr/>
        <w:t>the same period. Lower forecasts for social security payments and debt interest payments had more than </w:t>
      </w:r>
      <w:r>
        <w:rPr>
          <w:spacing w:val="4"/>
        </w:rPr>
        <w:t>offset </w:t>
      </w:r>
      <w:r>
        <w:rPr/>
        <w:t>lower projected</w:t>
      </w:r>
      <w:r>
        <w:rPr>
          <w:spacing w:val="4"/>
        </w:rPr>
        <w:t> </w:t>
      </w:r>
      <w:r>
        <w:rPr/>
        <w:t>receipts.</w:t>
      </w:r>
    </w:p>
    <w:p>
      <w:pPr>
        <w:pStyle w:val="BodyText"/>
        <w:spacing w:before="2"/>
        <w:rPr>
          <w:sz w:val="31"/>
        </w:rPr>
      </w:pPr>
    </w:p>
    <w:p>
      <w:pPr>
        <w:pStyle w:val="BodyText"/>
        <w:tabs>
          <w:tab w:pos="1284" w:val="left" w:leader="none"/>
        </w:tabs>
        <w:spacing w:line="312" w:lineRule="auto"/>
        <w:ind w:left="564" w:right="453"/>
      </w:pPr>
      <w:r>
        <w:rPr/>
        <w:t>A17</w:t>
        <w:tab/>
        <w:t>Overall, the </w:t>
      </w:r>
      <w:r>
        <w:rPr>
          <w:spacing w:val="4"/>
        </w:rPr>
        <w:t>outlook </w:t>
      </w:r>
      <w:r>
        <w:rPr/>
        <w:t>for the fiscal stance was little changed since the Pre-Budget Report: a small deficit had still been projected in 1999/00 and 2000/01 but this was cyclical in nature; </w:t>
      </w:r>
      <w:r>
        <w:rPr>
          <w:spacing w:val="2"/>
        </w:rPr>
        <w:t>the </w:t>
      </w:r>
      <w:r>
        <w:rPr/>
        <w:t>structural deficit had been projected </w:t>
      </w:r>
      <w:r>
        <w:rPr>
          <w:spacing w:val="3"/>
        </w:rPr>
        <w:t>to </w:t>
      </w:r>
      <w:r>
        <w:rPr/>
        <w:t>be broadly balanced. The </w:t>
      </w:r>
      <w:r>
        <w:rPr>
          <w:spacing w:val="-4"/>
        </w:rPr>
        <w:t>‘Golden </w:t>
      </w:r>
      <w:r>
        <w:rPr/>
        <w:t>Rule’ was expected to be met with a small margin </w:t>
      </w:r>
      <w:r>
        <w:rPr>
          <w:spacing w:val="2"/>
        </w:rPr>
        <w:t>of </w:t>
      </w:r>
      <w:r>
        <w:rPr/>
        <w:t>safety </w:t>
      </w:r>
      <w:r>
        <w:rPr>
          <w:spacing w:val="3"/>
        </w:rPr>
        <w:t>over </w:t>
      </w:r>
      <w:r>
        <w:rPr/>
        <w:t>the next three years. The net debt </w:t>
      </w:r>
      <w:r>
        <w:rPr>
          <w:spacing w:val="3"/>
        </w:rPr>
        <w:t>to </w:t>
      </w:r>
      <w:r>
        <w:rPr/>
        <w:t>GDP ratio had been projected </w:t>
      </w:r>
      <w:r>
        <w:rPr>
          <w:spacing w:val="3"/>
        </w:rPr>
        <w:t>to </w:t>
      </w:r>
      <w:r>
        <w:rPr/>
        <w:t>fall well below 40 per cent by</w:t>
      </w:r>
      <w:r>
        <w:rPr>
          <w:spacing w:val="38"/>
        </w:rPr>
        <w:t> </w:t>
      </w:r>
      <w:r>
        <w:rPr/>
        <w:t>2001/02.</w:t>
      </w:r>
    </w:p>
    <w:p>
      <w:pPr>
        <w:pStyle w:val="BodyText"/>
        <w:rPr>
          <w:sz w:val="31"/>
        </w:rPr>
      </w:pPr>
    </w:p>
    <w:p>
      <w:pPr>
        <w:pStyle w:val="BodyText"/>
        <w:tabs>
          <w:tab w:pos="1284" w:val="left" w:leader="none"/>
        </w:tabs>
        <w:spacing w:line="312" w:lineRule="auto"/>
        <w:ind w:left="564" w:right="547"/>
      </w:pPr>
      <w:r>
        <w:rPr/>
        <w:t>A18</w:t>
        <w:tab/>
        <w:t>The Budget measures had been aimed at targeting help </w:t>
      </w:r>
      <w:r>
        <w:rPr>
          <w:spacing w:val="3"/>
        </w:rPr>
        <w:t>on </w:t>
      </w:r>
      <w:r>
        <w:rPr/>
        <w:t>families with children, improving work incentives and promoting enterprise through microeconomic reform. </w:t>
      </w:r>
      <w:r>
        <w:rPr>
          <w:spacing w:val="2"/>
        </w:rPr>
        <w:t>These </w:t>
      </w:r>
      <w:r>
        <w:rPr/>
        <w:t>had included reductions in personal income tax rates; changes </w:t>
      </w:r>
      <w:r>
        <w:rPr>
          <w:spacing w:val="3"/>
        </w:rPr>
        <w:t>to </w:t>
      </w:r>
      <w:r>
        <w:rPr/>
        <w:t>National Insurance contributions; measures </w:t>
      </w:r>
      <w:r>
        <w:rPr>
          <w:spacing w:val="3"/>
        </w:rPr>
        <w:t>to </w:t>
      </w:r>
      <w:r>
        <w:rPr/>
        <w:t>reduce taxation for small businesses; and the introduction </w:t>
      </w:r>
      <w:r>
        <w:rPr>
          <w:spacing w:val="2"/>
        </w:rPr>
        <w:t>of </w:t>
      </w:r>
      <w:r>
        <w:rPr/>
        <w:t>a Children’s Tax</w:t>
      </w:r>
      <w:r>
        <w:rPr>
          <w:spacing w:val="-26"/>
        </w:rPr>
        <w:t> </w:t>
      </w:r>
      <w:r>
        <w:rPr/>
        <w:t>Credit along </w:t>
      </w:r>
      <w:r>
        <w:rPr>
          <w:spacing w:val="2"/>
        </w:rPr>
        <w:t>with </w:t>
      </w:r>
      <w:r>
        <w:rPr/>
        <w:t>increases in </w:t>
      </w:r>
      <w:r>
        <w:rPr>
          <w:spacing w:val="2"/>
        </w:rPr>
        <w:t>existing benefits </w:t>
      </w:r>
      <w:r>
        <w:rPr>
          <w:spacing w:val="3"/>
        </w:rPr>
        <w:t>to </w:t>
      </w:r>
      <w:r>
        <w:rPr/>
        <w:t>families </w:t>
      </w:r>
      <w:r>
        <w:rPr>
          <w:spacing w:val="2"/>
        </w:rPr>
        <w:t>with</w:t>
      </w:r>
      <w:r>
        <w:rPr>
          <w:spacing w:val="24"/>
        </w:rPr>
        <w:t> </w:t>
      </w:r>
      <w:r>
        <w:rPr/>
        <w:t>children.</w:t>
      </w:r>
    </w:p>
    <w:p>
      <w:pPr>
        <w:spacing w:after="0" w:line="312" w:lineRule="auto"/>
        <w:sectPr>
          <w:pgSz w:w="11900" w:h="16840"/>
          <w:pgMar w:header="719" w:footer="0" w:top="1160" w:bottom="280" w:left="880" w:right="580"/>
        </w:sectPr>
      </w:pPr>
    </w:p>
    <w:p>
      <w:pPr>
        <w:pStyle w:val="Heading2"/>
        <w:numPr>
          <w:ilvl w:val="0"/>
          <w:numId w:val="2"/>
        </w:numPr>
        <w:tabs>
          <w:tab w:pos="1284" w:val="left" w:leader="none"/>
          <w:tab w:pos="1285" w:val="left" w:leader="none"/>
        </w:tabs>
        <w:spacing w:line="240" w:lineRule="auto" w:before="84" w:after="0"/>
        <w:ind w:left="1284" w:right="0" w:hanging="721"/>
        <w:jc w:val="left"/>
      </w:pPr>
      <w:r>
        <w:rPr/>
        <w:t>Demand and</w:t>
      </w:r>
      <w:r>
        <w:rPr>
          <w:spacing w:val="8"/>
        </w:rPr>
        <w:t> </w:t>
      </w:r>
      <w:r>
        <w:rPr>
          <w:spacing w:val="2"/>
        </w:rPr>
        <w:t>output</w:t>
      </w:r>
    </w:p>
    <w:p>
      <w:pPr>
        <w:pStyle w:val="BodyText"/>
        <w:spacing w:before="9"/>
        <w:rPr>
          <w:b/>
          <w:sz w:val="37"/>
        </w:rPr>
      </w:pPr>
    </w:p>
    <w:p>
      <w:pPr>
        <w:pStyle w:val="BodyText"/>
        <w:tabs>
          <w:tab w:pos="1284" w:val="left" w:leader="none"/>
        </w:tabs>
        <w:spacing w:line="312" w:lineRule="auto"/>
        <w:ind w:left="564" w:right="445"/>
      </w:pPr>
      <w:r>
        <w:rPr/>
        <w:t>A19</w:t>
        <w:tab/>
        <w:t>The 1998 Q4 National Accounts release had included revisions back </w:t>
      </w:r>
      <w:r>
        <w:rPr>
          <w:spacing w:val="3"/>
        </w:rPr>
        <w:t>to </w:t>
      </w:r>
      <w:r>
        <w:rPr/>
        <w:t>1997 Q1. The level </w:t>
      </w:r>
      <w:r>
        <w:rPr>
          <w:spacing w:val="2"/>
        </w:rPr>
        <w:t>of </w:t>
      </w:r>
      <w:r>
        <w:rPr/>
        <w:t>GDP at constant market prices in 1998 Q4 had been 0.3 percentage points lower than the February estimate, and 0.5 percentage points lower than the preliminary estimate. Revisions </w:t>
      </w:r>
      <w:r>
        <w:rPr>
          <w:spacing w:val="3"/>
        </w:rPr>
        <w:t>to </w:t>
      </w:r>
      <w:r>
        <w:rPr/>
        <w:t>GDP at constant basic prices had been more limited. Downward revisions </w:t>
      </w:r>
      <w:r>
        <w:rPr>
          <w:spacing w:val="3"/>
        </w:rPr>
        <w:t>to </w:t>
      </w:r>
      <w:r>
        <w:rPr/>
        <w:t>the level </w:t>
      </w:r>
      <w:r>
        <w:rPr>
          <w:spacing w:val="2"/>
        </w:rPr>
        <w:t>of </w:t>
      </w:r>
      <w:r>
        <w:rPr/>
        <w:t>the income</w:t>
      </w:r>
      <w:r>
        <w:rPr>
          <w:spacing w:val="-6"/>
        </w:rPr>
        <w:t> </w:t>
      </w:r>
      <w:r>
        <w:rPr/>
        <w:t>and</w:t>
      </w:r>
      <w:r>
        <w:rPr>
          <w:spacing w:val="-5"/>
        </w:rPr>
        <w:t> </w:t>
      </w:r>
      <w:r>
        <w:rPr>
          <w:spacing w:val="4"/>
        </w:rPr>
        <w:t>output</w:t>
      </w:r>
      <w:r>
        <w:rPr>
          <w:spacing w:val="-2"/>
        </w:rPr>
        <w:t> </w:t>
      </w:r>
      <w:r>
        <w:rPr/>
        <w:t>based</w:t>
      </w:r>
      <w:r>
        <w:rPr>
          <w:spacing w:val="-5"/>
        </w:rPr>
        <w:t> </w:t>
      </w:r>
      <w:r>
        <w:rPr/>
        <w:t>measures</w:t>
      </w:r>
      <w:r>
        <w:rPr>
          <w:spacing w:val="-5"/>
        </w:rPr>
        <w:t> </w:t>
      </w:r>
      <w:r>
        <w:rPr>
          <w:spacing w:val="2"/>
        </w:rPr>
        <w:t>of</w:t>
      </w:r>
      <w:r>
        <w:rPr>
          <w:spacing w:val="-2"/>
        </w:rPr>
        <w:t> </w:t>
      </w:r>
      <w:r>
        <w:rPr/>
        <w:t>GDP</w:t>
      </w:r>
      <w:r>
        <w:rPr>
          <w:spacing w:val="-5"/>
        </w:rPr>
        <w:t> </w:t>
      </w:r>
      <w:r>
        <w:rPr/>
        <w:t>had</w:t>
      </w:r>
      <w:r>
        <w:rPr>
          <w:spacing w:val="-5"/>
        </w:rPr>
        <w:t> </w:t>
      </w:r>
      <w:r>
        <w:rPr/>
        <w:t>reduced</w:t>
      </w:r>
      <w:r>
        <w:rPr>
          <w:spacing w:val="-5"/>
        </w:rPr>
        <w:t> </w:t>
      </w:r>
      <w:r>
        <w:rPr/>
        <w:t>the</w:t>
      </w:r>
      <w:r>
        <w:rPr>
          <w:spacing w:val="-5"/>
        </w:rPr>
        <w:t> </w:t>
      </w:r>
      <w:r>
        <w:rPr/>
        <w:t>shortfall</w:t>
      </w:r>
      <w:r>
        <w:rPr>
          <w:spacing w:val="-5"/>
        </w:rPr>
        <w:t> </w:t>
      </w:r>
      <w:r>
        <w:rPr>
          <w:spacing w:val="2"/>
        </w:rPr>
        <w:t>of</w:t>
      </w:r>
      <w:r>
        <w:rPr>
          <w:spacing w:val="-2"/>
        </w:rPr>
        <w:t> </w:t>
      </w:r>
      <w:r>
        <w:rPr/>
        <w:t>expenditure</w:t>
      </w:r>
      <w:r>
        <w:rPr>
          <w:spacing w:val="-5"/>
        </w:rPr>
        <w:t> </w:t>
      </w:r>
      <w:r>
        <w:rPr/>
        <w:t>relative</w:t>
      </w:r>
      <w:r>
        <w:rPr>
          <w:spacing w:val="-4"/>
        </w:rPr>
        <w:t> </w:t>
      </w:r>
      <w:r>
        <w:rPr>
          <w:spacing w:val="2"/>
        </w:rPr>
        <w:t>to</w:t>
      </w:r>
      <w:r>
        <w:rPr>
          <w:spacing w:val="-1"/>
        </w:rPr>
        <w:t> </w:t>
      </w:r>
      <w:r>
        <w:rPr/>
        <w:t>the average measure. In 1998 as a whole, GDP had grown by 2.1% (revised from 2.3%) compared with 3.5% (unrevised) in 1997. The quarterly growth rate of GDP at constant market prices in Q4 had been revised down </w:t>
      </w:r>
      <w:r>
        <w:rPr>
          <w:spacing w:val="2"/>
        </w:rPr>
        <w:t>to </w:t>
      </w:r>
      <w:r>
        <w:rPr/>
        <w:t>0.1% from 0.2%. Within the expenditure measure </w:t>
      </w:r>
      <w:r>
        <w:rPr>
          <w:spacing w:val="2"/>
        </w:rPr>
        <w:t>of </w:t>
      </w:r>
      <w:r>
        <w:rPr/>
        <w:t>GDP, upward revisions </w:t>
      </w:r>
      <w:r>
        <w:rPr>
          <w:spacing w:val="2"/>
        </w:rPr>
        <w:t>to </w:t>
      </w:r>
      <w:r>
        <w:rPr/>
        <w:t>consumption and investment growth and the contribution </w:t>
      </w:r>
      <w:r>
        <w:rPr>
          <w:spacing w:val="2"/>
        </w:rPr>
        <w:t>of </w:t>
      </w:r>
      <w:r>
        <w:rPr/>
        <w:t>net trade had been matched by a large downward revision </w:t>
      </w:r>
      <w:r>
        <w:rPr>
          <w:spacing w:val="3"/>
        </w:rPr>
        <w:t>to </w:t>
      </w:r>
      <w:r>
        <w:rPr/>
        <w:t>changes in</w:t>
      </w:r>
      <w:r>
        <w:rPr>
          <w:spacing w:val="35"/>
        </w:rPr>
        <w:t> </w:t>
      </w:r>
      <w:r>
        <w:rPr/>
        <w:t>inventories.</w:t>
      </w:r>
    </w:p>
    <w:p>
      <w:pPr>
        <w:pStyle w:val="BodyText"/>
        <w:spacing w:before="2"/>
        <w:rPr>
          <w:sz w:val="31"/>
        </w:rPr>
      </w:pPr>
    </w:p>
    <w:p>
      <w:pPr>
        <w:pStyle w:val="BodyText"/>
        <w:tabs>
          <w:tab w:pos="1284" w:val="left" w:leader="none"/>
        </w:tabs>
        <w:spacing w:line="312" w:lineRule="auto"/>
        <w:ind w:left="564" w:right="530"/>
      </w:pPr>
      <w:r>
        <w:rPr/>
        <w:t>A20</w:t>
        <w:tab/>
        <w:t>Household spending growth in Q4 had been revised up </w:t>
      </w:r>
      <w:r>
        <w:rPr>
          <w:spacing w:val="3"/>
        </w:rPr>
        <w:t>to </w:t>
      </w:r>
      <w:r>
        <w:rPr/>
        <w:t>0.6% from 0.4%, following an </w:t>
      </w:r>
      <w:r>
        <w:rPr>
          <w:spacing w:val="5"/>
        </w:rPr>
        <w:t>outturn </w:t>
      </w:r>
      <w:r>
        <w:rPr>
          <w:spacing w:val="3"/>
        </w:rPr>
        <w:t>of </w:t>
      </w:r>
      <w:r>
        <w:rPr/>
        <w:t>0.1% in Q3. Spending </w:t>
      </w:r>
      <w:r>
        <w:rPr>
          <w:spacing w:val="3"/>
        </w:rPr>
        <w:t>on </w:t>
      </w:r>
      <w:r>
        <w:rPr/>
        <w:t>vehicles and energy had been particularly volatile in Q3 and Q4. Household spending growth had slowed </w:t>
      </w:r>
      <w:r>
        <w:rPr>
          <w:spacing w:val="4"/>
        </w:rPr>
        <w:t>overall </w:t>
      </w:r>
      <w:r>
        <w:rPr/>
        <w:t>in 1998: the annualised rate </w:t>
      </w:r>
      <w:r>
        <w:rPr>
          <w:spacing w:val="2"/>
        </w:rPr>
        <w:t>of </w:t>
      </w:r>
      <w:r>
        <w:rPr/>
        <w:t>growth had eased </w:t>
      </w:r>
      <w:r>
        <w:rPr>
          <w:spacing w:val="2"/>
        </w:rPr>
        <w:t>to </w:t>
      </w:r>
      <w:r>
        <w:rPr/>
        <w:t>1.2% in 1998 H2 from 3.0% in H1. Despite strong consumption growth, the household saving ratio in Q4 had risen </w:t>
      </w:r>
      <w:r>
        <w:rPr>
          <w:spacing w:val="3"/>
        </w:rPr>
        <w:t>to </w:t>
      </w:r>
      <w:r>
        <w:rPr/>
        <w:t>7.4% from 6.3%. </w:t>
      </w:r>
      <w:r>
        <w:rPr>
          <w:spacing w:val="2"/>
        </w:rPr>
        <w:t>This </w:t>
      </w:r>
      <w:r>
        <w:rPr/>
        <w:t>had reflected a sharp decline in tax payments which had led </w:t>
      </w:r>
      <w:r>
        <w:rPr>
          <w:spacing w:val="3"/>
        </w:rPr>
        <w:t>to </w:t>
      </w:r>
      <w:r>
        <w:rPr/>
        <w:t>an increase </w:t>
      </w:r>
      <w:r>
        <w:rPr>
          <w:spacing w:val="2"/>
        </w:rPr>
        <w:t>of </w:t>
      </w:r>
      <w:r>
        <w:rPr/>
        <w:t>1.8% in post-tax income. Compensation </w:t>
      </w:r>
      <w:r>
        <w:rPr>
          <w:spacing w:val="2"/>
        </w:rPr>
        <w:t>of </w:t>
      </w:r>
      <w:r>
        <w:rPr/>
        <w:t>employees had risen by 1.5% in nominal terms in Q4. The erratic path </w:t>
      </w:r>
      <w:r>
        <w:rPr>
          <w:spacing w:val="3"/>
        </w:rPr>
        <w:t>of </w:t>
      </w:r>
      <w:r>
        <w:rPr/>
        <w:t>tax payments and household income during 1998 had partly been related </w:t>
      </w:r>
      <w:r>
        <w:rPr>
          <w:spacing w:val="3"/>
        </w:rPr>
        <w:t>to </w:t>
      </w:r>
      <w:r>
        <w:rPr/>
        <w:t>the introduction </w:t>
      </w:r>
      <w:r>
        <w:rPr>
          <w:spacing w:val="2"/>
        </w:rPr>
        <w:t>of </w:t>
      </w:r>
      <w:r>
        <w:rPr/>
        <w:t>self-assessment. The level </w:t>
      </w:r>
      <w:r>
        <w:rPr>
          <w:spacing w:val="3"/>
        </w:rPr>
        <w:t>of </w:t>
      </w:r>
      <w:r>
        <w:rPr/>
        <w:t>tax payments made by households had </w:t>
      </w:r>
      <w:r>
        <w:rPr>
          <w:spacing w:val="2"/>
        </w:rPr>
        <w:t>risen </w:t>
      </w:r>
      <w:r>
        <w:rPr/>
        <w:t>sharply in 1998 by 17%, leading </w:t>
      </w:r>
      <w:r>
        <w:rPr>
          <w:spacing w:val="3"/>
        </w:rPr>
        <w:t>to </w:t>
      </w:r>
      <w:r>
        <w:rPr/>
        <w:t>virtually no growth in real post-tax household</w:t>
      </w:r>
      <w:r>
        <w:rPr>
          <w:spacing w:val="13"/>
        </w:rPr>
        <w:t> </w:t>
      </w:r>
      <w:r>
        <w:rPr/>
        <w:t>income.</w:t>
      </w:r>
    </w:p>
    <w:p>
      <w:pPr>
        <w:pStyle w:val="BodyText"/>
        <w:spacing w:before="6"/>
        <w:rPr>
          <w:sz w:val="31"/>
        </w:rPr>
      </w:pPr>
    </w:p>
    <w:p>
      <w:pPr>
        <w:pStyle w:val="BodyText"/>
        <w:tabs>
          <w:tab w:pos="1284" w:val="left" w:leader="none"/>
        </w:tabs>
        <w:spacing w:line="312" w:lineRule="auto"/>
        <w:ind w:left="564" w:right="526"/>
      </w:pPr>
      <w:r>
        <w:rPr/>
        <w:t>A21</w:t>
        <w:tab/>
        <w:t>Whole economy investment growth in Q4 had been revised upwards </w:t>
      </w:r>
      <w:r>
        <w:rPr>
          <w:spacing w:val="3"/>
        </w:rPr>
        <w:t>to </w:t>
      </w:r>
      <w:r>
        <w:rPr/>
        <w:t>2.9% from 2.0%. Business investment had grown by 5.5%. The ratio </w:t>
      </w:r>
      <w:r>
        <w:rPr>
          <w:spacing w:val="2"/>
        </w:rPr>
        <w:t>of </w:t>
      </w:r>
      <w:r>
        <w:rPr/>
        <w:t>business investment </w:t>
      </w:r>
      <w:r>
        <w:rPr>
          <w:spacing w:val="3"/>
        </w:rPr>
        <w:t>to </w:t>
      </w:r>
      <w:r>
        <w:rPr/>
        <w:t>GDP had increased sharply in </w:t>
      </w:r>
      <w:r>
        <w:rPr>
          <w:spacing w:val="2"/>
        </w:rPr>
        <w:t>recent </w:t>
      </w:r>
      <w:r>
        <w:rPr/>
        <w:t>years - in line with the ratio in the US - </w:t>
      </w:r>
      <w:r>
        <w:rPr>
          <w:spacing w:val="2"/>
        </w:rPr>
        <w:t>to </w:t>
      </w:r>
      <w:r>
        <w:rPr/>
        <w:t>exceed its previous peak in 1989 Q3. But the increase in the capital stock </w:t>
      </w:r>
      <w:r>
        <w:rPr>
          <w:spacing w:val="2"/>
        </w:rPr>
        <w:t>to </w:t>
      </w:r>
      <w:r>
        <w:rPr>
          <w:spacing w:val="3"/>
        </w:rPr>
        <w:t>output </w:t>
      </w:r>
      <w:r>
        <w:rPr/>
        <w:t>ratio had been more moderate. In both the UK and the US part </w:t>
      </w:r>
      <w:r>
        <w:rPr>
          <w:spacing w:val="2"/>
        </w:rPr>
        <w:t>of </w:t>
      </w:r>
      <w:r>
        <w:rPr/>
        <w:t>the recent strength in business investment was due </w:t>
      </w:r>
      <w:r>
        <w:rPr>
          <w:spacing w:val="3"/>
        </w:rPr>
        <w:t>to </w:t>
      </w:r>
      <w:r>
        <w:rPr/>
        <w:t>IT</w:t>
      </w:r>
      <w:r>
        <w:rPr>
          <w:spacing w:val="6"/>
        </w:rPr>
        <w:t> </w:t>
      </w:r>
      <w:r>
        <w:rPr/>
        <w:t>spending.</w:t>
      </w:r>
    </w:p>
    <w:p>
      <w:pPr>
        <w:pStyle w:val="BodyText"/>
        <w:rPr>
          <w:sz w:val="31"/>
        </w:rPr>
      </w:pPr>
    </w:p>
    <w:p>
      <w:pPr>
        <w:pStyle w:val="BodyText"/>
        <w:tabs>
          <w:tab w:pos="1284" w:val="left" w:leader="none"/>
        </w:tabs>
        <w:ind w:left="564"/>
      </w:pPr>
      <w:r>
        <w:rPr/>
        <w:t>A22</w:t>
        <w:tab/>
        <w:t>Changes in inventories in Q4 had been revised downwards </w:t>
      </w:r>
      <w:r>
        <w:rPr>
          <w:spacing w:val="3"/>
        </w:rPr>
        <w:t>to </w:t>
      </w:r>
      <w:r>
        <w:rPr/>
        <w:t>£0.9 </w:t>
      </w:r>
      <w:r>
        <w:rPr>
          <w:spacing w:val="2"/>
        </w:rPr>
        <w:t>billion</w:t>
      </w:r>
      <w:r>
        <w:rPr>
          <w:spacing w:val="25"/>
        </w:rPr>
        <w:t> </w:t>
      </w:r>
      <w:r>
        <w:rPr>
          <w:spacing w:val="3"/>
        </w:rPr>
        <w:t>from</w:t>
      </w:r>
    </w:p>
    <w:p>
      <w:pPr>
        <w:pStyle w:val="BodyText"/>
        <w:spacing w:line="312" w:lineRule="auto" w:before="84"/>
        <w:ind w:left="565" w:right="767" w:hanging="1"/>
      </w:pPr>
      <w:r>
        <w:rPr/>
        <w:t>£1.9 billion. If alignment adjustments are excluded, stockbuilding had increased by less in Q4 than in Q3. The revisions had been concentrated in ‘other industries’ and manufacturing.</w:t>
      </w:r>
    </w:p>
    <w:p>
      <w:pPr>
        <w:pStyle w:val="BodyText"/>
        <w:spacing w:line="312" w:lineRule="auto"/>
        <w:ind w:left="564" w:right="542"/>
      </w:pPr>
      <w:r>
        <w:rPr/>
        <w:t>Manufacturers and retailers had destocked in Q4, consistent with earlier survey evidence. But lower stockbuilding had been to some extent offset by a downward revision to output so that the stock-output ratio had been little changed. The March CBI monthly Industrial Trends survey had continued to indicate that stocks were more than adequate: the balance had been +20, above its average of +13 since 1985.</w:t>
      </w:r>
    </w:p>
    <w:p>
      <w:pPr>
        <w:pStyle w:val="BodyText"/>
        <w:spacing w:before="2"/>
        <w:rPr>
          <w:sz w:val="31"/>
        </w:rPr>
      </w:pPr>
    </w:p>
    <w:p>
      <w:pPr>
        <w:pStyle w:val="BodyText"/>
        <w:tabs>
          <w:tab w:pos="1284" w:val="left" w:leader="none"/>
        </w:tabs>
        <w:spacing w:before="1"/>
        <w:ind w:left="564"/>
      </w:pPr>
      <w:r>
        <w:rPr/>
        <w:t>A23</w:t>
        <w:tab/>
        <w:t>The contribution of net trade </w:t>
      </w:r>
      <w:r>
        <w:rPr>
          <w:spacing w:val="2"/>
        </w:rPr>
        <w:t>to </w:t>
      </w:r>
      <w:r>
        <w:rPr/>
        <w:t>GDP growth in Q4 had been revised </w:t>
      </w:r>
      <w:r>
        <w:rPr>
          <w:spacing w:val="2"/>
        </w:rPr>
        <w:t>to </w:t>
      </w:r>
      <w:r>
        <w:rPr/>
        <w:t>-0.9</w:t>
      </w:r>
      <w:r>
        <w:rPr>
          <w:spacing w:val="-9"/>
        </w:rPr>
        <w:t> </w:t>
      </w:r>
      <w:r>
        <w:rPr/>
        <w:t>percentage</w:t>
      </w:r>
    </w:p>
    <w:p>
      <w:pPr>
        <w:spacing w:after="0"/>
        <w:sectPr>
          <w:pgSz w:w="11900" w:h="16840"/>
          <w:pgMar w:header="719" w:footer="0" w:top="1160" w:bottom="280" w:left="880" w:right="580"/>
        </w:sectPr>
      </w:pPr>
    </w:p>
    <w:p>
      <w:pPr>
        <w:pStyle w:val="BodyText"/>
        <w:spacing w:line="312" w:lineRule="auto" w:before="80"/>
        <w:ind w:left="564" w:right="564"/>
      </w:pPr>
      <w:r>
        <w:rPr/>
        <w:t>points from -1.1 as a result of upward revisions to exports and imports. The level of exports and, to a larger extent, imports back to 1997 Q1 had also been revised upwards. The revisions to imports had helped to reduce the puzzle about their relative weakness following sterling’s appreciation. Monthly trade data for January had shown a sharp decline in exports to EU and non-EU countries (of 3.3% and 6.7%) and a continued rise in imports. Though the decline in exports to non-EU countries had unwound in February, overall these data had suggested another negative net trade contribution to GDP growth in 1999 Q1.</w:t>
      </w:r>
    </w:p>
    <w:p>
      <w:pPr>
        <w:pStyle w:val="BodyText"/>
        <w:spacing w:before="2"/>
        <w:rPr>
          <w:sz w:val="31"/>
        </w:rPr>
      </w:pPr>
    </w:p>
    <w:p>
      <w:pPr>
        <w:pStyle w:val="BodyText"/>
        <w:tabs>
          <w:tab w:pos="1284" w:val="left" w:leader="none"/>
        </w:tabs>
        <w:spacing w:line="312" w:lineRule="auto"/>
        <w:ind w:left="564" w:right="499"/>
      </w:pPr>
      <w:r>
        <w:rPr/>
        <w:t>A24</w:t>
        <w:tab/>
        <w:t>Service sector </w:t>
      </w:r>
      <w:r>
        <w:rPr>
          <w:spacing w:val="3"/>
        </w:rPr>
        <w:t>output </w:t>
      </w:r>
      <w:r>
        <w:rPr/>
        <w:t>growth in Q4 had been revised down </w:t>
      </w:r>
      <w:r>
        <w:rPr>
          <w:spacing w:val="2"/>
        </w:rPr>
        <w:t>to </w:t>
      </w:r>
      <w:r>
        <w:rPr/>
        <w:t>0.5% from 0.6%. Manufacturing </w:t>
      </w:r>
      <w:r>
        <w:rPr>
          <w:spacing w:val="4"/>
        </w:rPr>
        <w:t>output </w:t>
      </w:r>
      <w:r>
        <w:rPr/>
        <w:t>had declined by an unrevised 1.3% in Q4. Construction </w:t>
      </w:r>
      <w:r>
        <w:rPr>
          <w:spacing w:val="4"/>
        </w:rPr>
        <w:t>output </w:t>
      </w:r>
      <w:r>
        <w:rPr/>
        <w:t>growth had been revised up </w:t>
      </w:r>
      <w:r>
        <w:rPr>
          <w:spacing w:val="3"/>
        </w:rPr>
        <w:t>to </w:t>
      </w:r>
      <w:r>
        <w:rPr/>
        <w:t>0.1%. On the income side </w:t>
      </w:r>
      <w:r>
        <w:rPr>
          <w:spacing w:val="2"/>
        </w:rPr>
        <w:t>of </w:t>
      </w:r>
      <w:r>
        <w:rPr/>
        <w:t>the accounts, the main news had been the decline in financial company </w:t>
      </w:r>
      <w:r>
        <w:rPr>
          <w:spacing w:val="2"/>
        </w:rPr>
        <w:t>profits </w:t>
      </w:r>
      <w:r>
        <w:rPr/>
        <w:t>in</w:t>
      </w:r>
      <w:r>
        <w:rPr>
          <w:spacing w:val="23"/>
        </w:rPr>
        <w:t> </w:t>
      </w:r>
      <w:r>
        <w:rPr>
          <w:spacing w:val="2"/>
        </w:rPr>
        <w:t>Q4.</w:t>
      </w:r>
    </w:p>
    <w:p>
      <w:pPr>
        <w:pStyle w:val="BodyText"/>
        <w:spacing w:before="10"/>
        <w:rPr>
          <w:sz w:val="30"/>
        </w:rPr>
      </w:pPr>
    </w:p>
    <w:p>
      <w:pPr>
        <w:pStyle w:val="BodyText"/>
        <w:tabs>
          <w:tab w:pos="1284" w:val="left" w:leader="none"/>
        </w:tabs>
        <w:spacing w:line="312" w:lineRule="auto"/>
        <w:ind w:left="564" w:right="551"/>
      </w:pPr>
      <w:r>
        <w:rPr/>
        <w:t>A25</w:t>
        <w:tab/>
      </w:r>
      <w:r>
        <w:rPr>
          <w:spacing w:val="2"/>
        </w:rPr>
        <w:t>Retail </w:t>
      </w:r>
      <w:r>
        <w:rPr/>
        <w:t>sales volumes had declined by 0.3% in February, following January’s strong rise. Though</w:t>
      </w:r>
      <w:r>
        <w:rPr>
          <w:spacing w:val="-3"/>
        </w:rPr>
        <w:t> </w:t>
      </w:r>
      <w:r>
        <w:rPr/>
        <w:t>the</w:t>
      </w:r>
      <w:r>
        <w:rPr>
          <w:spacing w:val="-6"/>
        </w:rPr>
        <w:t> </w:t>
      </w:r>
      <w:r>
        <w:rPr/>
        <w:t>three</w:t>
      </w:r>
      <w:r>
        <w:rPr>
          <w:spacing w:val="-5"/>
        </w:rPr>
        <w:t> </w:t>
      </w:r>
      <w:r>
        <w:rPr/>
        <w:t>month</w:t>
      </w:r>
      <w:r>
        <w:rPr>
          <w:spacing w:val="-6"/>
        </w:rPr>
        <w:t> </w:t>
      </w:r>
      <w:r>
        <w:rPr/>
        <w:t>annual</w:t>
      </w:r>
      <w:r>
        <w:rPr>
          <w:spacing w:val="-6"/>
        </w:rPr>
        <w:t> </w:t>
      </w:r>
      <w:r>
        <w:rPr/>
        <w:t>growth</w:t>
      </w:r>
      <w:r>
        <w:rPr>
          <w:spacing w:val="-5"/>
        </w:rPr>
        <w:t> </w:t>
      </w:r>
      <w:r>
        <w:rPr/>
        <w:t>rate</w:t>
      </w:r>
      <w:r>
        <w:rPr>
          <w:spacing w:val="-4"/>
        </w:rPr>
        <w:t> </w:t>
      </w:r>
      <w:r>
        <w:rPr/>
        <w:t>declined</w:t>
      </w:r>
      <w:r>
        <w:rPr>
          <w:spacing w:val="-5"/>
        </w:rPr>
        <w:t> </w:t>
      </w:r>
      <w:r>
        <w:rPr/>
        <w:t>further</w:t>
      </w:r>
      <w:r>
        <w:rPr>
          <w:spacing w:val="-6"/>
        </w:rPr>
        <w:t> </w:t>
      </w:r>
      <w:r>
        <w:rPr>
          <w:spacing w:val="2"/>
        </w:rPr>
        <w:t>to</w:t>
      </w:r>
      <w:r>
        <w:rPr/>
        <w:t> 1.0%,</w:t>
      </w:r>
      <w:r>
        <w:rPr>
          <w:spacing w:val="-6"/>
        </w:rPr>
        <w:t> </w:t>
      </w:r>
      <w:r>
        <w:rPr/>
        <w:t>the</w:t>
      </w:r>
      <w:r>
        <w:rPr>
          <w:spacing w:val="-5"/>
        </w:rPr>
        <w:t> </w:t>
      </w:r>
      <w:r>
        <w:rPr/>
        <w:t>CBI</w:t>
      </w:r>
      <w:r>
        <w:rPr>
          <w:spacing w:val="-6"/>
        </w:rPr>
        <w:t> </w:t>
      </w:r>
      <w:r>
        <w:rPr/>
        <w:t>Distributive</w:t>
      </w:r>
      <w:r>
        <w:rPr>
          <w:spacing w:val="-5"/>
        </w:rPr>
        <w:t> </w:t>
      </w:r>
      <w:r>
        <w:rPr/>
        <w:t>Trades survey had suggested that the decline in sales volumes growth might have reached a trough. </w:t>
      </w:r>
      <w:r>
        <w:rPr>
          <w:spacing w:val="2"/>
        </w:rPr>
        <w:t>The </w:t>
      </w:r>
      <w:r>
        <w:rPr/>
        <w:t>balance </w:t>
      </w:r>
      <w:r>
        <w:rPr>
          <w:spacing w:val="2"/>
        </w:rPr>
        <w:t>on </w:t>
      </w:r>
      <w:r>
        <w:rPr/>
        <w:t>reported sales in March had risen </w:t>
      </w:r>
      <w:r>
        <w:rPr>
          <w:spacing w:val="3"/>
        </w:rPr>
        <w:t>to </w:t>
      </w:r>
      <w:r>
        <w:rPr/>
        <w:t>+14 - the highest since September 1998 - and the </w:t>
      </w:r>
      <w:r>
        <w:rPr>
          <w:spacing w:val="4"/>
        </w:rPr>
        <w:t>orders </w:t>
      </w:r>
      <w:r>
        <w:rPr/>
        <w:t>balance had risen for the second month running. New car registrations had fallen sharply in January and February relative </w:t>
      </w:r>
      <w:r>
        <w:rPr>
          <w:spacing w:val="3"/>
        </w:rPr>
        <w:t>to </w:t>
      </w:r>
      <w:r>
        <w:rPr/>
        <w:t>a year ago, but had been difficult </w:t>
      </w:r>
      <w:r>
        <w:rPr>
          <w:spacing w:val="3"/>
        </w:rPr>
        <w:t>to </w:t>
      </w:r>
      <w:r>
        <w:rPr/>
        <w:t>interpret because </w:t>
      </w:r>
      <w:r>
        <w:rPr>
          <w:spacing w:val="3"/>
        </w:rPr>
        <w:t>of </w:t>
      </w:r>
      <w:r>
        <w:rPr/>
        <w:t>changing seasonal patterns following the change in registration</w:t>
      </w:r>
      <w:r>
        <w:rPr>
          <w:spacing w:val="17"/>
        </w:rPr>
        <w:t> </w:t>
      </w:r>
      <w:r>
        <w:rPr/>
        <w:t>practices.</w:t>
      </w:r>
    </w:p>
    <w:p>
      <w:pPr>
        <w:pStyle w:val="BodyText"/>
        <w:spacing w:before="3"/>
        <w:rPr>
          <w:sz w:val="31"/>
        </w:rPr>
      </w:pPr>
    </w:p>
    <w:p>
      <w:pPr>
        <w:pStyle w:val="BodyText"/>
        <w:tabs>
          <w:tab w:pos="1284" w:val="left" w:leader="none"/>
        </w:tabs>
        <w:spacing w:line="312" w:lineRule="auto"/>
        <w:ind w:left="564" w:right="415"/>
      </w:pPr>
      <w:r>
        <w:rPr/>
        <w:t>A26</w:t>
        <w:tab/>
        <w:t>Industrial</w:t>
      </w:r>
      <w:r>
        <w:rPr>
          <w:spacing w:val="-4"/>
        </w:rPr>
        <w:t> </w:t>
      </w:r>
      <w:r>
        <w:rPr/>
        <w:t>production</w:t>
      </w:r>
      <w:r>
        <w:rPr>
          <w:spacing w:val="-4"/>
        </w:rPr>
        <w:t> </w:t>
      </w:r>
      <w:r>
        <w:rPr/>
        <w:t>had</w:t>
      </w:r>
      <w:r>
        <w:rPr>
          <w:spacing w:val="-5"/>
        </w:rPr>
        <w:t> </w:t>
      </w:r>
      <w:r>
        <w:rPr/>
        <w:t>declined</w:t>
      </w:r>
      <w:r>
        <w:rPr>
          <w:spacing w:val="-5"/>
        </w:rPr>
        <w:t> </w:t>
      </w:r>
      <w:r>
        <w:rPr/>
        <w:t>by</w:t>
      </w:r>
      <w:r>
        <w:rPr>
          <w:spacing w:val="-5"/>
        </w:rPr>
        <w:t> </w:t>
      </w:r>
      <w:r>
        <w:rPr/>
        <w:t>0.5%</w:t>
      </w:r>
      <w:r>
        <w:rPr>
          <w:spacing w:val="-4"/>
        </w:rPr>
        <w:t> </w:t>
      </w:r>
      <w:r>
        <w:rPr/>
        <w:t>in</w:t>
      </w:r>
      <w:r>
        <w:rPr>
          <w:spacing w:val="-5"/>
        </w:rPr>
        <w:t> </w:t>
      </w:r>
      <w:r>
        <w:rPr/>
        <w:t>January</w:t>
      </w:r>
      <w:r>
        <w:rPr>
          <w:spacing w:val="6"/>
        </w:rPr>
        <w:t> </w:t>
      </w:r>
      <w:r>
        <w:rPr/>
        <w:t>-</w:t>
      </w:r>
      <w:r>
        <w:rPr>
          <w:spacing w:val="-3"/>
        </w:rPr>
        <w:t> </w:t>
      </w:r>
      <w:r>
        <w:rPr/>
        <w:t>because</w:t>
      </w:r>
      <w:r>
        <w:rPr>
          <w:spacing w:val="-4"/>
        </w:rPr>
        <w:t> </w:t>
      </w:r>
      <w:r>
        <w:rPr>
          <w:spacing w:val="2"/>
        </w:rPr>
        <w:t>of</w:t>
      </w:r>
      <w:r>
        <w:rPr>
          <w:spacing w:val="-1"/>
        </w:rPr>
        <w:t> </w:t>
      </w:r>
      <w:r>
        <w:rPr/>
        <w:t>a</w:t>
      </w:r>
      <w:r>
        <w:rPr>
          <w:spacing w:val="-4"/>
        </w:rPr>
        <w:t> </w:t>
      </w:r>
      <w:r>
        <w:rPr/>
        <w:t>sharp</w:t>
      </w:r>
      <w:r>
        <w:rPr>
          <w:spacing w:val="-4"/>
        </w:rPr>
        <w:t> </w:t>
      </w:r>
      <w:r>
        <w:rPr/>
        <w:t>fall</w:t>
      </w:r>
      <w:r>
        <w:rPr>
          <w:spacing w:val="-3"/>
        </w:rPr>
        <w:t> </w:t>
      </w:r>
      <w:r>
        <w:rPr/>
        <w:t>in</w:t>
      </w:r>
      <w:r>
        <w:rPr>
          <w:spacing w:val="-4"/>
        </w:rPr>
        <w:t> </w:t>
      </w:r>
      <w:r>
        <w:rPr>
          <w:spacing w:val="4"/>
        </w:rPr>
        <w:t>output</w:t>
      </w:r>
      <w:r>
        <w:rPr>
          <w:spacing w:val="-1"/>
        </w:rPr>
        <w:t> </w:t>
      </w:r>
      <w:r>
        <w:rPr/>
        <w:t>in the energy extraction and supply industries - but had risen by 0.1% in February because </w:t>
      </w:r>
      <w:r>
        <w:rPr>
          <w:spacing w:val="3"/>
        </w:rPr>
        <w:t>of </w:t>
      </w:r>
      <w:r>
        <w:rPr/>
        <w:t>a rise in energy-related </w:t>
      </w:r>
      <w:r>
        <w:rPr>
          <w:spacing w:val="4"/>
        </w:rPr>
        <w:t>output. </w:t>
      </w:r>
      <w:r>
        <w:rPr/>
        <w:t>Manufacturing </w:t>
      </w:r>
      <w:r>
        <w:rPr>
          <w:spacing w:val="4"/>
        </w:rPr>
        <w:t>output </w:t>
      </w:r>
      <w:r>
        <w:rPr/>
        <w:t>had shown a small increase </w:t>
      </w:r>
      <w:r>
        <w:rPr>
          <w:spacing w:val="2"/>
        </w:rPr>
        <w:t>of </w:t>
      </w:r>
      <w:r>
        <w:rPr/>
        <w:t>0.1% in January, following five successive monthly declines, but had fallen by 0.1% in February. Growth in industrial production </w:t>
      </w:r>
      <w:r>
        <w:rPr>
          <w:spacing w:val="3"/>
        </w:rPr>
        <w:t>over </w:t>
      </w:r>
      <w:r>
        <w:rPr/>
        <w:t>the three months </w:t>
      </w:r>
      <w:r>
        <w:rPr>
          <w:spacing w:val="2"/>
        </w:rPr>
        <w:t>to </w:t>
      </w:r>
      <w:r>
        <w:rPr/>
        <w:t>February compared with the previous three months had been -1.0% (-0.9% in January); and for manufacturing </w:t>
      </w:r>
      <w:r>
        <w:rPr>
          <w:spacing w:val="4"/>
        </w:rPr>
        <w:t>output </w:t>
      </w:r>
      <w:r>
        <w:rPr/>
        <w:t>it had been -0.8% (-1.0% in January). The CBI and C</w:t>
      </w:r>
      <w:r>
        <w:rPr>
          <w:sz w:val="20"/>
        </w:rPr>
        <w:t>IPS </w:t>
      </w:r>
      <w:r>
        <w:rPr/>
        <w:t>surveys had indicated another decline in manufacturing </w:t>
      </w:r>
      <w:r>
        <w:rPr>
          <w:spacing w:val="5"/>
        </w:rPr>
        <w:t>output </w:t>
      </w:r>
      <w:r>
        <w:rPr/>
        <w:t>in 1999 Q1, though it appeared that this would be less than in 1998</w:t>
      </w:r>
      <w:r>
        <w:rPr>
          <w:spacing w:val="28"/>
        </w:rPr>
        <w:t> </w:t>
      </w:r>
      <w:r>
        <w:rPr/>
        <w:t>Q4.</w:t>
      </w:r>
    </w:p>
    <w:p>
      <w:pPr>
        <w:pStyle w:val="BodyText"/>
        <w:spacing w:before="4"/>
        <w:rPr>
          <w:sz w:val="31"/>
        </w:rPr>
      </w:pPr>
    </w:p>
    <w:p>
      <w:pPr>
        <w:pStyle w:val="BodyText"/>
        <w:tabs>
          <w:tab w:pos="1284" w:val="left" w:leader="none"/>
        </w:tabs>
        <w:spacing w:line="312" w:lineRule="auto"/>
        <w:ind w:left="564" w:right="568"/>
      </w:pPr>
      <w:r>
        <w:rPr/>
        <w:t>A27</w:t>
        <w:tab/>
        <w:t>The </w:t>
      </w:r>
      <w:r>
        <w:rPr>
          <w:spacing w:val="-3"/>
        </w:rPr>
        <w:t>C</w:t>
      </w:r>
      <w:r>
        <w:rPr>
          <w:spacing w:val="-3"/>
          <w:sz w:val="20"/>
        </w:rPr>
        <w:t>IPS </w:t>
      </w:r>
      <w:r>
        <w:rPr/>
        <w:t>Report </w:t>
      </w:r>
      <w:r>
        <w:rPr>
          <w:spacing w:val="2"/>
        </w:rPr>
        <w:t>on </w:t>
      </w:r>
      <w:r>
        <w:rPr/>
        <w:t>Services had reported a rise in all indices in March: the </w:t>
      </w:r>
      <w:r>
        <w:rPr>
          <w:spacing w:val="4"/>
        </w:rPr>
        <w:t>output </w:t>
      </w:r>
      <w:r>
        <w:rPr/>
        <w:t>index had risen from 49.5 </w:t>
      </w:r>
      <w:r>
        <w:rPr>
          <w:spacing w:val="3"/>
        </w:rPr>
        <w:t>to </w:t>
      </w:r>
      <w:r>
        <w:rPr/>
        <w:t>53, the first positive reading since October 1998; the incoming new business index had also risen above 50 </w:t>
      </w:r>
      <w:r>
        <w:rPr>
          <w:spacing w:val="3"/>
        </w:rPr>
        <w:t>to </w:t>
      </w:r>
      <w:r>
        <w:rPr/>
        <w:t>53.9, the highest level since June 1998 and above the average for 1998 as whole; and the business expectations index had risen </w:t>
      </w:r>
      <w:r>
        <w:rPr>
          <w:spacing w:val="3"/>
        </w:rPr>
        <w:t>to </w:t>
      </w:r>
      <w:r>
        <w:rPr/>
        <w:t>76.4 from 72.1 in February.</w:t>
      </w:r>
    </w:p>
    <w:p>
      <w:pPr>
        <w:spacing w:after="0" w:line="312" w:lineRule="auto"/>
        <w:sectPr>
          <w:pgSz w:w="11900" w:h="16840"/>
          <w:pgMar w:header="719" w:footer="0" w:top="1160" w:bottom="280" w:left="880" w:right="580"/>
        </w:sectPr>
      </w:pPr>
    </w:p>
    <w:p>
      <w:pPr>
        <w:pStyle w:val="BodyText"/>
        <w:tabs>
          <w:tab w:pos="1284" w:val="left" w:leader="none"/>
        </w:tabs>
        <w:spacing w:line="312" w:lineRule="auto" w:before="80"/>
        <w:ind w:left="564" w:right="465"/>
      </w:pPr>
      <w:r>
        <w:rPr/>
        <w:t>A28</w:t>
        <w:tab/>
        <w:t>The Nationwide house price index had increased by 1.5% in March - the largest monthly </w:t>
      </w:r>
      <w:r>
        <w:rPr>
          <w:spacing w:val="2"/>
        </w:rPr>
        <w:t>rise </w:t>
      </w:r>
      <w:r>
        <w:rPr/>
        <w:t>since June 1997 - and had been 7.6% higher than a year earlier; the Halifax index had increased by 1.2% in March and had been 4.5% higher than a year earlier. The </w:t>
      </w:r>
      <w:r>
        <w:rPr>
          <w:spacing w:val="4"/>
        </w:rPr>
        <w:t>R</w:t>
      </w:r>
      <w:r>
        <w:rPr>
          <w:spacing w:val="4"/>
          <w:sz w:val="20"/>
        </w:rPr>
        <w:t>ICS </w:t>
      </w:r>
      <w:r>
        <w:rPr/>
        <w:t>survey had suggested price rises across all regions in February. The HBF survey balances </w:t>
      </w:r>
      <w:r>
        <w:rPr>
          <w:spacing w:val="3"/>
        </w:rPr>
        <w:t>on </w:t>
      </w:r>
      <w:r>
        <w:rPr/>
        <w:t>site visitors and net reservations had continued </w:t>
      </w:r>
      <w:r>
        <w:rPr>
          <w:spacing w:val="3"/>
        </w:rPr>
        <w:t>to </w:t>
      </w:r>
      <w:r>
        <w:rPr/>
        <w:t>indicate an increase in housing transactions in coming months. Particulars delivered had increased for a third consecutive month, </w:t>
      </w:r>
      <w:r>
        <w:rPr>
          <w:spacing w:val="2"/>
        </w:rPr>
        <w:t>to </w:t>
      </w:r>
      <w:r>
        <w:rPr/>
        <w:t>stand 4.5% higher in the three months </w:t>
      </w:r>
      <w:r>
        <w:rPr>
          <w:spacing w:val="2"/>
        </w:rPr>
        <w:t>to </w:t>
      </w:r>
      <w:r>
        <w:rPr/>
        <w:t>February compared with the previous three months. The GfK consumer confidence indicator had risen for the third month</w:t>
      </w:r>
      <w:r>
        <w:rPr>
          <w:spacing w:val="32"/>
        </w:rPr>
        <w:t> </w:t>
      </w:r>
      <w:r>
        <w:rPr/>
        <w:t>running.</w:t>
      </w:r>
    </w:p>
    <w:p>
      <w:pPr>
        <w:pStyle w:val="BodyText"/>
        <w:spacing w:before="8"/>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Labour</w:t>
      </w:r>
      <w:r>
        <w:rPr>
          <w:spacing w:val="3"/>
        </w:rPr>
        <w:t> </w:t>
      </w:r>
      <w:r>
        <w:rPr/>
        <w:t>Market</w:t>
      </w:r>
    </w:p>
    <w:p>
      <w:pPr>
        <w:pStyle w:val="BodyText"/>
        <w:spacing w:before="9"/>
        <w:rPr>
          <w:b/>
          <w:sz w:val="37"/>
        </w:rPr>
      </w:pPr>
    </w:p>
    <w:p>
      <w:pPr>
        <w:pStyle w:val="BodyText"/>
        <w:tabs>
          <w:tab w:pos="1284" w:val="left" w:leader="none"/>
        </w:tabs>
        <w:spacing w:line="312" w:lineRule="auto"/>
        <w:ind w:left="564" w:right="524"/>
      </w:pPr>
      <w:r>
        <w:rPr/>
        <w:t>A29</w:t>
        <w:tab/>
        <w:t>LFS</w:t>
      </w:r>
      <w:r>
        <w:rPr>
          <w:spacing w:val="-7"/>
        </w:rPr>
        <w:t> </w:t>
      </w:r>
      <w:r>
        <w:rPr/>
        <w:t>employment</w:t>
      </w:r>
      <w:r>
        <w:rPr>
          <w:spacing w:val="-2"/>
        </w:rPr>
        <w:t> </w:t>
      </w:r>
      <w:r>
        <w:rPr/>
        <w:t>had</w:t>
      </w:r>
      <w:r>
        <w:rPr>
          <w:spacing w:val="-6"/>
        </w:rPr>
        <w:t> </w:t>
      </w:r>
      <w:r>
        <w:rPr/>
        <w:t>grown</w:t>
      </w:r>
      <w:r>
        <w:rPr>
          <w:spacing w:val="-6"/>
        </w:rPr>
        <w:t> </w:t>
      </w:r>
      <w:r>
        <w:rPr/>
        <w:t>by</w:t>
      </w:r>
      <w:r>
        <w:rPr>
          <w:spacing w:val="-7"/>
        </w:rPr>
        <w:t> </w:t>
      </w:r>
      <w:r>
        <w:rPr/>
        <w:t>119,000</w:t>
      </w:r>
      <w:r>
        <w:rPr>
          <w:spacing w:val="-6"/>
        </w:rPr>
        <w:t> </w:t>
      </w:r>
      <w:r>
        <w:rPr/>
        <w:t>(0.4%)</w:t>
      </w:r>
      <w:r>
        <w:rPr>
          <w:spacing w:val="-4"/>
        </w:rPr>
        <w:t> </w:t>
      </w:r>
      <w:r>
        <w:rPr/>
        <w:t>in</w:t>
      </w:r>
      <w:r>
        <w:rPr>
          <w:spacing w:val="-7"/>
        </w:rPr>
        <w:t> </w:t>
      </w:r>
      <w:r>
        <w:rPr/>
        <w:t>the</w:t>
      </w:r>
      <w:r>
        <w:rPr>
          <w:spacing w:val="-6"/>
        </w:rPr>
        <w:t> </w:t>
      </w:r>
      <w:r>
        <w:rPr/>
        <w:t>three</w:t>
      </w:r>
      <w:r>
        <w:rPr>
          <w:spacing w:val="-6"/>
        </w:rPr>
        <w:t> </w:t>
      </w:r>
      <w:r>
        <w:rPr/>
        <w:t>months</w:t>
      </w:r>
      <w:r>
        <w:rPr>
          <w:spacing w:val="-7"/>
        </w:rPr>
        <w:t> </w:t>
      </w:r>
      <w:r>
        <w:rPr>
          <w:spacing w:val="2"/>
        </w:rPr>
        <w:t>to</w:t>
      </w:r>
      <w:r>
        <w:rPr>
          <w:spacing w:val="-2"/>
        </w:rPr>
        <w:t> </w:t>
      </w:r>
      <w:r>
        <w:rPr/>
        <w:t>January,</w:t>
      </w:r>
      <w:r>
        <w:rPr>
          <w:spacing w:val="-6"/>
        </w:rPr>
        <w:t> </w:t>
      </w:r>
      <w:r>
        <w:rPr/>
        <w:t>compared with the previous three months, somewhat stronger than the Workforce Jobs figure </w:t>
      </w:r>
      <w:r>
        <w:rPr>
          <w:spacing w:val="2"/>
        </w:rPr>
        <w:t>of </w:t>
      </w:r>
      <w:r>
        <w:rPr/>
        <w:t>69,000 in the three months </w:t>
      </w:r>
      <w:r>
        <w:rPr>
          <w:spacing w:val="3"/>
        </w:rPr>
        <w:t>to </w:t>
      </w:r>
      <w:r>
        <w:rPr/>
        <w:t>December. The difference between the two measures, probably due </w:t>
      </w:r>
      <w:r>
        <w:rPr>
          <w:spacing w:val="3"/>
        </w:rPr>
        <w:t>to </w:t>
      </w:r>
      <w:r>
        <w:rPr/>
        <w:t>timing and the coverage </w:t>
      </w:r>
      <w:r>
        <w:rPr>
          <w:spacing w:val="2"/>
        </w:rPr>
        <w:t>of </w:t>
      </w:r>
      <w:r>
        <w:rPr/>
        <w:t>the surveys, was accounted for by the larger rise in employees in the LFS, driven by a large increase in part-time jobs. </w:t>
      </w:r>
      <w:r>
        <w:rPr>
          <w:spacing w:val="2"/>
        </w:rPr>
        <w:t>Total </w:t>
      </w:r>
      <w:r>
        <w:rPr/>
        <w:t>hours worked had fallen by 0.2% in the three months </w:t>
      </w:r>
      <w:r>
        <w:rPr>
          <w:spacing w:val="2"/>
        </w:rPr>
        <w:t>to </w:t>
      </w:r>
      <w:r>
        <w:rPr/>
        <w:t>January, and average hours per worker had been 0.7% lower. The fall in average hours worked had reflected the large rise in part-time employment and a 0.7% fall in average hours worked by full-time workers, consistent with a reduction in </w:t>
      </w:r>
      <w:r>
        <w:rPr>
          <w:spacing w:val="4"/>
        </w:rPr>
        <w:t>overtime</w:t>
      </w:r>
      <w:r>
        <w:rPr>
          <w:spacing w:val="14"/>
        </w:rPr>
        <w:t> </w:t>
      </w:r>
      <w:r>
        <w:rPr/>
        <w:t>working.</w:t>
      </w:r>
    </w:p>
    <w:p>
      <w:pPr>
        <w:pStyle w:val="BodyText"/>
        <w:spacing w:before="4"/>
        <w:rPr>
          <w:sz w:val="31"/>
        </w:rPr>
      </w:pPr>
    </w:p>
    <w:p>
      <w:pPr>
        <w:pStyle w:val="BodyText"/>
        <w:tabs>
          <w:tab w:pos="1284" w:val="left" w:leader="none"/>
        </w:tabs>
        <w:spacing w:line="312" w:lineRule="auto"/>
        <w:ind w:left="564" w:right="805"/>
      </w:pPr>
      <w:r>
        <w:rPr/>
        <w:t>A30</w:t>
        <w:tab/>
        <w:t>The strong increases in employment had contrasted with survey evidence. The </w:t>
      </w:r>
      <w:r>
        <w:rPr>
          <w:spacing w:val="2"/>
        </w:rPr>
        <w:t>C</w:t>
      </w:r>
      <w:r>
        <w:rPr>
          <w:spacing w:val="2"/>
          <w:sz w:val="20"/>
        </w:rPr>
        <w:t>IPS </w:t>
      </w:r>
      <w:r>
        <w:rPr/>
        <w:t>surveys for March had suggested that employment was continuing </w:t>
      </w:r>
      <w:r>
        <w:rPr>
          <w:spacing w:val="3"/>
        </w:rPr>
        <w:t>to </w:t>
      </w:r>
      <w:r>
        <w:rPr/>
        <w:t>fall in the manufacturing and construction sectors, though there had been a small increase in employment in the service </w:t>
      </w:r>
      <w:r>
        <w:rPr>
          <w:spacing w:val="2"/>
        </w:rPr>
        <w:t>sector. </w:t>
      </w:r>
      <w:r>
        <w:rPr/>
        <w:t>Forward-looking surveys had suggested that this pattern might persist. The Manpower survey for Q1 had shown the weakest job prospects since 1993, for the second quarter in succession. The </w:t>
      </w:r>
      <w:r>
        <w:rPr>
          <w:spacing w:val="5"/>
        </w:rPr>
        <w:t>outlook </w:t>
      </w:r>
      <w:r>
        <w:rPr/>
        <w:t>in manufacturing had worsened, while employment intentions in </w:t>
      </w:r>
      <w:r>
        <w:rPr>
          <w:spacing w:val="2"/>
        </w:rPr>
        <w:t>the </w:t>
      </w:r>
      <w:r>
        <w:rPr/>
        <w:t>service </w:t>
      </w:r>
      <w:r>
        <w:rPr>
          <w:spacing w:val="2"/>
        </w:rPr>
        <w:t>sector </w:t>
      </w:r>
      <w:r>
        <w:rPr/>
        <w:t>had been little</w:t>
      </w:r>
      <w:r>
        <w:rPr>
          <w:spacing w:val="18"/>
        </w:rPr>
        <w:t> </w:t>
      </w:r>
      <w:r>
        <w:rPr/>
        <w:t>changed.</w:t>
      </w:r>
    </w:p>
    <w:p>
      <w:pPr>
        <w:pStyle w:val="BodyText"/>
        <w:spacing w:before="2"/>
        <w:rPr>
          <w:sz w:val="31"/>
        </w:rPr>
      </w:pPr>
    </w:p>
    <w:p>
      <w:pPr>
        <w:pStyle w:val="BodyText"/>
        <w:tabs>
          <w:tab w:pos="1284" w:val="left" w:leader="none"/>
        </w:tabs>
        <w:spacing w:line="312" w:lineRule="auto"/>
        <w:ind w:left="564" w:right="657"/>
      </w:pPr>
      <w:r>
        <w:rPr/>
        <w:t>A31</w:t>
        <w:tab/>
        <w:t>The</w:t>
      </w:r>
      <w:r>
        <w:rPr>
          <w:spacing w:val="-2"/>
        </w:rPr>
        <w:t> </w:t>
      </w:r>
      <w:r>
        <w:rPr/>
        <w:t>stock</w:t>
      </w:r>
      <w:r>
        <w:rPr>
          <w:spacing w:val="-4"/>
        </w:rPr>
        <w:t> </w:t>
      </w:r>
      <w:r>
        <w:rPr>
          <w:spacing w:val="3"/>
        </w:rPr>
        <w:t>of</w:t>
      </w:r>
      <w:r>
        <w:rPr/>
        <w:t> unfilled</w:t>
      </w:r>
      <w:r>
        <w:rPr>
          <w:spacing w:val="-4"/>
        </w:rPr>
        <w:t> </w:t>
      </w:r>
      <w:r>
        <w:rPr/>
        <w:t>job-centre</w:t>
      </w:r>
      <w:r>
        <w:rPr>
          <w:spacing w:val="-4"/>
        </w:rPr>
        <w:t> </w:t>
      </w:r>
      <w:r>
        <w:rPr/>
        <w:t>vacancies</w:t>
      </w:r>
      <w:r>
        <w:rPr>
          <w:spacing w:val="-4"/>
        </w:rPr>
        <w:t> </w:t>
      </w:r>
      <w:r>
        <w:rPr/>
        <w:t>had</w:t>
      </w:r>
      <w:r>
        <w:rPr>
          <w:spacing w:val="-4"/>
        </w:rPr>
        <w:t> </w:t>
      </w:r>
      <w:r>
        <w:rPr/>
        <w:t>edged</w:t>
      </w:r>
      <w:r>
        <w:rPr>
          <w:spacing w:val="-4"/>
        </w:rPr>
        <w:t> </w:t>
      </w:r>
      <w:r>
        <w:rPr/>
        <w:t>down</w:t>
      </w:r>
      <w:r>
        <w:rPr>
          <w:spacing w:val="-4"/>
        </w:rPr>
        <w:t> </w:t>
      </w:r>
      <w:r>
        <w:rPr/>
        <w:t>by</w:t>
      </w:r>
      <w:r>
        <w:rPr>
          <w:spacing w:val="-5"/>
        </w:rPr>
        <w:t> </w:t>
      </w:r>
      <w:r>
        <w:rPr/>
        <w:t>3,500</w:t>
      </w:r>
      <w:r>
        <w:rPr>
          <w:spacing w:val="-4"/>
        </w:rPr>
        <w:t> </w:t>
      </w:r>
      <w:r>
        <w:rPr/>
        <w:t>in</w:t>
      </w:r>
      <w:r>
        <w:rPr>
          <w:spacing w:val="-4"/>
        </w:rPr>
        <w:t> </w:t>
      </w:r>
      <w:r>
        <w:rPr/>
        <w:t>February</w:t>
      </w:r>
      <w:r>
        <w:rPr>
          <w:spacing w:val="-4"/>
        </w:rPr>
        <w:t> </w:t>
      </w:r>
      <w:r>
        <w:rPr/>
        <w:t>and</w:t>
      </w:r>
      <w:r>
        <w:rPr>
          <w:spacing w:val="-3"/>
        </w:rPr>
        <w:t> </w:t>
      </w:r>
      <w:r>
        <w:rPr/>
        <w:t>the number</w:t>
      </w:r>
      <w:r>
        <w:rPr>
          <w:spacing w:val="-6"/>
        </w:rPr>
        <w:t> </w:t>
      </w:r>
      <w:r>
        <w:rPr>
          <w:spacing w:val="2"/>
        </w:rPr>
        <w:t>of</w:t>
      </w:r>
      <w:r>
        <w:rPr>
          <w:spacing w:val="-2"/>
        </w:rPr>
        <w:t> </w:t>
      </w:r>
      <w:r>
        <w:rPr/>
        <w:t>jobs</w:t>
      </w:r>
      <w:r>
        <w:rPr>
          <w:spacing w:val="-6"/>
        </w:rPr>
        <w:t> </w:t>
      </w:r>
      <w:r>
        <w:rPr/>
        <w:t>advertised</w:t>
      </w:r>
      <w:r>
        <w:rPr>
          <w:spacing w:val="-5"/>
        </w:rPr>
        <w:t> </w:t>
      </w:r>
      <w:r>
        <w:rPr/>
        <w:t>in</w:t>
      </w:r>
      <w:r>
        <w:rPr>
          <w:spacing w:val="-6"/>
        </w:rPr>
        <w:t> </w:t>
      </w:r>
      <w:r>
        <w:rPr/>
        <w:t>national</w:t>
      </w:r>
      <w:r>
        <w:rPr>
          <w:spacing w:val="-6"/>
        </w:rPr>
        <w:t> </w:t>
      </w:r>
      <w:r>
        <w:rPr/>
        <w:t>newspapers</w:t>
      </w:r>
      <w:r>
        <w:rPr>
          <w:spacing w:val="-6"/>
        </w:rPr>
        <w:t> </w:t>
      </w:r>
      <w:r>
        <w:rPr/>
        <w:t>had</w:t>
      </w:r>
      <w:r>
        <w:rPr>
          <w:spacing w:val="-5"/>
        </w:rPr>
        <w:t> </w:t>
      </w:r>
      <w:r>
        <w:rPr/>
        <w:t>fallen,</w:t>
      </w:r>
      <w:r>
        <w:rPr>
          <w:spacing w:val="-6"/>
        </w:rPr>
        <w:t> </w:t>
      </w:r>
      <w:r>
        <w:rPr/>
        <w:t>according</w:t>
      </w:r>
      <w:r>
        <w:rPr>
          <w:spacing w:val="-6"/>
        </w:rPr>
        <w:t> </w:t>
      </w:r>
      <w:r>
        <w:rPr>
          <w:spacing w:val="3"/>
        </w:rPr>
        <w:t>to</w:t>
      </w:r>
      <w:r>
        <w:rPr>
          <w:spacing w:val="-1"/>
        </w:rPr>
        <w:t> </w:t>
      </w:r>
      <w:r>
        <w:rPr/>
        <w:t>the</w:t>
      </w:r>
      <w:r>
        <w:rPr>
          <w:spacing w:val="-5"/>
        </w:rPr>
        <w:t> </w:t>
      </w:r>
      <w:r>
        <w:rPr/>
        <w:t>Press</w:t>
      </w:r>
      <w:r>
        <w:rPr>
          <w:spacing w:val="-5"/>
        </w:rPr>
        <w:t> </w:t>
      </w:r>
      <w:r>
        <w:rPr/>
        <w:t>Recruitment Advertising </w:t>
      </w:r>
      <w:r>
        <w:rPr>
          <w:spacing w:val="2"/>
        </w:rPr>
        <w:t>Index. </w:t>
      </w:r>
      <w:r>
        <w:rPr/>
        <w:t>But the number </w:t>
      </w:r>
      <w:r>
        <w:rPr>
          <w:spacing w:val="3"/>
        </w:rPr>
        <w:t>of </w:t>
      </w:r>
      <w:r>
        <w:rPr/>
        <w:t>permanent placements by job agencies had increased in March</w:t>
      </w:r>
      <w:r>
        <w:rPr>
          <w:spacing w:val="-4"/>
        </w:rPr>
        <w:t> </w:t>
      </w:r>
      <w:r>
        <w:rPr/>
        <w:t>for</w:t>
      </w:r>
      <w:r>
        <w:rPr>
          <w:spacing w:val="-4"/>
        </w:rPr>
        <w:t> </w:t>
      </w:r>
      <w:r>
        <w:rPr/>
        <w:t>the</w:t>
      </w:r>
      <w:r>
        <w:rPr>
          <w:spacing w:val="-4"/>
        </w:rPr>
        <w:t> </w:t>
      </w:r>
      <w:r>
        <w:rPr/>
        <w:t>first time</w:t>
      </w:r>
      <w:r>
        <w:rPr>
          <w:spacing w:val="-4"/>
        </w:rPr>
        <w:t> </w:t>
      </w:r>
      <w:r>
        <w:rPr/>
        <w:t>in</w:t>
      </w:r>
      <w:r>
        <w:rPr>
          <w:spacing w:val="-4"/>
        </w:rPr>
        <w:t> </w:t>
      </w:r>
      <w:r>
        <w:rPr/>
        <w:t>six</w:t>
      </w:r>
      <w:r>
        <w:rPr>
          <w:spacing w:val="-4"/>
        </w:rPr>
        <w:t> </w:t>
      </w:r>
      <w:r>
        <w:rPr/>
        <w:t>months,</w:t>
      </w:r>
      <w:r>
        <w:rPr>
          <w:spacing w:val="-4"/>
        </w:rPr>
        <w:t> </w:t>
      </w:r>
      <w:r>
        <w:rPr/>
        <w:t>according</w:t>
      </w:r>
      <w:r>
        <w:rPr>
          <w:spacing w:val="-4"/>
        </w:rPr>
        <w:t> </w:t>
      </w:r>
      <w:r>
        <w:rPr>
          <w:spacing w:val="3"/>
        </w:rPr>
        <w:t>to</w:t>
      </w:r>
      <w:r>
        <w:rPr/>
        <w:t> the</w:t>
      </w:r>
      <w:r>
        <w:rPr>
          <w:spacing w:val="-4"/>
        </w:rPr>
        <w:t> </w:t>
      </w:r>
      <w:r>
        <w:rPr/>
        <w:t>F</w:t>
      </w:r>
      <w:r>
        <w:rPr>
          <w:spacing w:val="-31"/>
        </w:rPr>
        <w:t> </w:t>
      </w:r>
      <w:r>
        <w:rPr>
          <w:sz w:val="20"/>
        </w:rPr>
        <w:t>RES</w:t>
      </w:r>
      <w:r>
        <w:rPr>
          <w:spacing w:val="5"/>
          <w:sz w:val="20"/>
        </w:rPr>
        <w:t> </w:t>
      </w:r>
      <w:r>
        <w:rPr/>
        <w:t>survey</w:t>
      </w:r>
      <w:r>
        <w:rPr>
          <w:spacing w:val="-4"/>
        </w:rPr>
        <w:t> </w:t>
      </w:r>
      <w:r>
        <w:rPr>
          <w:spacing w:val="2"/>
        </w:rPr>
        <w:t>on</w:t>
      </w:r>
      <w:r>
        <w:rPr>
          <w:spacing w:val="1"/>
        </w:rPr>
        <w:t> </w:t>
      </w:r>
      <w:r>
        <w:rPr/>
        <w:t>the</w:t>
      </w:r>
      <w:r>
        <w:rPr>
          <w:spacing w:val="-4"/>
        </w:rPr>
        <w:t> </w:t>
      </w:r>
      <w:r>
        <w:rPr/>
        <w:t>demand</w:t>
      </w:r>
      <w:r>
        <w:rPr>
          <w:spacing w:val="-4"/>
        </w:rPr>
        <w:t> </w:t>
      </w:r>
      <w:r>
        <w:rPr/>
        <w:t>for</w:t>
      </w:r>
      <w:r>
        <w:rPr>
          <w:spacing w:val="-4"/>
        </w:rPr>
        <w:t> </w:t>
      </w:r>
      <w:r>
        <w:rPr/>
        <w:t>staff.</w:t>
      </w:r>
    </w:p>
    <w:p>
      <w:pPr>
        <w:pStyle w:val="BodyText"/>
        <w:spacing w:before="11"/>
        <w:rPr>
          <w:sz w:val="30"/>
        </w:rPr>
      </w:pPr>
    </w:p>
    <w:p>
      <w:pPr>
        <w:pStyle w:val="BodyText"/>
        <w:tabs>
          <w:tab w:pos="1284" w:val="left" w:leader="none"/>
        </w:tabs>
        <w:spacing w:line="312" w:lineRule="auto"/>
        <w:ind w:left="564" w:right="533"/>
      </w:pPr>
      <w:r>
        <w:rPr/>
        <w:t>A32</w:t>
        <w:tab/>
        <w:t>LFS unemployment had risen by 37,000 in the three months </w:t>
      </w:r>
      <w:r>
        <w:rPr>
          <w:spacing w:val="3"/>
        </w:rPr>
        <w:t>to </w:t>
      </w:r>
      <w:r>
        <w:rPr/>
        <w:t>January, taking the rate </w:t>
      </w:r>
      <w:r>
        <w:rPr>
          <w:spacing w:val="3"/>
        </w:rPr>
        <w:t>to </w:t>
      </w:r>
      <w:r>
        <w:rPr/>
        <w:t>6.3%. </w:t>
      </w:r>
      <w:r>
        <w:rPr>
          <w:spacing w:val="2"/>
        </w:rPr>
        <w:t>This </w:t>
      </w:r>
      <w:r>
        <w:rPr/>
        <w:t>had been the first rise in the rate, in non-overlapping periods, since early 1993. </w:t>
      </w:r>
      <w:r>
        <w:rPr>
          <w:spacing w:val="2"/>
        </w:rPr>
        <w:t>The </w:t>
      </w:r>
      <w:r>
        <w:rPr/>
        <w:t>number</w:t>
      </w:r>
      <w:r>
        <w:rPr>
          <w:spacing w:val="-5"/>
        </w:rPr>
        <w:t> </w:t>
      </w:r>
      <w:r>
        <w:rPr>
          <w:spacing w:val="2"/>
        </w:rPr>
        <w:t>of</w:t>
      </w:r>
      <w:r>
        <w:rPr>
          <w:spacing w:val="-1"/>
        </w:rPr>
        <w:t> </w:t>
      </w:r>
      <w:r>
        <w:rPr/>
        <w:t>people</w:t>
      </w:r>
      <w:r>
        <w:rPr>
          <w:spacing w:val="-4"/>
        </w:rPr>
        <w:t> </w:t>
      </w:r>
      <w:r>
        <w:rPr/>
        <w:t>unemployed</w:t>
      </w:r>
      <w:r>
        <w:rPr>
          <w:spacing w:val="-5"/>
        </w:rPr>
        <w:t> </w:t>
      </w:r>
      <w:r>
        <w:rPr/>
        <w:t>for</w:t>
      </w:r>
      <w:r>
        <w:rPr>
          <w:spacing w:val="-5"/>
        </w:rPr>
        <w:t> </w:t>
      </w:r>
      <w:r>
        <w:rPr/>
        <w:t>more</w:t>
      </w:r>
      <w:r>
        <w:rPr>
          <w:spacing w:val="-4"/>
        </w:rPr>
        <w:t> </w:t>
      </w:r>
      <w:r>
        <w:rPr/>
        <w:t>than</w:t>
      </w:r>
      <w:r>
        <w:rPr>
          <w:spacing w:val="-4"/>
        </w:rPr>
        <w:t> </w:t>
      </w:r>
      <w:r>
        <w:rPr>
          <w:spacing w:val="3"/>
        </w:rPr>
        <w:t>one</w:t>
      </w:r>
      <w:r>
        <w:rPr>
          <w:spacing w:val="-1"/>
        </w:rPr>
        <w:t> </w:t>
      </w:r>
      <w:r>
        <w:rPr/>
        <w:t>year</w:t>
      </w:r>
      <w:r>
        <w:rPr>
          <w:spacing w:val="-4"/>
        </w:rPr>
        <w:t> </w:t>
      </w:r>
      <w:r>
        <w:rPr/>
        <w:t>had</w:t>
      </w:r>
      <w:r>
        <w:rPr>
          <w:spacing w:val="-5"/>
        </w:rPr>
        <w:t> </w:t>
      </w:r>
      <w:r>
        <w:rPr/>
        <w:t>fallen</w:t>
      </w:r>
      <w:r>
        <w:rPr>
          <w:spacing w:val="-5"/>
        </w:rPr>
        <w:t> </w:t>
      </w:r>
      <w:r>
        <w:rPr/>
        <w:t>by</w:t>
      </w:r>
      <w:r>
        <w:rPr>
          <w:spacing w:val="-5"/>
        </w:rPr>
        <w:t> </w:t>
      </w:r>
      <w:r>
        <w:rPr/>
        <w:t>17,000</w:t>
      </w:r>
      <w:r>
        <w:rPr>
          <w:spacing w:val="-4"/>
        </w:rPr>
        <w:t> </w:t>
      </w:r>
      <w:r>
        <w:rPr/>
        <w:t>in</w:t>
      </w:r>
      <w:r>
        <w:rPr>
          <w:spacing w:val="-4"/>
        </w:rPr>
        <w:t> </w:t>
      </w:r>
      <w:r>
        <w:rPr/>
        <w:t>the</w:t>
      </w:r>
      <w:r>
        <w:rPr>
          <w:spacing w:val="-4"/>
        </w:rPr>
        <w:t> </w:t>
      </w:r>
      <w:r>
        <w:rPr/>
        <w:t>three</w:t>
      </w:r>
      <w:r>
        <w:rPr>
          <w:spacing w:val="-5"/>
        </w:rPr>
        <w:t> </w:t>
      </w:r>
      <w:r>
        <w:rPr/>
        <w:t>months</w:t>
      </w:r>
      <w:r>
        <w:rPr>
          <w:spacing w:val="-4"/>
        </w:rPr>
        <w:t> </w:t>
      </w:r>
      <w:r>
        <w:rPr>
          <w:spacing w:val="3"/>
        </w:rPr>
        <w:t>to </w:t>
      </w:r>
      <w:r>
        <w:rPr/>
        <w:t>January, </w:t>
      </w:r>
      <w:r>
        <w:rPr>
          <w:spacing w:val="5"/>
        </w:rPr>
        <w:t>offset </w:t>
      </w:r>
      <w:r>
        <w:rPr/>
        <w:t>by a </w:t>
      </w:r>
      <w:r>
        <w:rPr>
          <w:spacing w:val="2"/>
        </w:rPr>
        <w:t>rise </w:t>
      </w:r>
      <w:r>
        <w:rPr/>
        <w:t>in short-term unemployment. Claimant unemployment had </w:t>
      </w:r>
      <w:r>
        <w:rPr>
          <w:spacing w:val="2"/>
        </w:rPr>
        <w:t>risen </w:t>
      </w:r>
      <w:r>
        <w:rPr/>
        <w:t>by 4,300, but the rate had remained unchanged at 4.6%. Inflows into unemployment had</w:t>
      </w:r>
      <w:r>
        <w:rPr>
          <w:spacing w:val="-12"/>
        </w:rPr>
        <w:t> </w:t>
      </w:r>
      <w:r>
        <w:rPr/>
        <w:t>been</w:t>
      </w:r>
    </w:p>
    <w:p>
      <w:pPr>
        <w:spacing w:after="0" w:line="312" w:lineRule="auto"/>
        <w:sectPr>
          <w:pgSz w:w="11900" w:h="16840"/>
          <w:pgMar w:header="719" w:footer="0" w:top="1160" w:bottom="280" w:left="880" w:right="580"/>
        </w:sectPr>
      </w:pPr>
    </w:p>
    <w:p>
      <w:pPr>
        <w:pStyle w:val="BodyText"/>
        <w:spacing w:line="312" w:lineRule="auto" w:before="80"/>
        <w:ind w:left="564" w:right="524"/>
      </w:pPr>
      <w:r>
        <w:rPr/>
        <w:t>broadly flat, and the exit rate from unemployment had fallen, but remained at a high level. The rise in employment had been associated with a fall in inactivity of 117,000. In net terms, all of the rise in employment had been concentrated among workers more than 25 years old, which had been roughly matched by falls in inactivity.</w:t>
      </w:r>
    </w:p>
    <w:p>
      <w:pPr>
        <w:pStyle w:val="BodyText"/>
        <w:spacing w:before="3"/>
        <w:rPr>
          <w:sz w:val="31"/>
        </w:rPr>
      </w:pPr>
    </w:p>
    <w:p>
      <w:pPr>
        <w:pStyle w:val="BodyText"/>
        <w:tabs>
          <w:tab w:pos="1284" w:val="left" w:leader="none"/>
        </w:tabs>
        <w:spacing w:line="312" w:lineRule="auto"/>
        <w:ind w:left="564" w:right="464"/>
      </w:pPr>
      <w:r>
        <w:rPr/>
        <w:t>A33</w:t>
        <w:tab/>
        <w:t>Headline whole-economy annual average earnings growth had fallen </w:t>
      </w:r>
      <w:r>
        <w:rPr>
          <w:spacing w:val="3"/>
        </w:rPr>
        <w:t>to </w:t>
      </w:r>
      <w:r>
        <w:rPr/>
        <w:t>4.3% in December, </w:t>
      </w:r>
      <w:r>
        <w:rPr>
          <w:spacing w:val="2"/>
        </w:rPr>
        <w:t>reflecting </w:t>
      </w:r>
      <w:r>
        <w:rPr/>
        <w:t>a decline in the growth </w:t>
      </w:r>
      <w:r>
        <w:rPr>
          <w:spacing w:val="3"/>
        </w:rPr>
        <w:t>of </w:t>
      </w:r>
      <w:r>
        <w:rPr/>
        <w:t>irregular pay. The slowdown in headline earnings growth since the peak in May had been sharp, but this measure referred </w:t>
      </w:r>
      <w:r>
        <w:rPr>
          <w:spacing w:val="2"/>
        </w:rPr>
        <w:t>to </w:t>
      </w:r>
      <w:r>
        <w:rPr/>
        <w:t>growth in earnings per head. It was likely that the growth in earnings per hour had fallen less </w:t>
      </w:r>
      <w:r>
        <w:rPr>
          <w:spacing w:val="2"/>
        </w:rPr>
        <w:t>rapidly, reflecting the </w:t>
      </w:r>
      <w:r>
        <w:rPr/>
        <w:t>reduction in average hours worked </w:t>
      </w:r>
      <w:r>
        <w:rPr>
          <w:spacing w:val="3"/>
        </w:rPr>
        <w:t>over </w:t>
      </w:r>
      <w:r>
        <w:rPr/>
        <w:t>this period. The Reward index </w:t>
      </w:r>
      <w:r>
        <w:rPr>
          <w:spacing w:val="2"/>
        </w:rPr>
        <w:t>of </w:t>
      </w:r>
      <w:r>
        <w:rPr/>
        <w:t>annual earnings growth had continued </w:t>
      </w:r>
      <w:r>
        <w:rPr>
          <w:spacing w:val="2"/>
        </w:rPr>
        <w:t>to </w:t>
      </w:r>
      <w:r>
        <w:rPr/>
        <w:t>fall, from a peak </w:t>
      </w:r>
      <w:r>
        <w:rPr>
          <w:spacing w:val="2"/>
        </w:rPr>
        <w:t>of </w:t>
      </w:r>
      <w:r>
        <w:rPr/>
        <w:t>5.4% in June 1998 </w:t>
      </w:r>
      <w:r>
        <w:rPr>
          <w:spacing w:val="2"/>
        </w:rPr>
        <w:t>to </w:t>
      </w:r>
      <w:r>
        <w:rPr/>
        <w:t>4.5% in February. The growth of wages and salaries had been broadly flat since mid-1997. The </w:t>
      </w:r>
      <w:r>
        <w:rPr>
          <w:spacing w:val="2"/>
        </w:rPr>
        <w:t>rise </w:t>
      </w:r>
      <w:r>
        <w:rPr/>
        <w:t>in 1998 Q4, which had contrasted with the fall in growth measured by the Average </w:t>
      </w:r>
      <w:r>
        <w:rPr>
          <w:spacing w:val="2"/>
        </w:rPr>
        <w:t>Earnings </w:t>
      </w:r>
      <w:r>
        <w:rPr/>
        <w:t>Index </w:t>
      </w:r>
      <w:r>
        <w:rPr>
          <w:spacing w:val="3"/>
        </w:rPr>
        <w:t>over </w:t>
      </w:r>
      <w:r>
        <w:rPr/>
        <w:t>the same period, could be explained by volatility in pension contributions and balancing adjustments between different measures </w:t>
      </w:r>
      <w:r>
        <w:rPr>
          <w:spacing w:val="3"/>
        </w:rPr>
        <w:t>of</w:t>
      </w:r>
      <w:r>
        <w:rPr>
          <w:spacing w:val="18"/>
        </w:rPr>
        <w:t> </w:t>
      </w:r>
      <w:r>
        <w:rPr/>
        <w:t>GDP.</w:t>
      </w:r>
    </w:p>
    <w:p>
      <w:pPr>
        <w:pStyle w:val="BodyText"/>
        <w:spacing w:before="1"/>
        <w:rPr>
          <w:sz w:val="31"/>
        </w:rPr>
      </w:pPr>
    </w:p>
    <w:p>
      <w:pPr>
        <w:pStyle w:val="BodyText"/>
        <w:tabs>
          <w:tab w:pos="1284" w:val="left" w:leader="none"/>
        </w:tabs>
        <w:spacing w:line="312" w:lineRule="auto" w:before="1"/>
        <w:ind w:left="564" w:right="648"/>
      </w:pPr>
      <w:r>
        <w:rPr/>
        <w:t>A34</w:t>
        <w:tab/>
        <w:t>The</w:t>
      </w:r>
      <w:r>
        <w:rPr>
          <w:spacing w:val="-9"/>
        </w:rPr>
        <w:t> </w:t>
      </w:r>
      <w:r>
        <w:rPr>
          <w:spacing w:val="-5"/>
        </w:rPr>
        <w:t>Bank’s</w:t>
      </w:r>
      <w:r>
        <w:rPr>
          <w:spacing w:val="-9"/>
        </w:rPr>
        <w:t> </w:t>
      </w:r>
      <w:r>
        <w:rPr/>
        <w:t>employment-weighted</w:t>
      </w:r>
      <w:r>
        <w:rPr>
          <w:spacing w:val="-10"/>
        </w:rPr>
        <w:t> </w:t>
      </w:r>
      <w:r>
        <w:rPr/>
        <w:t>twelve-month</w:t>
      </w:r>
      <w:r>
        <w:rPr>
          <w:spacing w:val="-9"/>
        </w:rPr>
        <w:t> </w:t>
      </w:r>
      <w:r>
        <w:rPr/>
        <w:t>measure</w:t>
      </w:r>
      <w:r>
        <w:rPr>
          <w:spacing w:val="-9"/>
        </w:rPr>
        <w:t> </w:t>
      </w:r>
      <w:r>
        <w:rPr>
          <w:spacing w:val="3"/>
        </w:rPr>
        <w:t>of</w:t>
      </w:r>
      <w:r>
        <w:rPr>
          <w:spacing w:val="-6"/>
        </w:rPr>
        <w:t> </w:t>
      </w:r>
      <w:r>
        <w:rPr/>
        <w:t>whole</w:t>
      </w:r>
      <w:r>
        <w:rPr>
          <w:spacing w:val="-9"/>
        </w:rPr>
        <w:t> </w:t>
      </w:r>
      <w:r>
        <w:rPr/>
        <w:t>economy</w:t>
      </w:r>
      <w:r>
        <w:rPr>
          <w:spacing w:val="-9"/>
        </w:rPr>
        <w:t> </w:t>
      </w:r>
      <w:r>
        <w:rPr/>
        <w:t>settlements had remained at 3.7% in February, but the three-month measure had fallen by 0.3 percentage points </w:t>
      </w:r>
      <w:r>
        <w:rPr>
          <w:spacing w:val="3"/>
        </w:rPr>
        <w:t>to </w:t>
      </w:r>
      <w:r>
        <w:rPr/>
        <w:t>3.3%. In a matched sample </w:t>
      </w:r>
      <w:r>
        <w:rPr>
          <w:spacing w:val="2"/>
        </w:rPr>
        <w:t>of </w:t>
      </w:r>
      <w:r>
        <w:rPr/>
        <w:t>firms from the </w:t>
      </w:r>
      <w:r>
        <w:rPr>
          <w:spacing w:val="-5"/>
        </w:rPr>
        <w:t>Bank’s </w:t>
      </w:r>
      <w:r>
        <w:rPr/>
        <w:t>settlements database, mean settlements in January and February had fallen </w:t>
      </w:r>
      <w:r>
        <w:rPr>
          <w:spacing w:val="3"/>
        </w:rPr>
        <w:t>to </w:t>
      </w:r>
      <w:r>
        <w:rPr/>
        <w:t>3.3% in 1999, from 4% in 1998. </w:t>
      </w:r>
      <w:r>
        <w:rPr>
          <w:spacing w:val="2"/>
        </w:rPr>
        <w:t>The </w:t>
      </w:r>
      <w:r>
        <w:rPr/>
        <w:t>proportion </w:t>
      </w:r>
      <w:r>
        <w:rPr>
          <w:spacing w:val="2"/>
        </w:rPr>
        <w:t>of </w:t>
      </w:r>
      <w:r>
        <w:rPr/>
        <w:t>employees in this sample who had received a lower settlement in 1999 had been 78%. The three-month measure from </w:t>
      </w:r>
      <w:r>
        <w:rPr>
          <w:spacing w:val="2"/>
        </w:rPr>
        <w:t>Industrial </w:t>
      </w:r>
      <w:r>
        <w:rPr/>
        <w:t>Relations Services had also fallen in</w:t>
      </w:r>
      <w:r>
        <w:rPr>
          <w:spacing w:val="1"/>
        </w:rPr>
        <w:t> </w:t>
      </w:r>
      <w:r>
        <w:rPr/>
        <w:t>February.</w:t>
      </w:r>
    </w:p>
    <w:p>
      <w:pPr>
        <w:pStyle w:val="BodyText"/>
        <w:spacing w:before="1"/>
        <w:rPr>
          <w:sz w:val="31"/>
        </w:rPr>
      </w:pPr>
    </w:p>
    <w:p>
      <w:pPr>
        <w:pStyle w:val="BodyText"/>
        <w:tabs>
          <w:tab w:pos="1284" w:val="left" w:leader="none"/>
        </w:tabs>
        <w:spacing w:line="312" w:lineRule="auto"/>
        <w:ind w:left="564" w:right="784"/>
      </w:pPr>
      <w:r>
        <w:rPr/>
        <w:t>A35</w:t>
        <w:tab/>
        <w:t>Annual productivity growth had fallen from 1.1% in Q3 </w:t>
      </w:r>
      <w:r>
        <w:rPr>
          <w:spacing w:val="3"/>
        </w:rPr>
        <w:t>to </w:t>
      </w:r>
      <w:r>
        <w:rPr/>
        <w:t>0.7% in Q4, the lowest rate since 1991. The revisions </w:t>
      </w:r>
      <w:r>
        <w:rPr>
          <w:spacing w:val="3"/>
        </w:rPr>
        <w:t>to </w:t>
      </w:r>
      <w:r>
        <w:rPr/>
        <w:t>Workforce Jobs, announced in December, had caused a generally downward revision </w:t>
      </w:r>
      <w:r>
        <w:rPr>
          <w:spacing w:val="2"/>
        </w:rPr>
        <w:t>to </w:t>
      </w:r>
      <w:r>
        <w:rPr/>
        <w:t>productivity growth. Because the growth </w:t>
      </w:r>
      <w:r>
        <w:rPr>
          <w:spacing w:val="2"/>
        </w:rPr>
        <w:t>of </w:t>
      </w:r>
      <w:r>
        <w:rPr/>
        <w:t>wages and salaries per head had increased and productivity growth had fallen in Q4, the growth </w:t>
      </w:r>
      <w:r>
        <w:rPr>
          <w:spacing w:val="2"/>
        </w:rPr>
        <w:t>of </w:t>
      </w:r>
      <w:r>
        <w:rPr/>
        <w:t>unit wage costs had continued </w:t>
      </w:r>
      <w:r>
        <w:rPr>
          <w:spacing w:val="2"/>
        </w:rPr>
        <w:t>to</w:t>
      </w:r>
      <w:r>
        <w:rPr>
          <w:spacing w:val="8"/>
        </w:rPr>
        <w:t> </w:t>
      </w:r>
      <w:r>
        <w:rPr/>
        <w:t>rise.</w:t>
      </w:r>
    </w:p>
    <w:p>
      <w:pPr>
        <w:pStyle w:val="BodyText"/>
        <w:rPr>
          <w:sz w:val="31"/>
        </w:rPr>
      </w:pPr>
    </w:p>
    <w:p>
      <w:pPr>
        <w:pStyle w:val="BodyText"/>
        <w:tabs>
          <w:tab w:pos="1284" w:val="left" w:leader="none"/>
        </w:tabs>
        <w:spacing w:line="312" w:lineRule="auto"/>
        <w:ind w:left="564" w:right="528"/>
      </w:pPr>
      <w:r>
        <w:rPr/>
        <w:t>A36</w:t>
        <w:tab/>
        <w:t>The </w:t>
      </w:r>
      <w:r>
        <w:rPr>
          <w:spacing w:val="-5"/>
        </w:rPr>
        <w:t>Bank’s </w:t>
      </w:r>
      <w:r>
        <w:rPr/>
        <w:t>regional Agents had conducted a survey </w:t>
      </w:r>
      <w:r>
        <w:rPr>
          <w:spacing w:val="2"/>
        </w:rPr>
        <w:t>of </w:t>
      </w:r>
      <w:r>
        <w:rPr/>
        <w:t>their contacts about employment prospects and the adequacy and quality </w:t>
      </w:r>
      <w:r>
        <w:rPr>
          <w:spacing w:val="2"/>
        </w:rPr>
        <w:t>of </w:t>
      </w:r>
      <w:r>
        <w:rPr/>
        <w:t>their labour force. They had asked whether contacts had expected employment </w:t>
      </w:r>
      <w:r>
        <w:rPr>
          <w:spacing w:val="2"/>
        </w:rPr>
        <w:t>to </w:t>
      </w:r>
      <w:r>
        <w:rPr/>
        <w:t>change </w:t>
      </w:r>
      <w:r>
        <w:rPr>
          <w:spacing w:val="3"/>
        </w:rPr>
        <w:t>over </w:t>
      </w:r>
      <w:r>
        <w:rPr/>
        <w:t>the next 6 months: 36% </w:t>
      </w:r>
      <w:r>
        <w:rPr>
          <w:spacing w:val="2"/>
        </w:rPr>
        <w:t>of </w:t>
      </w:r>
      <w:r>
        <w:rPr/>
        <w:t>respondents had reported that the level </w:t>
      </w:r>
      <w:r>
        <w:rPr>
          <w:spacing w:val="2"/>
        </w:rPr>
        <w:t>of </w:t>
      </w:r>
      <w:r>
        <w:rPr/>
        <w:t>employment was expected </w:t>
      </w:r>
      <w:r>
        <w:rPr>
          <w:spacing w:val="3"/>
        </w:rPr>
        <w:t>to </w:t>
      </w:r>
      <w:r>
        <w:rPr/>
        <w:t>be unchanged, whereas the number </w:t>
      </w:r>
      <w:r>
        <w:rPr>
          <w:spacing w:val="2"/>
        </w:rPr>
        <w:t>of </w:t>
      </w:r>
      <w:r>
        <w:rPr/>
        <w:t>companies who</w:t>
      </w:r>
      <w:r>
        <w:rPr>
          <w:spacing w:val="-5"/>
        </w:rPr>
        <w:t> </w:t>
      </w:r>
      <w:r>
        <w:rPr/>
        <w:t>had</w:t>
      </w:r>
      <w:r>
        <w:rPr>
          <w:spacing w:val="-4"/>
        </w:rPr>
        <w:t> </w:t>
      </w:r>
      <w:r>
        <w:rPr/>
        <w:t>been</w:t>
      </w:r>
      <w:r>
        <w:rPr>
          <w:spacing w:val="-4"/>
        </w:rPr>
        <w:t> </w:t>
      </w:r>
      <w:r>
        <w:rPr/>
        <w:t>planning</w:t>
      </w:r>
      <w:r>
        <w:rPr>
          <w:spacing w:val="-5"/>
        </w:rPr>
        <w:t> </w:t>
      </w:r>
      <w:r>
        <w:rPr>
          <w:spacing w:val="3"/>
        </w:rPr>
        <w:t>to</w:t>
      </w:r>
      <w:r>
        <w:rPr/>
        <w:t> increase</w:t>
      </w:r>
      <w:r>
        <w:rPr>
          <w:spacing w:val="-4"/>
        </w:rPr>
        <w:t> </w:t>
      </w:r>
      <w:r>
        <w:rPr/>
        <w:t>staff</w:t>
      </w:r>
      <w:r>
        <w:rPr>
          <w:spacing w:val="-4"/>
        </w:rPr>
        <w:t> </w:t>
      </w:r>
      <w:r>
        <w:rPr/>
        <w:t>had</w:t>
      </w:r>
      <w:r>
        <w:rPr>
          <w:spacing w:val="-4"/>
        </w:rPr>
        <w:t> </w:t>
      </w:r>
      <w:r>
        <w:rPr/>
        <w:t>been</w:t>
      </w:r>
      <w:r>
        <w:rPr>
          <w:spacing w:val="-5"/>
        </w:rPr>
        <w:t> </w:t>
      </w:r>
      <w:r>
        <w:rPr/>
        <w:t>the</w:t>
      </w:r>
      <w:r>
        <w:rPr>
          <w:spacing w:val="-4"/>
        </w:rPr>
        <w:t> </w:t>
      </w:r>
      <w:r>
        <w:rPr/>
        <w:t>same</w:t>
      </w:r>
      <w:r>
        <w:rPr>
          <w:spacing w:val="-4"/>
        </w:rPr>
        <w:t> </w:t>
      </w:r>
      <w:r>
        <w:rPr/>
        <w:t>as</w:t>
      </w:r>
      <w:r>
        <w:rPr>
          <w:spacing w:val="-4"/>
        </w:rPr>
        <w:t> </w:t>
      </w:r>
      <w:r>
        <w:rPr/>
        <w:t>the</w:t>
      </w:r>
      <w:r>
        <w:rPr>
          <w:spacing w:val="-5"/>
        </w:rPr>
        <w:t> </w:t>
      </w:r>
      <w:r>
        <w:rPr/>
        <w:t>number</w:t>
      </w:r>
      <w:r>
        <w:rPr>
          <w:spacing w:val="-4"/>
        </w:rPr>
        <w:t> </w:t>
      </w:r>
      <w:r>
        <w:rPr/>
        <w:t>planning</w:t>
      </w:r>
      <w:r>
        <w:rPr>
          <w:spacing w:val="-4"/>
        </w:rPr>
        <w:t> </w:t>
      </w:r>
      <w:r>
        <w:rPr>
          <w:spacing w:val="3"/>
        </w:rPr>
        <w:t>to</w:t>
      </w:r>
      <w:r>
        <w:rPr/>
        <w:t> shed</w:t>
      </w:r>
      <w:r>
        <w:rPr>
          <w:spacing w:val="-5"/>
        </w:rPr>
        <w:t> </w:t>
      </w:r>
      <w:r>
        <w:rPr/>
        <w:t>labour (32% each). Over 50% </w:t>
      </w:r>
      <w:r>
        <w:rPr>
          <w:spacing w:val="2"/>
        </w:rPr>
        <w:t>of </w:t>
      </w:r>
      <w:r>
        <w:rPr/>
        <w:t>manufacturers had reported that employment levels were expected </w:t>
      </w:r>
      <w:r>
        <w:rPr>
          <w:spacing w:val="3"/>
        </w:rPr>
        <w:t>to </w:t>
      </w:r>
      <w:r>
        <w:rPr/>
        <w:t>be lower whereas in the service </w:t>
      </w:r>
      <w:r>
        <w:rPr>
          <w:spacing w:val="2"/>
        </w:rPr>
        <w:t>sector </w:t>
      </w:r>
      <w:r>
        <w:rPr>
          <w:spacing w:val="3"/>
        </w:rPr>
        <w:t>over </w:t>
      </w:r>
      <w:r>
        <w:rPr/>
        <w:t>40% </w:t>
      </w:r>
      <w:r>
        <w:rPr>
          <w:spacing w:val="2"/>
        </w:rPr>
        <w:t>of </w:t>
      </w:r>
      <w:r>
        <w:rPr/>
        <w:t>respondents expected higher</w:t>
      </w:r>
      <w:r>
        <w:rPr>
          <w:spacing w:val="-42"/>
        </w:rPr>
        <w:t> </w:t>
      </w:r>
      <w:r>
        <w:rPr/>
        <w:t>employment.</w:t>
      </w:r>
    </w:p>
    <w:p>
      <w:pPr>
        <w:pStyle w:val="BodyText"/>
        <w:spacing w:line="309" w:lineRule="auto" w:before="4"/>
        <w:ind w:left="564" w:right="208"/>
      </w:pPr>
      <w:r>
        <w:rPr/>
        <w:t>There had also been some differences across regions, but most had presented a picture consistent with the overall results.</w:t>
      </w:r>
    </w:p>
    <w:p>
      <w:pPr>
        <w:pStyle w:val="BodyText"/>
        <w:spacing w:before="6"/>
        <w:rPr>
          <w:sz w:val="31"/>
        </w:rPr>
      </w:pPr>
    </w:p>
    <w:p>
      <w:pPr>
        <w:pStyle w:val="BodyText"/>
        <w:tabs>
          <w:tab w:pos="1284" w:val="left" w:leader="none"/>
        </w:tabs>
        <w:spacing w:before="1"/>
        <w:ind w:left="564"/>
      </w:pPr>
      <w:r>
        <w:rPr/>
        <w:t>A37</w:t>
        <w:tab/>
        <w:t>The Agents had also asked about the adequacy </w:t>
      </w:r>
      <w:r>
        <w:rPr>
          <w:spacing w:val="2"/>
        </w:rPr>
        <w:t>of </w:t>
      </w:r>
      <w:r>
        <w:rPr/>
        <w:t>the existing labour force in relation</w:t>
      </w:r>
      <w:r>
        <w:rPr>
          <w:spacing w:val="-19"/>
        </w:rPr>
        <w:t> </w:t>
      </w:r>
      <w:r>
        <w:rPr>
          <w:spacing w:val="3"/>
        </w:rPr>
        <w:t>to</w:t>
      </w:r>
    </w:p>
    <w:p>
      <w:pPr>
        <w:spacing w:after="0"/>
        <w:sectPr>
          <w:pgSz w:w="11900" w:h="16840"/>
          <w:pgMar w:header="719" w:footer="0" w:top="1160" w:bottom="280" w:left="880" w:right="580"/>
        </w:sectPr>
      </w:pPr>
    </w:p>
    <w:p>
      <w:pPr>
        <w:pStyle w:val="BodyText"/>
        <w:spacing w:line="312" w:lineRule="auto" w:before="80"/>
        <w:ind w:left="564" w:right="490"/>
      </w:pPr>
      <w:r>
        <w:rPr/>
        <w:t>current output. About 30% of respondents had reported that their current employment was more than adequate, whereas less than 20% had reported that their labour force was less than adequate. In manufacturing, there had been many more firms who had reported that they were over-staffed than under-staffed, whereas in the service sector, there had been slightly more firms reporting an under-resourced rather than over-resourced labour force. Some contacts had been recruiting staff even if their existing workforce had been more than adequate, either because they were expecting a significant upturn in demand conditions or because they had been recruiting different types of staff, perhaps with specialist skills.</w:t>
      </w:r>
    </w:p>
    <w:p>
      <w:pPr>
        <w:pStyle w:val="BodyText"/>
        <w:spacing w:before="3"/>
        <w:rPr>
          <w:sz w:val="31"/>
        </w:rPr>
      </w:pPr>
    </w:p>
    <w:p>
      <w:pPr>
        <w:pStyle w:val="BodyText"/>
        <w:tabs>
          <w:tab w:pos="1284" w:val="left" w:leader="none"/>
        </w:tabs>
        <w:spacing w:line="312" w:lineRule="auto"/>
        <w:ind w:left="564" w:right="449"/>
      </w:pPr>
      <w:r>
        <w:rPr/>
        <w:t>A38</w:t>
        <w:tab/>
        <w:t>The Agents also asked whether the quality </w:t>
      </w:r>
      <w:r>
        <w:rPr>
          <w:spacing w:val="2"/>
        </w:rPr>
        <w:t>of </w:t>
      </w:r>
      <w:r>
        <w:rPr/>
        <w:t>recruits had changed in the last 12 months. Around two-thirds </w:t>
      </w:r>
      <w:r>
        <w:rPr>
          <w:spacing w:val="2"/>
        </w:rPr>
        <w:t>of </w:t>
      </w:r>
      <w:r>
        <w:rPr/>
        <w:t>their contacts had reported that the quality </w:t>
      </w:r>
      <w:r>
        <w:rPr>
          <w:spacing w:val="2"/>
        </w:rPr>
        <w:t>of </w:t>
      </w:r>
      <w:r>
        <w:rPr/>
        <w:t>recruits had been the same recently. </w:t>
      </w:r>
      <w:r>
        <w:rPr>
          <w:spacing w:val="2"/>
        </w:rPr>
        <w:t>There </w:t>
      </w:r>
      <w:r>
        <w:rPr/>
        <w:t>had been little evidence </w:t>
      </w:r>
      <w:r>
        <w:rPr>
          <w:spacing w:val="2"/>
        </w:rPr>
        <w:t>of </w:t>
      </w:r>
      <w:r>
        <w:rPr/>
        <w:t>lower quality recruits </w:t>
      </w:r>
      <w:r>
        <w:rPr>
          <w:spacing w:val="4"/>
        </w:rPr>
        <w:t>overall. </w:t>
      </w:r>
      <w:r>
        <w:rPr/>
        <w:t>However, in the service </w:t>
      </w:r>
      <w:r>
        <w:rPr>
          <w:spacing w:val="3"/>
        </w:rPr>
        <w:t>sector,</w:t>
      </w:r>
      <w:r>
        <w:rPr>
          <w:spacing w:val="-2"/>
        </w:rPr>
        <w:t> </w:t>
      </w:r>
      <w:r>
        <w:rPr/>
        <w:t>especially</w:t>
      </w:r>
      <w:r>
        <w:rPr>
          <w:spacing w:val="-6"/>
        </w:rPr>
        <w:t> </w:t>
      </w:r>
      <w:r>
        <w:rPr/>
        <w:t>retail,</w:t>
      </w:r>
      <w:r>
        <w:rPr>
          <w:spacing w:val="-4"/>
        </w:rPr>
        <w:t> </w:t>
      </w:r>
      <w:r>
        <w:rPr/>
        <w:t>there</w:t>
      </w:r>
      <w:r>
        <w:rPr>
          <w:spacing w:val="-6"/>
        </w:rPr>
        <w:t> </w:t>
      </w:r>
      <w:r>
        <w:rPr/>
        <w:t>had</w:t>
      </w:r>
      <w:r>
        <w:rPr>
          <w:spacing w:val="-6"/>
        </w:rPr>
        <w:t> </w:t>
      </w:r>
      <w:r>
        <w:rPr/>
        <w:t>been</w:t>
      </w:r>
      <w:r>
        <w:rPr>
          <w:spacing w:val="-7"/>
        </w:rPr>
        <w:t> </w:t>
      </w:r>
      <w:r>
        <w:rPr/>
        <w:t>more</w:t>
      </w:r>
      <w:r>
        <w:rPr>
          <w:spacing w:val="-6"/>
        </w:rPr>
        <w:t> </w:t>
      </w:r>
      <w:r>
        <w:rPr/>
        <w:t>dissatisfaction</w:t>
      </w:r>
      <w:r>
        <w:rPr>
          <w:spacing w:val="-6"/>
        </w:rPr>
        <w:t> </w:t>
      </w:r>
      <w:r>
        <w:rPr/>
        <w:t>with</w:t>
      </w:r>
      <w:r>
        <w:rPr>
          <w:spacing w:val="-5"/>
        </w:rPr>
        <w:t> </w:t>
      </w:r>
      <w:r>
        <w:rPr/>
        <w:t>the</w:t>
      </w:r>
      <w:r>
        <w:rPr>
          <w:spacing w:val="-6"/>
        </w:rPr>
        <w:t> </w:t>
      </w:r>
      <w:r>
        <w:rPr/>
        <w:t>recent</w:t>
      </w:r>
      <w:r>
        <w:rPr>
          <w:spacing w:val="-5"/>
        </w:rPr>
        <w:t> </w:t>
      </w:r>
      <w:r>
        <w:rPr/>
        <w:t>quality</w:t>
      </w:r>
      <w:r>
        <w:rPr>
          <w:spacing w:val="-6"/>
        </w:rPr>
        <w:t> </w:t>
      </w:r>
      <w:r>
        <w:rPr>
          <w:spacing w:val="2"/>
        </w:rPr>
        <w:t>of</w:t>
      </w:r>
      <w:r>
        <w:rPr>
          <w:spacing w:val="-2"/>
        </w:rPr>
        <w:t> </w:t>
      </w:r>
      <w:r>
        <w:rPr/>
        <w:t>recruits</w:t>
      </w:r>
      <w:r>
        <w:rPr>
          <w:spacing w:val="-4"/>
        </w:rPr>
        <w:t> </w:t>
      </w:r>
      <w:r>
        <w:rPr/>
        <w:t>than in</w:t>
      </w:r>
      <w:r>
        <w:rPr>
          <w:spacing w:val="8"/>
        </w:rPr>
        <w:t> </w:t>
      </w:r>
      <w:r>
        <w:rPr>
          <w:spacing w:val="2"/>
        </w:rPr>
        <w:t>manufacturing.</w:t>
      </w:r>
    </w:p>
    <w:p>
      <w:pPr>
        <w:pStyle w:val="BodyText"/>
        <w:spacing w:before="5"/>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spacing w:val="-2"/>
        </w:rPr>
        <w:t>Prices</w:t>
      </w:r>
    </w:p>
    <w:p>
      <w:pPr>
        <w:pStyle w:val="BodyText"/>
        <w:spacing w:before="9"/>
        <w:rPr>
          <w:b/>
          <w:sz w:val="37"/>
        </w:rPr>
      </w:pPr>
    </w:p>
    <w:p>
      <w:pPr>
        <w:pStyle w:val="BodyText"/>
        <w:tabs>
          <w:tab w:pos="1284" w:val="left" w:leader="none"/>
        </w:tabs>
        <w:spacing w:line="312" w:lineRule="auto"/>
        <w:ind w:left="564" w:right="457"/>
      </w:pPr>
      <w:r>
        <w:rPr/>
        <w:t>A39</w:t>
        <w:tab/>
        <w:t>Oil prices had risen by </w:t>
      </w:r>
      <w:r>
        <w:rPr>
          <w:spacing w:val="3"/>
        </w:rPr>
        <w:t>over </w:t>
      </w:r>
      <w:r>
        <w:rPr/>
        <w:t>20% in March in response </w:t>
      </w:r>
      <w:r>
        <w:rPr>
          <w:spacing w:val="3"/>
        </w:rPr>
        <w:t>to </w:t>
      </w:r>
      <w:r>
        <w:rPr/>
        <w:t>an agreement </w:t>
      </w:r>
      <w:r>
        <w:rPr>
          <w:spacing w:val="3"/>
        </w:rPr>
        <w:t>to </w:t>
      </w:r>
      <w:r>
        <w:rPr/>
        <w:t>new </w:t>
      </w:r>
      <w:r>
        <w:rPr>
          <w:spacing w:val="-6"/>
        </w:rPr>
        <w:t>O</w:t>
      </w:r>
      <w:r>
        <w:rPr>
          <w:spacing w:val="-6"/>
          <w:sz w:val="20"/>
        </w:rPr>
        <w:t>PEC </w:t>
      </w:r>
      <w:r>
        <w:rPr/>
        <w:t>production cuts. The effect </w:t>
      </w:r>
      <w:r>
        <w:rPr>
          <w:spacing w:val="2"/>
        </w:rPr>
        <w:t>on </w:t>
      </w:r>
      <w:r>
        <w:rPr/>
        <w:t>RPIX inflation and GDP if </w:t>
      </w:r>
      <w:r>
        <w:rPr>
          <w:spacing w:val="3"/>
        </w:rPr>
        <w:t>oil </w:t>
      </w:r>
      <w:r>
        <w:rPr/>
        <w:t>prices were </w:t>
      </w:r>
      <w:r>
        <w:rPr>
          <w:spacing w:val="3"/>
        </w:rPr>
        <w:t>to </w:t>
      </w:r>
      <w:r>
        <w:rPr/>
        <w:t>remain at these levels was likely </w:t>
      </w:r>
      <w:r>
        <w:rPr>
          <w:spacing w:val="3"/>
        </w:rPr>
        <w:t>to </w:t>
      </w:r>
      <w:r>
        <w:rPr/>
        <w:t>be limited. The </w:t>
      </w:r>
      <w:r>
        <w:rPr>
          <w:spacing w:val="-4"/>
        </w:rPr>
        <w:t>Bank’s </w:t>
      </w:r>
      <w:r>
        <w:rPr/>
        <w:t>index </w:t>
      </w:r>
      <w:r>
        <w:rPr>
          <w:spacing w:val="3"/>
        </w:rPr>
        <w:t>of </w:t>
      </w:r>
      <w:r>
        <w:rPr>
          <w:spacing w:val="2"/>
        </w:rPr>
        <w:t>commodity </w:t>
      </w:r>
      <w:r>
        <w:rPr/>
        <w:t>prices excluding </w:t>
      </w:r>
      <w:r>
        <w:rPr>
          <w:spacing w:val="4"/>
        </w:rPr>
        <w:t>oil </w:t>
      </w:r>
      <w:r>
        <w:rPr/>
        <w:t>had fallen by 0.4% in February, and 1.2% including </w:t>
      </w:r>
      <w:r>
        <w:rPr>
          <w:spacing w:val="3"/>
        </w:rPr>
        <w:t>oil </w:t>
      </w:r>
      <w:r>
        <w:rPr/>
        <w:t>prices. The trend in both measures had continued </w:t>
      </w:r>
      <w:r>
        <w:rPr>
          <w:spacing w:val="3"/>
        </w:rPr>
        <w:t>to </w:t>
      </w:r>
      <w:r>
        <w:rPr/>
        <w:t>be </w:t>
      </w:r>
      <w:r>
        <w:rPr>
          <w:spacing w:val="3"/>
        </w:rPr>
        <w:t>one </w:t>
      </w:r>
      <w:r>
        <w:rPr>
          <w:spacing w:val="2"/>
        </w:rPr>
        <w:t>of </w:t>
      </w:r>
      <w:r>
        <w:rPr/>
        <w:t>moderating deflation. The measures </w:t>
      </w:r>
      <w:r>
        <w:rPr>
          <w:spacing w:val="3"/>
        </w:rPr>
        <w:t>to </w:t>
      </w:r>
      <w:r>
        <w:rPr/>
        <w:t>reform the Common Agricultural Policy (CAP), which had been agreed at the Berlin summit in March, included smaller and later price cuts than in </w:t>
      </w:r>
      <w:r>
        <w:rPr>
          <w:spacing w:val="2"/>
        </w:rPr>
        <w:t>the </w:t>
      </w:r>
      <w:r>
        <w:rPr>
          <w:spacing w:val="4"/>
        </w:rPr>
        <w:t>original </w:t>
      </w:r>
      <w:r>
        <w:rPr/>
        <w:t>proposals. The 0.3% (upper-limit) effect </w:t>
      </w:r>
      <w:r>
        <w:rPr>
          <w:spacing w:val="3"/>
        </w:rPr>
        <w:t>on </w:t>
      </w:r>
      <w:r>
        <w:rPr/>
        <w:t>the RPI which had been estimated by M</w:t>
      </w:r>
      <w:r>
        <w:rPr>
          <w:sz w:val="20"/>
        </w:rPr>
        <w:t>AFF </w:t>
      </w:r>
      <w:r>
        <w:rPr>
          <w:spacing w:val="3"/>
        </w:rPr>
        <w:t>on </w:t>
      </w:r>
      <w:r>
        <w:rPr/>
        <w:t>the basis </w:t>
      </w:r>
      <w:r>
        <w:rPr>
          <w:spacing w:val="3"/>
        </w:rPr>
        <w:t>of </w:t>
      </w:r>
      <w:r>
        <w:rPr/>
        <w:t>the </w:t>
      </w:r>
      <w:r>
        <w:rPr>
          <w:spacing w:val="5"/>
        </w:rPr>
        <w:t>original </w:t>
      </w:r>
      <w:r>
        <w:rPr/>
        <w:t>proposals was likely </w:t>
      </w:r>
      <w:r>
        <w:rPr>
          <w:spacing w:val="3"/>
        </w:rPr>
        <w:t>to </w:t>
      </w:r>
      <w:r>
        <w:rPr/>
        <w:t>be smaller in light </w:t>
      </w:r>
      <w:r>
        <w:rPr>
          <w:spacing w:val="3"/>
        </w:rPr>
        <w:t>of </w:t>
      </w:r>
      <w:r>
        <w:rPr/>
        <w:t>the agreement. Producer price inflation had </w:t>
      </w:r>
      <w:r>
        <w:rPr>
          <w:spacing w:val="2"/>
        </w:rPr>
        <w:t>remained </w:t>
      </w:r>
      <w:r>
        <w:rPr/>
        <w:t>weak in February: input prices fell by 0.1% - as in January, the movement had been largely accounted for by the </w:t>
      </w:r>
      <w:r>
        <w:rPr>
          <w:spacing w:val="3"/>
        </w:rPr>
        <w:t>oil </w:t>
      </w:r>
      <w:r>
        <w:rPr/>
        <w:t>price (10% </w:t>
      </w:r>
      <w:r>
        <w:rPr>
          <w:spacing w:val="2"/>
        </w:rPr>
        <w:t>of </w:t>
      </w:r>
      <w:r>
        <w:rPr/>
        <w:t>the index); </w:t>
      </w:r>
      <w:r>
        <w:rPr>
          <w:spacing w:val="4"/>
        </w:rPr>
        <w:t>output </w:t>
      </w:r>
      <w:r>
        <w:rPr/>
        <w:t>prices excluding excise duties had risen by 0.2%, </w:t>
      </w:r>
      <w:r>
        <w:rPr>
          <w:spacing w:val="3"/>
        </w:rPr>
        <w:t>to </w:t>
      </w:r>
      <w:r>
        <w:rPr/>
        <w:t>a level 0.6% lower than a year earlier.  The </w:t>
      </w:r>
      <w:r>
        <w:rPr>
          <w:spacing w:val="3"/>
        </w:rPr>
        <w:t>C</w:t>
      </w:r>
      <w:r>
        <w:rPr>
          <w:spacing w:val="3"/>
          <w:sz w:val="20"/>
        </w:rPr>
        <w:t>IPS </w:t>
      </w:r>
      <w:r>
        <w:rPr/>
        <w:t>and CBI surveys had continued </w:t>
      </w:r>
      <w:r>
        <w:rPr>
          <w:spacing w:val="3"/>
        </w:rPr>
        <w:t>to </w:t>
      </w:r>
      <w:r>
        <w:rPr/>
        <w:t>suggest further</w:t>
      </w:r>
      <w:r>
        <w:rPr>
          <w:spacing w:val="22"/>
        </w:rPr>
        <w:t> </w:t>
      </w:r>
      <w:r>
        <w:rPr/>
        <w:t>falls.</w:t>
      </w:r>
    </w:p>
    <w:p>
      <w:pPr>
        <w:pStyle w:val="BodyText"/>
        <w:spacing w:before="4"/>
        <w:rPr>
          <w:sz w:val="31"/>
        </w:rPr>
      </w:pPr>
    </w:p>
    <w:p>
      <w:pPr>
        <w:pStyle w:val="BodyText"/>
        <w:tabs>
          <w:tab w:pos="1284" w:val="left" w:leader="none"/>
        </w:tabs>
        <w:spacing w:line="312" w:lineRule="auto"/>
        <w:ind w:left="564" w:right="465"/>
      </w:pPr>
      <w:r>
        <w:rPr/>
        <w:t>A40</w:t>
        <w:tab/>
        <w:t>Import prices had fallen by 0.6% in January whereas export prices had risen by 0.6%. </w:t>
      </w:r>
      <w:r>
        <w:rPr>
          <w:spacing w:val="2"/>
        </w:rPr>
        <w:t>The </w:t>
      </w:r>
      <w:r>
        <w:rPr/>
        <w:t>difference between the annual rates </w:t>
      </w:r>
      <w:r>
        <w:rPr>
          <w:spacing w:val="3"/>
        </w:rPr>
        <w:t>of </w:t>
      </w:r>
      <w:r>
        <w:rPr/>
        <w:t>export and import price inflation had</w:t>
      </w:r>
      <w:r>
        <w:rPr>
          <w:spacing w:val="20"/>
        </w:rPr>
        <w:t> </w:t>
      </w:r>
      <w:r>
        <w:rPr/>
        <w:t>reached</w:t>
      </w:r>
    </w:p>
    <w:p>
      <w:pPr>
        <w:pStyle w:val="BodyText"/>
        <w:spacing w:line="312" w:lineRule="auto" w:before="2"/>
        <w:ind w:left="564" w:right="474"/>
      </w:pPr>
      <w:r>
        <w:rPr/>
        <w:t>1.5 percentage points in January, the largest difference since June 1997 - though both had remained sharply negative (imports -4.9%, exports -3.4%). The GDP (market prices) deflator in the year to the fourth quarter of 1998 had grown by 2.6%, revised down from 2.8%. The equivalent measure for the implied household consumption deflator had been revised up by</w:t>
      </w:r>
    </w:p>
    <w:p>
      <w:pPr>
        <w:spacing w:after="0" w:line="312" w:lineRule="auto"/>
        <w:sectPr>
          <w:pgSz w:w="11900" w:h="16840"/>
          <w:pgMar w:header="719" w:footer="0" w:top="1160" w:bottom="280" w:left="880" w:right="580"/>
        </w:sectPr>
      </w:pPr>
    </w:p>
    <w:p>
      <w:pPr>
        <w:pStyle w:val="BodyText"/>
        <w:spacing w:line="312" w:lineRule="auto" w:before="80"/>
        <w:ind w:left="564" w:right="921"/>
        <w:jc w:val="both"/>
      </w:pPr>
      <w:r>
        <w:rPr/>
        <w:t>0.4</w:t>
      </w:r>
      <w:r>
        <w:rPr>
          <w:spacing w:val="-3"/>
        </w:rPr>
        <w:t> </w:t>
      </w:r>
      <w:r>
        <w:rPr/>
        <w:t>percentage</w:t>
      </w:r>
      <w:r>
        <w:rPr>
          <w:spacing w:val="-6"/>
        </w:rPr>
        <w:t> </w:t>
      </w:r>
      <w:r>
        <w:rPr/>
        <w:t>points</w:t>
      </w:r>
      <w:r>
        <w:rPr>
          <w:spacing w:val="-4"/>
        </w:rPr>
        <w:t> </w:t>
      </w:r>
      <w:r>
        <w:rPr>
          <w:spacing w:val="2"/>
        </w:rPr>
        <w:t>to</w:t>
      </w:r>
      <w:r>
        <w:rPr>
          <w:spacing w:val="-1"/>
        </w:rPr>
        <w:t> </w:t>
      </w:r>
      <w:r>
        <w:rPr/>
        <w:t>2.3%</w:t>
      </w:r>
      <w:r>
        <w:rPr>
          <w:spacing w:val="-5"/>
        </w:rPr>
        <w:t> </w:t>
      </w:r>
      <w:r>
        <w:rPr/>
        <w:t>-</w:t>
      </w:r>
      <w:r>
        <w:rPr>
          <w:spacing w:val="-4"/>
        </w:rPr>
        <w:t> </w:t>
      </w:r>
      <w:r>
        <w:rPr/>
        <w:t>close</w:t>
      </w:r>
      <w:r>
        <w:rPr>
          <w:spacing w:val="-4"/>
        </w:rPr>
        <w:t> </w:t>
      </w:r>
      <w:r>
        <w:rPr>
          <w:spacing w:val="2"/>
        </w:rPr>
        <w:t>to</w:t>
      </w:r>
      <w:r>
        <w:rPr>
          <w:spacing w:val="-1"/>
        </w:rPr>
        <w:t> </w:t>
      </w:r>
      <w:r>
        <w:rPr/>
        <w:t>the</w:t>
      </w:r>
      <w:r>
        <w:rPr>
          <w:spacing w:val="-5"/>
        </w:rPr>
        <w:t> </w:t>
      </w:r>
      <w:r>
        <w:rPr/>
        <w:t>annual</w:t>
      </w:r>
      <w:r>
        <w:rPr>
          <w:spacing w:val="-5"/>
        </w:rPr>
        <w:t> </w:t>
      </w:r>
      <w:r>
        <w:rPr/>
        <w:t>rate</w:t>
      </w:r>
      <w:r>
        <w:rPr>
          <w:spacing w:val="-4"/>
        </w:rPr>
        <w:t> </w:t>
      </w:r>
      <w:r>
        <w:rPr/>
        <w:t>of</w:t>
      </w:r>
      <w:r>
        <w:rPr>
          <w:spacing w:val="-1"/>
        </w:rPr>
        <w:t> </w:t>
      </w:r>
      <w:r>
        <w:rPr/>
        <w:t>RPIX</w:t>
      </w:r>
      <w:r>
        <w:rPr>
          <w:spacing w:val="-6"/>
        </w:rPr>
        <w:t> </w:t>
      </w:r>
      <w:r>
        <w:rPr/>
        <w:t>inflation</w:t>
      </w:r>
      <w:r>
        <w:rPr>
          <w:spacing w:val="-5"/>
        </w:rPr>
        <w:t> </w:t>
      </w:r>
      <w:r>
        <w:rPr/>
        <w:t>in</w:t>
      </w:r>
      <w:r>
        <w:rPr>
          <w:spacing w:val="-5"/>
        </w:rPr>
        <w:t> </w:t>
      </w:r>
      <w:r>
        <w:rPr/>
        <w:t>the</w:t>
      </w:r>
      <w:r>
        <w:rPr>
          <w:spacing w:val="-5"/>
        </w:rPr>
        <w:t> </w:t>
      </w:r>
      <w:r>
        <w:rPr/>
        <w:t>fourth</w:t>
      </w:r>
      <w:r>
        <w:rPr>
          <w:spacing w:val="-6"/>
        </w:rPr>
        <w:t> </w:t>
      </w:r>
      <w:r>
        <w:rPr/>
        <w:t>quarter (2.5%). The unit labour costs based measure </w:t>
      </w:r>
      <w:r>
        <w:rPr>
          <w:spacing w:val="2"/>
        </w:rPr>
        <w:t>of </w:t>
      </w:r>
      <w:r>
        <w:rPr/>
        <w:t>domestically generated inflation had become available again, and had continued </w:t>
      </w:r>
      <w:r>
        <w:rPr>
          <w:spacing w:val="3"/>
        </w:rPr>
        <w:t>to </w:t>
      </w:r>
      <w:r>
        <w:rPr/>
        <w:t>rise in the fourth quarter </w:t>
      </w:r>
      <w:r>
        <w:rPr>
          <w:spacing w:val="2"/>
        </w:rPr>
        <w:t>of</w:t>
      </w:r>
      <w:r>
        <w:rPr>
          <w:spacing w:val="13"/>
        </w:rPr>
        <w:t> </w:t>
      </w:r>
      <w:r>
        <w:rPr/>
        <w:t>1998.</w:t>
      </w:r>
    </w:p>
    <w:p>
      <w:pPr>
        <w:pStyle w:val="BodyText"/>
        <w:spacing w:before="2"/>
        <w:rPr>
          <w:sz w:val="31"/>
        </w:rPr>
      </w:pPr>
    </w:p>
    <w:p>
      <w:pPr>
        <w:pStyle w:val="BodyText"/>
        <w:tabs>
          <w:tab w:pos="1284" w:val="left" w:leader="none"/>
        </w:tabs>
        <w:spacing w:line="312" w:lineRule="auto"/>
        <w:ind w:left="564" w:right="750"/>
      </w:pPr>
      <w:r>
        <w:rPr/>
        <w:t>A41</w:t>
        <w:tab/>
        <w:t>RPIX inflation had fallen by 0.2 percentage points </w:t>
      </w:r>
      <w:r>
        <w:rPr>
          <w:spacing w:val="3"/>
        </w:rPr>
        <w:t>to </w:t>
      </w:r>
      <w:r>
        <w:rPr/>
        <w:t>2.4% in February; both RPIY </w:t>
      </w:r>
      <w:r>
        <w:rPr>
          <w:spacing w:val="-3"/>
        </w:rPr>
        <w:t>and </w:t>
      </w:r>
      <w:r>
        <w:rPr/>
        <w:t>RPI inflation had also fallen, </w:t>
      </w:r>
      <w:r>
        <w:rPr>
          <w:spacing w:val="3"/>
        </w:rPr>
        <w:t>to </w:t>
      </w:r>
      <w:r>
        <w:rPr/>
        <w:t>1.8% and 2.1% </w:t>
      </w:r>
      <w:r>
        <w:rPr>
          <w:spacing w:val="2"/>
        </w:rPr>
        <w:t>respectively. </w:t>
      </w:r>
      <w:r>
        <w:rPr/>
        <w:t>The fall had been largely due </w:t>
      </w:r>
      <w:r>
        <w:rPr>
          <w:spacing w:val="4"/>
        </w:rPr>
        <w:t>to </w:t>
      </w:r>
      <w:r>
        <w:rPr/>
        <w:t>goods</w:t>
      </w:r>
      <w:r>
        <w:rPr>
          <w:spacing w:val="-7"/>
        </w:rPr>
        <w:t> </w:t>
      </w:r>
      <w:r>
        <w:rPr/>
        <w:t>price</w:t>
      </w:r>
      <w:r>
        <w:rPr>
          <w:spacing w:val="-7"/>
        </w:rPr>
        <w:t> </w:t>
      </w:r>
      <w:r>
        <w:rPr/>
        <w:t>inflation</w:t>
      </w:r>
      <w:r>
        <w:rPr>
          <w:spacing w:val="-7"/>
        </w:rPr>
        <w:t> </w:t>
      </w:r>
      <w:r>
        <w:rPr/>
        <w:t>falling</w:t>
      </w:r>
      <w:r>
        <w:rPr>
          <w:spacing w:val="-7"/>
        </w:rPr>
        <w:t> </w:t>
      </w:r>
      <w:r>
        <w:rPr/>
        <w:t>by</w:t>
      </w:r>
      <w:r>
        <w:rPr>
          <w:spacing w:val="-7"/>
        </w:rPr>
        <w:t> </w:t>
      </w:r>
      <w:r>
        <w:rPr/>
        <w:t>0.3</w:t>
      </w:r>
      <w:r>
        <w:rPr>
          <w:spacing w:val="-7"/>
        </w:rPr>
        <w:t> </w:t>
      </w:r>
      <w:r>
        <w:rPr/>
        <w:t>percentage</w:t>
      </w:r>
      <w:r>
        <w:rPr>
          <w:spacing w:val="-7"/>
        </w:rPr>
        <w:t> </w:t>
      </w:r>
      <w:r>
        <w:rPr/>
        <w:t>points</w:t>
      </w:r>
      <w:r>
        <w:rPr>
          <w:spacing w:val="-7"/>
        </w:rPr>
        <w:t> </w:t>
      </w:r>
      <w:r>
        <w:rPr>
          <w:spacing w:val="3"/>
        </w:rPr>
        <w:t>to</w:t>
      </w:r>
      <w:r>
        <w:rPr>
          <w:spacing w:val="-2"/>
        </w:rPr>
        <w:t> </w:t>
      </w:r>
      <w:r>
        <w:rPr/>
        <w:t>1.1%.</w:t>
      </w:r>
      <w:r>
        <w:rPr>
          <w:spacing w:val="46"/>
        </w:rPr>
        <w:t> </w:t>
      </w:r>
      <w:r>
        <w:rPr/>
        <w:t>The</w:t>
      </w:r>
      <w:r>
        <w:rPr>
          <w:spacing w:val="-5"/>
        </w:rPr>
        <w:t> </w:t>
      </w:r>
      <w:r>
        <w:rPr/>
        <w:t>H</w:t>
      </w:r>
      <w:r>
        <w:rPr>
          <w:spacing w:val="-31"/>
        </w:rPr>
        <w:t> </w:t>
      </w:r>
      <w:r>
        <w:rPr>
          <w:sz w:val="20"/>
        </w:rPr>
        <w:t>ICP</w:t>
      </w:r>
      <w:r>
        <w:rPr>
          <w:spacing w:val="2"/>
          <w:sz w:val="20"/>
        </w:rPr>
        <w:t> </w:t>
      </w:r>
      <w:r>
        <w:rPr/>
        <w:t>inflation</w:t>
      </w:r>
      <w:r>
        <w:rPr>
          <w:spacing w:val="-6"/>
        </w:rPr>
        <w:t> </w:t>
      </w:r>
      <w:r>
        <w:rPr>
          <w:spacing w:val="2"/>
        </w:rPr>
        <w:t>rate</w:t>
      </w:r>
      <w:r>
        <w:rPr>
          <w:spacing w:val="-5"/>
        </w:rPr>
        <w:t> </w:t>
      </w:r>
      <w:r>
        <w:rPr/>
        <w:t>had</w:t>
      </w:r>
      <w:r>
        <w:rPr>
          <w:spacing w:val="-6"/>
        </w:rPr>
        <w:t> </w:t>
      </w:r>
      <w:r>
        <w:rPr/>
        <w:t>also fallen, by 0.1 percentage points </w:t>
      </w:r>
      <w:r>
        <w:rPr>
          <w:spacing w:val="3"/>
        </w:rPr>
        <w:t>to </w:t>
      </w:r>
      <w:r>
        <w:rPr/>
        <w:t>1.5%, for the same reasons as RPIX. Annual RPIX inflation was likely </w:t>
      </w:r>
      <w:r>
        <w:rPr>
          <w:spacing w:val="3"/>
        </w:rPr>
        <w:t>to </w:t>
      </w:r>
      <w:r>
        <w:rPr/>
        <w:t>increase temporarily in March - largely due </w:t>
      </w:r>
      <w:r>
        <w:rPr>
          <w:spacing w:val="3"/>
        </w:rPr>
        <w:t>to </w:t>
      </w:r>
      <w:r>
        <w:rPr/>
        <w:t>the difference </w:t>
      </w:r>
      <w:r>
        <w:rPr>
          <w:spacing w:val="3"/>
        </w:rPr>
        <w:t>of </w:t>
      </w:r>
      <w:r>
        <w:rPr/>
        <w:t>timing </w:t>
      </w:r>
      <w:r>
        <w:rPr>
          <w:spacing w:val="3"/>
        </w:rPr>
        <w:t>of </w:t>
      </w:r>
      <w:r>
        <w:rPr>
          <w:spacing w:val="2"/>
        </w:rPr>
        <w:t>the </w:t>
      </w:r>
      <w:r>
        <w:rPr/>
        <w:t>budgets in 1998 and 1999 - and fall in</w:t>
      </w:r>
      <w:r>
        <w:rPr>
          <w:spacing w:val="42"/>
        </w:rPr>
        <w:t> </w:t>
      </w:r>
      <w:r>
        <w:rPr>
          <w:spacing w:val="2"/>
        </w:rPr>
        <w:t>April.</w:t>
      </w:r>
    </w:p>
    <w:p>
      <w:pPr>
        <w:pStyle w:val="BodyText"/>
        <w:spacing w:before="6"/>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Reports by the Bank's</w:t>
      </w:r>
      <w:r>
        <w:rPr>
          <w:spacing w:val="9"/>
        </w:rPr>
        <w:t> </w:t>
      </w:r>
      <w:r>
        <w:rPr/>
        <w:t>Agents</w:t>
      </w:r>
    </w:p>
    <w:p>
      <w:pPr>
        <w:pStyle w:val="BodyText"/>
        <w:spacing w:before="9"/>
        <w:rPr>
          <w:b/>
          <w:sz w:val="37"/>
        </w:rPr>
      </w:pPr>
    </w:p>
    <w:p>
      <w:pPr>
        <w:pStyle w:val="BodyText"/>
        <w:tabs>
          <w:tab w:pos="1284" w:val="left" w:leader="none"/>
        </w:tabs>
        <w:spacing w:line="312" w:lineRule="auto"/>
        <w:ind w:left="564" w:right="518"/>
      </w:pPr>
      <w:r>
        <w:rPr/>
        <w:t>A42</w:t>
        <w:tab/>
        <w:t>The Agents had reported </w:t>
      </w:r>
      <w:r>
        <w:rPr>
          <w:spacing w:val="2"/>
        </w:rPr>
        <w:t>on </w:t>
      </w:r>
      <w:r>
        <w:rPr/>
        <w:t>their general discussions with contacts. Firms in the service sector had tended </w:t>
      </w:r>
      <w:r>
        <w:rPr>
          <w:spacing w:val="2"/>
        </w:rPr>
        <w:t>to </w:t>
      </w:r>
      <w:r>
        <w:rPr/>
        <w:t>report slower growth. But conditions had remained fairly positive overall, particularly in leisure, finance and business services. Growth in the </w:t>
      </w:r>
      <w:r>
        <w:rPr>
          <w:spacing w:val="2"/>
        </w:rPr>
        <w:t>retail sector </w:t>
      </w:r>
      <w:r>
        <w:rPr/>
        <w:t>had continued </w:t>
      </w:r>
      <w:r>
        <w:rPr>
          <w:spacing w:val="4"/>
        </w:rPr>
        <w:t>to </w:t>
      </w:r>
      <w:r>
        <w:rPr/>
        <w:t>be </w:t>
      </w:r>
      <w:r>
        <w:rPr>
          <w:spacing w:val="2"/>
        </w:rPr>
        <w:t>relatively </w:t>
      </w:r>
      <w:r>
        <w:rPr/>
        <w:t>weak, though there had been an increasing polarisation in performance between stores reporting quite strong growth and those reporting no growth </w:t>
      </w:r>
      <w:r>
        <w:rPr>
          <w:spacing w:val="2"/>
        </w:rPr>
        <w:t>or </w:t>
      </w:r>
      <w:r>
        <w:rPr/>
        <w:t>even falling sales volumes. Service firms with an exposure </w:t>
      </w:r>
      <w:r>
        <w:rPr>
          <w:spacing w:val="3"/>
        </w:rPr>
        <w:t>to </w:t>
      </w:r>
      <w:r>
        <w:rPr/>
        <w:t>the manufacturing </w:t>
      </w:r>
      <w:r>
        <w:rPr>
          <w:spacing w:val="2"/>
        </w:rPr>
        <w:t>sector </w:t>
      </w:r>
      <w:r>
        <w:rPr/>
        <w:t>- such as road hauliers - had experienced adverse trading conditions. But Agents had felt that the rate </w:t>
      </w:r>
      <w:r>
        <w:rPr>
          <w:spacing w:val="2"/>
        </w:rPr>
        <w:t>of </w:t>
      </w:r>
      <w:r>
        <w:rPr/>
        <w:t>deterioration in manufacturing activity may have eased. Stock corrections that had started in 1998 Q4 had largely been completed. But competition in the domestic market from imports had been increasing, particularly from </w:t>
      </w:r>
      <w:r>
        <w:rPr>
          <w:spacing w:val="2"/>
        </w:rPr>
        <w:t>European-based </w:t>
      </w:r>
      <w:r>
        <w:rPr/>
        <w:t>firms as </w:t>
      </w:r>
      <w:r>
        <w:rPr>
          <w:spacing w:val="2"/>
        </w:rPr>
        <w:t>European </w:t>
      </w:r>
      <w:r>
        <w:rPr/>
        <w:t>markets had remained relatively weak. </w:t>
      </w:r>
      <w:r>
        <w:rPr>
          <w:spacing w:val="2"/>
        </w:rPr>
        <w:t>The </w:t>
      </w:r>
      <w:r>
        <w:rPr/>
        <w:t>exchange rate had remained a concern for UK exporters and was considered an </w:t>
      </w:r>
      <w:r>
        <w:rPr>
          <w:spacing w:val="4"/>
        </w:rPr>
        <w:t>obstacle </w:t>
      </w:r>
      <w:r>
        <w:rPr>
          <w:spacing w:val="3"/>
        </w:rPr>
        <w:t>to </w:t>
      </w:r>
      <w:r>
        <w:rPr/>
        <w:t>recovery. Demand from the United States had continued </w:t>
      </w:r>
      <w:r>
        <w:rPr>
          <w:spacing w:val="2"/>
        </w:rPr>
        <w:t>to </w:t>
      </w:r>
      <w:r>
        <w:rPr/>
        <w:t>be strong and some East Asian markets had seen a rise in trade</w:t>
      </w:r>
      <w:r>
        <w:rPr>
          <w:spacing w:val="25"/>
        </w:rPr>
        <w:t> </w:t>
      </w:r>
      <w:r>
        <w:rPr/>
        <w:t>enquiries.</w:t>
      </w:r>
    </w:p>
    <w:p>
      <w:pPr>
        <w:pStyle w:val="BodyText"/>
        <w:spacing w:before="5"/>
        <w:rPr>
          <w:sz w:val="31"/>
        </w:rPr>
      </w:pPr>
    </w:p>
    <w:p>
      <w:pPr>
        <w:pStyle w:val="BodyText"/>
        <w:tabs>
          <w:tab w:pos="1284" w:val="left" w:leader="none"/>
        </w:tabs>
        <w:spacing w:line="312" w:lineRule="auto"/>
        <w:ind w:left="564" w:right="520"/>
      </w:pPr>
      <w:r>
        <w:rPr/>
        <w:t>A43</w:t>
        <w:tab/>
        <w:t>Construction sector activity had remained buoyant and this was expected </w:t>
      </w:r>
      <w:r>
        <w:rPr>
          <w:spacing w:val="3"/>
        </w:rPr>
        <w:t>to </w:t>
      </w:r>
      <w:r>
        <w:rPr/>
        <w:t>continue into next year. Housing market activity had shown signs </w:t>
      </w:r>
      <w:r>
        <w:rPr>
          <w:spacing w:val="2"/>
        </w:rPr>
        <w:t>of </w:t>
      </w:r>
      <w:r>
        <w:rPr/>
        <w:t>improvement although it had remained fairly subdued in many areas. But there was less construction work available beyond mid -2000. Firms had suggested that public sector work was likely </w:t>
      </w:r>
      <w:r>
        <w:rPr>
          <w:spacing w:val="2"/>
        </w:rPr>
        <w:t>to </w:t>
      </w:r>
      <w:r>
        <w:rPr/>
        <w:t>be an important factor next year. The </w:t>
      </w:r>
      <w:r>
        <w:rPr>
          <w:spacing w:val="4"/>
        </w:rPr>
        <w:t>outlook</w:t>
      </w:r>
      <w:r>
        <w:rPr>
          <w:spacing w:val="-3"/>
        </w:rPr>
        <w:t> </w:t>
      </w:r>
      <w:r>
        <w:rPr/>
        <w:t>for</w:t>
      </w:r>
      <w:r>
        <w:rPr>
          <w:spacing w:val="-7"/>
        </w:rPr>
        <w:t> </w:t>
      </w:r>
      <w:r>
        <w:rPr/>
        <w:t>investment</w:t>
      </w:r>
      <w:r>
        <w:rPr>
          <w:spacing w:val="-2"/>
        </w:rPr>
        <w:t> </w:t>
      </w:r>
      <w:r>
        <w:rPr/>
        <w:t>more</w:t>
      </w:r>
      <w:r>
        <w:rPr>
          <w:spacing w:val="-7"/>
        </w:rPr>
        <w:t> </w:t>
      </w:r>
      <w:r>
        <w:rPr/>
        <w:t>generally</w:t>
      </w:r>
      <w:r>
        <w:rPr>
          <w:spacing w:val="-7"/>
        </w:rPr>
        <w:t> </w:t>
      </w:r>
      <w:r>
        <w:rPr/>
        <w:t>had</w:t>
      </w:r>
      <w:r>
        <w:rPr>
          <w:spacing w:val="-7"/>
        </w:rPr>
        <w:t> </w:t>
      </w:r>
      <w:r>
        <w:rPr/>
        <w:t>remained</w:t>
      </w:r>
      <w:r>
        <w:rPr>
          <w:spacing w:val="-5"/>
        </w:rPr>
        <w:t> </w:t>
      </w:r>
      <w:r>
        <w:rPr/>
        <w:t>positive,</w:t>
      </w:r>
      <w:r>
        <w:rPr>
          <w:spacing w:val="-7"/>
        </w:rPr>
        <w:t> </w:t>
      </w:r>
      <w:r>
        <w:rPr/>
        <w:t>though</w:t>
      </w:r>
      <w:r>
        <w:rPr>
          <w:spacing w:val="-7"/>
        </w:rPr>
        <w:t> </w:t>
      </w:r>
      <w:r>
        <w:rPr/>
        <w:t>still</w:t>
      </w:r>
      <w:r>
        <w:rPr>
          <w:spacing w:val="-7"/>
        </w:rPr>
        <w:t> </w:t>
      </w:r>
      <w:r>
        <w:rPr/>
        <w:t>cautious,</w:t>
      </w:r>
      <w:r>
        <w:rPr>
          <w:spacing w:val="-7"/>
        </w:rPr>
        <w:t> </w:t>
      </w:r>
      <w:r>
        <w:rPr/>
        <w:t>and</w:t>
      </w:r>
      <w:r>
        <w:rPr>
          <w:spacing w:val="-6"/>
        </w:rPr>
        <w:t> </w:t>
      </w:r>
      <w:r>
        <w:rPr/>
        <w:t>the</w:t>
      </w:r>
      <w:r>
        <w:rPr>
          <w:spacing w:val="-7"/>
        </w:rPr>
        <w:t> </w:t>
      </w:r>
      <w:r>
        <w:rPr/>
        <w:t>focus </w:t>
      </w:r>
      <w:r>
        <w:rPr>
          <w:spacing w:val="3"/>
        </w:rPr>
        <w:t>of </w:t>
      </w:r>
      <w:r>
        <w:rPr/>
        <w:t>spending had continued </w:t>
      </w:r>
      <w:r>
        <w:rPr>
          <w:spacing w:val="3"/>
        </w:rPr>
        <w:t>to </w:t>
      </w:r>
      <w:r>
        <w:rPr/>
        <w:t>be </w:t>
      </w:r>
      <w:r>
        <w:rPr>
          <w:spacing w:val="3"/>
        </w:rPr>
        <w:t>on </w:t>
      </w:r>
      <w:r>
        <w:rPr/>
        <w:t>improved efficiency and product development. </w:t>
      </w:r>
      <w:r>
        <w:rPr>
          <w:spacing w:val="2"/>
        </w:rPr>
        <w:t>Investment </w:t>
      </w:r>
      <w:r>
        <w:rPr/>
        <w:t>in some sectors - such as </w:t>
      </w:r>
      <w:r>
        <w:rPr>
          <w:spacing w:val="3"/>
        </w:rPr>
        <w:t>oil </w:t>
      </w:r>
      <w:r>
        <w:rPr/>
        <w:t>and steel - had been reduced </w:t>
      </w:r>
      <w:r>
        <w:rPr>
          <w:spacing w:val="2"/>
        </w:rPr>
        <w:t>or </w:t>
      </w:r>
      <w:r>
        <w:rPr/>
        <w:t>moved</w:t>
      </w:r>
      <w:r>
        <w:rPr>
          <w:spacing w:val="19"/>
        </w:rPr>
        <w:t> </w:t>
      </w:r>
      <w:r>
        <w:rPr/>
        <w:t>overseas.</w:t>
      </w:r>
    </w:p>
    <w:p>
      <w:pPr>
        <w:pStyle w:val="BodyText"/>
        <w:spacing w:before="2"/>
        <w:rPr>
          <w:sz w:val="31"/>
        </w:rPr>
      </w:pPr>
    </w:p>
    <w:p>
      <w:pPr>
        <w:pStyle w:val="BodyText"/>
        <w:tabs>
          <w:tab w:pos="1284" w:val="left" w:leader="none"/>
        </w:tabs>
        <w:spacing w:line="312" w:lineRule="auto" w:before="1"/>
        <w:ind w:left="564" w:right="519"/>
      </w:pPr>
      <w:r>
        <w:rPr/>
        <w:t>A44</w:t>
        <w:tab/>
        <w:t>The service sector had continued </w:t>
      </w:r>
      <w:r>
        <w:rPr>
          <w:spacing w:val="2"/>
        </w:rPr>
        <w:t>to </w:t>
      </w:r>
      <w:r>
        <w:rPr/>
        <w:t>be the main provider </w:t>
      </w:r>
      <w:r>
        <w:rPr>
          <w:spacing w:val="2"/>
        </w:rPr>
        <w:t>of </w:t>
      </w:r>
      <w:r>
        <w:rPr/>
        <w:t>new jobs, though tighter </w:t>
      </w:r>
      <w:r>
        <w:rPr>
          <w:spacing w:val="2"/>
        </w:rPr>
        <w:t>control </w:t>
      </w:r>
      <w:r>
        <w:rPr>
          <w:spacing w:val="3"/>
        </w:rPr>
        <w:t>on </w:t>
      </w:r>
      <w:r>
        <w:rPr/>
        <w:t>numbers and increased flexibility had been evident. More firms had been introducing annualised hours contracts and making more use </w:t>
      </w:r>
      <w:r>
        <w:rPr>
          <w:spacing w:val="2"/>
        </w:rPr>
        <w:t>of </w:t>
      </w:r>
      <w:r>
        <w:rPr>
          <w:spacing w:val="4"/>
        </w:rPr>
        <w:t>part-time</w:t>
      </w:r>
      <w:r>
        <w:rPr>
          <w:spacing w:val="-43"/>
        </w:rPr>
        <w:t> </w:t>
      </w:r>
      <w:r>
        <w:rPr/>
        <w:t>and temporary contract staff. There</w:t>
      </w:r>
    </w:p>
    <w:p>
      <w:pPr>
        <w:spacing w:after="0" w:line="312" w:lineRule="auto"/>
        <w:sectPr>
          <w:pgSz w:w="11900" w:h="16840"/>
          <w:pgMar w:header="719" w:footer="0" w:top="1160" w:bottom="280" w:left="880" w:right="580"/>
        </w:sectPr>
      </w:pPr>
    </w:p>
    <w:p>
      <w:pPr>
        <w:pStyle w:val="BodyText"/>
        <w:spacing w:line="312" w:lineRule="auto" w:before="80"/>
        <w:ind w:left="564" w:right="474"/>
      </w:pPr>
      <w:r>
        <w:rPr/>
        <w:t>had been evidence that some firms were reluctant to shed staff as demand slowed because of likely recruitment difficulties in any upturn. Natural wastage had been employed to reduce staff numbers by small amounts. Pay awards had moderated in both the manufacturing and service sectors, more so in manufacturing where there had also been a rise in the number of zero or deferred awards.</w:t>
      </w:r>
    </w:p>
    <w:p>
      <w:pPr>
        <w:pStyle w:val="BodyText"/>
        <w:spacing w:before="4"/>
        <w:rPr>
          <w:sz w:val="31"/>
        </w:rPr>
      </w:pPr>
    </w:p>
    <w:p>
      <w:pPr>
        <w:pStyle w:val="Heading2"/>
        <w:numPr>
          <w:ilvl w:val="0"/>
          <w:numId w:val="2"/>
        </w:numPr>
        <w:tabs>
          <w:tab w:pos="1284" w:val="left" w:leader="none"/>
          <w:tab w:pos="1286" w:val="left" w:leader="none"/>
        </w:tabs>
        <w:spacing w:line="240" w:lineRule="auto" w:before="0" w:after="0"/>
        <w:ind w:left="1285" w:right="0" w:hanging="722"/>
        <w:jc w:val="left"/>
      </w:pPr>
      <w:r>
        <w:rPr/>
        <w:t>Market</w:t>
      </w:r>
      <w:r>
        <w:rPr>
          <w:spacing w:val="1"/>
        </w:rPr>
        <w:t> </w:t>
      </w:r>
      <w:r>
        <w:rPr/>
        <w:t>intelligence</w:t>
      </w:r>
    </w:p>
    <w:p>
      <w:pPr>
        <w:pStyle w:val="BodyText"/>
        <w:spacing w:before="2"/>
        <w:rPr>
          <w:b/>
          <w:sz w:val="38"/>
        </w:rPr>
      </w:pPr>
    </w:p>
    <w:p>
      <w:pPr>
        <w:pStyle w:val="BodyText"/>
        <w:tabs>
          <w:tab w:pos="1284" w:val="left" w:leader="none"/>
        </w:tabs>
        <w:spacing w:line="312" w:lineRule="auto" w:before="1"/>
        <w:ind w:left="564" w:right="490"/>
      </w:pPr>
      <w:r>
        <w:rPr/>
        <w:t>A45</w:t>
        <w:tab/>
        <w:t>There had been a broad market consensus that interest rates would be lowered in April, based </w:t>
      </w:r>
      <w:r>
        <w:rPr>
          <w:spacing w:val="2"/>
        </w:rPr>
        <w:t>on </w:t>
      </w:r>
      <w:r>
        <w:rPr/>
        <w:t>the improving inflation picture, with some also expecting an ECB rate cut. Survey and asset</w:t>
      </w:r>
      <w:r>
        <w:rPr>
          <w:spacing w:val="-1"/>
        </w:rPr>
        <w:t> </w:t>
      </w:r>
      <w:r>
        <w:rPr/>
        <w:t>price</w:t>
      </w:r>
      <w:r>
        <w:rPr>
          <w:spacing w:val="-5"/>
        </w:rPr>
        <w:t> </w:t>
      </w:r>
      <w:r>
        <w:rPr/>
        <w:t>evidence</w:t>
      </w:r>
      <w:r>
        <w:rPr>
          <w:spacing w:val="-5"/>
        </w:rPr>
        <w:t> </w:t>
      </w:r>
      <w:r>
        <w:rPr/>
        <w:t>had</w:t>
      </w:r>
      <w:r>
        <w:rPr>
          <w:spacing w:val="-6"/>
        </w:rPr>
        <w:t> </w:t>
      </w:r>
      <w:r>
        <w:rPr/>
        <w:t>suggested</w:t>
      </w:r>
      <w:r>
        <w:rPr>
          <w:spacing w:val="-5"/>
        </w:rPr>
        <w:t> </w:t>
      </w:r>
      <w:r>
        <w:rPr/>
        <w:t>a</w:t>
      </w:r>
      <w:r>
        <w:rPr>
          <w:spacing w:val="-5"/>
        </w:rPr>
        <w:t> </w:t>
      </w:r>
      <w:r>
        <w:rPr/>
        <w:t>wider</w:t>
      </w:r>
      <w:r>
        <w:rPr>
          <w:spacing w:val="-6"/>
        </w:rPr>
        <w:t> </w:t>
      </w:r>
      <w:r>
        <w:rPr/>
        <w:t>divergence</w:t>
      </w:r>
      <w:r>
        <w:rPr>
          <w:spacing w:val="-5"/>
        </w:rPr>
        <w:t> </w:t>
      </w:r>
      <w:r>
        <w:rPr>
          <w:spacing w:val="2"/>
        </w:rPr>
        <w:t>of</w:t>
      </w:r>
      <w:r>
        <w:rPr>
          <w:spacing w:val="-1"/>
        </w:rPr>
        <w:t> </w:t>
      </w:r>
      <w:r>
        <w:rPr/>
        <w:t>views</w:t>
      </w:r>
      <w:r>
        <w:rPr>
          <w:spacing w:val="-5"/>
        </w:rPr>
        <w:t> </w:t>
      </w:r>
      <w:r>
        <w:rPr>
          <w:spacing w:val="2"/>
        </w:rPr>
        <w:t>on</w:t>
      </w:r>
      <w:r>
        <w:rPr>
          <w:spacing w:val="-1"/>
        </w:rPr>
        <w:t> </w:t>
      </w:r>
      <w:r>
        <w:rPr/>
        <w:t>UK</w:t>
      </w:r>
      <w:r>
        <w:rPr>
          <w:spacing w:val="-6"/>
        </w:rPr>
        <w:t> </w:t>
      </w:r>
      <w:r>
        <w:rPr/>
        <w:t>rates</w:t>
      </w:r>
      <w:r>
        <w:rPr>
          <w:spacing w:val="-3"/>
        </w:rPr>
        <w:t> </w:t>
      </w:r>
      <w:r>
        <w:rPr>
          <w:spacing w:val="3"/>
        </w:rPr>
        <w:t>over</w:t>
      </w:r>
      <w:r>
        <w:rPr>
          <w:spacing w:val="-1"/>
        </w:rPr>
        <w:t> </w:t>
      </w:r>
      <w:r>
        <w:rPr/>
        <w:t>the</w:t>
      </w:r>
      <w:r>
        <w:rPr>
          <w:spacing w:val="-6"/>
        </w:rPr>
        <w:t> </w:t>
      </w:r>
      <w:r>
        <w:rPr/>
        <w:t>next year</w:t>
      </w:r>
      <w:r>
        <w:rPr>
          <w:spacing w:val="-5"/>
        </w:rPr>
        <w:t> </w:t>
      </w:r>
      <w:r>
        <w:rPr>
          <w:spacing w:val="3"/>
        </w:rPr>
        <w:t>or </w:t>
      </w:r>
      <w:r>
        <w:rPr/>
        <w:t>two, based on alternative forecasts for growth and inflation up </w:t>
      </w:r>
      <w:r>
        <w:rPr>
          <w:spacing w:val="2"/>
        </w:rPr>
        <w:t>to </w:t>
      </w:r>
      <w:r>
        <w:rPr/>
        <w:t>2000. Long-term rates had fallen slightly </w:t>
      </w:r>
      <w:r>
        <w:rPr>
          <w:spacing w:val="3"/>
        </w:rPr>
        <w:t>over </w:t>
      </w:r>
      <w:r>
        <w:rPr/>
        <w:t>the past month. Sterling had appreciated during 1999 versus the euro, and had appeared little affected by domestic factors in the month. Some </w:t>
      </w:r>
      <w:r>
        <w:rPr>
          <w:spacing w:val="2"/>
        </w:rPr>
        <w:t>of </w:t>
      </w:r>
      <w:r>
        <w:rPr/>
        <w:t>the factors</w:t>
      </w:r>
      <w:r>
        <w:rPr>
          <w:spacing w:val="-10"/>
        </w:rPr>
        <w:t> </w:t>
      </w:r>
      <w:r>
        <w:rPr/>
        <w:t>influencing</w:t>
      </w:r>
    </w:p>
    <w:p>
      <w:pPr>
        <w:pStyle w:val="BodyText"/>
        <w:spacing w:line="312" w:lineRule="auto"/>
        <w:ind w:left="564" w:right="474"/>
      </w:pPr>
      <w:r>
        <w:rPr/>
        <w:t>sterling - such as demand related to merger and acquisition business - were thought to have been temporary, and there had been some evidence that the market saw downside risks over the next year.</w:t>
      </w:r>
    </w:p>
    <w:sectPr>
      <w:pgSz w:w="11900" w:h="16840"/>
      <w:pgMar w:header="719" w:footer="0" w:top="1160" w:bottom="280" w:left="8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2.919983pt;margin-top:36.146641pt;width:12pt;height:15.3pt;mso-position-horizontal-relative:page;mso-position-vertical-relative:page;z-index:-2520217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59998pt;margin-top:34.94664pt;width:18pt;height:15.3pt;mso-position-horizontal-relative:page;mso-position-vertical-relative:page;z-index:-252020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84" w:hanging="720"/>
        <w:jc w:val="left"/>
      </w:pPr>
      <w:rPr>
        <w:rFonts w:hint="default" w:ascii="Times New Roman" w:hAnsi="Times New Roman" w:eastAsia="Times New Roman" w:cs="Times New Roman"/>
        <w:b/>
        <w:bCs/>
        <w:w w:val="98"/>
        <w:sz w:val="24"/>
        <w:szCs w:val="24"/>
      </w:rPr>
    </w:lvl>
    <w:lvl w:ilvl="1">
      <w:start w:val="0"/>
      <w:numFmt w:val="bullet"/>
      <w:lvlText w:val="•"/>
      <w:lvlJc w:val="left"/>
      <w:pPr>
        <w:ind w:left="2196" w:hanging="720"/>
      </w:pPr>
      <w:rPr>
        <w:rFonts w:hint="default"/>
      </w:rPr>
    </w:lvl>
    <w:lvl w:ilvl="2">
      <w:start w:val="0"/>
      <w:numFmt w:val="bullet"/>
      <w:lvlText w:val="•"/>
      <w:lvlJc w:val="left"/>
      <w:pPr>
        <w:ind w:left="3112" w:hanging="720"/>
      </w:pPr>
      <w:rPr>
        <w:rFonts w:hint="default"/>
      </w:rPr>
    </w:lvl>
    <w:lvl w:ilvl="3">
      <w:start w:val="0"/>
      <w:numFmt w:val="bullet"/>
      <w:lvlText w:val="•"/>
      <w:lvlJc w:val="left"/>
      <w:pPr>
        <w:ind w:left="4028" w:hanging="720"/>
      </w:pPr>
      <w:rPr>
        <w:rFonts w:hint="default"/>
      </w:rPr>
    </w:lvl>
    <w:lvl w:ilvl="4">
      <w:start w:val="0"/>
      <w:numFmt w:val="bullet"/>
      <w:lvlText w:val="•"/>
      <w:lvlJc w:val="left"/>
      <w:pPr>
        <w:ind w:left="4944" w:hanging="720"/>
      </w:pPr>
      <w:rPr>
        <w:rFonts w:hint="default"/>
      </w:rPr>
    </w:lvl>
    <w:lvl w:ilvl="5">
      <w:start w:val="0"/>
      <w:numFmt w:val="bullet"/>
      <w:lvlText w:val="•"/>
      <w:lvlJc w:val="left"/>
      <w:pPr>
        <w:ind w:left="5860" w:hanging="720"/>
      </w:pPr>
      <w:rPr>
        <w:rFonts w:hint="default"/>
      </w:rPr>
    </w:lvl>
    <w:lvl w:ilvl="6">
      <w:start w:val="0"/>
      <w:numFmt w:val="bullet"/>
      <w:lvlText w:val="•"/>
      <w:lvlJc w:val="left"/>
      <w:pPr>
        <w:ind w:left="6776" w:hanging="720"/>
      </w:pPr>
      <w:rPr>
        <w:rFonts w:hint="default"/>
      </w:rPr>
    </w:lvl>
    <w:lvl w:ilvl="7">
      <w:start w:val="0"/>
      <w:numFmt w:val="bullet"/>
      <w:lvlText w:val="•"/>
      <w:lvlJc w:val="left"/>
      <w:pPr>
        <w:ind w:left="7692" w:hanging="720"/>
      </w:pPr>
      <w:rPr>
        <w:rFonts w:hint="default"/>
      </w:rPr>
    </w:lvl>
    <w:lvl w:ilvl="8">
      <w:start w:val="0"/>
      <w:numFmt w:val="bullet"/>
      <w:lvlText w:val="•"/>
      <w:lvlJc w:val="left"/>
      <w:pPr>
        <w:ind w:left="8608" w:hanging="720"/>
      </w:pPr>
      <w:rPr>
        <w:rFonts w:hint="default"/>
      </w:rPr>
    </w:lvl>
  </w:abstractNum>
  <w:abstractNum w:abstractNumId="0">
    <w:multiLevelType w:val="hybridMultilevel"/>
    <w:lvl w:ilvl="0">
      <w:start w:val="1"/>
      <w:numFmt w:val="decimal"/>
      <w:lvlText w:val="%1"/>
      <w:lvlJc w:val="left"/>
      <w:pPr>
        <w:ind w:left="56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48" w:hanging="360"/>
      </w:pPr>
      <w:rPr>
        <w:rFonts w:hint="default"/>
      </w:rPr>
    </w:lvl>
    <w:lvl w:ilvl="2">
      <w:start w:val="0"/>
      <w:numFmt w:val="bullet"/>
      <w:lvlText w:val="•"/>
      <w:lvlJc w:val="left"/>
      <w:pPr>
        <w:ind w:left="2536" w:hanging="360"/>
      </w:pPr>
      <w:rPr>
        <w:rFonts w:hint="default"/>
      </w:rPr>
    </w:lvl>
    <w:lvl w:ilvl="3">
      <w:start w:val="0"/>
      <w:numFmt w:val="bullet"/>
      <w:lvlText w:val="•"/>
      <w:lvlJc w:val="left"/>
      <w:pPr>
        <w:ind w:left="3524" w:hanging="360"/>
      </w:pPr>
      <w:rPr>
        <w:rFonts w:hint="default"/>
      </w:rPr>
    </w:lvl>
    <w:lvl w:ilvl="4">
      <w:start w:val="0"/>
      <w:numFmt w:val="bullet"/>
      <w:lvlText w:val="•"/>
      <w:lvlJc w:val="left"/>
      <w:pPr>
        <w:ind w:left="4512" w:hanging="360"/>
      </w:pPr>
      <w:rPr>
        <w:rFonts w:hint="default"/>
      </w:rPr>
    </w:lvl>
    <w:lvl w:ilvl="5">
      <w:start w:val="0"/>
      <w:numFmt w:val="bullet"/>
      <w:lvlText w:val="•"/>
      <w:lvlJc w:val="left"/>
      <w:pPr>
        <w:ind w:left="550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476" w:hanging="360"/>
      </w:pPr>
      <w:rPr>
        <w:rFonts w:hint="default"/>
      </w:rPr>
    </w:lvl>
    <w:lvl w:ilvl="8">
      <w:start w:val="0"/>
      <w:numFmt w:val="bullet"/>
      <w:lvlText w:val="•"/>
      <w:lvlJc w:val="left"/>
      <w:pPr>
        <w:ind w:left="846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4"/>
      <w:ind w:left="56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6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2020-06-02T20:51:24Z</dcterms:created>
  <dcterms:modified xsi:type="dcterms:W3CDTF">2020-06-02T20:51:24Z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1999-04-15T00:00:00Z</vt:filetime>
  </property>
  <property fmtid="{D5CDD505-2E9C-101B-9397-08002B2CF9AE}" pid="3" name="LastSaved">
    <vt:filetime>2020-06-02T00:00:00Z</vt:filetime>
  </property>
</Properties>
</file>