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21 July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79" w:right="3091" w:firstLine="0"/>
        <w:jc w:val="center"/>
        <w:rPr>
          <w:rFonts w:ascii="Arial"/>
          <w:b/>
          <w:sz w:val="48"/>
        </w:rPr>
      </w:pPr>
      <w:r>
        <w:rPr>
          <w:rFonts w:ascii="Arial"/>
          <w:b/>
          <w:color w:val="231F20"/>
          <w:sz w:val="48"/>
        </w:rPr>
        <w:t>7 and 8 July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7 and 8 July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.bankofengland.co.uk/mpc9907.pdf).</w:t>
        </w:r>
      </w:hyperlink>
    </w:p>
    <w:p>
      <w:pPr>
        <w:pStyle w:val="BodyText"/>
        <w:spacing w:before="2"/>
        <w:rPr>
          <w:rFonts w:ascii="Arial"/>
          <w:sz w:val="26"/>
        </w:rPr>
      </w:pPr>
    </w:p>
    <w:p>
      <w:pPr>
        <w:spacing w:line="288" w:lineRule="auto" w:before="0"/>
        <w:ind w:left="100" w:right="20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4 and 5</w:t>
      </w:r>
      <w:r>
        <w:rPr>
          <w:rFonts w:ascii="Arial"/>
          <w:color w:val="231F20"/>
          <w:spacing w:val="21"/>
          <w:sz w:val="26"/>
        </w:rPr>
        <w:t> </w:t>
      </w:r>
      <w:r>
        <w:rPr>
          <w:rFonts w:ascii="Arial"/>
          <w:color w:val="231F20"/>
          <w:sz w:val="26"/>
        </w:rPr>
        <w:t>August will be published on</w:t>
      </w:r>
    </w:p>
    <w:p>
      <w:pPr>
        <w:spacing w:before="8"/>
        <w:ind w:left="100" w:right="0" w:firstLine="0"/>
        <w:jc w:val="left"/>
        <w:rPr>
          <w:rFonts w:ascii="Arial"/>
          <w:sz w:val="26"/>
        </w:rPr>
      </w:pPr>
      <w:r>
        <w:rPr>
          <w:rFonts w:ascii="Arial"/>
          <w:color w:val="231F20"/>
          <w:sz w:val="26"/>
        </w:rPr>
        <w:t>18 August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00" w:h="16840"/>
          <w:pgMar w:top="1340" w:bottom="280" w:left="880" w:right="860"/>
        </w:sectPr>
      </w:pPr>
    </w:p>
    <w:p>
      <w:pPr>
        <w:pStyle w:val="Heading1"/>
        <w:spacing w:before="64"/>
        <w:ind w:left="925" w:right="1452"/>
      </w:pPr>
      <w:r>
        <w:rPr/>
        <w:t>MINUTES OF THE MONETARY POLICY COMMITTEE MEETING ON 7-8 JULY 1999</w:t>
      </w:r>
    </w:p>
    <w:p>
      <w:pPr>
        <w:pStyle w:val="BodyText"/>
        <w:rPr>
          <w:b/>
          <w:sz w:val="30"/>
        </w:rPr>
      </w:pPr>
    </w:p>
    <w:p>
      <w:pPr>
        <w:pStyle w:val="ListParagraph"/>
        <w:numPr>
          <w:ilvl w:val="0"/>
          <w:numId w:val="1"/>
        </w:numPr>
        <w:tabs>
          <w:tab w:pos="1284" w:val="left" w:leader="none"/>
          <w:tab w:pos="1285" w:val="left" w:leader="none"/>
        </w:tabs>
        <w:spacing w:line="360" w:lineRule="auto" w:before="200" w:after="0"/>
        <w:ind w:left="924" w:right="1182" w:firstLine="0"/>
        <w:jc w:val="left"/>
        <w:rPr>
          <w:sz w:val="24"/>
        </w:rPr>
      </w:pPr>
      <w:r>
        <w:rPr>
          <w:sz w:val="24"/>
        </w:rPr>
        <w:t>Before turning </w:t>
      </w:r>
      <w:r>
        <w:rPr>
          <w:spacing w:val="3"/>
          <w:sz w:val="24"/>
        </w:rPr>
        <w:t>to </w:t>
      </w:r>
      <w:r>
        <w:rPr>
          <w:sz w:val="24"/>
        </w:rPr>
        <w:t>its immediate policy decision, the Committee discussed </w:t>
      </w:r>
      <w:r>
        <w:rPr>
          <w:spacing w:val="2"/>
          <w:sz w:val="24"/>
        </w:rPr>
        <w:t>the </w:t>
      </w:r>
      <w:r>
        <w:rPr>
          <w:sz w:val="24"/>
        </w:rPr>
        <w:t>world economy; monetary and financial conditions; demand and </w:t>
      </w:r>
      <w:r>
        <w:rPr>
          <w:spacing w:val="5"/>
          <w:sz w:val="24"/>
        </w:rPr>
        <w:t>output; </w:t>
      </w:r>
      <w:r>
        <w:rPr>
          <w:sz w:val="24"/>
        </w:rPr>
        <w:t>the labour market; prices and costs; and </w:t>
      </w:r>
      <w:r>
        <w:rPr>
          <w:spacing w:val="4"/>
          <w:sz w:val="24"/>
        </w:rPr>
        <w:t>other </w:t>
      </w:r>
      <w:r>
        <w:rPr>
          <w:sz w:val="24"/>
        </w:rPr>
        <w:t>issues relevant </w:t>
      </w:r>
      <w:r>
        <w:rPr>
          <w:spacing w:val="3"/>
          <w:sz w:val="24"/>
        </w:rPr>
        <w:t>to </w:t>
      </w:r>
      <w:r>
        <w:rPr>
          <w:sz w:val="24"/>
        </w:rPr>
        <w:t>its</w:t>
      </w:r>
      <w:r>
        <w:rPr>
          <w:spacing w:val="-4"/>
          <w:sz w:val="24"/>
        </w:rPr>
        <w:t> </w:t>
      </w:r>
      <w:r>
        <w:rPr>
          <w:sz w:val="24"/>
        </w:rPr>
        <w:t>decision.</w:t>
      </w:r>
    </w:p>
    <w:p>
      <w:pPr>
        <w:pStyle w:val="BodyText"/>
        <w:spacing w:before="10"/>
        <w:rPr>
          <w:sz w:val="31"/>
        </w:rPr>
      </w:pPr>
    </w:p>
    <w:p>
      <w:pPr>
        <w:pStyle w:val="Heading2"/>
      </w:pPr>
      <w:r>
        <w:rPr/>
        <w:t>The world economy</w:t>
      </w:r>
    </w:p>
    <w:p>
      <w:pPr>
        <w:pStyle w:val="BodyText"/>
        <w:rPr>
          <w:b/>
          <w:sz w:val="26"/>
        </w:rPr>
      </w:pPr>
    </w:p>
    <w:p>
      <w:pPr>
        <w:pStyle w:val="ListParagraph"/>
        <w:numPr>
          <w:ilvl w:val="0"/>
          <w:numId w:val="1"/>
        </w:numPr>
        <w:tabs>
          <w:tab w:pos="1284" w:val="left" w:leader="none"/>
          <w:tab w:pos="1285" w:val="left" w:leader="none"/>
        </w:tabs>
        <w:spacing w:line="362" w:lineRule="auto" w:before="193" w:after="0"/>
        <w:ind w:left="925" w:right="1253" w:hanging="1"/>
        <w:jc w:val="left"/>
        <w:rPr>
          <w:sz w:val="24"/>
        </w:rPr>
      </w:pPr>
      <w:r>
        <w:rPr>
          <w:sz w:val="24"/>
        </w:rPr>
        <w:t>The</w:t>
      </w:r>
      <w:r>
        <w:rPr>
          <w:spacing w:val="-8"/>
          <w:sz w:val="24"/>
        </w:rPr>
        <w:t> </w:t>
      </w:r>
      <w:r>
        <w:rPr>
          <w:sz w:val="24"/>
        </w:rPr>
        <w:t>Committee</w:t>
      </w:r>
      <w:r>
        <w:rPr>
          <w:spacing w:val="-9"/>
          <w:sz w:val="24"/>
        </w:rPr>
        <w:t> </w:t>
      </w:r>
      <w:r>
        <w:rPr>
          <w:sz w:val="24"/>
        </w:rPr>
        <w:t>considered</w:t>
      </w:r>
      <w:r>
        <w:rPr>
          <w:spacing w:val="-9"/>
          <w:sz w:val="24"/>
        </w:rPr>
        <w:t> </w:t>
      </w:r>
      <w:r>
        <w:rPr>
          <w:sz w:val="24"/>
        </w:rPr>
        <w:t>whether</w:t>
      </w:r>
      <w:r>
        <w:rPr>
          <w:spacing w:val="-10"/>
          <w:sz w:val="24"/>
        </w:rPr>
        <w:t> </w:t>
      </w:r>
      <w:r>
        <w:rPr>
          <w:sz w:val="24"/>
        </w:rPr>
        <w:t>the</w:t>
      </w:r>
      <w:r>
        <w:rPr>
          <w:spacing w:val="-9"/>
          <w:sz w:val="24"/>
        </w:rPr>
        <w:t> </w:t>
      </w:r>
      <w:r>
        <w:rPr>
          <w:sz w:val="24"/>
        </w:rPr>
        <w:t>gradual</w:t>
      </w:r>
      <w:r>
        <w:rPr>
          <w:spacing w:val="-9"/>
          <w:sz w:val="24"/>
        </w:rPr>
        <w:t> </w:t>
      </w:r>
      <w:r>
        <w:rPr>
          <w:sz w:val="24"/>
        </w:rPr>
        <w:t>improvement</w:t>
      </w:r>
      <w:r>
        <w:rPr>
          <w:spacing w:val="-4"/>
          <w:sz w:val="24"/>
        </w:rPr>
        <w:t> </w:t>
      </w:r>
      <w:r>
        <w:rPr>
          <w:sz w:val="24"/>
        </w:rPr>
        <w:t>in</w:t>
      </w:r>
      <w:r>
        <w:rPr>
          <w:spacing w:val="-9"/>
          <w:sz w:val="24"/>
        </w:rPr>
        <w:t> </w:t>
      </w:r>
      <w:r>
        <w:rPr>
          <w:sz w:val="24"/>
        </w:rPr>
        <w:t>the</w:t>
      </w:r>
      <w:r>
        <w:rPr>
          <w:spacing w:val="-9"/>
          <w:sz w:val="24"/>
        </w:rPr>
        <w:t> </w:t>
      </w:r>
      <w:r>
        <w:rPr>
          <w:spacing w:val="4"/>
          <w:sz w:val="24"/>
        </w:rPr>
        <w:t>outlook</w:t>
      </w:r>
      <w:r>
        <w:rPr>
          <w:spacing w:val="-6"/>
          <w:sz w:val="24"/>
        </w:rPr>
        <w:t> </w:t>
      </w:r>
      <w:r>
        <w:rPr>
          <w:sz w:val="24"/>
        </w:rPr>
        <w:t>for the world economy had continued </w:t>
      </w:r>
      <w:r>
        <w:rPr>
          <w:spacing w:val="3"/>
          <w:sz w:val="24"/>
        </w:rPr>
        <w:t>over </w:t>
      </w:r>
      <w:r>
        <w:rPr>
          <w:sz w:val="24"/>
        </w:rPr>
        <w:t>the past</w:t>
      </w:r>
      <w:r>
        <w:rPr>
          <w:spacing w:val="16"/>
          <w:sz w:val="24"/>
        </w:rPr>
        <w:t> </w:t>
      </w:r>
      <w:r>
        <w:rPr>
          <w:sz w:val="24"/>
        </w:rPr>
        <w:t>month.</w:t>
      </w:r>
    </w:p>
    <w:p>
      <w:pPr>
        <w:pStyle w:val="BodyText"/>
        <w:rPr>
          <w:sz w:val="31"/>
        </w:rPr>
      </w:pPr>
    </w:p>
    <w:p>
      <w:pPr>
        <w:pStyle w:val="ListParagraph"/>
        <w:numPr>
          <w:ilvl w:val="0"/>
          <w:numId w:val="1"/>
        </w:numPr>
        <w:tabs>
          <w:tab w:pos="1284" w:val="left" w:leader="none"/>
          <w:tab w:pos="1285" w:val="left" w:leader="none"/>
        </w:tabs>
        <w:spacing w:line="360" w:lineRule="auto" w:before="0" w:after="0"/>
        <w:ind w:left="924" w:right="1207" w:firstLine="0"/>
        <w:jc w:val="left"/>
        <w:rPr>
          <w:sz w:val="24"/>
        </w:rPr>
      </w:pPr>
      <w:r>
        <w:rPr>
          <w:sz w:val="24"/>
        </w:rPr>
        <w:t>In</w:t>
      </w:r>
      <w:r>
        <w:rPr>
          <w:spacing w:val="-6"/>
          <w:sz w:val="24"/>
        </w:rPr>
        <w:t> </w:t>
      </w:r>
      <w:r>
        <w:rPr>
          <w:sz w:val="24"/>
        </w:rPr>
        <w:t>the</w:t>
      </w:r>
      <w:r>
        <w:rPr>
          <w:spacing w:val="-6"/>
          <w:sz w:val="24"/>
        </w:rPr>
        <w:t> </w:t>
      </w:r>
      <w:r>
        <w:rPr>
          <w:sz w:val="24"/>
        </w:rPr>
        <w:t>United</w:t>
      </w:r>
      <w:r>
        <w:rPr>
          <w:spacing w:val="-7"/>
          <w:sz w:val="24"/>
        </w:rPr>
        <w:t> </w:t>
      </w:r>
      <w:r>
        <w:rPr>
          <w:sz w:val="24"/>
        </w:rPr>
        <w:t>States</w:t>
      </w:r>
      <w:r>
        <w:rPr>
          <w:spacing w:val="-6"/>
          <w:sz w:val="24"/>
        </w:rPr>
        <w:t> </w:t>
      </w:r>
      <w:r>
        <w:rPr>
          <w:sz w:val="24"/>
        </w:rPr>
        <w:t>activity</w:t>
      </w:r>
      <w:r>
        <w:rPr>
          <w:spacing w:val="-7"/>
          <w:sz w:val="24"/>
        </w:rPr>
        <w:t> </w:t>
      </w:r>
      <w:r>
        <w:rPr>
          <w:sz w:val="24"/>
        </w:rPr>
        <w:t>had</w:t>
      </w:r>
      <w:r>
        <w:rPr>
          <w:spacing w:val="-7"/>
          <w:sz w:val="24"/>
        </w:rPr>
        <w:t> </w:t>
      </w:r>
      <w:r>
        <w:rPr>
          <w:sz w:val="24"/>
        </w:rPr>
        <w:t>remained</w:t>
      </w:r>
      <w:r>
        <w:rPr>
          <w:spacing w:val="-5"/>
          <w:sz w:val="24"/>
        </w:rPr>
        <w:t> </w:t>
      </w:r>
      <w:r>
        <w:rPr>
          <w:sz w:val="24"/>
        </w:rPr>
        <w:t>robust,</w:t>
      </w:r>
      <w:r>
        <w:rPr>
          <w:spacing w:val="-5"/>
          <w:sz w:val="24"/>
        </w:rPr>
        <w:t> </w:t>
      </w:r>
      <w:r>
        <w:rPr>
          <w:sz w:val="24"/>
        </w:rPr>
        <w:t>although</w:t>
      </w:r>
      <w:r>
        <w:rPr>
          <w:spacing w:val="-6"/>
          <w:sz w:val="24"/>
        </w:rPr>
        <w:t> </w:t>
      </w:r>
      <w:r>
        <w:rPr>
          <w:sz w:val="24"/>
        </w:rPr>
        <w:t>consumption</w:t>
      </w:r>
      <w:r>
        <w:rPr>
          <w:spacing w:val="-7"/>
          <w:sz w:val="24"/>
        </w:rPr>
        <w:t> </w:t>
      </w:r>
      <w:r>
        <w:rPr>
          <w:sz w:val="24"/>
        </w:rPr>
        <w:t>growth had slowed a little. The Federal Open Markets Committee had raised rates</w:t>
      </w:r>
      <w:r>
        <w:rPr>
          <w:spacing w:val="-18"/>
          <w:sz w:val="24"/>
        </w:rPr>
        <w:t> </w:t>
      </w:r>
      <w:r>
        <w:rPr>
          <w:sz w:val="24"/>
        </w:rPr>
        <w:t>by</w:t>
      </w:r>
    </w:p>
    <w:p>
      <w:pPr>
        <w:pStyle w:val="BodyText"/>
        <w:spacing w:line="360" w:lineRule="auto"/>
        <w:ind w:left="924" w:right="943"/>
      </w:pPr>
      <w:r>
        <w:rPr/>
        <w:t>25 basis points, accompanying this with a statement that it no longer had a bias to tighten policy. This had been interpreted by the markets as a sign that the prospect of further increases in official rates was now less immediate than they had believed before, and equity prices had reached new highs. The timing and extent of any slowdown in activity in the United States remained unclear, and it was possible that growth might stay above trend for longer than previously thought.</w:t>
      </w:r>
    </w:p>
    <w:p>
      <w:pPr>
        <w:pStyle w:val="BodyText"/>
        <w:spacing w:before="4"/>
        <w:rPr>
          <w:sz w:val="31"/>
        </w:rPr>
      </w:pPr>
    </w:p>
    <w:p>
      <w:pPr>
        <w:pStyle w:val="ListParagraph"/>
        <w:numPr>
          <w:ilvl w:val="0"/>
          <w:numId w:val="2"/>
        </w:numPr>
        <w:tabs>
          <w:tab w:pos="1284" w:val="left" w:leader="none"/>
          <w:tab w:pos="1285" w:val="left" w:leader="none"/>
        </w:tabs>
        <w:spacing w:line="360" w:lineRule="auto" w:before="0" w:after="0"/>
        <w:ind w:left="924" w:right="1028" w:firstLine="0"/>
        <w:jc w:val="left"/>
        <w:rPr>
          <w:sz w:val="24"/>
        </w:rPr>
      </w:pPr>
      <w:r>
        <w:rPr>
          <w:sz w:val="24"/>
        </w:rPr>
        <w:t>Business</w:t>
      </w:r>
      <w:r>
        <w:rPr>
          <w:spacing w:val="-6"/>
          <w:sz w:val="24"/>
        </w:rPr>
        <w:t> </w:t>
      </w:r>
      <w:r>
        <w:rPr>
          <w:sz w:val="24"/>
        </w:rPr>
        <w:t>confidence</w:t>
      </w:r>
      <w:r>
        <w:rPr>
          <w:spacing w:val="-5"/>
          <w:sz w:val="24"/>
        </w:rPr>
        <w:t> </w:t>
      </w:r>
      <w:r>
        <w:rPr>
          <w:sz w:val="24"/>
        </w:rPr>
        <w:t>had</w:t>
      </w:r>
      <w:r>
        <w:rPr>
          <w:spacing w:val="-5"/>
          <w:sz w:val="24"/>
        </w:rPr>
        <w:t> </w:t>
      </w:r>
      <w:r>
        <w:rPr>
          <w:sz w:val="24"/>
        </w:rPr>
        <w:t>picked</w:t>
      </w:r>
      <w:r>
        <w:rPr>
          <w:spacing w:val="-5"/>
          <w:sz w:val="24"/>
        </w:rPr>
        <w:t> </w:t>
      </w:r>
      <w:r>
        <w:rPr>
          <w:sz w:val="24"/>
        </w:rPr>
        <w:t>up</w:t>
      </w:r>
      <w:r>
        <w:rPr>
          <w:spacing w:val="-5"/>
          <w:sz w:val="24"/>
        </w:rPr>
        <w:t> </w:t>
      </w:r>
      <w:r>
        <w:rPr>
          <w:sz w:val="24"/>
        </w:rPr>
        <w:t>a</w:t>
      </w:r>
      <w:r>
        <w:rPr>
          <w:spacing w:val="-5"/>
          <w:sz w:val="24"/>
        </w:rPr>
        <w:t> </w:t>
      </w:r>
      <w:r>
        <w:rPr>
          <w:sz w:val="24"/>
        </w:rPr>
        <w:t>little</w:t>
      </w:r>
      <w:r>
        <w:rPr>
          <w:spacing w:val="-5"/>
          <w:sz w:val="24"/>
        </w:rPr>
        <w:t> </w:t>
      </w:r>
      <w:r>
        <w:rPr>
          <w:sz w:val="24"/>
        </w:rPr>
        <w:t>in</w:t>
      </w:r>
      <w:r>
        <w:rPr>
          <w:spacing w:val="-5"/>
          <w:sz w:val="24"/>
        </w:rPr>
        <w:t> </w:t>
      </w:r>
      <w:r>
        <w:rPr>
          <w:sz w:val="24"/>
        </w:rPr>
        <w:t>Germany</w:t>
      </w:r>
      <w:r>
        <w:rPr>
          <w:spacing w:val="-5"/>
          <w:sz w:val="24"/>
        </w:rPr>
        <w:t> </w:t>
      </w:r>
      <w:r>
        <w:rPr>
          <w:sz w:val="24"/>
        </w:rPr>
        <w:t>and</w:t>
      </w:r>
      <w:r>
        <w:rPr>
          <w:spacing w:val="-5"/>
          <w:sz w:val="24"/>
        </w:rPr>
        <w:t> </w:t>
      </w:r>
      <w:r>
        <w:rPr>
          <w:sz w:val="24"/>
        </w:rPr>
        <w:t>France,</w:t>
      </w:r>
      <w:r>
        <w:rPr>
          <w:spacing w:val="-5"/>
          <w:sz w:val="24"/>
        </w:rPr>
        <w:t> </w:t>
      </w:r>
      <w:r>
        <w:rPr>
          <w:sz w:val="24"/>
        </w:rPr>
        <w:t>with</w:t>
      </w:r>
      <w:r>
        <w:rPr>
          <w:spacing w:val="-5"/>
          <w:sz w:val="24"/>
        </w:rPr>
        <w:t> </w:t>
      </w:r>
      <w:r>
        <w:rPr>
          <w:spacing w:val="5"/>
          <w:sz w:val="24"/>
        </w:rPr>
        <w:t>orders</w:t>
      </w:r>
      <w:r>
        <w:rPr>
          <w:spacing w:val="-1"/>
          <w:sz w:val="24"/>
        </w:rPr>
        <w:t> </w:t>
      </w:r>
      <w:r>
        <w:rPr>
          <w:sz w:val="24"/>
        </w:rPr>
        <w:t>in Germany and </w:t>
      </w:r>
      <w:r>
        <w:rPr>
          <w:spacing w:val="2"/>
          <w:sz w:val="24"/>
        </w:rPr>
        <w:t>Italy </w:t>
      </w:r>
      <w:r>
        <w:rPr>
          <w:sz w:val="24"/>
        </w:rPr>
        <w:t>also showing some signs </w:t>
      </w:r>
      <w:r>
        <w:rPr>
          <w:spacing w:val="3"/>
          <w:sz w:val="24"/>
        </w:rPr>
        <w:t>of </w:t>
      </w:r>
      <w:r>
        <w:rPr>
          <w:spacing w:val="2"/>
          <w:sz w:val="24"/>
        </w:rPr>
        <w:t>recovery. </w:t>
      </w:r>
      <w:r>
        <w:rPr>
          <w:sz w:val="24"/>
        </w:rPr>
        <w:t>While the steepening </w:t>
      </w:r>
      <w:r>
        <w:rPr>
          <w:spacing w:val="3"/>
          <w:sz w:val="24"/>
        </w:rPr>
        <w:t>of</w:t>
      </w:r>
      <w:r>
        <w:rPr>
          <w:spacing w:val="-35"/>
          <w:sz w:val="24"/>
        </w:rPr>
        <w:t> </w:t>
      </w:r>
      <w:r>
        <w:rPr>
          <w:spacing w:val="2"/>
          <w:sz w:val="24"/>
        </w:rPr>
        <w:t>the </w:t>
      </w:r>
      <w:r>
        <w:rPr>
          <w:sz w:val="24"/>
        </w:rPr>
        <w:t>euro yield curve might </w:t>
      </w:r>
      <w:r>
        <w:rPr>
          <w:spacing w:val="2"/>
          <w:sz w:val="24"/>
        </w:rPr>
        <w:t>reflect </w:t>
      </w:r>
      <w:r>
        <w:rPr>
          <w:sz w:val="24"/>
        </w:rPr>
        <w:t>some upwards </w:t>
      </w:r>
      <w:r>
        <w:rPr>
          <w:spacing w:val="2"/>
          <w:sz w:val="24"/>
        </w:rPr>
        <w:t>revision </w:t>
      </w:r>
      <w:r>
        <w:rPr>
          <w:sz w:val="24"/>
        </w:rPr>
        <w:t>in views </w:t>
      </w:r>
      <w:r>
        <w:rPr>
          <w:spacing w:val="3"/>
          <w:sz w:val="24"/>
        </w:rPr>
        <w:t>on </w:t>
      </w:r>
      <w:r>
        <w:rPr>
          <w:sz w:val="24"/>
        </w:rPr>
        <w:t>activity, this explanation was not consistent with the recent depreciation </w:t>
      </w:r>
      <w:r>
        <w:rPr>
          <w:spacing w:val="2"/>
          <w:sz w:val="24"/>
        </w:rPr>
        <w:t>of </w:t>
      </w:r>
      <w:r>
        <w:rPr>
          <w:sz w:val="24"/>
        </w:rPr>
        <w:t>the euro. There was market comment that these </w:t>
      </w:r>
      <w:r>
        <w:rPr>
          <w:spacing w:val="2"/>
          <w:sz w:val="24"/>
        </w:rPr>
        <w:t>recent </w:t>
      </w:r>
      <w:r>
        <w:rPr>
          <w:sz w:val="24"/>
        </w:rPr>
        <w:t>movements might be explained by an increase in concerns related </w:t>
      </w:r>
      <w:r>
        <w:rPr>
          <w:spacing w:val="3"/>
          <w:sz w:val="24"/>
        </w:rPr>
        <w:t>to </w:t>
      </w:r>
      <w:r>
        <w:rPr>
          <w:sz w:val="24"/>
        </w:rPr>
        <w:t>the fiscal position in the euro</w:t>
      </w:r>
      <w:r>
        <w:rPr>
          <w:spacing w:val="16"/>
          <w:sz w:val="24"/>
        </w:rPr>
        <w:t> </w:t>
      </w:r>
      <w:r>
        <w:rPr>
          <w:sz w:val="24"/>
        </w:rPr>
        <w:t>area.</w:t>
      </w:r>
    </w:p>
    <w:p>
      <w:pPr>
        <w:pStyle w:val="BodyText"/>
        <w:spacing w:before="1"/>
        <w:rPr>
          <w:sz w:val="31"/>
        </w:rPr>
      </w:pPr>
    </w:p>
    <w:p>
      <w:pPr>
        <w:pStyle w:val="ListParagraph"/>
        <w:numPr>
          <w:ilvl w:val="0"/>
          <w:numId w:val="2"/>
        </w:numPr>
        <w:tabs>
          <w:tab w:pos="1284" w:val="left" w:leader="none"/>
          <w:tab w:pos="1285" w:val="left" w:leader="none"/>
        </w:tabs>
        <w:spacing w:line="360" w:lineRule="auto" w:before="1" w:after="0"/>
        <w:ind w:left="924" w:right="975" w:firstLine="0"/>
        <w:jc w:val="left"/>
        <w:rPr>
          <w:sz w:val="24"/>
        </w:rPr>
      </w:pPr>
      <w:r>
        <w:rPr>
          <w:sz w:val="24"/>
        </w:rPr>
        <w:t>In Japan the recorded path </w:t>
      </w:r>
      <w:r>
        <w:rPr>
          <w:spacing w:val="2"/>
          <w:sz w:val="24"/>
        </w:rPr>
        <w:t>of </w:t>
      </w:r>
      <w:r>
        <w:rPr>
          <w:spacing w:val="4"/>
          <w:sz w:val="24"/>
        </w:rPr>
        <w:t>output </w:t>
      </w:r>
      <w:r>
        <w:rPr>
          <w:sz w:val="24"/>
        </w:rPr>
        <w:t>was likely </w:t>
      </w:r>
      <w:r>
        <w:rPr>
          <w:spacing w:val="2"/>
          <w:sz w:val="24"/>
        </w:rPr>
        <w:t>to </w:t>
      </w:r>
      <w:r>
        <w:rPr>
          <w:sz w:val="24"/>
        </w:rPr>
        <w:t>be volatile. GDP figures indicated growth </w:t>
      </w:r>
      <w:r>
        <w:rPr>
          <w:spacing w:val="2"/>
          <w:sz w:val="24"/>
        </w:rPr>
        <w:t>of </w:t>
      </w:r>
      <w:r>
        <w:rPr>
          <w:sz w:val="24"/>
        </w:rPr>
        <w:t>1.9% in the first quarter </w:t>
      </w:r>
      <w:r>
        <w:rPr>
          <w:spacing w:val="2"/>
          <w:sz w:val="24"/>
        </w:rPr>
        <w:t>of </w:t>
      </w:r>
      <w:r>
        <w:rPr>
          <w:sz w:val="24"/>
        </w:rPr>
        <w:t>1999. Adjustments </w:t>
      </w:r>
      <w:r>
        <w:rPr>
          <w:spacing w:val="3"/>
          <w:sz w:val="24"/>
        </w:rPr>
        <w:t>to </w:t>
      </w:r>
      <w:r>
        <w:rPr>
          <w:sz w:val="24"/>
        </w:rPr>
        <w:t>reflect a variety </w:t>
      </w:r>
      <w:r>
        <w:rPr>
          <w:spacing w:val="3"/>
          <w:sz w:val="24"/>
        </w:rPr>
        <w:t>of</w:t>
      </w:r>
      <w:r>
        <w:rPr>
          <w:spacing w:val="-3"/>
          <w:sz w:val="24"/>
        </w:rPr>
        <w:t> </w:t>
      </w:r>
      <w:r>
        <w:rPr>
          <w:sz w:val="24"/>
        </w:rPr>
        <w:t>factors,</w:t>
      </w:r>
      <w:r>
        <w:rPr>
          <w:spacing w:val="-7"/>
          <w:sz w:val="24"/>
        </w:rPr>
        <w:t> </w:t>
      </w:r>
      <w:r>
        <w:rPr>
          <w:sz w:val="24"/>
        </w:rPr>
        <w:t>such</w:t>
      </w:r>
      <w:r>
        <w:rPr>
          <w:spacing w:val="-7"/>
          <w:sz w:val="24"/>
        </w:rPr>
        <w:t> </w:t>
      </w:r>
      <w:r>
        <w:rPr>
          <w:sz w:val="24"/>
        </w:rPr>
        <w:t>as</w:t>
      </w:r>
      <w:r>
        <w:rPr>
          <w:spacing w:val="-7"/>
          <w:sz w:val="24"/>
        </w:rPr>
        <w:t> </w:t>
      </w:r>
      <w:r>
        <w:rPr>
          <w:sz w:val="24"/>
        </w:rPr>
        <w:t>seasonal</w:t>
      </w:r>
      <w:r>
        <w:rPr>
          <w:spacing w:val="-7"/>
          <w:sz w:val="24"/>
        </w:rPr>
        <w:t> </w:t>
      </w:r>
      <w:r>
        <w:rPr>
          <w:sz w:val="24"/>
        </w:rPr>
        <w:t>adjustment</w:t>
      </w:r>
      <w:r>
        <w:rPr>
          <w:spacing w:val="-2"/>
          <w:sz w:val="24"/>
        </w:rPr>
        <w:t> </w:t>
      </w:r>
      <w:r>
        <w:rPr>
          <w:sz w:val="24"/>
        </w:rPr>
        <w:t>techniques,</w:t>
      </w:r>
      <w:r>
        <w:rPr>
          <w:spacing w:val="-7"/>
          <w:sz w:val="24"/>
        </w:rPr>
        <w:t> </w:t>
      </w:r>
      <w:r>
        <w:rPr>
          <w:sz w:val="24"/>
        </w:rPr>
        <w:t>might</w:t>
      </w:r>
      <w:r>
        <w:rPr>
          <w:spacing w:val="-2"/>
          <w:sz w:val="24"/>
        </w:rPr>
        <w:t> </w:t>
      </w:r>
      <w:r>
        <w:rPr>
          <w:sz w:val="24"/>
        </w:rPr>
        <w:t>lead</w:t>
      </w:r>
      <w:r>
        <w:rPr>
          <w:spacing w:val="-6"/>
          <w:sz w:val="24"/>
        </w:rPr>
        <w:t> </w:t>
      </w:r>
      <w:r>
        <w:rPr>
          <w:spacing w:val="3"/>
          <w:sz w:val="24"/>
        </w:rPr>
        <w:t>to</w:t>
      </w:r>
      <w:r>
        <w:rPr>
          <w:spacing w:val="-2"/>
          <w:sz w:val="24"/>
        </w:rPr>
        <w:t> </w:t>
      </w:r>
      <w:r>
        <w:rPr>
          <w:sz w:val="24"/>
        </w:rPr>
        <w:t>the</w:t>
      </w:r>
      <w:r>
        <w:rPr>
          <w:spacing w:val="-7"/>
          <w:sz w:val="24"/>
        </w:rPr>
        <w:t> </w:t>
      </w:r>
      <w:r>
        <w:rPr>
          <w:sz w:val="24"/>
        </w:rPr>
        <w:t>initial</w:t>
      </w:r>
      <w:r>
        <w:rPr>
          <w:spacing w:val="-7"/>
          <w:sz w:val="24"/>
        </w:rPr>
        <w:t> </w:t>
      </w:r>
      <w:r>
        <w:rPr>
          <w:sz w:val="24"/>
        </w:rPr>
        <w:t>estimate</w:t>
      </w:r>
      <w:r>
        <w:rPr>
          <w:spacing w:val="-6"/>
          <w:sz w:val="24"/>
        </w:rPr>
        <w:t> </w:t>
      </w:r>
      <w:r>
        <w:rPr>
          <w:spacing w:val="3"/>
          <w:sz w:val="24"/>
        </w:rPr>
        <w:t>of </w:t>
      </w:r>
      <w:r>
        <w:rPr>
          <w:sz w:val="24"/>
        </w:rPr>
        <w:t>growth in Q1 being revised down, though it might still be above most earlier forecasts. Even if such a revision were made, GDP might contract in the</w:t>
      </w:r>
      <w:r>
        <w:rPr>
          <w:spacing w:val="-7"/>
          <w:sz w:val="24"/>
        </w:rPr>
        <w:t> </w:t>
      </w:r>
      <w:r>
        <w:rPr>
          <w:sz w:val="24"/>
        </w:rPr>
        <w:t>second</w:t>
      </w:r>
    </w:p>
    <w:p>
      <w:pPr>
        <w:spacing w:after="0" w:line="360" w:lineRule="auto"/>
        <w:jc w:val="left"/>
        <w:rPr>
          <w:sz w:val="24"/>
        </w:rPr>
        <w:sectPr>
          <w:pgSz w:w="11900" w:h="16840"/>
          <w:pgMar w:top="1380" w:bottom="280" w:left="880" w:right="860"/>
        </w:sectPr>
      </w:pPr>
    </w:p>
    <w:p>
      <w:pPr>
        <w:pStyle w:val="BodyText"/>
        <w:spacing w:line="360" w:lineRule="auto" w:before="98"/>
        <w:ind w:left="924" w:right="1451"/>
      </w:pPr>
      <w:r>
        <w:rPr/>
        <w:t>quarter. Nevertheless base money growth continued to pick up, equity prices had risen again and business confidence was a little less weak.</w:t>
      </w:r>
    </w:p>
    <w:p>
      <w:pPr>
        <w:pStyle w:val="BodyText"/>
        <w:spacing w:before="6"/>
        <w:rPr>
          <w:sz w:val="31"/>
        </w:rPr>
      </w:pPr>
    </w:p>
    <w:p>
      <w:pPr>
        <w:pStyle w:val="ListParagraph"/>
        <w:numPr>
          <w:ilvl w:val="0"/>
          <w:numId w:val="2"/>
        </w:numPr>
        <w:tabs>
          <w:tab w:pos="1284" w:val="left" w:leader="none"/>
          <w:tab w:pos="1285" w:val="left" w:leader="none"/>
        </w:tabs>
        <w:spacing w:line="360" w:lineRule="auto" w:before="0" w:after="0"/>
        <w:ind w:left="924" w:right="1067" w:firstLine="0"/>
        <w:jc w:val="left"/>
        <w:rPr>
          <w:sz w:val="24"/>
        </w:rPr>
      </w:pPr>
      <w:r>
        <w:rPr>
          <w:sz w:val="24"/>
        </w:rPr>
        <w:t>GDP forecasts compiled by Consensus </w:t>
      </w:r>
      <w:r>
        <w:rPr>
          <w:spacing w:val="2"/>
          <w:sz w:val="24"/>
        </w:rPr>
        <w:t>Economics </w:t>
      </w:r>
      <w:r>
        <w:rPr>
          <w:sz w:val="24"/>
        </w:rPr>
        <w:t>for the emerging market economies had generally been revised up </w:t>
      </w:r>
      <w:r>
        <w:rPr>
          <w:spacing w:val="3"/>
          <w:sz w:val="24"/>
        </w:rPr>
        <w:t>over </w:t>
      </w:r>
      <w:r>
        <w:rPr>
          <w:sz w:val="24"/>
        </w:rPr>
        <w:t>the last month. However, this was not so for some countries, such as Argentina, where yield spreads for government debt </w:t>
      </w:r>
      <w:r>
        <w:rPr>
          <w:spacing w:val="3"/>
          <w:sz w:val="24"/>
        </w:rPr>
        <w:t>over </w:t>
      </w:r>
      <w:r>
        <w:rPr>
          <w:sz w:val="24"/>
        </w:rPr>
        <w:t>US </w:t>
      </w:r>
      <w:r>
        <w:rPr>
          <w:spacing w:val="2"/>
          <w:sz w:val="24"/>
        </w:rPr>
        <w:t>Treasuries </w:t>
      </w:r>
      <w:r>
        <w:rPr>
          <w:sz w:val="24"/>
        </w:rPr>
        <w:t>had also</w:t>
      </w:r>
      <w:r>
        <w:rPr>
          <w:spacing w:val="8"/>
          <w:sz w:val="24"/>
        </w:rPr>
        <w:t> </w:t>
      </w:r>
      <w:r>
        <w:rPr>
          <w:sz w:val="24"/>
        </w:rPr>
        <w:t>increased.</w:t>
      </w:r>
    </w:p>
    <w:p>
      <w:pPr>
        <w:pStyle w:val="BodyText"/>
        <w:spacing w:before="4"/>
        <w:rPr>
          <w:sz w:val="31"/>
        </w:rPr>
      </w:pPr>
    </w:p>
    <w:p>
      <w:pPr>
        <w:pStyle w:val="ListParagraph"/>
        <w:numPr>
          <w:ilvl w:val="0"/>
          <w:numId w:val="2"/>
        </w:numPr>
        <w:tabs>
          <w:tab w:pos="1284" w:val="left" w:leader="none"/>
          <w:tab w:pos="1285" w:val="left" w:leader="none"/>
        </w:tabs>
        <w:spacing w:line="360" w:lineRule="auto" w:before="0" w:after="0"/>
        <w:ind w:left="924" w:right="1096" w:firstLine="0"/>
        <w:jc w:val="left"/>
        <w:rPr>
          <w:sz w:val="24"/>
        </w:rPr>
      </w:pPr>
      <w:r>
        <w:rPr>
          <w:sz w:val="24"/>
        </w:rPr>
        <w:t>The Committee agreed that the prospects for growth in the world economy were now a little stronger than a month ago, although arguably the uncertainties in the United States had if anything increased. If growth in the United States remained strong, and if the Asian recovery gathered pace, this might begin </w:t>
      </w:r>
      <w:r>
        <w:rPr>
          <w:spacing w:val="2"/>
          <w:sz w:val="24"/>
        </w:rPr>
        <w:t>to </w:t>
      </w:r>
      <w:r>
        <w:rPr>
          <w:sz w:val="24"/>
        </w:rPr>
        <w:t>put pressure </w:t>
      </w:r>
      <w:r>
        <w:rPr>
          <w:spacing w:val="3"/>
          <w:sz w:val="24"/>
        </w:rPr>
        <w:t>on </w:t>
      </w:r>
      <w:r>
        <w:rPr>
          <w:sz w:val="24"/>
        </w:rPr>
        <w:t>non-oil commodity prices, some </w:t>
      </w:r>
      <w:r>
        <w:rPr>
          <w:spacing w:val="3"/>
          <w:sz w:val="24"/>
        </w:rPr>
        <w:t>of </w:t>
      </w:r>
      <w:r>
        <w:rPr>
          <w:sz w:val="24"/>
        </w:rPr>
        <w:t>which had already begun </w:t>
      </w:r>
      <w:r>
        <w:rPr>
          <w:spacing w:val="3"/>
          <w:sz w:val="24"/>
        </w:rPr>
        <w:t>to </w:t>
      </w:r>
      <w:r>
        <w:rPr>
          <w:spacing w:val="2"/>
          <w:sz w:val="24"/>
        </w:rPr>
        <w:t>rise, </w:t>
      </w:r>
      <w:r>
        <w:rPr>
          <w:sz w:val="24"/>
        </w:rPr>
        <w:t>as had commodity-related currencies and equities. It was also argued that the level </w:t>
      </w:r>
      <w:r>
        <w:rPr>
          <w:spacing w:val="2"/>
          <w:sz w:val="24"/>
        </w:rPr>
        <w:t>of </w:t>
      </w:r>
      <w:r>
        <w:rPr>
          <w:sz w:val="24"/>
        </w:rPr>
        <w:t>world </w:t>
      </w:r>
      <w:r>
        <w:rPr>
          <w:spacing w:val="4"/>
          <w:sz w:val="24"/>
        </w:rPr>
        <w:t>output </w:t>
      </w:r>
      <w:r>
        <w:rPr>
          <w:sz w:val="24"/>
        </w:rPr>
        <w:t>remained below capacity and no major area except the United States was expected </w:t>
      </w:r>
      <w:r>
        <w:rPr>
          <w:spacing w:val="3"/>
          <w:sz w:val="24"/>
        </w:rPr>
        <w:t>to </w:t>
      </w:r>
      <w:r>
        <w:rPr>
          <w:sz w:val="24"/>
        </w:rPr>
        <w:t>grow significantly faster than its long-term trend during the coming year </w:t>
      </w:r>
      <w:r>
        <w:rPr>
          <w:spacing w:val="2"/>
          <w:sz w:val="24"/>
        </w:rPr>
        <w:t>or </w:t>
      </w:r>
      <w:r>
        <w:rPr>
          <w:sz w:val="24"/>
        </w:rPr>
        <w:t>two; such a persistence </w:t>
      </w:r>
      <w:r>
        <w:rPr>
          <w:spacing w:val="2"/>
          <w:sz w:val="24"/>
        </w:rPr>
        <w:t>of </w:t>
      </w:r>
      <w:r>
        <w:rPr>
          <w:sz w:val="24"/>
        </w:rPr>
        <w:t>spare capacity in both OECD and emerging market economies would continue </w:t>
      </w:r>
      <w:r>
        <w:rPr>
          <w:spacing w:val="3"/>
          <w:sz w:val="24"/>
        </w:rPr>
        <w:t>to </w:t>
      </w:r>
      <w:r>
        <w:rPr>
          <w:sz w:val="24"/>
        </w:rPr>
        <w:t>restrain global prices for the time</w:t>
      </w:r>
      <w:r>
        <w:rPr>
          <w:spacing w:val="1"/>
          <w:sz w:val="24"/>
        </w:rPr>
        <w:t> </w:t>
      </w:r>
      <w:r>
        <w:rPr>
          <w:sz w:val="24"/>
        </w:rPr>
        <w:t>being.</w:t>
      </w:r>
    </w:p>
    <w:p>
      <w:pPr>
        <w:pStyle w:val="BodyText"/>
        <w:spacing w:before="6"/>
        <w:rPr>
          <w:sz w:val="31"/>
        </w:rPr>
      </w:pPr>
    </w:p>
    <w:p>
      <w:pPr>
        <w:pStyle w:val="Heading2"/>
        <w:ind w:left="925"/>
      </w:pPr>
      <w:r>
        <w:rPr/>
        <w:t>Monetary and financial conditions in the United Kingdom</w:t>
      </w:r>
    </w:p>
    <w:p>
      <w:pPr>
        <w:pStyle w:val="BodyText"/>
        <w:rPr>
          <w:b/>
          <w:sz w:val="26"/>
        </w:rPr>
      </w:pPr>
    </w:p>
    <w:p>
      <w:pPr>
        <w:pStyle w:val="ListParagraph"/>
        <w:numPr>
          <w:ilvl w:val="0"/>
          <w:numId w:val="2"/>
        </w:numPr>
        <w:tabs>
          <w:tab w:pos="1285" w:val="left" w:leader="none"/>
        </w:tabs>
        <w:spacing w:line="360" w:lineRule="auto" w:before="193" w:after="0"/>
        <w:ind w:left="924" w:right="1139" w:firstLine="0"/>
        <w:jc w:val="both"/>
        <w:rPr>
          <w:sz w:val="24"/>
        </w:rPr>
      </w:pPr>
      <w:r>
        <w:rPr>
          <w:sz w:val="24"/>
        </w:rPr>
        <w:t>Growth in narrow money had risen, with notes and coin growing at their highest rate since end-1996. </w:t>
      </w:r>
      <w:r>
        <w:rPr>
          <w:spacing w:val="2"/>
          <w:sz w:val="24"/>
        </w:rPr>
        <w:t>This </w:t>
      </w:r>
      <w:r>
        <w:rPr>
          <w:sz w:val="24"/>
        </w:rPr>
        <w:t>appeared </w:t>
      </w:r>
      <w:r>
        <w:rPr>
          <w:spacing w:val="3"/>
          <w:sz w:val="24"/>
        </w:rPr>
        <w:t>to </w:t>
      </w:r>
      <w:r>
        <w:rPr>
          <w:sz w:val="24"/>
        </w:rPr>
        <w:t>be consistent with a pick-up in retail sales in Q2. While broad money growth had eased </w:t>
      </w:r>
      <w:r>
        <w:rPr>
          <w:spacing w:val="4"/>
          <w:sz w:val="24"/>
        </w:rPr>
        <w:t>overall, </w:t>
      </w:r>
      <w:r>
        <w:rPr>
          <w:sz w:val="24"/>
        </w:rPr>
        <w:t>this had not been reflected in the household component. It might be that the reductions in </w:t>
      </w:r>
      <w:r>
        <w:rPr>
          <w:spacing w:val="4"/>
          <w:sz w:val="24"/>
        </w:rPr>
        <w:t>official </w:t>
      </w:r>
      <w:r>
        <w:rPr>
          <w:sz w:val="24"/>
        </w:rPr>
        <w:t>rates were feeding through</w:t>
      </w:r>
      <w:r>
        <w:rPr>
          <w:spacing w:val="-9"/>
          <w:sz w:val="24"/>
        </w:rPr>
        <w:t> </w:t>
      </w:r>
      <w:r>
        <w:rPr>
          <w:sz w:val="24"/>
        </w:rPr>
        <w:t>into</w:t>
      </w:r>
      <w:r>
        <w:rPr>
          <w:spacing w:val="-3"/>
          <w:sz w:val="24"/>
        </w:rPr>
        <w:t> </w:t>
      </w:r>
      <w:r>
        <w:rPr>
          <w:sz w:val="24"/>
        </w:rPr>
        <w:t>broad</w:t>
      </w:r>
      <w:r>
        <w:rPr>
          <w:spacing w:val="-8"/>
          <w:sz w:val="24"/>
        </w:rPr>
        <w:t> </w:t>
      </w:r>
      <w:r>
        <w:rPr>
          <w:sz w:val="24"/>
        </w:rPr>
        <w:t>money</w:t>
      </w:r>
      <w:r>
        <w:rPr>
          <w:spacing w:val="-8"/>
          <w:sz w:val="24"/>
        </w:rPr>
        <w:t> </w:t>
      </w:r>
      <w:r>
        <w:rPr>
          <w:sz w:val="24"/>
        </w:rPr>
        <w:t>growth</w:t>
      </w:r>
      <w:r>
        <w:rPr>
          <w:spacing w:val="-8"/>
          <w:sz w:val="24"/>
        </w:rPr>
        <w:t> </w:t>
      </w:r>
      <w:r>
        <w:rPr>
          <w:sz w:val="24"/>
        </w:rPr>
        <w:t>for</w:t>
      </w:r>
      <w:r>
        <w:rPr>
          <w:spacing w:val="-8"/>
          <w:sz w:val="24"/>
        </w:rPr>
        <w:t> </w:t>
      </w:r>
      <w:r>
        <w:rPr>
          <w:sz w:val="24"/>
        </w:rPr>
        <w:t>households</w:t>
      </w:r>
      <w:r>
        <w:rPr>
          <w:spacing w:val="-8"/>
          <w:sz w:val="24"/>
        </w:rPr>
        <w:t> </w:t>
      </w:r>
      <w:r>
        <w:rPr>
          <w:sz w:val="24"/>
        </w:rPr>
        <w:t>rather</w:t>
      </w:r>
      <w:r>
        <w:rPr>
          <w:spacing w:val="-6"/>
          <w:sz w:val="24"/>
        </w:rPr>
        <w:t> </w:t>
      </w:r>
      <w:r>
        <w:rPr>
          <w:sz w:val="24"/>
        </w:rPr>
        <w:t>faster</w:t>
      </w:r>
      <w:r>
        <w:rPr>
          <w:spacing w:val="-8"/>
          <w:sz w:val="24"/>
        </w:rPr>
        <w:t> </w:t>
      </w:r>
      <w:r>
        <w:rPr>
          <w:sz w:val="24"/>
        </w:rPr>
        <w:t>than</w:t>
      </w:r>
      <w:r>
        <w:rPr>
          <w:spacing w:val="-8"/>
          <w:sz w:val="24"/>
        </w:rPr>
        <w:t> </w:t>
      </w:r>
      <w:r>
        <w:rPr>
          <w:sz w:val="24"/>
        </w:rPr>
        <w:t>expected,</w:t>
      </w:r>
      <w:r>
        <w:rPr>
          <w:spacing w:val="-8"/>
          <w:sz w:val="24"/>
        </w:rPr>
        <w:t> </w:t>
      </w:r>
      <w:r>
        <w:rPr>
          <w:sz w:val="24"/>
        </w:rPr>
        <w:t>but</w:t>
      </w:r>
      <w:r>
        <w:rPr>
          <w:spacing w:val="-3"/>
          <w:sz w:val="24"/>
        </w:rPr>
        <w:t> </w:t>
      </w:r>
      <w:r>
        <w:rPr>
          <w:sz w:val="24"/>
        </w:rPr>
        <w:t>this was by no means certain. Total household borrowing remained robust, despite some slowing in consumer credit</w:t>
      </w:r>
      <w:r>
        <w:rPr>
          <w:spacing w:val="17"/>
          <w:sz w:val="24"/>
        </w:rPr>
        <w:t> </w:t>
      </w:r>
      <w:r>
        <w:rPr>
          <w:sz w:val="24"/>
        </w:rPr>
        <w:t>growth.</w:t>
      </w:r>
    </w:p>
    <w:p>
      <w:pPr>
        <w:pStyle w:val="BodyText"/>
        <w:spacing w:before="5"/>
        <w:rPr>
          <w:sz w:val="31"/>
        </w:rPr>
      </w:pPr>
    </w:p>
    <w:p>
      <w:pPr>
        <w:pStyle w:val="ListParagraph"/>
        <w:numPr>
          <w:ilvl w:val="0"/>
          <w:numId w:val="2"/>
        </w:numPr>
        <w:tabs>
          <w:tab w:pos="1284" w:val="left" w:leader="none"/>
          <w:tab w:pos="1285" w:val="left" w:leader="none"/>
        </w:tabs>
        <w:spacing w:line="360" w:lineRule="auto" w:before="0" w:after="0"/>
        <w:ind w:left="924" w:right="985" w:firstLine="0"/>
        <w:jc w:val="left"/>
        <w:rPr>
          <w:sz w:val="24"/>
        </w:rPr>
      </w:pPr>
      <w:r>
        <w:rPr>
          <w:sz w:val="24"/>
        </w:rPr>
        <w:t>Market expectations for interest rates at the shortest maturities were if anything a little lower than a month ago. However, at the two </w:t>
      </w:r>
      <w:r>
        <w:rPr>
          <w:spacing w:val="2"/>
          <w:sz w:val="24"/>
        </w:rPr>
        <w:t>to </w:t>
      </w:r>
      <w:r>
        <w:rPr>
          <w:sz w:val="24"/>
        </w:rPr>
        <w:t>three year horizon, interest rates implied by short-sterling futures contracts had increased by around 40 basis points. </w:t>
      </w:r>
      <w:r>
        <w:rPr>
          <w:spacing w:val="2"/>
          <w:sz w:val="24"/>
        </w:rPr>
        <w:t>This </w:t>
      </w:r>
      <w:r>
        <w:rPr>
          <w:sz w:val="24"/>
        </w:rPr>
        <w:t>might reflect a market view about the cyclical path </w:t>
      </w:r>
      <w:r>
        <w:rPr>
          <w:spacing w:val="3"/>
          <w:sz w:val="24"/>
        </w:rPr>
        <w:t>of </w:t>
      </w:r>
      <w:r>
        <w:rPr>
          <w:sz w:val="24"/>
        </w:rPr>
        <w:t>interest rates, particularly if</w:t>
      </w:r>
      <w:r>
        <w:rPr>
          <w:spacing w:val="-6"/>
          <w:sz w:val="24"/>
        </w:rPr>
        <w:t> </w:t>
      </w:r>
      <w:r>
        <w:rPr>
          <w:sz w:val="24"/>
        </w:rPr>
        <w:t>market participants</w:t>
      </w:r>
      <w:r>
        <w:rPr>
          <w:spacing w:val="-5"/>
          <w:sz w:val="24"/>
        </w:rPr>
        <w:t> </w:t>
      </w:r>
      <w:r>
        <w:rPr>
          <w:sz w:val="24"/>
        </w:rPr>
        <w:t>believed</w:t>
      </w:r>
      <w:r>
        <w:rPr>
          <w:spacing w:val="-6"/>
          <w:sz w:val="24"/>
        </w:rPr>
        <w:t> </w:t>
      </w:r>
      <w:r>
        <w:rPr>
          <w:sz w:val="24"/>
        </w:rPr>
        <w:t>that the</w:t>
      </w:r>
      <w:r>
        <w:rPr>
          <w:spacing w:val="-5"/>
          <w:sz w:val="24"/>
        </w:rPr>
        <w:t> </w:t>
      </w:r>
      <w:r>
        <w:rPr>
          <w:sz w:val="24"/>
        </w:rPr>
        <w:t>United</w:t>
      </w:r>
      <w:r>
        <w:rPr>
          <w:spacing w:val="-6"/>
          <w:sz w:val="24"/>
        </w:rPr>
        <w:t> </w:t>
      </w:r>
      <w:r>
        <w:rPr>
          <w:sz w:val="24"/>
        </w:rPr>
        <w:t>Kingdom</w:t>
      </w:r>
      <w:r>
        <w:rPr>
          <w:spacing w:val="-5"/>
          <w:sz w:val="24"/>
        </w:rPr>
        <w:t> </w:t>
      </w:r>
      <w:r>
        <w:rPr>
          <w:sz w:val="24"/>
        </w:rPr>
        <w:t>was</w:t>
      </w:r>
      <w:r>
        <w:rPr>
          <w:spacing w:val="-5"/>
          <w:sz w:val="24"/>
        </w:rPr>
        <w:t> </w:t>
      </w:r>
      <w:r>
        <w:rPr>
          <w:sz w:val="24"/>
        </w:rPr>
        <w:t>now</w:t>
      </w:r>
      <w:r>
        <w:rPr>
          <w:spacing w:val="-6"/>
          <w:sz w:val="24"/>
        </w:rPr>
        <w:t> </w:t>
      </w:r>
      <w:r>
        <w:rPr>
          <w:sz w:val="24"/>
        </w:rPr>
        <w:t>less</w:t>
      </w:r>
      <w:r>
        <w:rPr>
          <w:spacing w:val="-5"/>
          <w:sz w:val="24"/>
        </w:rPr>
        <w:t> </w:t>
      </w:r>
      <w:r>
        <w:rPr>
          <w:sz w:val="24"/>
        </w:rPr>
        <w:t>likely</w:t>
      </w:r>
      <w:r>
        <w:rPr>
          <w:spacing w:val="-6"/>
          <w:sz w:val="24"/>
        </w:rPr>
        <w:t> </w:t>
      </w:r>
      <w:r>
        <w:rPr>
          <w:spacing w:val="3"/>
          <w:sz w:val="24"/>
        </w:rPr>
        <w:t>to</w:t>
      </w:r>
      <w:r>
        <w:rPr>
          <w:sz w:val="24"/>
        </w:rPr>
        <w:t> be</w:t>
      </w:r>
      <w:r>
        <w:rPr>
          <w:spacing w:val="-5"/>
          <w:sz w:val="24"/>
        </w:rPr>
        <w:t> </w:t>
      </w:r>
      <w:r>
        <w:rPr>
          <w:sz w:val="24"/>
        </w:rPr>
        <w:t>part</w:t>
      </w:r>
    </w:p>
    <w:p>
      <w:pPr>
        <w:spacing w:after="0" w:line="360" w:lineRule="auto"/>
        <w:jc w:val="left"/>
        <w:rPr>
          <w:sz w:val="24"/>
        </w:rPr>
        <w:sectPr>
          <w:headerReference w:type="default" r:id="rId7"/>
          <w:pgSz w:w="11900" w:h="16840"/>
          <w:pgMar w:header="580" w:footer="0" w:top="1340" w:bottom="280" w:left="880" w:right="860"/>
          <w:pgNumType w:start="2"/>
        </w:sectPr>
      </w:pPr>
    </w:p>
    <w:p>
      <w:pPr>
        <w:pStyle w:val="BodyText"/>
        <w:spacing w:line="360" w:lineRule="auto" w:before="98"/>
        <w:ind w:left="924" w:right="943"/>
      </w:pPr>
      <w:r>
        <w:rPr/>
        <w:t>of Economic and Monetary Union in the near future. Alternatively, the rise in expected UK interest rates might simply reflect the fact that euro rates had risen at the same maturity; it was not clear whether such a high correlation was warranted.</w:t>
      </w:r>
    </w:p>
    <w:p>
      <w:pPr>
        <w:pStyle w:val="BodyText"/>
        <w:spacing w:line="360" w:lineRule="auto" w:before="1"/>
        <w:ind w:left="924" w:right="943"/>
      </w:pPr>
      <w:r>
        <w:rPr/>
        <w:t>Standard variable mortgage rates had moved little over the month; there was not yet much pass-through into retail rates from last month’s reduction in official rates. With the steepening in the yield curve, further increases in fixed rates on new mortgages were possible.</w:t>
      </w:r>
    </w:p>
    <w:p>
      <w:pPr>
        <w:pStyle w:val="BodyText"/>
        <w:spacing w:before="4"/>
        <w:rPr>
          <w:sz w:val="31"/>
        </w:rPr>
      </w:pPr>
    </w:p>
    <w:p>
      <w:pPr>
        <w:pStyle w:val="ListParagraph"/>
        <w:numPr>
          <w:ilvl w:val="0"/>
          <w:numId w:val="2"/>
        </w:numPr>
        <w:tabs>
          <w:tab w:pos="1285" w:val="left" w:leader="none"/>
        </w:tabs>
        <w:spacing w:line="360" w:lineRule="auto" w:before="0" w:after="0"/>
        <w:ind w:left="924" w:right="1066" w:firstLine="0"/>
        <w:jc w:val="left"/>
        <w:rPr>
          <w:sz w:val="24"/>
        </w:rPr>
      </w:pPr>
      <w:r>
        <w:rPr>
          <w:sz w:val="24"/>
        </w:rPr>
        <w:t>The</w:t>
      </w:r>
      <w:r>
        <w:rPr>
          <w:spacing w:val="-3"/>
          <w:sz w:val="24"/>
        </w:rPr>
        <w:t> </w:t>
      </w:r>
      <w:r>
        <w:rPr>
          <w:sz w:val="24"/>
        </w:rPr>
        <w:t>effective</w:t>
      </w:r>
      <w:r>
        <w:rPr>
          <w:spacing w:val="-4"/>
          <w:sz w:val="24"/>
        </w:rPr>
        <w:t> </w:t>
      </w:r>
      <w:r>
        <w:rPr>
          <w:sz w:val="24"/>
        </w:rPr>
        <w:t>exchange</w:t>
      </w:r>
      <w:r>
        <w:rPr>
          <w:spacing w:val="-5"/>
          <w:sz w:val="24"/>
        </w:rPr>
        <w:t> </w:t>
      </w:r>
      <w:r>
        <w:rPr>
          <w:sz w:val="24"/>
        </w:rPr>
        <w:t>rate</w:t>
      </w:r>
      <w:r>
        <w:rPr>
          <w:spacing w:val="-2"/>
          <w:sz w:val="24"/>
        </w:rPr>
        <w:t> </w:t>
      </w:r>
      <w:r>
        <w:rPr>
          <w:sz w:val="24"/>
        </w:rPr>
        <w:t>index</w:t>
      </w:r>
      <w:r>
        <w:rPr>
          <w:spacing w:val="-5"/>
          <w:sz w:val="24"/>
        </w:rPr>
        <w:t> </w:t>
      </w:r>
      <w:r>
        <w:rPr>
          <w:sz w:val="24"/>
        </w:rPr>
        <w:t>had</w:t>
      </w:r>
      <w:r>
        <w:rPr>
          <w:spacing w:val="-4"/>
          <w:sz w:val="24"/>
        </w:rPr>
        <w:t> </w:t>
      </w:r>
      <w:r>
        <w:rPr>
          <w:sz w:val="24"/>
        </w:rPr>
        <w:t>fallen</w:t>
      </w:r>
      <w:r>
        <w:rPr>
          <w:spacing w:val="-4"/>
          <w:sz w:val="24"/>
        </w:rPr>
        <w:t> </w:t>
      </w:r>
      <w:r>
        <w:rPr>
          <w:sz w:val="24"/>
        </w:rPr>
        <w:t>a</w:t>
      </w:r>
      <w:r>
        <w:rPr>
          <w:spacing w:val="-5"/>
          <w:sz w:val="24"/>
        </w:rPr>
        <w:t> </w:t>
      </w:r>
      <w:r>
        <w:rPr>
          <w:sz w:val="24"/>
        </w:rPr>
        <w:t>little</w:t>
      </w:r>
      <w:r>
        <w:rPr>
          <w:spacing w:val="-4"/>
          <w:sz w:val="24"/>
        </w:rPr>
        <w:t> </w:t>
      </w:r>
      <w:r>
        <w:rPr>
          <w:spacing w:val="4"/>
          <w:sz w:val="24"/>
        </w:rPr>
        <w:t>over</w:t>
      </w:r>
      <w:r>
        <w:rPr>
          <w:sz w:val="24"/>
        </w:rPr>
        <w:t> the</w:t>
      </w:r>
      <w:r>
        <w:rPr>
          <w:spacing w:val="-4"/>
          <w:sz w:val="24"/>
        </w:rPr>
        <w:t> </w:t>
      </w:r>
      <w:r>
        <w:rPr>
          <w:sz w:val="24"/>
        </w:rPr>
        <w:t>month,</w:t>
      </w:r>
      <w:r>
        <w:rPr>
          <w:spacing w:val="-4"/>
          <w:sz w:val="24"/>
        </w:rPr>
        <w:t> </w:t>
      </w:r>
      <w:r>
        <w:rPr>
          <w:sz w:val="24"/>
        </w:rPr>
        <w:t>and</w:t>
      </w:r>
      <w:r>
        <w:rPr>
          <w:spacing w:val="-5"/>
          <w:sz w:val="24"/>
        </w:rPr>
        <w:t> </w:t>
      </w:r>
      <w:r>
        <w:rPr>
          <w:sz w:val="24"/>
        </w:rPr>
        <w:t>was</w:t>
      </w:r>
      <w:r>
        <w:rPr>
          <w:spacing w:val="-4"/>
          <w:sz w:val="24"/>
        </w:rPr>
        <w:t> </w:t>
      </w:r>
      <w:r>
        <w:rPr>
          <w:sz w:val="24"/>
        </w:rPr>
        <w:t>now close </w:t>
      </w:r>
      <w:r>
        <w:rPr>
          <w:spacing w:val="3"/>
          <w:sz w:val="24"/>
        </w:rPr>
        <w:t>to </w:t>
      </w:r>
      <w:r>
        <w:rPr>
          <w:sz w:val="24"/>
        </w:rPr>
        <w:t>the central assumption in the May </w:t>
      </w:r>
      <w:r>
        <w:rPr>
          <w:i/>
          <w:sz w:val="24"/>
        </w:rPr>
        <w:t>Inflation Report</w:t>
      </w:r>
      <w:r>
        <w:rPr>
          <w:sz w:val="24"/>
        </w:rPr>
        <w:t>. It was difficult </w:t>
      </w:r>
      <w:r>
        <w:rPr>
          <w:spacing w:val="3"/>
          <w:sz w:val="24"/>
        </w:rPr>
        <w:t>to </w:t>
      </w:r>
      <w:r>
        <w:rPr>
          <w:sz w:val="24"/>
        </w:rPr>
        <w:t>tell how much significance should be ascribed </w:t>
      </w:r>
      <w:r>
        <w:rPr>
          <w:spacing w:val="3"/>
          <w:sz w:val="24"/>
        </w:rPr>
        <w:t>to </w:t>
      </w:r>
      <w:r>
        <w:rPr>
          <w:sz w:val="24"/>
        </w:rPr>
        <w:t>this decline. Sterling had moved </w:t>
      </w:r>
      <w:r>
        <w:rPr>
          <w:spacing w:val="2"/>
          <w:sz w:val="24"/>
        </w:rPr>
        <w:t>little </w:t>
      </w:r>
      <w:r>
        <w:rPr>
          <w:sz w:val="24"/>
        </w:rPr>
        <w:t>against the euro, which accounted for two thirds </w:t>
      </w:r>
      <w:r>
        <w:rPr>
          <w:spacing w:val="2"/>
          <w:sz w:val="24"/>
        </w:rPr>
        <w:t>of </w:t>
      </w:r>
      <w:r>
        <w:rPr>
          <w:sz w:val="24"/>
        </w:rPr>
        <w:t>the exchange rate index, and was </w:t>
      </w:r>
      <w:r>
        <w:rPr>
          <w:spacing w:val="3"/>
          <w:sz w:val="24"/>
        </w:rPr>
        <w:t>of </w:t>
      </w:r>
      <w:r>
        <w:rPr>
          <w:sz w:val="24"/>
        </w:rPr>
        <w:t>considerable importance for many UK exporters. Sterling had fallen more against the dollar and was </w:t>
      </w:r>
      <w:r>
        <w:rPr>
          <w:spacing w:val="4"/>
          <w:sz w:val="24"/>
        </w:rPr>
        <w:t>outside </w:t>
      </w:r>
      <w:r>
        <w:rPr>
          <w:sz w:val="24"/>
        </w:rPr>
        <w:t>the range within which it had traded for some time. The question was </w:t>
      </w:r>
      <w:r>
        <w:rPr>
          <w:spacing w:val="2"/>
          <w:sz w:val="24"/>
        </w:rPr>
        <w:t>raised </w:t>
      </w:r>
      <w:r>
        <w:rPr>
          <w:spacing w:val="3"/>
          <w:sz w:val="24"/>
        </w:rPr>
        <w:t>of </w:t>
      </w:r>
      <w:r>
        <w:rPr>
          <w:sz w:val="24"/>
        </w:rPr>
        <w:t>whether the significance </w:t>
      </w:r>
      <w:r>
        <w:rPr>
          <w:spacing w:val="3"/>
          <w:sz w:val="24"/>
        </w:rPr>
        <w:t>of </w:t>
      </w:r>
      <w:r>
        <w:rPr>
          <w:sz w:val="24"/>
        </w:rPr>
        <w:t>such a decline was fully captured by the </w:t>
      </w:r>
      <w:r>
        <w:rPr>
          <w:spacing w:val="-3"/>
          <w:sz w:val="24"/>
        </w:rPr>
        <w:t>dollar’s </w:t>
      </w:r>
      <w:r>
        <w:rPr>
          <w:sz w:val="24"/>
        </w:rPr>
        <w:t>weight in the effective index. To the extent that the linkage between sterling and the dollar had weakened, </w:t>
      </w:r>
      <w:r>
        <w:rPr>
          <w:spacing w:val="-3"/>
          <w:sz w:val="24"/>
        </w:rPr>
        <w:t>sterling’s </w:t>
      </w:r>
      <w:r>
        <w:rPr>
          <w:sz w:val="24"/>
        </w:rPr>
        <w:t>effective exchange </w:t>
      </w:r>
      <w:r>
        <w:rPr>
          <w:spacing w:val="2"/>
          <w:sz w:val="24"/>
        </w:rPr>
        <w:t>rate </w:t>
      </w:r>
      <w:r>
        <w:rPr>
          <w:sz w:val="24"/>
        </w:rPr>
        <w:t>might be less susceptible </w:t>
      </w:r>
      <w:r>
        <w:rPr>
          <w:spacing w:val="3"/>
          <w:sz w:val="24"/>
        </w:rPr>
        <w:t>to </w:t>
      </w:r>
      <w:r>
        <w:rPr>
          <w:sz w:val="24"/>
        </w:rPr>
        <w:t>future movements in the dollar against third</w:t>
      </w:r>
      <w:r>
        <w:rPr>
          <w:spacing w:val="15"/>
          <w:sz w:val="24"/>
        </w:rPr>
        <w:t> </w:t>
      </w:r>
      <w:r>
        <w:rPr>
          <w:sz w:val="24"/>
        </w:rPr>
        <w:t>currencies.</w:t>
      </w:r>
    </w:p>
    <w:p>
      <w:pPr>
        <w:pStyle w:val="BodyText"/>
        <w:spacing w:before="6"/>
        <w:rPr>
          <w:sz w:val="31"/>
        </w:rPr>
      </w:pPr>
    </w:p>
    <w:p>
      <w:pPr>
        <w:pStyle w:val="Heading2"/>
      </w:pPr>
      <w:r>
        <w:rPr/>
        <w:t>Demand and output</w:t>
      </w:r>
    </w:p>
    <w:p>
      <w:pPr>
        <w:pStyle w:val="BodyText"/>
        <w:rPr>
          <w:b/>
          <w:sz w:val="26"/>
        </w:rPr>
      </w:pPr>
    </w:p>
    <w:p>
      <w:pPr>
        <w:pStyle w:val="ListParagraph"/>
        <w:numPr>
          <w:ilvl w:val="0"/>
          <w:numId w:val="2"/>
        </w:numPr>
        <w:tabs>
          <w:tab w:pos="1285" w:val="left" w:leader="none"/>
        </w:tabs>
        <w:spacing w:line="360" w:lineRule="auto" w:before="198" w:after="0"/>
        <w:ind w:left="924" w:right="1034" w:firstLine="0"/>
        <w:jc w:val="left"/>
        <w:rPr>
          <w:sz w:val="24"/>
        </w:rPr>
      </w:pPr>
      <w:r>
        <w:rPr>
          <w:sz w:val="24"/>
        </w:rPr>
        <w:t>While the estimate </w:t>
      </w:r>
      <w:r>
        <w:rPr>
          <w:spacing w:val="2"/>
          <w:sz w:val="24"/>
        </w:rPr>
        <w:t>of </w:t>
      </w:r>
      <w:r>
        <w:rPr>
          <w:sz w:val="24"/>
        </w:rPr>
        <w:t>GDP growth was unchanged for the first quarter, revisions had been made </w:t>
      </w:r>
      <w:r>
        <w:rPr>
          <w:spacing w:val="3"/>
          <w:sz w:val="24"/>
        </w:rPr>
        <w:t>to </w:t>
      </w:r>
      <w:r>
        <w:rPr>
          <w:sz w:val="24"/>
        </w:rPr>
        <w:t>the expenditure components. Growth in consumption was higher than had been thought earlier, and remained strong even when adjusted for a number </w:t>
      </w:r>
      <w:r>
        <w:rPr>
          <w:spacing w:val="2"/>
          <w:sz w:val="24"/>
        </w:rPr>
        <w:t>of</w:t>
      </w:r>
      <w:r>
        <w:rPr>
          <w:sz w:val="24"/>
        </w:rPr>
        <w:t> special</w:t>
      </w:r>
      <w:r>
        <w:rPr>
          <w:spacing w:val="-4"/>
          <w:sz w:val="24"/>
        </w:rPr>
        <w:t> </w:t>
      </w:r>
      <w:r>
        <w:rPr>
          <w:sz w:val="24"/>
        </w:rPr>
        <w:t>factors,</w:t>
      </w:r>
      <w:r>
        <w:rPr>
          <w:spacing w:val="-3"/>
          <w:sz w:val="24"/>
        </w:rPr>
        <w:t> </w:t>
      </w:r>
      <w:r>
        <w:rPr>
          <w:sz w:val="24"/>
        </w:rPr>
        <w:t>such</w:t>
      </w:r>
      <w:r>
        <w:rPr>
          <w:spacing w:val="-4"/>
          <w:sz w:val="24"/>
        </w:rPr>
        <w:t> </w:t>
      </w:r>
      <w:r>
        <w:rPr>
          <w:sz w:val="24"/>
        </w:rPr>
        <w:t>as</w:t>
      </w:r>
      <w:r>
        <w:rPr>
          <w:spacing w:val="-4"/>
          <w:sz w:val="24"/>
        </w:rPr>
        <w:t> </w:t>
      </w:r>
      <w:r>
        <w:rPr>
          <w:sz w:val="24"/>
        </w:rPr>
        <w:t>a</w:t>
      </w:r>
      <w:r>
        <w:rPr>
          <w:spacing w:val="-3"/>
          <w:sz w:val="24"/>
        </w:rPr>
        <w:t> </w:t>
      </w:r>
      <w:r>
        <w:rPr>
          <w:sz w:val="24"/>
        </w:rPr>
        <w:t>shift in</w:t>
      </w:r>
      <w:r>
        <w:rPr>
          <w:spacing w:val="-3"/>
          <w:sz w:val="24"/>
        </w:rPr>
        <w:t> </w:t>
      </w:r>
      <w:r>
        <w:rPr>
          <w:sz w:val="24"/>
        </w:rPr>
        <w:t>the</w:t>
      </w:r>
      <w:r>
        <w:rPr>
          <w:spacing w:val="-4"/>
          <w:sz w:val="24"/>
        </w:rPr>
        <w:t> </w:t>
      </w:r>
      <w:r>
        <w:rPr>
          <w:sz w:val="24"/>
        </w:rPr>
        <w:t>registration</w:t>
      </w:r>
      <w:r>
        <w:rPr>
          <w:spacing w:val="-3"/>
          <w:sz w:val="24"/>
        </w:rPr>
        <w:t> </w:t>
      </w:r>
      <w:r>
        <w:rPr>
          <w:sz w:val="24"/>
        </w:rPr>
        <w:t>date</w:t>
      </w:r>
      <w:r>
        <w:rPr>
          <w:spacing w:val="-4"/>
          <w:sz w:val="24"/>
        </w:rPr>
        <w:t> </w:t>
      </w:r>
      <w:r>
        <w:rPr>
          <w:sz w:val="24"/>
        </w:rPr>
        <w:t>for</w:t>
      </w:r>
      <w:r>
        <w:rPr>
          <w:spacing w:val="-3"/>
          <w:sz w:val="24"/>
        </w:rPr>
        <w:t> </w:t>
      </w:r>
      <w:r>
        <w:rPr>
          <w:sz w:val="24"/>
        </w:rPr>
        <w:t>new</w:t>
      </w:r>
      <w:r>
        <w:rPr>
          <w:spacing w:val="-4"/>
          <w:sz w:val="24"/>
        </w:rPr>
        <w:t> </w:t>
      </w:r>
      <w:r>
        <w:rPr>
          <w:sz w:val="24"/>
        </w:rPr>
        <w:t>vehicles.</w:t>
      </w:r>
      <w:r>
        <w:rPr>
          <w:spacing w:val="-4"/>
          <w:sz w:val="24"/>
        </w:rPr>
        <w:t> </w:t>
      </w:r>
      <w:r>
        <w:rPr>
          <w:sz w:val="24"/>
        </w:rPr>
        <w:t>The</w:t>
      </w:r>
      <w:r>
        <w:rPr>
          <w:spacing w:val="-2"/>
          <w:sz w:val="24"/>
        </w:rPr>
        <w:t> </w:t>
      </w:r>
      <w:r>
        <w:rPr>
          <w:sz w:val="24"/>
        </w:rPr>
        <w:t>decline previously indicated for business investment had been </w:t>
      </w:r>
      <w:r>
        <w:rPr>
          <w:spacing w:val="2"/>
          <w:sz w:val="24"/>
        </w:rPr>
        <w:t>reversed, </w:t>
      </w:r>
      <w:r>
        <w:rPr>
          <w:sz w:val="24"/>
        </w:rPr>
        <w:t>although in </w:t>
      </w:r>
      <w:r>
        <w:rPr>
          <w:spacing w:val="3"/>
          <w:sz w:val="24"/>
        </w:rPr>
        <w:t>overall </w:t>
      </w:r>
      <w:r>
        <w:rPr>
          <w:sz w:val="24"/>
        </w:rPr>
        <w:t>terms investment was flat because </w:t>
      </w:r>
      <w:r>
        <w:rPr>
          <w:spacing w:val="3"/>
          <w:sz w:val="24"/>
        </w:rPr>
        <w:t>of </w:t>
      </w:r>
      <w:r>
        <w:rPr>
          <w:sz w:val="24"/>
        </w:rPr>
        <w:t>a steep fall in the general government component, which might </w:t>
      </w:r>
      <w:r>
        <w:rPr>
          <w:spacing w:val="2"/>
          <w:sz w:val="24"/>
        </w:rPr>
        <w:t>reflect </w:t>
      </w:r>
      <w:r>
        <w:rPr>
          <w:sz w:val="24"/>
        </w:rPr>
        <w:t>erratic timing </w:t>
      </w:r>
      <w:r>
        <w:rPr>
          <w:spacing w:val="2"/>
          <w:sz w:val="24"/>
        </w:rPr>
        <w:t>factors. </w:t>
      </w:r>
      <w:r>
        <w:rPr>
          <w:sz w:val="24"/>
        </w:rPr>
        <w:t>Final domestic demand had been revised up, and was now estimated </w:t>
      </w:r>
      <w:r>
        <w:rPr>
          <w:spacing w:val="2"/>
          <w:sz w:val="24"/>
        </w:rPr>
        <w:t>to </w:t>
      </w:r>
      <w:r>
        <w:rPr>
          <w:sz w:val="24"/>
        </w:rPr>
        <w:t>have grown by </w:t>
      </w:r>
      <w:r>
        <w:rPr>
          <w:spacing w:val="3"/>
          <w:sz w:val="24"/>
        </w:rPr>
        <w:t>over </w:t>
      </w:r>
      <w:r>
        <w:rPr>
          <w:sz w:val="24"/>
        </w:rPr>
        <w:t>1% in the</w:t>
      </w:r>
      <w:r>
        <w:rPr>
          <w:spacing w:val="-21"/>
          <w:sz w:val="24"/>
        </w:rPr>
        <w:t> </w:t>
      </w:r>
      <w:r>
        <w:rPr>
          <w:sz w:val="24"/>
        </w:rPr>
        <w:t>quarter.</w:t>
      </w:r>
    </w:p>
    <w:p>
      <w:pPr>
        <w:pStyle w:val="BodyText"/>
        <w:spacing w:line="360" w:lineRule="auto"/>
        <w:ind w:left="924" w:right="1452"/>
      </w:pPr>
      <w:r>
        <w:rPr/>
        <w:t>Much slower stockbuilding and a more negative contribution from net trade (reflecting higher imports) had offset these revisions, leaving the level of GDP</w:t>
      </w:r>
    </w:p>
    <w:p>
      <w:pPr>
        <w:spacing w:after="0" w:line="360" w:lineRule="auto"/>
        <w:sectPr>
          <w:pgSz w:w="11900" w:h="16840"/>
          <w:pgMar w:header="580" w:footer="0" w:top="1340" w:bottom="280" w:left="880" w:right="860"/>
        </w:sectPr>
      </w:pPr>
    </w:p>
    <w:p>
      <w:pPr>
        <w:pStyle w:val="BodyText"/>
        <w:spacing w:line="360" w:lineRule="auto" w:before="98"/>
        <w:ind w:left="924" w:right="1031"/>
      </w:pPr>
      <w:r>
        <w:rPr/>
        <w:t>unchanged. It was likely that the lower starting point for stock levels would represent a more secure base for output growth in the coming quarters.</w:t>
      </w:r>
    </w:p>
    <w:p>
      <w:pPr>
        <w:pStyle w:val="BodyText"/>
        <w:spacing w:before="6"/>
        <w:rPr>
          <w:sz w:val="31"/>
        </w:rPr>
      </w:pPr>
    </w:p>
    <w:p>
      <w:pPr>
        <w:pStyle w:val="ListParagraph"/>
        <w:numPr>
          <w:ilvl w:val="0"/>
          <w:numId w:val="2"/>
        </w:numPr>
        <w:tabs>
          <w:tab w:pos="1285" w:val="left" w:leader="none"/>
        </w:tabs>
        <w:spacing w:line="360" w:lineRule="auto" w:before="0" w:after="0"/>
        <w:ind w:left="924" w:right="1133" w:firstLine="0"/>
        <w:jc w:val="left"/>
        <w:rPr>
          <w:sz w:val="24"/>
        </w:rPr>
      </w:pPr>
      <w:r>
        <w:rPr>
          <w:sz w:val="24"/>
        </w:rPr>
        <w:t>Retail</w:t>
      </w:r>
      <w:r>
        <w:rPr>
          <w:spacing w:val="-6"/>
          <w:sz w:val="24"/>
        </w:rPr>
        <w:t> </w:t>
      </w:r>
      <w:r>
        <w:rPr>
          <w:sz w:val="24"/>
        </w:rPr>
        <w:t>sales</w:t>
      </w:r>
      <w:r>
        <w:rPr>
          <w:spacing w:val="-6"/>
          <w:sz w:val="24"/>
        </w:rPr>
        <w:t> </w:t>
      </w:r>
      <w:r>
        <w:rPr>
          <w:sz w:val="24"/>
        </w:rPr>
        <w:t>volumes</w:t>
      </w:r>
      <w:r>
        <w:rPr>
          <w:spacing w:val="-6"/>
          <w:sz w:val="24"/>
        </w:rPr>
        <w:t> </w:t>
      </w:r>
      <w:r>
        <w:rPr>
          <w:sz w:val="24"/>
        </w:rPr>
        <w:t>in</w:t>
      </w:r>
      <w:r>
        <w:rPr>
          <w:spacing w:val="-6"/>
          <w:sz w:val="24"/>
        </w:rPr>
        <w:t> </w:t>
      </w:r>
      <w:r>
        <w:rPr>
          <w:sz w:val="24"/>
        </w:rPr>
        <w:t>the</w:t>
      </w:r>
      <w:r>
        <w:rPr>
          <w:spacing w:val="-6"/>
          <w:sz w:val="24"/>
        </w:rPr>
        <w:t> </w:t>
      </w:r>
      <w:r>
        <w:rPr>
          <w:sz w:val="24"/>
        </w:rPr>
        <w:t>three</w:t>
      </w:r>
      <w:r>
        <w:rPr>
          <w:spacing w:val="-6"/>
          <w:sz w:val="24"/>
        </w:rPr>
        <w:t> </w:t>
      </w:r>
      <w:r>
        <w:rPr>
          <w:sz w:val="24"/>
        </w:rPr>
        <w:t>months</w:t>
      </w:r>
      <w:r>
        <w:rPr>
          <w:spacing w:val="-6"/>
          <w:sz w:val="24"/>
        </w:rPr>
        <w:t> </w:t>
      </w:r>
      <w:r>
        <w:rPr>
          <w:spacing w:val="3"/>
          <w:sz w:val="24"/>
        </w:rPr>
        <w:t>to</w:t>
      </w:r>
      <w:r>
        <w:rPr>
          <w:spacing w:val="-2"/>
          <w:sz w:val="24"/>
        </w:rPr>
        <w:t> </w:t>
      </w:r>
      <w:r>
        <w:rPr>
          <w:sz w:val="24"/>
        </w:rPr>
        <w:t>May</w:t>
      </w:r>
      <w:r>
        <w:rPr>
          <w:spacing w:val="-6"/>
          <w:sz w:val="24"/>
        </w:rPr>
        <w:t> </w:t>
      </w:r>
      <w:r>
        <w:rPr>
          <w:sz w:val="24"/>
        </w:rPr>
        <w:t>were</w:t>
      </w:r>
      <w:r>
        <w:rPr>
          <w:spacing w:val="-5"/>
          <w:sz w:val="24"/>
        </w:rPr>
        <w:t> </w:t>
      </w:r>
      <w:r>
        <w:rPr>
          <w:spacing w:val="3"/>
          <w:sz w:val="24"/>
        </w:rPr>
        <w:t>over</w:t>
      </w:r>
      <w:r>
        <w:rPr>
          <w:spacing w:val="-2"/>
          <w:sz w:val="24"/>
        </w:rPr>
        <w:t> </w:t>
      </w:r>
      <w:r>
        <w:rPr>
          <w:sz w:val="24"/>
        </w:rPr>
        <w:t>1%</w:t>
      </w:r>
      <w:r>
        <w:rPr>
          <w:spacing w:val="-6"/>
          <w:sz w:val="24"/>
        </w:rPr>
        <w:t> </w:t>
      </w:r>
      <w:r>
        <w:rPr>
          <w:sz w:val="24"/>
        </w:rPr>
        <w:t>higher</w:t>
      </w:r>
      <w:r>
        <w:rPr>
          <w:spacing w:val="-6"/>
          <w:sz w:val="24"/>
        </w:rPr>
        <w:t> </w:t>
      </w:r>
      <w:r>
        <w:rPr>
          <w:sz w:val="24"/>
        </w:rPr>
        <w:t>than</w:t>
      </w:r>
      <w:r>
        <w:rPr>
          <w:spacing w:val="-6"/>
          <w:sz w:val="24"/>
        </w:rPr>
        <w:t> </w:t>
      </w:r>
      <w:r>
        <w:rPr>
          <w:sz w:val="24"/>
        </w:rPr>
        <w:t>in</w:t>
      </w:r>
      <w:r>
        <w:rPr>
          <w:spacing w:val="-6"/>
          <w:sz w:val="24"/>
        </w:rPr>
        <w:t> </w:t>
      </w:r>
      <w:r>
        <w:rPr>
          <w:sz w:val="24"/>
        </w:rPr>
        <w:t>the previous</w:t>
      </w:r>
      <w:r>
        <w:rPr>
          <w:spacing w:val="-6"/>
          <w:sz w:val="24"/>
        </w:rPr>
        <w:t> </w:t>
      </w:r>
      <w:r>
        <w:rPr>
          <w:sz w:val="24"/>
        </w:rPr>
        <w:t>three</w:t>
      </w:r>
      <w:r>
        <w:rPr>
          <w:spacing w:val="-5"/>
          <w:sz w:val="24"/>
        </w:rPr>
        <w:t> </w:t>
      </w:r>
      <w:r>
        <w:rPr>
          <w:sz w:val="24"/>
        </w:rPr>
        <w:t>months,</w:t>
      </w:r>
      <w:r>
        <w:rPr>
          <w:spacing w:val="-5"/>
          <w:sz w:val="24"/>
        </w:rPr>
        <w:t> </w:t>
      </w:r>
      <w:r>
        <w:rPr>
          <w:sz w:val="24"/>
        </w:rPr>
        <w:t>and</w:t>
      </w:r>
      <w:r>
        <w:rPr>
          <w:spacing w:val="-5"/>
          <w:sz w:val="24"/>
        </w:rPr>
        <w:t> </w:t>
      </w:r>
      <w:r>
        <w:rPr>
          <w:sz w:val="24"/>
        </w:rPr>
        <w:t>survey</w:t>
      </w:r>
      <w:r>
        <w:rPr>
          <w:spacing w:val="-5"/>
          <w:sz w:val="24"/>
        </w:rPr>
        <w:t> </w:t>
      </w:r>
      <w:r>
        <w:rPr>
          <w:sz w:val="24"/>
        </w:rPr>
        <w:t>data</w:t>
      </w:r>
      <w:r>
        <w:rPr>
          <w:spacing w:val="-5"/>
          <w:sz w:val="24"/>
        </w:rPr>
        <w:t> </w:t>
      </w:r>
      <w:r>
        <w:rPr>
          <w:sz w:val="24"/>
        </w:rPr>
        <w:t>also</w:t>
      </w:r>
      <w:r>
        <w:rPr>
          <w:spacing w:val="-5"/>
          <w:sz w:val="24"/>
        </w:rPr>
        <w:t> </w:t>
      </w:r>
      <w:r>
        <w:rPr>
          <w:sz w:val="24"/>
        </w:rPr>
        <w:t>indicated</w:t>
      </w:r>
      <w:r>
        <w:rPr>
          <w:spacing w:val="-5"/>
          <w:sz w:val="24"/>
        </w:rPr>
        <w:t> </w:t>
      </w:r>
      <w:r>
        <w:rPr>
          <w:sz w:val="24"/>
        </w:rPr>
        <w:t>a</w:t>
      </w:r>
      <w:r>
        <w:rPr>
          <w:spacing w:val="-6"/>
          <w:sz w:val="24"/>
        </w:rPr>
        <w:t> </w:t>
      </w:r>
      <w:r>
        <w:rPr>
          <w:sz w:val="24"/>
        </w:rPr>
        <w:t>strengthening</w:t>
      </w:r>
      <w:r>
        <w:rPr>
          <w:spacing w:val="-5"/>
          <w:sz w:val="24"/>
        </w:rPr>
        <w:t> </w:t>
      </w:r>
      <w:r>
        <w:rPr>
          <w:sz w:val="24"/>
        </w:rPr>
        <w:t>in</w:t>
      </w:r>
      <w:r>
        <w:rPr>
          <w:spacing w:val="-5"/>
          <w:sz w:val="24"/>
        </w:rPr>
        <w:t> </w:t>
      </w:r>
      <w:r>
        <w:rPr>
          <w:sz w:val="24"/>
        </w:rPr>
        <w:t>activity,</w:t>
      </w:r>
      <w:r>
        <w:rPr>
          <w:spacing w:val="-5"/>
          <w:sz w:val="24"/>
        </w:rPr>
        <w:t> </w:t>
      </w:r>
      <w:r>
        <w:rPr>
          <w:sz w:val="24"/>
        </w:rPr>
        <w:t>not </w:t>
      </w:r>
      <w:r>
        <w:rPr>
          <w:spacing w:val="3"/>
          <w:sz w:val="24"/>
        </w:rPr>
        <w:t>only </w:t>
      </w:r>
      <w:r>
        <w:rPr>
          <w:sz w:val="24"/>
        </w:rPr>
        <w:t>in services but also in manufacturing and construction. However, reports from the </w:t>
      </w:r>
      <w:r>
        <w:rPr>
          <w:spacing w:val="-6"/>
          <w:sz w:val="24"/>
        </w:rPr>
        <w:t>Bank’s </w:t>
      </w:r>
      <w:r>
        <w:rPr>
          <w:sz w:val="24"/>
        </w:rPr>
        <w:t>regional Agents did not suggest much </w:t>
      </w:r>
      <w:r>
        <w:rPr>
          <w:spacing w:val="2"/>
          <w:sz w:val="24"/>
        </w:rPr>
        <w:t>of </w:t>
      </w:r>
      <w:r>
        <w:rPr>
          <w:sz w:val="24"/>
        </w:rPr>
        <w:t>an improvement in retail conditions, with demand sluggish in many</w:t>
      </w:r>
      <w:r>
        <w:rPr>
          <w:spacing w:val="21"/>
          <w:sz w:val="24"/>
        </w:rPr>
        <w:t> </w:t>
      </w:r>
      <w:r>
        <w:rPr>
          <w:sz w:val="24"/>
        </w:rPr>
        <w:t>areas.</w:t>
      </w:r>
    </w:p>
    <w:p>
      <w:pPr>
        <w:pStyle w:val="BodyText"/>
        <w:spacing w:before="2"/>
        <w:rPr>
          <w:sz w:val="31"/>
        </w:rPr>
      </w:pPr>
    </w:p>
    <w:p>
      <w:pPr>
        <w:pStyle w:val="ListParagraph"/>
        <w:numPr>
          <w:ilvl w:val="0"/>
          <w:numId w:val="2"/>
        </w:numPr>
        <w:tabs>
          <w:tab w:pos="1285" w:val="left" w:leader="none"/>
        </w:tabs>
        <w:spacing w:line="360" w:lineRule="auto" w:before="1" w:after="0"/>
        <w:ind w:left="924" w:right="966" w:firstLine="0"/>
        <w:jc w:val="left"/>
        <w:rPr>
          <w:sz w:val="24"/>
        </w:rPr>
      </w:pPr>
      <w:r>
        <w:rPr>
          <w:sz w:val="24"/>
        </w:rPr>
        <w:t>Data from surveys and </w:t>
      </w:r>
      <w:r>
        <w:rPr>
          <w:spacing w:val="4"/>
          <w:sz w:val="24"/>
        </w:rPr>
        <w:t>other </w:t>
      </w:r>
      <w:r>
        <w:rPr>
          <w:sz w:val="24"/>
        </w:rPr>
        <w:t>published sources had been used </w:t>
      </w:r>
      <w:r>
        <w:rPr>
          <w:spacing w:val="2"/>
          <w:sz w:val="24"/>
        </w:rPr>
        <w:t>to </w:t>
      </w:r>
      <w:r>
        <w:rPr>
          <w:sz w:val="24"/>
        </w:rPr>
        <w:t>produce estimates for GDP in the second quarter, both by the National Institute for Economic Research and by Bank staff. </w:t>
      </w:r>
      <w:r>
        <w:rPr>
          <w:spacing w:val="2"/>
          <w:sz w:val="24"/>
        </w:rPr>
        <w:t>These </w:t>
      </w:r>
      <w:r>
        <w:rPr>
          <w:sz w:val="24"/>
        </w:rPr>
        <w:t>suggested that growth in Q2 could be marginally higher than in the central projection in the May </w:t>
      </w:r>
      <w:r>
        <w:rPr>
          <w:i/>
          <w:sz w:val="24"/>
        </w:rPr>
        <w:t>Inflation Report</w:t>
      </w:r>
      <w:r>
        <w:rPr>
          <w:sz w:val="24"/>
        </w:rPr>
        <w:t>. Such estimates were subject </w:t>
      </w:r>
      <w:r>
        <w:rPr>
          <w:spacing w:val="2"/>
          <w:sz w:val="24"/>
        </w:rPr>
        <w:t>to </w:t>
      </w:r>
      <w:r>
        <w:rPr>
          <w:sz w:val="24"/>
        </w:rPr>
        <w:t>error, but appeared </w:t>
      </w:r>
      <w:r>
        <w:rPr>
          <w:spacing w:val="2"/>
          <w:sz w:val="24"/>
        </w:rPr>
        <w:t>to </w:t>
      </w:r>
      <w:r>
        <w:rPr>
          <w:sz w:val="24"/>
        </w:rPr>
        <w:t>indicate that the recovery in </w:t>
      </w:r>
      <w:r>
        <w:rPr>
          <w:spacing w:val="3"/>
          <w:sz w:val="24"/>
        </w:rPr>
        <w:t>output </w:t>
      </w:r>
      <w:r>
        <w:rPr>
          <w:sz w:val="24"/>
        </w:rPr>
        <w:t>growth was on track, and that the prospects for activity were slightly better than had appeared a month ago. One complication, however, was that the annual Blue Book dataset would be published later in July, together with the full Quarterly National Accounts for Q1, and might alter the measured profile </w:t>
      </w:r>
      <w:r>
        <w:rPr>
          <w:spacing w:val="2"/>
          <w:sz w:val="24"/>
        </w:rPr>
        <w:t>of </w:t>
      </w:r>
      <w:r>
        <w:rPr>
          <w:sz w:val="24"/>
        </w:rPr>
        <w:t>activity for recent years. But the size and direction </w:t>
      </w:r>
      <w:r>
        <w:rPr>
          <w:spacing w:val="2"/>
          <w:sz w:val="24"/>
        </w:rPr>
        <w:t>of </w:t>
      </w:r>
      <w:r>
        <w:rPr>
          <w:sz w:val="24"/>
        </w:rPr>
        <w:t>any revisions were not yet</w:t>
      </w:r>
      <w:r>
        <w:rPr>
          <w:spacing w:val="28"/>
          <w:sz w:val="24"/>
        </w:rPr>
        <w:t> </w:t>
      </w:r>
      <w:r>
        <w:rPr>
          <w:sz w:val="24"/>
        </w:rPr>
        <w:t>known.</w:t>
      </w:r>
    </w:p>
    <w:p>
      <w:pPr>
        <w:pStyle w:val="BodyText"/>
        <w:spacing w:before="1"/>
        <w:rPr>
          <w:sz w:val="31"/>
        </w:rPr>
      </w:pPr>
    </w:p>
    <w:p>
      <w:pPr>
        <w:pStyle w:val="ListParagraph"/>
        <w:numPr>
          <w:ilvl w:val="0"/>
          <w:numId w:val="2"/>
        </w:numPr>
        <w:tabs>
          <w:tab w:pos="1285" w:val="left" w:leader="none"/>
        </w:tabs>
        <w:spacing w:line="362" w:lineRule="auto" w:before="0" w:after="0"/>
        <w:ind w:left="925" w:right="1704" w:hanging="1"/>
        <w:jc w:val="left"/>
        <w:rPr>
          <w:sz w:val="24"/>
        </w:rPr>
      </w:pPr>
      <w:r>
        <w:rPr>
          <w:sz w:val="24"/>
        </w:rPr>
        <w:t>Indications from the housing market, reflecting data </w:t>
      </w:r>
      <w:r>
        <w:rPr>
          <w:spacing w:val="2"/>
          <w:sz w:val="24"/>
        </w:rPr>
        <w:t>on </w:t>
      </w:r>
      <w:r>
        <w:rPr>
          <w:sz w:val="24"/>
        </w:rPr>
        <w:t>prices, lending</w:t>
      </w:r>
      <w:r>
        <w:rPr>
          <w:spacing w:val="-35"/>
          <w:sz w:val="24"/>
        </w:rPr>
        <w:t> </w:t>
      </w:r>
      <w:r>
        <w:rPr>
          <w:sz w:val="24"/>
        </w:rPr>
        <w:t>and transactions, all suggested a continuing recovery from the previous</w:t>
      </w:r>
      <w:r>
        <w:rPr>
          <w:spacing w:val="-38"/>
          <w:sz w:val="24"/>
        </w:rPr>
        <w:t> </w:t>
      </w:r>
      <w:r>
        <w:rPr>
          <w:sz w:val="24"/>
        </w:rPr>
        <w:t>autumn.</w:t>
      </w:r>
    </w:p>
    <w:p>
      <w:pPr>
        <w:pStyle w:val="BodyText"/>
        <w:spacing w:line="360" w:lineRule="auto"/>
        <w:ind w:left="924" w:right="1031"/>
      </w:pPr>
      <w:r>
        <w:rPr/>
        <w:t>Developments in this area would require continued monitoring, although they were not yet a cause for concern.</w:t>
      </w:r>
    </w:p>
    <w:p>
      <w:pPr>
        <w:pStyle w:val="BodyText"/>
        <w:spacing w:before="9"/>
        <w:rPr>
          <w:sz w:val="30"/>
        </w:rPr>
      </w:pPr>
    </w:p>
    <w:p>
      <w:pPr>
        <w:pStyle w:val="ListParagraph"/>
        <w:numPr>
          <w:ilvl w:val="0"/>
          <w:numId w:val="2"/>
        </w:numPr>
        <w:tabs>
          <w:tab w:pos="1285" w:val="left" w:leader="none"/>
        </w:tabs>
        <w:spacing w:line="360" w:lineRule="auto" w:before="1" w:after="0"/>
        <w:ind w:left="924" w:right="1230" w:firstLine="0"/>
        <w:jc w:val="both"/>
        <w:rPr>
          <w:sz w:val="24"/>
        </w:rPr>
      </w:pPr>
      <w:r>
        <w:rPr>
          <w:sz w:val="24"/>
        </w:rPr>
        <w:t>On balance, the Committee agreed that the news </w:t>
      </w:r>
      <w:r>
        <w:rPr>
          <w:spacing w:val="3"/>
          <w:sz w:val="24"/>
        </w:rPr>
        <w:t>over </w:t>
      </w:r>
      <w:r>
        <w:rPr>
          <w:sz w:val="24"/>
        </w:rPr>
        <w:t>the past month suggested that the</w:t>
      </w:r>
      <w:r>
        <w:rPr>
          <w:spacing w:val="-5"/>
          <w:sz w:val="24"/>
        </w:rPr>
        <w:t> </w:t>
      </w:r>
      <w:r>
        <w:rPr>
          <w:sz w:val="24"/>
        </w:rPr>
        <w:t>projected</w:t>
      </w:r>
      <w:r>
        <w:rPr>
          <w:spacing w:val="-4"/>
          <w:sz w:val="24"/>
        </w:rPr>
        <w:t> </w:t>
      </w:r>
      <w:r>
        <w:rPr>
          <w:sz w:val="24"/>
        </w:rPr>
        <w:t>recovery</w:t>
      </w:r>
      <w:r>
        <w:rPr>
          <w:spacing w:val="-3"/>
          <w:sz w:val="24"/>
        </w:rPr>
        <w:t> </w:t>
      </w:r>
      <w:r>
        <w:rPr>
          <w:sz w:val="24"/>
        </w:rPr>
        <w:t>in</w:t>
      </w:r>
      <w:r>
        <w:rPr>
          <w:spacing w:val="-5"/>
          <w:sz w:val="24"/>
        </w:rPr>
        <w:t> </w:t>
      </w:r>
      <w:r>
        <w:rPr>
          <w:sz w:val="24"/>
        </w:rPr>
        <w:t>activity</w:t>
      </w:r>
      <w:r>
        <w:rPr>
          <w:spacing w:val="-5"/>
          <w:sz w:val="24"/>
        </w:rPr>
        <w:t> </w:t>
      </w:r>
      <w:r>
        <w:rPr>
          <w:sz w:val="24"/>
        </w:rPr>
        <w:t>seemed</w:t>
      </w:r>
      <w:r>
        <w:rPr>
          <w:spacing w:val="-4"/>
          <w:sz w:val="24"/>
        </w:rPr>
        <w:t> </w:t>
      </w:r>
      <w:r>
        <w:rPr>
          <w:spacing w:val="3"/>
          <w:sz w:val="24"/>
        </w:rPr>
        <w:t>to</w:t>
      </w:r>
      <w:r>
        <w:rPr>
          <w:spacing w:val="1"/>
          <w:sz w:val="24"/>
        </w:rPr>
        <w:t> </w:t>
      </w:r>
      <w:r>
        <w:rPr>
          <w:sz w:val="24"/>
        </w:rPr>
        <w:t>be</w:t>
      </w:r>
      <w:r>
        <w:rPr>
          <w:spacing w:val="-5"/>
          <w:sz w:val="24"/>
        </w:rPr>
        <w:t> </w:t>
      </w:r>
      <w:r>
        <w:rPr>
          <w:sz w:val="24"/>
        </w:rPr>
        <w:t>underway</w:t>
      </w:r>
      <w:r>
        <w:rPr>
          <w:spacing w:val="-5"/>
          <w:sz w:val="24"/>
        </w:rPr>
        <w:t> </w:t>
      </w:r>
      <w:r>
        <w:rPr>
          <w:sz w:val="24"/>
        </w:rPr>
        <w:t>and</w:t>
      </w:r>
      <w:r>
        <w:rPr>
          <w:spacing w:val="-5"/>
          <w:sz w:val="24"/>
        </w:rPr>
        <w:t> </w:t>
      </w:r>
      <w:r>
        <w:rPr>
          <w:sz w:val="24"/>
        </w:rPr>
        <w:t>was</w:t>
      </w:r>
      <w:r>
        <w:rPr>
          <w:spacing w:val="-4"/>
          <w:sz w:val="24"/>
        </w:rPr>
        <w:t> </w:t>
      </w:r>
      <w:r>
        <w:rPr>
          <w:sz w:val="24"/>
        </w:rPr>
        <w:t>if</w:t>
      </w:r>
      <w:r>
        <w:rPr>
          <w:spacing w:val="-5"/>
          <w:sz w:val="24"/>
        </w:rPr>
        <w:t> </w:t>
      </w:r>
      <w:r>
        <w:rPr>
          <w:sz w:val="24"/>
        </w:rPr>
        <w:t>anything</w:t>
      </w:r>
      <w:r>
        <w:rPr>
          <w:spacing w:val="-5"/>
          <w:sz w:val="24"/>
        </w:rPr>
        <w:t> </w:t>
      </w:r>
      <w:r>
        <w:rPr>
          <w:sz w:val="24"/>
        </w:rPr>
        <w:t>a little faster than</w:t>
      </w:r>
      <w:r>
        <w:rPr>
          <w:spacing w:val="10"/>
          <w:sz w:val="24"/>
        </w:rPr>
        <w:t> </w:t>
      </w:r>
      <w:r>
        <w:rPr>
          <w:sz w:val="24"/>
        </w:rPr>
        <w:t>expected.</w:t>
      </w:r>
    </w:p>
    <w:p>
      <w:pPr>
        <w:pStyle w:val="BodyText"/>
        <w:spacing w:before="9"/>
        <w:rPr>
          <w:sz w:val="31"/>
        </w:rPr>
      </w:pPr>
    </w:p>
    <w:p>
      <w:pPr>
        <w:pStyle w:val="Heading2"/>
        <w:jc w:val="both"/>
      </w:pPr>
      <w:r>
        <w:rPr/>
        <w:t>The labour market</w:t>
      </w:r>
    </w:p>
    <w:p>
      <w:pPr>
        <w:pStyle w:val="BodyText"/>
        <w:rPr>
          <w:b/>
          <w:sz w:val="26"/>
        </w:rPr>
      </w:pPr>
    </w:p>
    <w:p>
      <w:pPr>
        <w:pStyle w:val="ListParagraph"/>
        <w:numPr>
          <w:ilvl w:val="0"/>
          <w:numId w:val="2"/>
        </w:numPr>
        <w:tabs>
          <w:tab w:pos="1285" w:val="left" w:leader="none"/>
        </w:tabs>
        <w:spacing w:line="360" w:lineRule="auto" w:before="193" w:after="0"/>
        <w:ind w:left="924" w:right="1124" w:firstLine="0"/>
        <w:jc w:val="left"/>
        <w:rPr>
          <w:sz w:val="24"/>
        </w:rPr>
      </w:pPr>
      <w:r>
        <w:rPr>
          <w:sz w:val="24"/>
        </w:rPr>
        <w:t>Data </w:t>
      </w:r>
      <w:r>
        <w:rPr>
          <w:spacing w:val="2"/>
          <w:sz w:val="24"/>
        </w:rPr>
        <w:t>on </w:t>
      </w:r>
      <w:r>
        <w:rPr>
          <w:sz w:val="24"/>
        </w:rPr>
        <w:t>labour market quantities were also consistent with a somewhat stronger path than had been expected for activity in Q2. Employment had continued </w:t>
      </w:r>
      <w:r>
        <w:rPr>
          <w:spacing w:val="3"/>
          <w:sz w:val="24"/>
        </w:rPr>
        <w:t>to </w:t>
      </w:r>
      <w:r>
        <w:rPr>
          <w:sz w:val="24"/>
        </w:rPr>
        <w:t>grow, if</w:t>
      </w:r>
      <w:r>
        <w:rPr>
          <w:spacing w:val="-6"/>
          <w:sz w:val="24"/>
        </w:rPr>
        <w:t> </w:t>
      </w:r>
      <w:r>
        <w:rPr>
          <w:sz w:val="24"/>
        </w:rPr>
        <w:t>at</w:t>
      </w:r>
      <w:r>
        <w:rPr>
          <w:spacing w:val="-1"/>
          <w:sz w:val="24"/>
        </w:rPr>
        <w:t> </w:t>
      </w:r>
      <w:r>
        <w:rPr>
          <w:sz w:val="24"/>
        </w:rPr>
        <w:t>a</w:t>
      </w:r>
      <w:r>
        <w:rPr>
          <w:spacing w:val="-5"/>
          <w:sz w:val="24"/>
        </w:rPr>
        <w:t> </w:t>
      </w:r>
      <w:r>
        <w:rPr>
          <w:sz w:val="24"/>
        </w:rPr>
        <w:t>slower</w:t>
      </w:r>
      <w:r>
        <w:rPr>
          <w:spacing w:val="-6"/>
          <w:sz w:val="24"/>
        </w:rPr>
        <w:t> </w:t>
      </w:r>
      <w:r>
        <w:rPr>
          <w:sz w:val="24"/>
        </w:rPr>
        <w:t>pace,</w:t>
      </w:r>
      <w:r>
        <w:rPr>
          <w:spacing w:val="-6"/>
          <w:sz w:val="24"/>
        </w:rPr>
        <w:t> </w:t>
      </w:r>
      <w:r>
        <w:rPr>
          <w:sz w:val="24"/>
        </w:rPr>
        <w:t>with</w:t>
      </w:r>
      <w:r>
        <w:rPr>
          <w:spacing w:val="-5"/>
          <w:sz w:val="24"/>
        </w:rPr>
        <w:t> </w:t>
      </w:r>
      <w:r>
        <w:rPr>
          <w:sz w:val="24"/>
        </w:rPr>
        <w:t>the</w:t>
      </w:r>
      <w:r>
        <w:rPr>
          <w:spacing w:val="-5"/>
          <w:sz w:val="24"/>
        </w:rPr>
        <w:t> </w:t>
      </w:r>
      <w:r>
        <w:rPr>
          <w:sz w:val="24"/>
        </w:rPr>
        <w:t>increase</w:t>
      </w:r>
      <w:r>
        <w:rPr>
          <w:spacing w:val="-6"/>
          <w:sz w:val="24"/>
        </w:rPr>
        <w:t> </w:t>
      </w:r>
      <w:r>
        <w:rPr>
          <w:sz w:val="24"/>
        </w:rPr>
        <w:t>more</w:t>
      </w:r>
      <w:r>
        <w:rPr>
          <w:spacing w:val="-5"/>
          <w:sz w:val="24"/>
        </w:rPr>
        <w:t> </w:t>
      </w:r>
      <w:r>
        <w:rPr>
          <w:sz w:val="24"/>
        </w:rPr>
        <w:t>than</w:t>
      </w:r>
      <w:r>
        <w:rPr>
          <w:spacing w:val="-6"/>
          <w:sz w:val="24"/>
        </w:rPr>
        <w:t> </w:t>
      </w:r>
      <w:r>
        <w:rPr>
          <w:sz w:val="24"/>
        </w:rPr>
        <w:t>accounted</w:t>
      </w:r>
      <w:r>
        <w:rPr>
          <w:spacing w:val="-5"/>
          <w:sz w:val="24"/>
        </w:rPr>
        <w:t> </w:t>
      </w:r>
      <w:r>
        <w:rPr>
          <w:sz w:val="24"/>
        </w:rPr>
        <w:t>for</w:t>
      </w:r>
      <w:r>
        <w:rPr>
          <w:spacing w:val="-6"/>
          <w:sz w:val="24"/>
        </w:rPr>
        <w:t> </w:t>
      </w:r>
      <w:r>
        <w:rPr>
          <w:sz w:val="24"/>
        </w:rPr>
        <w:t>by</w:t>
      </w:r>
      <w:r>
        <w:rPr>
          <w:spacing w:val="-6"/>
          <w:sz w:val="24"/>
        </w:rPr>
        <w:t> </w:t>
      </w:r>
      <w:r>
        <w:rPr>
          <w:sz w:val="24"/>
        </w:rPr>
        <w:t>full-time</w:t>
      </w:r>
      <w:r>
        <w:rPr>
          <w:spacing w:val="-6"/>
          <w:sz w:val="24"/>
        </w:rPr>
        <w:t> </w:t>
      </w:r>
      <w:r>
        <w:rPr>
          <w:sz w:val="24"/>
        </w:rPr>
        <w:t>workers.</w:t>
      </w:r>
    </w:p>
    <w:p>
      <w:pPr>
        <w:spacing w:after="0" w:line="360" w:lineRule="auto"/>
        <w:jc w:val="left"/>
        <w:rPr>
          <w:sz w:val="24"/>
        </w:rPr>
        <w:sectPr>
          <w:pgSz w:w="11900" w:h="16840"/>
          <w:pgMar w:header="580" w:footer="0" w:top="1340" w:bottom="280" w:left="880" w:right="860"/>
        </w:sectPr>
      </w:pPr>
    </w:p>
    <w:p>
      <w:pPr>
        <w:pStyle w:val="BodyText"/>
        <w:spacing w:line="360" w:lineRule="auto" w:before="98"/>
        <w:ind w:left="924" w:right="1016"/>
      </w:pPr>
      <w:r>
        <w:rPr/>
        <w:t>Unemployment had again declined slightly, reflecting a fall in the numbers of the short-term unemployed. Despite the slowdown in GDP growth over the past year, the unemployment rate was little changed from its mid-1998 level. Overall, labour market conditions remained somewhat tighter than had been expected, and the possibility of a substantial rise in unemployment had diminished.</w:t>
      </w:r>
    </w:p>
    <w:p>
      <w:pPr>
        <w:pStyle w:val="BodyText"/>
        <w:spacing w:before="2"/>
        <w:rPr>
          <w:sz w:val="31"/>
        </w:rPr>
      </w:pPr>
    </w:p>
    <w:p>
      <w:pPr>
        <w:pStyle w:val="ListParagraph"/>
        <w:numPr>
          <w:ilvl w:val="0"/>
          <w:numId w:val="2"/>
        </w:numPr>
        <w:tabs>
          <w:tab w:pos="1285" w:val="left" w:leader="none"/>
        </w:tabs>
        <w:spacing w:line="360" w:lineRule="auto" w:before="1" w:after="0"/>
        <w:ind w:left="924" w:right="1011" w:firstLine="0"/>
        <w:jc w:val="left"/>
        <w:rPr>
          <w:sz w:val="24"/>
        </w:rPr>
      </w:pPr>
      <w:r>
        <w:rPr>
          <w:sz w:val="24"/>
        </w:rPr>
        <w:t>By contrast, growth in nominal earnings appeared </w:t>
      </w:r>
      <w:r>
        <w:rPr>
          <w:spacing w:val="3"/>
          <w:sz w:val="24"/>
        </w:rPr>
        <w:t>to </w:t>
      </w:r>
      <w:r>
        <w:rPr>
          <w:sz w:val="24"/>
        </w:rPr>
        <w:t>be slowing more than expected, with the Average </w:t>
      </w:r>
      <w:r>
        <w:rPr>
          <w:spacing w:val="2"/>
          <w:sz w:val="24"/>
        </w:rPr>
        <w:t>Earnings </w:t>
      </w:r>
      <w:r>
        <w:rPr>
          <w:sz w:val="24"/>
        </w:rPr>
        <w:t>Index (AEI) showing a decline in earnings growth in the private sector and in services. The fall in the twelve-month growth rate </w:t>
      </w:r>
      <w:r>
        <w:rPr>
          <w:spacing w:val="3"/>
          <w:sz w:val="24"/>
        </w:rPr>
        <w:t>to </w:t>
      </w:r>
      <w:r>
        <w:rPr>
          <w:sz w:val="24"/>
        </w:rPr>
        <w:t>April was particularly marked, in part </w:t>
      </w:r>
      <w:r>
        <w:rPr>
          <w:spacing w:val="2"/>
          <w:sz w:val="24"/>
        </w:rPr>
        <w:t>reflecting </w:t>
      </w:r>
      <w:r>
        <w:rPr>
          <w:sz w:val="24"/>
        </w:rPr>
        <w:t>a fall in bonus payments by comparison with a year ago. It would be unwise </w:t>
      </w:r>
      <w:r>
        <w:rPr>
          <w:spacing w:val="2"/>
          <w:sz w:val="24"/>
        </w:rPr>
        <w:t>to </w:t>
      </w:r>
      <w:r>
        <w:rPr>
          <w:sz w:val="24"/>
        </w:rPr>
        <w:t>place </w:t>
      </w:r>
      <w:r>
        <w:rPr>
          <w:spacing w:val="3"/>
          <w:sz w:val="24"/>
        </w:rPr>
        <w:t>too </w:t>
      </w:r>
      <w:r>
        <w:rPr>
          <w:sz w:val="24"/>
        </w:rPr>
        <w:t>much emphasis </w:t>
      </w:r>
      <w:r>
        <w:rPr>
          <w:spacing w:val="2"/>
          <w:sz w:val="24"/>
        </w:rPr>
        <w:t>on </w:t>
      </w:r>
      <w:r>
        <w:rPr>
          <w:sz w:val="24"/>
        </w:rPr>
        <w:t>a single month’s figure for the AEI, but there were </w:t>
      </w:r>
      <w:r>
        <w:rPr>
          <w:spacing w:val="4"/>
          <w:sz w:val="24"/>
        </w:rPr>
        <w:t>other </w:t>
      </w:r>
      <w:r>
        <w:rPr>
          <w:sz w:val="24"/>
        </w:rPr>
        <w:t>signs </w:t>
      </w:r>
      <w:r>
        <w:rPr>
          <w:spacing w:val="2"/>
          <w:sz w:val="24"/>
        </w:rPr>
        <w:t>of </w:t>
      </w:r>
      <w:r>
        <w:rPr>
          <w:sz w:val="24"/>
        </w:rPr>
        <w:t>a deceleration in private </w:t>
      </w:r>
      <w:r>
        <w:rPr>
          <w:spacing w:val="2"/>
          <w:sz w:val="24"/>
        </w:rPr>
        <w:t>sector </w:t>
      </w:r>
      <w:r>
        <w:rPr>
          <w:sz w:val="24"/>
        </w:rPr>
        <w:t>nominal earnings, for instance in the Reward index. The </w:t>
      </w:r>
      <w:r>
        <w:rPr>
          <w:spacing w:val="-5"/>
          <w:sz w:val="24"/>
        </w:rPr>
        <w:t>Bank’s </w:t>
      </w:r>
      <w:r>
        <w:rPr>
          <w:sz w:val="24"/>
        </w:rPr>
        <w:t>matched</w:t>
      </w:r>
      <w:r>
        <w:rPr>
          <w:spacing w:val="-8"/>
          <w:sz w:val="24"/>
        </w:rPr>
        <w:t> </w:t>
      </w:r>
      <w:r>
        <w:rPr>
          <w:sz w:val="24"/>
        </w:rPr>
        <w:t>sample</w:t>
      </w:r>
      <w:r>
        <w:rPr>
          <w:spacing w:val="-8"/>
          <w:sz w:val="24"/>
        </w:rPr>
        <w:t> </w:t>
      </w:r>
      <w:r>
        <w:rPr>
          <w:spacing w:val="2"/>
          <w:sz w:val="24"/>
        </w:rPr>
        <w:t>of</w:t>
      </w:r>
      <w:r>
        <w:rPr>
          <w:spacing w:val="-4"/>
          <w:sz w:val="24"/>
        </w:rPr>
        <w:t> </w:t>
      </w:r>
      <w:r>
        <w:rPr>
          <w:sz w:val="24"/>
        </w:rPr>
        <w:t>private</w:t>
      </w:r>
      <w:r>
        <w:rPr>
          <w:spacing w:val="-8"/>
          <w:sz w:val="24"/>
        </w:rPr>
        <w:t> </w:t>
      </w:r>
      <w:r>
        <w:rPr>
          <w:spacing w:val="2"/>
          <w:sz w:val="24"/>
        </w:rPr>
        <w:t>sector</w:t>
      </w:r>
      <w:r>
        <w:rPr>
          <w:spacing w:val="-3"/>
          <w:sz w:val="24"/>
        </w:rPr>
        <w:t> </w:t>
      </w:r>
      <w:r>
        <w:rPr>
          <w:sz w:val="24"/>
        </w:rPr>
        <w:t>settlements</w:t>
      </w:r>
      <w:r>
        <w:rPr>
          <w:spacing w:val="-8"/>
          <w:sz w:val="24"/>
        </w:rPr>
        <w:t> </w:t>
      </w:r>
      <w:r>
        <w:rPr>
          <w:sz w:val="24"/>
        </w:rPr>
        <w:t>also</w:t>
      </w:r>
      <w:r>
        <w:rPr>
          <w:spacing w:val="-8"/>
          <w:sz w:val="24"/>
        </w:rPr>
        <w:t> </w:t>
      </w:r>
      <w:r>
        <w:rPr>
          <w:sz w:val="24"/>
        </w:rPr>
        <w:t>showed</w:t>
      </w:r>
      <w:r>
        <w:rPr>
          <w:spacing w:val="-8"/>
          <w:sz w:val="24"/>
        </w:rPr>
        <w:t> </w:t>
      </w:r>
      <w:r>
        <w:rPr>
          <w:sz w:val="24"/>
        </w:rPr>
        <w:t>a</w:t>
      </w:r>
      <w:r>
        <w:rPr>
          <w:spacing w:val="-8"/>
          <w:sz w:val="24"/>
        </w:rPr>
        <w:t> </w:t>
      </w:r>
      <w:r>
        <w:rPr>
          <w:sz w:val="24"/>
        </w:rPr>
        <w:t>decline,</w:t>
      </w:r>
      <w:r>
        <w:rPr>
          <w:spacing w:val="-8"/>
          <w:sz w:val="24"/>
        </w:rPr>
        <w:t> </w:t>
      </w:r>
      <w:r>
        <w:rPr>
          <w:sz w:val="24"/>
        </w:rPr>
        <w:t>from</w:t>
      </w:r>
      <w:r>
        <w:rPr>
          <w:spacing w:val="-8"/>
          <w:sz w:val="24"/>
        </w:rPr>
        <w:t> </w:t>
      </w:r>
      <w:r>
        <w:rPr>
          <w:sz w:val="24"/>
        </w:rPr>
        <w:t>3.7%</w:t>
      </w:r>
      <w:r>
        <w:rPr>
          <w:spacing w:val="-7"/>
          <w:sz w:val="24"/>
        </w:rPr>
        <w:t> </w:t>
      </w:r>
      <w:r>
        <w:rPr>
          <w:sz w:val="24"/>
        </w:rPr>
        <w:t>a</w:t>
      </w:r>
      <w:r>
        <w:rPr>
          <w:spacing w:val="-8"/>
          <w:sz w:val="24"/>
        </w:rPr>
        <w:t> </w:t>
      </w:r>
      <w:r>
        <w:rPr>
          <w:sz w:val="24"/>
        </w:rPr>
        <w:t>year ago </w:t>
      </w:r>
      <w:r>
        <w:rPr>
          <w:spacing w:val="2"/>
          <w:sz w:val="24"/>
        </w:rPr>
        <w:t>to </w:t>
      </w:r>
      <w:r>
        <w:rPr>
          <w:sz w:val="24"/>
        </w:rPr>
        <w:t>3.1% in April, in contrast </w:t>
      </w:r>
      <w:r>
        <w:rPr>
          <w:spacing w:val="2"/>
          <w:sz w:val="24"/>
        </w:rPr>
        <w:t>to </w:t>
      </w:r>
      <w:r>
        <w:rPr>
          <w:sz w:val="24"/>
        </w:rPr>
        <w:t>the rise in public sector</w:t>
      </w:r>
      <w:r>
        <w:rPr>
          <w:spacing w:val="4"/>
          <w:sz w:val="24"/>
        </w:rPr>
        <w:t> </w:t>
      </w:r>
      <w:r>
        <w:rPr>
          <w:sz w:val="24"/>
        </w:rPr>
        <w:t>settlements.</w:t>
      </w:r>
    </w:p>
    <w:p>
      <w:pPr>
        <w:pStyle w:val="BodyText"/>
        <w:spacing w:before="7"/>
        <w:rPr>
          <w:sz w:val="31"/>
        </w:rPr>
      </w:pPr>
    </w:p>
    <w:p>
      <w:pPr>
        <w:pStyle w:val="ListParagraph"/>
        <w:numPr>
          <w:ilvl w:val="0"/>
          <w:numId w:val="2"/>
        </w:numPr>
        <w:tabs>
          <w:tab w:pos="1285" w:val="left" w:leader="none"/>
        </w:tabs>
        <w:spacing w:line="360" w:lineRule="auto" w:before="0" w:after="0"/>
        <w:ind w:left="924" w:right="1056" w:firstLine="0"/>
        <w:jc w:val="left"/>
        <w:rPr>
          <w:sz w:val="24"/>
        </w:rPr>
      </w:pPr>
      <w:r>
        <w:rPr>
          <w:sz w:val="24"/>
        </w:rPr>
        <w:t>Reports from the </w:t>
      </w:r>
      <w:r>
        <w:rPr>
          <w:spacing w:val="-5"/>
          <w:sz w:val="24"/>
        </w:rPr>
        <w:t>Bank’s </w:t>
      </w:r>
      <w:r>
        <w:rPr>
          <w:sz w:val="24"/>
        </w:rPr>
        <w:t>regional Agents and the Federation </w:t>
      </w:r>
      <w:r>
        <w:rPr>
          <w:spacing w:val="2"/>
          <w:sz w:val="24"/>
        </w:rPr>
        <w:t>of </w:t>
      </w:r>
      <w:r>
        <w:rPr>
          <w:sz w:val="24"/>
        </w:rPr>
        <w:t>Recruitment and </w:t>
      </w:r>
      <w:r>
        <w:rPr>
          <w:spacing w:val="2"/>
          <w:sz w:val="24"/>
        </w:rPr>
        <w:t>Employment </w:t>
      </w:r>
      <w:r>
        <w:rPr>
          <w:sz w:val="24"/>
        </w:rPr>
        <w:t>Services provided less evidence </w:t>
      </w:r>
      <w:r>
        <w:rPr>
          <w:spacing w:val="2"/>
          <w:sz w:val="24"/>
        </w:rPr>
        <w:t>of </w:t>
      </w:r>
      <w:r>
        <w:rPr>
          <w:sz w:val="24"/>
        </w:rPr>
        <w:t>downwards pressure </w:t>
      </w:r>
      <w:r>
        <w:rPr>
          <w:spacing w:val="2"/>
          <w:sz w:val="24"/>
        </w:rPr>
        <w:t>on </w:t>
      </w:r>
      <w:r>
        <w:rPr>
          <w:sz w:val="24"/>
        </w:rPr>
        <w:t>pay. Nor was there any clear downward trend in the growth </w:t>
      </w:r>
      <w:r>
        <w:rPr>
          <w:spacing w:val="2"/>
          <w:sz w:val="24"/>
        </w:rPr>
        <w:t>of </w:t>
      </w:r>
      <w:r>
        <w:rPr>
          <w:sz w:val="24"/>
        </w:rPr>
        <w:t>earnings </w:t>
      </w:r>
      <w:r>
        <w:rPr>
          <w:spacing w:val="2"/>
          <w:sz w:val="24"/>
        </w:rPr>
        <w:t>on </w:t>
      </w:r>
      <w:r>
        <w:rPr>
          <w:sz w:val="24"/>
        </w:rPr>
        <w:t>a per hour basis. In addition, </w:t>
      </w:r>
      <w:r>
        <w:rPr>
          <w:spacing w:val="4"/>
          <w:sz w:val="24"/>
        </w:rPr>
        <w:t>one-year-ahead </w:t>
      </w:r>
      <w:r>
        <w:rPr>
          <w:sz w:val="24"/>
        </w:rPr>
        <w:t>inflation expectations </w:t>
      </w:r>
      <w:r>
        <w:rPr>
          <w:spacing w:val="2"/>
          <w:sz w:val="24"/>
        </w:rPr>
        <w:t>of </w:t>
      </w:r>
      <w:r>
        <w:rPr>
          <w:sz w:val="24"/>
        </w:rPr>
        <w:t>trade unionists – as given by the Barclays</w:t>
      </w:r>
      <w:r>
        <w:rPr>
          <w:spacing w:val="-2"/>
          <w:sz w:val="24"/>
        </w:rPr>
        <w:t> </w:t>
      </w:r>
      <w:r>
        <w:rPr>
          <w:sz w:val="24"/>
        </w:rPr>
        <w:t>Basix</w:t>
      </w:r>
      <w:r>
        <w:rPr>
          <w:spacing w:val="-7"/>
          <w:sz w:val="24"/>
        </w:rPr>
        <w:t> </w:t>
      </w:r>
      <w:r>
        <w:rPr>
          <w:sz w:val="24"/>
        </w:rPr>
        <w:t>survey</w:t>
      </w:r>
      <w:r>
        <w:rPr>
          <w:spacing w:val="-2"/>
          <w:sz w:val="24"/>
        </w:rPr>
        <w:t> </w:t>
      </w:r>
      <w:r>
        <w:rPr>
          <w:sz w:val="24"/>
        </w:rPr>
        <w:t>–</w:t>
      </w:r>
      <w:r>
        <w:rPr>
          <w:spacing w:val="2"/>
          <w:sz w:val="24"/>
        </w:rPr>
        <w:t> </w:t>
      </w:r>
      <w:r>
        <w:rPr>
          <w:sz w:val="24"/>
        </w:rPr>
        <w:t>had</w:t>
      </w:r>
      <w:r>
        <w:rPr>
          <w:spacing w:val="-4"/>
          <w:sz w:val="24"/>
        </w:rPr>
        <w:t> </w:t>
      </w:r>
      <w:r>
        <w:rPr>
          <w:sz w:val="24"/>
        </w:rPr>
        <w:t>fallen</w:t>
      </w:r>
      <w:r>
        <w:rPr>
          <w:spacing w:val="-5"/>
          <w:sz w:val="24"/>
        </w:rPr>
        <w:t> </w:t>
      </w:r>
      <w:r>
        <w:rPr>
          <w:sz w:val="24"/>
        </w:rPr>
        <w:t>by</w:t>
      </w:r>
      <w:r>
        <w:rPr>
          <w:spacing w:val="-4"/>
          <w:sz w:val="24"/>
        </w:rPr>
        <w:t> </w:t>
      </w:r>
      <w:r>
        <w:rPr>
          <w:sz w:val="24"/>
        </w:rPr>
        <w:t>0.8</w:t>
      </w:r>
      <w:r>
        <w:rPr>
          <w:spacing w:val="2"/>
          <w:sz w:val="24"/>
        </w:rPr>
        <w:t> </w:t>
      </w:r>
      <w:r>
        <w:rPr>
          <w:sz w:val="24"/>
        </w:rPr>
        <w:t>percentage</w:t>
      </w:r>
      <w:r>
        <w:rPr>
          <w:spacing w:val="-7"/>
          <w:sz w:val="24"/>
        </w:rPr>
        <w:t> </w:t>
      </w:r>
      <w:r>
        <w:rPr>
          <w:sz w:val="24"/>
        </w:rPr>
        <w:t>points</w:t>
      </w:r>
      <w:r>
        <w:rPr>
          <w:spacing w:val="1"/>
          <w:sz w:val="24"/>
        </w:rPr>
        <w:t> </w:t>
      </w:r>
      <w:r>
        <w:rPr>
          <w:spacing w:val="3"/>
          <w:sz w:val="24"/>
        </w:rPr>
        <w:t>over</w:t>
      </w:r>
      <w:r>
        <w:rPr>
          <w:spacing w:val="-3"/>
          <w:sz w:val="24"/>
        </w:rPr>
        <w:t> </w:t>
      </w:r>
      <w:r>
        <w:rPr>
          <w:sz w:val="24"/>
        </w:rPr>
        <w:t>the</w:t>
      </w:r>
      <w:r>
        <w:rPr>
          <w:spacing w:val="-8"/>
          <w:sz w:val="24"/>
        </w:rPr>
        <w:t> </w:t>
      </w:r>
      <w:r>
        <w:rPr>
          <w:sz w:val="24"/>
        </w:rPr>
        <w:t>past</w:t>
      </w:r>
      <w:r>
        <w:rPr>
          <w:spacing w:val="-4"/>
          <w:sz w:val="24"/>
        </w:rPr>
        <w:t> </w:t>
      </w:r>
      <w:r>
        <w:rPr>
          <w:sz w:val="24"/>
        </w:rPr>
        <w:t>year,</w:t>
      </w:r>
      <w:r>
        <w:rPr>
          <w:spacing w:val="-8"/>
          <w:sz w:val="24"/>
        </w:rPr>
        <w:t> </w:t>
      </w:r>
      <w:r>
        <w:rPr>
          <w:sz w:val="24"/>
        </w:rPr>
        <w:t>rather more than the fall in settlements, indicating that real wages were growing a little faster than a year ago. Developments in the growth </w:t>
      </w:r>
      <w:r>
        <w:rPr>
          <w:spacing w:val="2"/>
          <w:sz w:val="24"/>
        </w:rPr>
        <w:t>of </w:t>
      </w:r>
      <w:r>
        <w:rPr>
          <w:sz w:val="24"/>
        </w:rPr>
        <w:t>nominal and real wages therefore seemed </w:t>
      </w:r>
      <w:r>
        <w:rPr>
          <w:spacing w:val="3"/>
          <w:sz w:val="24"/>
        </w:rPr>
        <w:t>to </w:t>
      </w:r>
      <w:r>
        <w:rPr>
          <w:sz w:val="24"/>
        </w:rPr>
        <w:t>be rather different. An explanation might be that the effect </w:t>
      </w:r>
      <w:r>
        <w:rPr>
          <w:spacing w:val="2"/>
          <w:sz w:val="24"/>
        </w:rPr>
        <w:t>of </w:t>
      </w:r>
      <w:r>
        <w:rPr>
          <w:sz w:val="24"/>
        </w:rPr>
        <w:t>a change in inflation expectations </w:t>
      </w:r>
      <w:r>
        <w:rPr>
          <w:spacing w:val="3"/>
          <w:sz w:val="24"/>
        </w:rPr>
        <w:t>on </w:t>
      </w:r>
      <w:r>
        <w:rPr>
          <w:sz w:val="24"/>
        </w:rPr>
        <w:t>wage settlements was typically less than </w:t>
      </w:r>
      <w:r>
        <w:rPr>
          <w:spacing w:val="3"/>
          <w:sz w:val="24"/>
        </w:rPr>
        <w:t>one-for- </w:t>
      </w:r>
      <w:r>
        <w:rPr>
          <w:spacing w:val="2"/>
          <w:sz w:val="24"/>
        </w:rPr>
        <w:t>one </w:t>
      </w:r>
      <w:r>
        <w:rPr>
          <w:sz w:val="24"/>
        </w:rPr>
        <w:t>in the</w:t>
      </w:r>
      <w:r>
        <w:rPr>
          <w:spacing w:val="10"/>
          <w:sz w:val="24"/>
        </w:rPr>
        <w:t> </w:t>
      </w:r>
      <w:r>
        <w:rPr>
          <w:sz w:val="24"/>
        </w:rPr>
        <w:t>short-term.</w:t>
      </w:r>
    </w:p>
    <w:p>
      <w:pPr>
        <w:pStyle w:val="BodyText"/>
        <w:spacing w:before="1"/>
        <w:rPr>
          <w:sz w:val="31"/>
        </w:rPr>
      </w:pPr>
    </w:p>
    <w:p>
      <w:pPr>
        <w:pStyle w:val="ListParagraph"/>
        <w:numPr>
          <w:ilvl w:val="0"/>
          <w:numId w:val="2"/>
        </w:numPr>
        <w:tabs>
          <w:tab w:pos="1285" w:val="left" w:leader="none"/>
        </w:tabs>
        <w:spacing w:line="360" w:lineRule="auto" w:before="0" w:after="0"/>
        <w:ind w:left="924" w:right="1006" w:firstLine="0"/>
        <w:jc w:val="left"/>
        <w:rPr>
          <w:sz w:val="24"/>
        </w:rPr>
      </w:pPr>
      <w:r>
        <w:rPr>
          <w:sz w:val="24"/>
        </w:rPr>
        <w:t>The Committee noted that the National Minimum Wage had come into effect in April and had been expected </w:t>
      </w:r>
      <w:r>
        <w:rPr>
          <w:spacing w:val="3"/>
          <w:sz w:val="24"/>
        </w:rPr>
        <w:t>to </w:t>
      </w:r>
      <w:r>
        <w:rPr>
          <w:sz w:val="24"/>
        </w:rPr>
        <w:t>raise measures </w:t>
      </w:r>
      <w:r>
        <w:rPr>
          <w:spacing w:val="2"/>
          <w:sz w:val="24"/>
        </w:rPr>
        <w:t>of </w:t>
      </w:r>
      <w:r>
        <w:rPr>
          <w:sz w:val="24"/>
        </w:rPr>
        <w:t>average earnings. However, around half </w:t>
      </w:r>
      <w:r>
        <w:rPr>
          <w:spacing w:val="2"/>
          <w:sz w:val="24"/>
        </w:rPr>
        <w:t>of </w:t>
      </w:r>
      <w:r>
        <w:rPr>
          <w:sz w:val="24"/>
        </w:rPr>
        <w:t>those affected were thought </w:t>
      </w:r>
      <w:r>
        <w:rPr>
          <w:spacing w:val="3"/>
          <w:sz w:val="24"/>
        </w:rPr>
        <w:t>to </w:t>
      </w:r>
      <w:r>
        <w:rPr>
          <w:sz w:val="24"/>
        </w:rPr>
        <w:t>work in firms which were </w:t>
      </w:r>
      <w:r>
        <w:rPr>
          <w:spacing w:val="4"/>
          <w:sz w:val="24"/>
        </w:rPr>
        <w:t>too </w:t>
      </w:r>
      <w:r>
        <w:rPr>
          <w:sz w:val="24"/>
        </w:rPr>
        <w:t>small </w:t>
      </w:r>
      <w:r>
        <w:rPr>
          <w:spacing w:val="3"/>
          <w:sz w:val="24"/>
        </w:rPr>
        <w:t>to </w:t>
      </w:r>
      <w:r>
        <w:rPr>
          <w:sz w:val="24"/>
        </w:rPr>
        <w:t>be covered in the AEI sample. </w:t>
      </w:r>
      <w:r>
        <w:rPr>
          <w:spacing w:val="2"/>
          <w:sz w:val="24"/>
        </w:rPr>
        <w:t>This </w:t>
      </w:r>
      <w:r>
        <w:rPr>
          <w:sz w:val="24"/>
        </w:rPr>
        <w:t>increased the difficulties </w:t>
      </w:r>
      <w:r>
        <w:rPr>
          <w:spacing w:val="3"/>
          <w:sz w:val="24"/>
        </w:rPr>
        <w:t>of </w:t>
      </w:r>
      <w:r>
        <w:rPr>
          <w:sz w:val="24"/>
        </w:rPr>
        <w:t>assessing the impact </w:t>
      </w:r>
      <w:r>
        <w:rPr>
          <w:spacing w:val="4"/>
          <w:sz w:val="24"/>
        </w:rPr>
        <w:t>of </w:t>
      </w:r>
      <w:r>
        <w:rPr>
          <w:sz w:val="24"/>
        </w:rPr>
        <w:t>the minimum wage </w:t>
      </w:r>
      <w:r>
        <w:rPr>
          <w:spacing w:val="3"/>
          <w:sz w:val="24"/>
        </w:rPr>
        <w:t>on </w:t>
      </w:r>
      <w:r>
        <w:rPr>
          <w:sz w:val="24"/>
        </w:rPr>
        <w:t>earnings more generally. It was possible that more </w:t>
      </w:r>
      <w:r>
        <w:rPr>
          <w:spacing w:val="3"/>
          <w:sz w:val="24"/>
        </w:rPr>
        <w:t>of </w:t>
      </w:r>
      <w:r>
        <w:rPr>
          <w:spacing w:val="2"/>
          <w:sz w:val="24"/>
        </w:rPr>
        <w:t>the </w:t>
      </w:r>
      <w:r>
        <w:rPr>
          <w:sz w:val="24"/>
        </w:rPr>
        <w:t>effect from the National Minimum Wage had been </w:t>
      </w:r>
      <w:r>
        <w:rPr>
          <w:spacing w:val="2"/>
          <w:sz w:val="24"/>
        </w:rPr>
        <w:t>reflected </w:t>
      </w:r>
      <w:r>
        <w:rPr>
          <w:sz w:val="24"/>
        </w:rPr>
        <w:t>in earnings before April than had previously been</w:t>
      </w:r>
      <w:r>
        <w:rPr>
          <w:spacing w:val="21"/>
          <w:sz w:val="24"/>
        </w:rPr>
        <w:t> </w:t>
      </w:r>
      <w:r>
        <w:rPr>
          <w:sz w:val="24"/>
        </w:rPr>
        <w:t>assumed.</w:t>
      </w:r>
    </w:p>
    <w:p>
      <w:pPr>
        <w:spacing w:after="0" w:line="360" w:lineRule="auto"/>
        <w:jc w:val="left"/>
        <w:rPr>
          <w:sz w:val="24"/>
        </w:rPr>
        <w:sectPr>
          <w:pgSz w:w="11900" w:h="16840"/>
          <w:pgMar w:header="580" w:footer="0" w:top="1340" w:bottom="280" w:left="880" w:right="860"/>
        </w:sectPr>
      </w:pPr>
    </w:p>
    <w:p>
      <w:pPr>
        <w:pStyle w:val="ListParagraph"/>
        <w:numPr>
          <w:ilvl w:val="0"/>
          <w:numId w:val="2"/>
        </w:numPr>
        <w:tabs>
          <w:tab w:pos="1285" w:val="left" w:leader="none"/>
        </w:tabs>
        <w:spacing w:line="360" w:lineRule="auto" w:before="98" w:after="0"/>
        <w:ind w:left="924" w:right="978" w:firstLine="0"/>
        <w:jc w:val="left"/>
        <w:rPr>
          <w:sz w:val="24"/>
        </w:rPr>
      </w:pPr>
      <w:r>
        <w:rPr>
          <w:sz w:val="24"/>
        </w:rPr>
        <w:t>It was possible, however, that any deceleration in nominal earnings might prove temporary. First, during the past year, RPI inflation had fallen from </w:t>
      </w:r>
      <w:r>
        <w:rPr>
          <w:spacing w:val="3"/>
          <w:sz w:val="24"/>
        </w:rPr>
        <w:t>over </w:t>
      </w:r>
      <w:r>
        <w:rPr>
          <w:sz w:val="24"/>
        </w:rPr>
        <w:t>4% </w:t>
      </w:r>
      <w:r>
        <w:rPr>
          <w:spacing w:val="3"/>
          <w:sz w:val="24"/>
        </w:rPr>
        <w:t>to </w:t>
      </w:r>
      <w:r>
        <w:rPr>
          <w:sz w:val="24"/>
        </w:rPr>
        <w:t>1.3%. If this was the measure </w:t>
      </w:r>
      <w:r>
        <w:rPr>
          <w:spacing w:val="2"/>
          <w:sz w:val="24"/>
        </w:rPr>
        <w:t>on </w:t>
      </w:r>
      <w:r>
        <w:rPr>
          <w:sz w:val="24"/>
        </w:rPr>
        <w:t>which wage bargainers focussed, rather than RPIX, it might help explain the slowdown in earnings growth. But as the impact </w:t>
      </w:r>
      <w:r>
        <w:rPr>
          <w:spacing w:val="3"/>
          <w:sz w:val="24"/>
        </w:rPr>
        <w:t>of </w:t>
      </w:r>
      <w:r>
        <w:rPr>
          <w:sz w:val="24"/>
        </w:rPr>
        <w:t>the reduction</w:t>
      </w:r>
      <w:r>
        <w:rPr>
          <w:spacing w:val="-4"/>
          <w:sz w:val="24"/>
        </w:rPr>
        <w:t> </w:t>
      </w:r>
      <w:r>
        <w:rPr>
          <w:sz w:val="24"/>
        </w:rPr>
        <w:t>in</w:t>
      </w:r>
      <w:r>
        <w:rPr>
          <w:spacing w:val="-6"/>
          <w:sz w:val="24"/>
        </w:rPr>
        <w:t> </w:t>
      </w:r>
      <w:r>
        <w:rPr>
          <w:sz w:val="24"/>
        </w:rPr>
        <w:t>interest</w:t>
      </w:r>
      <w:r>
        <w:rPr>
          <w:spacing w:val="-1"/>
          <w:sz w:val="24"/>
        </w:rPr>
        <w:t> </w:t>
      </w:r>
      <w:r>
        <w:rPr>
          <w:sz w:val="24"/>
        </w:rPr>
        <w:t>rates</w:t>
      </w:r>
      <w:r>
        <w:rPr>
          <w:spacing w:val="-4"/>
          <w:sz w:val="24"/>
        </w:rPr>
        <w:t> </w:t>
      </w:r>
      <w:r>
        <w:rPr>
          <w:sz w:val="24"/>
        </w:rPr>
        <w:t>began</w:t>
      </w:r>
      <w:r>
        <w:rPr>
          <w:spacing w:val="-5"/>
          <w:sz w:val="24"/>
        </w:rPr>
        <w:t> </w:t>
      </w:r>
      <w:r>
        <w:rPr>
          <w:spacing w:val="2"/>
          <w:sz w:val="24"/>
        </w:rPr>
        <w:t>to</w:t>
      </w:r>
      <w:r>
        <w:rPr>
          <w:spacing w:val="-1"/>
          <w:sz w:val="24"/>
        </w:rPr>
        <w:t> </w:t>
      </w:r>
      <w:r>
        <w:rPr>
          <w:sz w:val="24"/>
        </w:rPr>
        <w:t>fade,</w:t>
      </w:r>
      <w:r>
        <w:rPr>
          <w:spacing w:val="-6"/>
          <w:sz w:val="24"/>
        </w:rPr>
        <w:t> </w:t>
      </w:r>
      <w:r>
        <w:rPr>
          <w:sz w:val="24"/>
        </w:rPr>
        <w:t>growth</w:t>
      </w:r>
      <w:r>
        <w:rPr>
          <w:spacing w:val="-5"/>
          <w:sz w:val="24"/>
        </w:rPr>
        <w:t> </w:t>
      </w:r>
      <w:r>
        <w:rPr>
          <w:sz w:val="24"/>
        </w:rPr>
        <w:t>in</w:t>
      </w:r>
      <w:r>
        <w:rPr>
          <w:spacing w:val="-6"/>
          <w:sz w:val="24"/>
        </w:rPr>
        <w:t> </w:t>
      </w:r>
      <w:r>
        <w:rPr>
          <w:sz w:val="24"/>
        </w:rPr>
        <w:t>RPI</w:t>
      </w:r>
      <w:r>
        <w:rPr>
          <w:spacing w:val="-6"/>
          <w:sz w:val="24"/>
        </w:rPr>
        <w:t> </w:t>
      </w:r>
      <w:r>
        <w:rPr>
          <w:sz w:val="24"/>
        </w:rPr>
        <w:t>would</w:t>
      </w:r>
      <w:r>
        <w:rPr>
          <w:spacing w:val="-6"/>
          <w:sz w:val="24"/>
        </w:rPr>
        <w:t> </w:t>
      </w:r>
      <w:r>
        <w:rPr>
          <w:sz w:val="24"/>
        </w:rPr>
        <w:t>become</w:t>
      </w:r>
      <w:r>
        <w:rPr>
          <w:spacing w:val="-5"/>
          <w:sz w:val="24"/>
        </w:rPr>
        <w:t> </w:t>
      </w:r>
      <w:r>
        <w:rPr>
          <w:sz w:val="24"/>
        </w:rPr>
        <w:t>closer</w:t>
      </w:r>
      <w:r>
        <w:rPr>
          <w:spacing w:val="-6"/>
          <w:sz w:val="24"/>
        </w:rPr>
        <w:t> </w:t>
      </w:r>
      <w:r>
        <w:rPr>
          <w:spacing w:val="2"/>
          <w:sz w:val="24"/>
        </w:rPr>
        <w:t>to</w:t>
      </w:r>
      <w:r>
        <w:rPr>
          <w:spacing w:val="-1"/>
          <w:sz w:val="24"/>
        </w:rPr>
        <w:t> </w:t>
      </w:r>
      <w:r>
        <w:rPr>
          <w:sz w:val="24"/>
        </w:rPr>
        <w:t>that of RPIX. Second, the fall in settlements might </w:t>
      </w:r>
      <w:r>
        <w:rPr>
          <w:spacing w:val="2"/>
          <w:sz w:val="24"/>
        </w:rPr>
        <w:t>reflect </w:t>
      </w:r>
      <w:r>
        <w:rPr>
          <w:sz w:val="24"/>
        </w:rPr>
        <w:t>the plunge in business confidence in the autumn, when expectations </w:t>
      </w:r>
      <w:r>
        <w:rPr>
          <w:spacing w:val="2"/>
          <w:sz w:val="24"/>
        </w:rPr>
        <w:t>of </w:t>
      </w:r>
      <w:r>
        <w:rPr>
          <w:sz w:val="24"/>
        </w:rPr>
        <w:t>future profits had been revised down, </w:t>
      </w:r>
      <w:r>
        <w:rPr>
          <w:spacing w:val="2"/>
          <w:sz w:val="24"/>
        </w:rPr>
        <w:t>or </w:t>
      </w:r>
      <w:r>
        <w:rPr>
          <w:sz w:val="24"/>
        </w:rPr>
        <w:t>the sharp fall in consumer confidence, perhaps due </w:t>
      </w:r>
      <w:r>
        <w:rPr>
          <w:spacing w:val="3"/>
          <w:sz w:val="24"/>
        </w:rPr>
        <w:t>to </w:t>
      </w:r>
      <w:r>
        <w:rPr>
          <w:sz w:val="24"/>
        </w:rPr>
        <w:t>increasing fears </w:t>
      </w:r>
      <w:r>
        <w:rPr>
          <w:spacing w:val="3"/>
          <w:sz w:val="24"/>
        </w:rPr>
        <w:t>of </w:t>
      </w:r>
      <w:r>
        <w:rPr>
          <w:sz w:val="24"/>
        </w:rPr>
        <w:t>unemployment. Since then, survey data pointed </w:t>
      </w:r>
      <w:r>
        <w:rPr>
          <w:spacing w:val="3"/>
          <w:sz w:val="24"/>
        </w:rPr>
        <w:t>to </w:t>
      </w:r>
      <w:r>
        <w:rPr>
          <w:sz w:val="24"/>
        </w:rPr>
        <w:t>a recovery in business and consumer</w:t>
      </w:r>
      <w:r>
        <w:rPr>
          <w:spacing w:val="-31"/>
          <w:sz w:val="24"/>
        </w:rPr>
        <w:t> </w:t>
      </w:r>
      <w:r>
        <w:rPr>
          <w:sz w:val="24"/>
        </w:rPr>
        <w:t>confidence.</w:t>
      </w:r>
    </w:p>
    <w:p>
      <w:pPr>
        <w:pStyle w:val="BodyText"/>
        <w:spacing w:line="362" w:lineRule="auto"/>
        <w:ind w:left="925" w:right="1031" w:hanging="1"/>
      </w:pPr>
      <w:r>
        <w:rPr/>
        <w:t>Third, lower bonus payments might reflect lower profits; if so this might reverse as the economy recovered.</w:t>
      </w:r>
    </w:p>
    <w:p>
      <w:pPr>
        <w:pStyle w:val="BodyText"/>
        <w:spacing w:before="11"/>
        <w:rPr>
          <w:sz w:val="30"/>
        </w:rPr>
      </w:pPr>
    </w:p>
    <w:p>
      <w:pPr>
        <w:pStyle w:val="ListParagraph"/>
        <w:numPr>
          <w:ilvl w:val="0"/>
          <w:numId w:val="2"/>
        </w:numPr>
        <w:tabs>
          <w:tab w:pos="1285" w:val="left" w:leader="none"/>
        </w:tabs>
        <w:spacing w:line="360" w:lineRule="auto" w:before="0" w:after="0"/>
        <w:ind w:left="924" w:right="968" w:firstLine="0"/>
        <w:jc w:val="left"/>
        <w:rPr>
          <w:sz w:val="24"/>
        </w:rPr>
      </w:pPr>
      <w:r>
        <w:rPr>
          <w:sz w:val="24"/>
        </w:rPr>
        <w:t>However,</w:t>
      </w:r>
      <w:r>
        <w:rPr>
          <w:spacing w:val="-10"/>
          <w:sz w:val="24"/>
        </w:rPr>
        <w:t> </w:t>
      </w:r>
      <w:r>
        <w:rPr>
          <w:sz w:val="24"/>
        </w:rPr>
        <w:t>a</w:t>
      </w:r>
      <w:r>
        <w:rPr>
          <w:spacing w:val="-9"/>
          <w:sz w:val="24"/>
        </w:rPr>
        <w:t> </w:t>
      </w:r>
      <w:r>
        <w:rPr>
          <w:sz w:val="24"/>
        </w:rPr>
        <w:t>temporary</w:t>
      </w:r>
      <w:r>
        <w:rPr>
          <w:spacing w:val="-9"/>
          <w:sz w:val="24"/>
        </w:rPr>
        <w:t> </w:t>
      </w:r>
      <w:r>
        <w:rPr>
          <w:sz w:val="24"/>
        </w:rPr>
        <w:t>downward</w:t>
      </w:r>
      <w:r>
        <w:rPr>
          <w:spacing w:val="-9"/>
          <w:sz w:val="24"/>
        </w:rPr>
        <w:t> </w:t>
      </w:r>
      <w:r>
        <w:rPr>
          <w:sz w:val="24"/>
        </w:rPr>
        <w:t>shock</w:t>
      </w:r>
      <w:r>
        <w:rPr>
          <w:spacing w:val="-9"/>
          <w:sz w:val="24"/>
        </w:rPr>
        <w:t> </w:t>
      </w:r>
      <w:r>
        <w:rPr>
          <w:spacing w:val="3"/>
          <w:sz w:val="24"/>
        </w:rPr>
        <w:t>to</w:t>
      </w:r>
      <w:r>
        <w:rPr>
          <w:spacing w:val="-5"/>
          <w:sz w:val="24"/>
        </w:rPr>
        <w:t> </w:t>
      </w:r>
      <w:r>
        <w:rPr>
          <w:sz w:val="24"/>
        </w:rPr>
        <w:t>inflation</w:t>
      </w:r>
      <w:r>
        <w:rPr>
          <w:spacing w:val="-9"/>
          <w:sz w:val="24"/>
        </w:rPr>
        <w:t> </w:t>
      </w:r>
      <w:r>
        <w:rPr>
          <w:sz w:val="24"/>
        </w:rPr>
        <w:t>might</w:t>
      </w:r>
      <w:r>
        <w:rPr>
          <w:spacing w:val="-5"/>
          <w:sz w:val="24"/>
        </w:rPr>
        <w:t> </w:t>
      </w:r>
      <w:r>
        <w:rPr>
          <w:sz w:val="24"/>
        </w:rPr>
        <w:t>persist</w:t>
      </w:r>
      <w:r>
        <w:rPr>
          <w:spacing w:val="-5"/>
          <w:sz w:val="24"/>
        </w:rPr>
        <w:t> </w:t>
      </w:r>
      <w:r>
        <w:rPr>
          <w:sz w:val="24"/>
        </w:rPr>
        <w:t>for</w:t>
      </w:r>
      <w:r>
        <w:rPr>
          <w:spacing w:val="-9"/>
          <w:sz w:val="24"/>
        </w:rPr>
        <w:t> </w:t>
      </w:r>
      <w:r>
        <w:rPr>
          <w:sz w:val="24"/>
        </w:rPr>
        <w:t>some</w:t>
      </w:r>
      <w:r>
        <w:rPr>
          <w:spacing w:val="-9"/>
          <w:sz w:val="24"/>
        </w:rPr>
        <w:t> </w:t>
      </w:r>
      <w:r>
        <w:rPr>
          <w:sz w:val="24"/>
        </w:rPr>
        <w:t>time</w:t>
      </w:r>
      <w:r>
        <w:rPr>
          <w:spacing w:val="-9"/>
          <w:sz w:val="24"/>
        </w:rPr>
        <w:t> </w:t>
      </w:r>
      <w:r>
        <w:rPr>
          <w:sz w:val="24"/>
        </w:rPr>
        <w:t>in so far as the settlements sought by wage bargainers were determined by recent inflation </w:t>
      </w:r>
      <w:r>
        <w:rPr>
          <w:spacing w:val="4"/>
          <w:sz w:val="24"/>
        </w:rPr>
        <w:t>outturns. </w:t>
      </w:r>
      <w:r>
        <w:rPr>
          <w:sz w:val="24"/>
        </w:rPr>
        <w:t>It was also possible that supply-side factors, such as the increasing importance </w:t>
      </w:r>
      <w:r>
        <w:rPr>
          <w:spacing w:val="3"/>
          <w:sz w:val="24"/>
        </w:rPr>
        <w:t>of </w:t>
      </w:r>
      <w:r>
        <w:rPr>
          <w:sz w:val="24"/>
        </w:rPr>
        <w:t>the services </w:t>
      </w:r>
      <w:r>
        <w:rPr>
          <w:spacing w:val="3"/>
          <w:sz w:val="24"/>
        </w:rPr>
        <w:t>sector, </w:t>
      </w:r>
      <w:r>
        <w:rPr>
          <w:sz w:val="24"/>
        </w:rPr>
        <w:t>falling union membership, and labour market </w:t>
      </w:r>
      <w:r>
        <w:rPr>
          <w:spacing w:val="2"/>
          <w:sz w:val="24"/>
        </w:rPr>
        <w:t>reforms,</w:t>
      </w:r>
      <w:r>
        <w:rPr>
          <w:spacing w:val="-7"/>
          <w:sz w:val="24"/>
        </w:rPr>
        <w:t> </w:t>
      </w:r>
      <w:r>
        <w:rPr>
          <w:sz w:val="24"/>
        </w:rPr>
        <w:t>might</w:t>
      </w:r>
      <w:r>
        <w:rPr>
          <w:spacing w:val="-3"/>
          <w:sz w:val="24"/>
        </w:rPr>
        <w:t> </w:t>
      </w:r>
      <w:r>
        <w:rPr>
          <w:sz w:val="24"/>
        </w:rPr>
        <w:t>have</w:t>
      </w:r>
      <w:r>
        <w:rPr>
          <w:spacing w:val="-7"/>
          <w:sz w:val="24"/>
        </w:rPr>
        <w:t> </w:t>
      </w:r>
      <w:r>
        <w:rPr>
          <w:spacing w:val="2"/>
          <w:sz w:val="24"/>
        </w:rPr>
        <w:t>reduced</w:t>
      </w:r>
      <w:r>
        <w:rPr>
          <w:spacing w:val="-6"/>
          <w:sz w:val="24"/>
        </w:rPr>
        <w:t> </w:t>
      </w:r>
      <w:r>
        <w:rPr>
          <w:sz w:val="24"/>
        </w:rPr>
        <w:t>the</w:t>
      </w:r>
      <w:r>
        <w:rPr>
          <w:spacing w:val="-7"/>
          <w:sz w:val="24"/>
        </w:rPr>
        <w:t> </w:t>
      </w:r>
      <w:r>
        <w:rPr>
          <w:spacing w:val="2"/>
          <w:sz w:val="24"/>
        </w:rPr>
        <w:t>rate</w:t>
      </w:r>
      <w:r>
        <w:rPr>
          <w:spacing w:val="-6"/>
          <w:sz w:val="24"/>
        </w:rPr>
        <w:t> </w:t>
      </w:r>
      <w:r>
        <w:rPr>
          <w:spacing w:val="3"/>
          <w:sz w:val="24"/>
        </w:rPr>
        <w:t>of</w:t>
      </w:r>
      <w:r>
        <w:rPr>
          <w:spacing w:val="-4"/>
          <w:sz w:val="24"/>
        </w:rPr>
        <w:t> </w:t>
      </w:r>
      <w:r>
        <w:rPr>
          <w:sz w:val="24"/>
        </w:rPr>
        <w:t>unemployment</w:t>
      </w:r>
      <w:r>
        <w:rPr>
          <w:spacing w:val="-3"/>
          <w:sz w:val="24"/>
        </w:rPr>
        <w:t> </w:t>
      </w:r>
      <w:r>
        <w:rPr>
          <w:sz w:val="24"/>
        </w:rPr>
        <w:t>at</w:t>
      </w:r>
      <w:r>
        <w:rPr>
          <w:spacing w:val="-3"/>
          <w:sz w:val="24"/>
        </w:rPr>
        <w:t> </w:t>
      </w:r>
      <w:r>
        <w:rPr>
          <w:sz w:val="24"/>
        </w:rPr>
        <w:t>which</w:t>
      </w:r>
      <w:r>
        <w:rPr>
          <w:spacing w:val="-8"/>
          <w:sz w:val="24"/>
        </w:rPr>
        <w:t> </w:t>
      </w:r>
      <w:r>
        <w:rPr>
          <w:sz w:val="24"/>
        </w:rPr>
        <w:t>wage</w:t>
      </w:r>
      <w:r>
        <w:rPr>
          <w:spacing w:val="-7"/>
          <w:sz w:val="24"/>
        </w:rPr>
        <w:t> </w:t>
      </w:r>
      <w:r>
        <w:rPr>
          <w:sz w:val="24"/>
        </w:rPr>
        <w:t>inflation</w:t>
      </w:r>
      <w:r>
        <w:rPr>
          <w:spacing w:val="-7"/>
          <w:sz w:val="24"/>
        </w:rPr>
        <w:t> </w:t>
      </w:r>
      <w:r>
        <w:rPr>
          <w:sz w:val="24"/>
        </w:rPr>
        <w:t>would tend </w:t>
      </w:r>
      <w:r>
        <w:rPr>
          <w:spacing w:val="2"/>
          <w:sz w:val="24"/>
        </w:rPr>
        <w:t>to</w:t>
      </w:r>
      <w:r>
        <w:rPr>
          <w:spacing w:val="4"/>
          <w:sz w:val="24"/>
        </w:rPr>
        <w:t> </w:t>
      </w:r>
      <w:r>
        <w:rPr>
          <w:sz w:val="24"/>
        </w:rPr>
        <w:t>increase.</w:t>
      </w:r>
    </w:p>
    <w:p>
      <w:pPr>
        <w:pStyle w:val="BodyText"/>
        <w:spacing w:before="6"/>
        <w:rPr>
          <w:sz w:val="31"/>
        </w:rPr>
      </w:pPr>
    </w:p>
    <w:p>
      <w:pPr>
        <w:pStyle w:val="Heading2"/>
      </w:pPr>
      <w:r>
        <w:rPr/>
        <w:t>Prices and costs</w:t>
      </w:r>
    </w:p>
    <w:p>
      <w:pPr>
        <w:pStyle w:val="BodyText"/>
        <w:rPr>
          <w:b/>
          <w:sz w:val="26"/>
        </w:rPr>
      </w:pPr>
    </w:p>
    <w:p>
      <w:pPr>
        <w:pStyle w:val="ListParagraph"/>
        <w:numPr>
          <w:ilvl w:val="0"/>
          <w:numId w:val="2"/>
        </w:numPr>
        <w:tabs>
          <w:tab w:pos="1285" w:val="left" w:leader="none"/>
        </w:tabs>
        <w:spacing w:line="360" w:lineRule="auto" w:before="198" w:after="0"/>
        <w:ind w:left="924" w:right="1017" w:firstLine="0"/>
        <w:jc w:val="left"/>
        <w:rPr>
          <w:sz w:val="24"/>
        </w:rPr>
      </w:pPr>
      <w:r>
        <w:rPr>
          <w:sz w:val="24"/>
        </w:rPr>
        <w:t>RPIX inflation had fallen by more than expected in May, foreshadowed by </w:t>
      </w:r>
      <w:r>
        <w:rPr>
          <w:spacing w:val="2"/>
          <w:sz w:val="24"/>
        </w:rPr>
        <w:t>the </w:t>
      </w:r>
      <w:r>
        <w:rPr>
          <w:sz w:val="24"/>
        </w:rPr>
        <w:t>ONS advance estimate available </w:t>
      </w:r>
      <w:r>
        <w:rPr>
          <w:spacing w:val="3"/>
          <w:sz w:val="24"/>
        </w:rPr>
        <w:t>to </w:t>
      </w:r>
      <w:r>
        <w:rPr>
          <w:sz w:val="24"/>
        </w:rPr>
        <w:t>the Committee at its June meeting. </w:t>
      </w:r>
      <w:r>
        <w:rPr>
          <w:spacing w:val="2"/>
          <w:sz w:val="24"/>
        </w:rPr>
        <w:t>This </w:t>
      </w:r>
      <w:r>
        <w:rPr>
          <w:sz w:val="24"/>
        </w:rPr>
        <w:t>was largely</w:t>
      </w:r>
      <w:r>
        <w:rPr>
          <w:spacing w:val="-7"/>
          <w:sz w:val="24"/>
        </w:rPr>
        <w:t> </w:t>
      </w:r>
      <w:r>
        <w:rPr>
          <w:sz w:val="24"/>
        </w:rPr>
        <w:t>accounted</w:t>
      </w:r>
      <w:r>
        <w:rPr>
          <w:spacing w:val="-7"/>
          <w:sz w:val="24"/>
        </w:rPr>
        <w:t> </w:t>
      </w:r>
      <w:r>
        <w:rPr>
          <w:sz w:val="24"/>
        </w:rPr>
        <w:t>for</w:t>
      </w:r>
      <w:r>
        <w:rPr>
          <w:spacing w:val="-7"/>
          <w:sz w:val="24"/>
        </w:rPr>
        <w:t> </w:t>
      </w:r>
      <w:r>
        <w:rPr>
          <w:sz w:val="24"/>
        </w:rPr>
        <w:t>by</w:t>
      </w:r>
      <w:r>
        <w:rPr>
          <w:spacing w:val="-7"/>
          <w:sz w:val="24"/>
        </w:rPr>
        <w:t> </w:t>
      </w:r>
      <w:r>
        <w:rPr>
          <w:sz w:val="24"/>
        </w:rPr>
        <w:t>food</w:t>
      </w:r>
      <w:r>
        <w:rPr>
          <w:spacing w:val="-7"/>
          <w:sz w:val="24"/>
        </w:rPr>
        <w:t> </w:t>
      </w:r>
      <w:r>
        <w:rPr>
          <w:sz w:val="24"/>
        </w:rPr>
        <w:t>prices,</w:t>
      </w:r>
      <w:r>
        <w:rPr>
          <w:spacing w:val="-6"/>
          <w:sz w:val="24"/>
        </w:rPr>
        <w:t> </w:t>
      </w:r>
      <w:r>
        <w:rPr>
          <w:sz w:val="24"/>
        </w:rPr>
        <w:t>and</w:t>
      </w:r>
      <w:r>
        <w:rPr>
          <w:spacing w:val="-7"/>
          <w:sz w:val="24"/>
        </w:rPr>
        <w:t> </w:t>
      </w:r>
      <w:r>
        <w:rPr>
          <w:spacing w:val="2"/>
          <w:sz w:val="24"/>
        </w:rPr>
        <w:t>to</w:t>
      </w:r>
      <w:r>
        <w:rPr>
          <w:spacing w:val="-2"/>
          <w:sz w:val="24"/>
        </w:rPr>
        <w:t> </w:t>
      </w:r>
      <w:r>
        <w:rPr>
          <w:sz w:val="24"/>
        </w:rPr>
        <w:t>that</w:t>
      </w:r>
      <w:r>
        <w:rPr>
          <w:spacing w:val="-3"/>
          <w:sz w:val="24"/>
        </w:rPr>
        <w:t> </w:t>
      </w:r>
      <w:r>
        <w:rPr>
          <w:sz w:val="24"/>
        </w:rPr>
        <w:t>extent</w:t>
      </w:r>
      <w:r>
        <w:rPr>
          <w:spacing w:val="-1"/>
          <w:sz w:val="24"/>
        </w:rPr>
        <w:t> </w:t>
      </w:r>
      <w:r>
        <w:rPr>
          <w:sz w:val="24"/>
        </w:rPr>
        <w:t>the</w:t>
      </w:r>
      <w:r>
        <w:rPr>
          <w:spacing w:val="-7"/>
          <w:sz w:val="24"/>
        </w:rPr>
        <w:t> </w:t>
      </w:r>
      <w:r>
        <w:rPr>
          <w:sz w:val="24"/>
        </w:rPr>
        <w:t>impact</w:t>
      </w:r>
      <w:r>
        <w:rPr>
          <w:spacing w:val="-3"/>
          <w:sz w:val="24"/>
        </w:rPr>
        <w:t> </w:t>
      </w:r>
      <w:r>
        <w:rPr>
          <w:spacing w:val="2"/>
          <w:sz w:val="24"/>
        </w:rPr>
        <w:t>on</w:t>
      </w:r>
      <w:r>
        <w:rPr>
          <w:spacing w:val="-2"/>
          <w:sz w:val="24"/>
        </w:rPr>
        <w:t> </w:t>
      </w:r>
      <w:r>
        <w:rPr>
          <w:sz w:val="24"/>
        </w:rPr>
        <w:t>prices</w:t>
      </w:r>
      <w:r>
        <w:rPr>
          <w:spacing w:val="-7"/>
          <w:sz w:val="24"/>
        </w:rPr>
        <w:t> </w:t>
      </w:r>
      <w:r>
        <w:rPr>
          <w:sz w:val="24"/>
        </w:rPr>
        <w:t>two</w:t>
      </w:r>
      <w:r>
        <w:rPr>
          <w:spacing w:val="-7"/>
          <w:sz w:val="24"/>
        </w:rPr>
        <w:t> </w:t>
      </w:r>
      <w:r>
        <w:rPr>
          <w:sz w:val="24"/>
        </w:rPr>
        <w:t>years ahead was unclear. That depended, in part, </w:t>
      </w:r>
      <w:r>
        <w:rPr>
          <w:spacing w:val="2"/>
          <w:sz w:val="24"/>
        </w:rPr>
        <w:t>on </w:t>
      </w:r>
      <w:r>
        <w:rPr>
          <w:sz w:val="24"/>
        </w:rPr>
        <w:t>whether the weakness in non-seasonal food</w:t>
      </w:r>
      <w:r>
        <w:rPr>
          <w:spacing w:val="-7"/>
          <w:sz w:val="24"/>
        </w:rPr>
        <w:t> </w:t>
      </w:r>
      <w:r>
        <w:rPr>
          <w:sz w:val="24"/>
        </w:rPr>
        <w:t>prices</w:t>
      </w:r>
      <w:r>
        <w:rPr>
          <w:spacing w:val="-6"/>
          <w:sz w:val="24"/>
        </w:rPr>
        <w:t> </w:t>
      </w:r>
      <w:r>
        <w:rPr>
          <w:sz w:val="24"/>
        </w:rPr>
        <w:t>was</w:t>
      </w:r>
      <w:r>
        <w:rPr>
          <w:spacing w:val="-6"/>
          <w:sz w:val="24"/>
        </w:rPr>
        <w:t> </w:t>
      </w:r>
      <w:r>
        <w:rPr>
          <w:sz w:val="24"/>
        </w:rPr>
        <w:t>transient</w:t>
      </w:r>
      <w:r>
        <w:rPr>
          <w:spacing w:val="-1"/>
          <w:sz w:val="24"/>
        </w:rPr>
        <w:t> </w:t>
      </w:r>
      <w:r>
        <w:rPr>
          <w:spacing w:val="2"/>
          <w:sz w:val="24"/>
        </w:rPr>
        <w:t>or</w:t>
      </w:r>
      <w:r>
        <w:rPr>
          <w:spacing w:val="-2"/>
          <w:sz w:val="24"/>
        </w:rPr>
        <w:t> </w:t>
      </w:r>
      <w:r>
        <w:rPr>
          <w:sz w:val="24"/>
        </w:rPr>
        <w:t>reflected</w:t>
      </w:r>
      <w:r>
        <w:rPr>
          <w:spacing w:val="-5"/>
          <w:sz w:val="24"/>
        </w:rPr>
        <w:t> </w:t>
      </w:r>
      <w:r>
        <w:rPr>
          <w:sz w:val="24"/>
        </w:rPr>
        <w:t>a</w:t>
      </w:r>
      <w:r>
        <w:rPr>
          <w:spacing w:val="-6"/>
          <w:sz w:val="24"/>
        </w:rPr>
        <w:t> </w:t>
      </w:r>
      <w:r>
        <w:rPr>
          <w:sz w:val="24"/>
        </w:rPr>
        <w:t>trend</w:t>
      </w:r>
      <w:r>
        <w:rPr>
          <w:spacing w:val="-7"/>
          <w:sz w:val="24"/>
        </w:rPr>
        <w:t> </w:t>
      </w:r>
      <w:r>
        <w:rPr>
          <w:sz w:val="24"/>
        </w:rPr>
        <w:t>towards</w:t>
      </w:r>
      <w:r>
        <w:rPr>
          <w:spacing w:val="-6"/>
          <w:sz w:val="24"/>
        </w:rPr>
        <w:t> </w:t>
      </w:r>
      <w:r>
        <w:rPr>
          <w:sz w:val="24"/>
        </w:rPr>
        <w:t>a</w:t>
      </w:r>
      <w:r>
        <w:rPr>
          <w:spacing w:val="-6"/>
          <w:sz w:val="24"/>
        </w:rPr>
        <w:t> </w:t>
      </w:r>
      <w:r>
        <w:rPr>
          <w:sz w:val="24"/>
        </w:rPr>
        <w:t>compression</w:t>
      </w:r>
      <w:r>
        <w:rPr>
          <w:spacing w:val="-7"/>
          <w:sz w:val="24"/>
        </w:rPr>
        <w:t> </w:t>
      </w:r>
      <w:r>
        <w:rPr>
          <w:spacing w:val="2"/>
          <w:sz w:val="24"/>
        </w:rPr>
        <w:t>of</w:t>
      </w:r>
      <w:r>
        <w:rPr>
          <w:spacing w:val="-2"/>
          <w:sz w:val="24"/>
        </w:rPr>
        <w:t> </w:t>
      </w:r>
      <w:r>
        <w:rPr>
          <w:sz w:val="24"/>
        </w:rPr>
        <w:t>retail</w:t>
      </w:r>
      <w:r>
        <w:rPr>
          <w:spacing w:val="-4"/>
          <w:sz w:val="24"/>
        </w:rPr>
        <w:t> </w:t>
      </w:r>
      <w:r>
        <w:rPr>
          <w:sz w:val="24"/>
        </w:rPr>
        <w:t>margins. Even if the food price weakness were transient, its impact </w:t>
      </w:r>
      <w:r>
        <w:rPr>
          <w:spacing w:val="2"/>
          <w:sz w:val="24"/>
        </w:rPr>
        <w:t>on </w:t>
      </w:r>
      <w:r>
        <w:rPr>
          <w:sz w:val="24"/>
        </w:rPr>
        <w:t>RPIX two years </w:t>
      </w:r>
      <w:r>
        <w:rPr>
          <w:spacing w:val="2"/>
          <w:sz w:val="24"/>
        </w:rPr>
        <w:t>out </w:t>
      </w:r>
      <w:r>
        <w:rPr>
          <w:sz w:val="24"/>
        </w:rPr>
        <w:t>would depend </w:t>
      </w:r>
      <w:r>
        <w:rPr>
          <w:spacing w:val="2"/>
          <w:sz w:val="24"/>
        </w:rPr>
        <w:t>on </w:t>
      </w:r>
      <w:r>
        <w:rPr>
          <w:sz w:val="24"/>
        </w:rPr>
        <w:t>the degree </w:t>
      </w:r>
      <w:r>
        <w:rPr>
          <w:spacing w:val="2"/>
          <w:sz w:val="24"/>
        </w:rPr>
        <w:t>of </w:t>
      </w:r>
      <w:r>
        <w:rPr>
          <w:sz w:val="24"/>
        </w:rPr>
        <w:t>persistence </w:t>
      </w:r>
      <w:r>
        <w:rPr>
          <w:spacing w:val="2"/>
          <w:sz w:val="24"/>
        </w:rPr>
        <w:t>of </w:t>
      </w:r>
      <w:r>
        <w:rPr>
          <w:sz w:val="24"/>
        </w:rPr>
        <w:t>the effect </w:t>
      </w:r>
      <w:r>
        <w:rPr>
          <w:spacing w:val="2"/>
          <w:sz w:val="24"/>
        </w:rPr>
        <w:t>of </w:t>
      </w:r>
      <w:r>
        <w:rPr>
          <w:sz w:val="24"/>
        </w:rPr>
        <w:t>a temporary shock </w:t>
      </w:r>
      <w:r>
        <w:rPr>
          <w:spacing w:val="3"/>
          <w:sz w:val="24"/>
        </w:rPr>
        <w:t>to </w:t>
      </w:r>
      <w:r>
        <w:rPr>
          <w:sz w:val="24"/>
        </w:rPr>
        <w:t>inflation. In May, </w:t>
      </w:r>
      <w:r>
        <w:rPr>
          <w:spacing w:val="4"/>
          <w:sz w:val="24"/>
        </w:rPr>
        <w:t>other </w:t>
      </w:r>
      <w:r>
        <w:rPr>
          <w:sz w:val="24"/>
        </w:rPr>
        <w:t>goods inflation had been marginally weaker than</w:t>
      </w:r>
      <w:r>
        <w:rPr>
          <w:spacing w:val="13"/>
          <w:sz w:val="24"/>
        </w:rPr>
        <w:t> </w:t>
      </w:r>
      <w:r>
        <w:rPr>
          <w:sz w:val="24"/>
        </w:rPr>
        <w:t>expected</w:t>
      </w:r>
    </w:p>
    <w:p>
      <w:pPr>
        <w:spacing w:after="0" w:line="360" w:lineRule="auto"/>
        <w:jc w:val="left"/>
        <w:rPr>
          <w:sz w:val="24"/>
        </w:rPr>
        <w:sectPr>
          <w:pgSz w:w="11900" w:h="16840"/>
          <w:pgMar w:header="580" w:footer="0" w:top="1340" w:bottom="280" w:left="880" w:right="860"/>
        </w:sectPr>
      </w:pPr>
    </w:p>
    <w:p>
      <w:pPr>
        <w:pStyle w:val="BodyText"/>
        <w:spacing w:line="360" w:lineRule="auto" w:before="98"/>
        <w:ind w:left="924" w:right="1031"/>
      </w:pPr>
      <w:r>
        <w:rPr/>
        <w:t>and services inflation marginally stronger. The annual retail sales deflator had fallen in the year to May - the first fall since the series began in 1986.</w:t>
      </w:r>
    </w:p>
    <w:p>
      <w:pPr>
        <w:pStyle w:val="BodyText"/>
        <w:spacing w:before="6"/>
        <w:rPr>
          <w:sz w:val="31"/>
        </w:rPr>
      </w:pPr>
    </w:p>
    <w:p>
      <w:pPr>
        <w:pStyle w:val="ListParagraph"/>
        <w:numPr>
          <w:ilvl w:val="0"/>
          <w:numId w:val="2"/>
        </w:numPr>
        <w:tabs>
          <w:tab w:pos="1285" w:val="left" w:leader="none"/>
        </w:tabs>
        <w:spacing w:line="360" w:lineRule="auto" w:before="0" w:after="0"/>
        <w:ind w:left="924" w:right="985" w:firstLine="0"/>
        <w:jc w:val="left"/>
        <w:rPr>
          <w:sz w:val="24"/>
        </w:rPr>
      </w:pPr>
      <w:r>
        <w:rPr>
          <w:sz w:val="24"/>
        </w:rPr>
        <w:t>Both</w:t>
      </w:r>
      <w:r>
        <w:rPr>
          <w:spacing w:val="-6"/>
          <w:sz w:val="24"/>
        </w:rPr>
        <w:t> </w:t>
      </w:r>
      <w:r>
        <w:rPr>
          <w:spacing w:val="3"/>
          <w:sz w:val="24"/>
        </w:rPr>
        <w:t>oil</w:t>
      </w:r>
      <w:r>
        <w:rPr>
          <w:spacing w:val="-2"/>
          <w:sz w:val="24"/>
        </w:rPr>
        <w:t> </w:t>
      </w:r>
      <w:r>
        <w:rPr>
          <w:sz w:val="24"/>
        </w:rPr>
        <w:t>and</w:t>
      </w:r>
      <w:r>
        <w:rPr>
          <w:spacing w:val="-6"/>
          <w:sz w:val="24"/>
        </w:rPr>
        <w:t> </w:t>
      </w:r>
      <w:r>
        <w:rPr>
          <w:sz w:val="24"/>
        </w:rPr>
        <w:t>non-oil</w:t>
      </w:r>
      <w:r>
        <w:rPr>
          <w:spacing w:val="-6"/>
          <w:sz w:val="24"/>
        </w:rPr>
        <w:t> </w:t>
      </w:r>
      <w:r>
        <w:rPr>
          <w:sz w:val="24"/>
        </w:rPr>
        <w:t>commodity</w:t>
      </w:r>
      <w:r>
        <w:rPr>
          <w:spacing w:val="-6"/>
          <w:sz w:val="24"/>
        </w:rPr>
        <w:t> </w:t>
      </w:r>
      <w:r>
        <w:rPr>
          <w:sz w:val="24"/>
        </w:rPr>
        <w:t>prices</w:t>
      </w:r>
      <w:r>
        <w:rPr>
          <w:spacing w:val="-6"/>
          <w:sz w:val="24"/>
        </w:rPr>
        <w:t> </w:t>
      </w:r>
      <w:r>
        <w:rPr>
          <w:sz w:val="24"/>
        </w:rPr>
        <w:t>were</w:t>
      </w:r>
      <w:r>
        <w:rPr>
          <w:spacing w:val="-6"/>
          <w:sz w:val="24"/>
        </w:rPr>
        <w:t> </w:t>
      </w:r>
      <w:r>
        <w:rPr>
          <w:sz w:val="24"/>
        </w:rPr>
        <w:t>higher</w:t>
      </w:r>
      <w:r>
        <w:rPr>
          <w:spacing w:val="-6"/>
          <w:sz w:val="24"/>
        </w:rPr>
        <w:t> </w:t>
      </w:r>
      <w:r>
        <w:rPr>
          <w:sz w:val="24"/>
        </w:rPr>
        <w:t>than</w:t>
      </w:r>
      <w:r>
        <w:rPr>
          <w:spacing w:val="-6"/>
          <w:sz w:val="24"/>
        </w:rPr>
        <w:t> </w:t>
      </w:r>
      <w:r>
        <w:rPr>
          <w:sz w:val="24"/>
        </w:rPr>
        <w:t>a</w:t>
      </w:r>
      <w:r>
        <w:rPr>
          <w:spacing w:val="-6"/>
          <w:sz w:val="24"/>
        </w:rPr>
        <w:t> </w:t>
      </w:r>
      <w:r>
        <w:rPr>
          <w:sz w:val="24"/>
        </w:rPr>
        <w:t>year</w:t>
      </w:r>
      <w:r>
        <w:rPr>
          <w:spacing w:val="-6"/>
          <w:sz w:val="24"/>
        </w:rPr>
        <w:t> </w:t>
      </w:r>
      <w:r>
        <w:rPr>
          <w:sz w:val="24"/>
        </w:rPr>
        <w:t>ago</w:t>
      </w:r>
      <w:r>
        <w:rPr>
          <w:spacing w:val="-5"/>
          <w:sz w:val="24"/>
        </w:rPr>
        <w:t> </w:t>
      </w:r>
      <w:r>
        <w:rPr>
          <w:sz w:val="24"/>
        </w:rPr>
        <w:t>and</w:t>
      </w:r>
      <w:r>
        <w:rPr>
          <w:spacing w:val="-6"/>
          <w:sz w:val="24"/>
        </w:rPr>
        <w:t> </w:t>
      </w:r>
      <w:r>
        <w:rPr>
          <w:sz w:val="24"/>
        </w:rPr>
        <w:t>continuing </w:t>
      </w:r>
      <w:r>
        <w:rPr>
          <w:spacing w:val="3"/>
          <w:sz w:val="24"/>
        </w:rPr>
        <w:t>to </w:t>
      </w:r>
      <w:r>
        <w:rPr>
          <w:sz w:val="24"/>
        </w:rPr>
        <w:t>rise, and evidence from the </w:t>
      </w:r>
      <w:r>
        <w:rPr>
          <w:spacing w:val="-5"/>
          <w:sz w:val="24"/>
        </w:rPr>
        <w:t>Bank’s </w:t>
      </w:r>
      <w:r>
        <w:rPr>
          <w:sz w:val="24"/>
        </w:rPr>
        <w:t>regional Agents suggested that downwards pressure </w:t>
      </w:r>
      <w:r>
        <w:rPr>
          <w:spacing w:val="2"/>
          <w:sz w:val="24"/>
        </w:rPr>
        <w:t>on </w:t>
      </w:r>
      <w:r>
        <w:rPr>
          <w:sz w:val="24"/>
        </w:rPr>
        <w:t>import prices might be moderating. But imported materials prices continued </w:t>
      </w:r>
      <w:r>
        <w:rPr>
          <w:spacing w:val="3"/>
          <w:sz w:val="24"/>
        </w:rPr>
        <w:t>to </w:t>
      </w:r>
      <w:r>
        <w:rPr>
          <w:sz w:val="24"/>
        </w:rPr>
        <w:t>fall in May, and it was likely that some </w:t>
      </w:r>
      <w:r>
        <w:rPr>
          <w:spacing w:val="3"/>
          <w:sz w:val="24"/>
        </w:rPr>
        <w:t>of </w:t>
      </w:r>
      <w:r>
        <w:rPr>
          <w:sz w:val="24"/>
        </w:rPr>
        <w:t>the lagged effects </w:t>
      </w:r>
      <w:r>
        <w:rPr>
          <w:spacing w:val="3"/>
          <w:sz w:val="24"/>
        </w:rPr>
        <w:t>of </w:t>
      </w:r>
      <w:r>
        <w:rPr>
          <w:sz w:val="24"/>
        </w:rPr>
        <w:t>earlier declines in import prices were still </w:t>
      </w:r>
      <w:r>
        <w:rPr>
          <w:spacing w:val="3"/>
          <w:sz w:val="24"/>
        </w:rPr>
        <w:t>to </w:t>
      </w:r>
      <w:r>
        <w:rPr>
          <w:sz w:val="24"/>
        </w:rPr>
        <w:t>come through </w:t>
      </w:r>
      <w:r>
        <w:rPr>
          <w:spacing w:val="3"/>
          <w:sz w:val="24"/>
        </w:rPr>
        <w:t>to </w:t>
      </w:r>
      <w:r>
        <w:rPr>
          <w:sz w:val="24"/>
        </w:rPr>
        <w:t>retail</w:t>
      </w:r>
      <w:r>
        <w:rPr>
          <w:spacing w:val="15"/>
          <w:sz w:val="24"/>
        </w:rPr>
        <w:t> </w:t>
      </w:r>
      <w:r>
        <w:rPr>
          <w:sz w:val="24"/>
        </w:rPr>
        <w:t>prices.</w:t>
      </w:r>
    </w:p>
    <w:p>
      <w:pPr>
        <w:pStyle w:val="BodyText"/>
        <w:spacing w:before="2"/>
        <w:rPr>
          <w:sz w:val="31"/>
        </w:rPr>
      </w:pPr>
    </w:p>
    <w:p>
      <w:pPr>
        <w:pStyle w:val="ListParagraph"/>
        <w:numPr>
          <w:ilvl w:val="0"/>
          <w:numId w:val="2"/>
        </w:numPr>
        <w:tabs>
          <w:tab w:pos="1285" w:val="left" w:leader="none"/>
        </w:tabs>
        <w:spacing w:line="360" w:lineRule="auto" w:before="1" w:after="0"/>
        <w:ind w:left="924" w:right="970" w:firstLine="0"/>
        <w:jc w:val="left"/>
        <w:rPr>
          <w:sz w:val="24"/>
        </w:rPr>
      </w:pPr>
      <w:r>
        <w:rPr>
          <w:sz w:val="24"/>
        </w:rPr>
        <w:t>Figures for unit labour costs (derived from the wages, employment and </w:t>
      </w:r>
      <w:r>
        <w:rPr>
          <w:spacing w:val="3"/>
          <w:sz w:val="24"/>
        </w:rPr>
        <w:t>output </w:t>
      </w:r>
      <w:r>
        <w:rPr>
          <w:sz w:val="24"/>
        </w:rPr>
        <w:t>figures),</w:t>
      </w:r>
      <w:r>
        <w:rPr>
          <w:spacing w:val="-8"/>
          <w:sz w:val="24"/>
        </w:rPr>
        <w:t> </w:t>
      </w:r>
      <w:r>
        <w:rPr>
          <w:sz w:val="24"/>
        </w:rPr>
        <w:t>when</w:t>
      </w:r>
      <w:r>
        <w:rPr>
          <w:spacing w:val="-7"/>
          <w:sz w:val="24"/>
        </w:rPr>
        <w:t> </w:t>
      </w:r>
      <w:r>
        <w:rPr>
          <w:sz w:val="24"/>
        </w:rPr>
        <w:t>taken</w:t>
      </w:r>
      <w:r>
        <w:rPr>
          <w:spacing w:val="-7"/>
          <w:sz w:val="24"/>
        </w:rPr>
        <w:t> </w:t>
      </w:r>
      <w:r>
        <w:rPr>
          <w:sz w:val="24"/>
        </w:rPr>
        <w:t>together</w:t>
      </w:r>
      <w:r>
        <w:rPr>
          <w:spacing w:val="-7"/>
          <w:sz w:val="24"/>
        </w:rPr>
        <w:t> </w:t>
      </w:r>
      <w:r>
        <w:rPr>
          <w:sz w:val="24"/>
        </w:rPr>
        <w:t>with</w:t>
      </w:r>
      <w:r>
        <w:rPr>
          <w:spacing w:val="-8"/>
          <w:sz w:val="24"/>
        </w:rPr>
        <w:t> </w:t>
      </w:r>
      <w:r>
        <w:rPr>
          <w:sz w:val="24"/>
        </w:rPr>
        <w:t>price</w:t>
      </w:r>
      <w:r>
        <w:rPr>
          <w:spacing w:val="-7"/>
          <w:sz w:val="24"/>
        </w:rPr>
        <w:t> </w:t>
      </w:r>
      <w:r>
        <w:rPr>
          <w:sz w:val="24"/>
        </w:rPr>
        <w:t>data,</w:t>
      </w:r>
      <w:r>
        <w:rPr>
          <w:spacing w:val="-7"/>
          <w:sz w:val="24"/>
        </w:rPr>
        <w:t> </w:t>
      </w:r>
      <w:r>
        <w:rPr>
          <w:sz w:val="24"/>
        </w:rPr>
        <w:t>suggested</w:t>
      </w:r>
      <w:r>
        <w:rPr>
          <w:spacing w:val="-7"/>
          <w:sz w:val="24"/>
        </w:rPr>
        <w:t> </w:t>
      </w:r>
      <w:r>
        <w:rPr>
          <w:sz w:val="24"/>
        </w:rPr>
        <w:t>that</w:t>
      </w:r>
      <w:r>
        <w:rPr>
          <w:spacing w:val="-3"/>
          <w:sz w:val="24"/>
        </w:rPr>
        <w:t> </w:t>
      </w:r>
      <w:r>
        <w:rPr>
          <w:sz w:val="24"/>
        </w:rPr>
        <w:t>margins</w:t>
      </w:r>
      <w:r>
        <w:rPr>
          <w:spacing w:val="-8"/>
          <w:sz w:val="24"/>
        </w:rPr>
        <w:t> </w:t>
      </w:r>
      <w:r>
        <w:rPr>
          <w:sz w:val="24"/>
        </w:rPr>
        <w:t>might</w:t>
      </w:r>
      <w:r>
        <w:rPr>
          <w:spacing w:val="-3"/>
          <w:sz w:val="24"/>
        </w:rPr>
        <w:t> </w:t>
      </w:r>
      <w:r>
        <w:rPr>
          <w:sz w:val="24"/>
        </w:rPr>
        <w:t>be</w:t>
      </w:r>
      <w:r>
        <w:rPr>
          <w:spacing w:val="-7"/>
          <w:sz w:val="24"/>
        </w:rPr>
        <w:t> </w:t>
      </w:r>
      <w:r>
        <w:rPr>
          <w:sz w:val="24"/>
        </w:rPr>
        <w:t>coming under pressure. But margins might </w:t>
      </w:r>
      <w:r>
        <w:rPr>
          <w:spacing w:val="2"/>
          <w:sz w:val="24"/>
        </w:rPr>
        <w:t>rise </w:t>
      </w:r>
      <w:r>
        <w:rPr>
          <w:sz w:val="24"/>
        </w:rPr>
        <w:t>again if demand picked up. An alternative possibility was that </w:t>
      </w:r>
      <w:r>
        <w:rPr>
          <w:spacing w:val="4"/>
          <w:sz w:val="24"/>
        </w:rPr>
        <w:t>output </w:t>
      </w:r>
      <w:r>
        <w:rPr>
          <w:sz w:val="24"/>
        </w:rPr>
        <w:t>(and hence productivity) was higher than suggested by present estimates. In that case potential </w:t>
      </w:r>
      <w:r>
        <w:rPr>
          <w:spacing w:val="4"/>
          <w:sz w:val="24"/>
        </w:rPr>
        <w:t>output </w:t>
      </w:r>
      <w:r>
        <w:rPr>
          <w:sz w:val="24"/>
        </w:rPr>
        <w:t>could also be higher;  if so, there would be no implications for</w:t>
      </w:r>
      <w:r>
        <w:rPr>
          <w:spacing w:val="23"/>
          <w:sz w:val="24"/>
        </w:rPr>
        <w:t> </w:t>
      </w:r>
      <w:r>
        <w:rPr>
          <w:sz w:val="24"/>
        </w:rPr>
        <w:t>inflation.</w:t>
      </w:r>
    </w:p>
    <w:p>
      <w:pPr>
        <w:pStyle w:val="BodyText"/>
        <w:spacing w:before="1"/>
        <w:rPr>
          <w:sz w:val="31"/>
        </w:rPr>
      </w:pPr>
    </w:p>
    <w:p>
      <w:pPr>
        <w:pStyle w:val="ListParagraph"/>
        <w:numPr>
          <w:ilvl w:val="0"/>
          <w:numId w:val="2"/>
        </w:numPr>
        <w:tabs>
          <w:tab w:pos="1285" w:val="left" w:leader="none"/>
        </w:tabs>
        <w:spacing w:line="360" w:lineRule="auto" w:before="0" w:after="0"/>
        <w:ind w:left="924" w:right="995" w:firstLine="0"/>
        <w:jc w:val="left"/>
        <w:rPr>
          <w:sz w:val="24"/>
        </w:rPr>
      </w:pPr>
      <w:r>
        <w:rPr>
          <w:sz w:val="24"/>
        </w:rPr>
        <w:t>The Committee noted that, in the short term, RPIX was likely </w:t>
      </w:r>
      <w:r>
        <w:rPr>
          <w:spacing w:val="3"/>
          <w:sz w:val="24"/>
        </w:rPr>
        <w:t>to </w:t>
      </w:r>
      <w:r>
        <w:rPr>
          <w:sz w:val="24"/>
        </w:rPr>
        <w:t>remain below 2.5%, but that the extent and duration of any undershoot was uncertain. It would depend </w:t>
      </w:r>
      <w:r>
        <w:rPr>
          <w:spacing w:val="2"/>
          <w:sz w:val="24"/>
        </w:rPr>
        <w:t>on </w:t>
      </w:r>
      <w:r>
        <w:rPr>
          <w:sz w:val="24"/>
        </w:rPr>
        <w:t>the extent </w:t>
      </w:r>
      <w:r>
        <w:rPr>
          <w:spacing w:val="2"/>
          <w:sz w:val="24"/>
        </w:rPr>
        <w:t>to </w:t>
      </w:r>
      <w:r>
        <w:rPr>
          <w:sz w:val="24"/>
        </w:rPr>
        <w:t>which this fed through into inflation expectations, </w:t>
      </w:r>
      <w:r>
        <w:rPr>
          <w:spacing w:val="2"/>
          <w:sz w:val="24"/>
        </w:rPr>
        <w:t>on </w:t>
      </w:r>
      <w:r>
        <w:rPr>
          <w:sz w:val="24"/>
        </w:rPr>
        <w:t>future movements in margins and the terms </w:t>
      </w:r>
      <w:r>
        <w:rPr>
          <w:spacing w:val="2"/>
          <w:sz w:val="24"/>
        </w:rPr>
        <w:t>of </w:t>
      </w:r>
      <w:r>
        <w:rPr>
          <w:sz w:val="24"/>
        </w:rPr>
        <w:t>trade, </w:t>
      </w:r>
      <w:r>
        <w:rPr>
          <w:spacing w:val="2"/>
          <w:sz w:val="24"/>
        </w:rPr>
        <w:t>on </w:t>
      </w:r>
      <w:r>
        <w:rPr>
          <w:sz w:val="24"/>
        </w:rPr>
        <w:t>changes in the </w:t>
      </w:r>
      <w:r>
        <w:rPr>
          <w:spacing w:val="4"/>
          <w:sz w:val="24"/>
        </w:rPr>
        <w:t>output </w:t>
      </w:r>
      <w:r>
        <w:rPr>
          <w:sz w:val="24"/>
        </w:rPr>
        <w:t>gap, and on how changes in productivity fed through into real wages. More generally, the </w:t>
      </w:r>
      <w:r>
        <w:rPr>
          <w:spacing w:val="3"/>
          <w:sz w:val="24"/>
        </w:rPr>
        <w:t>outlook </w:t>
      </w:r>
      <w:r>
        <w:rPr>
          <w:sz w:val="24"/>
        </w:rPr>
        <w:t>for</w:t>
      </w:r>
      <w:r>
        <w:rPr>
          <w:spacing w:val="-6"/>
          <w:sz w:val="24"/>
        </w:rPr>
        <w:t> </w:t>
      </w:r>
      <w:r>
        <w:rPr>
          <w:sz w:val="24"/>
        </w:rPr>
        <w:t>prices</w:t>
      </w:r>
      <w:r>
        <w:rPr>
          <w:spacing w:val="-5"/>
          <w:sz w:val="24"/>
        </w:rPr>
        <w:t> </w:t>
      </w:r>
      <w:r>
        <w:rPr>
          <w:sz w:val="24"/>
        </w:rPr>
        <w:t>given</w:t>
      </w:r>
      <w:r>
        <w:rPr>
          <w:spacing w:val="-4"/>
          <w:sz w:val="24"/>
        </w:rPr>
        <w:t> </w:t>
      </w:r>
      <w:r>
        <w:rPr>
          <w:sz w:val="24"/>
        </w:rPr>
        <w:t>the</w:t>
      </w:r>
      <w:r>
        <w:rPr>
          <w:spacing w:val="-5"/>
          <w:sz w:val="24"/>
        </w:rPr>
        <w:t> </w:t>
      </w:r>
      <w:r>
        <w:rPr>
          <w:sz w:val="24"/>
        </w:rPr>
        <w:t>prospective</w:t>
      </w:r>
      <w:r>
        <w:rPr>
          <w:spacing w:val="-5"/>
          <w:sz w:val="24"/>
        </w:rPr>
        <w:t> </w:t>
      </w:r>
      <w:r>
        <w:rPr>
          <w:sz w:val="24"/>
        </w:rPr>
        <w:t>profile</w:t>
      </w:r>
      <w:r>
        <w:rPr>
          <w:spacing w:val="-6"/>
          <w:sz w:val="24"/>
        </w:rPr>
        <w:t> </w:t>
      </w:r>
      <w:r>
        <w:rPr>
          <w:spacing w:val="2"/>
          <w:sz w:val="24"/>
        </w:rPr>
        <w:t>of</w:t>
      </w:r>
      <w:r>
        <w:rPr>
          <w:sz w:val="24"/>
        </w:rPr>
        <w:t> activity</w:t>
      </w:r>
      <w:r>
        <w:rPr>
          <w:spacing w:val="-5"/>
          <w:sz w:val="24"/>
        </w:rPr>
        <w:t> </w:t>
      </w:r>
      <w:r>
        <w:rPr>
          <w:sz w:val="24"/>
        </w:rPr>
        <w:t>was</w:t>
      </w:r>
      <w:r>
        <w:rPr>
          <w:spacing w:val="-6"/>
          <w:sz w:val="24"/>
        </w:rPr>
        <w:t> </w:t>
      </w:r>
      <w:r>
        <w:rPr>
          <w:sz w:val="24"/>
        </w:rPr>
        <w:t>less</w:t>
      </w:r>
      <w:r>
        <w:rPr>
          <w:spacing w:val="-5"/>
          <w:sz w:val="24"/>
        </w:rPr>
        <w:t> </w:t>
      </w:r>
      <w:r>
        <w:rPr>
          <w:sz w:val="24"/>
        </w:rPr>
        <w:t>clear</w:t>
      </w:r>
      <w:r>
        <w:rPr>
          <w:spacing w:val="-4"/>
          <w:sz w:val="24"/>
        </w:rPr>
        <w:t> </w:t>
      </w:r>
      <w:r>
        <w:rPr>
          <w:sz w:val="24"/>
        </w:rPr>
        <w:t>than</w:t>
      </w:r>
      <w:r>
        <w:rPr>
          <w:spacing w:val="-4"/>
          <w:sz w:val="24"/>
        </w:rPr>
        <w:t> </w:t>
      </w:r>
      <w:r>
        <w:rPr>
          <w:sz w:val="24"/>
        </w:rPr>
        <w:t>the</w:t>
      </w:r>
      <w:r>
        <w:rPr>
          <w:spacing w:val="-5"/>
          <w:sz w:val="24"/>
        </w:rPr>
        <w:t> </w:t>
      </w:r>
      <w:r>
        <w:rPr>
          <w:sz w:val="24"/>
        </w:rPr>
        <w:t>prospects</w:t>
      </w:r>
      <w:r>
        <w:rPr>
          <w:spacing w:val="-6"/>
          <w:sz w:val="24"/>
        </w:rPr>
        <w:t> </w:t>
      </w:r>
      <w:r>
        <w:rPr>
          <w:sz w:val="24"/>
        </w:rPr>
        <w:t>for activity itself, which seemed </w:t>
      </w:r>
      <w:r>
        <w:rPr>
          <w:spacing w:val="3"/>
          <w:sz w:val="24"/>
        </w:rPr>
        <w:t>to </w:t>
      </w:r>
      <w:r>
        <w:rPr>
          <w:sz w:val="24"/>
        </w:rPr>
        <w:t>be somewhat stronger than earlier</w:t>
      </w:r>
      <w:r>
        <w:rPr>
          <w:spacing w:val="2"/>
          <w:sz w:val="24"/>
        </w:rPr>
        <w:t> </w:t>
      </w:r>
      <w:r>
        <w:rPr>
          <w:sz w:val="24"/>
        </w:rPr>
        <w:t>expected.</w:t>
      </w:r>
    </w:p>
    <w:p>
      <w:pPr>
        <w:pStyle w:val="BodyText"/>
        <w:spacing w:before="9"/>
        <w:rPr>
          <w:sz w:val="31"/>
        </w:rPr>
      </w:pPr>
    </w:p>
    <w:p>
      <w:pPr>
        <w:pStyle w:val="Heading2"/>
        <w:spacing w:before="1"/>
      </w:pPr>
      <w:r>
        <w:rPr/>
        <w:t>Other issues</w:t>
      </w:r>
    </w:p>
    <w:p>
      <w:pPr>
        <w:pStyle w:val="BodyText"/>
        <w:rPr>
          <w:b/>
          <w:sz w:val="26"/>
        </w:rPr>
      </w:pPr>
    </w:p>
    <w:p>
      <w:pPr>
        <w:pStyle w:val="ListParagraph"/>
        <w:numPr>
          <w:ilvl w:val="0"/>
          <w:numId w:val="2"/>
        </w:numPr>
        <w:tabs>
          <w:tab w:pos="1285" w:val="left" w:leader="none"/>
        </w:tabs>
        <w:spacing w:line="360" w:lineRule="auto" w:before="193" w:after="0"/>
        <w:ind w:left="924" w:right="999" w:firstLine="0"/>
        <w:jc w:val="left"/>
        <w:rPr>
          <w:sz w:val="24"/>
        </w:rPr>
      </w:pPr>
      <w:r>
        <w:rPr>
          <w:sz w:val="24"/>
        </w:rPr>
        <w:t>The Committee noted that the analysis and projections </w:t>
      </w:r>
      <w:r>
        <w:rPr>
          <w:spacing w:val="2"/>
          <w:sz w:val="24"/>
        </w:rPr>
        <w:t>to </w:t>
      </w:r>
      <w:r>
        <w:rPr>
          <w:sz w:val="24"/>
        </w:rPr>
        <w:t>be carried </w:t>
      </w:r>
      <w:r>
        <w:rPr>
          <w:spacing w:val="3"/>
          <w:sz w:val="24"/>
        </w:rPr>
        <w:t>out </w:t>
      </w:r>
      <w:r>
        <w:rPr>
          <w:sz w:val="24"/>
        </w:rPr>
        <w:t>for the August </w:t>
      </w:r>
      <w:r>
        <w:rPr>
          <w:i/>
          <w:sz w:val="24"/>
        </w:rPr>
        <w:t>Inflation Report </w:t>
      </w:r>
      <w:r>
        <w:rPr>
          <w:sz w:val="24"/>
        </w:rPr>
        <w:t>would allow it </w:t>
      </w:r>
      <w:r>
        <w:rPr>
          <w:spacing w:val="2"/>
          <w:sz w:val="24"/>
        </w:rPr>
        <w:t>to </w:t>
      </w:r>
      <w:r>
        <w:rPr>
          <w:sz w:val="24"/>
        </w:rPr>
        <w:t>reassess some </w:t>
      </w:r>
      <w:r>
        <w:rPr>
          <w:spacing w:val="2"/>
          <w:sz w:val="24"/>
        </w:rPr>
        <w:t>of </w:t>
      </w:r>
      <w:r>
        <w:rPr>
          <w:sz w:val="24"/>
        </w:rPr>
        <w:t>the puzzles in the data </w:t>
      </w:r>
      <w:r>
        <w:rPr>
          <w:spacing w:val="3"/>
          <w:sz w:val="24"/>
        </w:rPr>
        <w:t>over </w:t>
      </w:r>
      <w:r>
        <w:rPr>
          <w:sz w:val="24"/>
        </w:rPr>
        <w:t>the next month: in particular the contrast between activity, which was somewhat stronger than expected, and prices, which were somewhat weaker.  In addition, later in July new national accounts data would be published, more information </w:t>
      </w:r>
      <w:r>
        <w:rPr>
          <w:spacing w:val="3"/>
          <w:sz w:val="24"/>
        </w:rPr>
        <w:t>on </w:t>
      </w:r>
      <w:r>
        <w:rPr>
          <w:sz w:val="24"/>
        </w:rPr>
        <w:t>earnings would</w:t>
      </w:r>
      <w:r>
        <w:rPr>
          <w:spacing w:val="-8"/>
          <w:sz w:val="24"/>
        </w:rPr>
        <w:t> </w:t>
      </w:r>
      <w:r>
        <w:rPr>
          <w:sz w:val="24"/>
        </w:rPr>
        <w:t>become</w:t>
      </w:r>
      <w:r>
        <w:rPr>
          <w:spacing w:val="-8"/>
          <w:sz w:val="24"/>
        </w:rPr>
        <w:t> </w:t>
      </w:r>
      <w:r>
        <w:rPr>
          <w:sz w:val="24"/>
        </w:rPr>
        <w:t>available,</w:t>
      </w:r>
      <w:r>
        <w:rPr>
          <w:spacing w:val="-9"/>
          <w:sz w:val="24"/>
        </w:rPr>
        <w:t> </w:t>
      </w:r>
      <w:r>
        <w:rPr>
          <w:sz w:val="24"/>
        </w:rPr>
        <w:t>and</w:t>
      </w:r>
      <w:r>
        <w:rPr>
          <w:spacing w:val="-8"/>
          <w:sz w:val="24"/>
        </w:rPr>
        <w:t> </w:t>
      </w:r>
      <w:r>
        <w:rPr>
          <w:sz w:val="24"/>
        </w:rPr>
        <w:t>it</w:t>
      </w:r>
      <w:r>
        <w:rPr>
          <w:spacing w:val="-3"/>
          <w:sz w:val="24"/>
        </w:rPr>
        <w:t> </w:t>
      </w:r>
      <w:r>
        <w:rPr>
          <w:sz w:val="24"/>
        </w:rPr>
        <w:t>would</w:t>
      </w:r>
      <w:r>
        <w:rPr>
          <w:spacing w:val="-8"/>
          <w:sz w:val="24"/>
        </w:rPr>
        <w:t> </w:t>
      </w:r>
      <w:r>
        <w:rPr>
          <w:sz w:val="24"/>
        </w:rPr>
        <w:t>be</w:t>
      </w:r>
      <w:r>
        <w:rPr>
          <w:spacing w:val="-8"/>
          <w:sz w:val="24"/>
        </w:rPr>
        <w:t> </w:t>
      </w:r>
      <w:r>
        <w:rPr>
          <w:sz w:val="24"/>
        </w:rPr>
        <w:t>easier</w:t>
      </w:r>
      <w:r>
        <w:rPr>
          <w:spacing w:val="-8"/>
          <w:sz w:val="24"/>
        </w:rPr>
        <w:t> </w:t>
      </w:r>
      <w:r>
        <w:rPr>
          <w:spacing w:val="3"/>
          <w:sz w:val="24"/>
        </w:rPr>
        <w:t>to</w:t>
      </w:r>
      <w:r>
        <w:rPr>
          <w:spacing w:val="-4"/>
          <w:sz w:val="24"/>
        </w:rPr>
        <w:t> </w:t>
      </w:r>
      <w:r>
        <w:rPr>
          <w:sz w:val="24"/>
        </w:rPr>
        <w:t>assess</w:t>
      </w:r>
      <w:r>
        <w:rPr>
          <w:spacing w:val="-8"/>
          <w:sz w:val="24"/>
        </w:rPr>
        <w:t> </w:t>
      </w:r>
      <w:r>
        <w:rPr>
          <w:sz w:val="24"/>
        </w:rPr>
        <w:t>the</w:t>
      </w:r>
      <w:r>
        <w:rPr>
          <w:spacing w:val="-8"/>
          <w:sz w:val="24"/>
        </w:rPr>
        <w:t> </w:t>
      </w:r>
      <w:r>
        <w:rPr>
          <w:sz w:val="24"/>
        </w:rPr>
        <w:t>significance</w:t>
      </w:r>
      <w:r>
        <w:rPr>
          <w:spacing w:val="-8"/>
          <w:sz w:val="24"/>
        </w:rPr>
        <w:t> </w:t>
      </w:r>
      <w:r>
        <w:rPr>
          <w:spacing w:val="3"/>
          <w:sz w:val="24"/>
        </w:rPr>
        <w:t>of</w:t>
      </w:r>
      <w:r>
        <w:rPr>
          <w:spacing w:val="-4"/>
          <w:sz w:val="24"/>
        </w:rPr>
        <w:t> </w:t>
      </w:r>
      <w:r>
        <w:rPr>
          <w:sz w:val="24"/>
        </w:rPr>
        <w:t>sterling’s </w:t>
      </w:r>
      <w:r>
        <w:rPr>
          <w:spacing w:val="2"/>
          <w:sz w:val="24"/>
        </w:rPr>
        <w:t>recent </w:t>
      </w:r>
      <w:r>
        <w:rPr>
          <w:sz w:val="24"/>
        </w:rPr>
        <w:t>movements, particularly against the dollar. While not </w:t>
      </w:r>
      <w:r>
        <w:rPr>
          <w:spacing w:val="3"/>
          <w:sz w:val="24"/>
        </w:rPr>
        <w:t>of </w:t>
      </w:r>
      <w:r>
        <w:rPr>
          <w:sz w:val="24"/>
        </w:rPr>
        <w:t>themselves conclusive,</w:t>
      </w:r>
      <w:r>
        <w:rPr>
          <w:spacing w:val="-4"/>
          <w:sz w:val="24"/>
        </w:rPr>
        <w:t> </w:t>
      </w:r>
      <w:r>
        <w:rPr>
          <w:sz w:val="24"/>
        </w:rPr>
        <w:t>these</w:t>
      </w:r>
      <w:r>
        <w:rPr>
          <w:spacing w:val="-4"/>
          <w:sz w:val="24"/>
        </w:rPr>
        <w:t> </w:t>
      </w:r>
      <w:r>
        <w:rPr>
          <w:sz w:val="24"/>
        </w:rPr>
        <w:t>were</w:t>
      </w:r>
      <w:r>
        <w:rPr>
          <w:spacing w:val="-5"/>
          <w:sz w:val="24"/>
        </w:rPr>
        <w:t> </w:t>
      </w:r>
      <w:r>
        <w:rPr>
          <w:sz w:val="24"/>
        </w:rPr>
        <w:t>reasons</w:t>
      </w:r>
      <w:r>
        <w:rPr>
          <w:spacing w:val="-2"/>
          <w:sz w:val="24"/>
        </w:rPr>
        <w:t> </w:t>
      </w:r>
      <w:r>
        <w:rPr>
          <w:sz w:val="24"/>
        </w:rPr>
        <w:t>for</w:t>
      </w:r>
      <w:r>
        <w:rPr>
          <w:spacing w:val="-5"/>
          <w:sz w:val="24"/>
        </w:rPr>
        <w:t> </w:t>
      </w:r>
      <w:r>
        <w:rPr>
          <w:sz w:val="24"/>
        </w:rPr>
        <w:t>waiting</w:t>
      </w:r>
      <w:r>
        <w:rPr>
          <w:spacing w:val="-4"/>
          <w:sz w:val="24"/>
        </w:rPr>
        <w:t> </w:t>
      </w:r>
      <w:r>
        <w:rPr>
          <w:sz w:val="24"/>
        </w:rPr>
        <w:t>another</w:t>
      </w:r>
      <w:r>
        <w:rPr>
          <w:spacing w:val="-5"/>
          <w:sz w:val="24"/>
        </w:rPr>
        <w:t> </w:t>
      </w:r>
      <w:r>
        <w:rPr>
          <w:sz w:val="24"/>
        </w:rPr>
        <w:t>month</w:t>
      </w:r>
      <w:r>
        <w:rPr>
          <w:spacing w:val="-3"/>
          <w:sz w:val="24"/>
        </w:rPr>
        <w:t> </w:t>
      </w:r>
      <w:r>
        <w:rPr>
          <w:spacing w:val="2"/>
          <w:sz w:val="24"/>
        </w:rPr>
        <w:t>to</w:t>
      </w:r>
      <w:r>
        <w:rPr>
          <w:spacing w:val="1"/>
          <w:sz w:val="24"/>
        </w:rPr>
        <w:t> </w:t>
      </w:r>
      <w:r>
        <w:rPr>
          <w:sz w:val="24"/>
        </w:rPr>
        <w:t>get</w:t>
      </w:r>
      <w:r>
        <w:rPr>
          <w:spacing w:val="1"/>
          <w:sz w:val="24"/>
        </w:rPr>
        <w:t> </w:t>
      </w:r>
      <w:r>
        <w:rPr>
          <w:sz w:val="24"/>
        </w:rPr>
        <w:t>a</w:t>
      </w:r>
      <w:r>
        <w:rPr>
          <w:spacing w:val="-5"/>
          <w:sz w:val="24"/>
        </w:rPr>
        <w:t> </w:t>
      </w:r>
      <w:r>
        <w:rPr>
          <w:sz w:val="24"/>
        </w:rPr>
        <w:t>clearer</w:t>
      </w:r>
      <w:r>
        <w:rPr>
          <w:spacing w:val="-4"/>
          <w:sz w:val="24"/>
        </w:rPr>
        <w:t> </w:t>
      </w:r>
      <w:r>
        <w:rPr>
          <w:sz w:val="24"/>
        </w:rPr>
        <w:t>picture</w:t>
      </w:r>
      <w:r>
        <w:rPr>
          <w:spacing w:val="-5"/>
          <w:sz w:val="24"/>
        </w:rPr>
        <w:t> </w:t>
      </w:r>
      <w:r>
        <w:rPr>
          <w:sz w:val="24"/>
        </w:rPr>
        <w:t>of</w:t>
      </w:r>
    </w:p>
    <w:p>
      <w:pPr>
        <w:spacing w:after="0" w:line="360" w:lineRule="auto"/>
        <w:jc w:val="left"/>
        <w:rPr>
          <w:sz w:val="24"/>
        </w:rPr>
        <w:sectPr>
          <w:pgSz w:w="11900" w:h="16840"/>
          <w:pgMar w:header="580" w:footer="0" w:top="1340" w:bottom="280" w:left="880" w:right="860"/>
        </w:sectPr>
      </w:pPr>
    </w:p>
    <w:p>
      <w:pPr>
        <w:pStyle w:val="BodyText"/>
        <w:spacing w:before="98"/>
        <w:ind w:left="925"/>
      </w:pPr>
      <w:r>
        <w:rPr/>
        <w:t>the way in which the economy was developing.</w:t>
      </w:r>
    </w:p>
    <w:p>
      <w:pPr>
        <w:pStyle w:val="BodyText"/>
        <w:rPr>
          <w:sz w:val="26"/>
        </w:rPr>
      </w:pPr>
    </w:p>
    <w:p>
      <w:pPr>
        <w:pStyle w:val="Heading2"/>
        <w:spacing w:before="203"/>
      </w:pPr>
      <w:r>
        <w:rPr/>
        <w:t>The immediate policy decision</w:t>
      </w:r>
    </w:p>
    <w:p>
      <w:pPr>
        <w:pStyle w:val="BodyText"/>
        <w:rPr>
          <w:b/>
          <w:sz w:val="26"/>
        </w:rPr>
      </w:pPr>
    </w:p>
    <w:p>
      <w:pPr>
        <w:pStyle w:val="ListParagraph"/>
        <w:numPr>
          <w:ilvl w:val="0"/>
          <w:numId w:val="2"/>
        </w:numPr>
        <w:tabs>
          <w:tab w:pos="1285" w:val="left" w:leader="none"/>
        </w:tabs>
        <w:spacing w:line="360" w:lineRule="auto" w:before="198" w:after="0"/>
        <w:ind w:left="924" w:right="973" w:firstLine="0"/>
        <w:jc w:val="left"/>
        <w:rPr>
          <w:sz w:val="24"/>
        </w:rPr>
      </w:pPr>
      <w:r>
        <w:rPr>
          <w:sz w:val="24"/>
        </w:rPr>
        <w:t>The Committee identified a variety </w:t>
      </w:r>
      <w:r>
        <w:rPr>
          <w:spacing w:val="3"/>
          <w:sz w:val="24"/>
        </w:rPr>
        <w:t>of </w:t>
      </w:r>
      <w:r>
        <w:rPr>
          <w:sz w:val="24"/>
        </w:rPr>
        <w:t>arguments for leaving the repo rate unchanged at 5%. Indicators </w:t>
      </w:r>
      <w:r>
        <w:rPr>
          <w:spacing w:val="2"/>
          <w:sz w:val="24"/>
        </w:rPr>
        <w:t>of </w:t>
      </w:r>
      <w:r>
        <w:rPr>
          <w:sz w:val="24"/>
        </w:rPr>
        <w:t>activity had strengthened </w:t>
      </w:r>
      <w:r>
        <w:rPr>
          <w:spacing w:val="3"/>
          <w:sz w:val="24"/>
        </w:rPr>
        <w:t>over </w:t>
      </w:r>
      <w:r>
        <w:rPr>
          <w:sz w:val="24"/>
        </w:rPr>
        <w:t>the past month, both in the United Kingdom and </w:t>
      </w:r>
      <w:r>
        <w:rPr>
          <w:spacing w:val="4"/>
          <w:sz w:val="24"/>
        </w:rPr>
        <w:t>overseas. </w:t>
      </w:r>
      <w:r>
        <w:rPr>
          <w:sz w:val="24"/>
        </w:rPr>
        <w:t>The pattern </w:t>
      </w:r>
      <w:r>
        <w:rPr>
          <w:spacing w:val="2"/>
          <w:sz w:val="24"/>
        </w:rPr>
        <w:t>of </w:t>
      </w:r>
      <w:r>
        <w:rPr>
          <w:sz w:val="24"/>
        </w:rPr>
        <w:t>revisions </w:t>
      </w:r>
      <w:r>
        <w:rPr>
          <w:spacing w:val="3"/>
          <w:sz w:val="24"/>
        </w:rPr>
        <w:t>to </w:t>
      </w:r>
      <w:r>
        <w:rPr>
          <w:sz w:val="24"/>
        </w:rPr>
        <w:t>GDP in the first quarter, with stronger final domestic demand and imports, and weaker stockbuilding, suggested stronger growth in subsequent quarters. Indications from surveys and retail sales, as well as the money and employment data, also suggested that growth in Q2 would be a little stronger than expected last month. However, price indicators were weaker than expected. The sharp fall in the twelve-month growth rate </w:t>
      </w:r>
      <w:r>
        <w:rPr>
          <w:spacing w:val="2"/>
          <w:sz w:val="24"/>
        </w:rPr>
        <w:t>of </w:t>
      </w:r>
      <w:r>
        <w:rPr>
          <w:sz w:val="24"/>
        </w:rPr>
        <w:t>the Average Earnings Index needed more corroboration, but private sector settlements also appeared </w:t>
      </w:r>
      <w:r>
        <w:rPr>
          <w:spacing w:val="3"/>
          <w:sz w:val="24"/>
        </w:rPr>
        <w:t>to </w:t>
      </w:r>
      <w:r>
        <w:rPr>
          <w:sz w:val="24"/>
        </w:rPr>
        <w:t>be slowing in nominal terms.  Finally, the exchange </w:t>
      </w:r>
      <w:r>
        <w:rPr>
          <w:spacing w:val="2"/>
          <w:sz w:val="24"/>
        </w:rPr>
        <w:t>rate </w:t>
      </w:r>
      <w:r>
        <w:rPr>
          <w:sz w:val="24"/>
        </w:rPr>
        <w:t>had eased slightly </w:t>
      </w:r>
      <w:r>
        <w:rPr>
          <w:spacing w:val="4"/>
          <w:sz w:val="24"/>
        </w:rPr>
        <w:t>over </w:t>
      </w:r>
      <w:r>
        <w:rPr>
          <w:sz w:val="24"/>
        </w:rPr>
        <w:t>the month, particularly against the dollar. The implication </w:t>
      </w:r>
      <w:r>
        <w:rPr>
          <w:spacing w:val="3"/>
          <w:sz w:val="24"/>
        </w:rPr>
        <w:t>of </w:t>
      </w:r>
      <w:r>
        <w:rPr>
          <w:sz w:val="24"/>
        </w:rPr>
        <w:t>these factors for inflation </w:t>
      </w:r>
      <w:r>
        <w:rPr>
          <w:spacing w:val="3"/>
          <w:sz w:val="24"/>
        </w:rPr>
        <w:t>over </w:t>
      </w:r>
      <w:r>
        <w:rPr>
          <w:sz w:val="24"/>
        </w:rPr>
        <w:t>the next two years </w:t>
      </w:r>
      <w:r>
        <w:rPr>
          <w:spacing w:val="2"/>
          <w:sz w:val="24"/>
        </w:rPr>
        <w:t>or </w:t>
      </w:r>
      <w:r>
        <w:rPr>
          <w:sz w:val="24"/>
        </w:rPr>
        <w:t>so would be examined through the work to be carried </w:t>
      </w:r>
      <w:r>
        <w:rPr>
          <w:spacing w:val="2"/>
          <w:sz w:val="24"/>
        </w:rPr>
        <w:t>out </w:t>
      </w:r>
      <w:r>
        <w:rPr>
          <w:sz w:val="24"/>
        </w:rPr>
        <w:t>for the August </w:t>
      </w:r>
      <w:r>
        <w:rPr>
          <w:i/>
          <w:sz w:val="24"/>
        </w:rPr>
        <w:t>Inflation</w:t>
      </w:r>
      <w:r>
        <w:rPr>
          <w:i/>
          <w:spacing w:val="17"/>
          <w:sz w:val="24"/>
        </w:rPr>
        <w:t> </w:t>
      </w:r>
      <w:r>
        <w:rPr>
          <w:i/>
          <w:sz w:val="24"/>
        </w:rPr>
        <w:t>Report</w:t>
      </w:r>
      <w:r>
        <w:rPr>
          <w:sz w:val="24"/>
        </w:rPr>
        <w:t>.</w:t>
      </w:r>
    </w:p>
    <w:p>
      <w:pPr>
        <w:pStyle w:val="BodyText"/>
        <w:spacing w:before="2"/>
        <w:rPr>
          <w:sz w:val="31"/>
        </w:rPr>
      </w:pPr>
    </w:p>
    <w:p>
      <w:pPr>
        <w:pStyle w:val="ListParagraph"/>
        <w:numPr>
          <w:ilvl w:val="0"/>
          <w:numId w:val="2"/>
        </w:numPr>
        <w:tabs>
          <w:tab w:pos="1285" w:val="left" w:leader="none"/>
        </w:tabs>
        <w:spacing w:line="360" w:lineRule="auto" w:before="0" w:after="0"/>
        <w:ind w:left="924" w:right="1137" w:firstLine="0"/>
        <w:jc w:val="left"/>
        <w:rPr>
          <w:sz w:val="24"/>
        </w:rPr>
      </w:pPr>
      <w:r>
        <w:rPr>
          <w:sz w:val="24"/>
        </w:rPr>
        <w:t>Further arguments for leaving the repo rate at 5% were advanced. One was that given the impact </w:t>
      </w:r>
      <w:r>
        <w:rPr>
          <w:spacing w:val="3"/>
          <w:sz w:val="24"/>
        </w:rPr>
        <w:t>of </w:t>
      </w:r>
      <w:r>
        <w:rPr>
          <w:sz w:val="24"/>
        </w:rPr>
        <w:t>earlier interest </w:t>
      </w:r>
      <w:r>
        <w:rPr>
          <w:spacing w:val="2"/>
          <w:sz w:val="24"/>
        </w:rPr>
        <w:t>rate reductions </w:t>
      </w:r>
      <w:r>
        <w:rPr>
          <w:sz w:val="24"/>
        </w:rPr>
        <w:t>had yet </w:t>
      </w:r>
      <w:r>
        <w:rPr>
          <w:spacing w:val="3"/>
          <w:sz w:val="24"/>
        </w:rPr>
        <w:t>to </w:t>
      </w:r>
      <w:r>
        <w:rPr>
          <w:sz w:val="24"/>
        </w:rPr>
        <w:t>be fully seen, </w:t>
      </w:r>
      <w:r>
        <w:rPr>
          <w:spacing w:val="3"/>
          <w:sz w:val="24"/>
        </w:rPr>
        <w:t>official </w:t>
      </w:r>
      <w:r>
        <w:rPr>
          <w:sz w:val="24"/>
        </w:rPr>
        <w:t>rates should be kept at 5% until evidence emerged </w:t>
      </w:r>
      <w:r>
        <w:rPr>
          <w:spacing w:val="2"/>
          <w:sz w:val="24"/>
        </w:rPr>
        <w:t>of </w:t>
      </w:r>
      <w:r>
        <w:rPr>
          <w:sz w:val="24"/>
        </w:rPr>
        <w:t>price pressures in either direction. A second was that rates were now close </w:t>
      </w:r>
      <w:r>
        <w:rPr>
          <w:spacing w:val="2"/>
          <w:sz w:val="24"/>
        </w:rPr>
        <w:t>to </w:t>
      </w:r>
      <w:r>
        <w:rPr>
          <w:sz w:val="24"/>
        </w:rPr>
        <w:t>their neutral level, and that this was appropriate given the state </w:t>
      </w:r>
      <w:r>
        <w:rPr>
          <w:spacing w:val="2"/>
          <w:sz w:val="24"/>
        </w:rPr>
        <w:t>of </w:t>
      </w:r>
      <w:r>
        <w:rPr>
          <w:sz w:val="24"/>
        </w:rPr>
        <w:t>the economic cycle and the evidence </w:t>
      </w:r>
      <w:r>
        <w:rPr>
          <w:spacing w:val="3"/>
          <w:sz w:val="24"/>
        </w:rPr>
        <w:t>on </w:t>
      </w:r>
      <w:r>
        <w:rPr>
          <w:sz w:val="24"/>
        </w:rPr>
        <w:t>employment. A third argument was that against a background with a significant probability for inflation </w:t>
      </w:r>
      <w:r>
        <w:rPr>
          <w:spacing w:val="3"/>
          <w:sz w:val="24"/>
        </w:rPr>
        <w:t>to </w:t>
      </w:r>
      <w:r>
        <w:rPr>
          <w:sz w:val="24"/>
        </w:rPr>
        <w:t>undershoot the target in the short term, the Committee might be able </w:t>
      </w:r>
      <w:r>
        <w:rPr>
          <w:spacing w:val="3"/>
          <w:sz w:val="24"/>
        </w:rPr>
        <w:t>to </w:t>
      </w:r>
      <w:r>
        <w:rPr>
          <w:sz w:val="24"/>
        </w:rPr>
        <w:t>wait and see whether some </w:t>
      </w:r>
      <w:r>
        <w:rPr>
          <w:spacing w:val="2"/>
          <w:sz w:val="24"/>
        </w:rPr>
        <w:t>of </w:t>
      </w:r>
      <w:r>
        <w:rPr>
          <w:sz w:val="24"/>
        </w:rPr>
        <w:t>the developments, for instance in the labour</w:t>
      </w:r>
      <w:r>
        <w:rPr>
          <w:spacing w:val="-7"/>
          <w:sz w:val="24"/>
        </w:rPr>
        <w:t> </w:t>
      </w:r>
      <w:r>
        <w:rPr>
          <w:sz w:val="24"/>
        </w:rPr>
        <w:t>market,</w:t>
      </w:r>
      <w:r>
        <w:rPr>
          <w:spacing w:val="-2"/>
          <w:sz w:val="24"/>
        </w:rPr>
        <w:t> </w:t>
      </w:r>
      <w:r>
        <w:rPr>
          <w:sz w:val="24"/>
        </w:rPr>
        <w:t>as</w:t>
      </w:r>
      <w:r>
        <w:rPr>
          <w:spacing w:val="-7"/>
          <w:sz w:val="24"/>
        </w:rPr>
        <w:t> </w:t>
      </w:r>
      <w:r>
        <w:rPr>
          <w:sz w:val="24"/>
        </w:rPr>
        <w:t>was</w:t>
      </w:r>
      <w:r>
        <w:rPr>
          <w:spacing w:val="-6"/>
          <w:sz w:val="24"/>
        </w:rPr>
        <w:t> </w:t>
      </w:r>
      <w:r>
        <w:rPr>
          <w:sz w:val="24"/>
        </w:rPr>
        <w:t>looking</w:t>
      </w:r>
      <w:r>
        <w:rPr>
          <w:spacing w:val="-7"/>
          <w:sz w:val="24"/>
        </w:rPr>
        <w:t> </w:t>
      </w:r>
      <w:r>
        <w:rPr>
          <w:sz w:val="24"/>
        </w:rPr>
        <w:t>increasingly</w:t>
      </w:r>
      <w:r>
        <w:rPr>
          <w:spacing w:val="-6"/>
          <w:sz w:val="24"/>
        </w:rPr>
        <w:t> </w:t>
      </w:r>
      <w:r>
        <w:rPr>
          <w:sz w:val="24"/>
        </w:rPr>
        <w:t>likely,</w:t>
      </w:r>
      <w:r>
        <w:rPr>
          <w:spacing w:val="-7"/>
          <w:sz w:val="24"/>
        </w:rPr>
        <w:t> </w:t>
      </w:r>
      <w:r>
        <w:rPr>
          <w:spacing w:val="2"/>
          <w:sz w:val="24"/>
        </w:rPr>
        <w:t>reflected</w:t>
      </w:r>
      <w:r>
        <w:rPr>
          <w:spacing w:val="-5"/>
          <w:sz w:val="24"/>
        </w:rPr>
        <w:t> </w:t>
      </w:r>
      <w:r>
        <w:rPr>
          <w:sz w:val="24"/>
        </w:rPr>
        <w:t>structural</w:t>
      </w:r>
      <w:r>
        <w:rPr>
          <w:spacing w:val="-7"/>
          <w:sz w:val="24"/>
        </w:rPr>
        <w:t> </w:t>
      </w:r>
      <w:r>
        <w:rPr>
          <w:sz w:val="24"/>
        </w:rPr>
        <w:t>changes</w:t>
      </w:r>
      <w:r>
        <w:rPr>
          <w:spacing w:val="-6"/>
          <w:sz w:val="24"/>
        </w:rPr>
        <w:t> </w:t>
      </w:r>
      <w:r>
        <w:rPr>
          <w:sz w:val="24"/>
        </w:rPr>
        <w:t>in</w:t>
      </w:r>
      <w:r>
        <w:rPr>
          <w:spacing w:val="-7"/>
          <w:sz w:val="24"/>
        </w:rPr>
        <w:t> </w:t>
      </w:r>
      <w:r>
        <w:rPr>
          <w:spacing w:val="2"/>
          <w:sz w:val="24"/>
        </w:rPr>
        <w:t>the </w:t>
      </w:r>
      <w:r>
        <w:rPr>
          <w:sz w:val="24"/>
        </w:rPr>
        <w:t>economy.</w:t>
      </w:r>
    </w:p>
    <w:p>
      <w:pPr>
        <w:pStyle w:val="BodyText"/>
        <w:spacing w:before="2"/>
        <w:rPr>
          <w:sz w:val="31"/>
        </w:rPr>
      </w:pPr>
    </w:p>
    <w:p>
      <w:pPr>
        <w:pStyle w:val="ListParagraph"/>
        <w:numPr>
          <w:ilvl w:val="0"/>
          <w:numId w:val="2"/>
        </w:numPr>
        <w:tabs>
          <w:tab w:pos="1285" w:val="left" w:leader="none"/>
        </w:tabs>
        <w:spacing w:line="360" w:lineRule="auto" w:before="0" w:after="0"/>
        <w:ind w:left="924" w:right="1038" w:firstLine="0"/>
        <w:jc w:val="left"/>
        <w:rPr>
          <w:sz w:val="24"/>
        </w:rPr>
      </w:pPr>
      <w:r>
        <w:rPr>
          <w:sz w:val="24"/>
        </w:rPr>
        <w:t>On another view, it might have been preferable last month </w:t>
      </w:r>
      <w:r>
        <w:rPr>
          <w:spacing w:val="3"/>
          <w:sz w:val="24"/>
        </w:rPr>
        <w:t>to </w:t>
      </w:r>
      <w:r>
        <w:rPr>
          <w:sz w:val="24"/>
        </w:rPr>
        <w:t>have left the repo rate unchanged for the reasons set </w:t>
      </w:r>
      <w:r>
        <w:rPr>
          <w:spacing w:val="3"/>
          <w:sz w:val="24"/>
        </w:rPr>
        <w:t>out </w:t>
      </w:r>
      <w:r>
        <w:rPr>
          <w:sz w:val="24"/>
        </w:rPr>
        <w:t>at the time. Developments </w:t>
      </w:r>
      <w:r>
        <w:rPr>
          <w:spacing w:val="3"/>
          <w:sz w:val="24"/>
        </w:rPr>
        <w:t>over </w:t>
      </w:r>
      <w:r>
        <w:rPr>
          <w:sz w:val="24"/>
        </w:rPr>
        <w:t>the month had probably strengthened that argument. Although cost increases were lower than expected,</w:t>
      </w:r>
      <w:r>
        <w:rPr>
          <w:spacing w:val="-9"/>
          <w:sz w:val="24"/>
        </w:rPr>
        <w:t> </w:t>
      </w:r>
      <w:r>
        <w:rPr>
          <w:spacing w:val="4"/>
          <w:sz w:val="24"/>
        </w:rPr>
        <w:t>other</w:t>
      </w:r>
      <w:r>
        <w:rPr>
          <w:spacing w:val="-4"/>
          <w:sz w:val="24"/>
        </w:rPr>
        <w:t> </w:t>
      </w:r>
      <w:r>
        <w:rPr>
          <w:sz w:val="24"/>
        </w:rPr>
        <w:t>indicators,</w:t>
      </w:r>
      <w:r>
        <w:rPr>
          <w:spacing w:val="-9"/>
          <w:sz w:val="24"/>
        </w:rPr>
        <w:t> </w:t>
      </w:r>
      <w:r>
        <w:rPr>
          <w:sz w:val="24"/>
        </w:rPr>
        <w:t>such</w:t>
      </w:r>
      <w:r>
        <w:rPr>
          <w:spacing w:val="-8"/>
          <w:sz w:val="24"/>
        </w:rPr>
        <w:t> </w:t>
      </w:r>
      <w:r>
        <w:rPr>
          <w:sz w:val="24"/>
        </w:rPr>
        <w:t>as</w:t>
      </w:r>
      <w:r>
        <w:rPr>
          <w:spacing w:val="-9"/>
          <w:sz w:val="24"/>
        </w:rPr>
        <w:t> </w:t>
      </w:r>
      <w:r>
        <w:rPr>
          <w:sz w:val="24"/>
        </w:rPr>
        <w:t>domestic</w:t>
      </w:r>
      <w:r>
        <w:rPr>
          <w:spacing w:val="-8"/>
          <w:sz w:val="24"/>
        </w:rPr>
        <w:t> </w:t>
      </w:r>
      <w:r>
        <w:rPr>
          <w:sz w:val="24"/>
        </w:rPr>
        <w:t>demand,</w:t>
      </w:r>
      <w:r>
        <w:rPr>
          <w:spacing w:val="-8"/>
          <w:sz w:val="24"/>
        </w:rPr>
        <w:t> </w:t>
      </w:r>
      <w:r>
        <w:rPr>
          <w:sz w:val="24"/>
        </w:rPr>
        <w:t>money</w:t>
      </w:r>
      <w:r>
        <w:rPr>
          <w:spacing w:val="-9"/>
          <w:sz w:val="24"/>
        </w:rPr>
        <w:t> </w:t>
      </w:r>
      <w:r>
        <w:rPr>
          <w:sz w:val="24"/>
        </w:rPr>
        <w:t>data</w:t>
      </w:r>
      <w:r>
        <w:rPr>
          <w:spacing w:val="-8"/>
          <w:sz w:val="24"/>
        </w:rPr>
        <w:t> </w:t>
      </w:r>
      <w:r>
        <w:rPr>
          <w:sz w:val="24"/>
        </w:rPr>
        <w:t>and</w:t>
      </w:r>
      <w:r>
        <w:rPr>
          <w:spacing w:val="-9"/>
          <w:sz w:val="24"/>
        </w:rPr>
        <w:t> </w:t>
      </w:r>
      <w:r>
        <w:rPr>
          <w:sz w:val="24"/>
        </w:rPr>
        <w:t>housing</w:t>
      </w:r>
      <w:r>
        <w:rPr>
          <w:spacing w:val="-8"/>
          <w:sz w:val="24"/>
        </w:rPr>
        <w:t> </w:t>
      </w:r>
      <w:r>
        <w:rPr>
          <w:sz w:val="24"/>
        </w:rPr>
        <w:t>market activity, were pointing </w:t>
      </w:r>
      <w:r>
        <w:rPr>
          <w:spacing w:val="3"/>
          <w:sz w:val="24"/>
        </w:rPr>
        <w:t>to </w:t>
      </w:r>
      <w:r>
        <w:rPr>
          <w:sz w:val="24"/>
        </w:rPr>
        <w:t>a less benign inflation </w:t>
      </w:r>
      <w:r>
        <w:rPr>
          <w:spacing w:val="4"/>
          <w:sz w:val="24"/>
        </w:rPr>
        <w:t>outlook </w:t>
      </w:r>
      <w:r>
        <w:rPr>
          <w:sz w:val="24"/>
        </w:rPr>
        <w:t>further ahead, and</w:t>
      </w:r>
      <w:r>
        <w:rPr>
          <w:spacing w:val="-25"/>
          <w:sz w:val="24"/>
        </w:rPr>
        <w:t> </w:t>
      </w:r>
      <w:r>
        <w:rPr>
          <w:sz w:val="24"/>
        </w:rPr>
        <w:t>the</w:t>
      </w:r>
    </w:p>
    <w:p>
      <w:pPr>
        <w:spacing w:after="0" w:line="360" w:lineRule="auto"/>
        <w:jc w:val="left"/>
        <w:rPr>
          <w:sz w:val="24"/>
        </w:rPr>
        <w:sectPr>
          <w:pgSz w:w="11900" w:h="16840"/>
          <w:pgMar w:header="580" w:footer="0" w:top="1340" w:bottom="280" w:left="880" w:right="860"/>
        </w:sectPr>
      </w:pPr>
    </w:p>
    <w:p>
      <w:pPr>
        <w:pStyle w:val="BodyText"/>
        <w:spacing w:line="360" w:lineRule="auto" w:before="98"/>
        <w:ind w:left="924" w:right="1011"/>
      </w:pPr>
      <w:r>
        <w:rPr/>
        <w:t>exchange rate was back in line with the central assumption in the May </w:t>
      </w:r>
      <w:r>
        <w:rPr>
          <w:i/>
        </w:rPr>
        <w:t>Inflation </w:t>
      </w:r>
      <w:r>
        <w:rPr>
          <w:i/>
        </w:rPr>
        <w:t>Report</w:t>
      </w:r>
      <w:r>
        <w:rPr/>
        <w:t>. But there were two reasons for not reversing last month’s reduction. First, to do so might affect business and consumer confidence disproportionately. A reduction followed by an immediate rise in interest rates, in the absence of significant news about the economy, did not necessarily have the same impact on confidence as a constant level of rates. Second, a reversal might wrongly be interpreted as a stronger signal of the future path of interest rates than was warranted. It was desirable, therefore, to leave the repo rate unchanged this month.</w:t>
      </w:r>
    </w:p>
    <w:p>
      <w:pPr>
        <w:pStyle w:val="BodyText"/>
        <w:spacing w:before="4"/>
        <w:rPr>
          <w:sz w:val="31"/>
        </w:rPr>
      </w:pPr>
    </w:p>
    <w:p>
      <w:pPr>
        <w:pStyle w:val="ListParagraph"/>
        <w:numPr>
          <w:ilvl w:val="0"/>
          <w:numId w:val="2"/>
        </w:numPr>
        <w:tabs>
          <w:tab w:pos="1285" w:val="left" w:leader="none"/>
        </w:tabs>
        <w:spacing w:line="360" w:lineRule="auto" w:before="0" w:after="0"/>
        <w:ind w:left="924" w:right="1094" w:firstLine="0"/>
        <w:jc w:val="left"/>
        <w:rPr>
          <w:sz w:val="24"/>
        </w:rPr>
      </w:pPr>
      <w:r>
        <w:rPr>
          <w:sz w:val="24"/>
        </w:rPr>
        <w:t>The Governor invited the Committee </w:t>
      </w:r>
      <w:r>
        <w:rPr>
          <w:spacing w:val="2"/>
          <w:sz w:val="24"/>
        </w:rPr>
        <w:t>to </w:t>
      </w:r>
      <w:r>
        <w:rPr>
          <w:sz w:val="24"/>
        </w:rPr>
        <w:t>vote </w:t>
      </w:r>
      <w:r>
        <w:rPr>
          <w:spacing w:val="2"/>
          <w:sz w:val="24"/>
        </w:rPr>
        <w:t>on </w:t>
      </w:r>
      <w:r>
        <w:rPr>
          <w:sz w:val="24"/>
        </w:rPr>
        <w:t>the proposition that the </w:t>
      </w:r>
      <w:r>
        <w:rPr>
          <w:spacing w:val="-5"/>
          <w:sz w:val="24"/>
        </w:rPr>
        <w:t>Bank’s </w:t>
      </w:r>
      <w:r>
        <w:rPr>
          <w:sz w:val="24"/>
        </w:rPr>
        <w:t>repo rate be maintained at 5.0%. The Committee voted unanimously in favour </w:t>
      </w:r>
      <w:r>
        <w:rPr>
          <w:spacing w:val="2"/>
          <w:sz w:val="24"/>
        </w:rPr>
        <w:t>of </w:t>
      </w:r>
      <w:r>
        <w:rPr>
          <w:sz w:val="24"/>
        </w:rPr>
        <w:t>the proposition.</w:t>
      </w:r>
    </w:p>
    <w:p>
      <w:pPr>
        <w:pStyle w:val="BodyText"/>
        <w:spacing w:before="4"/>
        <w:rPr>
          <w:sz w:val="31"/>
        </w:rPr>
      </w:pPr>
    </w:p>
    <w:p>
      <w:pPr>
        <w:pStyle w:val="ListParagraph"/>
        <w:numPr>
          <w:ilvl w:val="0"/>
          <w:numId w:val="2"/>
        </w:numPr>
        <w:tabs>
          <w:tab w:pos="1285" w:val="left" w:leader="none"/>
        </w:tabs>
        <w:spacing w:line="240" w:lineRule="auto" w:before="1" w:after="0"/>
        <w:ind w:left="1284" w:right="0" w:hanging="361"/>
        <w:jc w:val="left"/>
        <w:rPr>
          <w:sz w:val="24"/>
        </w:rPr>
      </w:pPr>
      <w:r>
        <w:rPr>
          <w:sz w:val="24"/>
        </w:rPr>
        <w:t>The following members </w:t>
      </w:r>
      <w:r>
        <w:rPr>
          <w:spacing w:val="3"/>
          <w:sz w:val="24"/>
        </w:rPr>
        <w:t>of </w:t>
      </w:r>
      <w:r>
        <w:rPr>
          <w:sz w:val="24"/>
        </w:rPr>
        <w:t>the Committee were</w:t>
      </w:r>
      <w:r>
        <w:rPr>
          <w:spacing w:val="29"/>
          <w:sz w:val="24"/>
        </w:rPr>
        <w:t> </w:t>
      </w:r>
      <w:r>
        <w:rPr>
          <w:sz w:val="24"/>
        </w:rPr>
        <w:t>present:</w:t>
      </w:r>
    </w:p>
    <w:p>
      <w:pPr>
        <w:pStyle w:val="BodyText"/>
        <w:rPr>
          <w:sz w:val="26"/>
        </w:rPr>
      </w:pPr>
    </w:p>
    <w:p>
      <w:pPr>
        <w:pStyle w:val="BodyText"/>
        <w:spacing w:before="198"/>
        <w:ind w:left="924"/>
      </w:pPr>
      <w:r>
        <w:rPr/>
        <w:t>Eddie George, Governor</w:t>
      </w:r>
    </w:p>
    <w:p>
      <w:pPr>
        <w:pStyle w:val="BodyText"/>
        <w:spacing w:before="2"/>
        <w:ind w:left="924" w:right="2444"/>
      </w:pPr>
      <w:r>
        <w:rPr/>
        <w:t>Mervyn King, Deputy Governor responsible for monetary policy David Clementi, Deputy Governor responsible for financial stability Willem Buiter</w:t>
      </w:r>
    </w:p>
    <w:p>
      <w:pPr>
        <w:pStyle w:val="BodyText"/>
        <w:ind w:left="924" w:right="7516"/>
      </w:pPr>
      <w:r>
        <w:rPr/>
        <w:t>Charles Goodhart DeAnne Julius Ian Plenderleith John Vickers Sushil Wadhwani</w:t>
      </w:r>
    </w:p>
    <w:p>
      <w:pPr>
        <w:pStyle w:val="BodyText"/>
        <w:spacing w:before="9"/>
        <w:rPr>
          <w:sz w:val="23"/>
        </w:rPr>
      </w:pPr>
    </w:p>
    <w:p>
      <w:pPr>
        <w:pStyle w:val="BodyText"/>
        <w:ind w:left="924"/>
      </w:pPr>
      <w:r>
        <w:rPr/>
        <w:t>Gus O’Donnell was present as the Treasury representative.</w:t>
      </w:r>
    </w:p>
    <w:p>
      <w:pPr>
        <w:spacing w:after="0"/>
        <w:sectPr>
          <w:pgSz w:w="11900" w:h="16840"/>
          <w:pgMar w:header="580" w:footer="0" w:top="1340" w:bottom="280" w:left="880" w:right="860"/>
        </w:sectPr>
      </w:pPr>
    </w:p>
    <w:p>
      <w:pPr>
        <w:pStyle w:val="Heading1"/>
      </w:pPr>
      <w:r>
        <w:rPr/>
        <w:t>ANNEX: SUMMARY OF DATA PRESENTED BY BANK STAFF</w:t>
      </w:r>
    </w:p>
    <w:p>
      <w:pPr>
        <w:pStyle w:val="BodyText"/>
        <w:rPr>
          <w:b/>
          <w:sz w:val="30"/>
        </w:rPr>
      </w:pPr>
    </w:p>
    <w:p>
      <w:pPr>
        <w:pStyle w:val="BodyText"/>
        <w:tabs>
          <w:tab w:pos="1572" w:val="left" w:leader="none"/>
        </w:tabs>
        <w:spacing w:line="360" w:lineRule="auto" w:before="177"/>
        <w:ind w:left="920" w:right="951"/>
      </w:pPr>
      <w:r>
        <w:rPr/>
        <w:t>A1</w:t>
        <w:tab/>
      </w:r>
      <w:r>
        <w:rPr>
          <w:spacing w:val="3"/>
        </w:rPr>
        <w:t>This </w:t>
      </w:r>
      <w:r>
        <w:rPr/>
        <w:t>Annex summarises the analysis presented by the Bank staff </w:t>
      </w:r>
      <w:r>
        <w:rPr>
          <w:spacing w:val="3"/>
        </w:rPr>
        <w:t>to </w:t>
      </w:r>
      <w:r>
        <w:rPr>
          <w:spacing w:val="2"/>
        </w:rPr>
        <w:t>the </w:t>
      </w:r>
      <w:r>
        <w:rPr/>
        <w:t>Monetary Policy Committee </w:t>
      </w:r>
      <w:r>
        <w:rPr>
          <w:spacing w:val="3"/>
        </w:rPr>
        <w:t>on </w:t>
      </w:r>
      <w:r>
        <w:rPr/>
        <w:t>2 July, in advance </w:t>
      </w:r>
      <w:r>
        <w:rPr>
          <w:spacing w:val="3"/>
        </w:rPr>
        <w:t>of </w:t>
      </w:r>
      <w:r>
        <w:rPr/>
        <w:t>its meeting </w:t>
      </w:r>
      <w:r>
        <w:rPr>
          <w:spacing w:val="3"/>
        </w:rPr>
        <w:t>on </w:t>
      </w:r>
      <w:r>
        <w:rPr/>
        <w:t>7-8 July 1999. At the start </w:t>
      </w:r>
      <w:r>
        <w:rPr>
          <w:spacing w:val="2"/>
        </w:rPr>
        <w:t>of </w:t>
      </w:r>
      <w:r>
        <w:rPr/>
        <w:t>the Committee meeting itself, members were made aware </w:t>
      </w:r>
      <w:r>
        <w:rPr>
          <w:spacing w:val="2"/>
        </w:rPr>
        <w:t>of </w:t>
      </w:r>
      <w:r>
        <w:rPr/>
        <w:t>information that had subsequently become available, and that information is included in </w:t>
      </w:r>
      <w:r>
        <w:rPr>
          <w:spacing w:val="2"/>
        </w:rPr>
        <w:t>the Annex.</w:t>
      </w:r>
    </w:p>
    <w:p>
      <w:pPr>
        <w:pStyle w:val="BodyText"/>
        <w:spacing w:before="7"/>
        <w:rPr>
          <w:sz w:val="31"/>
        </w:rPr>
      </w:pPr>
    </w:p>
    <w:p>
      <w:pPr>
        <w:pStyle w:val="Heading2"/>
        <w:numPr>
          <w:ilvl w:val="0"/>
          <w:numId w:val="3"/>
        </w:numPr>
        <w:tabs>
          <w:tab w:pos="1141" w:val="left" w:leader="none"/>
        </w:tabs>
        <w:spacing w:line="240" w:lineRule="auto" w:before="0" w:after="0"/>
        <w:ind w:left="1140" w:right="0" w:hanging="221"/>
        <w:jc w:val="left"/>
      </w:pPr>
      <w:r>
        <w:rPr/>
        <w:t>The international</w:t>
      </w:r>
      <w:r>
        <w:rPr>
          <w:spacing w:val="6"/>
        </w:rPr>
        <w:t> </w:t>
      </w:r>
      <w:r>
        <w:rPr/>
        <w:t>economy</w:t>
      </w:r>
    </w:p>
    <w:p>
      <w:pPr>
        <w:pStyle w:val="BodyText"/>
        <w:rPr>
          <w:b/>
          <w:sz w:val="26"/>
        </w:rPr>
      </w:pPr>
    </w:p>
    <w:p>
      <w:pPr>
        <w:pStyle w:val="BodyText"/>
        <w:spacing w:line="360" w:lineRule="auto" w:before="193"/>
        <w:ind w:left="920" w:right="1180"/>
        <w:jc w:val="both"/>
      </w:pPr>
      <w:r>
        <w:rPr/>
        <w:t>A2   The international environment had improved a little </w:t>
      </w:r>
      <w:r>
        <w:rPr>
          <w:spacing w:val="3"/>
        </w:rPr>
        <w:t>over </w:t>
      </w:r>
      <w:r>
        <w:rPr/>
        <w:t>the month. Activity in</w:t>
      </w:r>
      <w:r>
        <w:rPr>
          <w:spacing w:val="-5"/>
        </w:rPr>
        <w:t> </w:t>
      </w:r>
      <w:r>
        <w:rPr/>
        <w:t>the</w:t>
      </w:r>
      <w:r>
        <w:rPr>
          <w:spacing w:val="-4"/>
        </w:rPr>
        <w:t> </w:t>
      </w:r>
      <w:r>
        <w:rPr/>
        <w:t>United</w:t>
      </w:r>
      <w:r>
        <w:rPr>
          <w:spacing w:val="-4"/>
        </w:rPr>
        <w:t> </w:t>
      </w:r>
      <w:r>
        <w:rPr/>
        <w:t>States</w:t>
      </w:r>
      <w:r>
        <w:rPr>
          <w:spacing w:val="-3"/>
        </w:rPr>
        <w:t> </w:t>
      </w:r>
      <w:r>
        <w:rPr/>
        <w:t>had</w:t>
      </w:r>
      <w:r>
        <w:rPr>
          <w:spacing w:val="-5"/>
        </w:rPr>
        <w:t> </w:t>
      </w:r>
      <w:r>
        <w:rPr/>
        <w:t>remained</w:t>
      </w:r>
      <w:r>
        <w:rPr>
          <w:spacing w:val="-2"/>
        </w:rPr>
        <w:t> </w:t>
      </w:r>
      <w:r>
        <w:rPr/>
        <w:t>strong,</w:t>
      </w:r>
      <w:r>
        <w:rPr>
          <w:spacing w:val="-4"/>
        </w:rPr>
        <w:t> </w:t>
      </w:r>
      <w:r>
        <w:rPr/>
        <w:t>and</w:t>
      </w:r>
      <w:r>
        <w:rPr>
          <w:spacing w:val="-5"/>
        </w:rPr>
        <w:t> </w:t>
      </w:r>
      <w:r>
        <w:rPr/>
        <w:t>survey</w:t>
      </w:r>
      <w:r>
        <w:rPr>
          <w:spacing w:val="-4"/>
        </w:rPr>
        <w:t> </w:t>
      </w:r>
      <w:r>
        <w:rPr/>
        <w:t>data</w:t>
      </w:r>
      <w:r>
        <w:rPr>
          <w:spacing w:val="-4"/>
        </w:rPr>
        <w:t> </w:t>
      </w:r>
      <w:r>
        <w:rPr/>
        <w:t>for</w:t>
      </w:r>
      <w:r>
        <w:rPr>
          <w:spacing w:val="-4"/>
        </w:rPr>
        <w:t> </w:t>
      </w:r>
      <w:r>
        <w:rPr/>
        <w:t>the</w:t>
      </w:r>
      <w:r>
        <w:rPr>
          <w:spacing w:val="-4"/>
        </w:rPr>
        <w:t> </w:t>
      </w:r>
      <w:r>
        <w:rPr/>
        <w:t>euro</w:t>
      </w:r>
      <w:r>
        <w:rPr>
          <w:spacing w:val="-5"/>
        </w:rPr>
        <w:t> </w:t>
      </w:r>
      <w:r>
        <w:rPr/>
        <w:t>area</w:t>
      </w:r>
      <w:r>
        <w:rPr>
          <w:spacing w:val="-4"/>
        </w:rPr>
        <w:t> </w:t>
      </w:r>
      <w:r>
        <w:rPr/>
        <w:t>had</w:t>
      </w:r>
      <w:r>
        <w:rPr>
          <w:spacing w:val="-4"/>
        </w:rPr>
        <w:t> </w:t>
      </w:r>
      <w:r>
        <w:rPr/>
        <w:t>been largely positive. Growth forecasts for Asia had been revised</w:t>
      </w:r>
      <w:r>
        <w:rPr>
          <w:spacing w:val="11"/>
        </w:rPr>
        <w:t> </w:t>
      </w:r>
      <w:r>
        <w:rPr/>
        <w:t>up.</w:t>
      </w:r>
    </w:p>
    <w:p>
      <w:pPr>
        <w:pStyle w:val="BodyText"/>
        <w:spacing w:before="5"/>
        <w:rPr>
          <w:sz w:val="31"/>
        </w:rPr>
      </w:pPr>
    </w:p>
    <w:p>
      <w:pPr>
        <w:pStyle w:val="BodyText"/>
        <w:tabs>
          <w:tab w:pos="1572" w:val="left" w:leader="none"/>
        </w:tabs>
        <w:spacing w:line="360" w:lineRule="auto"/>
        <w:ind w:left="920" w:right="1055"/>
      </w:pPr>
      <w:r>
        <w:rPr/>
        <w:t>A3</w:t>
        <w:tab/>
        <w:t>The</w:t>
      </w:r>
      <w:r>
        <w:rPr>
          <w:spacing w:val="-2"/>
        </w:rPr>
        <w:t> </w:t>
      </w:r>
      <w:r>
        <w:rPr/>
        <w:t>final</w:t>
      </w:r>
      <w:r>
        <w:rPr>
          <w:spacing w:val="-5"/>
        </w:rPr>
        <w:t> </w:t>
      </w:r>
      <w:r>
        <w:rPr/>
        <w:t>estimate</w:t>
      </w:r>
      <w:r>
        <w:rPr>
          <w:spacing w:val="-5"/>
        </w:rPr>
        <w:t> </w:t>
      </w:r>
      <w:r>
        <w:rPr>
          <w:spacing w:val="2"/>
        </w:rPr>
        <w:t>of</w:t>
      </w:r>
      <w:r>
        <w:rPr/>
        <w:t> Q1</w:t>
      </w:r>
      <w:r>
        <w:rPr>
          <w:spacing w:val="-4"/>
        </w:rPr>
        <w:t> </w:t>
      </w:r>
      <w:r>
        <w:rPr/>
        <w:t>GDP</w:t>
      </w:r>
      <w:r>
        <w:rPr>
          <w:spacing w:val="-5"/>
        </w:rPr>
        <w:t> </w:t>
      </w:r>
      <w:r>
        <w:rPr/>
        <w:t>growth</w:t>
      </w:r>
      <w:r>
        <w:rPr>
          <w:spacing w:val="-4"/>
        </w:rPr>
        <w:t> </w:t>
      </w:r>
      <w:r>
        <w:rPr/>
        <w:t>in</w:t>
      </w:r>
      <w:r>
        <w:rPr>
          <w:spacing w:val="-4"/>
        </w:rPr>
        <w:t> </w:t>
      </w:r>
      <w:r>
        <w:rPr/>
        <w:t>the</w:t>
      </w:r>
      <w:r>
        <w:rPr>
          <w:spacing w:val="-5"/>
        </w:rPr>
        <w:t> </w:t>
      </w:r>
      <w:r>
        <w:rPr/>
        <w:t>United</w:t>
      </w:r>
      <w:r>
        <w:rPr>
          <w:spacing w:val="-4"/>
        </w:rPr>
        <w:t> </w:t>
      </w:r>
      <w:r>
        <w:rPr/>
        <w:t>States</w:t>
      </w:r>
      <w:r>
        <w:rPr>
          <w:spacing w:val="-4"/>
        </w:rPr>
        <w:t> </w:t>
      </w:r>
      <w:r>
        <w:rPr/>
        <w:t>had</w:t>
      </w:r>
      <w:r>
        <w:rPr>
          <w:spacing w:val="-5"/>
        </w:rPr>
        <w:t> </w:t>
      </w:r>
      <w:r>
        <w:rPr/>
        <w:t>been</w:t>
      </w:r>
      <w:r>
        <w:rPr>
          <w:spacing w:val="-4"/>
        </w:rPr>
        <w:t> </w:t>
      </w:r>
      <w:r>
        <w:rPr/>
        <w:t>revised</w:t>
      </w:r>
      <w:r>
        <w:rPr>
          <w:spacing w:val="-3"/>
        </w:rPr>
        <w:t> </w:t>
      </w:r>
      <w:r>
        <w:rPr/>
        <w:t>up </w:t>
      </w:r>
      <w:r>
        <w:rPr>
          <w:spacing w:val="2"/>
        </w:rPr>
        <w:t>to </w:t>
      </w:r>
      <w:r>
        <w:rPr/>
        <w:t>1.1% quarter </w:t>
      </w:r>
      <w:r>
        <w:rPr>
          <w:spacing w:val="2"/>
        </w:rPr>
        <w:t>on </w:t>
      </w:r>
      <w:r>
        <w:rPr/>
        <w:t>quarter, reflecting a slightly less negative contribution from trade. In Japan, the estimate for Q1 GDP growth had been surprisingly strong, at 1.9% quarter </w:t>
      </w:r>
      <w:r>
        <w:rPr>
          <w:spacing w:val="2"/>
        </w:rPr>
        <w:t>on </w:t>
      </w:r>
      <w:r>
        <w:rPr/>
        <w:t>quarter. But this most probably </w:t>
      </w:r>
      <w:r>
        <w:rPr>
          <w:spacing w:val="4"/>
        </w:rPr>
        <w:t>overestimated </w:t>
      </w:r>
      <w:r>
        <w:rPr/>
        <w:t>underlying</w:t>
      </w:r>
      <w:r>
        <w:rPr>
          <w:spacing w:val="-27"/>
        </w:rPr>
        <w:t> </w:t>
      </w:r>
      <w:r>
        <w:rPr/>
        <w:t>activity.</w:t>
      </w:r>
    </w:p>
    <w:p>
      <w:pPr>
        <w:pStyle w:val="BodyText"/>
        <w:spacing w:line="360" w:lineRule="auto"/>
        <w:ind w:left="920" w:right="982"/>
      </w:pPr>
      <w:r>
        <w:rPr/>
        <w:t>Monthly</w:t>
      </w:r>
      <w:r>
        <w:rPr>
          <w:spacing w:val="-7"/>
        </w:rPr>
        <w:t> </w:t>
      </w:r>
      <w:r>
        <w:rPr/>
        <w:t>activity</w:t>
      </w:r>
      <w:r>
        <w:rPr>
          <w:spacing w:val="-7"/>
        </w:rPr>
        <w:t> </w:t>
      </w:r>
      <w:r>
        <w:rPr/>
        <w:t>data</w:t>
      </w:r>
      <w:r>
        <w:rPr>
          <w:spacing w:val="-7"/>
        </w:rPr>
        <w:t> </w:t>
      </w:r>
      <w:r>
        <w:rPr/>
        <w:t>had</w:t>
      </w:r>
      <w:r>
        <w:rPr>
          <w:spacing w:val="-7"/>
        </w:rPr>
        <w:t> </w:t>
      </w:r>
      <w:r>
        <w:rPr/>
        <w:t>suggested</w:t>
      </w:r>
      <w:r>
        <w:rPr>
          <w:spacing w:val="-7"/>
        </w:rPr>
        <w:t> </w:t>
      </w:r>
      <w:r>
        <w:rPr/>
        <w:t>weaker</w:t>
      </w:r>
      <w:r>
        <w:rPr>
          <w:spacing w:val="-7"/>
        </w:rPr>
        <w:t> </w:t>
      </w:r>
      <w:r>
        <w:rPr/>
        <w:t>growth,</w:t>
      </w:r>
      <w:r>
        <w:rPr>
          <w:spacing w:val="-7"/>
        </w:rPr>
        <w:t> </w:t>
      </w:r>
      <w:r>
        <w:rPr/>
        <w:t>and</w:t>
      </w:r>
      <w:r>
        <w:rPr>
          <w:spacing w:val="-7"/>
        </w:rPr>
        <w:t> </w:t>
      </w:r>
      <w:r>
        <w:rPr/>
        <w:t>it</w:t>
      </w:r>
      <w:r>
        <w:rPr>
          <w:spacing w:val="-2"/>
        </w:rPr>
        <w:t> </w:t>
      </w:r>
      <w:r>
        <w:rPr/>
        <w:t>is</w:t>
      </w:r>
      <w:r>
        <w:rPr>
          <w:spacing w:val="-7"/>
        </w:rPr>
        <w:t> </w:t>
      </w:r>
      <w:r>
        <w:rPr/>
        <w:t>possible</w:t>
      </w:r>
      <w:r>
        <w:rPr>
          <w:spacing w:val="-7"/>
        </w:rPr>
        <w:t> </w:t>
      </w:r>
      <w:r>
        <w:rPr/>
        <w:t>that</w:t>
      </w:r>
      <w:r>
        <w:rPr>
          <w:spacing w:val="-3"/>
        </w:rPr>
        <w:t> </w:t>
      </w:r>
      <w:r>
        <w:rPr/>
        <w:t>some</w:t>
      </w:r>
      <w:r>
        <w:rPr>
          <w:spacing w:val="-7"/>
        </w:rPr>
        <w:t> </w:t>
      </w:r>
      <w:r>
        <w:rPr>
          <w:spacing w:val="2"/>
        </w:rPr>
        <w:t>of</w:t>
      </w:r>
      <w:r>
        <w:rPr>
          <w:spacing w:val="-2"/>
        </w:rPr>
        <w:t> </w:t>
      </w:r>
      <w:r>
        <w:rPr/>
        <w:t>the public investment reflected </w:t>
      </w:r>
      <w:r>
        <w:rPr>
          <w:spacing w:val="4"/>
        </w:rPr>
        <w:t>orders </w:t>
      </w:r>
      <w:r>
        <w:rPr/>
        <w:t>booked in Q1 that would materialise in Q2. In the euro area, the preliminary estimate </w:t>
      </w:r>
      <w:r>
        <w:rPr>
          <w:spacing w:val="2"/>
        </w:rPr>
        <w:t>of </w:t>
      </w:r>
      <w:r>
        <w:rPr/>
        <w:t>Q1 GDP growth was 0.4% quarter </w:t>
      </w:r>
      <w:r>
        <w:rPr>
          <w:spacing w:val="2"/>
        </w:rPr>
        <w:t>on </w:t>
      </w:r>
      <w:r>
        <w:rPr/>
        <w:t>quarter, in line </w:t>
      </w:r>
      <w:r>
        <w:rPr>
          <w:spacing w:val="2"/>
        </w:rPr>
        <w:t>with the </w:t>
      </w:r>
      <w:r>
        <w:rPr/>
        <w:t>May </w:t>
      </w:r>
      <w:r>
        <w:rPr>
          <w:i/>
        </w:rPr>
        <w:t>Inflation Report </w:t>
      </w:r>
      <w:r>
        <w:rPr/>
        <w:t>projection. Consumption and investment had grown strongly, while net trade and destocking each subtracted from growth. In Italy, GDP had increased by 0.2% in</w:t>
      </w:r>
      <w:r>
        <w:rPr>
          <w:spacing w:val="20"/>
        </w:rPr>
        <w:t> </w:t>
      </w:r>
      <w:r>
        <w:rPr/>
        <w:t>Q1.</w:t>
      </w:r>
    </w:p>
    <w:p>
      <w:pPr>
        <w:pStyle w:val="BodyText"/>
        <w:spacing w:before="1"/>
        <w:rPr>
          <w:sz w:val="31"/>
        </w:rPr>
      </w:pPr>
    </w:p>
    <w:p>
      <w:pPr>
        <w:pStyle w:val="BodyText"/>
        <w:tabs>
          <w:tab w:pos="1572" w:val="left" w:leader="none"/>
        </w:tabs>
        <w:spacing w:line="360" w:lineRule="auto" w:before="1"/>
        <w:ind w:left="920" w:right="1045"/>
      </w:pPr>
      <w:r>
        <w:rPr/>
        <w:t>A4</w:t>
        <w:tab/>
        <w:t>The pattern </w:t>
      </w:r>
      <w:r>
        <w:rPr>
          <w:spacing w:val="2"/>
        </w:rPr>
        <w:t>of </w:t>
      </w:r>
      <w:r>
        <w:rPr/>
        <w:t>growth in the major industrialised economies reflected </w:t>
      </w:r>
      <w:r>
        <w:rPr>
          <w:spacing w:val="3"/>
        </w:rPr>
        <w:t>ongoing </w:t>
      </w:r>
      <w:r>
        <w:rPr/>
        <w:t>adjustment </w:t>
      </w:r>
      <w:r>
        <w:rPr>
          <w:spacing w:val="2"/>
        </w:rPr>
        <w:t>to </w:t>
      </w:r>
      <w:r>
        <w:rPr/>
        <w:t>the emerging market crises </w:t>
      </w:r>
      <w:r>
        <w:rPr>
          <w:spacing w:val="2"/>
        </w:rPr>
        <w:t>of </w:t>
      </w:r>
      <w:r>
        <w:rPr/>
        <w:t>the past two years: net trade had made a negative contribution </w:t>
      </w:r>
      <w:r>
        <w:rPr>
          <w:spacing w:val="3"/>
        </w:rPr>
        <w:t>to </w:t>
      </w:r>
      <w:r>
        <w:rPr/>
        <w:t>growth in the major industrialised economies </w:t>
      </w:r>
      <w:r>
        <w:rPr>
          <w:spacing w:val="3"/>
        </w:rPr>
        <w:t>over </w:t>
      </w:r>
      <w:r>
        <w:rPr/>
        <w:t>the past two quarters. Industrial production in the United States had remained steady at around 2% at an annual rate. Data for the euro area as a whole were available </w:t>
      </w:r>
      <w:r>
        <w:rPr>
          <w:spacing w:val="3"/>
        </w:rPr>
        <w:t>only to </w:t>
      </w:r>
      <w:r>
        <w:rPr/>
        <w:t>February. More timely data were available for some individual economies; German industrial production had risen by 1.0% in April, but that was still 1.3% lower than a year ago, while French industrial production had fallen by 0.3% in April, and had been flat </w:t>
      </w:r>
      <w:r>
        <w:rPr>
          <w:spacing w:val="2"/>
        </w:rPr>
        <w:t>on </w:t>
      </w:r>
      <w:r>
        <w:rPr/>
        <w:t>the year-on-year comparison. Retail sales data had showed no sign </w:t>
      </w:r>
      <w:r>
        <w:rPr>
          <w:spacing w:val="2"/>
        </w:rPr>
        <w:t>of</w:t>
      </w:r>
      <w:r>
        <w:rPr>
          <w:spacing w:val="-38"/>
        </w:rPr>
        <w:t> </w:t>
      </w:r>
      <w:r>
        <w:rPr/>
        <w:t>a</w:t>
      </w:r>
    </w:p>
    <w:p>
      <w:pPr>
        <w:spacing w:after="0" w:line="360" w:lineRule="auto"/>
        <w:sectPr>
          <w:headerReference w:type="default" r:id="rId8"/>
          <w:pgSz w:w="11900" w:h="16840"/>
          <w:pgMar w:header="0" w:footer="0" w:top="1380" w:bottom="280" w:left="880" w:right="860"/>
        </w:sectPr>
      </w:pPr>
    </w:p>
    <w:p>
      <w:pPr>
        <w:pStyle w:val="BodyText"/>
        <w:spacing w:line="360" w:lineRule="auto" w:before="98"/>
        <w:ind w:left="920" w:right="1031"/>
      </w:pPr>
      <w:r>
        <w:rPr/>
        <w:t>slowdown in consumer spending in the United States. In Japan, retail sales had been stronger than last month, but still lower than a year ago. In the euro area, lack of timely data and distortions caused by the timing of Easter made retail sales data hard to read; German retail sales had risen by 4% in March and fallen by 4% in April.</w:t>
      </w:r>
    </w:p>
    <w:p>
      <w:pPr>
        <w:pStyle w:val="BodyText"/>
        <w:spacing w:before="4"/>
        <w:rPr>
          <w:sz w:val="31"/>
        </w:rPr>
      </w:pPr>
    </w:p>
    <w:p>
      <w:pPr>
        <w:pStyle w:val="BodyText"/>
        <w:tabs>
          <w:tab w:pos="1572" w:val="left" w:leader="none"/>
        </w:tabs>
        <w:spacing w:line="360" w:lineRule="auto"/>
        <w:ind w:left="920" w:right="991"/>
      </w:pPr>
      <w:r>
        <w:rPr/>
        <w:t>A5</w:t>
        <w:tab/>
        <w:t>In the United States, the Federal Open Markets Committee (FOMC) had increased the Federal Funds target rate by 25 basis points </w:t>
      </w:r>
      <w:r>
        <w:rPr>
          <w:spacing w:val="2"/>
        </w:rPr>
        <w:t>to </w:t>
      </w:r>
      <w:r>
        <w:rPr/>
        <w:t>5.0% </w:t>
      </w:r>
      <w:r>
        <w:rPr>
          <w:spacing w:val="2"/>
        </w:rPr>
        <w:t>on </w:t>
      </w:r>
      <w:r>
        <w:rPr/>
        <w:t>30 June and reverted </w:t>
      </w:r>
      <w:r>
        <w:rPr>
          <w:spacing w:val="2"/>
        </w:rPr>
        <w:t>to </w:t>
      </w:r>
      <w:r>
        <w:rPr/>
        <w:t>a neutral stance towards monetary policy. Interest rates implied by futures contracts had fallen after the FOMC announcement. Short-term inflation expectations had picked up </w:t>
      </w:r>
      <w:r>
        <w:rPr>
          <w:spacing w:val="2"/>
        </w:rPr>
        <w:t>recently, </w:t>
      </w:r>
      <w:r>
        <w:rPr/>
        <w:t>possibly </w:t>
      </w:r>
      <w:r>
        <w:rPr>
          <w:spacing w:val="2"/>
        </w:rPr>
        <w:t>reflecting </w:t>
      </w:r>
      <w:r>
        <w:rPr/>
        <w:t>the </w:t>
      </w:r>
      <w:r>
        <w:rPr>
          <w:spacing w:val="2"/>
        </w:rPr>
        <w:t>rise </w:t>
      </w:r>
      <w:r>
        <w:rPr/>
        <w:t>in energy prices, but long-run inflation expectations had remained flat. Overall the data suggested that consumption had perhaps slowed a little in Q2, but nevertheless remained robust. Consumption had risen in May, but sales data suggested a slowdown in June. Consumer confidence and employment, however, had </w:t>
      </w:r>
      <w:r>
        <w:rPr>
          <w:spacing w:val="2"/>
        </w:rPr>
        <w:t>risen </w:t>
      </w:r>
      <w:r>
        <w:rPr/>
        <w:t>further in June. Some signs </w:t>
      </w:r>
      <w:r>
        <w:rPr>
          <w:spacing w:val="3"/>
        </w:rPr>
        <w:t>of </w:t>
      </w:r>
      <w:r>
        <w:rPr/>
        <w:t>slowing had been apparent in housing sales, but mortgage growth, which appeared </w:t>
      </w:r>
      <w:r>
        <w:rPr>
          <w:spacing w:val="2"/>
        </w:rPr>
        <w:t>to </w:t>
      </w:r>
      <w:r>
        <w:rPr/>
        <w:t>have fuelled consumption, had </w:t>
      </w:r>
      <w:r>
        <w:rPr>
          <w:spacing w:val="2"/>
        </w:rPr>
        <w:t>remained</w:t>
      </w:r>
      <w:r>
        <w:rPr>
          <w:spacing w:val="10"/>
        </w:rPr>
        <w:t> </w:t>
      </w:r>
      <w:r>
        <w:rPr/>
        <w:t>high.</w:t>
      </w:r>
    </w:p>
    <w:p>
      <w:pPr>
        <w:pStyle w:val="BodyText"/>
        <w:spacing w:before="5"/>
        <w:rPr>
          <w:sz w:val="31"/>
        </w:rPr>
      </w:pPr>
    </w:p>
    <w:p>
      <w:pPr>
        <w:pStyle w:val="BodyText"/>
        <w:tabs>
          <w:tab w:pos="1572" w:val="left" w:leader="none"/>
        </w:tabs>
        <w:spacing w:line="360" w:lineRule="auto"/>
        <w:ind w:left="920" w:right="971"/>
      </w:pPr>
      <w:r>
        <w:rPr/>
        <w:t>A6</w:t>
        <w:tab/>
        <w:t>The forward-looking information available from surveys indicated a further narrowing </w:t>
      </w:r>
      <w:r>
        <w:rPr>
          <w:spacing w:val="2"/>
        </w:rPr>
        <w:t>of </w:t>
      </w:r>
      <w:r>
        <w:rPr/>
        <w:t>the gap between business and consumer confidence in the euro area in May and June. Business confidence had </w:t>
      </w:r>
      <w:r>
        <w:rPr>
          <w:spacing w:val="2"/>
        </w:rPr>
        <w:t>risen </w:t>
      </w:r>
      <w:r>
        <w:rPr/>
        <w:t>a little </w:t>
      </w:r>
      <w:r>
        <w:rPr>
          <w:spacing w:val="2"/>
        </w:rPr>
        <w:t>(from </w:t>
      </w:r>
      <w:r>
        <w:rPr/>
        <w:t>a low level) and consumer confidence had fallen slightly </w:t>
      </w:r>
      <w:r>
        <w:rPr>
          <w:spacing w:val="2"/>
        </w:rPr>
        <w:t>(from </w:t>
      </w:r>
      <w:r>
        <w:rPr/>
        <w:t>a higher level). </w:t>
      </w:r>
      <w:r>
        <w:rPr>
          <w:spacing w:val="2"/>
        </w:rPr>
        <w:t>The </w:t>
      </w:r>
      <w:r>
        <w:rPr/>
        <w:t>IFO survey </w:t>
      </w:r>
      <w:r>
        <w:rPr>
          <w:spacing w:val="3"/>
        </w:rPr>
        <w:t>of </w:t>
      </w:r>
      <w:r>
        <w:rPr/>
        <w:t>business confidence</w:t>
      </w:r>
      <w:r>
        <w:rPr>
          <w:spacing w:val="-6"/>
        </w:rPr>
        <w:t> </w:t>
      </w:r>
      <w:r>
        <w:rPr/>
        <w:t>in</w:t>
      </w:r>
      <w:r>
        <w:rPr>
          <w:spacing w:val="-5"/>
        </w:rPr>
        <w:t> </w:t>
      </w:r>
      <w:r>
        <w:rPr/>
        <w:t>western</w:t>
      </w:r>
      <w:r>
        <w:rPr>
          <w:spacing w:val="-5"/>
        </w:rPr>
        <w:t> </w:t>
      </w:r>
      <w:r>
        <w:rPr/>
        <w:t>Germany</w:t>
      </w:r>
      <w:r>
        <w:rPr>
          <w:spacing w:val="-5"/>
        </w:rPr>
        <w:t> </w:t>
      </w:r>
      <w:r>
        <w:rPr/>
        <w:t>and</w:t>
      </w:r>
      <w:r>
        <w:rPr>
          <w:spacing w:val="-4"/>
        </w:rPr>
        <w:t> </w:t>
      </w:r>
      <w:r>
        <w:rPr/>
        <w:t>the</w:t>
      </w:r>
      <w:r>
        <w:rPr>
          <w:spacing w:val="-5"/>
        </w:rPr>
        <w:t> </w:t>
      </w:r>
      <w:r>
        <w:rPr/>
        <w:t>French</w:t>
      </w:r>
      <w:r>
        <w:rPr>
          <w:spacing w:val="-6"/>
        </w:rPr>
        <w:t> </w:t>
      </w:r>
      <w:r>
        <w:rPr>
          <w:spacing w:val="2"/>
        </w:rPr>
        <w:t>INSEE</w:t>
      </w:r>
      <w:r>
        <w:rPr>
          <w:spacing w:val="-3"/>
        </w:rPr>
        <w:t> </w:t>
      </w:r>
      <w:r>
        <w:rPr/>
        <w:t>business</w:t>
      </w:r>
      <w:r>
        <w:rPr>
          <w:spacing w:val="-5"/>
        </w:rPr>
        <w:t> </w:t>
      </w:r>
      <w:r>
        <w:rPr/>
        <w:t>survey</w:t>
      </w:r>
      <w:r>
        <w:rPr>
          <w:spacing w:val="-5"/>
        </w:rPr>
        <w:t> </w:t>
      </w:r>
      <w:r>
        <w:rPr/>
        <w:t>had</w:t>
      </w:r>
      <w:r>
        <w:rPr>
          <w:spacing w:val="-5"/>
        </w:rPr>
        <w:t> </w:t>
      </w:r>
      <w:r>
        <w:rPr/>
        <w:t>both</w:t>
      </w:r>
      <w:r>
        <w:rPr>
          <w:spacing w:val="-6"/>
        </w:rPr>
        <w:t> </w:t>
      </w:r>
      <w:r>
        <w:rPr/>
        <w:t>risen in May, partly </w:t>
      </w:r>
      <w:r>
        <w:rPr>
          <w:spacing w:val="2"/>
        </w:rPr>
        <w:t>reflecting </w:t>
      </w:r>
      <w:r>
        <w:rPr/>
        <w:t>improvements in foreign </w:t>
      </w:r>
      <w:r>
        <w:rPr>
          <w:spacing w:val="5"/>
        </w:rPr>
        <w:t>orders. </w:t>
      </w:r>
      <w:r>
        <w:rPr>
          <w:spacing w:val="2"/>
        </w:rPr>
        <w:t>Italian </w:t>
      </w:r>
      <w:r>
        <w:rPr>
          <w:spacing w:val="5"/>
        </w:rPr>
        <w:t>orders </w:t>
      </w:r>
      <w:r>
        <w:rPr/>
        <w:t>had also picked up. In the United States, the National Association </w:t>
      </w:r>
      <w:r>
        <w:rPr>
          <w:spacing w:val="2"/>
        </w:rPr>
        <w:t>of </w:t>
      </w:r>
      <w:r>
        <w:rPr/>
        <w:t>Purchasing Managers </w:t>
      </w:r>
      <w:r>
        <w:rPr>
          <w:spacing w:val="2"/>
        </w:rPr>
        <w:t>Index </w:t>
      </w:r>
      <w:r>
        <w:rPr/>
        <w:t>had </w:t>
      </w:r>
      <w:r>
        <w:rPr>
          <w:spacing w:val="2"/>
        </w:rPr>
        <w:t>risen </w:t>
      </w:r>
      <w:r>
        <w:rPr/>
        <w:t>above market expectations in June, </w:t>
      </w:r>
      <w:r>
        <w:rPr>
          <w:spacing w:val="2"/>
        </w:rPr>
        <w:t>reflecting rises </w:t>
      </w:r>
      <w:r>
        <w:rPr/>
        <w:t>in the sub-indices for production and new </w:t>
      </w:r>
      <w:r>
        <w:rPr>
          <w:spacing w:val="4"/>
        </w:rPr>
        <w:t>orders. </w:t>
      </w:r>
      <w:r>
        <w:rPr/>
        <w:t>The export </w:t>
      </w:r>
      <w:r>
        <w:rPr>
          <w:spacing w:val="4"/>
        </w:rPr>
        <w:t>orders </w:t>
      </w:r>
      <w:r>
        <w:rPr/>
        <w:t>index had also risen. In Japan, the </w:t>
      </w:r>
      <w:r>
        <w:rPr>
          <w:spacing w:val="3"/>
        </w:rPr>
        <w:t>Tankan </w:t>
      </w:r>
      <w:r>
        <w:rPr/>
        <w:t>survey had shown a small improvement in business </w:t>
      </w:r>
      <w:r>
        <w:rPr>
          <w:spacing w:val="2"/>
        </w:rPr>
        <w:t>sentiment, </w:t>
      </w:r>
      <w:r>
        <w:rPr/>
        <w:t>reflecting </w:t>
      </w:r>
      <w:r>
        <w:rPr>
          <w:spacing w:val="2"/>
        </w:rPr>
        <w:t>better </w:t>
      </w:r>
      <w:r>
        <w:rPr/>
        <w:t>financial</w:t>
      </w:r>
      <w:r>
        <w:rPr>
          <w:spacing w:val="4"/>
        </w:rPr>
        <w:t> </w:t>
      </w:r>
      <w:r>
        <w:rPr/>
        <w:t>conditions.</w:t>
      </w:r>
    </w:p>
    <w:p>
      <w:pPr>
        <w:pStyle w:val="BodyText"/>
        <w:spacing w:before="5"/>
        <w:rPr>
          <w:sz w:val="31"/>
        </w:rPr>
      </w:pPr>
    </w:p>
    <w:p>
      <w:pPr>
        <w:pStyle w:val="BodyText"/>
        <w:tabs>
          <w:tab w:pos="1572" w:val="left" w:leader="none"/>
        </w:tabs>
        <w:spacing w:line="360" w:lineRule="auto"/>
        <w:ind w:left="920" w:right="1089"/>
      </w:pPr>
      <w:r>
        <w:rPr/>
        <w:t>A7</w:t>
        <w:tab/>
        <w:t>International data </w:t>
      </w:r>
      <w:r>
        <w:rPr>
          <w:spacing w:val="2"/>
        </w:rPr>
        <w:t>on </w:t>
      </w:r>
      <w:r>
        <w:rPr/>
        <w:t>consumer price inflation in May suggested that the pick- up in April had been temporary. In the United States, consumer price inflation fell</w:t>
      </w:r>
      <w:r>
        <w:rPr>
          <w:spacing w:val="-8"/>
        </w:rPr>
        <w:t> </w:t>
      </w:r>
      <w:r>
        <w:rPr>
          <w:spacing w:val="3"/>
        </w:rPr>
        <w:t>to</w:t>
      </w:r>
    </w:p>
    <w:p>
      <w:pPr>
        <w:spacing w:after="0" w:line="360" w:lineRule="auto"/>
        <w:sectPr>
          <w:headerReference w:type="default" r:id="rId9"/>
          <w:pgSz w:w="11900" w:h="16840"/>
          <w:pgMar w:header="719" w:footer="0" w:top="1340" w:bottom="280" w:left="880" w:right="860"/>
          <w:pgNumType w:start="2"/>
        </w:sectPr>
      </w:pPr>
    </w:p>
    <w:p>
      <w:pPr>
        <w:pStyle w:val="BodyText"/>
        <w:spacing w:line="360" w:lineRule="auto" w:before="98"/>
        <w:ind w:left="920" w:right="943"/>
      </w:pPr>
      <w:r>
        <w:rPr/>
        <w:t>2.0%, from 2.3% in April; for Japan, May’s figure was -0.4%; and in the euro area inflation on the harmonised measure had fallen back to 1.0%.</w:t>
      </w:r>
    </w:p>
    <w:p>
      <w:pPr>
        <w:pStyle w:val="BodyText"/>
        <w:spacing w:before="6"/>
        <w:rPr>
          <w:sz w:val="31"/>
        </w:rPr>
      </w:pPr>
    </w:p>
    <w:p>
      <w:pPr>
        <w:pStyle w:val="BodyText"/>
        <w:tabs>
          <w:tab w:pos="1572" w:val="left" w:leader="none"/>
        </w:tabs>
        <w:spacing w:line="360" w:lineRule="auto"/>
        <w:ind w:left="920" w:right="1080"/>
      </w:pPr>
      <w:r>
        <w:rPr/>
        <w:t>A8</w:t>
        <w:tab/>
      </w:r>
      <w:r>
        <w:rPr>
          <w:spacing w:val="2"/>
        </w:rPr>
        <w:t>Turning</w:t>
      </w:r>
      <w:r>
        <w:rPr>
          <w:spacing w:val="-4"/>
        </w:rPr>
        <w:t> </w:t>
      </w:r>
      <w:r>
        <w:rPr>
          <w:spacing w:val="3"/>
        </w:rPr>
        <w:t>to</w:t>
      </w:r>
      <w:r>
        <w:rPr/>
        <w:t> global</w:t>
      </w:r>
      <w:r>
        <w:rPr>
          <w:spacing w:val="-6"/>
        </w:rPr>
        <w:t> </w:t>
      </w:r>
      <w:r>
        <w:rPr/>
        <w:t>financial</w:t>
      </w:r>
      <w:r>
        <w:rPr>
          <w:spacing w:val="-6"/>
        </w:rPr>
        <w:t> </w:t>
      </w:r>
      <w:r>
        <w:rPr/>
        <w:t>markets,</w:t>
      </w:r>
      <w:r>
        <w:rPr>
          <w:spacing w:val="-5"/>
        </w:rPr>
        <w:t> </w:t>
      </w:r>
      <w:r>
        <w:rPr/>
        <w:t>the</w:t>
      </w:r>
      <w:r>
        <w:rPr>
          <w:spacing w:val="-5"/>
        </w:rPr>
        <w:t> </w:t>
      </w:r>
      <w:r>
        <w:rPr/>
        <w:t>yen</w:t>
      </w:r>
      <w:r>
        <w:rPr>
          <w:spacing w:val="-6"/>
        </w:rPr>
        <w:t> </w:t>
      </w:r>
      <w:r>
        <w:rPr/>
        <w:t>had</w:t>
      </w:r>
      <w:r>
        <w:rPr>
          <w:spacing w:val="-6"/>
        </w:rPr>
        <w:t> </w:t>
      </w:r>
      <w:r>
        <w:rPr>
          <w:spacing w:val="2"/>
        </w:rPr>
        <w:t>reached</w:t>
      </w:r>
      <w:r>
        <w:rPr>
          <w:spacing w:val="-4"/>
        </w:rPr>
        <w:t> </w:t>
      </w:r>
      <w:r>
        <w:rPr/>
        <w:t>a</w:t>
      </w:r>
      <w:r>
        <w:rPr>
          <w:spacing w:val="-5"/>
        </w:rPr>
        <w:t> </w:t>
      </w:r>
      <w:r>
        <w:rPr/>
        <w:t>high</w:t>
      </w:r>
      <w:r>
        <w:rPr>
          <w:spacing w:val="-6"/>
        </w:rPr>
        <w:t> </w:t>
      </w:r>
      <w:r>
        <w:rPr>
          <w:spacing w:val="3"/>
        </w:rPr>
        <w:t>of</w:t>
      </w:r>
      <w:r>
        <w:rPr>
          <w:spacing w:val="-2"/>
        </w:rPr>
        <w:t> </w:t>
      </w:r>
      <w:r>
        <w:rPr/>
        <w:t>118</w:t>
      </w:r>
      <w:r>
        <w:rPr>
          <w:spacing w:val="-5"/>
        </w:rPr>
        <w:t> </w:t>
      </w:r>
      <w:r>
        <w:rPr/>
        <w:t>against the dollar around the time </w:t>
      </w:r>
      <w:r>
        <w:rPr>
          <w:spacing w:val="2"/>
        </w:rPr>
        <w:t>of </w:t>
      </w:r>
      <w:r>
        <w:rPr/>
        <w:t>the release </w:t>
      </w:r>
      <w:r>
        <w:rPr>
          <w:spacing w:val="2"/>
        </w:rPr>
        <w:t>of </w:t>
      </w:r>
      <w:r>
        <w:rPr/>
        <w:t>Q1 GDP. Since then, several rounds </w:t>
      </w:r>
      <w:r>
        <w:rPr>
          <w:spacing w:val="3"/>
        </w:rPr>
        <w:t>of </w:t>
      </w:r>
      <w:r>
        <w:rPr/>
        <w:t>intervention had brought it back into the 120-122 range. Implied volatility had </w:t>
      </w:r>
      <w:r>
        <w:rPr>
          <w:spacing w:val="2"/>
        </w:rPr>
        <w:t>subsequently </w:t>
      </w:r>
      <w:r>
        <w:rPr/>
        <w:t>fallen sharply. Japanese bond yields had </w:t>
      </w:r>
      <w:r>
        <w:rPr>
          <w:spacing w:val="3"/>
        </w:rPr>
        <w:t>risen </w:t>
      </w:r>
      <w:r>
        <w:rPr>
          <w:spacing w:val="2"/>
        </w:rPr>
        <w:t>slightly, </w:t>
      </w:r>
      <w:r>
        <w:rPr/>
        <w:t>and </w:t>
      </w:r>
      <w:r>
        <w:rPr>
          <w:spacing w:val="2"/>
        </w:rPr>
        <w:t>equities </w:t>
      </w:r>
      <w:r>
        <w:rPr/>
        <w:t>more markedly, </w:t>
      </w:r>
      <w:r>
        <w:rPr>
          <w:spacing w:val="3"/>
        </w:rPr>
        <w:t>over </w:t>
      </w:r>
      <w:r>
        <w:rPr/>
        <w:t>the month, following the strong GDP data. In the euro area, expectations of short-term interest rates had risen </w:t>
      </w:r>
      <w:r>
        <w:rPr>
          <w:spacing w:val="3"/>
        </w:rPr>
        <w:t>over </w:t>
      </w:r>
      <w:r>
        <w:rPr/>
        <w:t>the past</w:t>
      </w:r>
      <w:r>
        <w:rPr>
          <w:spacing w:val="10"/>
        </w:rPr>
        <w:t> </w:t>
      </w:r>
      <w:r>
        <w:rPr/>
        <w:t>month.</w:t>
      </w:r>
    </w:p>
    <w:p>
      <w:pPr>
        <w:pStyle w:val="BodyText"/>
        <w:spacing w:before="6"/>
        <w:rPr>
          <w:sz w:val="31"/>
        </w:rPr>
      </w:pPr>
    </w:p>
    <w:p>
      <w:pPr>
        <w:pStyle w:val="Heading2"/>
        <w:numPr>
          <w:ilvl w:val="0"/>
          <w:numId w:val="3"/>
        </w:numPr>
        <w:tabs>
          <w:tab w:pos="1237" w:val="left" w:leader="none"/>
        </w:tabs>
        <w:spacing w:line="240" w:lineRule="auto" w:before="0" w:after="0"/>
        <w:ind w:left="1236" w:right="0" w:hanging="317"/>
        <w:jc w:val="left"/>
      </w:pPr>
      <w:r>
        <w:rPr/>
        <w:t>Monetary and </w:t>
      </w:r>
      <w:r>
        <w:rPr>
          <w:spacing w:val="2"/>
        </w:rPr>
        <w:t>financial</w:t>
      </w:r>
      <w:r>
        <w:rPr>
          <w:spacing w:val="9"/>
        </w:rPr>
        <w:t> </w:t>
      </w:r>
      <w:r>
        <w:rPr/>
        <w:t>conditions</w:t>
      </w:r>
    </w:p>
    <w:p>
      <w:pPr>
        <w:pStyle w:val="BodyText"/>
        <w:rPr>
          <w:b/>
          <w:sz w:val="26"/>
        </w:rPr>
      </w:pPr>
    </w:p>
    <w:p>
      <w:pPr>
        <w:pStyle w:val="BodyText"/>
        <w:tabs>
          <w:tab w:pos="1572" w:val="left" w:leader="none"/>
        </w:tabs>
        <w:spacing w:line="360" w:lineRule="auto" w:before="193"/>
        <w:ind w:left="920" w:right="1053"/>
      </w:pPr>
      <w:r>
        <w:rPr/>
        <w:t>A9</w:t>
        <w:tab/>
        <w:t>Narrow money growth had remained robust. The twelve-month growth rate of notes and coin, after adjusting for the introduction </w:t>
      </w:r>
      <w:r>
        <w:rPr>
          <w:spacing w:val="2"/>
        </w:rPr>
        <w:t>of </w:t>
      </w:r>
      <w:r>
        <w:rPr/>
        <w:t>the new 50 pence and £2 coins, had risen </w:t>
      </w:r>
      <w:r>
        <w:rPr>
          <w:spacing w:val="3"/>
        </w:rPr>
        <w:t>to </w:t>
      </w:r>
      <w:r>
        <w:rPr/>
        <w:t>7.0% in June, the highest rate since December</w:t>
      </w:r>
      <w:r>
        <w:rPr>
          <w:spacing w:val="19"/>
        </w:rPr>
        <w:t> </w:t>
      </w:r>
      <w:r>
        <w:rPr/>
        <w:t>1996.</w:t>
      </w:r>
    </w:p>
    <w:p>
      <w:pPr>
        <w:pStyle w:val="BodyText"/>
        <w:spacing w:before="5"/>
        <w:rPr>
          <w:sz w:val="31"/>
        </w:rPr>
      </w:pPr>
    </w:p>
    <w:p>
      <w:pPr>
        <w:pStyle w:val="BodyText"/>
        <w:tabs>
          <w:tab w:pos="1692" w:val="left" w:leader="none"/>
        </w:tabs>
        <w:spacing w:line="360" w:lineRule="auto"/>
        <w:ind w:left="919" w:right="1058"/>
      </w:pPr>
      <w:r>
        <w:rPr/>
        <w:t>A10</w:t>
        <w:tab/>
        <w:t>M4 had risen by £3.4 billion (0.4%) in May. The annual rate </w:t>
      </w:r>
      <w:r>
        <w:rPr>
          <w:spacing w:val="2"/>
        </w:rPr>
        <w:t>of </w:t>
      </w:r>
      <w:r>
        <w:rPr/>
        <w:t>growth had slowed </w:t>
      </w:r>
      <w:r>
        <w:rPr>
          <w:spacing w:val="2"/>
        </w:rPr>
        <w:t>to </w:t>
      </w:r>
      <w:r>
        <w:rPr/>
        <w:t>7.0%. The slowdown in aggregate M4 and aggregate M4 lending had been largely driven by Other Financial </w:t>
      </w:r>
      <w:r>
        <w:rPr>
          <w:spacing w:val="2"/>
        </w:rPr>
        <w:t>Corporations’ </w:t>
      </w:r>
      <w:r>
        <w:rPr>
          <w:spacing w:val="-4"/>
        </w:rPr>
        <w:t>(OFCs’) </w:t>
      </w:r>
      <w:r>
        <w:rPr/>
        <w:t>M4 and M4 lending.</w:t>
      </w:r>
      <w:r>
        <w:rPr>
          <w:spacing w:val="-27"/>
        </w:rPr>
        <w:t> </w:t>
      </w:r>
      <w:r>
        <w:rPr/>
        <w:t>OFCs’ M4 deposits had fallen by £2.0 billion in May, and lending </w:t>
      </w:r>
      <w:r>
        <w:rPr>
          <w:spacing w:val="3"/>
        </w:rPr>
        <w:t>to </w:t>
      </w:r>
      <w:r>
        <w:rPr/>
        <w:t>OFCs had fallen</w:t>
      </w:r>
      <w:r>
        <w:rPr>
          <w:spacing w:val="-7"/>
        </w:rPr>
        <w:t> </w:t>
      </w:r>
      <w:r>
        <w:rPr/>
        <w:t>by</w:t>
      </w:r>
    </w:p>
    <w:p>
      <w:pPr>
        <w:pStyle w:val="BodyText"/>
        <w:ind w:left="919"/>
      </w:pPr>
      <w:r>
        <w:rPr/>
        <w:t>£1.8 billion in May.</w:t>
      </w:r>
    </w:p>
    <w:p>
      <w:pPr>
        <w:pStyle w:val="BodyText"/>
        <w:rPr>
          <w:sz w:val="26"/>
        </w:rPr>
      </w:pPr>
    </w:p>
    <w:p>
      <w:pPr>
        <w:pStyle w:val="BodyText"/>
        <w:tabs>
          <w:tab w:pos="1692" w:val="left" w:leader="none"/>
        </w:tabs>
        <w:spacing w:line="362" w:lineRule="auto" w:before="198"/>
        <w:ind w:left="920" w:right="954"/>
      </w:pPr>
      <w:r>
        <w:rPr/>
        <w:t>A11</w:t>
        <w:tab/>
        <w:t>The</w:t>
      </w:r>
      <w:r>
        <w:rPr>
          <w:spacing w:val="-4"/>
        </w:rPr>
        <w:t> </w:t>
      </w:r>
      <w:r>
        <w:rPr/>
        <w:t>M4</w:t>
      </w:r>
      <w:r>
        <w:rPr>
          <w:spacing w:val="-6"/>
        </w:rPr>
        <w:t> </w:t>
      </w:r>
      <w:r>
        <w:rPr/>
        <w:t>deposits</w:t>
      </w:r>
      <w:r>
        <w:rPr>
          <w:spacing w:val="-5"/>
        </w:rPr>
        <w:t> </w:t>
      </w:r>
      <w:r>
        <w:rPr/>
        <w:t>of</w:t>
      </w:r>
      <w:r>
        <w:rPr>
          <w:spacing w:val="-1"/>
        </w:rPr>
        <w:t> </w:t>
      </w:r>
      <w:r>
        <w:rPr/>
        <w:t>the</w:t>
      </w:r>
      <w:r>
        <w:rPr>
          <w:spacing w:val="-6"/>
        </w:rPr>
        <w:t> </w:t>
      </w:r>
      <w:r>
        <w:rPr/>
        <w:t>household</w:t>
      </w:r>
      <w:r>
        <w:rPr>
          <w:spacing w:val="-5"/>
        </w:rPr>
        <w:t> </w:t>
      </w:r>
      <w:r>
        <w:rPr/>
        <w:t>sector</w:t>
      </w:r>
      <w:r>
        <w:rPr>
          <w:spacing w:val="-1"/>
        </w:rPr>
        <w:t> </w:t>
      </w:r>
      <w:r>
        <w:rPr/>
        <w:t>had</w:t>
      </w:r>
      <w:r>
        <w:rPr>
          <w:spacing w:val="-6"/>
        </w:rPr>
        <w:t> </w:t>
      </w:r>
      <w:r>
        <w:rPr/>
        <w:t>risen</w:t>
      </w:r>
      <w:r>
        <w:rPr>
          <w:spacing w:val="-3"/>
        </w:rPr>
        <w:t> </w:t>
      </w:r>
      <w:r>
        <w:rPr/>
        <w:t>by</w:t>
      </w:r>
      <w:r>
        <w:rPr>
          <w:spacing w:val="-6"/>
        </w:rPr>
        <w:t> </w:t>
      </w:r>
      <w:r>
        <w:rPr/>
        <w:t>0.6%</w:t>
      </w:r>
      <w:r>
        <w:rPr>
          <w:spacing w:val="-5"/>
        </w:rPr>
        <w:t> </w:t>
      </w:r>
      <w:r>
        <w:rPr/>
        <w:t>(or</w:t>
      </w:r>
      <w:r>
        <w:rPr>
          <w:spacing w:val="-4"/>
        </w:rPr>
        <w:t> </w:t>
      </w:r>
      <w:r>
        <w:rPr/>
        <w:t>£2.9</w:t>
      </w:r>
      <w:r>
        <w:rPr>
          <w:spacing w:val="2"/>
        </w:rPr>
        <w:t> </w:t>
      </w:r>
      <w:r>
        <w:rPr/>
        <w:t>billion)</w:t>
      </w:r>
      <w:r>
        <w:rPr>
          <w:spacing w:val="2"/>
        </w:rPr>
        <w:t> </w:t>
      </w:r>
      <w:r>
        <w:rPr/>
        <w:t>in May. The growth rate </w:t>
      </w:r>
      <w:r>
        <w:rPr>
          <w:spacing w:val="2"/>
        </w:rPr>
        <w:t>of </w:t>
      </w:r>
      <w:r>
        <w:rPr/>
        <w:t>households’ M4 deposits had increased generally</w:t>
      </w:r>
      <w:r>
        <w:rPr>
          <w:spacing w:val="16"/>
        </w:rPr>
        <w:t> </w:t>
      </w:r>
      <w:r>
        <w:rPr/>
        <w:t>since</w:t>
      </w:r>
    </w:p>
    <w:p>
      <w:pPr>
        <w:pStyle w:val="BodyText"/>
        <w:spacing w:line="360" w:lineRule="auto"/>
        <w:ind w:left="920" w:right="943"/>
      </w:pPr>
      <w:r>
        <w:rPr/>
        <w:t>1998 Q2. M4 lending to the household sector had remained strong; it had risen by 0.6% (or £3.1 billion) in May, leaving the twelve-month growth rate unchanged at 7.9%. Total lending secured on dwellings had fallen from £3.1 billion in April to</w:t>
      </w:r>
    </w:p>
    <w:p>
      <w:pPr>
        <w:pStyle w:val="BodyText"/>
        <w:spacing w:line="360" w:lineRule="auto"/>
        <w:ind w:left="920" w:right="969"/>
      </w:pPr>
      <w:r>
        <w:rPr/>
        <w:t>£2.7 billion in May, although gross lending had </w:t>
      </w:r>
      <w:r>
        <w:rPr>
          <w:spacing w:val="2"/>
        </w:rPr>
        <w:t>remained strong. </w:t>
      </w:r>
      <w:r>
        <w:rPr/>
        <w:t>Approvals in May had been strong and, reflecting the current </w:t>
      </w:r>
      <w:r>
        <w:rPr>
          <w:spacing w:val="-4"/>
        </w:rPr>
        <w:t>‘tight’ </w:t>
      </w:r>
      <w:r>
        <w:rPr/>
        <w:t>state </w:t>
      </w:r>
      <w:r>
        <w:rPr>
          <w:spacing w:val="2"/>
        </w:rPr>
        <w:t>of </w:t>
      </w:r>
      <w:r>
        <w:rPr/>
        <w:t>the housing market, many banks</w:t>
      </w:r>
      <w:r>
        <w:rPr>
          <w:spacing w:val="-7"/>
        </w:rPr>
        <w:t> </w:t>
      </w:r>
      <w:r>
        <w:rPr/>
        <w:t>and</w:t>
      </w:r>
      <w:r>
        <w:rPr>
          <w:spacing w:val="-6"/>
        </w:rPr>
        <w:t> </w:t>
      </w:r>
      <w:r>
        <w:rPr/>
        <w:t>building</w:t>
      </w:r>
      <w:r>
        <w:rPr>
          <w:spacing w:val="-7"/>
        </w:rPr>
        <w:t> </w:t>
      </w:r>
      <w:r>
        <w:rPr/>
        <w:t>societies</w:t>
      </w:r>
      <w:r>
        <w:rPr>
          <w:spacing w:val="-6"/>
        </w:rPr>
        <w:t> </w:t>
      </w:r>
      <w:r>
        <w:rPr/>
        <w:t>were</w:t>
      </w:r>
      <w:r>
        <w:rPr>
          <w:spacing w:val="-6"/>
        </w:rPr>
        <w:t> </w:t>
      </w:r>
      <w:r>
        <w:rPr/>
        <w:t>now</w:t>
      </w:r>
      <w:r>
        <w:rPr>
          <w:spacing w:val="-7"/>
        </w:rPr>
        <w:t> </w:t>
      </w:r>
      <w:r>
        <w:rPr/>
        <w:t>allowing</w:t>
      </w:r>
      <w:r>
        <w:rPr>
          <w:spacing w:val="-6"/>
        </w:rPr>
        <w:t> </w:t>
      </w:r>
      <w:r>
        <w:rPr/>
        <w:t>consumers</w:t>
      </w:r>
      <w:r>
        <w:rPr>
          <w:spacing w:val="-7"/>
        </w:rPr>
        <w:t> </w:t>
      </w:r>
      <w:r>
        <w:rPr>
          <w:spacing w:val="3"/>
        </w:rPr>
        <w:t>to</w:t>
      </w:r>
      <w:r>
        <w:rPr>
          <w:spacing w:val="-2"/>
        </w:rPr>
        <w:t> </w:t>
      </w:r>
      <w:r>
        <w:rPr/>
        <w:t>carry</w:t>
      </w:r>
      <w:r>
        <w:rPr>
          <w:spacing w:val="-6"/>
        </w:rPr>
        <w:t> </w:t>
      </w:r>
      <w:r>
        <w:rPr/>
        <w:t>approvals</w:t>
      </w:r>
      <w:r>
        <w:rPr>
          <w:spacing w:val="-7"/>
        </w:rPr>
        <w:t> </w:t>
      </w:r>
      <w:r>
        <w:rPr/>
        <w:t>forward if their </w:t>
      </w:r>
      <w:r>
        <w:rPr>
          <w:spacing w:val="4"/>
        </w:rPr>
        <w:t>offers </w:t>
      </w:r>
      <w:r>
        <w:rPr/>
        <w:t>were rejected. This had caused the stock </w:t>
      </w:r>
      <w:r>
        <w:rPr>
          <w:spacing w:val="2"/>
        </w:rPr>
        <w:t>of </w:t>
      </w:r>
      <w:r>
        <w:rPr/>
        <w:t>loan approvals </w:t>
      </w:r>
      <w:r>
        <w:rPr>
          <w:spacing w:val="3"/>
        </w:rPr>
        <w:t>outstanding to </w:t>
      </w:r>
      <w:r>
        <w:rPr/>
        <w:t>rise sharply, and could have altered the relationship between the stock </w:t>
      </w:r>
      <w:r>
        <w:rPr>
          <w:spacing w:val="2"/>
        </w:rPr>
        <w:t>of </w:t>
      </w:r>
      <w:r>
        <w:rPr/>
        <w:t>approvals and secured lending. Monthly consumer credit growth had fallen from 1.3% in April </w:t>
      </w:r>
      <w:r>
        <w:rPr>
          <w:spacing w:val="2"/>
        </w:rPr>
        <w:t>to</w:t>
      </w:r>
      <w:r>
        <w:rPr/>
        <w:t> 0.6%</w:t>
      </w:r>
      <w:r>
        <w:rPr>
          <w:spacing w:val="-4"/>
        </w:rPr>
        <w:t> </w:t>
      </w:r>
      <w:r>
        <w:rPr/>
        <w:t>in</w:t>
      </w:r>
      <w:r>
        <w:rPr>
          <w:spacing w:val="-5"/>
        </w:rPr>
        <w:t> </w:t>
      </w:r>
      <w:r>
        <w:rPr/>
        <w:t>May,</w:t>
      </w:r>
      <w:r>
        <w:rPr>
          <w:spacing w:val="-3"/>
        </w:rPr>
        <w:t> </w:t>
      </w:r>
      <w:r>
        <w:rPr/>
        <w:t>though</w:t>
      </w:r>
      <w:r>
        <w:rPr>
          <w:spacing w:val="-4"/>
        </w:rPr>
        <w:t> </w:t>
      </w:r>
      <w:r>
        <w:rPr/>
        <w:t>this</w:t>
      </w:r>
      <w:r>
        <w:rPr>
          <w:spacing w:val="-5"/>
        </w:rPr>
        <w:t> </w:t>
      </w:r>
      <w:r>
        <w:rPr/>
        <w:t>in</w:t>
      </w:r>
      <w:r>
        <w:rPr>
          <w:spacing w:val="-4"/>
        </w:rPr>
        <w:t> </w:t>
      </w:r>
      <w:r>
        <w:rPr/>
        <w:t>part</w:t>
      </w:r>
      <w:r>
        <w:rPr>
          <w:spacing w:val="1"/>
        </w:rPr>
        <w:t> </w:t>
      </w:r>
      <w:r>
        <w:rPr/>
        <w:t>could</w:t>
      </w:r>
      <w:r>
        <w:rPr>
          <w:spacing w:val="-5"/>
        </w:rPr>
        <w:t> </w:t>
      </w:r>
      <w:r>
        <w:rPr/>
        <w:t>have</w:t>
      </w:r>
      <w:r>
        <w:rPr>
          <w:spacing w:val="-4"/>
        </w:rPr>
        <w:t> </w:t>
      </w:r>
      <w:r>
        <w:rPr/>
        <w:t>reflected</w:t>
      </w:r>
      <w:r>
        <w:rPr>
          <w:spacing w:val="-3"/>
        </w:rPr>
        <w:t> </w:t>
      </w:r>
      <w:r>
        <w:rPr/>
        <w:t>a</w:t>
      </w:r>
      <w:r>
        <w:rPr>
          <w:spacing w:val="-5"/>
        </w:rPr>
        <w:t> </w:t>
      </w:r>
      <w:r>
        <w:rPr/>
        <w:t>switch</w:t>
      </w:r>
      <w:r>
        <w:rPr>
          <w:spacing w:val="-3"/>
        </w:rPr>
        <w:t> </w:t>
      </w:r>
      <w:r>
        <w:rPr>
          <w:spacing w:val="2"/>
        </w:rPr>
        <w:t>to</w:t>
      </w:r>
      <w:r>
        <w:rPr>
          <w:spacing w:val="1"/>
        </w:rPr>
        <w:t> </w:t>
      </w:r>
      <w:r>
        <w:rPr/>
        <w:t>mortgage</w:t>
      </w:r>
      <w:r>
        <w:rPr>
          <w:spacing w:val="-5"/>
        </w:rPr>
        <w:t> </w:t>
      </w:r>
      <w:r>
        <w:rPr/>
        <w:t>equity</w:t>
      </w:r>
    </w:p>
    <w:p>
      <w:pPr>
        <w:spacing w:after="0" w:line="360" w:lineRule="auto"/>
        <w:sectPr>
          <w:pgSz w:w="11900" w:h="16840"/>
          <w:pgMar w:header="719" w:footer="0" w:top="1340" w:bottom="280" w:left="880" w:right="860"/>
        </w:sectPr>
      </w:pPr>
    </w:p>
    <w:p>
      <w:pPr>
        <w:pStyle w:val="BodyText"/>
        <w:spacing w:line="360" w:lineRule="auto" w:before="98"/>
        <w:ind w:left="920" w:right="1031"/>
      </w:pPr>
      <w:r>
        <w:rPr/>
        <w:t>withdrawal leaving total borrowing for consumption still strong in 1999 Q2. Compared with a year earlier, consumer credit growth remained robust at over 17%.</w:t>
      </w:r>
    </w:p>
    <w:p>
      <w:pPr>
        <w:pStyle w:val="BodyText"/>
        <w:spacing w:before="6"/>
        <w:rPr>
          <w:sz w:val="31"/>
        </w:rPr>
      </w:pPr>
    </w:p>
    <w:p>
      <w:pPr>
        <w:pStyle w:val="BodyText"/>
        <w:tabs>
          <w:tab w:pos="1692" w:val="left" w:leader="none"/>
        </w:tabs>
        <w:spacing w:line="360" w:lineRule="auto"/>
        <w:ind w:left="919" w:right="1069"/>
      </w:pPr>
      <w:r>
        <w:rPr/>
        <w:t>A12</w:t>
        <w:tab/>
        <w:t>Private Non-Financial Corporations’ </w:t>
      </w:r>
      <w:r>
        <w:rPr>
          <w:spacing w:val="-4"/>
        </w:rPr>
        <w:t>(PNFCs’) </w:t>
      </w:r>
      <w:r>
        <w:rPr/>
        <w:t>M4 deposits had been strong in May, rising by 2.1% </w:t>
      </w:r>
      <w:r>
        <w:rPr>
          <w:spacing w:val="3"/>
        </w:rPr>
        <w:t>on </w:t>
      </w:r>
      <w:r>
        <w:rPr/>
        <w:t>the month (or £2.6 billion). However, this figure had been inflated by a large temporary item; adjusting for this, the flow in May was negative. Lending </w:t>
      </w:r>
      <w:r>
        <w:rPr>
          <w:spacing w:val="3"/>
        </w:rPr>
        <w:t>to </w:t>
      </w:r>
      <w:r>
        <w:rPr/>
        <w:t>PNFCs had fallen by 0.4% </w:t>
      </w:r>
      <w:r>
        <w:rPr>
          <w:spacing w:val="2"/>
        </w:rPr>
        <w:t>on </w:t>
      </w:r>
      <w:r>
        <w:rPr/>
        <w:t>the month (or £0.8 billion). </w:t>
      </w:r>
      <w:r>
        <w:rPr>
          <w:spacing w:val="2"/>
        </w:rPr>
        <w:t>The </w:t>
      </w:r>
      <w:r>
        <w:rPr/>
        <w:t>sharp rise in capital issues since the beginning </w:t>
      </w:r>
      <w:r>
        <w:rPr>
          <w:spacing w:val="3"/>
        </w:rPr>
        <w:t>of </w:t>
      </w:r>
      <w:r>
        <w:rPr/>
        <w:t>the year had</w:t>
      </w:r>
      <w:r>
        <w:rPr>
          <w:spacing w:val="27"/>
        </w:rPr>
        <w:t> </w:t>
      </w:r>
      <w:r>
        <w:rPr/>
        <w:t>continued.</w:t>
      </w:r>
    </w:p>
    <w:p>
      <w:pPr>
        <w:pStyle w:val="BodyText"/>
        <w:spacing w:before="2"/>
        <w:rPr>
          <w:sz w:val="31"/>
        </w:rPr>
      </w:pPr>
    </w:p>
    <w:p>
      <w:pPr>
        <w:pStyle w:val="BodyText"/>
        <w:tabs>
          <w:tab w:pos="1692" w:val="left" w:leader="none"/>
        </w:tabs>
        <w:spacing w:line="360" w:lineRule="auto" w:before="1"/>
        <w:ind w:left="919" w:right="1062"/>
      </w:pPr>
      <w:r>
        <w:rPr/>
        <w:t>A13</w:t>
        <w:tab/>
        <w:t>Turning </w:t>
      </w:r>
      <w:r>
        <w:rPr>
          <w:spacing w:val="2"/>
        </w:rPr>
        <w:t>to </w:t>
      </w:r>
      <w:r>
        <w:rPr/>
        <w:t>price indicators </w:t>
      </w:r>
      <w:r>
        <w:rPr>
          <w:spacing w:val="2"/>
        </w:rPr>
        <w:t>of </w:t>
      </w:r>
      <w:r>
        <w:rPr/>
        <w:t>monetary conditions, interest rate expectations implied by longer-dated short-sterling futures contracts had risen since the previous MPC meeting: the rate implied by the September 2001 contract had risen by close </w:t>
      </w:r>
      <w:r>
        <w:rPr>
          <w:spacing w:val="3"/>
        </w:rPr>
        <w:t>to </w:t>
      </w:r>
      <w:r>
        <w:rPr/>
        <w:t>40 basis points </w:t>
      </w:r>
      <w:r>
        <w:rPr>
          <w:spacing w:val="2"/>
        </w:rPr>
        <w:t>to </w:t>
      </w:r>
      <w:r>
        <w:rPr/>
        <w:t>around 6.80%. Expectations of interest rates in the euro area and Japan had risen </w:t>
      </w:r>
      <w:r>
        <w:rPr>
          <w:spacing w:val="3"/>
        </w:rPr>
        <w:t>over </w:t>
      </w:r>
      <w:r>
        <w:rPr/>
        <w:t>the month, which might have contributed </w:t>
      </w:r>
      <w:r>
        <w:rPr>
          <w:spacing w:val="3"/>
        </w:rPr>
        <w:t>to </w:t>
      </w:r>
      <w:r>
        <w:rPr/>
        <w:t>the increase in interest </w:t>
      </w:r>
      <w:r>
        <w:rPr>
          <w:spacing w:val="2"/>
        </w:rPr>
        <w:t>rates </w:t>
      </w:r>
      <w:r>
        <w:rPr/>
        <w:t>implied for the United</w:t>
      </w:r>
      <w:r>
        <w:rPr>
          <w:spacing w:val="21"/>
        </w:rPr>
        <w:t> </w:t>
      </w:r>
      <w:r>
        <w:rPr/>
        <w:t>Kingdom.</w:t>
      </w:r>
    </w:p>
    <w:p>
      <w:pPr>
        <w:pStyle w:val="BodyText"/>
        <w:spacing w:before="1"/>
        <w:rPr>
          <w:sz w:val="31"/>
        </w:rPr>
      </w:pPr>
    </w:p>
    <w:p>
      <w:pPr>
        <w:pStyle w:val="BodyText"/>
        <w:tabs>
          <w:tab w:pos="1692" w:val="left" w:leader="none"/>
        </w:tabs>
        <w:ind w:left="920"/>
      </w:pPr>
      <w:r>
        <w:rPr/>
        <w:t>A14</w:t>
        <w:tab/>
        <w:t>Nominal forward rates at maturities </w:t>
      </w:r>
      <w:r>
        <w:rPr>
          <w:spacing w:val="2"/>
        </w:rPr>
        <w:t>of </w:t>
      </w:r>
      <w:r>
        <w:rPr/>
        <w:t>3 </w:t>
      </w:r>
      <w:r>
        <w:rPr>
          <w:spacing w:val="2"/>
        </w:rPr>
        <w:t>to </w:t>
      </w:r>
      <w:r>
        <w:rPr/>
        <w:t>5 years had risen by</w:t>
      </w:r>
      <w:r>
        <w:rPr>
          <w:spacing w:val="20"/>
        </w:rPr>
        <w:t> </w:t>
      </w:r>
      <w:r>
        <w:rPr/>
        <w:t>between</w:t>
      </w:r>
    </w:p>
    <w:p>
      <w:pPr>
        <w:pStyle w:val="BodyText"/>
        <w:spacing w:line="360" w:lineRule="auto" w:before="142"/>
        <w:ind w:left="920" w:right="943"/>
      </w:pPr>
      <w:r>
        <w:rPr/>
        <w:t>35 and 45 basis points since the previous meeting; this rise had been in line with the rise in longer-dated short-sterling futures contracts. Longer rates (beyond about</w:t>
      </w:r>
    </w:p>
    <w:p>
      <w:pPr>
        <w:pStyle w:val="BodyText"/>
        <w:spacing w:line="360" w:lineRule="auto"/>
        <w:ind w:left="920" w:right="943"/>
      </w:pPr>
      <w:r>
        <w:rPr/>
        <w:t>9 years) had fallen by up to 55 basis points. This pattern had also been reflected in swap rates and corporate bond yields which rose by similar amounts at 3 to 7-year maturities.</w:t>
      </w:r>
    </w:p>
    <w:p>
      <w:pPr>
        <w:pStyle w:val="BodyText"/>
        <w:spacing w:before="2"/>
        <w:rPr>
          <w:sz w:val="31"/>
        </w:rPr>
      </w:pPr>
    </w:p>
    <w:p>
      <w:pPr>
        <w:pStyle w:val="BodyText"/>
        <w:tabs>
          <w:tab w:pos="1692" w:val="left" w:leader="none"/>
        </w:tabs>
        <w:spacing w:line="360" w:lineRule="auto"/>
        <w:ind w:left="919" w:right="1017"/>
      </w:pPr>
      <w:r>
        <w:rPr/>
        <w:t>A15</w:t>
        <w:tab/>
        <w:t>Real</w:t>
      </w:r>
      <w:r>
        <w:rPr>
          <w:spacing w:val="-6"/>
        </w:rPr>
        <w:t> </w:t>
      </w:r>
      <w:r>
        <w:rPr/>
        <w:t>interest</w:t>
      </w:r>
      <w:r>
        <w:rPr>
          <w:spacing w:val="-1"/>
        </w:rPr>
        <w:t> </w:t>
      </w:r>
      <w:r>
        <w:rPr/>
        <w:t>rates</w:t>
      </w:r>
      <w:r>
        <w:rPr>
          <w:spacing w:val="-5"/>
        </w:rPr>
        <w:t> </w:t>
      </w:r>
      <w:r>
        <w:rPr/>
        <w:t>derived</w:t>
      </w:r>
      <w:r>
        <w:rPr>
          <w:spacing w:val="-5"/>
        </w:rPr>
        <w:t> </w:t>
      </w:r>
      <w:r>
        <w:rPr/>
        <w:t>from</w:t>
      </w:r>
      <w:r>
        <w:rPr>
          <w:spacing w:val="-6"/>
        </w:rPr>
        <w:t> </w:t>
      </w:r>
      <w:r>
        <w:rPr/>
        <w:t>the</w:t>
      </w:r>
      <w:r>
        <w:rPr>
          <w:spacing w:val="-5"/>
        </w:rPr>
        <w:t> </w:t>
      </w:r>
      <w:r>
        <w:rPr/>
        <w:t>index-linked</w:t>
      </w:r>
      <w:r>
        <w:rPr>
          <w:spacing w:val="-6"/>
        </w:rPr>
        <w:t> </w:t>
      </w:r>
      <w:r>
        <w:rPr/>
        <w:t>gilt</w:t>
      </w:r>
      <w:r>
        <w:rPr>
          <w:spacing w:val="-1"/>
        </w:rPr>
        <w:t> </w:t>
      </w:r>
      <w:r>
        <w:rPr/>
        <w:t>market</w:t>
      </w:r>
      <w:r>
        <w:rPr>
          <w:spacing w:val="-1"/>
        </w:rPr>
        <w:t> </w:t>
      </w:r>
      <w:r>
        <w:rPr/>
        <w:t>had</w:t>
      </w:r>
      <w:r>
        <w:rPr>
          <w:spacing w:val="-6"/>
        </w:rPr>
        <w:t> </w:t>
      </w:r>
      <w:r>
        <w:rPr/>
        <w:t>been</w:t>
      </w:r>
      <w:r>
        <w:rPr>
          <w:spacing w:val="-5"/>
        </w:rPr>
        <w:t> </w:t>
      </w:r>
      <w:r>
        <w:rPr/>
        <w:t>broadly unchanged since the previous meeting, suggesting that the rise in nominal rates largely </w:t>
      </w:r>
      <w:r>
        <w:rPr>
          <w:spacing w:val="2"/>
        </w:rPr>
        <w:t>reflected </w:t>
      </w:r>
      <w:r>
        <w:rPr/>
        <w:t>increased inflation expectations. Survey-based measures </w:t>
      </w:r>
      <w:r>
        <w:rPr>
          <w:spacing w:val="3"/>
        </w:rPr>
        <w:t>of </w:t>
      </w:r>
      <w:r>
        <w:rPr/>
        <w:t>inflation expectations available each month had also </w:t>
      </w:r>
      <w:r>
        <w:rPr>
          <w:spacing w:val="2"/>
        </w:rPr>
        <w:t>risen, </w:t>
      </w:r>
      <w:r>
        <w:rPr/>
        <w:t>but by less than those implied by yield curves. According </w:t>
      </w:r>
      <w:r>
        <w:rPr>
          <w:spacing w:val="3"/>
        </w:rPr>
        <w:t>to </w:t>
      </w:r>
      <w:r>
        <w:rPr/>
        <w:t>the survey measures, the rise in nominal interest rates could be split approximately half and half between a </w:t>
      </w:r>
      <w:r>
        <w:rPr>
          <w:spacing w:val="2"/>
        </w:rPr>
        <w:t>rise </w:t>
      </w:r>
      <w:r>
        <w:rPr/>
        <w:t>in </w:t>
      </w:r>
      <w:r>
        <w:rPr>
          <w:spacing w:val="2"/>
        </w:rPr>
        <w:t>real rates </w:t>
      </w:r>
      <w:r>
        <w:rPr/>
        <w:t>and a </w:t>
      </w:r>
      <w:r>
        <w:rPr>
          <w:spacing w:val="2"/>
        </w:rPr>
        <w:t>rise </w:t>
      </w:r>
      <w:r>
        <w:rPr/>
        <w:t>in inflation</w:t>
      </w:r>
      <w:r>
        <w:rPr>
          <w:spacing w:val="3"/>
        </w:rPr>
        <w:t> </w:t>
      </w:r>
      <w:r>
        <w:rPr/>
        <w:t>expectations.</w:t>
      </w:r>
    </w:p>
    <w:p>
      <w:pPr>
        <w:spacing w:after="0" w:line="360" w:lineRule="auto"/>
        <w:sectPr>
          <w:pgSz w:w="11900" w:h="16840"/>
          <w:pgMar w:header="719" w:footer="0" w:top="1340" w:bottom="280" w:left="880" w:right="860"/>
        </w:sectPr>
      </w:pPr>
    </w:p>
    <w:p>
      <w:pPr>
        <w:pStyle w:val="BodyText"/>
        <w:tabs>
          <w:tab w:pos="1692" w:val="left" w:leader="none"/>
        </w:tabs>
        <w:spacing w:line="360" w:lineRule="auto" w:before="98"/>
        <w:ind w:left="919" w:right="1166"/>
      </w:pPr>
      <w:r>
        <w:rPr/>
        <w:t>A16</w:t>
        <w:tab/>
        <w:t>The Consensus Economics Forecasts measure </w:t>
      </w:r>
      <w:r>
        <w:rPr>
          <w:spacing w:val="2"/>
        </w:rPr>
        <w:t>of </w:t>
      </w:r>
      <w:r>
        <w:rPr/>
        <w:t>the expected average inflation rate </w:t>
      </w:r>
      <w:r>
        <w:rPr>
          <w:spacing w:val="3"/>
        </w:rPr>
        <w:t>over </w:t>
      </w:r>
      <w:r>
        <w:rPr/>
        <w:t>the next two years had risen since 1999 Q1 by 20 basis points, </w:t>
      </w:r>
      <w:r>
        <w:rPr>
          <w:spacing w:val="3"/>
        </w:rPr>
        <w:t>to </w:t>
      </w:r>
      <w:r>
        <w:rPr/>
        <w:t>2.3% in 1999 Q2. But </w:t>
      </w:r>
      <w:r>
        <w:rPr>
          <w:spacing w:val="3"/>
        </w:rPr>
        <w:t>over </w:t>
      </w:r>
      <w:r>
        <w:rPr/>
        <w:t>the same time period, the Barclays Basix survey suggested that inflation expectations for the next two years had ticked down. In particular,</w:t>
      </w:r>
      <w:r>
        <w:rPr>
          <w:spacing w:val="-7"/>
        </w:rPr>
        <w:t> </w:t>
      </w:r>
      <w:r>
        <w:rPr/>
        <w:t>trade</w:t>
      </w:r>
      <w:r>
        <w:rPr>
          <w:spacing w:val="-6"/>
        </w:rPr>
        <w:t> </w:t>
      </w:r>
      <w:r>
        <w:rPr/>
        <w:t>union</w:t>
      </w:r>
      <w:r>
        <w:rPr>
          <w:spacing w:val="-6"/>
        </w:rPr>
        <w:t> </w:t>
      </w:r>
      <w:r>
        <w:rPr/>
        <w:t>expectations</w:t>
      </w:r>
      <w:r>
        <w:rPr>
          <w:spacing w:val="-6"/>
        </w:rPr>
        <w:t> </w:t>
      </w:r>
      <w:r>
        <w:rPr/>
        <w:t>for</w:t>
      </w:r>
      <w:r>
        <w:rPr>
          <w:spacing w:val="-7"/>
        </w:rPr>
        <w:t> </w:t>
      </w:r>
      <w:r>
        <w:rPr/>
        <w:t>the</w:t>
      </w:r>
      <w:r>
        <w:rPr>
          <w:spacing w:val="-6"/>
        </w:rPr>
        <w:t> </w:t>
      </w:r>
      <w:r>
        <w:rPr/>
        <w:t>year</w:t>
      </w:r>
      <w:r>
        <w:rPr>
          <w:spacing w:val="-6"/>
        </w:rPr>
        <w:t> </w:t>
      </w:r>
      <w:r>
        <w:rPr/>
        <w:t>ahead</w:t>
      </w:r>
      <w:r>
        <w:rPr>
          <w:spacing w:val="-6"/>
        </w:rPr>
        <w:t> </w:t>
      </w:r>
      <w:r>
        <w:rPr/>
        <w:t>had</w:t>
      </w:r>
      <w:r>
        <w:rPr>
          <w:spacing w:val="-6"/>
        </w:rPr>
        <w:t> </w:t>
      </w:r>
      <w:r>
        <w:rPr/>
        <w:t>fallen</w:t>
      </w:r>
      <w:r>
        <w:rPr>
          <w:spacing w:val="-7"/>
        </w:rPr>
        <w:t> </w:t>
      </w:r>
      <w:r>
        <w:rPr/>
        <w:t>from</w:t>
      </w:r>
      <w:r>
        <w:rPr>
          <w:spacing w:val="-6"/>
        </w:rPr>
        <w:t> </w:t>
      </w:r>
      <w:r>
        <w:rPr/>
        <w:t>2.7%</w:t>
      </w:r>
      <w:r>
        <w:rPr>
          <w:spacing w:val="-6"/>
        </w:rPr>
        <w:t> </w:t>
      </w:r>
      <w:r>
        <w:rPr/>
        <w:t>in</w:t>
      </w:r>
      <w:r>
        <w:rPr>
          <w:spacing w:val="-6"/>
        </w:rPr>
        <w:t> </w:t>
      </w:r>
      <w:r>
        <w:rPr/>
        <w:t>Q1</w:t>
      </w:r>
      <w:r>
        <w:rPr>
          <w:spacing w:val="-7"/>
        </w:rPr>
        <w:t> </w:t>
      </w:r>
      <w:r>
        <w:rPr>
          <w:spacing w:val="3"/>
        </w:rPr>
        <w:t>to </w:t>
      </w:r>
      <w:r>
        <w:rPr/>
        <w:t>2.5%.</w:t>
      </w:r>
    </w:p>
    <w:p>
      <w:pPr>
        <w:pStyle w:val="BodyText"/>
        <w:spacing w:before="6"/>
        <w:rPr>
          <w:sz w:val="31"/>
        </w:rPr>
      </w:pPr>
    </w:p>
    <w:p>
      <w:pPr>
        <w:pStyle w:val="BodyText"/>
        <w:tabs>
          <w:tab w:pos="1692" w:val="left" w:leader="none"/>
        </w:tabs>
        <w:spacing w:line="360" w:lineRule="auto"/>
        <w:ind w:left="920" w:right="1399"/>
      </w:pPr>
      <w:r>
        <w:rPr/>
        <w:t>A17</w:t>
        <w:tab/>
        <w:t>The </w:t>
      </w:r>
      <w:r>
        <w:rPr>
          <w:spacing w:val="-5"/>
        </w:rPr>
        <w:t>Bank’s </w:t>
      </w:r>
      <w:r>
        <w:rPr/>
        <w:t>survey </w:t>
      </w:r>
      <w:r>
        <w:rPr>
          <w:spacing w:val="2"/>
        </w:rPr>
        <w:t>of </w:t>
      </w:r>
      <w:r>
        <w:rPr/>
        <w:t>advertised interest rates suggested that the 25 basis point</w:t>
      </w:r>
      <w:r>
        <w:rPr>
          <w:spacing w:val="-1"/>
        </w:rPr>
        <w:t> </w:t>
      </w:r>
      <w:r>
        <w:rPr/>
        <w:t>cut in</w:t>
      </w:r>
      <w:r>
        <w:rPr>
          <w:spacing w:val="-5"/>
        </w:rPr>
        <w:t> </w:t>
      </w:r>
      <w:r>
        <w:rPr/>
        <w:t>the</w:t>
      </w:r>
      <w:r>
        <w:rPr>
          <w:spacing w:val="-5"/>
        </w:rPr>
        <w:t> </w:t>
      </w:r>
      <w:r>
        <w:rPr/>
        <w:t>repo</w:t>
      </w:r>
      <w:r>
        <w:rPr>
          <w:spacing w:val="-4"/>
        </w:rPr>
        <w:t> </w:t>
      </w:r>
      <w:r>
        <w:rPr/>
        <w:t>rate</w:t>
      </w:r>
      <w:r>
        <w:rPr>
          <w:spacing w:val="-4"/>
        </w:rPr>
        <w:t> </w:t>
      </w:r>
      <w:r>
        <w:rPr/>
        <w:t>in</w:t>
      </w:r>
      <w:r>
        <w:rPr>
          <w:spacing w:val="-5"/>
        </w:rPr>
        <w:t> </w:t>
      </w:r>
      <w:r>
        <w:rPr/>
        <w:t>June</w:t>
      </w:r>
      <w:r>
        <w:rPr>
          <w:spacing w:val="-6"/>
        </w:rPr>
        <w:t> </w:t>
      </w:r>
      <w:r>
        <w:rPr/>
        <w:t>had</w:t>
      </w:r>
      <w:r>
        <w:rPr>
          <w:spacing w:val="-5"/>
        </w:rPr>
        <w:t> </w:t>
      </w:r>
      <w:r>
        <w:rPr/>
        <w:t>not been</w:t>
      </w:r>
      <w:r>
        <w:rPr>
          <w:spacing w:val="-6"/>
        </w:rPr>
        <w:t> </w:t>
      </w:r>
      <w:r>
        <w:rPr/>
        <w:t>passed</w:t>
      </w:r>
      <w:r>
        <w:rPr>
          <w:spacing w:val="-5"/>
        </w:rPr>
        <w:t> </w:t>
      </w:r>
      <w:r>
        <w:rPr/>
        <w:t>through</w:t>
      </w:r>
      <w:r>
        <w:rPr>
          <w:spacing w:val="-4"/>
        </w:rPr>
        <w:t> </w:t>
      </w:r>
      <w:r>
        <w:rPr>
          <w:spacing w:val="2"/>
        </w:rPr>
        <w:t>to</w:t>
      </w:r>
      <w:r>
        <w:rPr>
          <w:spacing w:val="-1"/>
        </w:rPr>
        <w:t> </w:t>
      </w:r>
      <w:r>
        <w:rPr/>
        <w:t>standard</w:t>
      </w:r>
      <w:r>
        <w:rPr>
          <w:spacing w:val="-5"/>
        </w:rPr>
        <w:t> </w:t>
      </w:r>
      <w:r>
        <w:rPr/>
        <w:t>variable mortgage rates. Moreover, fixed-rate mortgages had risen </w:t>
      </w:r>
      <w:r>
        <w:rPr>
          <w:spacing w:val="3"/>
        </w:rPr>
        <w:t>over </w:t>
      </w:r>
      <w:r>
        <w:rPr/>
        <w:t>the month: for example,</w:t>
      </w:r>
      <w:r>
        <w:rPr>
          <w:spacing w:val="-8"/>
        </w:rPr>
        <w:t> </w:t>
      </w:r>
      <w:r>
        <w:rPr/>
        <w:t>average</w:t>
      </w:r>
      <w:r>
        <w:rPr>
          <w:spacing w:val="-7"/>
        </w:rPr>
        <w:t> </w:t>
      </w:r>
      <w:r>
        <w:rPr/>
        <w:t>5-year</w:t>
      </w:r>
      <w:r>
        <w:rPr>
          <w:spacing w:val="-7"/>
        </w:rPr>
        <w:t> </w:t>
      </w:r>
      <w:r>
        <w:rPr/>
        <w:t>fixed</w:t>
      </w:r>
      <w:r>
        <w:rPr>
          <w:spacing w:val="-7"/>
        </w:rPr>
        <w:t> </w:t>
      </w:r>
      <w:r>
        <w:rPr/>
        <w:t>mortgage</w:t>
      </w:r>
      <w:r>
        <w:rPr>
          <w:spacing w:val="-7"/>
        </w:rPr>
        <w:t> </w:t>
      </w:r>
      <w:r>
        <w:rPr/>
        <w:t>rates</w:t>
      </w:r>
      <w:r>
        <w:rPr>
          <w:spacing w:val="-6"/>
        </w:rPr>
        <w:t> </w:t>
      </w:r>
      <w:r>
        <w:rPr/>
        <w:t>with</w:t>
      </w:r>
      <w:r>
        <w:rPr>
          <w:spacing w:val="-7"/>
        </w:rPr>
        <w:t> </w:t>
      </w:r>
      <w:r>
        <w:rPr/>
        <w:t>no</w:t>
      </w:r>
      <w:r>
        <w:rPr>
          <w:spacing w:val="-7"/>
        </w:rPr>
        <w:t> </w:t>
      </w:r>
      <w:r>
        <w:rPr/>
        <w:t>lock-in</w:t>
      </w:r>
      <w:r>
        <w:rPr>
          <w:spacing w:val="-7"/>
        </w:rPr>
        <w:t> </w:t>
      </w:r>
      <w:r>
        <w:rPr/>
        <w:t>had</w:t>
      </w:r>
      <w:r>
        <w:rPr>
          <w:spacing w:val="-7"/>
        </w:rPr>
        <w:t> </w:t>
      </w:r>
      <w:r>
        <w:rPr/>
        <w:t>risen</w:t>
      </w:r>
      <w:r>
        <w:rPr>
          <w:spacing w:val="-6"/>
        </w:rPr>
        <w:t> </w:t>
      </w:r>
      <w:r>
        <w:rPr/>
        <w:t>by</w:t>
      </w:r>
      <w:r>
        <w:rPr>
          <w:spacing w:val="-7"/>
        </w:rPr>
        <w:t> </w:t>
      </w:r>
      <w:r>
        <w:rPr/>
        <w:t>around</w:t>
      </w:r>
    </w:p>
    <w:p>
      <w:pPr>
        <w:pStyle w:val="BodyText"/>
        <w:spacing w:line="360" w:lineRule="auto"/>
        <w:ind w:left="920" w:right="1048"/>
      </w:pPr>
      <w:r>
        <w:rPr/>
        <w:t>20 basis points to 6.20% in June. Furthermore, spreads between fixed-rate mortgages and swap rates had narrowed in recent months, suggesting that further increases in mortgage rates were possible. Unsecured loan rates and savings rates had been broadly unchanged on the month.</w:t>
      </w:r>
    </w:p>
    <w:p>
      <w:pPr>
        <w:pStyle w:val="BodyText"/>
        <w:spacing w:before="4"/>
        <w:rPr>
          <w:sz w:val="31"/>
        </w:rPr>
      </w:pPr>
    </w:p>
    <w:p>
      <w:pPr>
        <w:pStyle w:val="BodyText"/>
        <w:tabs>
          <w:tab w:pos="1692" w:val="left" w:leader="none"/>
        </w:tabs>
        <w:spacing w:line="360" w:lineRule="auto"/>
        <w:ind w:left="919" w:right="954"/>
      </w:pPr>
      <w:r>
        <w:rPr/>
        <w:t>A18</w:t>
        <w:tab/>
        <w:t>The</w:t>
      </w:r>
      <w:r>
        <w:rPr>
          <w:spacing w:val="-5"/>
        </w:rPr>
        <w:t> </w:t>
      </w:r>
      <w:r>
        <w:rPr/>
        <w:t>FT-SE</w:t>
      </w:r>
      <w:r>
        <w:rPr>
          <w:spacing w:val="-6"/>
        </w:rPr>
        <w:t> </w:t>
      </w:r>
      <w:r>
        <w:rPr/>
        <w:t>All-share</w:t>
      </w:r>
      <w:r>
        <w:rPr>
          <w:spacing w:val="-6"/>
        </w:rPr>
        <w:t> </w:t>
      </w:r>
      <w:r>
        <w:rPr/>
        <w:t>index</w:t>
      </w:r>
      <w:r>
        <w:rPr>
          <w:spacing w:val="-7"/>
        </w:rPr>
        <w:t> </w:t>
      </w:r>
      <w:r>
        <w:rPr/>
        <w:t>had</w:t>
      </w:r>
      <w:r>
        <w:rPr>
          <w:spacing w:val="-6"/>
        </w:rPr>
        <w:t> </w:t>
      </w:r>
      <w:r>
        <w:rPr/>
        <w:t>risen</w:t>
      </w:r>
      <w:r>
        <w:rPr>
          <w:spacing w:val="-4"/>
        </w:rPr>
        <w:t> </w:t>
      </w:r>
      <w:r>
        <w:rPr/>
        <w:t>by</w:t>
      </w:r>
      <w:r>
        <w:rPr>
          <w:spacing w:val="-6"/>
        </w:rPr>
        <w:t> </w:t>
      </w:r>
      <w:r>
        <w:rPr/>
        <w:t>around</w:t>
      </w:r>
      <w:r>
        <w:rPr>
          <w:spacing w:val="-7"/>
        </w:rPr>
        <w:t> </w:t>
      </w:r>
      <w:r>
        <w:rPr/>
        <w:t>3%</w:t>
      </w:r>
      <w:r>
        <w:rPr>
          <w:spacing w:val="-6"/>
        </w:rPr>
        <w:t> </w:t>
      </w:r>
      <w:r>
        <w:rPr>
          <w:spacing w:val="3"/>
        </w:rPr>
        <w:t>to</w:t>
      </w:r>
      <w:r>
        <w:rPr>
          <w:spacing w:val="-2"/>
        </w:rPr>
        <w:t> </w:t>
      </w:r>
      <w:r>
        <w:rPr/>
        <w:t>3069</w:t>
      </w:r>
      <w:r>
        <w:rPr>
          <w:spacing w:val="-6"/>
        </w:rPr>
        <w:t> </w:t>
      </w:r>
      <w:r>
        <w:rPr/>
        <w:t>since</w:t>
      </w:r>
      <w:r>
        <w:rPr>
          <w:spacing w:val="-6"/>
        </w:rPr>
        <w:t> </w:t>
      </w:r>
      <w:r>
        <w:rPr/>
        <w:t>the</w:t>
      </w:r>
      <w:r>
        <w:rPr>
          <w:spacing w:val="-6"/>
        </w:rPr>
        <w:t> </w:t>
      </w:r>
      <w:r>
        <w:rPr/>
        <w:t>previous meeting, with small and mid-capitalisation stocks continuing </w:t>
      </w:r>
      <w:r>
        <w:rPr>
          <w:spacing w:val="3"/>
        </w:rPr>
        <w:t>to </w:t>
      </w:r>
      <w:r>
        <w:rPr>
          <w:spacing w:val="5"/>
        </w:rPr>
        <w:t>outperform</w:t>
      </w:r>
      <w:r>
        <w:rPr>
          <w:spacing w:val="-24"/>
        </w:rPr>
        <w:t> </w:t>
      </w:r>
      <w:r>
        <w:rPr/>
        <w:t>the</w:t>
      </w:r>
    </w:p>
    <w:p>
      <w:pPr>
        <w:pStyle w:val="BodyText"/>
        <w:spacing w:line="360" w:lineRule="auto"/>
        <w:ind w:left="919" w:right="943"/>
      </w:pPr>
      <w:r>
        <w:rPr/>
        <w:t>FT-SE 100. Information technology, resources and cyclical consumer goods stocks had performed relatively well over the month.</w:t>
      </w:r>
    </w:p>
    <w:p>
      <w:pPr>
        <w:pStyle w:val="BodyText"/>
        <w:spacing w:before="3"/>
        <w:rPr>
          <w:sz w:val="31"/>
        </w:rPr>
      </w:pPr>
    </w:p>
    <w:p>
      <w:pPr>
        <w:pStyle w:val="BodyText"/>
        <w:tabs>
          <w:tab w:pos="1692" w:val="left" w:leader="none"/>
        </w:tabs>
        <w:spacing w:line="360" w:lineRule="auto" w:before="1"/>
        <w:ind w:left="919" w:right="1125"/>
      </w:pPr>
      <w:r>
        <w:rPr/>
        <w:t>A19</w:t>
        <w:tab/>
        <w:t>The sterling effective index had fallen by 1.0% since the June meeting </w:t>
      </w:r>
      <w:r>
        <w:rPr>
          <w:spacing w:val="4"/>
        </w:rPr>
        <w:t>to </w:t>
      </w:r>
      <w:r>
        <w:rPr/>
        <w:t>103.5, approximately 0.1% below the level implied by the central projection </w:t>
      </w:r>
      <w:r>
        <w:rPr>
          <w:spacing w:val="3"/>
        </w:rPr>
        <w:t>of </w:t>
      </w:r>
      <w:r>
        <w:rPr>
          <w:spacing w:val="2"/>
        </w:rPr>
        <w:t>the </w:t>
      </w:r>
      <w:r>
        <w:rPr/>
        <w:t>May </w:t>
      </w:r>
      <w:r>
        <w:rPr>
          <w:i/>
        </w:rPr>
        <w:t>Inflation Report</w:t>
      </w:r>
      <w:r>
        <w:rPr/>
        <w:t>. Sterling had fallen by 0.6% against the euro and 2.6% against the dollar. Movements in sterling </w:t>
      </w:r>
      <w:r>
        <w:rPr>
          <w:spacing w:val="3"/>
        </w:rPr>
        <w:t>over </w:t>
      </w:r>
      <w:r>
        <w:rPr/>
        <w:t>the month appeared largely unrelated </w:t>
      </w:r>
      <w:r>
        <w:rPr>
          <w:spacing w:val="3"/>
        </w:rPr>
        <w:t>to </w:t>
      </w:r>
      <w:r>
        <w:rPr/>
        <w:t>changes in UK yields </w:t>
      </w:r>
      <w:r>
        <w:rPr>
          <w:spacing w:val="2"/>
        </w:rPr>
        <w:t>relative </w:t>
      </w:r>
      <w:r>
        <w:rPr>
          <w:spacing w:val="3"/>
        </w:rPr>
        <w:t>to</w:t>
      </w:r>
      <w:r>
        <w:rPr>
          <w:spacing w:val="21"/>
        </w:rPr>
        <w:t> </w:t>
      </w:r>
      <w:r>
        <w:rPr>
          <w:spacing w:val="3"/>
        </w:rPr>
        <w:t>overseas.</w:t>
      </w:r>
    </w:p>
    <w:p>
      <w:pPr>
        <w:pStyle w:val="BodyText"/>
        <w:spacing w:before="7"/>
        <w:rPr>
          <w:sz w:val="31"/>
        </w:rPr>
      </w:pPr>
    </w:p>
    <w:p>
      <w:pPr>
        <w:pStyle w:val="Heading2"/>
        <w:numPr>
          <w:ilvl w:val="0"/>
          <w:numId w:val="3"/>
        </w:numPr>
        <w:tabs>
          <w:tab w:pos="1334" w:val="left" w:leader="none"/>
        </w:tabs>
        <w:spacing w:line="240" w:lineRule="auto" w:before="0" w:after="0"/>
        <w:ind w:left="1333" w:right="0" w:hanging="415"/>
        <w:jc w:val="left"/>
      </w:pPr>
      <w:r>
        <w:rPr/>
        <w:t>Demand and</w:t>
      </w:r>
      <w:r>
        <w:rPr>
          <w:spacing w:val="6"/>
        </w:rPr>
        <w:t> </w:t>
      </w:r>
      <w:r>
        <w:rPr/>
        <w:t>output</w:t>
      </w:r>
    </w:p>
    <w:p>
      <w:pPr>
        <w:pStyle w:val="BodyText"/>
        <w:rPr>
          <w:b/>
          <w:sz w:val="26"/>
        </w:rPr>
      </w:pPr>
    </w:p>
    <w:p>
      <w:pPr>
        <w:pStyle w:val="BodyText"/>
        <w:tabs>
          <w:tab w:pos="1692" w:val="left" w:leader="none"/>
        </w:tabs>
        <w:spacing w:line="360" w:lineRule="auto" w:before="193"/>
        <w:ind w:left="919" w:right="1183"/>
      </w:pPr>
      <w:r>
        <w:rPr/>
        <w:t>A20</w:t>
        <w:tab/>
        <w:t>According </w:t>
      </w:r>
      <w:r>
        <w:rPr>
          <w:spacing w:val="2"/>
        </w:rPr>
        <w:t>to </w:t>
      </w:r>
      <w:r>
        <w:rPr/>
        <w:t>the latest ONS release, quarterly growth of GDP at constant market prices had been unrevised at 0.0% in 1999 Q1. But the annual rate had been revised up by 0.1 percentage points </w:t>
      </w:r>
      <w:r>
        <w:rPr>
          <w:spacing w:val="2"/>
        </w:rPr>
        <w:t>to </w:t>
      </w:r>
      <w:r>
        <w:rPr/>
        <w:t>0.7%, and there had been revisions </w:t>
      </w:r>
      <w:r>
        <w:rPr>
          <w:spacing w:val="2"/>
        </w:rPr>
        <w:t>to </w:t>
      </w:r>
      <w:r>
        <w:rPr/>
        <w:t>the expenditure composition </w:t>
      </w:r>
      <w:r>
        <w:rPr>
          <w:spacing w:val="2"/>
        </w:rPr>
        <w:t>of </w:t>
      </w:r>
      <w:r>
        <w:rPr/>
        <w:t>growth in Q1. No revisions had been made </w:t>
      </w:r>
      <w:r>
        <w:rPr>
          <w:spacing w:val="2"/>
        </w:rPr>
        <w:t>to </w:t>
      </w:r>
      <w:r>
        <w:rPr/>
        <w:t>previous quarters, pending the release </w:t>
      </w:r>
      <w:r>
        <w:rPr>
          <w:spacing w:val="2"/>
        </w:rPr>
        <w:t>of </w:t>
      </w:r>
      <w:r>
        <w:rPr/>
        <w:t>the full 1999 Q1 National Accounts.</w:t>
      </w:r>
      <w:r>
        <w:rPr>
          <w:spacing w:val="38"/>
        </w:rPr>
        <w:t> </w:t>
      </w:r>
      <w:r>
        <w:rPr/>
        <w:t>Stronger</w:t>
      </w:r>
    </w:p>
    <w:p>
      <w:pPr>
        <w:spacing w:after="0" w:line="360" w:lineRule="auto"/>
        <w:sectPr>
          <w:pgSz w:w="11900" w:h="16840"/>
          <w:pgMar w:header="719" w:footer="0" w:top="1340" w:bottom="280" w:left="880" w:right="860"/>
        </w:sectPr>
      </w:pPr>
    </w:p>
    <w:p>
      <w:pPr>
        <w:pStyle w:val="BodyText"/>
        <w:spacing w:line="360" w:lineRule="auto" w:before="98"/>
        <w:ind w:left="920" w:right="729"/>
      </w:pPr>
      <w:r>
        <w:rPr/>
        <w:t>household consumption and investment in Q1 had been offset by weaker contributions from net trade and stockbuilding. The difference between final domestic demand and GDP growth had widened in Q1.</w:t>
      </w:r>
    </w:p>
    <w:p>
      <w:pPr>
        <w:pStyle w:val="BodyText"/>
        <w:spacing w:before="5"/>
        <w:rPr>
          <w:sz w:val="31"/>
        </w:rPr>
      </w:pPr>
    </w:p>
    <w:p>
      <w:pPr>
        <w:pStyle w:val="BodyText"/>
        <w:tabs>
          <w:tab w:pos="1692" w:val="left" w:leader="none"/>
        </w:tabs>
        <w:spacing w:line="360" w:lineRule="auto"/>
        <w:ind w:left="919" w:right="1125"/>
      </w:pPr>
      <w:r>
        <w:rPr/>
        <w:t>A21</w:t>
        <w:tab/>
        <w:t>Quarterly growth </w:t>
      </w:r>
      <w:r>
        <w:rPr>
          <w:spacing w:val="2"/>
        </w:rPr>
        <w:t>of </w:t>
      </w:r>
      <w:r>
        <w:rPr/>
        <w:t>gross value added at constant basic prices had been revised up from -0.1% </w:t>
      </w:r>
      <w:r>
        <w:rPr>
          <w:spacing w:val="2"/>
        </w:rPr>
        <w:t>to </w:t>
      </w:r>
      <w:r>
        <w:rPr/>
        <w:t>0.0%, with service sector growth revised from 0.2% to 0.4%, largely the result </w:t>
      </w:r>
      <w:r>
        <w:rPr>
          <w:spacing w:val="2"/>
        </w:rPr>
        <w:t>of </w:t>
      </w:r>
      <w:r>
        <w:rPr/>
        <w:t>an upward revision </w:t>
      </w:r>
      <w:r>
        <w:rPr>
          <w:spacing w:val="3"/>
        </w:rPr>
        <w:t>to </w:t>
      </w:r>
      <w:r>
        <w:rPr/>
        <w:t>the transport and communications sector (up from 0.2% </w:t>
      </w:r>
      <w:r>
        <w:rPr>
          <w:spacing w:val="2"/>
        </w:rPr>
        <w:t>to </w:t>
      </w:r>
      <w:r>
        <w:rPr/>
        <w:t>1.3%). Excluding the erratic energy and agriculture sectors, the quarterly growth rate of GDP had been</w:t>
      </w:r>
      <w:r>
        <w:rPr>
          <w:spacing w:val="9"/>
        </w:rPr>
        <w:t> </w:t>
      </w:r>
      <w:r>
        <w:rPr/>
        <w:t>0.2%.</w:t>
      </w:r>
    </w:p>
    <w:p>
      <w:pPr>
        <w:pStyle w:val="BodyText"/>
        <w:spacing w:before="2"/>
        <w:rPr>
          <w:sz w:val="31"/>
        </w:rPr>
      </w:pPr>
    </w:p>
    <w:p>
      <w:pPr>
        <w:pStyle w:val="BodyText"/>
        <w:tabs>
          <w:tab w:pos="1692" w:val="left" w:leader="none"/>
        </w:tabs>
        <w:spacing w:line="360" w:lineRule="auto"/>
        <w:ind w:left="919" w:right="1098"/>
      </w:pPr>
      <w:r>
        <w:rPr/>
        <w:t>A22</w:t>
        <w:tab/>
        <w:t>Household consumption growth in Q1 had been revised up from 1.1% </w:t>
      </w:r>
      <w:r>
        <w:rPr>
          <w:spacing w:val="3"/>
        </w:rPr>
        <w:t>to </w:t>
      </w:r>
      <w:r>
        <w:rPr/>
        <w:t>1.4%, the highest quarterly growth rate since 1997 Q2. Within this, spending </w:t>
      </w:r>
      <w:r>
        <w:rPr>
          <w:spacing w:val="4"/>
        </w:rPr>
        <w:t>on </w:t>
      </w:r>
      <w:r>
        <w:rPr/>
        <w:t>vehicles, household goods, clothing and footwear, and financial services had been particularly </w:t>
      </w:r>
      <w:r>
        <w:rPr>
          <w:spacing w:val="2"/>
        </w:rPr>
        <w:t>strong. </w:t>
      </w:r>
      <w:r>
        <w:rPr/>
        <w:t>The strength </w:t>
      </w:r>
      <w:r>
        <w:rPr>
          <w:spacing w:val="3"/>
        </w:rPr>
        <w:t>of </w:t>
      </w:r>
      <w:r>
        <w:rPr/>
        <w:t>spending </w:t>
      </w:r>
      <w:r>
        <w:rPr>
          <w:spacing w:val="3"/>
        </w:rPr>
        <w:t>on </w:t>
      </w:r>
      <w:r>
        <w:rPr/>
        <w:t>vehicles had probably been affected by the timing change </w:t>
      </w:r>
      <w:r>
        <w:rPr>
          <w:spacing w:val="3"/>
        </w:rPr>
        <w:t>to </w:t>
      </w:r>
      <w:r>
        <w:rPr/>
        <w:t>new vehicle registrations. But this had not accounted for all the strength in spending in</w:t>
      </w:r>
      <w:r>
        <w:rPr>
          <w:spacing w:val="17"/>
        </w:rPr>
        <w:t> </w:t>
      </w:r>
      <w:r>
        <w:rPr/>
        <w:t>Q1.</w:t>
      </w:r>
    </w:p>
    <w:p>
      <w:pPr>
        <w:pStyle w:val="BodyText"/>
        <w:spacing w:before="6"/>
        <w:rPr>
          <w:sz w:val="31"/>
        </w:rPr>
      </w:pPr>
    </w:p>
    <w:p>
      <w:pPr>
        <w:pStyle w:val="BodyText"/>
        <w:tabs>
          <w:tab w:pos="1692" w:val="left" w:leader="none"/>
        </w:tabs>
        <w:spacing w:line="360" w:lineRule="auto" w:before="1"/>
        <w:ind w:left="919" w:right="1028"/>
      </w:pPr>
      <w:r>
        <w:rPr/>
        <w:t>A23</w:t>
        <w:tab/>
        <w:t>Government</w:t>
      </w:r>
      <w:r>
        <w:rPr>
          <w:spacing w:val="-6"/>
        </w:rPr>
        <w:t> </w:t>
      </w:r>
      <w:r>
        <w:rPr/>
        <w:t>consumption</w:t>
      </w:r>
      <w:r>
        <w:rPr>
          <w:spacing w:val="-9"/>
        </w:rPr>
        <w:t> </w:t>
      </w:r>
      <w:r>
        <w:rPr/>
        <w:t>growth</w:t>
      </w:r>
      <w:r>
        <w:rPr>
          <w:spacing w:val="-9"/>
        </w:rPr>
        <w:t> </w:t>
      </w:r>
      <w:r>
        <w:rPr/>
        <w:t>had</w:t>
      </w:r>
      <w:r>
        <w:rPr>
          <w:spacing w:val="-9"/>
        </w:rPr>
        <w:t> </w:t>
      </w:r>
      <w:r>
        <w:rPr/>
        <w:t>been</w:t>
      </w:r>
      <w:r>
        <w:rPr>
          <w:spacing w:val="-9"/>
        </w:rPr>
        <w:t> </w:t>
      </w:r>
      <w:r>
        <w:rPr/>
        <w:t>unrevised</w:t>
      </w:r>
      <w:r>
        <w:rPr>
          <w:spacing w:val="-9"/>
        </w:rPr>
        <w:t> </w:t>
      </w:r>
      <w:r>
        <w:rPr/>
        <w:t>at</w:t>
      </w:r>
      <w:r>
        <w:rPr>
          <w:spacing w:val="-5"/>
        </w:rPr>
        <w:t> </w:t>
      </w:r>
      <w:r>
        <w:rPr/>
        <w:t>1.4%</w:t>
      </w:r>
      <w:r>
        <w:rPr>
          <w:spacing w:val="-9"/>
        </w:rPr>
        <w:t> </w:t>
      </w:r>
      <w:r>
        <w:rPr>
          <w:spacing w:val="2"/>
        </w:rPr>
        <w:t>on</w:t>
      </w:r>
      <w:r>
        <w:rPr>
          <w:spacing w:val="-5"/>
        </w:rPr>
        <w:t> </w:t>
      </w:r>
      <w:r>
        <w:rPr/>
        <w:t>the</w:t>
      </w:r>
      <w:r>
        <w:rPr>
          <w:spacing w:val="-9"/>
        </w:rPr>
        <w:t> </w:t>
      </w:r>
      <w:r>
        <w:rPr/>
        <w:t>previous quarter. Investment growth in Q1 had been revised up from an unexpectedly</w:t>
      </w:r>
      <w:r>
        <w:rPr>
          <w:spacing w:val="-26"/>
        </w:rPr>
        <w:t> </w:t>
      </w:r>
      <w:r>
        <w:rPr/>
        <w:t>low</w:t>
      </w:r>
    </w:p>
    <w:p>
      <w:pPr>
        <w:pStyle w:val="BodyText"/>
        <w:spacing w:line="360" w:lineRule="auto"/>
        <w:ind w:left="919" w:right="1452"/>
      </w:pPr>
      <w:r>
        <w:rPr/>
        <w:t>-1.7% to 0.0%. Higher business investment, revised up from -2.0% to 1.7%, had offset a sharp fall in general government investment (-19.2%). The increase in investment had been concentrated in the service sector.</w:t>
      </w:r>
    </w:p>
    <w:p>
      <w:pPr>
        <w:pStyle w:val="BodyText"/>
        <w:spacing w:before="2"/>
        <w:rPr>
          <w:sz w:val="31"/>
        </w:rPr>
      </w:pPr>
    </w:p>
    <w:p>
      <w:pPr>
        <w:pStyle w:val="BodyText"/>
        <w:tabs>
          <w:tab w:pos="1692" w:val="left" w:leader="none"/>
        </w:tabs>
        <w:spacing w:line="360" w:lineRule="auto"/>
        <w:ind w:left="919" w:right="950"/>
      </w:pPr>
      <w:r>
        <w:rPr/>
        <w:t>A24</w:t>
        <w:tab/>
        <w:t>On the income side </w:t>
      </w:r>
      <w:r>
        <w:rPr>
          <w:spacing w:val="2"/>
        </w:rPr>
        <w:t>of </w:t>
      </w:r>
      <w:r>
        <w:rPr/>
        <w:t>the accounts, the gross </w:t>
      </w:r>
      <w:r>
        <w:rPr>
          <w:spacing w:val="4"/>
        </w:rPr>
        <w:t>operating </w:t>
      </w:r>
      <w:r>
        <w:rPr/>
        <w:t>surplus of corporations had been revised up from -3.2% </w:t>
      </w:r>
      <w:r>
        <w:rPr>
          <w:spacing w:val="2"/>
        </w:rPr>
        <w:t>to </w:t>
      </w:r>
      <w:r>
        <w:rPr/>
        <w:t>-3.0%. The sharp fall in Q1 had been the largest since 1974 Q1, and was the </w:t>
      </w:r>
      <w:r>
        <w:rPr>
          <w:spacing w:val="2"/>
        </w:rPr>
        <w:t>result </w:t>
      </w:r>
      <w:r>
        <w:rPr>
          <w:spacing w:val="3"/>
        </w:rPr>
        <w:t>of </w:t>
      </w:r>
      <w:r>
        <w:rPr/>
        <w:t>a 4.2% fall in private non-financial corporations, </w:t>
      </w:r>
      <w:r>
        <w:rPr>
          <w:spacing w:val="4"/>
        </w:rPr>
        <w:t>only </w:t>
      </w:r>
      <w:r>
        <w:rPr/>
        <w:t>partially </w:t>
      </w:r>
      <w:r>
        <w:rPr>
          <w:spacing w:val="5"/>
        </w:rPr>
        <w:t>offset </w:t>
      </w:r>
      <w:r>
        <w:rPr/>
        <w:t>by a 4.8% </w:t>
      </w:r>
      <w:r>
        <w:rPr>
          <w:spacing w:val="2"/>
        </w:rPr>
        <w:t>rise </w:t>
      </w:r>
      <w:r>
        <w:rPr/>
        <w:t>in financial corporations. The fall in gross </w:t>
      </w:r>
      <w:r>
        <w:rPr>
          <w:spacing w:val="4"/>
        </w:rPr>
        <w:t>operating </w:t>
      </w:r>
      <w:r>
        <w:rPr/>
        <w:t>surplus had looked sharp, relative </w:t>
      </w:r>
      <w:r>
        <w:rPr>
          <w:spacing w:val="3"/>
        </w:rPr>
        <w:t>to </w:t>
      </w:r>
      <w:r>
        <w:rPr/>
        <w:t>survey evidence and profits warnings,</w:t>
      </w:r>
      <w:r>
        <w:rPr>
          <w:spacing w:val="-7"/>
        </w:rPr>
        <w:t> </w:t>
      </w:r>
      <w:r>
        <w:rPr/>
        <w:t>but</w:t>
      </w:r>
      <w:r>
        <w:rPr>
          <w:spacing w:val="-1"/>
        </w:rPr>
        <w:t> </w:t>
      </w:r>
      <w:r>
        <w:rPr/>
        <w:t>the</w:t>
      </w:r>
      <w:r>
        <w:rPr>
          <w:spacing w:val="-6"/>
        </w:rPr>
        <w:t> </w:t>
      </w:r>
      <w:r>
        <w:rPr/>
        <w:t>inclusion</w:t>
      </w:r>
      <w:r>
        <w:rPr>
          <w:spacing w:val="-7"/>
        </w:rPr>
        <w:t> </w:t>
      </w:r>
      <w:r>
        <w:rPr>
          <w:spacing w:val="3"/>
        </w:rPr>
        <w:t>of</w:t>
      </w:r>
      <w:r>
        <w:rPr>
          <w:spacing w:val="-2"/>
        </w:rPr>
        <w:t> </w:t>
      </w:r>
      <w:r>
        <w:rPr/>
        <w:t>the</w:t>
      </w:r>
      <w:r>
        <w:rPr>
          <w:spacing w:val="-6"/>
        </w:rPr>
        <w:t> </w:t>
      </w:r>
      <w:r>
        <w:rPr/>
        <w:t>alignment</w:t>
      </w:r>
      <w:r>
        <w:rPr>
          <w:spacing w:val="-1"/>
        </w:rPr>
        <w:t> </w:t>
      </w:r>
      <w:r>
        <w:rPr/>
        <w:t>adjustment</w:t>
      </w:r>
      <w:r>
        <w:rPr>
          <w:spacing w:val="-1"/>
        </w:rPr>
        <w:t> </w:t>
      </w:r>
      <w:r>
        <w:rPr/>
        <w:t>had</w:t>
      </w:r>
      <w:r>
        <w:rPr>
          <w:spacing w:val="-7"/>
        </w:rPr>
        <w:t> </w:t>
      </w:r>
      <w:r>
        <w:rPr/>
        <w:t>had</w:t>
      </w:r>
      <w:r>
        <w:rPr>
          <w:spacing w:val="-6"/>
        </w:rPr>
        <w:t> </w:t>
      </w:r>
      <w:r>
        <w:rPr/>
        <w:t>a</w:t>
      </w:r>
      <w:r>
        <w:rPr>
          <w:spacing w:val="-6"/>
        </w:rPr>
        <w:t> </w:t>
      </w:r>
      <w:r>
        <w:rPr/>
        <w:t>downward</w:t>
      </w:r>
      <w:r>
        <w:rPr>
          <w:spacing w:val="-7"/>
        </w:rPr>
        <w:t> </w:t>
      </w:r>
      <w:r>
        <w:rPr/>
        <w:t>effect</w:t>
      </w:r>
      <w:r>
        <w:rPr>
          <w:spacing w:val="-1"/>
        </w:rPr>
        <w:t> </w:t>
      </w:r>
      <w:r>
        <w:rPr>
          <w:spacing w:val="3"/>
        </w:rPr>
        <w:t>on </w:t>
      </w:r>
      <w:r>
        <w:rPr/>
        <w:t>the growth </w:t>
      </w:r>
      <w:r>
        <w:rPr>
          <w:spacing w:val="2"/>
        </w:rPr>
        <w:t>of </w:t>
      </w:r>
      <w:r>
        <w:rPr/>
        <w:t>the gross </w:t>
      </w:r>
      <w:r>
        <w:rPr>
          <w:spacing w:val="4"/>
        </w:rPr>
        <w:t>operating </w:t>
      </w:r>
      <w:r>
        <w:rPr/>
        <w:t>surplus. </w:t>
      </w:r>
      <w:r>
        <w:rPr>
          <w:spacing w:val="2"/>
        </w:rPr>
        <w:t>Excluding </w:t>
      </w:r>
      <w:r>
        <w:rPr/>
        <w:t>the alignment adjustment, the gross </w:t>
      </w:r>
      <w:r>
        <w:rPr>
          <w:spacing w:val="4"/>
        </w:rPr>
        <w:t>operating </w:t>
      </w:r>
      <w:r>
        <w:rPr/>
        <w:t>surplus </w:t>
      </w:r>
      <w:r>
        <w:rPr>
          <w:spacing w:val="2"/>
        </w:rPr>
        <w:t>of </w:t>
      </w:r>
      <w:r>
        <w:rPr/>
        <w:t>private non-financial corporations was flat, although the annual rate was little different (at around</w:t>
      </w:r>
      <w:r>
        <w:rPr>
          <w:spacing w:val="20"/>
        </w:rPr>
        <w:t> </w:t>
      </w:r>
      <w:r>
        <w:rPr/>
        <w:t>5%).</w:t>
      </w:r>
    </w:p>
    <w:p>
      <w:pPr>
        <w:pStyle w:val="BodyText"/>
        <w:spacing w:before="2"/>
        <w:rPr>
          <w:sz w:val="31"/>
        </w:rPr>
      </w:pPr>
    </w:p>
    <w:p>
      <w:pPr>
        <w:pStyle w:val="BodyText"/>
        <w:tabs>
          <w:tab w:pos="1692" w:val="left" w:leader="none"/>
        </w:tabs>
        <w:spacing w:before="1"/>
        <w:ind w:left="919"/>
      </w:pPr>
      <w:r>
        <w:rPr/>
        <w:t>A25</w:t>
        <w:tab/>
        <w:t>The contribution from stockbuilding </w:t>
      </w:r>
      <w:r>
        <w:rPr>
          <w:spacing w:val="2"/>
        </w:rPr>
        <w:t>to </w:t>
      </w:r>
      <w:r>
        <w:rPr/>
        <w:t>GDP growth had been revised down</w:t>
      </w:r>
    </w:p>
    <w:p>
      <w:pPr>
        <w:spacing w:after="0"/>
        <w:sectPr>
          <w:pgSz w:w="11900" w:h="16840"/>
          <w:pgMar w:header="719" w:footer="0" w:top="1340" w:bottom="280" w:left="880" w:right="860"/>
        </w:sectPr>
      </w:pPr>
    </w:p>
    <w:p>
      <w:pPr>
        <w:pStyle w:val="BodyText"/>
        <w:spacing w:line="360" w:lineRule="auto" w:before="98"/>
        <w:ind w:left="920"/>
      </w:pPr>
      <w:r>
        <w:rPr/>
        <w:t>from -0.2 percentage points to -0.4 percentage points. But excluding erratic items, the contribution to GDP growth from stockbuilding was estimated to have been around</w:t>
      </w:r>
    </w:p>
    <w:p>
      <w:pPr>
        <w:pStyle w:val="BodyText"/>
        <w:spacing w:before="3"/>
        <w:ind w:left="920"/>
      </w:pPr>
      <w:r>
        <w:rPr/>
        <w:t>-0.2 percentage points.</w:t>
      </w:r>
    </w:p>
    <w:p>
      <w:pPr>
        <w:pStyle w:val="BodyText"/>
        <w:rPr>
          <w:sz w:val="26"/>
        </w:rPr>
      </w:pPr>
    </w:p>
    <w:p>
      <w:pPr>
        <w:pStyle w:val="BodyText"/>
        <w:tabs>
          <w:tab w:pos="1692" w:val="left" w:leader="none"/>
        </w:tabs>
        <w:spacing w:line="360" w:lineRule="auto" w:before="197"/>
        <w:ind w:left="920" w:right="1104"/>
      </w:pPr>
      <w:r>
        <w:rPr/>
        <w:t>A26</w:t>
        <w:tab/>
        <w:t>The </w:t>
      </w:r>
      <w:r>
        <w:rPr>
          <w:spacing w:val="-5"/>
        </w:rPr>
        <w:t>Bank’s </w:t>
      </w:r>
      <w:r>
        <w:rPr/>
        <w:t>regional Agents had conducted a survey </w:t>
      </w:r>
      <w:r>
        <w:rPr>
          <w:spacing w:val="2"/>
        </w:rPr>
        <w:t>of </w:t>
      </w:r>
      <w:r>
        <w:rPr/>
        <w:t>their contacts about trends in stock-to-output ratios, both in the recent past and looking to the future. The contacts had been from the manufacturing, retailing and wholesale sectors. </w:t>
      </w:r>
      <w:r>
        <w:rPr>
          <w:spacing w:val="2"/>
        </w:rPr>
        <w:t>The </w:t>
      </w:r>
      <w:r>
        <w:rPr/>
        <w:t>Agents had asked how firms’ stock-to-output ratios had changed </w:t>
      </w:r>
      <w:r>
        <w:rPr>
          <w:spacing w:val="3"/>
        </w:rPr>
        <w:t>over </w:t>
      </w:r>
      <w:r>
        <w:rPr/>
        <w:t>the last five years. The majority </w:t>
      </w:r>
      <w:r>
        <w:rPr>
          <w:spacing w:val="2"/>
        </w:rPr>
        <w:t>of </w:t>
      </w:r>
      <w:r>
        <w:rPr/>
        <w:t>respondents (56%) had reported falling ratios. When the responses had been weighted according </w:t>
      </w:r>
      <w:r>
        <w:rPr>
          <w:spacing w:val="3"/>
        </w:rPr>
        <w:t>to </w:t>
      </w:r>
      <w:r>
        <w:rPr/>
        <w:t>firms’ turnover, the balance </w:t>
      </w:r>
      <w:r>
        <w:rPr>
          <w:spacing w:val="2"/>
        </w:rPr>
        <w:t>of </w:t>
      </w:r>
      <w:r>
        <w:rPr/>
        <w:t>those </w:t>
      </w:r>
      <w:r>
        <w:rPr>
          <w:spacing w:val="2"/>
        </w:rPr>
        <w:t>reporting rising </w:t>
      </w:r>
      <w:r>
        <w:rPr/>
        <w:t>and falling </w:t>
      </w:r>
      <w:r>
        <w:rPr>
          <w:spacing w:val="2"/>
        </w:rPr>
        <w:t>ratios </w:t>
      </w:r>
      <w:r>
        <w:rPr/>
        <w:t>had been more even. A majority </w:t>
      </w:r>
      <w:r>
        <w:rPr>
          <w:spacing w:val="3"/>
        </w:rPr>
        <w:t>of </w:t>
      </w:r>
      <w:r>
        <w:rPr>
          <w:spacing w:val="2"/>
        </w:rPr>
        <w:t>retailers </w:t>
      </w:r>
      <w:r>
        <w:rPr/>
        <w:t>had reported a rise in stock-to-output ratios </w:t>
      </w:r>
      <w:r>
        <w:rPr>
          <w:spacing w:val="2"/>
        </w:rPr>
        <w:t>on </w:t>
      </w:r>
      <w:r>
        <w:rPr/>
        <w:t>this basis, while manufacturers had continued </w:t>
      </w:r>
      <w:r>
        <w:rPr>
          <w:spacing w:val="2"/>
        </w:rPr>
        <w:t>on </w:t>
      </w:r>
      <w:r>
        <w:rPr/>
        <w:t>balance </w:t>
      </w:r>
      <w:r>
        <w:rPr>
          <w:spacing w:val="3"/>
        </w:rPr>
        <w:t>to </w:t>
      </w:r>
      <w:r>
        <w:rPr/>
        <w:t>show a</w:t>
      </w:r>
      <w:r>
        <w:rPr>
          <w:spacing w:val="17"/>
        </w:rPr>
        <w:t> </w:t>
      </w:r>
      <w:r>
        <w:rPr/>
        <w:t>fall.</w:t>
      </w:r>
    </w:p>
    <w:p>
      <w:pPr>
        <w:pStyle w:val="BodyText"/>
        <w:spacing w:before="3"/>
        <w:rPr>
          <w:sz w:val="31"/>
        </w:rPr>
      </w:pPr>
    </w:p>
    <w:p>
      <w:pPr>
        <w:pStyle w:val="BodyText"/>
        <w:tabs>
          <w:tab w:pos="1692" w:val="left" w:leader="none"/>
        </w:tabs>
        <w:spacing w:line="360" w:lineRule="auto"/>
        <w:ind w:left="920" w:right="954"/>
      </w:pPr>
      <w:r>
        <w:rPr/>
        <w:t>A27</w:t>
        <w:tab/>
        <w:t>The Agents had also asked about the future trend of stock-output ratios over the next few years - excluding cyclical influences. A clear majority </w:t>
      </w:r>
      <w:r>
        <w:rPr>
          <w:spacing w:val="3"/>
        </w:rPr>
        <w:t>of </w:t>
      </w:r>
      <w:r>
        <w:rPr/>
        <w:t>respondents had expected their stock-output ratios </w:t>
      </w:r>
      <w:r>
        <w:rPr>
          <w:spacing w:val="2"/>
        </w:rPr>
        <w:t>to </w:t>
      </w:r>
      <w:r>
        <w:rPr/>
        <w:t>fall.  This result had been seen across all three sectors. In the retailing </w:t>
      </w:r>
      <w:r>
        <w:rPr>
          <w:spacing w:val="2"/>
        </w:rPr>
        <w:t>sector, </w:t>
      </w:r>
      <w:r>
        <w:rPr/>
        <w:t>increased competition, pressure </w:t>
      </w:r>
      <w:r>
        <w:rPr>
          <w:spacing w:val="2"/>
        </w:rPr>
        <w:t>on </w:t>
      </w:r>
      <w:r>
        <w:rPr/>
        <w:t>profit margins and improvements in information technology had been seen as the drivers </w:t>
      </w:r>
      <w:r>
        <w:rPr>
          <w:spacing w:val="3"/>
        </w:rPr>
        <w:t>of </w:t>
      </w:r>
      <w:r>
        <w:rPr/>
        <w:t>the expected reduction in stock levels as a proportion </w:t>
      </w:r>
      <w:r>
        <w:rPr>
          <w:spacing w:val="2"/>
        </w:rPr>
        <w:t>of </w:t>
      </w:r>
      <w:r>
        <w:rPr/>
        <w:t>sales. A majority </w:t>
      </w:r>
      <w:r>
        <w:rPr>
          <w:spacing w:val="2"/>
        </w:rPr>
        <w:t>of </w:t>
      </w:r>
      <w:r>
        <w:rPr/>
        <w:t>respondents had expected future falls in stock-output ratios </w:t>
      </w:r>
      <w:r>
        <w:rPr>
          <w:spacing w:val="2"/>
        </w:rPr>
        <w:t>to </w:t>
      </w:r>
      <w:r>
        <w:rPr/>
        <w:t>be similar </w:t>
      </w:r>
      <w:r>
        <w:rPr>
          <w:spacing w:val="2"/>
        </w:rPr>
        <w:t>to </w:t>
      </w:r>
      <w:r>
        <w:rPr/>
        <w:t>those in the past, with the exception </w:t>
      </w:r>
      <w:r>
        <w:rPr>
          <w:spacing w:val="2"/>
        </w:rPr>
        <w:t>of</w:t>
      </w:r>
      <w:r>
        <w:rPr>
          <w:spacing w:val="12"/>
        </w:rPr>
        <w:t> </w:t>
      </w:r>
      <w:r>
        <w:rPr/>
        <w:t>retailers.</w:t>
      </w:r>
    </w:p>
    <w:p>
      <w:pPr>
        <w:pStyle w:val="BodyText"/>
        <w:spacing w:before="4"/>
        <w:rPr>
          <w:sz w:val="31"/>
        </w:rPr>
      </w:pPr>
    </w:p>
    <w:p>
      <w:pPr>
        <w:pStyle w:val="BodyText"/>
        <w:tabs>
          <w:tab w:pos="1692" w:val="left" w:leader="none"/>
        </w:tabs>
        <w:ind w:left="920"/>
      </w:pPr>
      <w:r>
        <w:rPr/>
        <w:t>A28</w:t>
        <w:tab/>
        <w:t>The contribution of net trade </w:t>
      </w:r>
      <w:r>
        <w:rPr>
          <w:spacing w:val="2"/>
        </w:rPr>
        <w:t>to </w:t>
      </w:r>
      <w:r>
        <w:rPr/>
        <w:t>GDP growth had been revised down</w:t>
      </w:r>
      <w:r>
        <w:rPr>
          <w:spacing w:val="5"/>
        </w:rPr>
        <w:t> </w:t>
      </w:r>
      <w:r>
        <w:rPr/>
        <w:t>to</w:t>
      </w:r>
    </w:p>
    <w:p>
      <w:pPr>
        <w:pStyle w:val="BodyText"/>
        <w:spacing w:line="360" w:lineRule="auto" w:before="137"/>
        <w:ind w:left="920" w:right="729"/>
      </w:pPr>
      <w:r>
        <w:rPr/>
        <w:t>-0.7 percentage points from -0.5 percentage points. This had reflected an upward revision to import growth, from 0.3% to 1.1%, which had more than offset the upward revision to export growth (from -1.4% to -1.0%). The Q1 net trade deficit, at 4.5% of GDP, had been the second highest on record.</w:t>
      </w:r>
    </w:p>
    <w:p>
      <w:pPr>
        <w:pStyle w:val="BodyText"/>
        <w:spacing w:before="3"/>
        <w:rPr>
          <w:sz w:val="31"/>
        </w:rPr>
      </w:pPr>
    </w:p>
    <w:p>
      <w:pPr>
        <w:pStyle w:val="BodyText"/>
        <w:tabs>
          <w:tab w:pos="1692" w:val="left" w:leader="none"/>
        </w:tabs>
        <w:ind w:left="920"/>
      </w:pPr>
      <w:r>
        <w:rPr/>
        <w:t>A29</w:t>
        <w:tab/>
        <w:t>Retail sales volumes had </w:t>
      </w:r>
      <w:r>
        <w:rPr>
          <w:spacing w:val="2"/>
        </w:rPr>
        <w:t>risen </w:t>
      </w:r>
      <w:r>
        <w:rPr/>
        <w:t>by 1.0% in May, following a </w:t>
      </w:r>
      <w:r>
        <w:rPr>
          <w:spacing w:val="2"/>
        </w:rPr>
        <w:t>revised </w:t>
      </w:r>
      <w:r>
        <w:rPr/>
        <w:t>fall</w:t>
      </w:r>
      <w:r>
        <w:rPr>
          <w:spacing w:val="9"/>
        </w:rPr>
        <w:t> </w:t>
      </w:r>
      <w:r>
        <w:rPr>
          <w:spacing w:val="4"/>
        </w:rPr>
        <w:t>of</w:t>
      </w:r>
    </w:p>
    <w:p>
      <w:pPr>
        <w:pStyle w:val="BodyText"/>
        <w:spacing w:line="360" w:lineRule="auto" w:before="142"/>
        <w:ind w:left="920" w:right="1022"/>
      </w:pPr>
      <w:r>
        <w:rPr/>
        <w:t>-0.3% in April. The three month growth rate (on the previous three months) had risen from 0.6% to 1.1%. The CBI Distributive Trades survey had suggested continued strength in June with the balance on reported sales at +22, up from +11 in May. The GfK measure of consumer confidence had suggested robust spending growth in Q2;</w:t>
      </w:r>
    </w:p>
    <w:p>
      <w:pPr>
        <w:spacing w:after="0" w:line="360" w:lineRule="auto"/>
        <w:sectPr>
          <w:pgSz w:w="11900" w:h="16840"/>
          <w:pgMar w:header="719" w:footer="0" w:top="1340" w:bottom="280" w:left="880" w:right="860"/>
        </w:sectPr>
      </w:pPr>
    </w:p>
    <w:p>
      <w:pPr>
        <w:pStyle w:val="BodyText"/>
        <w:spacing w:before="98"/>
        <w:ind w:left="920"/>
      </w:pPr>
      <w:r>
        <w:rPr/>
        <w:t>the index had been broadly unchanged in June at</w:t>
      </w:r>
      <w:r>
        <w:rPr>
          <w:spacing w:val="59"/>
        </w:rPr>
        <w:t> </w:t>
      </w:r>
      <w:r>
        <w:rPr/>
        <w:t>5.8.</w:t>
      </w:r>
    </w:p>
    <w:p>
      <w:pPr>
        <w:pStyle w:val="BodyText"/>
        <w:rPr>
          <w:sz w:val="26"/>
        </w:rPr>
      </w:pPr>
    </w:p>
    <w:p>
      <w:pPr>
        <w:pStyle w:val="BodyText"/>
        <w:tabs>
          <w:tab w:pos="1692" w:val="left" w:leader="none"/>
        </w:tabs>
        <w:spacing w:line="360" w:lineRule="auto" w:before="198"/>
        <w:ind w:left="919" w:right="965"/>
      </w:pPr>
      <w:r>
        <w:rPr/>
        <w:t>A30</w:t>
        <w:tab/>
        <w:t>Most indicators had suggested continuing strength in the housing market. The Nationwide house price index had </w:t>
      </w:r>
      <w:r>
        <w:rPr>
          <w:spacing w:val="2"/>
        </w:rPr>
        <w:t>risen </w:t>
      </w:r>
      <w:r>
        <w:rPr/>
        <w:t>by 0.8% in June; the Halifax index had risen by 1.8%. The annual rates </w:t>
      </w:r>
      <w:r>
        <w:rPr>
          <w:spacing w:val="2"/>
        </w:rPr>
        <w:t>of </w:t>
      </w:r>
      <w:r>
        <w:rPr/>
        <w:t>the two indices had moved closer, at 7.5% and 6.6% respectively. Housing starts had continued </w:t>
      </w:r>
      <w:r>
        <w:rPr>
          <w:spacing w:val="3"/>
        </w:rPr>
        <w:t>to </w:t>
      </w:r>
      <w:r>
        <w:rPr/>
        <w:t>rise from their trough in the autumn </w:t>
      </w:r>
      <w:r>
        <w:rPr>
          <w:spacing w:val="3"/>
        </w:rPr>
        <w:t>of </w:t>
      </w:r>
      <w:r>
        <w:rPr/>
        <w:t>1998, and the House Builders’ Federation survey balance </w:t>
      </w:r>
      <w:r>
        <w:rPr>
          <w:spacing w:val="2"/>
        </w:rPr>
        <w:t>on </w:t>
      </w:r>
      <w:r>
        <w:rPr/>
        <w:t>net reservations had </w:t>
      </w:r>
      <w:r>
        <w:rPr>
          <w:spacing w:val="2"/>
        </w:rPr>
        <w:t>remained </w:t>
      </w:r>
      <w:r>
        <w:rPr/>
        <w:t>at a </w:t>
      </w:r>
      <w:r>
        <w:rPr>
          <w:spacing w:val="2"/>
        </w:rPr>
        <w:t>strong </w:t>
      </w:r>
      <w:r>
        <w:rPr/>
        <w:t>level despite a slight fall in May. The improvement in starts was expected </w:t>
      </w:r>
      <w:r>
        <w:rPr>
          <w:spacing w:val="3"/>
        </w:rPr>
        <w:t>to </w:t>
      </w:r>
      <w:r>
        <w:rPr/>
        <w:t>feed through </w:t>
      </w:r>
      <w:r>
        <w:rPr>
          <w:spacing w:val="3"/>
        </w:rPr>
        <w:t>to </w:t>
      </w:r>
      <w:r>
        <w:rPr/>
        <w:t>higher completions and investment in dwellings </w:t>
      </w:r>
      <w:r>
        <w:rPr>
          <w:spacing w:val="3"/>
        </w:rPr>
        <w:t>over </w:t>
      </w:r>
      <w:r>
        <w:rPr/>
        <w:t>time. Particulars delivered in the three months </w:t>
      </w:r>
      <w:r>
        <w:rPr>
          <w:spacing w:val="3"/>
        </w:rPr>
        <w:t>to </w:t>
      </w:r>
      <w:r>
        <w:rPr/>
        <w:t>May had risen by 3.5% compared with the previous three months, but were 5.4% up </w:t>
      </w:r>
      <w:r>
        <w:rPr>
          <w:spacing w:val="2"/>
        </w:rPr>
        <w:t>on </w:t>
      </w:r>
      <w:r>
        <w:rPr/>
        <w:t>a year earlier. The Royal Institute </w:t>
      </w:r>
      <w:r>
        <w:rPr>
          <w:spacing w:val="2"/>
        </w:rPr>
        <w:t>of </w:t>
      </w:r>
      <w:r>
        <w:rPr/>
        <w:t>Chartered Surveyors’ survey had shown a rise in the number </w:t>
      </w:r>
      <w:r>
        <w:rPr>
          <w:spacing w:val="3"/>
        </w:rPr>
        <w:t>of </w:t>
      </w:r>
      <w:r>
        <w:rPr/>
        <w:t>sales per agent in May for the second consecutive</w:t>
      </w:r>
      <w:r>
        <w:rPr>
          <w:spacing w:val="25"/>
        </w:rPr>
        <w:t> </w:t>
      </w:r>
      <w:r>
        <w:rPr/>
        <w:t>month.</w:t>
      </w:r>
    </w:p>
    <w:p>
      <w:pPr>
        <w:pStyle w:val="BodyText"/>
        <w:spacing w:before="5"/>
        <w:rPr>
          <w:sz w:val="31"/>
        </w:rPr>
      </w:pPr>
    </w:p>
    <w:p>
      <w:pPr>
        <w:pStyle w:val="BodyText"/>
        <w:tabs>
          <w:tab w:pos="1692" w:val="left" w:leader="none"/>
        </w:tabs>
        <w:spacing w:line="360" w:lineRule="auto"/>
        <w:ind w:left="919" w:right="977"/>
      </w:pPr>
      <w:r>
        <w:rPr/>
        <w:t>A31</w:t>
        <w:tab/>
        <w:t>Construction </w:t>
      </w:r>
      <w:r>
        <w:rPr>
          <w:spacing w:val="4"/>
        </w:rPr>
        <w:t>output </w:t>
      </w:r>
      <w:r>
        <w:rPr/>
        <w:t>had risen by 0.2% in 1999 Q1 and had been broadly flat </w:t>
      </w:r>
      <w:r>
        <w:rPr>
          <w:spacing w:val="3"/>
        </w:rPr>
        <w:t>over </w:t>
      </w:r>
      <w:r>
        <w:rPr/>
        <w:t>the last three quarters. The volume </w:t>
      </w:r>
      <w:r>
        <w:rPr>
          <w:spacing w:val="2"/>
        </w:rPr>
        <w:t>of </w:t>
      </w:r>
      <w:r>
        <w:rPr>
          <w:spacing w:val="4"/>
        </w:rPr>
        <w:t>orders </w:t>
      </w:r>
      <w:r>
        <w:rPr/>
        <w:t>for new work had been slightly weaker</w:t>
      </w:r>
      <w:r>
        <w:rPr>
          <w:spacing w:val="-9"/>
        </w:rPr>
        <w:t> </w:t>
      </w:r>
      <w:r>
        <w:rPr>
          <w:spacing w:val="3"/>
        </w:rPr>
        <w:t>over</w:t>
      </w:r>
      <w:r>
        <w:rPr>
          <w:spacing w:val="-3"/>
        </w:rPr>
        <w:t> </w:t>
      </w:r>
      <w:r>
        <w:rPr/>
        <w:t>the</w:t>
      </w:r>
      <w:r>
        <w:rPr>
          <w:spacing w:val="-8"/>
        </w:rPr>
        <w:t> </w:t>
      </w:r>
      <w:r>
        <w:rPr/>
        <w:t>last</w:t>
      </w:r>
      <w:r>
        <w:rPr>
          <w:spacing w:val="-3"/>
        </w:rPr>
        <w:t> </w:t>
      </w:r>
      <w:r>
        <w:rPr/>
        <w:t>two</w:t>
      </w:r>
      <w:r>
        <w:rPr>
          <w:spacing w:val="-8"/>
        </w:rPr>
        <w:t> </w:t>
      </w:r>
      <w:r>
        <w:rPr/>
        <w:t>quarters,</w:t>
      </w:r>
      <w:r>
        <w:rPr>
          <w:spacing w:val="-9"/>
        </w:rPr>
        <w:t> </w:t>
      </w:r>
      <w:r>
        <w:rPr/>
        <w:t>but</w:t>
      </w:r>
      <w:r>
        <w:rPr>
          <w:spacing w:val="-3"/>
        </w:rPr>
        <w:t> </w:t>
      </w:r>
      <w:r>
        <w:rPr/>
        <w:t>was</w:t>
      </w:r>
      <w:r>
        <w:rPr>
          <w:spacing w:val="-8"/>
        </w:rPr>
        <w:t> </w:t>
      </w:r>
      <w:r>
        <w:rPr/>
        <w:t>expected</w:t>
      </w:r>
      <w:r>
        <w:rPr>
          <w:spacing w:val="-9"/>
        </w:rPr>
        <w:t> </w:t>
      </w:r>
      <w:r>
        <w:rPr/>
        <w:t>to</w:t>
      </w:r>
      <w:r>
        <w:rPr>
          <w:spacing w:val="-3"/>
        </w:rPr>
        <w:t> </w:t>
      </w:r>
      <w:r>
        <w:rPr/>
        <w:t>underpin</w:t>
      </w:r>
      <w:r>
        <w:rPr>
          <w:spacing w:val="-8"/>
        </w:rPr>
        <w:t> </w:t>
      </w:r>
      <w:r>
        <w:rPr/>
        <w:t>construction</w:t>
      </w:r>
      <w:r>
        <w:rPr>
          <w:spacing w:val="-8"/>
        </w:rPr>
        <w:t> </w:t>
      </w:r>
      <w:r>
        <w:rPr>
          <w:spacing w:val="3"/>
        </w:rPr>
        <w:t>output</w:t>
      </w:r>
      <w:r>
        <w:rPr>
          <w:spacing w:val="-4"/>
        </w:rPr>
        <w:t> </w:t>
      </w:r>
      <w:r>
        <w:rPr/>
        <w:t>in the short term. The Chartered Institute </w:t>
      </w:r>
      <w:r>
        <w:rPr>
          <w:spacing w:val="2"/>
        </w:rPr>
        <w:t>of </w:t>
      </w:r>
      <w:r>
        <w:rPr/>
        <w:t>Purchasing and Supply (C</w:t>
      </w:r>
      <w:r>
        <w:rPr>
          <w:sz w:val="20"/>
        </w:rPr>
        <w:t>IPS</w:t>
      </w:r>
      <w:r>
        <w:rPr/>
        <w:t>) construction survey had indicated </w:t>
      </w:r>
      <w:r>
        <w:rPr>
          <w:spacing w:val="2"/>
        </w:rPr>
        <w:t>rising </w:t>
      </w:r>
      <w:r>
        <w:rPr>
          <w:spacing w:val="5"/>
        </w:rPr>
        <w:t>optimism </w:t>
      </w:r>
      <w:r>
        <w:rPr/>
        <w:t>and </w:t>
      </w:r>
      <w:r>
        <w:rPr>
          <w:spacing w:val="5"/>
        </w:rPr>
        <w:t>orders: </w:t>
      </w:r>
      <w:r>
        <w:rPr/>
        <w:t>the construction activity index had risen </w:t>
      </w:r>
      <w:r>
        <w:rPr>
          <w:spacing w:val="3"/>
        </w:rPr>
        <w:t>to </w:t>
      </w:r>
      <w:r>
        <w:rPr/>
        <w:t>64.5 in June from 62.4. Within this, housing activity had risen faster than total construction, consistent with the pick-up in housing market</w:t>
      </w:r>
      <w:r>
        <w:rPr>
          <w:spacing w:val="2"/>
        </w:rPr>
        <w:t> </w:t>
      </w:r>
      <w:r>
        <w:rPr/>
        <w:t>indicators.</w:t>
      </w:r>
    </w:p>
    <w:p>
      <w:pPr>
        <w:pStyle w:val="BodyText"/>
        <w:spacing w:before="5"/>
        <w:rPr>
          <w:sz w:val="31"/>
        </w:rPr>
      </w:pPr>
    </w:p>
    <w:p>
      <w:pPr>
        <w:pStyle w:val="BodyText"/>
        <w:tabs>
          <w:tab w:pos="1692" w:val="left" w:leader="none"/>
        </w:tabs>
        <w:spacing w:line="360" w:lineRule="auto"/>
        <w:ind w:left="919" w:right="1029"/>
      </w:pPr>
      <w:r>
        <w:rPr/>
        <w:t>A32</w:t>
        <w:tab/>
        <w:t>The </w:t>
      </w:r>
      <w:r>
        <w:rPr>
          <w:spacing w:val="4"/>
        </w:rPr>
        <w:t>outlook </w:t>
      </w:r>
      <w:r>
        <w:rPr/>
        <w:t>for manufacturing </w:t>
      </w:r>
      <w:r>
        <w:rPr>
          <w:spacing w:val="4"/>
        </w:rPr>
        <w:t>output </w:t>
      </w:r>
      <w:r>
        <w:rPr/>
        <w:t>had improved in June. The </w:t>
      </w:r>
      <w:r>
        <w:rPr>
          <w:spacing w:val="-6"/>
        </w:rPr>
        <w:t>C</w:t>
      </w:r>
      <w:r>
        <w:rPr>
          <w:spacing w:val="-6"/>
          <w:sz w:val="20"/>
        </w:rPr>
        <w:t>IPS </w:t>
      </w:r>
      <w:r>
        <w:rPr/>
        <w:t>activity index had been above 50 for the third consecutive month. The expected </w:t>
      </w:r>
      <w:r>
        <w:rPr>
          <w:spacing w:val="4"/>
        </w:rPr>
        <w:t>output </w:t>
      </w:r>
      <w:r>
        <w:rPr/>
        <w:t>balance from the CBI survey had been positive in June, for the second month </w:t>
      </w:r>
      <w:r>
        <w:rPr>
          <w:spacing w:val="2"/>
        </w:rPr>
        <w:t>running. </w:t>
      </w:r>
      <w:r>
        <w:rPr/>
        <w:t>The CBI new </w:t>
      </w:r>
      <w:r>
        <w:rPr>
          <w:spacing w:val="5"/>
        </w:rPr>
        <w:t>orders </w:t>
      </w:r>
      <w:r>
        <w:rPr/>
        <w:t>balance had fallen slightly in June, with manufacturers citing the strong pound and weak European demand. Industrial production had risen by 0.1% in May. The C</w:t>
      </w:r>
      <w:r>
        <w:rPr>
          <w:sz w:val="20"/>
        </w:rPr>
        <w:t>IPS </w:t>
      </w:r>
      <w:r>
        <w:rPr/>
        <w:t>services activity index had been broadly unchanged in June at 56.6. The new business index, at 58.5, had been at its highest level since March</w:t>
      </w:r>
      <w:r>
        <w:rPr>
          <w:spacing w:val="1"/>
        </w:rPr>
        <w:t> </w:t>
      </w:r>
      <w:r>
        <w:rPr/>
        <w:t>1998.</w:t>
      </w:r>
    </w:p>
    <w:p>
      <w:pPr>
        <w:pStyle w:val="BodyText"/>
        <w:spacing w:before="8"/>
        <w:rPr>
          <w:sz w:val="31"/>
        </w:rPr>
      </w:pPr>
    </w:p>
    <w:p>
      <w:pPr>
        <w:pStyle w:val="Heading2"/>
        <w:numPr>
          <w:ilvl w:val="0"/>
          <w:numId w:val="3"/>
        </w:numPr>
        <w:tabs>
          <w:tab w:pos="1316" w:val="left" w:leader="none"/>
        </w:tabs>
        <w:spacing w:line="240" w:lineRule="auto" w:before="1" w:after="0"/>
        <w:ind w:left="1315" w:right="0" w:hanging="397"/>
        <w:jc w:val="left"/>
      </w:pPr>
      <w:r>
        <w:rPr/>
        <w:t>The labour</w:t>
      </w:r>
      <w:r>
        <w:rPr>
          <w:spacing w:val="4"/>
        </w:rPr>
        <w:t> </w:t>
      </w:r>
      <w:r>
        <w:rPr/>
        <w:t>market</w:t>
      </w:r>
    </w:p>
    <w:p>
      <w:pPr>
        <w:pStyle w:val="BodyText"/>
        <w:rPr>
          <w:b/>
          <w:sz w:val="26"/>
        </w:rPr>
      </w:pPr>
    </w:p>
    <w:p>
      <w:pPr>
        <w:pStyle w:val="BodyText"/>
        <w:tabs>
          <w:tab w:pos="1692" w:val="left" w:leader="none"/>
        </w:tabs>
        <w:spacing w:before="193"/>
        <w:ind w:left="919"/>
      </w:pPr>
      <w:r>
        <w:rPr/>
        <w:t>A33</w:t>
        <w:tab/>
        <w:t>Employment growth, as measured by the Labour Force Survey (LFS),</w:t>
      </w:r>
      <w:r>
        <w:rPr>
          <w:spacing w:val="7"/>
        </w:rPr>
        <w:t> </w:t>
      </w:r>
      <w:r>
        <w:rPr/>
        <w:t>had</w:t>
      </w:r>
    </w:p>
    <w:p>
      <w:pPr>
        <w:spacing w:after="0"/>
        <w:sectPr>
          <w:pgSz w:w="11900" w:h="16840"/>
          <w:pgMar w:header="719" w:footer="0" w:top="1340" w:bottom="280" w:left="880" w:right="860"/>
        </w:sectPr>
      </w:pPr>
    </w:p>
    <w:p>
      <w:pPr>
        <w:pStyle w:val="BodyText"/>
        <w:spacing w:line="360" w:lineRule="auto" w:before="98"/>
        <w:ind w:left="920" w:right="1000"/>
      </w:pPr>
      <w:r>
        <w:rPr/>
        <w:t>slowed further in the three months </w:t>
      </w:r>
      <w:r>
        <w:rPr>
          <w:spacing w:val="2"/>
        </w:rPr>
        <w:t>to </w:t>
      </w:r>
      <w:r>
        <w:rPr/>
        <w:t>April compared with the previous three months, rising by 46,000 (0.2%). Workforce jobs had fallen by around 4,000 in Q1.  There had been an increasing divergence between the two employment measures </w:t>
      </w:r>
      <w:r>
        <w:rPr>
          <w:spacing w:val="3"/>
        </w:rPr>
        <w:t>over </w:t>
      </w:r>
      <w:r>
        <w:rPr/>
        <w:t>the past year. During this period, LFS employment had risen by around 300,000 whereas Workforce jobs were </w:t>
      </w:r>
      <w:r>
        <w:rPr>
          <w:spacing w:val="4"/>
        </w:rPr>
        <w:t>only </w:t>
      </w:r>
      <w:r>
        <w:rPr/>
        <w:t>85,000 higher. The increase in LFS employment during February-April had been more than accounted for by a rise </w:t>
      </w:r>
      <w:r>
        <w:rPr>
          <w:spacing w:val="3"/>
        </w:rPr>
        <w:t>of </w:t>
      </w:r>
      <w:r>
        <w:rPr/>
        <w:t>57,000 in full-time employment and, consequently, the slowdown in employment growth was less evident in full-time equivalent </w:t>
      </w:r>
      <w:r>
        <w:rPr>
          <w:spacing w:val="2"/>
        </w:rPr>
        <w:t>terms. </w:t>
      </w:r>
      <w:r>
        <w:rPr/>
        <w:t>Higher employment had been </w:t>
      </w:r>
      <w:r>
        <w:rPr>
          <w:spacing w:val="5"/>
        </w:rPr>
        <w:t>offset </w:t>
      </w:r>
      <w:r>
        <w:rPr/>
        <w:t>by average hours per worker falling by 0.3% from the previous three months. Total hours had therefore fallen slightly </w:t>
      </w:r>
      <w:r>
        <w:rPr>
          <w:spacing w:val="4"/>
        </w:rPr>
        <w:t>over </w:t>
      </w:r>
      <w:r>
        <w:rPr/>
        <w:t>the quarter (by 0.2%), but </w:t>
      </w:r>
      <w:r>
        <w:rPr>
          <w:spacing w:val="5"/>
        </w:rPr>
        <w:t>overall, </w:t>
      </w:r>
      <w:r>
        <w:rPr/>
        <w:t>had been broadly flat for a</w:t>
      </w:r>
      <w:r>
        <w:rPr>
          <w:spacing w:val="3"/>
        </w:rPr>
        <w:t> </w:t>
      </w:r>
      <w:r>
        <w:rPr/>
        <w:t>year.</w:t>
      </w:r>
    </w:p>
    <w:p>
      <w:pPr>
        <w:pStyle w:val="BodyText"/>
        <w:spacing w:before="5"/>
        <w:rPr>
          <w:sz w:val="31"/>
        </w:rPr>
      </w:pPr>
    </w:p>
    <w:p>
      <w:pPr>
        <w:pStyle w:val="BodyText"/>
        <w:tabs>
          <w:tab w:pos="1692" w:val="left" w:leader="none"/>
        </w:tabs>
        <w:spacing w:line="360" w:lineRule="auto"/>
        <w:ind w:left="919" w:right="1080"/>
      </w:pPr>
      <w:r>
        <w:rPr/>
        <w:t>A34</w:t>
        <w:tab/>
      </w:r>
      <w:r>
        <w:rPr>
          <w:spacing w:val="2"/>
        </w:rPr>
        <w:t>Turning </w:t>
      </w:r>
      <w:r>
        <w:rPr>
          <w:spacing w:val="3"/>
        </w:rPr>
        <w:t>to </w:t>
      </w:r>
      <w:r>
        <w:rPr/>
        <w:t>survey information, the C</w:t>
      </w:r>
      <w:r>
        <w:rPr>
          <w:sz w:val="20"/>
        </w:rPr>
        <w:t>IPS </w:t>
      </w:r>
      <w:r>
        <w:rPr/>
        <w:t>manufacturing survey for June showed that employment had fallen further during the month, though the rate </w:t>
      </w:r>
      <w:r>
        <w:rPr>
          <w:spacing w:val="3"/>
        </w:rPr>
        <w:t>of </w:t>
      </w:r>
      <w:r>
        <w:rPr/>
        <w:t>decline had slowed. In the construction and service sectors employment had expanded further, and at slightly faster rates than they had in May. The Manpower survey</w:t>
      </w:r>
      <w:r>
        <w:rPr>
          <w:spacing w:val="-6"/>
        </w:rPr>
        <w:t> </w:t>
      </w:r>
      <w:r>
        <w:rPr>
          <w:spacing w:val="2"/>
        </w:rPr>
        <w:t>of</w:t>
      </w:r>
      <w:r>
        <w:rPr>
          <w:spacing w:val="-2"/>
        </w:rPr>
        <w:t> </w:t>
      </w:r>
      <w:r>
        <w:rPr/>
        <w:t>employment prospects</w:t>
      </w:r>
      <w:r>
        <w:rPr>
          <w:spacing w:val="-6"/>
        </w:rPr>
        <w:t> </w:t>
      </w:r>
      <w:r>
        <w:rPr/>
        <w:t>for</w:t>
      </w:r>
      <w:r>
        <w:rPr>
          <w:spacing w:val="-6"/>
        </w:rPr>
        <w:t> </w:t>
      </w:r>
      <w:r>
        <w:rPr/>
        <w:t>Q3</w:t>
      </w:r>
      <w:r>
        <w:rPr>
          <w:spacing w:val="-6"/>
        </w:rPr>
        <w:t> </w:t>
      </w:r>
      <w:r>
        <w:rPr/>
        <w:t>had</w:t>
      </w:r>
      <w:r>
        <w:rPr>
          <w:spacing w:val="-6"/>
        </w:rPr>
        <w:t> </w:t>
      </w:r>
      <w:r>
        <w:rPr/>
        <w:t>shown</w:t>
      </w:r>
      <w:r>
        <w:rPr>
          <w:spacing w:val="-5"/>
        </w:rPr>
        <w:t> </w:t>
      </w:r>
      <w:r>
        <w:rPr/>
        <w:t>little</w:t>
      </w:r>
      <w:r>
        <w:rPr>
          <w:spacing w:val="-6"/>
        </w:rPr>
        <w:t> </w:t>
      </w:r>
      <w:r>
        <w:rPr/>
        <w:t>change,</w:t>
      </w:r>
      <w:r>
        <w:rPr>
          <w:spacing w:val="-6"/>
        </w:rPr>
        <w:t> </w:t>
      </w:r>
      <w:r>
        <w:rPr/>
        <w:t>with</w:t>
      </w:r>
      <w:r>
        <w:rPr>
          <w:spacing w:val="-5"/>
        </w:rPr>
        <w:t> </w:t>
      </w:r>
      <w:r>
        <w:rPr/>
        <w:t>the</w:t>
      </w:r>
      <w:r>
        <w:rPr>
          <w:spacing w:val="-6"/>
        </w:rPr>
        <w:t> </w:t>
      </w:r>
      <w:r>
        <w:rPr/>
        <w:t>service</w:t>
      </w:r>
      <w:r>
        <w:rPr>
          <w:spacing w:val="-5"/>
        </w:rPr>
        <w:t> </w:t>
      </w:r>
      <w:r>
        <w:rPr/>
        <w:t>and public sectors weaker and the manufacturing sector stronger. Information from the </w:t>
      </w:r>
      <w:r>
        <w:rPr>
          <w:spacing w:val="-4"/>
        </w:rPr>
        <w:t>Bank’s </w:t>
      </w:r>
      <w:r>
        <w:rPr/>
        <w:t>regional Agents suggested that further manufacturing redundancies would be </w:t>
      </w:r>
      <w:r>
        <w:rPr>
          <w:spacing w:val="4"/>
        </w:rPr>
        <w:t>offset </w:t>
      </w:r>
      <w:r>
        <w:rPr/>
        <w:t>by job creation in services, especially in the hotel and transport sectors, where </w:t>
      </w:r>
      <w:r>
        <w:rPr>
          <w:spacing w:val="2"/>
        </w:rPr>
        <w:t>the </w:t>
      </w:r>
      <w:r>
        <w:rPr/>
        <w:t>Working </w:t>
      </w:r>
      <w:r>
        <w:rPr>
          <w:spacing w:val="3"/>
        </w:rPr>
        <w:t>Time </w:t>
      </w:r>
      <w:r>
        <w:rPr/>
        <w:t>Directive was having a significant</w:t>
      </w:r>
      <w:r>
        <w:rPr>
          <w:spacing w:val="15"/>
        </w:rPr>
        <w:t> </w:t>
      </w:r>
      <w:r>
        <w:rPr>
          <w:spacing w:val="2"/>
        </w:rPr>
        <w:t>impact.</w:t>
      </w:r>
    </w:p>
    <w:p>
      <w:pPr>
        <w:pStyle w:val="BodyText"/>
        <w:spacing w:before="3"/>
        <w:rPr>
          <w:sz w:val="31"/>
        </w:rPr>
      </w:pPr>
    </w:p>
    <w:p>
      <w:pPr>
        <w:pStyle w:val="BodyText"/>
        <w:tabs>
          <w:tab w:pos="1692" w:val="left" w:leader="none"/>
        </w:tabs>
        <w:ind w:left="919"/>
      </w:pPr>
      <w:r>
        <w:rPr/>
        <w:t>A35</w:t>
        <w:tab/>
        <w:t>Data problems persisted with the stock </w:t>
      </w:r>
      <w:r>
        <w:rPr>
          <w:spacing w:val="3"/>
        </w:rPr>
        <w:t>of </w:t>
      </w:r>
      <w:r>
        <w:rPr/>
        <w:t>unfilled vacancies</w:t>
      </w:r>
      <w:r>
        <w:rPr>
          <w:spacing w:val="12"/>
        </w:rPr>
        <w:t> </w:t>
      </w:r>
      <w:r>
        <w:rPr/>
        <w:t>in</w:t>
      </w:r>
    </w:p>
    <w:p>
      <w:pPr>
        <w:pStyle w:val="BodyText"/>
        <w:spacing w:line="360" w:lineRule="auto" w:before="137"/>
        <w:ind w:left="919" w:right="1031"/>
      </w:pPr>
      <w:r>
        <w:rPr/>
        <w:t>Northern Ireland and the West Midlands. Notifications of vacancies had fallen by 15,700 in May, although the trend had been flat. Overall, there had been no clear news in the vacancies data.</w:t>
      </w:r>
    </w:p>
    <w:p>
      <w:pPr>
        <w:pStyle w:val="BodyText"/>
        <w:spacing w:before="4"/>
        <w:rPr>
          <w:sz w:val="31"/>
        </w:rPr>
      </w:pPr>
    </w:p>
    <w:p>
      <w:pPr>
        <w:pStyle w:val="BodyText"/>
        <w:tabs>
          <w:tab w:pos="1692" w:val="left" w:leader="none"/>
        </w:tabs>
        <w:spacing w:line="360" w:lineRule="auto"/>
        <w:ind w:left="919" w:right="1052"/>
      </w:pPr>
      <w:r>
        <w:rPr/>
        <w:t>A36</w:t>
        <w:tab/>
        <w:t>Both measures </w:t>
      </w:r>
      <w:r>
        <w:rPr>
          <w:spacing w:val="3"/>
        </w:rPr>
        <w:t>of </w:t>
      </w:r>
      <w:r>
        <w:rPr/>
        <w:t>unemployment had fallen. LFS unemployment had </w:t>
      </w:r>
      <w:r>
        <w:rPr>
          <w:spacing w:val="2"/>
        </w:rPr>
        <w:t>fallen </w:t>
      </w:r>
      <w:r>
        <w:rPr/>
        <w:t>by 23,000 </w:t>
      </w:r>
      <w:r>
        <w:rPr>
          <w:spacing w:val="3"/>
        </w:rPr>
        <w:t>to </w:t>
      </w:r>
      <w:r>
        <w:rPr/>
        <w:t>6.2% in February-April, while the claimant count had fallen by 6,500 in May with the rate unchanged at 4.5%. On both measures, unemployment rates had changed </w:t>
      </w:r>
      <w:r>
        <w:rPr>
          <w:spacing w:val="2"/>
        </w:rPr>
        <w:t>little </w:t>
      </w:r>
      <w:r>
        <w:rPr/>
        <w:t>since mid-1998. </w:t>
      </w:r>
      <w:r>
        <w:rPr>
          <w:spacing w:val="2"/>
        </w:rPr>
        <w:t>The </w:t>
      </w:r>
      <w:r>
        <w:rPr/>
        <w:t>latest fall in LFS unemployment had been mainly among the short-term unemployed. Long-term unemployment had been</w:t>
      </w:r>
      <w:r>
        <w:rPr>
          <w:spacing w:val="-2"/>
        </w:rPr>
        <w:t> </w:t>
      </w:r>
      <w:r>
        <w:rPr/>
        <w:t>flat.</w:t>
      </w:r>
    </w:p>
    <w:p>
      <w:pPr>
        <w:pStyle w:val="BodyText"/>
        <w:spacing w:line="362" w:lineRule="auto"/>
        <w:ind w:left="919" w:right="943"/>
      </w:pPr>
      <w:r>
        <w:rPr/>
        <w:t>Changes in the regional pattern of unemployment had been consistent with the strong growth in service sector activity and the decline in manufacturing activity.</w:t>
      </w:r>
    </w:p>
    <w:p>
      <w:pPr>
        <w:spacing w:after="0" w:line="362" w:lineRule="auto"/>
        <w:sectPr>
          <w:pgSz w:w="11900" w:h="16840"/>
          <w:pgMar w:header="719" w:footer="0" w:top="1340" w:bottom="280" w:left="880" w:right="860"/>
        </w:sectPr>
      </w:pPr>
    </w:p>
    <w:p>
      <w:pPr>
        <w:pStyle w:val="BodyText"/>
        <w:tabs>
          <w:tab w:pos="1692" w:val="left" w:leader="none"/>
        </w:tabs>
        <w:spacing w:line="360" w:lineRule="auto" w:before="98"/>
        <w:ind w:left="919" w:right="1052"/>
      </w:pPr>
      <w:r>
        <w:rPr/>
        <w:t>A37</w:t>
        <w:tab/>
        <w:t>Inactivity</w:t>
      </w:r>
      <w:r>
        <w:rPr>
          <w:spacing w:val="-5"/>
        </w:rPr>
        <w:t> </w:t>
      </w:r>
      <w:r>
        <w:rPr/>
        <w:t>had</w:t>
      </w:r>
      <w:r>
        <w:rPr>
          <w:spacing w:val="-5"/>
        </w:rPr>
        <w:t> </w:t>
      </w:r>
      <w:r>
        <w:rPr/>
        <w:t>risen</w:t>
      </w:r>
      <w:r>
        <w:rPr>
          <w:spacing w:val="-5"/>
        </w:rPr>
        <w:t> </w:t>
      </w:r>
      <w:r>
        <w:rPr/>
        <w:t>by</w:t>
      </w:r>
      <w:r>
        <w:rPr>
          <w:spacing w:val="-5"/>
        </w:rPr>
        <w:t> </w:t>
      </w:r>
      <w:r>
        <w:rPr/>
        <w:t>25,000</w:t>
      </w:r>
      <w:r>
        <w:rPr>
          <w:spacing w:val="-6"/>
        </w:rPr>
        <w:t> </w:t>
      </w:r>
      <w:r>
        <w:rPr/>
        <w:t>in</w:t>
      </w:r>
      <w:r>
        <w:rPr>
          <w:spacing w:val="-6"/>
        </w:rPr>
        <w:t> </w:t>
      </w:r>
      <w:r>
        <w:rPr/>
        <w:t>the</w:t>
      </w:r>
      <w:r>
        <w:rPr>
          <w:spacing w:val="-6"/>
        </w:rPr>
        <w:t> </w:t>
      </w:r>
      <w:r>
        <w:rPr/>
        <w:t>three</w:t>
      </w:r>
      <w:r>
        <w:rPr>
          <w:spacing w:val="-6"/>
        </w:rPr>
        <w:t> </w:t>
      </w:r>
      <w:r>
        <w:rPr/>
        <w:t>months</w:t>
      </w:r>
      <w:r>
        <w:rPr>
          <w:spacing w:val="-5"/>
        </w:rPr>
        <w:t> </w:t>
      </w:r>
      <w:r>
        <w:rPr>
          <w:spacing w:val="3"/>
        </w:rPr>
        <w:t>to</w:t>
      </w:r>
      <w:r>
        <w:rPr>
          <w:spacing w:val="-2"/>
        </w:rPr>
        <w:t> </w:t>
      </w:r>
      <w:r>
        <w:rPr/>
        <w:t>April</w:t>
      </w:r>
      <w:r>
        <w:rPr>
          <w:spacing w:val="-6"/>
        </w:rPr>
        <w:t> </w:t>
      </w:r>
      <w:r>
        <w:rPr/>
        <w:t>compared</w:t>
      </w:r>
      <w:r>
        <w:rPr>
          <w:spacing w:val="-5"/>
        </w:rPr>
        <w:t> </w:t>
      </w:r>
      <w:r>
        <w:rPr/>
        <w:t>with</w:t>
      </w:r>
      <w:r>
        <w:rPr>
          <w:spacing w:val="-6"/>
        </w:rPr>
        <w:t> </w:t>
      </w:r>
      <w:r>
        <w:rPr/>
        <w:t>the previous three months, which represented the first increase since mid-1998. This increase had been driven by a rise </w:t>
      </w:r>
      <w:r>
        <w:rPr>
          <w:spacing w:val="3"/>
        </w:rPr>
        <w:t>of </w:t>
      </w:r>
      <w:r>
        <w:rPr/>
        <w:t>50,000 in the number </w:t>
      </w:r>
      <w:r>
        <w:rPr>
          <w:spacing w:val="3"/>
        </w:rPr>
        <w:t>of </w:t>
      </w:r>
      <w:r>
        <w:rPr/>
        <w:t>people who did not want a</w:t>
      </w:r>
      <w:r>
        <w:rPr>
          <w:spacing w:val="8"/>
        </w:rPr>
        <w:t> </w:t>
      </w:r>
      <w:r>
        <w:rPr/>
        <w:t>job.</w:t>
      </w:r>
    </w:p>
    <w:p>
      <w:pPr>
        <w:pStyle w:val="BodyText"/>
        <w:spacing w:before="4"/>
        <w:rPr>
          <w:sz w:val="31"/>
        </w:rPr>
      </w:pPr>
    </w:p>
    <w:p>
      <w:pPr>
        <w:pStyle w:val="BodyText"/>
        <w:tabs>
          <w:tab w:pos="1692" w:val="left" w:leader="none"/>
        </w:tabs>
        <w:spacing w:line="360" w:lineRule="auto"/>
        <w:ind w:left="919" w:right="955"/>
      </w:pPr>
      <w:r>
        <w:rPr/>
        <w:t>A38</w:t>
        <w:tab/>
        <w:t>Annual headline earnings growth for the whole economy had fallen from 4.8% </w:t>
      </w:r>
      <w:r>
        <w:rPr>
          <w:spacing w:val="3"/>
        </w:rPr>
        <w:t>to </w:t>
      </w:r>
      <w:r>
        <w:rPr/>
        <w:t>4.6% in April. The fall in the headline rate was accounted for by private </w:t>
      </w:r>
      <w:r>
        <w:rPr>
          <w:spacing w:val="2"/>
        </w:rPr>
        <w:t>sector </w:t>
      </w:r>
      <w:r>
        <w:rPr/>
        <w:t>earnings growth, which had fallen by 0.4 percentage points. Public sector earnings growth had risen by 0.1 percentage points. The fall in private </w:t>
      </w:r>
      <w:r>
        <w:rPr>
          <w:spacing w:val="2"/>
        </w:rPr>
        <w:t>sector </w:t>
      </w:r>
      <w:r>
        <w:rPr/>
        <w:t>earnings growth had been particularly surprising given the introduction </w:t>
      </w:r>
      <w:r>
        <w:rPr>
          <w:spacing w:val="2"/>
        </w:rPr>
        <w:t>of </w:t>
      </w:r>
      <w:r>
        <w:rPr/>
        <w:t>the National Minimum Wage </w:t>
      </w:r>
      <w:r>
        <w:rPr>
          <w:spacing w:val="2"/>
        </w:rPr>
        <w:t>(NMW) </w:t>
      </w:r>
      <w:r>
        <w:rPr/>
        <w:t>in April, which had been expected </w:t>
      </w:r>
      <w:r>
        <w:rPr>
          <w:spacing w:val="3"/>
        </w:rPr>
        <w:t>to </w:t>
      </w:r>
      <w:r>
        <w:rPr/>
        <w:t>push up earnings growth. However, it was possible that some firms may have anticipated its introduction and had raised wages before the introduction date. The largest fall in earnings growth was in the services </w:t>
      </w:r>
      <w:r>
        <w:rPr>
          <w:spacing w:val="2"/>
        </w:rPr>
        <w:t>sector, </w:t>
      </w:r>
      <w:r>
        <w:rPr/>
        <w:t>where earnings had fallen 1.1 percentage points in the twelve months </w:t>
      </w:r>
      <w:r>
        <w:rPr>
          <w:spacing w:val="3"/>
        </w:rPr>
        <w:t>to </w:t>
      </w:r>
      <w:r>
        <w:rPr/>
        <w:t>April. In manufacturing, </w:t>
      </w:r>
      <w:r>
        <w:rPr>
          <w:spacing w:val="2"/>
        </w:rPr>
        <w:t>on </w:t>
      </w:r>
      <w:r>
        <w:rPr/>
        <w:t>the </w:t>
      </w:r>
      <w:r>
        <w:rPr>
          <w:spacing w:val="4"/>
        </w:rPr>
        <w:t>other </w:t>
      </w:r>
      <w:r>
        <w:rPr/>
        <w:t>hand, annual earnings growth had increased by 0.2 percentage points. The ONS had said that the fall in earnings growth was partly the </w:t>
      </w:r>
      <w:r>
        <w:rPr>
          <w:spacing w:val="2"/>
        </w:rPr>
        <w:t>result </w:t>
      </w:r>
      <w:r>
        <w:rPr>
          <w:spacing w:val="3"/>
        </w:rPr>
        <w:t>of </w:t>
      </w:r>
      <w:r>
        <w:rPr/>
        <w:t>a broadly based fall in bonuses in </w:t>
      </w:r>
      <w:r>
        <w:rPr>
          <w:spacing w:val="2"/>
        </w:rPr>
        <w:t>the </w:t>
      </w:r>
      <w:r>
        <w:rPr/>
        <w:t>business services </w:t>
      </w:r>
      <w:r>
        <w:rPr>
          <w:spacing w:val="3"/>
        </w:rPr>
        <w:t>sector, </w:t>
      </w:r>
      <w:r>
        <w:rPr/>
        <w:t>and partly the </w:t>
      </w:r>
      <w:r>
        <w:rPr>
          <w:spacing w:val="2"/>
        </w:rPr>
        <w:t>result </w:t>
      </w:r>
      <w:r>
        <w:rPr>
          <w:spacing w:val="3"/>
        </w:rPr>
        <w:t>of </w:t>
      </w:r>
      <w:r>
        <w:rPr/>
        <w:t>some firms paying their bonuses in Q1 rather than in April, as they had done last</w:t>
      </w:r>
      <w:r>
        <w:rPr>
          <w:spacing w:val="34"/>
        </w:rPr>
        <w:t> </w:t>
      </w:r>
      <w:r>
        <w:rPr/>
        <w:t>year.</w:t>
      </w:r>
    </w:p>
    <w:p>
      <w:pPr>
        <w:pStyle w:val="BodyText"/>
        <w:spacing w:before="6"/>
        <w:rPr>
          <w:sz w:val="31"/>
        </w:rPr>
      </w:pPr>
    </w:p>
    <w:p>
      <w:pPr>
        <w:pStyle w:val="BodyText"/>
        <w:tabs>
          <w:tab w:pos="1692" w:val="left" w:leader="none"/>
        </w:tabs>
        <w:spacing w:line="360" w:lineRule="auto"/>
        <w:ind w:left="919" w:right="1164"/>
      </w:pPr>
      <w:r>
        <w:rPr/>
        <w:t>A39</w:t>
        <w:tab/>
        <w:t>Information from private surveys had suggested that earnings growth was either flat </w:t>
      </w:r>
      <w:r>
        <w:rPr>
          <w:spacing w:val="3"/>
        </w:rPr>
        <w:t>or </w:t>
      </w:r>
      <w:r>
        <w:rPr/>
        <w:t>had fallen slightly. The Reward index had fallen from 3.9% in April </w:t>
      </w:r>
      <w:r>
        <w:rPr>
          <w:spacing w:val="4"/>
        </w:rPr>
        <w:t>to </w:t>
      </w:r>
      <w:r>
        <w:rPr/>
        <w:t>3.6% in May. The Federation </w:t>
      </w:r>
      <w:r>
        <w:rPr>
          <w:spacing w:val="3"/>
        </w:rPr>
        <w:t>of </w:t>
      </w:r>
      <w:r>
        <w:rPr/>
        <w:t>Recruitment and </w:t>
      </w:r>
      <w:r>
        <w:rPr>
          <w:spacing w:val="2"/>
        </w:rPr>
        <w:t>Employment </w:t>
      </w:r>
      <w:r>
        <w:rPr/>
        <w:t>Services survey </w:t>
      </w:r>
      <w:r>
        <w:rPr>
          <w:spacing w:val="3"/>
        </w:rPr>
        <w:t>on </w:t>
      </w:r>
      <w:r>
        <w:rPr/>
        <w:t>salaries and wage rates in June indicated that earnings growth was unchanged, although the survey was based </w:t>
      </w:r>
      <w:r>
        <w:rPr>
          <w:spacing w:val="3"/>
        </w:rPr>
        <w:t>on </w:t>
      </w:r>
      <w:r>
        <w:rPr/>
        <w:t>a small</w:t>
      </w:r>
      <w:r>
        <w:rPr>
          <w:spacing w:val="23"/>
        </w:rPr>
        <w:t> </w:t>
      </w:r>
      <w:r>
        <w:rPr/>
        <w:t>sample.</w:t>
      </w:r>
    </w:p>
    <w:p>
      <w:pPr>
        <w:pStyle w:val="BodyText"/>
        <w:spacing w:before="2"/>
        <w:rPr>
          <w:sz w:val="31"/>
        </w:rPr>
      </w:pPr>
    </w:p>
    <w:p>
      <w:pPr>
        <w:pStyle w:val="BodyText"/>
        <w:tabs>
          <w:tab w:pos="1692" w:val="left" w:leader="none"/>
        </w:tabs>
        <w:spacing w:line="360" w:lineRule="auto" w:before="1"/>
        <w:ind w:left="919" w:right="999"/>
      </w:pPr>
      <w:r>
        <w:rPr/>
        <w:t>A40</w:t>
        <w:tab/>
        <w:t>Wage settlements in May had changed little from the previous month. </w:t>
      </w:r>
      <w:r>
        <w:rPr>
          <w:spacing w:val="2"/>
        </w:rPr>
        <w:t>The </w:t>
      </w:r>
      <w:r>
        <w:rPr/>
        <w:t>twelve-month mean for the whole economy had been unchanged at 3.8%. The private sector</w:t>
      </w:r>
      <w:r>
        <w:rPr>
          <w:spacing w:val="-1"/>
        </w:rPr>
        <w:t> </w:t>
      </w:r>
      <w:r>
        <w:rPr/>
        <w:t>mean</w:t>
      </w:r>
      <w:r>
        <w:rPr>
          <w:spacing w:val="-6"/>
        </w:rPr>
        <w:t> </w:t>
      </w:r>
      <w:r>
        <w:rPr/>
        <w:t>had</w:t>
      </w:r>
      <w:r>
        <w:rPr>
          <w:spacing w:val="-5"/>
        </w:rPr>
        <w:t> </w:t>
      </w:r>
      <w:r>
        <w:rPr/>
        <w:t>fallen</w:t>
      </w:r>
      <w:r>
        <w:rPr>
          <w:spacing w:val="-5"/>
        </w:rPr>
        <w:t> </w:t>
      </w:r>
      <w:r>
        <w:rPr/>
        <w:t>by</w:t>
      </w:r>
      <w:r>
        <w:rPr>
          <w:spacing w:val="-6"/>
        </w:rPr>
        <w:t> </w:t>
      </w:r>
      <w:r>
        <w:rPr/>
        <w:t>0.1</w:t>
      </w:r>
      <w:r>
        <w:rPr>
          <w:spacing w:val="-5"/>
        </w:rPr>
        <w:t> </w:t>
      </w:r>
      <w:r>
        <w:rPr/>
        <w:t>percentage</w:t>
      </w:r>
      <w:r>
        <w:rPr>
          <w:spacing w:val="-5"/>
        </w:rPr>
        <w:t> </w:t>
      </w:r>
      <w:r>
        <w:rPr/>
        <w:t>points</w:t>
      </w:r>
      <w:r>
        <w:rPr>
          <w:spacing w:val="-5"/>
        </w:rPr>
        <w:t> </w:t>
      </w:r>
      <w:r>
        <w:rPr>
          <w:spacing w:val="3"/>
        </w:rPr>
        <w:t>to</w:t>
      </w:r>
      <w:r>
        <w:rPr>
          <w:spacing w:val="-1"/>
        </w:rPr>
        <w:t> </w:t>
      </w:r>
      <w:r>
        <w:rPr/>
        <w:t>3.7%,</w:t>
      </w:r>
      <w:r>
        <w:rPr>
          <w:spacing w:val="-6"/>
        </w:rPr>
        <w:t> </w:t>
      </w:r>
      <w:r>
        <w:rPr/>
        <w:t>while</w:t>
      </w:r>
      <w:r>
        <w:rPr>
          <w:spacing w:val="-5"/>
        </w:rPr>
        <w:t> </w:t>
      </w:r>
      <w:r>
        <w:rPr/>
        <w:t>the</w:t>
      </w:r>
      <w:r>
        <w:rPr>
          <w:spacing w:val="-5"/>
        </w:rPr>
        <w:t> </w:t>
      </w:r>
      <w:r>
        <w:rPr/>
        <w:t>public</w:t>
      </w:r>
      <w:r>
        <w:rPr>
          <w:spacing w:val="-6"/>
        </w:rPr>
        <w:t> </w:t>
      </w:r>
      <w:r>
        <w:rPr/>
        <w:t>sector</w:t>
      </w:r>
      <w:r>
        <w:rPr>
          <w:spacing w:val="-1"/>
        </w:rPr>
        <w:t> </w:t>
      </w:r>
      <w:r>
        <w:rPr/>
        <w:t>mean had been unchanged at 4.1%. In a matched sample, the mean private sector wage settlement in April had fallen by 0.6 percentage points from the same time last year, somewhat less than the fall in inflation expectations </w:t>
      </w:r>
      <w:r>
        <w:rPr>
          <w:spacing w:val="4"/>
        </w:rPr>
        <w:t>over </w:t>
      </w:r>
      <w:r>
        <w:rPr/>
        <w:t>the same</w:t>
      </w:r>
      <w:r>
        <w:rPr>
          <w:spacing w:val="4"/>
        </w:rPr>
        <w:t> </w:t>
      </w:r>
      <w:r>
        <w:rPr/>
        <w:t>period.</w:t>
      </w:r>
    </w:p>
    <w:p>
      <w:pPr>
        <w:pStyle w:val="BodyText"/>
        <w:spacing w:before="1"/>
        <w:rPr>
          <w:sz w:val="31"/>
        </w:rPr>
      </w:pPr>
    </w:p>
    <w:p>
      <w:pPr>
        <w:pStyle w:val="BodyText"/>
        <w:tabs>
          <w:tab w:pos="1692" w:val="left" w:leader="none"/>
        </w:tabs>
        <w:ind w:left="919"/>
      </w:pPr>
      <w:r>
        <w:rPr/>
        <w:t>A41</w:t>
        <w:tab/>
        <w:t>The annual growth rate in the ONS measure </w:t>
      </w:r>
      <w:r>
        <w:rPr>
          <w:spacing w:val="2"/>
        </w:rPr>
        <w:t>of </w:t>
      </w:r>
      <w:r>
        <w:rPr/>
        <w:t>labour productivity in Q1</w:t>
      </w:r>
      <w:r>
        <w:rPr>
          <w:spacing w:val="-4"/>
        </w:rPr>
        <w:t> </w:t>
      </w:r>
      <w:r>
        <w:rPr/>
        <w:t>had</w:t>
      </w:r>
    </w:p>
    <w:p>
      <w:pPr>
        <w:spacing w:after="0"/>
        <w:sectPr>
          <w:pgSz w:w="11900" w:h="16840"/>
          <w:pgMar w:header="719" w:footer="0" w:top="1340" w:bottom="280" w:left="880" w:right="860"/>
        </w:sectPr>
      </w:pPr>
    </w:p>
    <w:p>
      <w:pPr>
        <w:pStyle w:val="BodyText"/>
        <w:spacing w:line="360" w:lineRule="auto" w:before="98"/>
        <w:ind w:left="920" w:right="915"/>
      </w:pPr>
      <w:r>
        <w:rPr/>
        <w:t>been the weakest since 1991, rising by only 0.5%. A new productivity survey produced by NTC Research and the Institute of Management Services had suggested a sharp pick-up in productivity growth in Q2. Growth in unit wage costs had risen</w:t>
      </w:r>
    </w:p>
    <w:p>
      <w:pPr>
        <w:pStyle w:val="BodyText"/>
        <w:spacing w:before="1"/>
        <w:ind w:left="920"/>
      </w:pPr>
      <w:r>
        <w:rPr/>
        <w:t>again in Q1, as wages and salaries had grown faster than productivity.</w:t>
      </w:r>
    </w:p>
    <w:p>
      <w:pPr>
        <w:pStyle w:val="BodyText"/>
        <w:rPr>
          <w:sz w:val="26"/>
        </w:rPr>
      </w:pPr>
    </w:p>
    <w:p>
      <w:pPr>
        <w:pStyle w:val="Heading2"/>
        <w:numPr>
          <w:ilvl w:val="0"/>
          <w:numId w:val="3"/>
        </w:numPr>
        <w:tabs>
          <w:tab w:pos="1217" w:val="left" w:leader="none"/>
        </w:tabs>
        <w:spacing w:line="240" w:lineRule="auto" w:before="203" w:after="0"/>
        <w:ind w:left="1216" w:right="0" w:hanging="297"/>
        <w:jc w:val="left"/>
      </w:pPr>
      <w:r>
        <w:rPr/>
        <w:t>Prices</w:t>
      </w:r>
    </w:p>
    <w:p>
      <w:pPr>
        <w:pStyle w:val="BodyText"/>
        <w:rPr>
          <w:b/>
          <w:sz w:val="26"/>
        </w:rPr>
      </w:pPr>
    </w:p>
    <w:p>
      <w:pPr>
        <w:pStyle w:val="BodyText"/>
        <w:tabs>
          <w:tab w:pos="1692" w:val="left" w:leader="none"/>
        </w:tabs>
        <w:spacing w:line="360" w:lineRule="auto" w:before="193"/>
        <w:ind w:left="919" w:right="1125"/>
      </w:pPr>
      <w:r>
        <w:rPr/>
        <w:t>A42</w:t>
        <w:tab/>
        <w:t>The </w:t>
      </w:r>
      <w:r>
        <w:rPr>
          <w:spacing w:val="-5"/>
        </w:rPr>
        <w:t>Bank’s </w:t>
      </w:r>
      <w:r>
        <w:rPr/>
        <w:t>index </w:t>
      </w:r>
      <w:r>
        <w:rPr>
          <w:spacing w:val="3"/>
        </w:rPr>
        <w:t>of </w:t>
      </w:r>
      <w:r>
        <w:rPr>
          <w:spacing w:val="2"/>
        </w:rPr>
        <w:t>commodity </w:t>
      </w:r>
      <w:r>
        <w:rPr/>
        <w:t>prices including </w:t>
      </w:r>
      <w:r>
        <w:rPr>
          <w:spacing w:val="4"/>
        </w:rPr>
        <w:t>oil </w:t>
      </w:r>
      <w:r>
        <w:rPr/>
        <w:t>had </w:t>
      </w:r>
      <w:r>
        <w:rPr>
          <w:spacing w:val="2"/>
        </w:rPr>
        <w:t>risen </w:t>
      </w:r>
      <w:r>
        <w:rPr/>
        <w:t>by 0.6% in May, following </w:t>
      </w:r>
      <w:r>
        <w:rPr>
          <w:spacing w:val="2"/>
        </w:rPr>
        <w:t>strong rises </w:t>
      </w:r>
      <w:r>
        <w:rPr/>
        <w:t>in March and April. </w:t>
      </w:r>
      <w:r>
        <w:rPr>
          <w:spacing w:val="2"/>
        </w:rPr>
        <w:t>The </w:t>
      </w:r>
      <w:r>
        <w:rPr/>
        <w:t>index excluding </w:t>
      </w:r>
      <w:r>
        <w:rPr>
          <w:spacing w:val="4"/>
        </w:rPr>
        <w:t>oil </w:t>
      </w:r>
      <w:r>
        <w:rPr/>
        <w:t>had also risen, by 0.2%. But annual inflation in both indices had fallen: </w:t>
      </w:r>
      <w:r>
        <w:rPr>
          <w:spacing w:val="3"/>
        </w:rPr>
        <w:t>to </w:t>
      </w:r>
      <w:r>
        <w:rPr/>
        <w:t>3.4% (from 4.0%) for the </w:t>
      </w:r>
      <w:r>
        <w:rPr>
          <w:spacing w:val="5"/>
        </w:rPr>
        <w:t>oil-inclusive </w:t>
      </w:r>
      <w:r>
        <w:rPr/>
        <w:t>index and 1.4% </w:t>
      </w:r>
      <w:r>
        <w:rPr>
          <w:spacing w:val="2"/>
        </w:rPr>
        <w:t>(1.7%) </w:t>
      </w:r>
      <w:r>
        <w:rPr/>
        <w:t>excluding </w:t>
      </w:r>
      <w:r>
        <w:rPr>
          <w:spacing w:val="4"/>
        </w:rPr>
        <w:t>oil. </w:t>
      </w:r>
      <w:r>
        <w:rPr/>
        <w:t>The </w:t>
      </w:r>
      <w:r>
        <w:rPr>
          <w:spacing w:val="4"/>
        </w:rPr>
        <w:t>oil </w:t>
      </w:r>
      <w:r>
        <w:rPr/>
        <w:t>price had risen slightly </w:t>
      </w:r>
      <w:r>
        <w:rPr>
          <w:spacing w:val="3"/>
        </w:rPr>
        <w:t>over </w:t>
      </w:r>
      <w:r>
        <w:rPr/>
        <w:t>the month and exceeded $18 per barrel </w:t>
      </w:r>
      <w:r>
        <w:rPr>
          <w:spacing w:val="2"/>
        </w:rPr>
        <w:t>on </w:t>
      </w:r>
      <w:r>
        <w:rPr/>
        <w:t>6</w:t>
      </w:r>
      <w:r>
        <w:rPr>
          <w:spacing w:val="17"/>
        </w:rPr>
        <w:t> </w:t>
      </w:r>
      <w:r>
        <w:rPr/>
        <w:t>July.</w:t>
      </w:r>
    </w:p>
    <w:p>
      <w:pPr>
        <w:pStyle w:val="BodyText"/>
        <w:spacing w:before="7"/>
        <w:rPr>
          <w:sz w:val="31"/>
        </w:rPr>
      </w:pPr>
    </w:p>
    <w:p>
      <w:pPr>
        <w:pStyle w:val="BodyText"/>
        <w:tabs>
          <w:tab w:pos="1692" w:val="left" w:leader="none"/>
        </w:tabs>
        <w:spacing w:line="360" w:lineRule="auto"/>
        <w:ind w:left="919" w:right="1003"/>
      </w:pPr>
      <w:r>
        <w:rPr/>
        <w:t>A43</w:t>
        <w:tab/>
        <w:t>Producer input prices had fallen by 0.5% in May and the year-on-year inflation rate had fallen back </w:t>
      </w:r>
      <w:r>
        <w:rPr>
          <w:spacing w:val="3"/>
        </w:rPr>
        <w:t>to </w:t>
      </w:r>
      <w:r>
        <w:rPr/>
        <w:t>-2.6% from -1.1% in April. Imported materials prices had continued </w:t>
      </w:r>
      <w:r>
        <w:rPr>
          <w:spacing w:val="3"/>
        </w:rPr>
        <w:t>to </w:t>
      </w:r>
      <w:r>
        <w:rPr/>
        <w:t>fall. </w:t>
      </w:r>
      <w:r>
        <w:rPr>
          <w:spacing w:val="2"/>
        </w:rPr>
        <w:t>Evidence </w:t>
      </w:r>
      <w:r>
        <w:rPr/>
        <w:t>from the C</w:t>
      </w:r>
      <w:r>
        <w:rPr>
          <w:sz w:val="20"/>
        </w:rPr>
        <w:t>IPS </w:t>
      </w:r>
      <w:r>
        <w:rPr/>
        <w:t>survey had suggested continued but slowing deflation in the near future. The </w:t>
      </w:r>
      <w:r>
        <w:rPr>
          <w:spacing w:val="4"/>
        </w:rPr>
        <w:t>output </w:t>
      </w:r>
      <w:r>
        <w:rPr/>
        <w:t>price level, whether including </w:t>
      </w:r>
      <w:r>
        <w:rPr>
          <w:spacing w:val="3"/>
        </w:rPr>
        <w:t>or </w:t>
      </w:r>
      <w:r>
        <w:rPr/>
        <w:t>excluding excise duties, had been unchanged in May. </w:t>
      </w:r>
      <w:r>
        <w:rPr>
          <w:spacing w:val="2"/>
        </w:rPr>
        <w:t>Total </w:t>
      </w:r>
      <w:r>
        <w:rPr/>
        <w:t>import prices had risen by 0.2% in April, but prices for imports from the non-EU countries had fallen by 0.1% in May. </w:t>
      </w:r>
      <w:r>
        <w:rPr>
          <w:spacing w:val="2"/>
        </w:rPr>
        <w:t>Export </w:t>
      </w:r>
      <w:r>
        <w:rPr/>
        <w:t>prices had risen more sharply - by 0.7% </w:t>
      </w:r>
      <w:r>
        <w:rPr>
          <w:spacing w:val="3"/>
        </w:rPr>
        <w:t>to </w:t>
      </w:r>
      <w:r>
        <w:rPr/>
        <w:t>all countries in April and by 0.5% </w:t>
      </w:r>
      <w:r>
        <w:rPr>
          <w:spacing w:val="2"/>
        </w:rPr>
        <w:t>to </w:t>
      </w:r>
      <w:r>
        <w:rPr/>
        <w:t>non-EU countries in</w:t>
      </w:r>
      <w:r>
        <w:rPr>
          <w:spacing w:val="24"/>
        </w:rPr>
        <w:t> </w:t>
      </w:r>
      <w:r>
        <w:rPr/>
        <w:t>May.</w:t>
      </w:r>
    </w:p>
    <w:p>
      <w:pPr>
        <w:pStyle w:val="BodyText"/>
        <w:spacing w:before="4"/>
        <w:rPr>
          <w:sz w:val="31"/>
        </w:rPr>
      </w:pPr>
    </w:p>
    <w:p>
      <w:pPr>
        <w:pStyle w:val="BodyText"/>
        <w:tabs>
          <w:tab w:pos="1692" w:val="left" w:leader="none"/>
        </w:tabs>
        <w:ind w:left="920"/>
      </w:pPr>
      <w:r>
        <w:rPr/>
        <w:t>A44</w:t>
        <w:tab/>
        <w:t>The rate </w:t>
      </w:r>
      <w:r>
        <w:rPr>
          <w:spacing w:val="2"/>
        </w:rPr>
        <w:t>of </w:t>
      </w:r>
      <w:r>
        <w:rPr/>
        <w:t>GDP deflator inflation in the first quarter had been revised up</w:t>
      </w:r>
      <w:r>
        <w:rPr>
          <w:spacing w:val="8"/>
        </w:rPr>
        <w:t> </w:t>
      </w:r>
      <w:r>
        <w:rPr/>
        <w:t>by</w:t>
      </w:r>
    </w:p>
    <w:p>
      <w:pPr>
        <w:pStyle w:val="BodyText"/>
        <w:spacing w:line="360" w:lineRule="auto" w:before="137"/>
        <w:ind w:left="919" w:right="1009"/>
      </w:pPr>
      <w:r>
        <w:rPr/>
        <w:t>0.1 percentage points on both a quarterly and annual basis (to 0.4% and 2.2% respectively) in the third release of the GDP data. The retail sales deflator fell for the third consecutive month in May, leading to negative annual inflation for the first time in the series’ history. The annual rate of inflation on the harmonised index had fallen</w:t>
      </w:r>
    </w:p>
    <w:p>
      <w:pPr>
        <w:spacing w:after="0" w:line="360" w:lineRule="auto"/>
        <w:sectPr>
          <w:pgSz w:w="11900" w:h="16840"/>
          <w:pgMar w:header="719" w:footer="0" w:top="1340" w:bottom="280" w:left="880" w:right="860"/>
        </w:sectPr>
      </w:pPr>
    </w:p>
    <w:p>
      <w:pPr>
        <w:pStyle w:val="BodyText"/>
        <w:spacing w:line="360" w:lineRule="auto" w:before="98"/>
        <w:ind w:left="920" w:right="943"/>
      </w:pPr>
      <w:r>
        <w:rPr/>
        <w:t>by 0.2 percentage points to 1.3% in May, equalling its lowest rate since the series started in 1988.</w:t>
      </w:r>
    </w:p>
    <w:p>
      <w:pPr>
        <w:pStyle w:val="BodyText"/>
        <w:spacing w:before="6"/>
        <w:rPr>
          <w:sz w:val="31"/>
        </w:rPr>
      </w:pPr>
    </w:p>
    <w:p>
      <w:pPr>
        <w:pStyle w:val="BodyText"/>
        <w:tabs>
          <w:tab w:pos="1692" w:val="left" w:leader="none"/>
        </w:tabs>
        <w:spacing w:line="360" w:lineRule="auto"/>
        <w:ind w:left="919" w:right="1035"/>
      </w:pPr>
      <w:r>
        <w:rPr/>
        <w:t>A45</w:t>
        <w:tab/>
        <w:t>The annual rate </w:t>
      </w:r>
      <w:r>
        <w:rPr>
          <w:spacing w:val="3"/>
        </w:rPr>
        <w:t>of </w:t>
      </w:r>
      <w:r>
        <w:rPr/>
        <w:t>RPIX inflation had fallen sharply, </w:t>
      </w:r>
      <w:r>
        <w:rPr>
          <w:spacing w:val="3"/>
        </w:rPr>
        <w:t>to </w:t>
      </w:r>
      <w:r>
        <w:rPr/>
        <w:t>2.1%, in May. </w:t>
      </w:r>
      <w:r>
        <w:rPr>
          <w:spacing w:val="2"/>
        </w:rPr>
        <w:t>The </w:t>
      </w:r>
      <w:r>
        <w:rPr/>
        <w:t>rates </w:t>
      </w:r>
      <w:r>
        <w:rPr>
          <w:spacing w:val="2"/>
        </w:rPr>
        <w:t>of </w:t>
      </w:r>
      <w:r>
        <w:rPr/>
        <w:t>RPIY and RPI inflation had also fallen </w:t>
      </w:r>
      <w:r>
        <w:rPr>
          <w:spacing w:val="3"/>
        </w:rPr>
        <w:t>to </w:t>
      </w:r>
      <w:r>
        <w:rPr/>
        <w:t>1.5% and 1.3% respectively. </w:t>
      </w:r>
      <w:r>
        <w:rPr>
          <w:spacing w:val="2"/>
        </w:rPr>
        <w:t>The </w:t>
      </w:r>
      <w:r>
        <w:rPr/>
        <w:t>fall was largely due </w:t>
      </w:r>
      <w:r>
        <w:rPr>
          <w:spacing w:val="2"/>
        </w:rPr>
        <w:t>to </w:t>
      </w:r>
      <w:r>
        <w:rPr/>
        <w:t>lower food and </w:t>
      </w:r>
      <w:r>
        <w:rPr>
          <w:spacing w:val="4"/>
        </w:rPr>
        <w:t>other </w:t>
      </w:r>
      <w:r>
        <w:rPr/>
        <w:t>goods prices, and had continued the recent pattern where goods price inflation had fallen but services inflation had </w:t>
      </w:r>
      <w:r>
        <w:rPr>
          <w:spacing w:val="2"/>
        </w:rPr>
        <w:t>remained </w:t>
      </w:r>
      <w:r>
        <w:rPr/>
        <w:t>fairly constant. </w:t>
      </w:r>
      <w:r>
        <w:rPr>
          <w:spacing w:val="2"/>
        </w:rPr>
        <w:t>Inflation </w:t>
      </w:r>
      <w:r>
        <w:rPr/>
        <w:t>in April and May had been markedly weaker than the central projection in the May </w:t>
      </w:r>
      <w:r>
        <w:rPr>
          <w:i/>
        </w:rPr>
        <w:t>Inflation Report </w:t>
      </w:r>
      <w:r>
        <w:rPr/>
        <w:t>forecast. </w:t>
      </w:r>
      <w:r>
        <w:rPr>
          <w:spacing w:val="2"/>
        </w:rPr>
        <w:t>This </w:t>
      </w:r>
      <w:r>
        <w:rPr/>
        <w:t>was entirely because </w:t>
      </w:r>
      <w:r>
        <w:rPr>
          <w:spacing w:val="2"/>
        </w:rPr>
        <w:t>of </w:t>
      </w:r>
      <w:r>
        <w:rPr/>
        <w:t>goods price</w:t>
      </w:r>
      <w:r>
        <w:rPr>
          <w:spacing w:val="15"/>
        </w:rPr>
        <w:t> </w:t>
      </w:r>
      <w:r>
        <w:rPr/>
        <w:t>inflation.</w:t>
      </w:r>
    </w:p>
    <w:p>
      <w:pPr>
        <w:pStyle w:val="BodyText"/>
        <w:spacing w:before="5"/>
        <w:rPr>
          <w:sz w:val="31"/>
        </w:rPr>
      </w:pPr>
    </w:p>
    <w:p>
      <w:pPr>
        <w:pStyle w:val="Heading2"/>
        <w:numPr>
          <w:ilvl w:val="0"/>
          <w:numId w:val="3"/>
        </w:numPr>
        <w:tabs>
          <w:tab w:pos="1312" w:val="left" w:leader="none"/>
        </w:tabs>
        <w:spacing w:line="240" w:lineRule="auto" w:before="0" w:after="0"/>
        <w:ind w:left="1311" w:right="0" w:hanging="393"/>
        <w:jc w:val="left"/>
      </w:pPr>
      <w:r>
        <w:rPr/>
        <w:t>Reports by the </w:t>
      </w:r>
      <w:r>
        <w:rPr>
          <w:spacing w:val="-4"/>
        </w:rPr>
        <w:t>Bank’s</w:t>
      </w:r>
      <w:r>
        <w:rPr>
          <w:spacing w:val="7"/>
        </w:rPr>
        <w:t> </w:t>
      </w:r>
      <w:r>
        <w:rPr/>
        <w:t>Agents</w:t>
      </w:r>
    </w:p>
    <w:p>
      <w:pPr>
        <w:pStyle w:val="BodyText"/>
        <w:rPr>
          <w:b/>
          <w:sz w:val="26"/>
        </w:rPr>
      </w:pPr>
    </w:p>
    <w:p>
      <w:pPr>
        <w:pStyle w:val="BodyText"/>
        <w:tabs>
          <w:tab w:pos="1692" w:val="left" w:leader="none"/>
        </w:tabs>
        <w:spacing w:line="360" w:lineRule="auto" w:before="198"/>
        <w:ind w:left="919" w:right="992"/>
      </w:pPr>
      <w:r>
        <w:rPr/>
        <w:t>A46</w:t>
        <w:tab/>
        <w:t>The </w:t>
      </w:r>
      <w:r>
        <w:rPr>
          <w:spacing w:val="-5"/>
        </w:rPr>
        <w:t>Bank’s </w:t>
      </w:r>
      <w:r>
        <w:rPr/>
        <w:t>regional Agents had reported </w:t>
      </w:r>
      <w:r>
        <w:rPr>
          <w:spacing w:val="2"/>
        </w:rPr>
        <w:t>on </w:t>
      </w:r>
      <w:r>
        <w:rPr/>
        <w:t>their general discussions with contacts. The manufacturing recovery had been fragile, but business expectations had improved. And whereas business and financial services had shown </w:t>
      </w:r>
      <w:r>
        <w:rPr>
          <w:spacing w:val="5"/>
        </w:rPr>
        <w:t>ongoing </w:t>
      </w:r>
      <w:r>
        <w:rPr/>
        <w:t>growth, the </w:t>
      </w:r>
      <w:r>
        <w:rPr>
          <w:spacing w:val="4"/>
        </w:rPr>
        <w:t>outlook </w:t>
      </w:r>
      <w:r>
        <w:rPr/>
        <w:t>for consumer services had remained</w:t>
      </w:r>
      <w:r>
        <w:rPr>
          <w:spacing w:val="14"/>
        </w:rPr>
        <w:t> </w:t>
      </w:r>
      <w:r>
        <w:rPr/>
        <w:t>weak.</w:t>
      </w:r>
    </w:p>
    <w:p>
      <w:pPr>
        <w:pStyle w:val="BodyText"/>
        <w:spacing w:before="3"/>
        <w:rPr>
          <w:sz w:val="31"/>
        </w:rPr>
      </w:pPr>
    </w:p>
    <w:p>
      <w:pPr>
        <w:pStyle w:val="BodyText"/>
        <w:tabs>
          <w:tab w:pos="1692" w:val="left" w:leader="none"/>
        </w:tabs>
        <w:spacing w:line="360" w:lineRule="auto" w:before="1"/>
        <w:ind w:left="919" w:right="1209"/>
      </w:pPr>
      <w:r>
        <w:rPr/>
        <w:t>A47</w:t>
        <w:tab/>
        <w:t>Retail sales had stayed weak. Only discount stores had recorded significant strengthening in activity. Generally, discounting had continued </w:t>
      </w:r>
      <w:r>
        <w:rPr>
          <w:spacing w:val="3"/>
        </w:rPr>
        <w:t>to </w:t>
      </w:r>
      <w:r>
        <w:rPr/>
        <w:t>be</w:t>
      </w:r>
      <w:r>
        <w:rPr>
          <w:spacing w:val="-41"/>
        </w:rPr>
        <w:t> </w:t>
      </w:r>
      <w:r>
        <w:rPr/>
        <w:t>widespread.</w:t>
      </w:r>
    </w:p>
    <w:p>
      <w:pPr>
        <w:pStyle w:val="BodyText"/>
        <w:spacing w:line="274" w:lineRule="exact"/>
        <w:ind w:left="919"/>
      </w:pPr>
      <w:r>
        <w:rPr/>
        <w:t>The evidence for other non-retail consumer expenditure had been mixed.</w:t>
      </w:r>
    </w:p>
    <w:p>
      <w:pPr>
        <w:pStyle w:val="BodyText"/>
        <w:rPr>
          <w:sz w:val="26"/>
        </w:rPr>
      </w:pPr>
    </w:p>
    <w:p>
      <w:pPr>
        <w:pStyle w:val="BodyText"/>
        <w:tabs>
          <w:tab w:pos="1692" w:val="left" w:leader="none"/>
        </w:tabs>
        <w:spacing w:line="360" w:lineRule="auto" w:before="197"/>
        <w:ind w:left="919" w:right="1004"/>
      </w:pPr>
      <w:r>
        <w:rPr/>
        <w:t>A48</w:t>
        <w:tab/>
        <w:t>Exports </w:t>
      </w:r>
      <w:r>
        <w:rPr>
          <w:spacing w:val="2"/>
        </w:rPr>
        <w:t>to </w:t>
      </w:r>
      <w:r>
        <w:rPr/>
        <w:t>the United States had continued </w:t>
      </w:r>
      <w:r>
        <w:rPr>
          <w:spacing w:val="2"/>
        </w:rPr>
        <w:t>to </w:t>
      </w:r>
      <w:r>
        <w:rPr/>
        <w:t>be strong. The East Asian market </w:t>
      </w:r>
      <w:r>
        <w:rPr>
          <w:spacing w:val="2"/>
        </w:rPr>
        <w:t>on </w:t>
      </w:r>
      <w:r>
        <w:rPr/>
        <w:t>the </w:t>
      </w:r>
      <w:r>
        <w:rPr>
          <w:spacing w:val="4"/>
        </w:rPr>
        <w:t>other </w:t>
      </w:r>
      <w:r>
        <w:rPr/>
        <w:t>hand remained depressed, though the </w:t>
      </w:r>
      <w:r>
        <w:rPr>
          <w:spacing w:val="4"/>
        </w:rPr>
        <w:t>outlook </w:t>
      </w:r>
      <w:r>
        <w:rPr/>
        <w:t>had improved. Demand from </w:t>
      </w:r>
      <w:r>
        <w:rPr>
          <w:spacing w:val="2"/>
        </w:rPr>
        <w:t>Europe </w:t>
      </w:r>
      <w:r>
        <w:rPr/>
        <w:t>had </w:t>
      </w:r>
      <w:r>
        <w:rPr>
          <w:spacing w:val="2"/>
        </w:rPr>
        <w:t>remained </w:t>
      </w:r>
      <w:r>
        <w:rPr/>
        <w:t>weak, particularly from Germany and </w:t>
      </w:r>
      <w:r>
        <w:rPr>
          <w:spacing w:val="2"/>
        </w:rPr>
        <w:t>Italy. </w:t>
      </w:r>
      <w:r>
        <w:rPr/>
        <w:t>Sterling’s</w:t>
      </w:r>
      <w:r>
        <w:rPr>
          <w:spacing w:val="-8"/>
        </w:rPr>
        <w:t> </w:t>
      </w:r>
      <w:r>
        <w:rPr/>
        <w:t>persistent</w:t>
      </w:r>
      <w:r>
        <w:rPr>
          <w:spacing w:val="-2"/>
        </w:rPr>
        <w:t> </w:t>
      </w:r>
      <w:r>
        <w:rPr/>
        <w:t>strength</w:t>
      </w:r>
      <w:r>
        <w:rPr>
          <w:spacing w:val="-8"/>
        </w:rPr>
        <w:t> </w:t>
      </w:r>
      <w:r>
        <w:rPr/>
        <w:t>was</w:t>
      </w:r>
      <w:r>
        <w:rPr>
          <w:spacing w:val="-7"/>
        </w:rPr>
        <w:t> </w:t>
      </w:r>
      <w:r>
        <w:rPr/>
        <w:t>seen</w:t>
      </w:r>
      <w:r>
        <w:rPr>
          <w:spacing w:val="-7"/>
        </w:rPr>
        <w:t> </w:t>
      </w:r>
      <w:r>
        <w:rPr/>
        <w:t>as</w:t>
      </w:r>
      <w:r>
        <w:rPr>
          <w:spacing w:val="-7"/>
        </w:rPr>
        <w:t> </w:t>
      </w:r>
      <w:r>
        <w:rPr/>
        <w:t>the</w:t>
      </w:r>
      <w:r>
        <w:rPr>
          <w:spacing w:val="-7"/>
        </w:rPr>
        <w:t> </w:t>
      </w:r>
      <w:r>
        <w:rPr/>
        <w:t>main</w:t>
      </w:r>
      <w:r>
        <w:rPr>
          <w:spacing w:val="-7"/>
        </w:rPr>
        <w:t> </w:t>
      </w:r>
      <w:r>
        <w:rPr>
          <w:spacing w:val="4"/>
        </w:rPr>
        <w:t>obstacle</w:t>
      </w:r>
      <w:r>
        <w:rPr>
          <w:spacing w:val="-3"/>
        </w:rPr>
        <w:t> </w:t>
      </w:r>
      <w:r>
        <w:rPr>
          <w:spacing w:val="2"/>
        </w:rPr>
        <w:t>to</w:t>
      </w:r>
      <w:r>
        <w:rPr>
          <w:spacing w:val="-3"/>
        </w:rPr>
        <w:t> </w:t>
      </w:r>
      <w:r>
        <w:rPr/>
        <w:t>rising</w:t>
      </w:r>
      <w:r>
        <w:rPr>
          <w:spacing w:val="-6"/>
        </w:rPr>
        <w:t> </w:t>
      </w:r>
      <w:r>
        <w:rPr/>
        <w:t>European</w:t>
      </w:r>
      <w:r>
        <w:rPr>
          <w:spacing w:val="-5"/>
        </w:rPr>
        <w:t> </w:t>
      </w:r>
      <w:r>
        <w:rPr>
          <w:spacing w:val="3"/>
        </w:rPr>
        <w:t>orders.</w:t>
      </w:r>
    </w:p>
    <w:p>
      <w:pPr>
        <w:pStyle w:val="BodyText"/>
        <w:spacing w:before="4"/>
        <w:rPr>
          <w:sz w:val="31"/>
        </w:rPr>
      </w:pPr>
    </w:p>
    <w:p>
      <w:pPr>
        <w:pStyle w:val="BodyText"/>
        <w:tabs>
          <w:tab w:pos="1692" w:val="left" w:leader="none"/>
        </w:tabs>
        <w:spacing w:line="360" w:lineRule="auto"/>
        <w:ind w:left="919" w:right="987"/>
      </w:pPr>
      <w:r>
        <w:rPr/>
        <w:t>A49</w:t>
        <w:tab/>
        <w:t>Manufacturing</w:t>
      </w:r>
      <w:r>
        <w:rPr>
          <w:spacing w:val="-7"/>
        </w:rPr>
        <w:t> </w:t>
      </w:r>
      <w:r>
        <w:rPr/>
        <w:t>employment</w:t>
      </w:r>
      <w:r>
        <w:rPr>
          <w:spacing w:val="-3"/>
        </w:rPr>
        <w:t> </w:t>
      </w:r>
      <w:r>
        <w:rPr/>
        <w:t>had</w:t>
      </w:r>
      <w:r>
        <w:rPr>
          <w:spacing w:val="-7"/>
        </w:rPr>
        <w:t> </w:t>
      </w:r>
      <w:r>
        <w:rPr/>
        <w:t>fallen</w:t>
      </w:r>
      <w:r>
        <w:rPr>
          <w:spacing w:val="-7"/>
        </w:rPr>
        <w:t> </w:t>
      </w:r>
      <w:r>
        <w:rPr/>
        <w:t>further,</w:t>
      </w:r>
      <w:r>
        <w:rPr>
          <w:spacing w:val="-7"/>
        </w:rPr>
        <w:t> </w:t>
      </w:r>
      <w:r>
        <w:rPr/>
        <w:t>in</w:t>
      </w:r>
      <w:r>
        <w:rPr>
          <w:spacing w:val="-7"/>
        </w:rPr>
        <w:t> </w:t>
      </w:r>
      <w:r>
        <w:rPr/>
        <w:t>contrast</w:t>
      </w:r>
      <w:r>
        <w:rPr>
          <w:spacing w:val="-2"/>
        </w:rPr>
        <w:t> </w:t>
      </w:r>
      <w:r>
        <w:rPr>
          <w:spacing w:val="3"/>
        </w:rPr>
        <w:t>to</w:t>
      </w:r>
      <w:r>
        <w:rPr>
          <w:spacing w:val="-2"/>
        </w:rPr>
        <w:t> </w:t>
      </w:r>
      <w:r>
        <w:rPr/>
        <w:t>the</w:t>
      </w:r>
      <w:r>
        <w:rPr>
          <w:spacing w:val="-6"/>
        </w:rPr>
        <w:t> </w:t>
      </w:r>
      <w:r>
        <w:rPr/>
        <w:t>service</w:t>
      </w:r>
      <w:r>
        <w:rPr>
          <w:spacing w:val="-7"/>
        </w:rPr>
        <w:t> </w:t>
      </w:r>
      <w:r>
        <w:rPr/>
        <w:t>sector where employment intentions had firmed. Skill shortages and pay pressures had persisted.</w:t>
      </w:r>
    </w:p>
    <w:p>
      <w:pPr>
        <w:pStyle w:val="BodyText"/>
        <w:spacing w:before="5"/>
        <w:rPr>
          <w:sz w:val="31"/>
        </w:rPr>
      </w:pPr>
    </w:p>
    <w:p>
      <w:pPr>
        <w:pStyle w:val="BodyText"/>
        <w:tabs>
          <w:tab w:pos="1692" w:val="left" w:leader="none"/>
        </w:tabs>
        <w:spacing w:line="360" w:lineRule="auto"/>
        <w:ind w:left="919" w:right="1108"/>
      </w:pPr>
      <w:r>
        <w:rPr/>
        <w:t>A50</w:t>
        <w:tab/>
        <w:t>Overall,</w:t>
      </w:r>
      <w:r>
        <w:rPr>
          <w:spacing w:val="-7"/>
        </w:rPr>
        <w:t> </w:t>
      </w:r>
      <w:r>
        <w:rPr/>
        <w:t>the</w:t>
      </w:r>
      <w:r>
        <w:rPr>
          <w:spacing w:val="-6"/>
        </w:rPr>
        <w:t> </w:t>
      </w:r>
      <w:r>
        <w:rPr/>
        <w:t>view</w:t>
      </w:r>
      <w:r>
        <w:rPr>
          <w:spacing w:val="-6"/>
        </w:rPr>
        <w:t> </w:t>
      </w:r>
      <w:r>
        <w:rPr/>
        <w:t>had</w:t>
      </w:r>
      <w:r>
        <w:rPr>
          <w:spacing w:val="-6"/>
        </w:rPr>
        <w:t> </w:t>
      </w:r>
      <w:r>
        <w:rPr/>
        <w:t>been</w:t>
      </w:r>
      <w:r>
        <w:rPr>
          <w:spacing w:val="-6"/>
        </w:rPr>
        <w:t> </w:t>
      </w:r>
      <w:r>
        <w:rPr/>
        <w:t>that</w:t>
      </w:r>
      <w:r>
        <w:rPr>
          <w:spacing w:val="-1"/>
        </w:rPr>
        <w:t> </w:t>
      </w:r>
      <w:r>
        <w:rPr/>
        <w:t>activity</w:t>
      </w:r>
      <w:r>
        <w:rPr>
          <w:spacing w:val="-6"/>
        </w:rPr>
        <w:t> </w:t>
      </w:r>
      <w:r>
        <w:rPr/>
        <w:t>in</w:t>
      </w:r>
      <w:r>
        <w:rPr>
          <w:spacing w:val="-6"/>
        </w:rPr>
        <w:t> </w:t>
      </w:r>
      <w:r>
        <w:rPr/>
        <w:t>Q2</w:t>
      </w:r>
      <w:r>
        <w:rPr>
          <w:spacing w:val="-6"/>
        </w:rPr>
        <w:t> </w:t>
      </w:r>
      <w:r>
        <w:rPr/>
        <w:t>had</w:t>
      </w:r>
      <w:r>
        <w:rPr>
          <w:spacing w:val="-6"/>
        </w:rPr>
        <w:t> </w:t>
      </w:r>
      <w:r>
        <w:rPr/>
        <w:t>turned</w:t>
      </w:r>
      <w:r>
        <w:rPr>
          <w:spacing w:val="-6"/>
        </w:rPr>
        <w:t> </w:t>
      </w:r>
      <w:r>
        <w:rPr>
          <w:spacing w:val="3"/>
        </w:rPr>
        <w:t>out</w:t>
      </w:r>
      <w:r>
        <w:rPr>
          <w:spacing w:val="-1"/>
        </w:rPr>
        <w:t> </w:t>
      </w:r>
      <w:r>
        <w:rPr/>
        <w:t>stronger</w:t>
      </w:r>
      <w:r>
        <w:rPr>
          <w:spacing w:val="-6"/>
        </w:rPr>
        <w:t> </w:t>
      </w:r>
      <w:r>
        <w:rPr/>
        <w:t>than</w:t>
      </w:r>
      <w:r>
        <w:rPr>
          <w:spacing w:val="-7"/>
        </w:rPr>
        <w:t> </w:t>
      </w:r>
      <w:r>
        <w:rPr/>
        <w:t>in Q1, though the latter had been perceived as very</w:t>
      </w:r>
      <w:r>
        <w:rPr>
          <w:spacing w:val="8"/>
        </w:rPr>
        <w:t> </w:t>
      </w:r>
      <w:r>
        <w:rPr/>
        <w:t>weak.</w:t>
      </w:r>
    </w:p>
    <w:p>
      <w:pPr>
        <w:pStyle w:val="BodyText"/>
        <w:spacing w:before="11"/>
        <w:rPr>
          <w:sz w:val="31"/>
        </w:rPr>
      </w:pPr>
    </w:p>
    <w:p>
      <w:pPr>
        <w:pStyle w:val="Heading2"/>
        <w:numPr>
          <w:ilvl w:val="0"/>
          <w:numId w:val="3"/>
        </w:numPr>
        <w:tabs>
          <w:tab w:pos="1406" w:val="left" w:leader="none"/>
        </w:tabs>
        <w:spacing w:line="240" w:lineRule="auto" w:before="0" w:after="0"/>
        <w:ind w:left="1405" w:right="0" w:hanging="487"/>
        <w:jc w:val="left"/>
      </w:pPr>
      <w:r>
        <w:rPr/>
        <w:t>Market</w:t>
      </w:r>
      <w:r>
        <w:rPr>
          <w:spacing w:val="1"/>
        </w:rPr>
        <w:t> </w:t>
      </w:r>
      <w:r>
        <w:rPr/>
        <w:t>intelligence</w:t>
      </w:r>
    </w:p>
    <w:p>
      <w:pPr>
        <w:spacing w:after="0" w:line="240" w:lineRule="auto"/>
        <w:jc w:val="left"/>
        <w:sectPr>
          <w:pgSz w:w="11900" w:h="16840"/>
          <w:pgMar w:header="719" w:footer="0" w:top="1340" w:bottom="280" w:left="880" w:right="860"/>
        </w:sectPr>
      </w:pPr>
    </w:p>
    <w:p>
      <w:pPr>
        <w:pStyle w:val="BodyText"/>
        <w:tabs>
          <w:tab w:pos="1692" w:val="left" w:leader="none"/>
        </w:tabs>
        <w:spacing w:line="360" w:lineRule="auto" w:before="98"/>
        <w:ind w:left="919" w:right="979"/>
      </w:pPr>
      <w:r>
        <w:rPr/>
        <w:t>A51</w:t>
        <w:tab/>
        <w:t>Short-term expectations for UK interest rates had fallen since the previous MPC meeting. For longer maturities, however, rates had risen by around 40 basis points, having been up by 70 basis points </w:t>
      </w:r>
      <w:r>
        <w:rPr>
          <w:spacing w:val="2"/>
        </w:rPr>
        <w:t>or </w:t>
      </w:r>
      <w:r>
        <w:rPr/>
        <w:t>so at </w:t>
      </w:r>
      <w:r>
        <w:rPr>
          <w:spacing w:val="3"/>
        </w:rPr>
        <w:t>one </w:t>
      </w:r>
      <w:r>
        <w:rPr/>
        <w:t>stage. Changes in the shape </w:t>
      </w:r>
      <w:r>
        <w:rPr>
          <w:spacing w:val="3"/>
        </w:rPr>
        <w:t>of </w:t>
      </w:r>
      <w:r>
        <w:rPr/>
        <w:t>the yield curve could be partially </w:t>
      </w:r>
      <w:r>
        <w:rPr>
          <w:spacing w:val="2"/>
        </w:rPr>
        <w:t>attributed </w:t>
      </w:r>
      <w:r>
        <w:rPr>
          <w:spacing w:val="3"/>
        </w:rPr>
        <w:t>to </w:t>
      </w:r>
      <w:r>
        <w:rPr/>
        <w:t>international influences, such as </w:t>
      </w:r>
      <w:r>
        <w:rPr>
          <w:spacing w:val="2"/>
        </w:rPr>
        <w:t>the </w:t>
      </w:r>
      <w:r>
        <w:rPr/>
        <w:t>decision</w:t>
      </w:r>
      <w:r>
        <w:rPr>
          <w:spacing w:val="-5"/>
        </w:rPr>
        <w:t> </w:t>
      </w:r>
      <w:r>
        <w:rPr/>
        <w:t>by</w:t>
      </w:r>
      <w:r>
        <w:rPr>
          <w:spacing w:val="-5"/>
        </w:rPr>
        <w:t> </w:t>
      </w:r>
      <w:r>
        <w:rPr/>
        <w:t>the</w:t>
      </w:r>
      <w:r>
        <w:rPr>
          <w:spacing w:val="-4"/>
        </w:rPr>
        <w:t> </w:t>
      </w:r>
      <w:r>
        <w:rPr/>
        <w:t>FOMC</w:t>
      </w:r>
      <w:r>
        <w:rPr>
          <w:spacing w:val="-5"/>
        </w:rPr>
        <w:t> </w:t>
      </w:r>
      <w:r>
        <w:rPr>
          <w:spacing w:val="3"/>
        </w:rPr>
        <w:t>to</w:t>
      </w:r>
      <w:r>
        <w:rPr/>
        <w:t> raise</w:t>
      </w:r>
      <w:r>
        <w:rPr>
          <w:spacing w:val="-3"/>
        </w:rPr>
        <w:t> </w:t>
      </w:r>
      <w:r>
        <w:rPr/>
        <w:t>rates,</w:t>
      </w:r>
      <w:r>
        <w:rPr>
          <w:spacing w:val="-3"/>
        </w:rPr>
        <w:t> </w:t>
      </w:r>
      <w:r>
        <w:rPr/>
        <w:t>and</w:t>
      </w:r>
      <w:r>
        <w:rPr>
          <w:spacing w:val="-4"/>
        </w:rPr>
        <w:t> </w:t>
      </w:r>
      <w:r>
        <w:rPr>
          <w:spacing w:val="3"/>
        </w:rPr>
        <w:t>to</w:t>
      </w:r>
      <w:r>
        <w:rPr>
          <w:spacing w:val="-1"/>
        </w:rPr>
        <w:t> </w:t>
      </w:r>
      <w:r>
        <w:rPr/>
        <w:t>shifts</w:t>
      </w:r>
      <w:r>
        <w:rPr>
          <w:spacing w:val="-4"/>
        </w:rPr>
        <w:t> </w:t>
      </w:r>
      <w:r>
        <w:rPr/>
        <w:t>in</w:t>
      </w:r>
      <w:r>
        <w:rPr>
          <w:spacing w:val="-5"/>
        </w:rPr>
        <w:t> </w:t>
      </w:r>
      <w:r>
        <w:rPr/>
        <w:t>the</w:t>
      </w:r>
      <w:r>
        <w:rPr>
          <w:spacing w:val="-5"/>
        </w:rPr>
        <w:t> </w:t>
      </w:r>
      <w:r>
        <w:rPr>
          <w:spacing w:val="-4"/>
        </w:rPr>
        <w:t>market’s </w:t>
      </w:r>
      <w:r>
        <w:rPr/>
        <w:t>view</w:t>
      </w:r>
      <w:r>
        <w:rPr>
          <w:spacing w:val="-5"/>
        </w:rPr>
        <w:t> </w:t>
      </w:r>
      <w:r>
        <w:rPr>
          <w:spacing w:val="2"/>
        </w:rPr>
        <w:t>on</w:t>
      </w:r>
      <w:r>
        <w:rPr/>
        <w:t> UK</w:t>
      </w:r>
      <w:r>
        <w:rPr>
          <w:spacing w:val="-5"/>
        </w:rPr>
        <w:t> </w:t>
      </w:r>
      <w:r>
        <w:rPr/>
        <w:t>entry</w:t>
      </w:r>
      <w:r>
        <w:rPr>
          <w:spacing w:val="-4"/>
        </w:rPr>
        <w:t> </w:t>
      </w:r>
      <w:r>
        <w:rPr>
          <w:spacing w:val="3"/>
        </w:rPr>
        <w:t>to </w:t>
      </w:r>
      <w:r>
        <w:rPr/>
        <w:t>EMU and hence the future path </w:t>
      </w:r>
      <w:r>
        <w:rPr>
          <w:spacing w:val="2"/>
        </w:rPr>
        <w:t>of </w:t>
      </w:r>
      <w:r>
        <w:rPr/>
        <w:t>UK rates. In the more immediate future most market participants did not expect a further cut in the repo rate this month, given the retail sales data, evidence from surveys and house price data, although some believed that it was possible in the next few months if inflation continued </w:t>
      </w:r>
      <w:r>
        <w:rPr>
          <w:spacing w:val="3"/>
        </w:rPr>
        <w:t>to </w:t>
      </w:r>
      <w:r>
        <w:rPr/>
        <w:t>be below expectations.</w:t>
      </w:r>
    </w:p>
    <w:p>
      <w:pPr>
        <w:pStyle w:val="BodyText"/>
        <w:spacing w:before="6"/>
        <w:rPr>
          <w:sz w:val="31"/>
        </w:rPr>
      </w:pPr>
    </w:p>
    <w:p>
      <w:pPr>
        <w:pStyle w:val="BodyText"/>
        <w:tabs>
          <w:tab w:pos="1692" w:val="left" w:leader="none"/>
        </w:tabs>
        <w:spacing w:line="360" w:lineRule="auto"/>
        <w:ind w:left="919" w:right="985"/>
      </w:pPr>
      <w:r>
        <w:rPr/>
        <w:t>A52</w:t>
        <w:tab/>
        <w:t>Sterling had, </w:t>
      </w:r>
      <w:r>
        <w:rPr>
          <w:spacing w:val="3"/>
        </w:rPr>
        <w:t>over </w:t>
      </w:r>
      <w:r>
        <w:rPr/>
        <w:t>the last month, continued </w:t>
      </w:r>
      <w:r>
        <w:rPr>
          <w:spacing w:val="2"/>
        </w:rPr>
        <w:t>to </w:t>
      </w:r>
      <w:r>
        <w:rPr/>
        <w:t>depreciate against the dollar, reaching</w:t>
      </w:r>
      <w:r>
        <w:rPr>
          <w:spacing w:val="-3"/>
        </w:rPr>
        <w:t> </w:t>
      </w:r>
      <w:r>
        <w:rPr/>
        <w:t>its</w:t>
      </w:r>
      <w:r>
        <w:rPr>
          <w:spacing w:val="-5"/>
        </w:rPr>
        <w:t> </w:t>
      </w:r>
      <w:r>
        <w:rPr/>
        <w:t>lowest level</w:t>
      </w:r>
      <w:r>
        <w:rPr>
          <w:spacing w:val="-5"/>
        </w:rPr>
        <w:t> </w:t>
      </w:r>
      <w:r>
        <w:rPr/>
        <w:t>since</w:t>
      </w:r>
      <w:r>
        <w:rPr>
          <w:spacing w:val="-5"/>
        </w:rPr>
        <w:t> </w:t>
      </w:r>
      <w:r>
        <w:rPr/>
        <w:t>September</w:t>
      </w:r>
      <w:r>
        <w:rPr>
          <w:spacing w:val="-4"/>
        </w:rPr>
        <w:t> </w:t>
      </w:r>
      <w:r>
        <w:rPr/>
        <w:t>1996,</w:t>
      </w:r>
      <w:r>
        <w:rPr>
          <w:spacing w:val="-4"/>
        </w:rPr>
        <w:t> </w:t>
      </w:r>
      <w:r>
        <w:rPr/>
        <w:t>with</w:t>
      </w:r>
      <w:r>
        <w:rPr>
          <w:spacing w:val="-5"/>
        </w:rPr>
        <w:t> </w:t>
      </w:r>
      <w:r>
        <w:rPr/>
        <w:t>talk</w:t>
      </w:r>
      <w:r>
        <w:rPr>
          <w:spacing w:val="-5"/>
        </w:rPr>
        <w:t> </w:t>
      </w:r>
      <w:r>
        <w:rPr/>
        <w:t>that it had</w:t>
      </w:r>
      <w:r>
        <w:rPr>
          <w:spacing w:val="-5"/>
        </w:rPr>
        <w:t> </w:t>
      </w:r>
      <w:r>
        <w:rPr/>
        <w:t>moved</w:t>
      </w:r>
      <w:r>
        <w:rPr>
          <w:spacing w:val="-5"/>
        </w:rPr>
        <w:t> </w:t>
      </w:r>
      <w:r>
        <w:rPr/>
        <w:t>into a</w:t>
      </w:r>
      <w:r>
        <w:rPr>
          <w:spacing w:val="-5"/>
        </w:rPr>
        <w:t> </w:t>
      </w:r>
      <w:r>
        <w:rPr/>
        <w:t>new trading </w:t>
      </w:r>
      <w:r>
        <w:rPr>
          <w:spacing w:val="2"/>
        </w:rPr>
        <w:t>range. </w:t>
      </w:r>
      <w:r>
        <w:rPr/>
        <w:t>The changing pattern </w:t>
      </w:r>
      <w:r>
        <w:rPr>
          <w:spacing w:val="3"/>
        </w:rPr>
        <w:t>of </w:t>
      </w:r>
      <w:r>
        <w:rPr/>
        <w:t>differentials in </w:t>
      </w:r>
      <w:r>
        <w:rPr>
          <w:spacing w:val="5"/>
        </w:rPr>
        <w:t>official </w:t>
      </w:r>
      <w:r>
        <w:rPr/>
        <w:t>interest rates internationally was thought by many </w:t>
      </w:r>
      <w:r>
        <w:rPr>
          <w:spacing w:val="3"/>
        </w:rPr>
        <w:t>to </w:t>
      </w:r>
      <w:r>
        <w:rPr/>
        <w:t>be an important </w:t>
      </w:r>
      <w:r>
        <w:rPr>
          <w:spacing w:val="2"/>
        </w:rPr>
        <w:t>factor, </w:t>
      </w:r>
      <w:r>
        <w:rPr/>
        <w:t>as were signs </w:t>
      </w:r>
      <w:r>
        <w:rPr>
          <w:spacing w:val="3"/>
        </w:rPr>
        <w:t>of </w:t>
      </w:r>
      <w:r>
        <w:rPr/>
        <w:t>growth in </w:t>
      </w:r>
      <w:r>
        <w:rPr>
          <w:spacing w:val="4"/>
        </w:rPr>
        <w:t>other </w:t>
      </w:r>
      <w:r>
        <w:rPr/>
        <w:t>economies. For these reasons corporate demand for sterling had been less apparent at these levels than before. Data from </w:t>
      </w:r>
      <w:r>
        <w:rPr>
          <w:spacing w:val="4"/>
        </w:rPr>
        <w:t>options </w:t>
      </w:r>
      <w:r>
        <w:rPr/>
        <w:t>markets had suggested that the market saw risks as being </w:t>
      </w:r>
      <w:r>
        <w:rPr>
          <w:spacing w:val="2"/>
        </w:rPr>
        <w:t>on </w:t>
      </w:r>
      <w:r>
        <w:rPr/>
        <w:t>the downside for sterling against both the euro and the</w:t>
      </w:r>
      <w:r>
        <w:rPr>
          <w:spacing w:val="5"/>
        </w:rPr>
        <w:t> </w:t>
      </w:r>
      <w:r>
        <w:rPr/>
        <w:t>dollar.</w:t>
      </w:r>
    </w:p>
    <w:sectPr>
      <w:pgSz w:w="11900" w:h="16840"/>
      <w:pgMar w:header="719" w:footer="0" w:top="134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1.23999pt;margin-top:27.986641pt;width:12pt;height:15.3pt;mso-position-horizontal-relative:page;mso-position-vertical-relative:page;z-index:-25203200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679993pt;margin-top:34.94664pt;width:18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1140" w:hanging="221"/>
        <w:jc w:val="left"/>
      </w:pPr>
      <w:rPr>
        <w:rFonts w:hint="default" w:ascii="Times New Roman" w:hAnsi="Times New Roman" w:eastAsia="Times New Roman" w:cs="Times New Roman"/>
        <w:b/>
        <w:bCs/>
        <w:w w:val="98"/>
        <w:sz w:val="24"/>
        <w:szCs w:val="24"/>
      </w:rPr>
    </w:lvl>
    <w:lvl w:ilvl="1">
      <w:start w:val="0"/>
      <w:numFmt w:val="bullet"/>
      <w:lvlText w:val="•"/>
      <w:lvlJc w:val="left"/>
      <w:pPr>
        <w:ind w:left="2042" w:hanging="221"/>
      </w:pPr>
      <w:rPr>
        <w:rFonts w:hint="default"/>
      </w:rPr>
    </w:lvl>
    <w:lvl w:ilvl="2">
      <w:start w:val="0"/>
      <w:numFmt w:val="bullet"/>
      <w:lvlText w:val="•"/>
      <w:lvlJc w:val="left"/>
      <w:pPr>
        <w:ind w:left="2944" w:hanging="221"/>
      </w:pPr>
      <w:rPr>
        <w:rFonts w:hint="default"/>
      </w:rPr>
    </w:lvl>
    <w:lvl w:ilvl="3">
      <w:start w:val="0"/>
      <w:numFmt w:val="bullet"/>
      <w:lvlText w:val="•"/>
      <w:lvlJc w:val="left"/>
      <w:pPr>
        <w:ind w:left="3846" w:hanging="221"/>
      </w:pPr>
      <w:rPr>
        <w:rFonts w:hint="default"/>
      </w:rPr>
    </w:lvl>
    <w:lvl w:ilvl="4">
      <w:start w:val="0"/>
      <w:numFmt w:val="bullet"/>
      <w:lvlText w:val="•"/>
      <w:lvlJc w:val="left"/>
      <w:pPr>
        <w:ind w:left="4748" w:hanging="221"/>
      </w:pPr>
      <w:rPr>
        <w:rFonts w:hint="default"/>
      </w:rPr>
    </w:lvl>
    <w:lvl w:ilvl="5">
      <w:start w:val="0"/>
      <w:numFmt w:val="bullet"/>
      <w:lvlText w:val="•"/>
      <w:lvlJc w:val="left"/>
      <w:pPr>
        <w:ind w:left="5650" w:hanging="221"/>
      </w:pPr>
      <w:rPr>
        <w:rFonts w:hint="default"/>
      </w:rPr>
    </w:lvl>
    <w:lvl w:ilvl="6">
      <w:start w:val="0"/>
      <w:numFmt w:val="bullet"/>
      <w:lvlText w:val="•"/>
      <w:lvlJc w:val="left"/>
      <w:pPr>
        <w:ind w:left="6552" w:hanging="221"/>
      </w:pPr>
      <w:rPr>
        <w:rFonts w:hint="default"/>
      </w:rPr>
    </w:lvl>
    <w:lvl w:ilvl="7">
      <w:start w:val="0"/>
      <w:numFmt w:val="bullet"/>
      <w:lvlText w:val="•"/>
      <w:lvlJc w:val="left"/>
      <w:pPr>
        <w:ind w:left="7454" w:hanging="221"/>
      </w:pPr>
      <w:rPr>
        <w:rFonts w:hint="default"/>
      </w:rPr>
    </w:lvl>
    <w:lvl w:ilvl="8">
      <w:start w:val="0"/>
      <w:numFmt w:val="bullet"/>
      <w:lvlText w:val="•"/>
      <w:lvlJc w:val="left"/>
      <w:pPr>
        <w:ind w:left="8356" w:hanging="221"/>
      </w:pPr>
      <w:rPr>
        <w:rFonts w:hint="default"/>
      </w:rPr>
    </w:lvl>
  </w:abstractNum>
  <w:abstractNum w:abstractNumId="1">
    <w:multiLevelType w:val="hybridMultilevel"/>
    <w:lvl w:ilvl="0">
      <w:start w:val="4"/>
      <w:numFmt w:val="decimal"/>
      <w:lvlText w:val="%1"/>
      <w:lvlJc w:val="left"/>
      <w:pPr>
        <w:ind w:left="924" w:hanging="360"/>
        <w:jc w:val="left"/>
      </w:pPr>
      <w:rPr>
        <w:rFonts w:hint="default" w:ascii="Times New Roman" w:hAnsi="Times New Roman" w:eastAsia="Times New Roman" w:cs="Times New Roman"/>
        <w:w w:val="86"/>
        <w:sz w:val="24"/>
        <w:szCs w:val="24"/>
      </w:rPr>
    </w:lvl>
    <w:lvl w:ilvl="1">
      <w:start w:val="0"/>
      <w:numFmt w:val="bullet"/>
      <w:lvlText w:val="•"/>
      <w:lvlJc w:val="left"/>
      <w:pPr>
        <w:ind w:left="1844" w:hanging="360"/>
      </w:pPr>
      <w:rPr>
        <w:rFonts w:hint="default"/>
      </w:rPr>
    </w:lvl>
    <w:lvl w:ilvl="2">
      <w:start w:val="0"/>
      <w:numFmt w:val="bullet"/>
      <w:lvlText w:val="•"/>
      <w:lvlJc w:val="left"/>
      <w:pPr>
        <w:ind w:left="2768" w:hanging="360"/>
      </w:pPr>
      <w:rPr>
        <w:rFonts w:hint="default"/>
      </w:rPr>
    </w:lvl>
    <w:lvl w:ilvl="3">
      <w:start w:val="0"/>
      <w:numFmt w:val="bullet"/>
      <w:lvlText w:val="•"/>
      <w:lvlJc w:val="left"/>
      <w:pPr>
        <w:ind w:left="3692" w:hanging="360"/>
      </w:pPr>
      <w:rPr>
        <w:rFonts w:hint="default"/>
      </w:rPr>
    </w:lvl>
    <w:lvl w:ilvl="4">
      <w:start w:val="0"/>
      <w:numFmt w:val="bullet"/>
      <w:lvlText w:val="•"/>
      <w:lvlJc w:val="left"/>
      <w:pPr>
        <w:ind w:left="4616" w:hanging="360"/>
      </w:pPr>
      <w:rPr>
        <w:rFonts w:hint="default"/>
      </w:rPr>
    </w:lvl>
    <w:lvl w:ilvl="5">
      <w:start w:val="0"/>
      <w:numFmt w:val="bullet"/>
      <w:lvlText w:val="•"/>
      <w:lvlJc w:val="left"/>
      <w:pPr>
        <w:ind w:left="5540" w:hanging="360"/>
      </w:pPr>
      <w:rPr>
        <w:rFonts w:hint="default"/>
      </w:rPr>
    </w:lvl>
    <w:lvl w:ilvl="6">
      <w:start w:val="0"/>
      <w:numFmt w:val="bullet"/>
      <w:lvlText w:val="•"/>
      <w:lvlJc w:val="left"/>
      <w:pPr>
        <w:ind w:left="6464" w:hanging="360"/>
      </w:pPr>
      <w:rPr>
        <w:rFonts w:hint="default"/>
      </w:rPr>
    </w:lvl>
    <w:lvl w:ilvl="7">
      <w:start w:val="0"/>
      <w:numFmt w:val="bullet"/>
      <w:lvlText w:val="•"/>
      <w:lvlJc w:val="left"/>
      <w:pPr>
        <w:ind w:left="7388" w:hanging="360"/>
      </w:pPr>
      <w:rPr>
        <w:rFonts w:hint="default"/>
      </w:rPr>
    </w:lvl>
    <w:lvl w:ilvl="8">
      <w:start w:val="0"/>
      <w:numFmt w:val="bullet"/>
      <w:lvlText w:val="•"/>
      <w:lvlJc w:val="left"/>
      <w:pPr>
        <w:ind w:left="8312" w:hanging="360"/>
      </w:pPr>
      <w:rPr>
        <w:rFonts w:hint="default"/>
      </w:rPr>
    </w:lvl>
  </w:abstractNum>
  <w:abstractNum w:abstractNumId="0">
    <w:multiLevelType w:val="hybridMultilevel"/>
    <w:lvl w:ilvl="0">
      <w:start w:val="1"/>
      <w:numFmt w:val="decimal"/>
      <w:lvlText w:val="%1"/>
      <w:lvlJc w:val="left"/>
      <w:pPr>
        <w:ind w:left="924" w:hanging="360"/>
        <w:jc w:val="left"/>
      </w:pPr>
      <w:rPr>
        <w:rFonts w:hint="default" w:ascii="Times New Roman" w:hAnsi="Times New Roman" w:eastAsia="Times New Roman" w:cs="Times New Roman"/>
        <w:w w:val="86"/>
        <w:sz w:val="24"/>
        <w:szCs w:val="24"/>
      </w:rPr>
    </w:lvl>
    <w:lvl w:ilvl="1">
      <w:start w:val="0"/>
      <w:numFmt w:val="bullet"/>
      <w:lvlText w:val="•"/>
      <w:lvlJc w:val="left"/>
      <w:pPr>
        <w:ind w:left="1844" w:hanging="360"/>
      </w:pPr>
      <w:rPr>
        <w:rFonts w:hint="default"/>
      </w:rPr>
    </w:lvl>
    <w:lvl w:ilvl="2">
      <w:start w:val="0"/>
      <w:numFmt w:val="bullet"/>
      <w:lvlText w:val="•"/>
      <w:lvlJc w:val="left"/>
      <w:pPr>
        <w:ind w:left="2768" w:hanging="360"/>
      </w:pPr>
      <w:rPr>
        <w:rFonts w:hint="default"/>
      </w:rPr>
    </w:lvl>
    <w:lvl w:ilvl="3">
      <w:start w:val="0"/>
      <w:numFmt w:val="bullet"/>
      <w:lvlText w:val="•"/>
      <w:lvlJc w:val="left"/>
      <w:pPr>
        <w:ind w:left="3692" w:hanging="360"/>
      </w:pPr>
      <w:rPr>
        <w:rFonts w:hint="default"/>
      </w:rPr>
    </w:lvl>
    <w:lvl w:ilvl="4">
      <w:start w:val="0"/>
      <w:numFmt w:val="bullet"/>
      <w:lvlText w:val="•"/>
      <w:lvlJc w:val="left"/>
      <w:pPr>
        <w:ind w:left="4616" w:hanging="360"/>
      </w:pPr>
      <w:rPr>
        <w:rFonts w:hint="default"/>
      </w:rPr>
    </w:lvl>
    <w:lvl w:ilvl="5">
      <w:start w:val="0"/>
      <w:numFmt w:val="bullet"/>
      <w:lvlText w:val="•"/>
      <w:lvlJc w:val="left"/>
      <w:pPr>
        <w:ind w:left="5540" w:hanging="360"/>
      </w:pPr>
      <w:rPr>
        <w:rFonts w:hint="default"/>
      </w:rPr>
    </w:lvl>
    <w:lvl w:ilvl="6">
      <w:start w:val="0"/>
      <w:numFmt w:val="bullet"/>
      <w:lvlText w:val="•"/>
      <w:lvlJc w:val="left"/>
      <w:pPr>
        <w:ind w:left="6464" w:hanging="360"/>
      </w:pPr>
      <w:rPr>
        <w:rFonts w:hint="default"/>
      </w:rPr>
    </w:lvl>
    <w:lvl w:ilvl="7">
      <w:start w:val="0"/>
      <w:numFmt w:val="bullet"/>
      <w:lvlText w:val="•"/>
      <w:lvlJc w:val="left"/>
      <w:pPr>
        <w:ind w:left="7388" w:hanging="360"/>
      </w:pPr>
      <w:rPr>
        <w:rFonts w:hint="default"/>
      </w:rPr>
    </w:lvl>
    <w:lvl w:ilvl="8">
      <w:start w:val="0"/>
      <w:numFmt w:val="bullet"/>
      <w:lvlText w:val="•"/>
      <w:lvlJc w:val="left"/>
      <w:pPr>
        <w:ind w:left="831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59"/>
      <w:ind w:left="92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92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2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subject>Minutes of meeting held on 7 &amp; 8 July 1999</dc:subject>
  <dc:title>Monetary Policy Committee minutes</dc:title>
  <dcterms:created xsi:type="dcterms:W3CDTF">2020-06-02T20:52:02Z</dcterms:created>
  <dcterms:modified xsi:type="dcterms:W3CDTF">2020-06-02T20:52:02Z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1999-07-19T00:00:00Z</vt:filetime>
  </property>
  <property fmtid="{D5CDD505-2E9C-101B-9397-08002B2CF9AE}" pid="3" name="LastSaved">
    <vt:filetime>2020-06-02T00:00:00Z</vt:filetime>
  </property>
</Properties>
</file>