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6"/>
        <w:ind w:left="100" w:right="0" w:firstLine="0"/>
        <w:jc w:val="left"/>
        <w:rPr>
          <w:rFonts w:ascii="Arial"/>
          <w:sz w:val="36"/>
        </w:rPr>
      </w:pPr>
      <w:r>
        <w:rPr>
          <w:rFonts w:ascii="Arial"/>
          <w:color w:val="231F20"/>
          <w:sz w:val="36"/>
        </w:rPr>
        <w:t>Publication date: 22 December 1999</w:t>
      </w:r>
    </w:p>
    <w:p>
      <w:pPr>
        <w:pStyle w:val="BodyText"/>
        <w:rPr>
          <w:rFonts w:ascii="Arial"/>
          <w:sz w:val="20"/>
        </w:rPr>
      </w:pPr>
    </w:p>
    <w:p>
      <w:pPr>
        <w:pStyle w:val="BodyText"/>
        <w:rPr>
          <w:rFonts w:ascii="Arial"/>
          <w:sz w:val="20"/>
        </w:rPr>
      </w:pPr>
    </w:p>
    <w:p>
      <w:pPr>
        <w:pStyle w:val="BodyText"/>
        <w:spacing w:before="2"/>
        <w:rPr>
          <w:rFonts w:ascii="Arial"/>
          <w:sz w:val="14"/>
        </w:rPr>
      </w:pPr>
      <w:r>
        <w:rPr/>
        <w:pict>
          <v:group style="position:absolute;margin-left:49pt;margin-top:10.123711pt;width:497.25pt;height:4.1pt;mso-position-horizontal-relative:page;mso-position-vertical-relative:paragraph;z-index:-251658240;mso-wrap-distance-left:0;mso-wrap-distance-right:0" coordorigin="980,202" coordsize="9945,82">
            <v:line style="position:absolute" from="980,222" to="10925,222" stroked="true" strokeweight="2pt" strokecolor="#231f20">
              <v:stroke dashstyle="solid"/>
            </v:line>
            <v:line style="position:absolute" from="980,277" to="10925,277" stroked="true" strokeweight=".62pt" strokecolor="#231f20">
              <v:stroke dashstyle="solid"/>
            </v:line>
            <w10:wrap type="topAndBottom"/>
          </v:group>
        </w:pict>
      </w:r>
    </w:p>
    <w:p>
      <w:pPr>
        <w:spacing w:line="252" w:lineRule="auto" w:before="18"/>
        <w:ind w:left="1791" w:right="1805" w:firstLine="2"/>
        <w:jc w:val="center"/>
        <w:rPr>
          <w:rFonts w:ascii="Arial"/>
          <w:b/>
          <w:sz w:val="56"/>
        </w:rPr>
      </w:pPr>
      <w:r>
        <w:rPr>
          <w:rFonts w:ascii="Arial"/>
          <w:b/>
          <w:color w:val="231F20"/>
          <w:w w:val="105"/>
          <w:sz w:val="48"/>
        </w:rPr>
        <w:t>MINUTES OF  </w:t>
      </w:r>
      <w:r>
        <w:rPr>
          <w:rFonts w:ascii="Arial"/>
          <w:b/>
          <w:color w:val="231F20"/>
          <w:spacing w:val="-11"/>
          <w:w w:val="105"/>
          <w:sz w:val="56"/>
        </w:rPr>
        <w:t>MONETARY </w:t>
      </w:r>
      <w:r>
        <w:rPr>
          <w:rFonts w:ascii="Arial"/>
          <w:b/>
          <w:color w:val="231F20"/>
          <w:w w:val="105"/>
          <w:sz w:val="56"/>
        </w:rPr>
        <w:t>POLICY COMMITTEE</w:t>
      </w:r>
      <w:r>
        <w:rPr>
          <w:rFonts w:ascii="Arial"/>
          <w:b/>
          <w:color w:val="231F20"/>
          <w:spacing w:val="13"/>
          <w:w w:val="105"/>
          <w:sz w:val="56"/>
        </w:rPr>
        <w:t> </w:t>
      </w:r>
      <w:r>
        <w:rPr>
          <w:rFonts w:ascii="Arial"/>
          <w:b/>
          <w:color w:val="231F20"/>
          <w:w w:val="105"/>
          <w:sz w:val="56"/>
        </w:rPr>
        <w:t>MEETING</w:t>
      </w:r>
    </w:p>
    <w:p>
      <w:pPr>
        <w:spacing w:before="19"/>
        <w:ind w:left="2425" w:right="2437" w:firstLine="0"/>
        <w:jc w:val="center"/>
        <w:rPr>
          <w:rFonts w:ascii="Arial"/>
          <w:b/>
          <w:sz w:val="48"/>
        </w:rPr>
      </w:pPr>
      <w:r>
        <w:rPr>
          <w:rFonts w:ascii="Arial"/>
          <w:b/>
          <w:color w:val="231F20"/>
          <w:sz w:val="48"/>
        </w:rPr>
        <w:t>8 and 9 December</w:t>
      </w:r>
      <w:r>
        <w:rPr>
          <w:rFonts w:ascii="Arial"/>
          <w:b/>
          <w:color w:val="231F20"/>
          <w:spacing w:val="-52"/>
          <w:sz w:val="48"/>
        </w:rPr>
        <w:t> </w:t>
      </w:r>
      <w:r>
        <w:rPr>
          <w:rFonts w:ascii="Arial"/>
          <w:b/>
          <w:color w:val="231F20"/>
          <w:sz w:val="48"/>
        </w:rPr>
        <w:t>1999</w:t>
      </w:r>
    </w:p>
    <w:p>
      <w:pPr>
        <w:pStyle w:val="BodyText"/>
        <w:spacing w:before="4"/>
        <w:rPr>
          <w:rFonts w:ascii="Arial"/>
          <w:b/>
          <w:sz w:val="15"/>
        </w:rPr>
      </w:pPr>
      <w:r>
        <w:rPr/>
        <w:pict>
          <v:group style="position:absolute;margin-left:49pt;margin-top:10.850547pt;width:497.25pt;height:3.95pt;mso-position-horizontal-relative:page;mso-position-vertical-relative:paragraph;z-index:-251657216;mso-wrap-distance-left:0;mso-wrap-distance-right:0" coordorigin="980,217" coordsize="9945,79">
            <v:line style="position:absolute" from="980,223" to="10925,223" stroked="true" strokeweight=".62pt" strokecolor="#231f20">
              <v:stroke dashstyle="solid"/>
            </v:line>
            <v:line style="position:absolute" from="980,276" to="10925,276" stroked="true" strokeweight="2pt" strokecolor="#231f20">
              <v:stroke dashstyle="solid"/>
            </v:line>
            <w10:wrap type="topAndBottom"/>
          </v:group>
        </w:pict>
      </w:r>
    </w:p>
    <w:p>
      <w:pPr>
        <w:pStyle w:val="BodyText"/>
        <w:rPr>
          <w:rFonts w:ascii="Arial"/>
          <w:b/>
          <w:sz w:val="52"/>
        </w:rPr>
      </w:pPr>
    </w:p>
    <w:p>
      <w:pPr>
        <w:pStyle w:val="BodyText"/>
        <w:spacing w:before="7"/>
        <w:rPr>
          <w:rFonts w:ascii="Arial"/>
          <w:b/>
          <w:sz w:val="56"/>
        </w:rPr>
      </w:pPr>
    </w:p>
    <w:p>
      <w:pPr>
        <w:spacing w:line="288" w:lineRule="auto" w:before="1"/>
        <w:ind w:left="100" w:right="1423" w:firstLine="0"/>
        <w:jc w:val="left"/>
        <w:rPr>
          <w:rFonts w:ascii="Arial"/>
          <w:sz w:val="26"/>
        </w:rPr>
      </w:pPr>
      <w:r>
        <w:rPr>
          <w:rFonts w:ascii="Arial"/>
          <w:color w:val="231F20"/>
          <w:sz w:val="26"/>
        </w:rPr>
        <w:t>These are the minutes of the Monetary Policy Committee meeting held on S and 9 December 1999.</w:t>
      </w:r>
    </w:p>
    <w:p>
      <w:pPr>
        <w:spacing w:before="2"/>
        <w:ind w:left="100" w:right="0" w:firstLine="0"/>
        <w:jc w:val="left"/>
        <w:rPr>
          <w:rFonts w:ascii="Arial"/>
          <w:sz w:val="24"/>
        </w:rPr>
      </w:pPr>
      <w:r>
        <w:rPr>
          <w:rFonts w:ascii="Arial"/>
          <w:color w:val="231F20"/>
          <w:w w:val="105"/>
          <w:sz w:val="26"/>
        </w:rPr>
        <w:t>They are also available on the Internet </w:t>
      </w:r>
      <w:hyperlink r:id="rId5">
        <w:r>
          <w:rPr>
            <w:rFonts w:ascii="Arial"/>
            <w:color w:val="231F20"/>
            <w:w w:val="105"/>
            <w:sz w:val="24"/>
          </w:rPr>
          <w:t>(http://ww</w:t>
        </w:r>
      </w:hyperlink>
      <w:r>
        <w:rPr>
          <w:rFonts w:ascii="Arial"/>
          <w:color w:val="231F20"/>
          <w:w w:val="105"/>
          <w:sz w:val="24"/>
        </w:rPr>
        <w:t>w</w:t>
      </w:r>
      <w:hyperlink r:id="rId5">
        <w:r>
          <w:rPr>
            <w:rFonts w:ascii="Arial"/>
            <w:color w:val="231F20"/>
            <w:w w:val="105"/>
            <w:sz w:val="24"/>
          </w:rPr>
          <w:t>.bankofengland.co.uk/mpc9912.pdf).</w:t>
        </w:r>
      </w:hyperlink>
    </w:p>
    <w:p>
      <w:pPr>
        <w:pStyle w:val="BodyText"/>
        <w:spacing w:before="2"/>
        <w:rPr>
          <w:rFonts w:ascii="Arial"/>
          <w:sz w:val="26"/>
        </w:rPr>
      </w:pPr>
    </w:p>
    <w:p>
      <w:pPr>
        <w:spacing w:line="288" w:lineRule="auto" w:before="0"/>
        <w:ind w:left="100" w:right="173" w:firstLine="0"/>
        <w:jc w:val="left"/>
        <w:rPr>
          <w:rFonts w:ascii="Arial"/>
          <w:sz w:val="26"/>
        </w:rPr>
      </w:pPr>
      <w:r>
        <w:rPr>
          <w:rFonts w:ascii="Arial"/>
          <w:color w:val="231F20"/>
          <w:sz w:val="26"/>
        </w:rPr>
        <w:t>The Bank of England Act 199S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Arial"/>
          <w:color w:val="231F20"/>
          <w:spacing w:val="-3"/>
          <w:sz w:val="26"/>
        </w:rPr>
        <w:t>Wednesday </w:t>
      </w:r>
      <w:r>
        <w:rPr>
          <w:rFonts w:ascii="Arial"/>
          <w:color w:val="231F20"/>
          <w:sz w:val="26"/>
        </w:rPr>
        <w:t>of the second week after the meeting takes place. </w:t>
      </w:r>
      <w:r>
        <w:rPr>
          <w:rFonts w:ascii="Arial"/>
          <w:color w:val="231F20"/>
          <w:spacing w:val="-3"/>
          <w:sz w:val="26"/>
        </w:rPr>
        <w:t>Accordingly, </w:t>
      </w:r>
      <w:r>
        <w:rPr>
          <w:rFonts w:ascii="Arial"/>
          <w:color w:val="231F20"/>
          <w:sz w:val="26"/>
        </w:rPr>
        <w:t>the minutes of the Committee meeting held on 12 and 13 January will be published</w:t>
      </w:r>
      <w:r>
        <w:rPr>
          <w:rFonts w:ascii="Arial"/>
          <w:color w:val="231F20"/>
          <w:spacing w:val="60"/>
          <w:sz w:val="26"/>
        </w:rPr>
        <w:t> </w:t>
      </w:r>
      <w:r>
        <w:rPr>
          <w:rFonts w:ascii="Arial"/>
          <w:color w:val="231F20"/>
          <w:sz w:val="26"/>
        </w:rPr>
        <w:t>on</w:t>
      </w:r>
    </w:p>
    <w:p>
      <w:pPr>
        <w:spacing w:before="8"/>
        <w:ind w:left="100" w:right="0" w:firstLine="0"/>
        <w:jc w:val="left"/>
        <w:rPr>
          <w:rFonts w:ascii="Arial"/>
          <w:sz w:val="26"/>
        </w:rPr>
      </w:pPr>
      <w:r>
        <w:rPr>
          <w:rFonts w:ascii="Arial"/>
          <w:color w:val="231F20"/>
          <w:sz w:val="26"/>
        </w:rPr>
        <w:t>26 January 2000.</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4"/>
        <w:rPr>
          <w:rFonts w:ascii="Arial"/>
          <w:sz w:val="19"/>
        </w:rPr>
      </w:pPr>
      <w:r>
        <w:rPr/>
        <w:drawing>
          <wp:anchor distT="0" distB="0" distL="0" distR="0" allowOverlap="1" layoutInCell="1" locked="0" behindDoc="0" simplePos="0" relativeHeight="2">
            <wp:simplePos x="0" y="0"/>
            <wp:positionH relativeFrom="page">
              <wp:posOffset>5326279</wp:posOffset>
            </wp:positionH>
            <wp:positionV relativeFrom="paragraph">
              <wp:posOffset>166233</wp:posOffset>
            </wp:positionV>
            <wp:extent cx="1473517" cy="1438846"/>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73517" cy="1438846"/>
                    </a:xfrm>
                    <a:prstGeom prst="rect">
                      <a:avLst/>
                    </a:prstGeom>
                  </pic:spPr>
                </pic:pic>
              </a:graphicData>
            </a:graphic>
          </wp:anchor>
        </w:drawing>
      </w:r>
    </w:p>
    <w:p>
      <w:pPr>
        <w:spacing w:after="0"/>
        <w:rPr>
          <w:rFonts w:ascii="Arial"/>
          <w:sz w:val="19"/>
        </w:rPr>
        <w:sectPr>
          <w:type w:val="continuous"/>
          <w:pgSz w:w="11920" w:h="16840"/>
          <w:pgMar w:top="1340" w:bottom="280" w:left="880" w:right="880"/>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
        <w:rPr>
          <w:rFonts w:ascii="Arial"/>
          <w:sz w:val="19"/>
        </w:rPr>
      </w:pPr>
    </w:p>
    <w:p>
      <w:pPr>
        <w:spacing w:before="86"/>
        <w:ind w:left="136" w:right="0" w:firstLine="0"/>
        <w:jc w:val="left"/>
        <w:rPr>
          <w:b/>
          <w:sz w:val="28"/>
        </w:rPr>
      </w:pPr>
      <w:r>
        <w:rPr>
          <w:b/>
          <w:sz w:val="28"/>
        </w:rPr>
        <w:t>MINUTES OF THE MONETARY POLICY COMMITTEE MEETING HELD ON 8-9 DECEMBER 1999</w:t>
      </w:r>
    </w:p>
    <w:p>
      <w:pPr>
        <w:pStyle w:val="BodyText"/>
        <w:spacing w:before="5"/>
        <w:rPr>
          <w:b/>
          <w:sz w:val="27"/>
        </w:rPr>
      </w:pPr>
    </w:p>
    <w:p>
      <w:pPr>
        <w:pStyle w:val="ListParagraph"/>
        <w:numPr>
          <w:ilvl w:val="0"/>
          <w:numId w:val="1"/>
        </w:numPr>
        <w:tabs>
          <w:tab w:pos="496" w:val="left" w:leader="none"/>
          <w:tab w:pos="497" w:val="left" w:leader="none"/>
        </w:tabs>
        <w:spacing w:line="312" w:lineRule="auto" w:before="0" w:after="0"/>
        <w:ind w:left="136" w:right="399" w:firstLine="0"/>
        <w:jc w:val="left"/>
        <w:rPr>
          <w:sz w:val="24"/>
        </w:rPr>
      </w:pPr>
      <w:r>
        <w:rPr>
          <w:sz w:val="24"/>
        </w:rPr>
        <w:t>Before</w:t>
      </w:r>
      <w:r>
        <w:rPr>
          <w:spacing w:val="-7"/>
          <w:sz w:val="24"/>
        </w:rPr>
        <w:t> </w:t>
      </w:r>
      <w:r>
        <w:rPr>
          <w:sz w:val="24"/>
        </w:rPr>
        <w:t>turning</w:t>
      </w:r>
      <w:r>
        <w:rPr>
          <w:spacing w:val="-7"/>
          <w:sz w:val="24"/>
        </w:rPr>
        <w:t> </w:t>
      </w:r>
      <w:r>
        <w:rPr>
          <w:spacing w:val="3"/>
          <w:sz w:val="24"/>
        </w:rPr>
        <w:t>to</w:t>
      </w:r>
      <w:r>
        <w:rPr>
          <w:spacing w:val="-3"/>
          <w:sz w:val="24"/>
        </w:rPr>
        <w:t> </w:t>
      </w:r>
      <w:r>
        <w:rPr>
          <w:sz w:val="24"/>
        </w:rPr>
        <w:t>the</w:t>
      </w:r>
      <w:r>
        <w:rPr>
          <w:spacing w:val="-7"/>
          <w:sz w:val="24"/>
        </w:rPr>
        <w:t> </w:t>
      </w:r>
      <w:r>
        <w:rPr>
          <w:sz w:val="24"/>
        </w:rPr>
        <w:t>immediate</w:t>
      </w:r>
      <w:r>
        <w:rPr>
          <w:spacing w:val="-7"/>
          <w:sz w:val="24"/>
        </w:rPr>
        <w:t> </w:t>
      </w:r>
      <w:r>
        <w:rPr>
          <w:sz w:val="24"/>
        </w:rPr>
        <w:t>policy</w:t>
      </w:r>
      <w:r>
        <w:rPr>
          <w:spacing w:val="-6"/>
          <w:sz w:val="24"/>
        </w:rPr>
        <w:t> </w:t>
      </w:r>
      <w:r>
        <w:rPr>
          <w:sz w:val="24"/>
        </w:rPr>
        <w:t>decision,</w:t>
      </w:r>
      <w:r>
        <w:rPr>
          <w:spacing w:val="-7"/>
          <w:sz w:val="24"/>
        </w:rPr>
        <w:t> </w:t>
      </w:r>
      <w:r>
        <w:rPr>
          <w:sz w:val="24"/>
        </w:rPr>
        <w:t>the</w:t>
      </w:r>
      <w:r>
        <w:rPr>
          <w:spacing w:val="-7"/>
          <w:sz w:val="24"/>
        </w:rPr>
        <w:t> </w:t>
      </w:r>
      <w:r>
        <w:rPr>
          <w:sz w:val="24"/>
        </w:rPr>
        <w:t>Committee</w:t>
      </w:r>
      <w:r>
        <w:rPr>
          <w:spacing w:val="-7"/>
          <w:sz w:val="24"/>
        </w:rPr>
        <w:t> </w:t>
      </w:r>
      <w:r>
        <w:rPr>
          <w:sz w:val="24"/>
        </w:rPr>
        <w:t>discussed</w:t>
      </w:r>
      <w:r>
        <w:rPr>
          <w:spacing w:val="-7"/>
          <w:sz w:val="24"/>
        </w:rPr>
        <w:t> </w:t>
      </w:r>
      <w:r>
        <w:rPr>
          <w:sz w:val="24"/>
        </w:rPr>
        <w:t>demand</w:t>
      </w:r>
      <w:r>
        <w:rPr>
          <w:spacing w:val="-7"/>
          <w:sz w:val="24"/>
        </w:rPr>
        <w:t> </w:t>
      </w:r>
      <w:r>
        <w:rPr>
          <w:sz w:val="24"/>
        </w:rPr>
        <w:t>and</w:t>
      </w:r>
      <w:r>
        <w:rPr>
          <w:spacing w:val="-7"/>
          <w:sz w:val="24"/>
        </w:rPr>
        <w:t> </w:t>
      </w:r>
      <w:r>
        <w:rPr>
          <w:spacing w:val="2"/>
          <w:sz w:val="24"/>
        </w:rPr>
        <w:t>output</w:t>
      </w:r>
      <w:r>
        <w:rPr>
          <w:spacing w:val="-27"/>
          <w:sz w:val="24"/>
        </w:rPr>
        <w:t> </w:t>
      </w:r>
      <w:r>
        <w:rPr>
          <w:sz w:val="24"/>
        </w:rPr>
        <w:t>; money and asset prices; prices and costs; the world economy; the labour market; and </w:t>
      </w:r>
      <w:r>
        <w:rPr>
          <w:spacing w:val="3"/>
          <w:sz w:val="24"/>
        </w:rPr>
        <w:t>other </w:t>
      </w:r>
      <w:r>
        <w:rPr>
          <w:sz w:val="24"/>
        </w:rPr>
        <w:t>considerations relevant </w:t>
      </w:r>
      <w:r>
        <w:rPr>
          <w:spacing w:val="3"/>
          <w:sz w:val="24"/>
        </w:rPr>
        <w:t>to </w:t>
      </w:r>
      <w:r>
        <w:rPr>
          <w:sz w:val="24"/>
        </w:rPr>
        <w:t>the</w:t>
      </w:r>
      <w:r>
        <w:rPr>
          <w:spacing w:val="9"/>
          <w:sz w:val="24"/>
        </w:rPr>
        <w:t> </w:t>
      </w:r>
      <w:r>
        <w:rPr>
          <w:sz w:val="24"/>
        </w:rPr>
        <w:t>decision.</w:t>
      </w:r>
    </w:p>
    <w:p>
      <w:pPr>
        <w:pStyle w:val="BodyText"/>
        <w:spacing w:before="7"/>
        <w:rPr>
          <w:sz w:val="31"/>
        </w:rPr>
      </w:pPr>
    </w:p>
    <w:p>
      <w:pPr>
        <w:pStyle w:val="Heading1"/>
        <w:ind w:left="136"/>
      </w:pPr>
      <w:r>
        <w:rPr/>
        <w:t>Demand and output</w:t>
      </w:r>
    </w:p>
    <w:p>
      <w:pPr>
        <w:pStyle w:val="BodyText"/>
        <w:spacing w:before="9"/>
        <w:rPr>
          <w:b/>
          <w:sz w:val="37"/>
        </w:rPr>
      </w:pPr>
    </w:p>
    <w:p>
      <w:pPr>
        <w:pStyle w:val="ListParagraph"/>
        <w:numPr>
          <w:ilvl w:val="0"/>
          <w:numId w:val="1"/>
        </w:numPr>
        <w:tabs>
          <w:tab w:pos="496" w:val="left" w:leader="none"/>
          <w:tab w:pos="497" w:val="left" w:leader="none"/>
        </w:tabs>
        <w:spacing w:line="312" w:lineRule="auto" w:before="0" w:after="0"/>
        <w:ind w:left="136" w:right="214" w:firstLine="0"/>
        <w:jc w:val="left"/>
        <w:rPr>
          <w:sz w:val="24"/>
        </w:rPr>
      </w:pPr>
      <w:r>
        <w:rPr>
          <w:sz w:val="24"/>
        </w:rPr>
        <w:t>Final domestic demand in Q3 had turned </w:t>
      </w:r>
      <w:r>
        <w:rPr>
          <w:spacing w:val="3"/>
          <w:sz w:val="24"/>
        </w:rPr>
        <w:t>out </w:t>
      </w:r>
      <w:r>
        <w:rPr>
          <w:sz w:val="24"/>
        </w:rPr>
        <w:t>as expected at the time </w:t>
      </w:r>
      <w:r>
        <w:rPr>
          <w:spacing w:val="2"/>
          <w:sz w:val="24"/>
        </w:rPr>
        <w:t>of </w:t>
      </w:r>
      <w:r>
        <w:rPr>
          <w:sz w:val="24"/>
        </w:rPr>
        <w:t>the November </w:t>
      </w:r>
      <w:r>
        <w:rPr>
          <w:i/>
          <w:sz w:val="24"/>
        </w:rPr>
        <w:t>Inflation </w:t>
      </w:r>
      <w:r>
        <w:rPr>
          <w:i/>
          <w:sz w:val="24"/>
        </w:rPr>
        <w:t>Report</w:t>
      </w:r>
      <w:r>
        <w:rPr>
          <w:sz w:val="24"/>
        </w:rPr>
        <w:t>. However, consumption had been a little stronger than expected, while investment was a little weaker. On the basis </w:t>
      </w:r>
      <w:r>
        <w:rPr>
          <w:spacing w:val="2"/>
          <w:sz w:val="24"/>
        </w:rPr>
        <w:t>of </w:t>
      </w:r>
      <w:r>
        <w:rPr>
          <w:sz w:val="24"/>
        </w:rPr>
        <w:t>the pattern </w:t>
      </w:r>
      <w:r>
        <w:rPr>
          <w:spacing w:val="2"/>
          <w:sz w:val="24"/>
        </w:rPr>
        <w:t>of </w:t>
      </w:r>
      <w:r>
        <w:rPr>
          <w:sz w:val="24"/>
        </w:rPr>
        <w:t>revisions </w:t>
      </w:r>
      <w:r>
        <w:rPr>
          <w:spacing w:val="3"/>
          <w:sz w:val="24"/>
        </w:rPr>
        <w:t>over </w:t>
      </w:r>
      <w:r>
        <w:rPr>
          <w:sz w:val="24"/>
        </w:rPr>
        <w:t>recent years, it was quite possible that the Q3 investment figures could be revised up. However, it was also possible that the weaker figures partly </w:t>
      </w:r>
      <w:r>
        <w:rPr>
          <w:spacing w:val="2"/>
          <w:sz w:val="24"/>
        </w:rPr>
        <w:t>reflected </w:t>
      </w:r>
      <w:r>
        <w:rPr>
          <w:sz w:val="24"/>
        </w:rPr>
        <w:t>a ‘millennium </w:t>
      </w:r>
      <w:r>
        <w:rPr>
          <w:spacing w:val="3"/>
          <w:sz w:val="24"/>
        </w:rPr>
        <w:t>pause’ </w:t>
      </w:r>
      <w:r>
        <w:rPr>
          <w:sz w:val="24"/>
        </w:rPr>
        <w:t>in </w:t>
      </w:r>
      <w:r>
        <w:rPr>
          <w:spacing w:val="2"/>
          <w:sz w:val="24"/>
        </w:rPr>
        <w:t>IT-related </w:t>
      </w:r>
      <w:r>
        <w:rPr>
          <w:sz w:val="24"/>
        </w:rPr>
        <w:t>investment spending. </w:t>
      </w:r>
      <w:r>
        <w:rPr>
          <w:spacing w:val="2"/>
          <w:sz w:val="24"/>
        </w:rPr>
        <w:t>The</w:t>
      </w:r>
      <w:r>
        <w:rPr>
          <w:spacing w:val="-39"/>
          <w:sz w:val="24"/>
        </w:rPr>
        <w:t> </w:t>
      </w:r>
      <w:r>
        <w:rPr>
          <w:sz w:val="24"/>
        </w:rPr>
        <w:t>slightly</w:t>
      </w:r>
    </w:p>
    <w:p>
      <w:pPr>
        <w:pStyle w:val="BodyText"/>
        <w:spacing w:line="312" w:lineRule="auto" w:before="2"/>
        <w:ind w:left="136" w:right="227"/>
      </w:pPr>
      <w:r>
        <w:rPr/>
        <w:t>stronger-than-expected consumption numbers reflected the ONS’ attempts to capture the changing seasonal pattern of car registrations. The figures for consumption growth in the first half of the year could therefore be revised down, reflecting the latest estimates of the seasonal factors, when the National Accounts for Q3 were published. Abstracting from these seasonal effects, the underlying picture for consumption growth in Q3 appeared broadly in line with expectations at the time of the November </w:t>
      </w:r>
      <w:r>
        <w:rPr>
          <w:i/>
        </w:rPr>
        <w:t>Inflation Report</w:t>
      </w:r>
      <w:r>
        <w:rPr/>
        <w:t>. Looking beyond Q3, the latest evidence suggested that car registrations were turning out quite weak – possibly reflecting expectations of reductions in car prices in the near future, in which case car sales, and hence consumption, might subsequently pick up at some point.</w:t>
      </w:r>
    </w:p>
    <w:p>
      <w:pPr>
        <w:pStyle w:val="BodyText"/>
        <w:spacing w:before="3"/>
        <w:rPr>
          <w:sz w:val="31"/>
        </w:rPr>
      </w:pPr>
    </w:p>
    <w:p>
      <w:pPr>
        <w:pStyle w:val="ListParagraph"/>
        <w:numPr>
          <w:ilvl w:val="0"/>
          <w:numId w:val="1"/>
        </w:numPr>
        <w:tabs>
          <w:tab w:pos="496" w:val="left" w:leader="none"/>
          <w:tab w:pos="497" w:val="left" w:leader="none"/>
        </w:tabs>
        <w:spacing w:line="312" w:lineRule="auto" w:before="0" w:after="0"/>
        <w:ind w:left="136" w:right="194" w:firstLine="0"/>
        <w:jc w:val="left"/>
        <w:rPr>
          <w:sz w:val="24"/>
        </w:rPr>
      </w:pPr>
      <w:r>
        <w:rPr>
          <w:sz w:val="24"/>
        </w:rPr>
        <w:t>The Committee discussed </w:t>
      </w:r>
      <w:r>
        <w:rPr>
          <w:spacing w:val="4"/>
          <w:sz w:val="24"/>
        </w:rPr>
        <w:t>other </w:t>
      </w:r>
      <w:r>
        <w:rPr>
          <w:sz w:val="24"/>
        </w:rPr>
        <w:t>recent indicators </w:t>
      </w:r>
      <w:r>
        <w:rPr>
          <w:spacing w:val="2"/>
          <w:sz w:val="24"/>
        </w:rPr>
        <w:t>of </w:t>
      </w:r>
      <w:r>
        <w:rPr>
          <w:sz w:val="24"/>
        </w:rPr>
        <w:t>household consumption. Retail sales growth had remained strong at the beginning </w:t>
      </w:r>
      <w:r>
        <w:rPr>
          <w:spacing w:val="2"/>
          <w:sz w:val="24"/>
        </w:rPr>
        <w:t>of </w:t>
      </w:r>
      <w:r>
        <w:rPr>
          <w:sz w:val="24"/>
        </w:rPr>
        <w:t>the fourth quarter, though the three-month </w:t>
      </w:r>
      <w:r>
        <w:rPr>
          <w:spacing w:val="2"/>
          <w:sz w:val="24"/>
        </w:rPr>
        <w:t>on </w:t>
      </w:r>
      <w:r>
        <w:rPr>
          <w:sz w:val="24"/>
        </w:rPr>
        <w:t>three-month growth rate for October was slightly lower than it had been a few months ago. The </w:t>
      </w:r>
      <w:r>
        <w:rPr>
          <w:spacing w:val="-5"/>
          <w:sz w:val="24"/>
        </w:rPr>
        <w:t>Bank’s </w:t>
      </w:r>
      <w:r>
        <w:rPr>
          <w:sz w:val="24"/>
        </w:rPr>
        <w:t>regional Agents’ contacts were reporting some strengthening </w:t>
      </w:r>
      <w:r>
        <w:rPr>
          <w:spacing w:val="2"/>
          <w:sz w:val="24"/>
        </w:rPr>
        <w:t>of </w:t>
      </w:r>
      <w:r>
        <w:rPr>
          <w:sz w:val="24"/>
        </w:rPr>
        <w:t>retail activity, but the picture seemed somewhat weaker than the </w:t>
      </w:r>
      <w:r>
        <w:rPr>
          <w:spacing w:val="5"/>
          <w:sz w:val="24"/>
        </w:rPr>
        <w:t>official </w:t>
      </w:r>
      <w:r>
        <w:rPr>
          <w:sz w:val="24"/>
        </w:rPr>
        <w:t>data. </w:t>
      </w:r>
      <w:r>
        <w:rPr>
          <w:spacing w:val="2"/>
          <w:sz w:val="24"/>
        </w:rPr>
        <w:t>There </w:t>
      </w:r>
      <w:r>
        <w:rPr>
          <w:sz w:val="24"/>
        </w:rPr>
        <w:t>were several possible explanations. First, sales values were </w:t>
      </w:r>
      <w:r>
        <w:rPr>
          <w:spacing w:val="2"/>
          <w:sz w:val="24"/>
        </w:rPr>
        <w:t>rising </w:t>
      </w:r>
      <w:r>
        <w:rPr>
          <w:sz w:val="24"/>
        </w:rPr>
        <w:t>less quickly than volumes, since the </w:t>
      </w:r>
      <w:r>
        <w:rPr>
          <w:spacing w:val="2"/>
          <w:sz w:val="24"/>
        </w:rPr>
        <w:t>retail </w:t>
      </w:r>
      <w:r>
        <w:rPr>
          <w:sz w:val="24"/>
        </w:rPr>
        <w:t>sales </w:t>
      </w:r>
      <w:r>
        <w:rPr>
          <w:spacing w:val="2"/>
          <w:sz w:val="24"/>
        </w:rPr>
        <w:t>deflator </w:t>
      </w:r>
      <w:r>
        <w:rPr>
          <w:sz w:val="24"/>
        </w:rPr>
        <w:t>was falling, and this might be affecting contacts’ responses. Second, retail floor space was probably still rising – and this was </w:t>
      </w:r>
      <w:r>
        <w:rPr>
          <w:spacing w:val="2"/>
          <w:sz w:val="24"/>
        </w:rPr>
        <w:t>reflected </w:t>
      </w:r>
      <w:r>
        <w:rPr>
          <w:sz w:val="24"/>
        </w:rPr>
        <w:t>in the difference between </w:t>
      </w:r>
      <w:r>
        <w:rPr>
          <w:spacing w:val="2"/>
          <w:sz w:val="24"/>
        </w:rPr>
        <w:t>total </w:t>
      </w:r>
      <w:r>
        <w:rPr>
          <w:sz w:val="24"/>
        </w:rPr>
        <w:t>sales and like-for-like sales in the British Retail Consortium survey. </w:t>
      </w:r>
      <w:r>
        <w:rPr>
          <w:spacing w:val="2"/>
          <w:sz w:val="24"/>
        </w:rPr>
        <w:t>Third, </w:t>
      </w:r>
      <w:r>
        <w:rPr>
          <w:sz w:val="24"/>
        </w:rPr>
        <w:t>it was possible that the Agents’ retail contacts were weighted more towards those sectors that were losing market share, such as department stores, and less towards discount</w:t>
      </w:r>
      <w:r>
        <w:rPr>
          <w:spacing w:val="6"/>
          <w:sz w:val="24"/>
        </w:rPr>
        <w:t> </w:t>
      </w:r>
      <w:r>
        <w:rPr>
          <w:sz w:val="24"/>
        </w:rPr>
        <w:t>stores.</w:t>
      </w:r>
    </w:p>
    <w:p>
      <w:pPr>
        <w:spacing w:after="0" w:line="312" w:lineRule="auto"/>
        <w:jc w:val="left"/>
        <w:rPr>
          <w:sz w:val="24"/>
        </w:rPr>
        <w:sectPr>
          <w:pgSz w:w="11900" w:h="16840"/>
          <w:pgMar w:top="1600" w:bottom="280" w:left="1140" w:right="780"/>
        </w:sectPr>
      </w:pPr>
    </w:p>
    <w:p>
      <w:pPr>
        <w:pStyle w:val="ListParagraph"/>
        <w:numPr>
          <w:ilvl w:val="0"/>
          <w:numId w:val="1"/>
        </w:numPr>
        <w:tabs>
          <w:tab w:pos="496" w:val="left" w:leader="none"/>
          <w:tab w:pos="497" w:val="left" w:leader="none"/>
        </w:tabs>
        <w:spacing w:line="312" w:lineRule="auto" w:before="169" w:after="0"/>
        <w:ind w:left="136" w:right="213" w:firstLine="0"/>
        <w:jc w:val="left"/>
        <w:rPr>
          <w:sz w:val="24"/>
        </w:rPr>
      </w:pPr>
      <w:r>
        <w:rPr>
          <w:sz w:val="24"/>
        </w:rPr>
        <w:t>Consumer confidence, as measured by the GfK survey, had fallen in November but remained above its long-run average. The MORI survey had risen, but this series was usually more volatile than the GfK measure. While the </w:t>
      </w:r>
      <w:r>
        <w:rPr>
          <w:spacing w:val="2"/>
          <w:sz w:val="24"/>
        </w:rPr>
        <w:t>recent </w:t>
      </w:r>
      <w:r>
        <w:rPr>
          <w:sz w:val="24"/>
        </w:rPr>
        <w:t>fall in the GfK survey might </w:t>
      </w:r>
      <w:r>
        <w:rPr>
          <w:spacing w:val="2"/>
          <w:sz w:val="24"/>
        </w:rPr>
        <w:t>reflect </w:t>
      </w:r>
      <w:r>
        <w:rPr>
          <w:sz w:val="24"/>
        </w:rPr>
        <w:t>monthly volatility, </w:t>
      </w:r>
      <w:r>
        <w:rPr>
          <w:spacing w:val="2"/>
          <w:sz w:val="24"/>
        </w:rPr>
        <w:t>the rises </w:t>
      </w:r>
      <w:r>
        <w:rPr>
          <w:sz w:val="24"/>
        </w:rPr>
        <w:t>in interest </w:t>
      </w:r>
      <w:r>
        <w:rPr>
          <w:spacing w:val="2"/>
          <w:sz w:val="24"/>
        </w:rPr>
        <w:t>rates </w:t>
      </w:r>
      <w:r>
        <w:rPr>
          <w:sz w:val="24"/>
        </w:rPr>
        <w:t>since the beginning </w:t>
      </w:r>
      <w:r>
        <w:rPr>
          <w:spacing w:val="3"/>
          <w:sz w:val="24"/>
        </w:rPr>
        <w:t>of </w:t>
      </w:r>
      <w:r>
        <w:rPr>
          <w:sz w:val="24"/>
        </w:rPr>
        <w:t>September might have had some dampening effect </w:t>
      </w:r>
      <w:r>
        <w:rPr>
          <w:spacing w:val="4"/>
          <w:sz w:val="24"/>
        </w:rPr>
        <w:t>on </w:t>
      </w:r>
      <w:r>
        <w:rPr>
          <w:sz w:val="24"/>
        </w:rPr>
        <w:t>confidence. The disaggregated responses </w:t>
      </w:r>
      <w:r>
        <w:rPr>
          <w:spacing w:val="3"/>
          <w:sz w:val="24"/>
        </w:rPr>
        <w:t>to </w:t>
      </w:r>
      <w:r>
        <w:rPr>
          <w:sz w:val="24"/>
        </w:rPr>
        <w:t>the individual questions in the survey showed that respondents thought that the general level </w:t>
      </w:r>
      <w:r>
        <w:rPr>
          <w:spacing w:val="2"/>
          <w:sz w:val="24"/>
        </w:rPr>
        <w:t>of </w:t>
      </w:r>
      <w:r>
        <w:rPr>
          <w:sz w:val="24"/>
        </w:rPr>
        <w:t>unemployment would rise. </w:t>
      </w:r>
      <w:r>
        <w:rPr>
          <w:spacing w:val="2"/>
          <w:sz w:val="24"/>
        </w:rPr>
        <w:t>This </w:t>
      </w:r>
      <w:r>
        <w:rPr>
          <w:sz w:val="24"/>
        </w:rPr>
        <w:t>seemed at </w:t>
      </w:r>
      <w:r>
        <w:rPr>
          <w:spacing w:val="3"/>
          <w:sz w:val="24"/>
        </w:rPr>
        <w:t>odds </w:t>
      </w:r>
      <w:r>
        <w:rPr>
          <w:sz w:val="24"/>
        </w:rPr>
        <w:t>with the recent evidence that employment had continued </w:t>
      </w:r>
      <w:r>
        <w:rPr>
          <w:spacing w:val="2"/>
          <w:sz w:val="24"/>
        </w:rPr>
        <w:t>to </w:t>
      </w:r>
      <w:r>
        <w:rPr>
          <w:sz w:val="24"/>
        </w:rPr>
        <w:t>grow. It was possible that, although employment remained high, the pace </w:t>
      </w:r>
      <w:r>
        <w:rPr>
          <w:spacing w:val="2"/>
          <w:sz w:val="24"/>
        </w:rPr>
        <w:t>of </w:t>
      </w:r>
      <w:r>
        <w:rPr>
          <w:sz w:val="24"/>
        </w:rPr>
        <w:t>job creation and job destruction was higher now than in the past and that this had heightened individuals’</w:t>
      </w:r>
      <w:r>
        <w:rPr>
          <w:spacing w:val="-50"/>
          <w:sz w:val="24"/>
        </w:rPr>
        <w:t> </w:t>
      </w:r>
      <w:r>
        <w:rPr>
          <w:sz w:val="24"/>
        </w:rPr>
        <w:t>feelings about their job insecurity in an existing job. If so, that uncertainty could in turn have a dampening effect </w:t>
      </w:r>
      <w:r>
        <w:rPr>
          <w:spacing w:val="2"/>
          <w:sz w:val="24"/>
        </w:rPr>
        <w:t>on </w:t>
      </w:r>
      <w:r>
        <w:rPr>
          <w:sz w:val="24"/>
        </w:rPr>
        <w:t>consumption growth. But looking beyond the latest movements in consumer confidence and </w:t>
      </w:r>
      <w:r>
        <w:rPr>
          <w:spacing w:val="2"/>
          <w:sz w:val="24"/>
        </w:rPr>
        <w:t>retail </w:t>
      </w:r>
      <w:r>
        <w:rPr>
          <w:sz w:val="24"/>
        </w:rPr>
        <w:t>sales, the fundamental determinants </w:t>
      </w:r>
      <w:r>
        <w:rPr>
          <w:spacing w:val="3"/>
          <w:sz w:val="24"/>
        </w:rPr>
        <w:t>of</w:t>
      </w:r>
      <w:r>
        <w:rPr>
          <w:spacing w:val="-1"/>
          <w:sz w:val="24"/>
        </w:rPr>
        <w:t> </w:t>
      </w:r>
      <w:r>
        <w:rPr>
          <w:sz w:val="24"/>
        </w:rPr>
        <w:t>consumption</w:t>
      </w:r>
      <w:r>
        <w:rPr>
          <w:spacing w:val="-6"/>
          <w:sz w:val="24"/>
        </w:rPr>
        <w:t> </w:t>
      </w:r>
      <w:r>
        <w:rPr>
          <w:sz w:val="24"/>
        </w:rPr>
        <w:t>such</w:t>
      </w:r>
      <w:r>
        <w:rPr>
          <w:spacing w:val="-5"/>
          <w:sz w:val="24"/>
        </w:rPr>
        <w:t> </w:t>
      </w:r>
      <w:r>
        <w:rPr>
          <w:sz w:val="24"/>
        </w:rPr>
        <w:t>as</w:t>
      </w:r>
      <w:r>
        <w:rPr>
          <w:spacing w:val="-5"/>
          <w:sz w:val="24"/>
        </w:rPr>
        <w:t> </w:t>
      </w:r>
      <w:r>
        <w:rPr>
          <w:sz w:val="24"/>
        </w:rPr>
        <w:t>housing</w:t>
      </w:r>
      <w:r>
        <w:rPr>
          <w:spacing w:val="-5"/>
          <w:sz w:val="24"/>
        </w:rPr>
        <w:t> </w:t>
      </w:r>
      <w:r>
        <w:rPr>
          <w:sz w:val="24"/>
        </w:rPr>
        <w:t>and</w:t>
      </w:r>
      <w:r>
        <w:rPr>
          <w:spacing w:val="-5"/>
          <w:sz w:val="24"/>
        </w:rPr>
        <w:t> </w:t>
      </w:r>
      <w:r>
        <w:rPr>
          <w:sz w:val="24"/>
        </w:rPr>
        <w:t>financial</w:t>
      </w:r>
      <w:r>
        <w:rPr>
          <w:spacing w:val="-5"/>
          <w:sz w:val="24"/>
        </w:rPr>
        <w:t> </w:t>
      </w:r>
      <w:r>
        <w:rPr>
          <w:sz w:val="24"/>
        </w:rPr>
        <w:t>wealth</w:t>
      </w:r>
      <w:r>
        <w:rPr>
          <w:spacing w:val="-5"/>
          <w:sz w:val="24"/>
        </w:rPr>
        <w:t> </w:t>
      </w:r>
      <w:r>
        <w:rPr>
          <w:sz w:val="24"/>
        </w:rPr>
        <w:t>and</w:t>
      </w:r>
      <w:r>
        <w:rPr>
          <w:spacing w:val="-6"/>
          <w:sz w:val="24"/>
        </w:rPr>
        <w:t> </w:t>
      </w:r>
      <w:r>
        <w:rPr>
          <w:spacing w:val="2"/>
          <w:sz w:val="24"/>
        </w:rPr>
        <w:t>real</w:t>
      </w:r>
      <w:r>
        <w:rPr>
          <w:spacing w:val="-3"/>
          <w:sz w:val="24"/>
        </w:rPr>
        <w:t> </w:t>
      </w:r>
      <w:r>
        <w:rPr>
          <w:sz w:val="24"/>
        </w:rPr>
        <w:t>incomes</w:t>
      </w:r>
      <w:r>
        <w:rPr>
          <w:spacing w:val="-5"/>
          <w:sz w:val="24"/>
        </w:rPr>
        <w:t> </w:t>
      </w:r>
      <w:r>
        <w:rPr>
          <w:sz w:val="24"/>
        </w:rPr>
        <w:t>seemed</w:t>
      </w:r>
      <w:r>
        <w:rPr>
          <w:spacing w:val="-5"/>
          <w:sz w:val="24"/>
        </w:rPr>
        <w:t> </w:t>
      </w:r>
      <w:r>
        <w:rPr>
          <w:spacing w:val="3"/>
          <w:sz w:val="24"/>
        </w:rPr>
        <w:t>to</w:t>
      </w:r>
      <w:r>
        <w:rPr>
          <w:spacing w:val="-1"/>
          <w:sz w:val="24"/>
        </w:rPr>
        <w:t> </w:t>
      </w:r>
      <w:r>
        <w:rPr>
          <w:sz w:val="24"/>
        </w:rPr>
        <w:t>be</w:t>
      </w:r>
      <w:r>
        <w:rPr>
          <w:spacing w:val="-5"/>
          <w:sz w:val="24"/>
        </w:rPr>
        <w:t> </w:t>
      </w:r>
      <w:r>
        <w:rPr>
          <w:sz w:val="24"/>
        </w:rPr>
        <w:t>strengthening.</w:t>
      </w:r>
    </w:p>
    <w:p>
      <w:pPr>
        <w:pStyle w:val="BodyText"/>
        <w:spacing w:before="11"/>
        <w:rPr>
          <w:sz w:val="30"/>
        </w:rPr>
      </w:pPr>
    </w:p>
    <w:p>
      <w:pPr>
        <w:pStyle w:val="ListParagraph"/>
        <w:numPr>
          <w:ilvl w:val="0"/>
          <w:numId w:val="1"/>
        </w:numPr>
        <w:tabs>
          <w:tab w:pos="496" w:val="left" w:leader="none"/>
          <w:tab w:pos="497" w:val="left" w:leader="none"/>
        </w:tabs>
        <w:spacing w:line="312" w:lineRule="auto" w:before="0" w:after="0"/>
        <w:ind w:left="136" w:right="129" w:firstLine="0"/>
        <w:jc w:val="left"/>
        <w:rPr>
          <w:sz w:val="24"/>
        </w:rPr>
      </w:pPr>
      <w:r>
        <w:rPr>
          <w:sz w:val="24"/>
        </w:rPr>
        <w:t>Turning</w:t>
      </w:r>
      <w:r>
        <w:rPr>
          <w:spacing w:val="-4"/>
          <w:sz w:val="24"/>
        </w:rPr>
        <w:t> </w:t>
      </w:r>
      <w:r>
        <w:rPr>
          <w:spacing w:val="2"/>
          <w:sz w:val="24"/>
        </w:rPr>
        <w:t>to</w:t>
      </w:r>
      <w:r>
        <w:rPr>
          <w:spacing w:val="-2"/>
          <w:sz w:val="24"/>
        </w:rPr>
        <w:t> </w:t>
      </w:r>
      <w:r>
        <w:rPr>
          <w:sz w:val="24"/>
        </w:rPr>
        <w:t>net</w:t>
      </w:r>
      <w:r>
        <w:rPr>
          <w:spacing w:val="-1"/>
          <w:sz w:val="24"/>
        </w:rPr>
        <w:t> </w:t>
      </w:r>
      <w:r>
        <w:rPr>
          <w:sz w:val="24"/>
        </w:rPr>
        <w:t>trade,</w:t>
      </w:r>
      <w:r>
        <w:rPr>
          <w:spacing w:val="-6"/>
          <w:sz w:val="24"/>
        </w:rPr>
        <w:t> </w:t>
      </w:r>
      <w:r>
        <w:rPr>
          <w:sz w:val="24"/>
        </w:rPr>
        <w:t>both</w:t>
      </w:r>
      <w:r>
        <w:rPr>
          <w:spacing w:val="-6"/>
          <w:sz w:val="24"/>
        </w:rPr>
        <w:t> </w:t>
      </w:r>
      <w:r>
        <w:rPr>
          <w:sz w:val="24"/>
        </w:rPr>
        <w:t>exports</w:t>
      </w:r>
      <w:r>
        <w:rPr>
          <w:spacing w:val="-7"/>
          <w:sz w:val="24"/>
        </w:rPr>
        <w:t> </w:t>
      </w:r>
      <w:r>
        <w:rPr>
          <w:sz w:val="24"/>
        </w:rPr>
        <w:t>and</w:t>
      </w:r>
      <w:r>
        <w:rPr>
          <w:spacing w:val="-6"/>
          <w:sz w:val="24"/>
        </w:rPr>
        <w:t> </w:t>
      </w:r>
      <w:r>
        <w:rPr>
          <w:sz w:val="24"/>
        </w:rPr>
        <w:t>imports</w:t>
      </w:r>
      <w:r>
        <w:rPr>
          <w:spacing w:val="-6"/>
          <w:sz w:val="24"/>
        </w:rPr>
        <w:t> </w:t>
      </w:r>
      <w:r>
        <w:rPr>
          <w:sz w:val="24"/>
        </w:rPr>
        <w:t>had</w:t>
      </w:r>
      <w:r>
        <w:rPr>
          <w:spacing w:val="-6"/>
          <w:sz w:val="24"/>
        </w:rPr>
        <w:t> </w:t>
      </w:r>
      <w:r>
        <w:rPr>
          <w:sz w:val="24"/>
        </w:rPr>
        <w:t>turned</w:t>
      </w:r>
      <w:r>
        <w:rPr>
          <w:spacing w:val="-7"/>
          <w:sz w:val="24"/>
        </w:rPr>
        <w:t> </w:t>
      </w:r>
      <w:r>
        <w:rPr>
          <w:spacing w:val="2"/>
          <w:sz w:val="24"/>
        </w:rPr>
        <w:t>out</w:t>
      </w:r>
      <w:r>
        <w:rPr>
          <w:spacing w:val="-2"/>
          <w:sz w:val="24"/>
        </w:rPr>
        <w:t> </w:t>
      </w:r>
      <w:r>
        <w:rPr>
          <w:sz w:val="24"/>
        </w:rPr>
        <w:t>a</w:t>
      </w:r>
      <w:r>
        <w:rPr>
          <w:spacing w:val="-6"/>
          <w:sz w:val="24"/>
        </w:rPr>
        <w:t> </w:t>
      </w:r>
      <w:r>
        <w:rPr>
          <w:sz w:val="24"/>
        </w:rPr>
        <w:t>little</w:t>
      </w:r>
      <w:r>
        <w:rPr>
          <w:spacing w:val="-6"/>
          <w:sz w:val="24"/>
        </w:rPr>
        <w:t> </w:t>
      </w:r>
      <w:r>
        <w:rPr>
          <w:sz w:val="24"/>
        </w:rPr>
        <w:t>stronger</w:t>
      </w:r>
      <w:r>
        <w:rPr>
          <w:spacing w:val="-6"/>
          <w:sz w:val="24"/>
        </w:rPr>
        <w:t> </w:t>
      </w:r>
      <w:r>
        <w:rPr>
          <w:sz w:val="24"/>
        </w:rPr>
        <w:t>than</w:t>
      </w:r>
      <w:r>
        <w:rPr>
          <w:spacing w:val="-7"/>
          <w:sz w:val="24"/>
        </w:rPr>
        <w:t> </w:t>
      </w:r>
      <w:r>
        <w:rPr>
          <w:sz w:val="24"/>
        </w:rPr>
        <w:t>expected</w:t>
      </w:r>
      <w:r>
        <w:rPr>
          <w:spacing w:val="-6"/>
          <w:sz w:val="24"/>
        </w:rPr>
        <w:t> </w:t>
      </w:r>
      <w:r>
        <w:rPr>
          <w:sz w:val="24"/>
        </w:rPr>
        <w:t>at</w:t>
      </w:r>
      <w:r>
        <w:rPr>
          <w:spacing w:val="-1"/>
          <w:sz w:val="24"/>
        </w:rPr>
        <w:t> </w:t>
      </w:r>
      <w:r>
        <w:rPr>
          <w:sz w:val="24"/>
        </w:rPr>
        <w:t>the time </w:t>
      </w:r>
      <w:r>
        <w:rPr>
          <w:spacing w:val="2"/>
          <w:sz w:val="24"/>
        </w:rPr>
        <w:t>of </w:t>
      </w:r>
      <w:r>
        <w:rPr>
          <w:sz w:val="24"/>
        </w:rPr>
        <w:t>the November </w:t>
      </w:r>
      <w:r>
        <w:rPr>
          <w:i/>
          <w:sz w:val="24"/>
        </w:rPr>
        <w:t>Inflation Report</w:t>
      </w:r>
      <w:r>
        <w:rPr>
          <w:sz w:val="24"/>
        </w:rPr>
        <w:t>. The UK share </w:t>
      </w:r>
      <w:r>
        <w:rPr>
          <w:spacing w:val="2"/>
          <w:sz w:val="24"/>
        </w:rPr>
        <w:t>of </w:t>
      </w:r>
      <w:r>
        <w:rPr>
          <w:sz w:val="24"/>
        </w:rPr>
        <w:t>world export markets probably increased in Q3, but was much lower than it had been prior </w:t>
      </w:r>
      <w:r>
        <w:rPr>
          <w:spacing w:val="2"/>
          <w:sz w:val="24"/>
        </w:rPr>
        <w:t>to </w:t>
      </w:r>
      <w:r>
        <w:rPr>
          <w:sz w:val="24"/>
        </w:rPr>
        <w:t>the appreciation </w:t>
      </w:r>
      <w:r>
        <w:rPr>
          <w:spacing w:val="2"/>
          <w:sz w:val="24"/>
        </w:rPr>
        <w:t>of </w:t>
      </w:r>
      <w:r>
        <w:rPr>
          <w:sz w:val="24"/>
        </w:rPr>
        <w:t>sterling from August 1996. The export </w:t>
      </w:r>
      <w:r>
        <w:rPr>
          <w:spacing w:val="4"/>
          <w:sz w:val="24"/>
        </w:rPr>
        <w:t>orders </w:t>
      </w:r>
      <w:r>
        <w:rPr>
          <w:sz w:val="24"/>
        </w:rPr>
        <w:t>index in the latest </w:t>
      </w:r>
      <w:r>
        <w:rPr>
          <w:spacing w:val="-4"/>
          <w:sz w:val="24"/>
        </w:rPr>
        <w:t>C</w:t>
      </w:r>
      <w:r>
        <w:rPr>
          <w:spacing w:val="-4"/>
          <w:sz w:val="20"/>
        </w:rPr>
        <w:t>IPS </w:t>
      </w:r>
      <w:r>
        <w:rPr>
          <w:sz w:val="24"/>
        </w:rPr>
        <w:t>survey had </w:t>
      </w:r>
      <w:r>
        <w:rPr>
          <w:spacing w:val="2"/>
          <w:sz w:val="24"/>
        </w:rPr>
        <w:t>remained </w:t>
      </w:r>
      <w:r>
        <w:rPr>
          <w:sz w:val="24"/>
        </w:rPr>
        <w:t>above 50 for the seventh successive month, while the CBI monthly trends survey balance for export </w:t>
      </w:r>
      <w:r>
        <w:rPr>
          <w:spacing w:val="4"/>
          <w:sz w:val="24"/>
        </w:rPr>
        <w:t>orders </w:t>
      </w:r>
      <w:r>
        <w:rPr>
          <w:sz w:val="24"/>
        </w:rPr>
        <w:t>was negative, but less so than a year ago. There were, however, some signs that export </w:t>
      </w:r>
      <w:r>
        <w:rPr>
          <w:spacing w:val="4"/>
          <w:sz w:val="24"/>
        </w:rPr>
        <w:t>optimism </w:t>
      </w:r>
      <w:r>
        <w:rPr>
          <w:sz w:val="24"/>
        </w:rPr>
        <w:t>had deteriorated in recent months, for example in the DHL</w:t>
      </w:r>
      <w:r>
        <w:rPr>
          <w:spacing w:val="25"/>
          <w:sz w:val="24"/>
        </w:rPr>
        <w:t> </w:t>
      </w:r>
      <w:r>
        <w:rPr>
          <w:sz w:val="24"/>
        </w:rPr>
        <w:t>survey.</w:t>
      </w:r>
    </w:p>
    <w:p>
      <w:pPr>
        <w:pStyle w:val="BodyText"/>
        <w:spacing w:before="2"/>
        <w:rPr>
          <w:sz w:val="31"/>
        </w:rPr>
      </w:pPr>
    </w:p>
    <w:p>
      <w:pPr>
        <w:pStyle w:val="ListParagraph"/>
        <w:numPr>
          <w:ilvl w:val="0"/>
          <w:numId w:val="1"/>
        </w:numPr>
        <w:tabs>
          <w:tab w:pos="496" w:val="left" w:leader="none"/>
          <w:tab w:pos="497" w:val="left" w:leader="none"/>
        </w:tabs>
        <w:spacing w:line="312" w:lineRule="auto" w:before="0" w:after="0"/>
        <w:ind w:left="136" w:right="163" w:firstLine="0"/>
        <w:jc w:val="left"/>
        <w:rPr>
          <w:sz w:val="24"/>
        </w:rPr>
      </w:pPr>
      <w:r>
        <w:rPr>
          <w:spacing w:val="2"/>
          <w:sz w:val="24"/>
        </w:rPr>
        <w:t>There</w:t>
      </w:r>
      <w:r>
        <w:rPr>
          <w:spacing w:val="-4"/>
          <w:sz w:val="24"/>
        </w:rPr>
        <w:t> </w:t>
      </w:r>
      <w:r>
        <w:rPr>
          <w:sz w:val="24"/>
        </w:rPr>
        <w:t>had</w:t>
      </w:r>
      <w:r>
        <w:rPr>
          <w:spacing w:val="-6"/>
          <w:sz w:val="24"/>
        </w:rPr>
        <w:t> </w:t>
      </w:r>
      <w:r>
        <w:rPr>
          <w:sz w:val="24"/>
        </w:rPr>
        <w:t>also</w:t>
      </w:r>
      <w:r>
        <w:rPr>
          <w:spacing w:val="-5"/>
          <w:sz w:val="24"/>
        </w:rPr>
        <w:t> </w:t>
      </w:r>
      <w:r>
        <w:rPr>
          <w:sz w:val="24"/>
        </w:rPr>
        <w:t>been</w:t>
      </w:r>
      <w:r>
        <w:rPr>
          <w:spacing w:val="-6"/>
          <w:sz w:val="24"/>
        </w:rPr>
        <w:t> </w:t>
      </w:r>
      <w:r>
        <w:rPr>
          <w:sz w:val="24"/>
        </w:rPr>
        <w:t>slightly</w:t>
      </w:r>
      <w:r>
        <w:rPr>
          <w:spacing w:val="-5"/>
          <w:sz w:val="24"/>
        </w:rPr>
        <w:t> </w:t>
      </w:r>
      <w:r>
        <w:rPr>
          <w:sz w:val="24"/>
        </w:rPr>
        <w:t>stronger-than-expected</w:t>
      </w:r>
      <w:r>
        <w:rPr>
          <w:spacing w:val="-7"/>
          <w:sz w:val="24"/>
        </w:rPr>
        <w:t> </w:t>
      </w:r>
      <w:r>
        <w:rPr>
          <w:sz w:val="24"/>
        </w:rPr>
        <w:t>import</w:t>
      </w:r>
      <w:r>
        <w:rPr>
          <w:spacing w:val="-4"/>
          <w:sz w:val="24"/>
        </w:rPr>
        <w:t> </w:t>
      </w:r>
      <w:r>
        <w:rPr>
          <w:sz w:val="24"/>
        </w:rPr>
        <w:t>growth</w:t>
      </w:r>
      <w:r>
        <w:rPr>
          <w:spacing w:val="-8"/>
          <w:sz w:val="24"/>
        </w:rPr>
        <w:t> </w:t>
      </w:r>
      <w:r>
        <w:rPr>
          <w:sz w:val="24"/>
        </w:rPr>
        <w:t>in</w:t>
      </w:r>
      <w:r>
        <w:rPr>
          <w:spacing w:val="-8"/>
          <w:sz w:val="24"/>
        </w:rPr>
        <w:t> </w:t>
      </w:r>
      <w:r>
        <w:rPr>
          <w:sz w:val="24"/>
        </w:rPr>
        <w:t>Q3,</w:t>
      </w:r>
      <w:r>
        <w:rPr>
          <w:spacing w:val="-8"/>
          <w:sz w:val="24"/>
        </w:rPr>
        <w:t> </w:t>
      </w:r>
      <w:r>
        <w:rPr>
          <w:sz w:val="24"/>
        </w:rPr>
        <w:t>so</w:t>
      </w:r>
      <w:r>
        <w:rPr>
          <w:spacing w:val="-8"/>
          <w:sz w:val="24"/>
        </w:rPr>
        <w:t> </w:t>
      </w:r>
      <w:r>
        <w:rPr>
          <w:sz w:val="24"/>
        </w:rPr>
        <w:t>that</w:t>
      </w:r>
      <w:r>
        <w:rPr>
          <w:spacing w:val="-4"/>
          <w:sz w:val="24"/>
        </w:rPr>
        <w:t> </w:t>
      </w:r>
      <w:r>
        <w:rPr>
          <w:sz w:val="24"/>
        </w:rPr>
        <w:t>the</w:t>
      </w:r>
      <w:r>
        <w:rPr>
          <w:spacing w:val="-8"/>
          <w:sz w:val="24"/>
        </w:rPr>
        <w:t> </w:t>
      </w:r>
      <w:r>
        <w:rPr>
          <w:sz w:val="24"/>
        </w:rPr>
        <w:t>contribution </w:t>
      </w:r>
      <w:r>
        <w:rPr>
          <w:spacing w:val="2"/>
          <w:sz w:val="24"/>
        </w:rPr>
        <w:t>of </w:t>
      </w:r>
      <w:r>
        <w:rPr>
          <w:sz w:val="24"/>
        </w:rPr>
        <w:t>net trade </w:t>
      </w:r>
      <w:r>
        <w:rPr>
          <w:spacing w:val="2"/>
          <w:sz w:val="24"/>
        </w:rPr>
        <w:t>to </w:t>
      </w:r>
      <w:r>
        <w:rPr>
          <w:sz w:val="24"/>
        </w:rPr>
        <w:t>GDP growth in Q3 was </w:t>
      </w:r>
      <w:r>
        <w:rPr>
          <w:spacing w:val="3"/>
          <w:sz w:val="24"/>
        </w:rPr>
        <w:t>only </w:t>
      </w:r>
      <w:r>
        <w:rPr>
          <w:sz w:val="24"/>
        </w:rPr>
        <w:t>slightly more positive than had been expected. Strong growth in imports could be linked </w:t>
      </w:r>
      <w:r>
        <w:rPr>
          <w:spacing w:val="2"/>
          <w:sz w:val="24"/>
        </w:rPr>
        <w:t>to </w:t>
      </w:r>
      <w:r>
        <w:rPr>
          <w:sz w:val="24"/>
        </w:rPr>
        <w:t>re-exporting, and it seemed stronger than was consistent with recently </w:t>
      </w:r>
      <w:r>
        <w:rPr>
          <w:spacing w:val="4"/>
          <w:sz w:val="24"/>
        </w:rPr>
        <w:t>observed </w:t>
      </w:r>
      <w:r>
        <w:rPr>
          <w:sz w:val="24"/>
        </w:rPr>
        <w:t>domestic demand</w:t>
      </w:r>
      <w:r>
        <w:rPr>
          <w:spacing w:val="13"/>
          <w:sz w:val="24"/>
        </w:rPr>
        <w:t> </w:t>
      </w:r>
      <w:r>
        <w:rPr>
          <w:sz w:val="24"/>
        </w:rPr>
        <w:t>growth.</w:t>
      </w:r>
    </w:p>
    <w:p>
      <w:pPr>
        <w:pStyle w:val="BodyText"/>
        <w:spacing w:before="4"/>
        <w:rPr>
          <w:sz w:val="31"/>
        </w:rPr>
      </w:pPr>
    </w:p>
    <w:p>
      <w:pPr>
        <w:pStyle w:val="ListParagraph"/>
        <w:numPr>
          <w:ilvl w:val="0"/>
          <w:numId w:val="1"/>
        </w:numPr>
        <w:tabs>
          <w:tab w:pos="496" w:val="left" w:leader="none"/>
          <w:tab w:pos="497" w:val="left" w:leader="none"/>
        </w:tabs>
        <w:spacing w:line="312" w:lineRule="auto" w:before="0" w:after="0"/>
        <w:ind w:left="136" w:right="168" w:firstLine="0"/>
        <w:jc w:val="left"/>
        <w:rPr>
          <w:sz w:val="24"/>
        </w:rPr>
      </w:pPr>
      <w:r>
        <w:rPr>
          <w:sz w:val="24"/>
        </w:rPr>
        <w:t>Looking forward, the central projection for activity in the published fan chart assumed that net trade would make negative contributions </w:t>
      </w:r>
      <w:r>
        <w:rPr>
          <w:spacing w:val="2"/>
          <w:sz w:val="24"/>
        </w:rPr>
        <w:t>to </w:t>
      </w:r>
      <w:r>
        <w:rPr>
          <w:sz w:val="24"/>
        </w:rPr>
        <w:t>GDP growth in the forecast period. The net trade contributions</w:t>
      </w:r>
      <w:r>
        <w:rPr>
          <w:spacing w:val="-9"/>
          <w:sz w:val="24"/>
        </w:rPr>
        <w:t> </w:t>
      </w:r>
      <w:r>
        <w:rPr>
          <w:sz w:val="24"/>
        </w:rPr>
        <w:t>in</w:t>
      </w:r>
      <w:r>
        <w:rPr>
          <w:spacing w:val="-9"/>
          <w:sz w:val="24"/>
        </w:rPr>
        <w:t> </w:t>
      </w:r>
      <w:r>
        <w:rPr>
          <w:sz w:val="24"/>
        </w:rPr>
        <w:t>the</w:t>
      </w:r>
      <w:r>
        <w:rPr>
          <w:spacing w:val="-9"/>
          <w:sz w:val="24"/>
        </w:rPr>
        <w:t> </w:t>
      </w:r>
      <w:r>
        <w:rPr>
          <w:sz w:val="24"/>
        </w:rPr>
        <w:t>central</w:t>
      </w:r>
      <w:r>
        <w:rPr>
          <w:spacing w:val="-8"/>
          <w:sz w:val="24"/>
        </w:rPr>
        <w:t> </w:t>
      </w:r>
      <w:r>
        <w:rPr>
          <w:sz w:val="24"/>
        </w:rPr>
        <w:t>projection</w:t>
      </w:r>
      <w:r>
        <w:rPr>
          <w:spacing w:val="-9"/>
          <w:sz w:val="24"/>
        </w:rPr>
        <w:t> </w:t>
      </w:r>
      <w:r>
        <w:rPr>
          <w:sz w:val="24"/>
        </w:rPr>
        <w:t>were</w:t>
      </w:r>
      <w:r>
        <w:rPr>
          <w:spacing w:val="-9"/>
          <w:sz w:val="24"/>
        </w:rPr>
        <w:t> </w:t>
      </w:r>
      <w:r>
        <w:rPr>
          <w:sz w:val="24"/>
        </w:rPr>
        <w:t>somewhat</w:t>
      </w:r>
      <w:r>
        <w:rPr>
          <w:spacing w:val="-4"/>
          <w:sz w:val="24"/>
        </w:rPr>
        <w:t> </w:t>
      </w:r>
      <w:r>
        <w:rPr>
          <w:sz w:val="24"/>
        </w:rPr>
        <w:t>more</w:t>
      </w:r>
      <w:r>
        <w:rPr>
          <w:spacing w:val="-8"/>
          <w:sz w:val="24"/>
        </w:rPr>
        <w:t> </w:t>
      </w:r>
      <w:r>
        <w:rPr>
          <w:sz w:val="24"/>
        </w:rPr>
        <w:t>negative</w:t>
      </w:r>
      <w:r>
        <w:rPr>
          <w:spacing w:val="-9"/>
          <w:sz w:val="24"/>
        </w:rPr>
        <w:t> </w:t>
      </w:r>
      <w:r>
        <w:rPr>
          <w:sz w:val="24"/>
        </w:rPr>
        <w:t>than</w:t>
      </w:r>
      <w:r>
        <w:rPr>
          <w:spacing w:val="-9"/>
          <w:sz w:val="24"/>
        </w:rPr>
        <w:t> </w:t>
      </w:r>
      <w:r>
        <w:rPr>
          <w:sz w:val="24"/>
        </w:rPr>
        <w:t>projected</w:t>
      </w:r>
      <w:r>
        <w:rPr>
          <w:spacing w:val="-8"/>
          <w:sz w:val="24"/>
        </w:rPr>
        <w:t> </w:t>
      </w:r>
      <w:r>
        <w:rPr>
          <w:sz w:val="24"/>
        </w:rPr>
        <w:t>by</w:t>
      </w:r>
      <w:r>
        <w:rPr>
          <w:spacing w:val="-9"/>
          <w:sz w:val="24"/>
        </w:rPr>
        <w:t> </w:t>
      </w:r>
      <w:r>
        <w:rPr>
          <w:sz w:val="24"/>
        </w:rPr>
        <w:t>the</w:t>
      </w:r>
      <w:r>
        <w:rPr>
          <w:spacing w:val="-9"/>
          <w:sz w:val="24"/>
        </w:rPr>
        <w:t> </w:t>
      </w:r>
      <w:r>
        <w:rPr>
          <w:sz w:val="24"/>
        </w:rPr>
        <w:t>average</w:t>
      </w:r>
      <w:r>
        <w:rPr>
          <w:spacing w:val="-8"/>
          <w:sz w:val="24"/>
        </w:rPr>
        <w:t> </w:t>
      </w:r>
      <w:r>
        <w:rPr>
          <w:spacing w:val="3"/>
          <w:sz w:val="24"/>
        </w:rPr>
        <w:t>of </w:t>
      </w:r>
      <w:r>
        <w:rPr>
          <w:spacing w:val="4"/>
          <w:sz w:val="24"/>
        </w:rPr>
        <w:t>other </w:t>
      </w:r>
      <w:r>
        <w:rPr>
          <w:sz w:val="24"/>
        </w:rPr>
        <w:t>forecasters, and that largely reflected a steeper assumed sterling depreciation by </w:t>
      </w:r>
      <w:r>
        <w:rPr>
          <w:spacing w:val="3"/>
          <w:sz w:val="24"/>
        </w:rPr>
        <w:t>other </w:t>
      </w:r>
      <w:r>
        <w:rPr>
          <w:sz w:val="24"/>
        </w:rPr>
        <w:t>forecasters. The sterling effective exchange rate had strengthened since the November </w:t>
      </w:r>
      <w:r>
        <w:rPr>
          <w:i/>
          <w:sz w:val="24"/>
        </w:rPr>
        <w:t>Report </w:t>
      </w:r>
      <w:r>
        <w:rPr>
          <w:sz w:val="24"/>
        </w:rPr>
        <w:t>and </w:t>
      </w:r>
      <w:r>
        <w:rPr>
          <w:spacing w:val="4"/>
          <w:sz w:val="24"/>
        </w:rPr>
        <w:t>other</w:t>
      </w:r>
      <w:r>
        <w:rPr>
          <w:spacing w:val="-2"/>
          <w:sz w:val="24"/>
        </w:rPr>
        <w:t> </w:t>
      </w:r>
      <w:r>
        <w:rPr>
          <w:sz w:val="24"/>
        </w:rPr>
        <w:t>things</w:t>
      </w:r>
      <w:r>
        <w:rPr>
          <w:spacing w:val="-6"/>
          <w:sz w:val="24"/>
        </w:rPr>
        <w:t> </w:t>
      </w:r>
      <w:r>
        <w:rPr>
          <w:sz w:val="24"/>
        </w:rPr>
        <w:t>being</w:t>
      </w:r>
      <w:r>
        <w:rPr>
          <w:spacing w:val="-5"/>
          <w:sz w:val="24"/>
        </w:rPr>
        <w:t> </w:t>
      </w:r>
      <w:r>
        <w:rPr>
          <w:sz w:val="24"/>
        </w:rPr>
        <w:t>equal</w:t>
      </w:r>
      <w:r>
        <w:rPr>
          <w:spacing w:val="-6"/>
          <w:sz w:val="24"/>
        </w:rPr>
        <w:t> </w:t>
      </w:r>
      <w:r>
        <w:rPr>
          <w:sz w:val="24"/>
        </w:rPr>
        <w:t>that</w:t>
      </w:r>
      <w:r>
        <w:rPr>
          <w:spacing w:val="-1"/>
          <w:sz w:val="24"/>
        </w:rPr>
        <w:t> </w:t>
      </w:r>
      <w:r>
        <w:rPr>
          <w:sz w:val="24"/>
        </w:rPr>
        <w:t>would</w:t>
      </w:r>
      <w:r>
        <w:rPr>
          <w:spacing w:val="-6"/>
          <w:sz w:val="24"/>
        </w:rPr>
        <w:t> </w:t>
      </w:r>
      <w:r>
        <w:rPr>
          <w:sz w:val="24"/>
        </w:rPr>
        <w:t>tend</w:t>
      </w:r>
      <w:r>
        <w:rPr>
          <w:spacing w:val="-6"/>
          <w:sz w:val="24"/>
        </w:rPr>
        <w:t> </w:t>
      </w:r>
      <w:r>
        <w:rPr>
          <w:spacing w:val="2"/>
          <w:sz w:val="24"/>
        </w:rPr>
        <w:t>to</w:t>
      </w:r>
      <w:r>
        <w:rPr>
          <w:spacing w:val="-1"/>
          <w:sz w:val="24"/>
        </w:rPr>
        <w:t> </w:t>
      </w:r>
      <w:r>
        <w:rPr>
          <w:sz w:val="24"/>
        </w:rPr>
        <w:t>depress</w:t>
      </w:r>
      <w:r>
        <w:rPr>
          <w:spacing w:val="-6"/>
          <w:sz w:val="24"/>
        </w:rPr>
        <w:t> </w:t>
      </w:r>
      <w:r>
        <w:rPr>
          <w:sz w:val="24"/>
        </w:rPr>
        <w:t>net</w:t>
      </w:r>
      <w:r>
        <w:rPr>
          <w:spacing w:val="-1"/>
          <w:sz w:val="24"/>
        </w:rPr>
        <w:t> </w:t>
      </w:r>
      <w:r>
        <w:rPr>
          <w:sz w:val="24"/>
        </w:rPr>
        <w:t>exports</w:t>
      </w:r>
      <w:r>
        <w:rPr>
          <w:spacing w:val="-6"/>
          <w:sz w:val="24"/>
        </w:rPr>
        <w:t> </w:t>
      </w:r>
      <w:r>
        <w:rPr>
          <w:sz w:val="24"/>
        </w:rPr>
        <w:t>relative</w:t>
      </w:r>
      <w:r>
        <w:rPr>
          <w:spacing w:val="-4"/>
          <w:sz w:val="24"/>
        </w:rPr>
        <w:t> </w:t>
      </w:r>
      <w:r>
        <w:rPr>
          <w:spacing w:val="2"/>
          <w:sz w:val="24"/>
        </w:rPr>
        <w:t>to</w:t>
      </w:r>
      <w:r>
        <w:rPr>
          <w:spacing w:val="-2"/>
          <w:sz w:val="24"/>
        </w:rPr>
        <w:t> </w:t>
      </w:r>
      <w:r>
        <w:rPr>
          <w:sz w:val="24"/>
        </w:rPr>
        <w:t>the</w:t>
      </w:r>
      <w:r>
        <w:rPr>
          <w:spacing w:val="-5"/>
          <w:sz w:val="24"/>
        </w:rPr>
        <w:t> </w:t>
      </w:r>
      <w:r>
        <w:rPr>
          <w:sz w:val="24"/>
        </w:rPr>
        <w:t>projection</w:t>
      </w:r>
      <w:r>
        <w:rPr>
          <w:spacing w:val="-6"/>
          <w:sz w:val="24"/>
        </w:rPr>
        <w:t> </w:t>
      </w:r>
      <w:r>
        <w:rPr>
          <w:sz w:val="24"/>
        </w:rPr>
        <w:t>made</w:t>
      </w:r>
      <w:r>
        <w:rPr>
          <w:spacing w:val="-6"/>
          <w:sz w:val="24"/>
        </w:rPr>
        <w:t> </w:t>
      </w:r>
      <w:r>
        <w:rPr>
          <w:sz w:val="24"/>
        </w:rPr>
        <w:t>then.</w:t>
      </w:r>
    </w:p>
    <w:p>
      <w:pPr>
        <w:pStyle w:val="BodyText"/>
        <w:spacing w:before="1"/>
        <w:rPr>
          <w:sz w:val="31"/>
        </w:rPr>
      </w:pPr>
    </w:p>
    <w:p>
      <w:pPr>
        <w:pStyle w:val="ListParagraph"/>
        <w:numPr>
          <w:ilvl w:val="0"/>
          <w:numId w:val="1"/>
        </w:numPr>
        <w:tabs>
          <w:tab w:pos="496" w:val="left" w:leader="none"/>
          <w:tab w:pos="497" w:val="left" w:leader="none"/>
        </w:tabs>
        <w:spacing w:line="312" w:lineRule="auto" w:before="0" w:after="0"/>
        <w:ind w:left="136" w:right="263" w:firstLine="0"/>
        <w:jc w:val="left"/>
        <w:rPr>
          <w:sz w:val="24"/>
        </w:rPr>
      </w:pPr>
      <w:r>
        <w:rPr>
          <w:sz w:val="24"/>
        </w:rPr>
        <w:t>The latest data for non-EU trade in October showed a marked fall in exports but September had been strong. That evidence seemed broadly consistent with the projections so far. The Agents’ special survey tried </w:t>
      </w:r>
      <w:r>
        <w:rPr>
          <w:spacing w:val="2"/>
          <w:sz w:val="24"/>
        </w:rPr>
        <w:t>to </w:t>
      </w:r>
      <w:r>
        <w:rPr>
          <w:sz w:val="24"/>
        </w:rPr>
        <w:t>shed light </w:t>
      </w:r>
      <w:r>
        <w:rPr>
          <w:spacing w:val="2"/>
          <w:sz w:val="24"/>
        </w:rPr>
        <w:t>on </w:t>
      </w:r>
      <w:r>
        <w:rPr>
          <w:sz w:val="24"/>
        </w:rPr>
        <w:t>the recent export puzzle. The picture that emerged was </w:t>
      </w:r>
      <w:r>
        <w:rPr>
          <w:spacing w:val="2"/>
          <w:sz w:val="24"/>
        </w:rPr>
        <w:t>of </w:t>
      </w:r>
      <w:r>
        <w:rPr>
          <w:sz w:val="24"/>
        </w:rPr>
        <w:t>very considerable price and market pressures. This was particularly marked for exports </w:t>
      </w:r>
      <w:r>
        <w:rPr>
          <w:spacing w:val="3"/>
          <w:sz w:val="24"/>
        </w:rPr>
        <w:t>to </w:t>
      </w:r>
      <w:r>
        <w:rPr>
          <w:sz w:val="24"/>
        </w:rPr>
        <w:t>the EU,</w:t>
      </w:r>
      <w:r>
        <w:rPr>
          <w:spacing w:val="-37"/>
          <w:sz w:val="24"/>
        </w:rPr>
        <w:t> </w:t>
      </w:r>
      <w:r>
        <w:rPr>
          <w:sz w:val="24"/>
        </w:rPr>
        <w:t>which</w:t>
      </w:r>
    </w:p>
    <w:p>
      <w:pPr>
        <w:spacing w:after="0" w:line="312" w:lineRule="auto"/>
        <w:jc w:val="left"/>
        <w:rPr>
          <w:sz w:val="24"/>
        </w:rPr>
        <w:sectPr>
          <w:headerReference w:type="default" r:id="rId7"/>
          <w:pgSz w:w="11900" w:h="16840"/>
          <w:pgMar w:header="1224" w:footer="0" w:top="1600" w:bottom="280" w:left="1140" w:right="780"/>
          <w:pgNumType w:start="2"/>
        </w:sectPr>
      </w:pPr>
    </w:p>
    <w:p>
      <w:pPr>
        <w:pStyle w:val="BodyText"/>
        <w:spacing w:line="309" w:lineRule="auto" w:before="169"/>
        <w:ind w:left="136" w:right="341"/>
      </w:pPr>
      <w:r>
        <w:rPr/>
        <w:t>was to be expected given the movements in sterling against the euro compared with the dollar. Overall, the export picture in the survey seemed weaker than that suggested by recent official data.</w:t>
      </w:r>
    </w:p>
    <w:p>
      <w:pPr>
        <w:pStyle w:val="BodyText"/>
        <w:spacing w:before="7"/>
        <w:rPr>
          <w:sz w:val="31"/>
        </w:rPr>
      </w:pPr>
    </w:p>
    <w:p>
      <w:pPr>
        <w:pStyle w:val="ListParagraph"/>
        <w:numPr>
          <w:ilvl w:val="0"/>
          <w:numId w:val="1"/>
        </w:numPr>
        <w:tabs>
          <w:tab w:pos="496" w:val="left" w:leader="none"/>
          <w:tab w:pos="497" w:val="left" w:leader="none"/>
        </w:tabs>
        <w:spacing w:line="312" w:lineRule="auto" w:before="0" w:after="0"/>
        <w:ind w:left="136" w:right="139" w:firstLine="0"/>
        <w:jc w:val="left"/>
        <w:rPr>
          <w:sz w:val="24"/>
        </w:rPr>
      </w:pPr>
      <w:r>
        <w:rPr>
          <w:sz w:val="24"/>
        </w:rPr>
        <w:t>On </w:t>
      </w:r>
      <w:r>
        <w:rPr>
          <w:spacing w:val="4"/>
          <w:sz w:val="24"/>
        </w:rPr>
        <w:t>output, </w:t>
      </w:r>
      <w:r>
        <w:rPr>
          <w:sz w:val="24"/>
        </w:rPr>
        <w:t>the latest estimate </w:t>
      </w:r>
      <w:r>
        <w:rPr>
          <w:spacing w:val="2"/>
          <w:sz w:val="24"/>
        </w:rPr>
        <w:t>of </w:t>
      </w:r>
      <w:r>
        <w:rPr>
          <w:sz w:val="24"/>
        </w:rPr>
        <w:t>GDP growth in Q3 was still in line with the 0.9% first estimate available at the time </w:t>
      </w:r>
      <w:r>
        <w:rPr>
          <w:spacing w:val="3"/>
          <w:sz w:val="24"/>
        </w:rPr>
        <w:t>of </w:t>
      </w:r>
      <w:r>
        <w:rPr>
          <w:sz w:val="24"/>
        </w:rPr>
        <w:t>the November </w:t>
      </w:r>
      <w:r>
        <w:rPr>
          <w:i/>
          <w:sz w:val="24"/>
        </w:rPr>
        <w:t>Report</w:t>
      </w:r>
      <w:r>
        <w:rPr>
          <w:sz w:val="24"/>
        </w:rPr>
        <w:t>. The latest manufacturing data showed a slight upward revision </w:t>
      </w:r>
      <w:r>
        <w:rPr>
          <w:spacing w:val="2"/>
          <w:sz w:val="24"/>
        </w:rPr>
        <w:t>to </w:t>
      </w:r>
      <w:r>
        <w:rPr>
          <w:sz w:val="24"/>
        </w:rPr>
        <w:t>Q3, although growth in October had been lower than the average monthly rate in Q3. The CBI Industrial Trends survey for November recorded a positive balance for </w:t>
      </w:r>
      <w:r>
        <w:rPr>
          <w:spacing w:val="4"/>
          <w:sz w:val="24"/>
        </w:rPr>
        <w:t>output </w:t>
      </w:r>
      <w:r>
        <w:rPr>
          <w:sz w:val="24"/>
        </w:rPr>
        <w:t>expectations, though less positive than in October. The latest construction survey indicators also seemed quite buoyant, more so than the </w:t>
      </w:r>
      <w:r>
        <w:rPr>
          <w:spacing w:val="4"/>
          <w:sz w:val="24"/>
        </w:rPr>
        <w:t>official </w:t>
      </w:r>
      <w:r>
        <w:rPr>
          <w:sz w:val="24"/>
        </w:rPr>
        <w:t>data </w:t>
      </w:r>
      <w:r>
        <w:rPr>
          <w:spacing w:val="2"/>
          <w:sz w:val="24"/>
        </w:rPr>
        <w:t>on </w:t>
      </w:r>
      <w:r>
        <w:rPr>
          <w:sz w:val="24"/>
        </w:rPr>
        <w:t>new </w:t>
      </w:r>
      <w:r>
        <w:rPr>
          <w:spacing w:val="4"/>
          <w:sz w:val="24"/>
        </w:rPr>
        <w:t>orders. </w:t>
      </w:r>
      <w:r>
        <w:rPr>
          <w:sz w:val="24"/>
        </w:rPr>
        <w:t>The monthly </w:t>
      </w:r>
      <w:r>
        <w:rPr>
          <w:spacing w:val="-10"/>
          <w:sz w:val="24"/>
        </w:rPr>
        <w:t>C</w:t>
      </w:r>
      <w:r>
        <w:rPr>
          <w:spacing w:val="-10"/>
          <w:sz w:val="20"/>
        </w:rPr>
        <w:t>IPS </w:t>
      </w:r>
      <w:r>
        <w:rPr>
          <w:sz w:val="24"/>
        </w:rPr>
        <w:t>services survey had shown a marked increase in the activity index. </w:t>
      </w:r>
      <w:r>
        <w:rPr>
          <w:spacing w:val="2"/>
          <w:sz w:val="24"/>
        </w:rPr>
        <w:t>This </w:t>
      </w:r>
      <w:r>
        <w:rPr>
          <w:sz w:val="24"/>
        </w:rPr>
        <w:t>index looked particularly strong when compared with the average since the survey began in 1996, which itself reflected a period </w:t>
      </w:r>
      <w:r>
        <w:rPr>
          <w:spacing w:val="2"/>
          <w:sz w:val="24"/>
        </w:rPr>
        <w:t>of </w:t>
      </w:r>
      <w:r>
        <w:rPr>
          <w:sz w:val="24"/>
        </w:rPr>
        <w:t>strong service sector </w:t>
      </w:r>
      <w:r>
        <w:rPr>
          <w:spacing w:val="3"/>
          <w:sz w:val="24"/>
        </w:rPr>
        <w:t>output </w:t>
      </w:r>
      <w:r>
        <w:rPr>
          <w:sz w:val="24"/>
        </w:rPr>
        <w:t>growth. The latest CBI/Deloitte &amp; Touche survey however pointed </w:t>
      </w:r>
      <w:r>
        <w:rPr>
          <w:spacing w:val="2"/>
          <w:sz w:val="24"/>
        </w:rPr>
        <w:t>to </w:t>
      </w:r>
      <w:r>
        <w:rPr>
          <w:sz w:val="24"/>
        </w:rPr>
        <w:t>some recent weakening </w:t>
      </w:r>
      <w:r>
        <w:rPr>
          <w:spacing w:val="2"/>
          <w:sz w:val="24"/>
        </w:rPr>
        <w:t>of </w:t>
      </w:r>
      <w:r>
        <w:rPr>
          <w:sz w:val="24"/>
        </w:rPr>
        <w:t>consumer services volumes. There were some suggestions that the latest rise in the C </w:t>
      </w:r>
      <w:r>
        <w:rPr>
          <w:sz w:val="20"/>
        </w:rPr>
        <w:t>IPS </w:t>
      </w:r>
      <w:r>
        <w:rPr>
          <w:sz w:val="24"/>
        </w:rPr>
        <w:t>survey might be millennium-related </w:t>
      </w:r>
      <w:r>
        <w:rPr>
          <w:spacing w:val="2"/>
          <w:sz w:val="24"/>
        </w:rPr>
        <w:t>rather </w:t>
      </w:r>
      <w:r>
        <w:rPr>
          <w:sz w:val="24"/>
        </w:rPr>
        <w:t>than a more sustained acceleration in service </w:t>
      </w:r>
      <w:r>
        <w:rPr>
          <w:spacing w:val="2"/>
          <w:sz w:val="24"/>
        </w:rPr>
        <w:t>sector </w:t>
      </w:r>
      <w:r>
        <w:rPr>
          <w:sz w:val="24"/>
        </w:rPr>
        <w:t>activity. </w:t>
      </w:r>
      <w:r>
        <w:rPr>
          <w:spacing w:val="2"/>
          <w:sz w:val="24"/>
        </w:rPr>
        <w:t>There </w:t>
      </w:r>
      <w:r>
        <w:rPr>
          <w:sz w:val="24"/>
        </w:rPr>
        <w:t>was however little evidence from the </w:t>
      </w:r>
      <w:r>
        <w:rPr>
          <w:spacing w:val="-5"/>
          <w:sz w:val="24"/>
        </w:rPr>
        <w:t>Bank’s </w:t>
      </w:r>
      <w:r>
        <w:rPr>
          <w:spacing w:val="2"/>
          <w:sz w:val="24"/>
        </w:rPr>
        <w:t>regional Agents </w:t>
      </w:r>
      <w:r>
        <w:rPr>
          <w:spacing w:val="3"/>
          <w:sz w:val="24"/>
        </w:rPr>
        <w:t>of </w:t>
      </w:r>
      <w:r>
        <w:rPr>
          <w:spacing w:val="2"/>
          <w:sz w:val="24"/>
        </w:rPr>
        <w:t>strong millennium-related </w:t>
      </w:r>
      <w:r>
        <w:rPr>
          <w:sz w:val="24"/>
        </w:rPr>
        <w:t>effects </w:t>
      </w:r>
      <w:r>
        <w:rPr>
          <w:spacing w:val="2"/>
          <w:sz w:val="24"/>
        </w:rPr>
        <w:t>on </w:t>
      </w:r>
      <w:r>
        <w:rPr>
          <w:sz w:val="24"/>
        </w:rPr>
        <w:t>demand </w:t>
      </w:r>
      <w:r>
        <w:rPr>
          <w:spacing w:val="2"/>
          <w:sz w:val="24"/>
        </w:rPr>
        <w:t>or </w:t>
      </w:r>
      <w:r>
        <w:rPr>
          <w:spacing w:val="4"/>
          <w:sz w:val="24"/>
        </w:rPr>
        <w:t>output, </w:t>
      </w:r>
      <w:r>
        <w:rPr>
          <w:sz w:val="24"/>
        </w:rPr>
        <w:t>apart from the possible pause in IT investment noted above and some isolated examples </w:t>
      </w:r>
      <w:r>
        <w:rPr>
          <w:spacing w:val="2"/>
          <w:sz w:val="24"/>
        </w:rPr>
        <w:t>of </w:t>
      </w:r>
      <w:r>
        <w:rPr>
          <w:sz w:val="24"/>
        </w:rPr>
        <w:t>increasing inventories. The latest National Institute </w:t>
      </w:r>
      <w:r>
        <w:rPr>
          <w:spacing w:val="2"/>
          <w:sz w:val="24"/>
        </w:rPr>
        <w:t>of Economic </w:t>
      </w:r>
      <w:r>
        <w:rPr>
          <w:sz w:val="24"/>
        </w:rPr>
        <w:t>and Social Research</w:t>
      </w:r>
      <w:r>
        <w:rPr>
          <w:spacing w:val="-5"/>
          <w:sz w:val="24"/>
        </w:rPr>
        <w:t> </w:t>
      </w:r>
      <w:r>
        <w:rPr>
          <w:sz w:val="24"/>
        </w:rPr>
        <w:t>projection</w:t>
      </w:r>
      <w:r>
        <w:rPr>
          <w:spacing w:val="-4"/>
          <w:sz w:val="24"/>
        </w:rPr>
        <w:t> </w:t>
      </w:r>
      <w:r>
        <w:rPr>
          <w:spacing w:val="2"/>
          <w:sz w:val="24"/>
        </w:rPr>
        <w:t>of</w:t>
      </w:r>
      <w:r>
        <w:rPr>
          <w:sz w:val="24"/>
        </w:rPr>
        <w:t> GDP</w:t>
      </w:r>
      <w:r>
        <w:rPr>
          <w:spacing w:val="-5"/>
          <w:sz w:val="24"/>
        </w:rPr>
        <w:t> </w:t>
      </w:r>
      <w:r>
        <w:rPr>
          <w:sz w:val="24"/>
        </w:rPr>
        <w:t>growth</w:t>
      </w:r>
      <w:r>
        <w:rPr>
          <w:spacing w:val="-4"/>
          <w:sz w:val="24"/>
        </w:rPr>
        <w:t> </w:t>
      </w:r>
      <w:r>
        <w:rPr>
          <w:sz w:val="24"/>
        </w:rPr>
        <w:t>in</w:t>
      </w:r>
      <w:r>
        <w:rPr>
          <w:spacing w:val="-4"/>
          <w:sz w:val="24"/>
        </w:rPr>
        <w:t> </w:t>
      </w:r>
      <w:r>
        <w:rPr>
          <w:sz w:val="24"/>
        </w:rPr>
        <w:t>the</w:t>
      </w:r>
      <w:r>
        <w:rPr>
          <w:spacing w:val="-4"/>
          <w:sz w:val="24"/>
        </w:rPr>
        <w:t> </w:t>
      </w:r>
      <w:r>
        <w:rPr>
          <w:sz w:val="24"/>
        </w:rPr>
        <w:t>three</w:t>
      </w:r>
      <w:r>
        <w:rPr>
          <w:spacing w:val="-4"/>
          <w:sz w:val="24"/>
        </w:rPr>
        <w:t> </w:t>
      </w:r>
      <w:r>
        <w:rPr>
          <w:sz w:val="24"/>
        </w:rPr>
        <w:t>months</w:t>
      </w:r>
      <w:r>
        <w:rPr>
          <w:spacing w:val="-5"/>
          <w:sz w:val="24"/>
        </w:rPr>
        <w:t> </w:t>
      </w:r>
      <w:r>
        <w:rPr>
          <w:spacing w:val="2"/>
          <w:sz w:val="24"/>
        </w:rPr>
        <w:t>to</w:t>
      </w:r>
      <w:r>
        <w:rPr>
          <w:spacing w:val="1"/>
          <w:sz w:val="24"/>
        </w:rPr>
        <w:t> </w:t>
      </w:r>
      <w:r>
        <w:rPr>
          <w:sz w:val="24"/>
        </w:rPr>
        <w:t>November</w:t>
      </w:r>
      <w:r>
        <w:rPr>
          <w:spacing w:val="-4"/>
          <w:sz w:val="24"/>
        </w:rPr>
        <w:t> </w:t>
      </w:r>
      <w:r>
        <w:rPr>
          <w:sz w:val="24"/>
        </w:rPr>
        <w:t>was</w:t>
      </w:r>
      <w:r>
        <w:rPr>
          <w:spacing w:val="-5"/>
          <w:sz w:val="24"/>
        </w:rPr>
        <w:t> </w:t>
      </w:r>
      <w:r>
        <w:rPr>
          <w:sz w:val="24"/>
        </w:rPr>
        <w:t>0.8%,</w:t>
      </w:r>
      <w:r>
        <w:rPr>
          <w:spacing w:val="-4"/>
          <w:sz w:val="24"/>
        </w:rPr>
        <w:t> </w:t>
      </w:r>
      <w:r>
        <w:rPr>
          <w:sz w:val="24"/>
        </w:rPr>
        <w:t>down</w:t>
      </w:r>
      <w:r>
        <w:rPr>
          <w:spacing w:val="-4"/>
          <w:sz w:val="24"/>
        </w:rPr>
        <w:t> </w:t>
      </w:r>
      <w:r>
        <w:rPr>
          <w:sz w:val="24"/>
        </w:rPr>
        <w:t>slightly</w:t>
      </w:r>
      <w:r>
        <w:rPr>
          <w:spacing w:val="-4"/>
          <w:sz w:val="24"/>
        </w:rPr>
        <w:t> </w:t>
      </w:r>
      <w:r>
        <w:rPr>
          <w:sz w:val="24"/>
        </w:rPr>
        <w:t>on</w:t>
      </w:r>
    </w:p>
    <w:p>
      <w:pPr>
        <w:pStyle w:val="BodyText"/>
        <w:spacing w:line="312" w:lineRule="auto"/>
        <w:ind w:left="136" w:right="227"/>
      </w:pPr>
      <w:r>
        <w:rPr/>
        <w:t>the outturn for October. The staff’s latest survey -based estimate of GDP growth in Q4 was broadly at the same rate as in the third quarter, but higher than in November’s central projection.</w:t>
      </w:r>
    </w:p>
    <w:p>
      <w:pPr>
        <w:pStyle w:val="BodyText"/>
        <w:rPr>
          <w:sz w:val="31"/>
        </w:rPr>
      </w:pPr>
    </w:p>
    <w:p>
      <w:pPr>
        <w:pStyle w:val="ListParagraph"/>
        <w:numPr>
          <w:ilvl w:val="0"/>
          <w:numId w:val="1"/>
        </w:numPr>
        <w:tabs>
          <w:tab w:pos="497" w:val="left" w:leader="none"/>
        </w:tabs>
        <w:spacing w:line="312" w:lineRule="auto" w:before="0" w:after="0"/>
        <w:ind w:left="136" w:right="743" w:firstLine="0"/>
        <w:jc w:val="left"/>
        <w:rPr>
          <w:sz w:val="24"/>
        </w:rPr>
      </w:pPr>
      <w:r>
        <w:rPr>
          <w:sz w:val="24"/>
        </w:rPr>
        <w:t>Overall</w:t>
      </w:r>
      <w:r>
        <w:rPr>
          <w:spacing w:val="-7"/>
          <w:sz w:val="24"/>
        </w:rPr>
        <w:t> </w:t>
      </w:r>
      <w:r>
        <w:rPr>
          <w:sz w:val="24"/>
        </w:rPr>
        <w:t>there</w:t>
      </w:r>
      <w:r>
        <w:rPr>
          <w:spacing w:val="-7"/>
          <w:sz w:val="24"/>
        </w:rPr>
        <w:t> </w:t>
      </w:r>
      <w:r>
        <w:rPr>
          <w:sz w:val="24"/>
        </w:rPr>
        <w:t>was</w:t>
      </w:r>
      <w:r>
        <w:rPr>
          <w:spacing w:val="-8"/>
          <w:sz w:val="24"/>
        </w:rPr>
        <w:t> </w:t>
      </w:r>
      <w:r>
        <w:rPr>
          <w:sz w:val="24"/>
        </w:rPr>
        <w:t>not</w:t>
      </w:r>
      <w:r>
        <w:rPr>
          <w:spacing w:val="-2"/>
          <w:sz w:val="24"/>
        </w:rPr>
        <w:t> </w:t>
      </w:r>
      <w:r>
        <w:rPr>
          <w:sz w:val="24"/>
        </w:rPr>
        <w:t>much</w:t>
      </w:r>
      <w:r>
        <w:rPr>
          <w:spacing w:val="-7"/>
          <w:sz w:val="24"/>
        </w:rPr>
        <w:t> </w:t>
      </w:r>
      <w:r>
        <w:rPr>
          <w:sz w:val="24"/>
        </w:rPr>
        <w:t>evidence,</w:t>
      </w:r>
      <w:r>
        <w:rPr>
          <w:spacing w:val="-8"/>
          <w:sz w:val="24"/>
        </w:rPr>
        <w:t> </w:t>
      </w:r>
      <w:r>
        <w:rPr>
          <w:spacing w:val="2"/>
          <w:sz w:val="24"/>
        </w:rPr>
        <w:t>on</w:t>
      </w:r>
      <w:r>
        <w:rPr>
          <w:spacing w:val="-3"/>
          <w:sz w:val="24"/>
        </w:rPr>
        <w:t> </w:t>
      </w:r>
      <w:r>
        <w:rPr>
          <w:sz w:val="24"/>
        </w:rPr>
        <w:t>balance,</w:t>
      </w:r>
      <w:r>
        <w:rPr>
          <w:spacing w:val="-6"/>
          <w:sz w:val="24"/>
        </w:rPr>
        <w:t> </w:t>
      </w:r>
      <w:r>
        <w:rPr>
          <w:sz w:val="24"/>
        </w:rPr>
        <w:t>that</w:t>
      </w:r>
      <w:r>
        <w:rPr>
          <w:spacing w:val="-2"/>
          <w:sz w:val="24"/>
        </w:rPr>
        <w:t> </w:t>
      </w:r>
      <w:r>
        <w:rPr>
          <w:sz w:val="24"/>
        </w:rPr>
        <w:t>demand</w:t>
      </w:r>
      <w:r>
        <w:rPr>
          <w:spacing w:val="-8"/>
          <w:sz w:val="24"/>
        </w:rPr>
        <w:t> </w:t>
      </w:r>
      <w:r>
        <w:rPr>
          <w:sz w:val="24"/>
        </w:rPr>
        <w:t>and</w:t>
      </w:r>
      <w:r>
        <w:rPr>
          <w:spacing w:val="-7"/>
          <w:sz w:val="24"/>
        </w:rPr>
        <w:t> </w:t>
      </w:r>
      <w:r>
        <w:rPr>
          <w:spacing w:val="4"/>
          <w:sz w:val="24"/>
        </w:rPr>
        <w:t>output</w:t>
      </w:r>
      <w:r>
        <w:rPr>
          <w:spacing w:val="-3"/>
          <w:sz w:val="24"/>
        </w:rPr>
        <w:t> </w:t>
      </w:r>
      <w:r>
        <w:rPr>
          <w:sz w:val="24"/>
        </w:rPr>
        <w:t>were</w:t>
      </w:r>
      <w:r>
        <w:rPr>
          <w:spacing w:val="-7"/>
          <w:sz w:val="24"/>
        </w:rPr>
        <w:t> </w:t>
      </w:r>
      <w:r>
        <w:rPr>
          <w:sz w:val="24"/>
        </w:rPr>
        <w:t>turning</w:t>
      </w:r>
      <w:r>
        <w:rPr>
          <w:spacing w:val="-7"/>
          <w:sz w:val="24"/>
        </w:rPr>
        <w:t> </w:t>
      </w:r>
      <w:r>
        <w:rPr>
          <w:spacing w:val="3"/>
          <w:sz w:val="24"/>
        </w:rPr>
        <w:t>out </w:t>
      </w:r>
      <w:r>
        <w:rPr>
          <w:sz w:val="24"/>
        </w:rPr>
        <w:t>differently from what had been expected in November. If anything, the </w:t>
      </w:r>
      <w:r>
        <w:rPr>
          <w:spacing w:val="2"/>
          <w:sz w:val="24"/>
        </w:rPr>
        <w:t>risks </w:t>
      </w:r>
      <w:r>
        <w:rPr>
          <w:sz w:val="24"/>
        </w:rPr>
        <w:t>were </w:t>
      </w:r>
      <w:r>
        <w:rPr>
          <w:spacing w:val="3"/>
          <w:sz w:val="24"/>
        </w:rPr>
        <w:t>of </w:t>
      </w:r>
      <w:r>
        <w:rPr>
          <w:sz w:val="24"/>
        </w:rPr>
        <w:t>slightly stronger </w:t>
      </w:r>
      <w:r>
        <w:rPr>
          <w:spacing w:val="3"/>
          <w:sz w:val="24"/>
        </w:rPr>
        <w:t>outturns </w:t>
      </w:r>
      <w:r>
        <w:rPr>
          <w:sz w:val="24"/>
        </w:rPr>
        <w:t>in Q4 than thought a month</w:t>
      </w:r>
      <w:r>
        <w:rPr>
          <w:spacing w:val="14"/>
          <w:sz w:val="24"/>
        </w:rPr>
        <w:t> </w:t>
      </w:r>
      <w:r>
        <w:rPr>
          <w:sz w:val="24"/>
        </w:rPr>
        <w:t>ago.</w:t>
      </w:r>
    </w:p>
    <w:p>
      <w:pPr>
        <w:pStyle w:val="BodyText"/>
        <w:spacing w:before="7"/>
        <w:rPr>
          <w:sz w:val="31"/>
        </w:rPr>
      </w:pPr>
    </w:p>
    <w:p>
      <w:pPr>
        <w:pStyle w:val="Heading1"/>
        <w:spacing w:before="1"/>
        <w:ind w:left="137"/>
      </w:pPr>
      <w:r>
        <w:rPr/>
        <w:t>Money, credit and asset prices</w:t>
      </w:r>
    </w:p>
    <w:p>
      <w:pPr>
        <w:pStyle w:val="BodyText"/>
        <w:spacing w:before="2"/>
        <w:rPr>
          <w:b/>
          <w:sz w:val="38"/>
        </w:rPr>
      </w:pPr>
    </w:p>
    <w:p>
      <w:pPr>
        <w:pStyle w:val="ListParagraph"/>
        <w:numPr>
          <w:ilvl w:val="0"/>
          <w:numId w:val="1"/>
        </w:numPr>
        <w:tabs>
          <w:tab w:pos="497" w:val="left" w:leader="none"/>
        </w:tabs>
        <w:spacing w:line="312" w:lineRule="auto" w:before="0" w:after="0"/>
        <w:ind w:left="136" w:right="145" w:firstLine="0"/>
        <w:jc w:val="left"/>
        <w:rPr>
          <w:sz w:val="24"/>
        </w:rPr>
      </w:pPr>
      <w:r>
        <w:rPr>
          <w:sz w:val="24"/>
        </w:rPr>
        <w:t>Broad money growth, excluding Other Financial Corporations, remained fairly stable. The most striking monetary indicator </w:t>
      </w:r>
      <w:r>
        <w:rPr>
          <w:spacing w:val="3"/>
          <w:sz w:val="24"/>
        </w:rPr>
        <w:t>over </w:t>
      </w:r>
      <w:r>
        <w:rPr>
          <w:sz w:val="24"/>
        </w:rPr>
        <w:t>the past month had been the marked increase in narrow money in November. Notes and coin were growing at the fastest annual rate since 1980, with a particularly rapid rise in November. The seasonal adjustment updated the seasonal factors each month using a three-year window. </w:t>
      </w:r>
      <w:r>
        <w:rPr>
          <w:spacing w:val="2"/>
          <w:sz w:val="24"/>
        </w:rPr>
        <w:t>This </w:t>
      </w:r>
      <w:r>
        <w:rPr>
          <w:sz w:val="24"/>
        </w:rPr>
        <w:t>meant that </w:t>
      </w:r>
      <w:r>
        <w:rPr>
          <w:spacing w:val="3"/>
          <w:sz w:val="24"/>
        </w:rPr>
        <w:t>one </w:t>
      </w:r>
      <w:r>
        <w:rPr>
          <w:sz w:val="24"/>
        </w:rPr>
        <w:t>third </w:t>
      </w:r>
      <w:r>
        <w:rPr>
          <w:spacing w:val="2"/>
          <w:sz w:val="24"/>
        </w:rPr>
        <w:t>of </w:t>
      </w:r>
      <w:r>
        <w:rPr>
          <w:sz w:val="24"/>
        </w:rPr>
        <w:t>the rapid increase in November had already been attributed as a seasonal effect – the headline increase was even larger than the seasonally adjusted figures suggested. The staff had tried </w:t>
      </w:r>
      <w:r>
        <w:rPr>
          <w:spacing w:val="3"/>
          <w:sz w:val="24"/>
        </w:rPr>
        <w:t>to </w:t>
      </w:r>
      <w:r>
        <w:rPr>
          <w:sz w:val="24"/>
        </w:rPr>
        <w:t>make allowance for the possible effects </w:t>
      </w:r>
      <w:r>
        <w:rPr>
          <w:spacing w:val="3"/>
          <w:sz w:val="24"/>
        </w:rPr>
        <w:t>of </w:t>
      </w:r>
      <w:r>
        <w:rPr>
          <w:sz w:val="24"/>
        </w:rPr>
        <w:t>the millennium and the </w:t>
      </w:r>
      <w:r>
        <w:rPr>
          <w:spacing w:val="-3"/>
          <w:sz w:val="24"/>
        </w:rPr>
        <w:t>Government’s </w:t>
      </w:r>
      <w:r>
        <w:rPr>
          <w:sz w:val="24"/>
        </w:rPr>
        <w:t>Winter Allowance, but it seemed likely </w:t>
      </w:r>
      <w:r>
        <w:rPr>
          <w:spacing w:val="3"/>
          <w:sz w:val="24"/>
        </w:rPr>
        <w:t>to </w:t>
      </w:r>
      <w:r>
        <w:rPr>
          <w:sz w:val="24"/>
        </w:rPr>
        <w:t>explain </w:t>
      </w:r>
      <w:r>
        <w:rPr>
          <w:spacing w:val="4"/>
          <w:sz w:val="24"/>
        </w:rPr>
        <w:t>only </w:t>
      </w:r>
      <w:r>
        <w:rPr>
          <w:sz w:val="24"/>
        </w:rPr>
        <w:t>part </w:t>
      </w:r>
      <w:r>
        <w:rPr>
          <w:spacing w:val="3"/>
          <w:sz w:val="24"/>
        </w:rPr>
        <w:t>of </w:t>
      </w:r>
      <w:r>
        <w:rPr>
          <w:sz w:val="24"/>
        </w:rPr>
        <w:t>the </w:t>
      </w:r>
      <w:r>
        <w:rPr>
          <w:spacing w:val="2"/>
          <w:sz w:val="24"/>
        </w:rPr>
        <w:t>total </w:t>
      </w:r>
      <w:r>
        <w:rPr>
          <w:sz w:val="24"/>
        </w:rPr>
        <w:t>increase in November, though there was great uncertainty </w:t>
      </w:r>
      <w:r>
        <w:rPr>
          <w:spacing w:val="3"/>
          <w:sz w:val="24"/>
        </w:rPr>
        <w:t>over </w:t>
      </w:r>
      <w:r>
        <w:rPr>
          <w:sz w:val="24"/>
        </w:rPr>
        <w:t>the magnitude </w:t>
      </w:r>
      <w:r>
        <w:rPr>
          <w:spacing w:val="2"/>
          <w:sz w:val="24"/>
        </w:rPr>
        <w:t>of </w:t>
      </w:r>
      <w:r>
        <w:rPr>
          <w:sz w:val="24"/>
        </w:rPr>
        <w:t>these effects. An increase in money balances ahead </w:t>
      </w:r>
      <w:r>
        <w:rPr>
          <w:spacing w:val="2"/>
          <w:sz w:val="24"/>
        </w:rPr>
        <w:t>of </w:t>
      </w:r>
      <w:r>
        <w:rPr>
          <w:sz w:val="24"/>
        </w:rPr>
        <w:t>the year-end might </w:t>
      </w:r>
      <w:r>
        <w:rPr>
          <w:spacing w:val="4"/>
          <w:sz w:val="24"/>
        </w:rPr>
        <w:t>occur </w:t>
      </w:r>
      <w:r>
        <w:rPr>
          <w:sz w:val="24"/>
        </w:rPr>
        <w:t>for several reasons. For example, it might</w:t>
      </w:r>
      <w:r>
        <w:rPr>
          <w:spacing w:val="-4"/>
          <w:sz w:val="24"/>
        </w:rPr>
        <w:t> </w:t>
      </w:r>
      <w:r>
        <w:rPr>
          <w:sz w:val="24"/>
        </w:rPr>
        <w:t>be</w:t>
      </w:r>
      <w:r>
        <w:rPr>
          <w:spacing w:val="-9"/>
          <w:sz w:val="24"/>
        </w:rPr>
        <w:t> </w:t>
      </w:r>
      <w:r>
        <w:rPr>
          <w:sz w:val="24"/>
        </w:rPr>
        <w:t>precautionary</w:t>
      </w:r>
      <w:r>
        <w:rPr>
          <w:spacing w:val="-9"/>
          <w:sz w:val="24"/>
        </w:rPr>
        <w:t> </w:t>
      </w:r>
      <w:r>
        <w:rPr>
          <w:spacing w:val="2"/>
          <w:sz w:val="24"/>
        </w:rPr>
        <w:t>on</w:t>
      </w:r>
      <w:r>
        <w:rPr>
          <w:spacing w:val="-5"/>
          <w:sz w:val="24"/>
        </w:rPr>
        <w:t> </w:t>
      </w:r>
      <w:r>
        <w:rPr>
          <w:sz w:val="24"/>
        </w:rPr>
        <w:t>account</w:t>
      </w:r>
      <w:r>
        <w:rPr>
          <w:spacing w:val="-4"/>
          <w:sz w:val="24"/>
        </w:rPr>
        <w:t> </w:t>
      </w:r>
      <w:r>
        <w:rPr>
          <w:spacing w:val="2"/>
          <w:sz w:val="24"/>
        </w:rPr>
        <w:t>of</w:t>
      </w:r>
      <w:r>
        <w:rPr>
          <w:spacing w:val="-5"/>
          <w:sz w:val="24"/>
        </w:rPr>
        <w:t> </w:t>
      </w:r>
      <w:r>
        <w:rPr>
          <w:sz w:val="24"/>
        </w:rPr>
        <w:t>concerns</w:t>
      </w:r>
      <w:r>
        <w:rPr>
          <w:spacing w:val="-9"/>
          <w:sz w:val="24"/>
        </w:rPr>
        <w:t> </w:t>
      </w:r>
      <w:r>
        <w:rPr>
          <w:sz w:val="24"/>
        </w:rPr>
        <w:t>about</w:t>
      </w:r>
      <w:r>
        <w:rPr>
          <w:spacing w:val="-4"/>
          <w:sz w:val="24"/>
        </w:rPr>
        <w:t> </w:t>
      </w:r>
      <w:r>
        <w:rPr>
          <w:spacing w:val="2"/>
          <w:sz w:val="24"/>
        </w:rPr>
        <w:t>computer-related</w:t>
      </w:r>
      <w:r>
        <w:rPr>
          <w:spacing w:val="-6"/>
          <w:sz w:val="24"/>
        </w:rPr>
        <w:t> </w:t>
      </w:r>
      <w:r>
        <w:rPr>
          <w:sz w:val="24"/>
        </w:rPr>
        <w:t>Y2K</w:t>
      </w:r>
      <w:r>
        <w:rPr>
          <w:spacing w:val="-8"/>
          <w:sz w:val="24"/>
        </w:rPr>
        <w:t> </w:t>
      </w:r>
      <w:r>
        <w:rPr>
          <w:sz w:val="24"/>
        </w:rPr>
        <w:t>problems,</w:t>
      </w:r>
      <w:r>
        <w:rPr>
          <w:spacing w:val="-9"/>
          <w:sz w:val="24"/>
        </w:rPr>
        <w:t> </w:t>
      </w:r>
      <w:r>
        <w:rPr>
          <w:spacing w:val="2"/>
          <w:sz w:val="24"/>
        </w:rPr>
        <w:t>or</w:t>
      </w:r>
      <w:r>
        <w:rPr>
          <w:spacing w:val="-4"/>
          <w:sz w:val="24"/>
        </w:rPr>
        <w:t> </w:t>
      </w:r>
      <w:r>
        <w:rPr>
          <w:sz w:val="24"/>
        </w:rPr>
        <w:t>it</w:t>
      </w:r>
      <w:r>
        <w:rPr>
          <w:spacing w:val="-4"/>
          <w:sz w:val="24"/>
        </w:rPr>
        <w:t> </w:t>
      </w:r>
      <w:r>
        <w:rPr>
          <w:sz w:val="24"/>
        </w:rPr>
        <w:t>might</w:t>
      </w:r>
      <w:r>
        <w:rPr>
          <w:spacing w:val="-4"/>
          <w:sz w:val="24"/>
        </w:rPr>
        <w:t> </w:t>
      </w:r>
      <w:r>
        <w:rPr>
          <w:sz w:val="24"/>
        </w:rPr>
        <w:t>be</w:t>
      </w:r>
    </w:p>
    <w:p>
      <w:pPr>
        <w:spacing w:after="0" w:line="312" w:lineRule="auto"/>
        <w:jc w:val="left"/>
        <w:rPr>
          <w:sz w:val="24"/>
        </w:rPr>
        <w:sectPr>
          <w:pgSz w:w="11900" w:h="16840"/>
          <w:pgMar w:header="1224" w:footer="0" w:top="1600" w:bottom="280" w:left="1140" w:right="780"/>
        </w:sectPr>
      </w:pPr>
    </w:p>
    <w:p>
      <w:pPr>
        <w:pStyle w:val="BodyText"/>
        <w:spacing w:line="312" w:lineRule="auto" w:before="169"/>
        <w:ind w:left="136" w:right="227"/>
      </w:pPr>
      <w:r>
        <w:rPr/>
        <w:t>to spend on millennium-related celebrations. Even in the latter case, the effects might only be temporary if spending was transferred from other months. It might have no effect on aggregate spending if it reflected a shift from other types of spending to more cash-based items. In any event, it seemed unclear why households should withdraw substantial balances in November, so far from the year-end. There was no anecdotal evidence to support a large effect. Although there was a link between retail sales and narrow money, it had not been particularly close from month to month recently. There was, however, a risk that higher money balances would eventually feed through to consumption, even if the balances were not spent immediately. There was a range of views on how much weight to attach to the risk of higher spending. For some, the risk was mitigated by the fact that the large monthly increase came just before the year end, when interpretation of</w:t>
      </w:r>
    </w:p>
    <w:p>
      <w:pPr>
        <w:pStyle w:val="BodyText"/>
        <w:spacing w:line="312" w:lineRule="auto"/>
        <w:ind w:left="136" w:right="1488"/>
      </w:pPr>
      <w:r>
        <w:rPr/>
        <w:t>month-on-month changes was usually difficult and was made more so by any potential millennium-related effects.</w:t>
      </w:r>
    </w:p>
    <w:p>
      <w:pPr>
        <w:pStyle w:val="BodyText"/>
        <w:spacing w:before="11"/>
        <w:rPr>
          <w:sz w:val="30"/>
        </w:rPr>
      </w:pPr>
    </w:p>
    <w:p>
      <w:pPr>
        <w:pStyle w:val="ListParagraph"/>
        <w:numPr>
          <w:ilvl w:val="0"/>
          <w:numId w:val="1"/>
        </w:numPr>
        <w:tabs>
          <w:tab w:pos="497" w:val="left" w:leader="none"/>
        </w:tabs>
        <w:spacing w:line="312" w:lineRule="auto" w:before="0" w:after="0"/>
        <w:ind w:left="136" w:right="121" w:firstLine="0"/>
        <w:jc w:val="left"/>
        <w:rPr>
          <w:sz w:val="24"/>
        </w:rPr>
      </w:pPr>
      <w:r>
        <w:rPr>
          <w:sz w:val="24"/>
        </w:rPr>
        <w:t>Asset prices had risen in the UK and </w:t>
      </w:r>
      <w:r>
        <w:rPr>
          <w:spacing w:val="4"/>
          <w:sz w:val="24"/>
        </w:rPr>
        <w:t>overseas. </w:t>
      </w:r>
      <w:r>
        <w:rPr>
          <w:sz w:val="24"/>
        </w:rPr>
        <w:t>The FTSE 100 had risen by 5% </w:t>
      </w:r>
      <w:r>
        <w:rPr>
          <w:spacing w:val="3"/>
          <w:sz w:val="24"/>
        </w:rPr>
        <w:t>over </w:t>
      </w:r>
      <w:r>
        <w:rPr>
          <w:sz w:val="24"/>
        </w:rPr>
        <w:t>the past month and the FTSE All-Share index was now more than 6% up, and </w:t>
      </w:r>
      <w:r>
        <w:rPr>
          <w:spacing w:val="3"/>
          <w:sz w:val="24"/>
        </w:rPr>
        <w:t>over </w:t>
      </w:r>
      <w:r>
        <w:rPr>
          <w:sz w:val="24"/>
        </w:rPr>
        <w:t>9% above the fifteen day average used as the starting assumption in the November </w:t>
      </w:r>
      <w:r>
        <w:rPr>
          <w:i/>
          <w:sz w:val="24"/>
        </w:rPr>
        <w:t>Inflation Report </w:t>
      </w:r>
      <w:r>
        <w:rPr>
          <w:sz w:val="24"/>
        </w:rPr>
        <w:t>projections. There had been</w:t>
      </w:r>
      <w:r>
        <w:rPr>
          <w:spacing w:val="-9"/>
          <w:sz w:val="24"/>
        </w:rPr>
        <w:t> </w:t>
      </w:r>
      <w:r>
        <w:rPr>
          <w:sz w:val="24"/>
        </w:rPr>
        <w:t>rises</w:t>
      </w:r>
      <w:r>
        <w:rPr>
          <w:spacing w:val="-7"/>
          <w:sz w:val="24"/>
        </w:rPr>
        <w:t> </w:t>
      </w:r>
      <w:r>
        <w:rPr>
          <w:sz w:val="24"/>
        </w:rPr>
        <w:t>in</w:t>
      </w:r>
      <w:r>
        <w:rPr>
          <w:spacing w:val="-8"/>
          <w:sz w:val="24"/>
        </w:rPr>
        <w:t> </w:t>
      </w:r>
      <w:r>
        <w:rPr>
          <w:sz w:val="24"/>
        </w:rPr>
        <w:t>Japan,</w:t>
      </w:r>
      <w:r>
        <w:rPr>
          <w:spacing w:val="-9"/>
          <w:sz w:val="24"/>
        </w:rPr>
        <w:t> </w:t>
      </w:r>
      <w:r>
        <w:rPr>
          <w:sz w:val="24"/>
        </w:rPr>
        <w:t>continental</w:t>
      </w:r>
      <w:r>
        <w:rPr>
          <w:spacing w:val="-8"/>
          <w:sz w:val="24"/>
        </w:rPr>
        <w:t> </w:t>
      </w:r>
      <w:r>
        <w:rPr>
          <w:sz w:val="24"/>
        </w:rPr>
        <w:t>Europe</w:t>
      </w:r>
      <w:r>
        <w:rPr>
          <w:spacing w:val="-7"/>
          <w:sz w:val="24"/>
        </w:rPr>
        <w:t> </w:t>
      </w:r>
      <w:r>
        <w:rPr>
          <w:sz w:val="24"/>
        </w:rPr>
        <w:t>and</w:t>
      </w:r>
      <w:r>
        <w:rPr>
          <w:spacing w:val="-9"/>
          <w:sz w:val="24"/>
        </w:rPr>
        <w:t> </w:t>
      </w:r>
      <w:r>
        <w:rPr>
          <w:sz w:val="24"/>
        </w:rPr>
        <w:t>the</w:t>
      </w:r>
      <w:r>
        <w:rPr>
          <w:spacing w:val="-8"/>
          <w:sz w:val="24"/>
        </w:rPr>
        <w:t> </w:t>
      </w:r>
      <w:r>
        <w:rPr>
          <w:sz w:val="24"/>
        </w:rPr>
        <w:t>United</w:t>
      </w:r>
      <w:r>
        <w:rPr>
          <w:spacing w:val="-9"/>
          <w:sz w:val="24"/>
        </w:rPr>
        <w:t> </w:t>
      </w:r>
      <w:r>
        <w:rPr>
          <w:sz w:val="24"/>
        </w:rPr>
        <w:t>States</w:t>
      </w:r>
      <w:r>
        <w:rPr>
          <w:spacing w:val="-7"/>
          <w:sz w:val="24"/>
        </w:rPr>
        <w:t> </w:t>
      </w:r>
      <w:r>
        <w:rPr>
          <w:spacing w:val="4"/>
          <w:sz w:val="24"/>
        </w:rPr>
        <w:t>too.</w:t>
      </w:r>
      <w:r>
        <w:rPr>
          <w:spacing w:val="47"/>
          <w:sz w:val="24"/>
        </w:rPr>
        <w:t> </w:t>
      </w:r>
      <w:r>
        <w:rPr>
          <w:sz w:val="24"/>
        </w:rPr>
        <w:t>The</w:t>
      </w:r>
      <w:r>
        <w:rPr>
          <w:spacing w:val="-7"/>
          <w:sz w:val="24"/>
        </w:rPr>
        <w:t> </w:t>
      </w:r>
      <w:r>
        <w:rPr>
          <w:sz w:val="24"/>
        </w:rPr>
        <w:t>FT</w:t>
      </w:r>
      <w:r>
        <w:rPr>
          <w:spacing w:val="-8"/>
          <w:sz w:val="24"/>
        </w:rPr>
        <w:t> </w:t>
      </w:r>
      <w:r>
        <w:rPr>
          <w:spacing w:val="2"/>
          <w:sz w:val="24"/>
        </w:rPr>
        <w:t>Small-Capitalisation</w:t>
      </w:r>
      <w:r>
        <w:rPr>
          <w:spacing w:val="-3"/>
          <w:sz w:val="24"/>
        </w:rPr>
        <w:t> </w:t>
      </w:r>
      <w:r>
        <w:rPr>
          <w:sz w:val="24"/>
        </w:rPr>
        <w:t>index had </w:t>
      </w:r>
      <w:r>
        <w:rPr>
          <w:spacing w:val="3"/>
          <w:sz w:val="24"/>
        </w:rPr>
        <w:t>outperformed </w:t>
      </w:r>
      <w:r>
        <w:rPr>
          <w:sz w:val="24"/>
        </w:rPr>
        <w:t>the FTSE 100 index </w:t>
      </w:r>
      <w:r>
        <w:rPr>
          <w:spacing w:val="3"/>
          <w:sz w:val="24"/>
        </w:rPr>
        <w:t>over </w:t>
      </w:r>
      <w:r>
        <w:rPr>
          <w:sz w:val="24"/>
        </w:rPr>
        <w:t>the past month. Some </w:t>
      </w:r>
      <w:r>
        <w:rPr>
          <w:spacing w:val="2"/>
          <w:sz w:val="24"/>
        </w:rPr>
        <w:t>of </w:t>
      </w:r>
      <w:r>
        <w:rPr>
          <w:sz w:val="24"/>
        </w:rPr>
        <w:t>the rise in share price indices was accounted for by high-tech IT stocks, but this did not account for the entire rise. Nor was it clear that the rise in IT stocks should be excluded in any event, because it was necessary </w:t>
      </w:r>
      <w:r>
        <w:rPr>
          <w:spacing w:val="2"/>
          <w:sz w:val="24"/>
        </w:rPr>
        <w:t>to </w:t>
      </w:r>
      <w:r>
        <w:rPr>
          <w:sz w:val="24"/>
        </w:rPr>
        <w:t>look at the aggregate. However, fluctuations in these stocks might be contributing </w:t>
      </w:r>
      <w:r>
        <w:rPr>
          <w:spacing w:val="2"/>
          <w:sz w:val="24"/>
        </w:rPr>
        <w:t>to </w:t>
      </w:r>
      <w:r>
        <w:rPr>
          <w:sz w:val="24"/>
        </w:rPr>
        <w:t>greater volatility. The rise in indices both here and abroad seemed broadly consistent with a general </w:t>
      </w:r>
      <w:r>
        <w:rPr>
          <w:spacing w:val="2"/>
          <w:sz w:val="24"/>
        </w:rPr>
        <w:t>rise </w:t>
      </w:r>
      <w:r>
        <w:rPr>
          <w:sz w:val="24"/>
        </w:rPr>
        <w:t>in market confidence about the strength </w:t>
      </w:r>
      <w:r>
        <w:rPr>
          <w:spacing w:val="2"/>
          <w:sz w:val="24"/>
        </w:rPr>
        <w:t>of </w:t>
      </w:r>
      <w:r>
        <w:rPr>
          <w:sz w:val="24"/>
        </w:rPr>
        <w:t>world</w:t>
      </w:r>
      <w:r>
        <w:rPr>
          <w:spacing w:val="11"/>
          <w:sz w:val="24"/>
        </w:rPr>
        <w:t> </w:t>
      </w:r>
      <w:r>
        <w:rPr>
          <w:sz w:val="24"/>
        </w:rPr>
        <w:t>activity.</w:t>
      </w:r>
    </w:p>
    <w:p>
      <w:pPr>
        <w:pStyle w:val="BodyText"/>
        <w:spacing w:before="6"/>
        <w:rPr>
          <w:sz w:val="31"/>
        </w:rPr>
      </w:pPr>
    </w:p>
    <w:p>
      <w:pPr>
        <w:pStyle w:val="ListParagraph"/>
        <w:numPr>
          <w:ilvl w:val="0"/>
          <w:numId w:val="1"/>
        </w:numPr>
        <w:tabs>
          <w:tab w:pos="497" w:val="left" w:leader="none"/>
        </w:tabs>
        <w:spacing w:line="312" w:lineRule="auto" w:before="0" w:after="0"/>
        <w:ind w:left="136" w:right="137" w:firstLine="0"/>
        <w:jc w:val="left"/>
        <w:rPr>
          <w:sz w:val="24"/>
        </w:rPr>
      </w:pPr>
      <w:r>
        <w:rPr>
          <w:sz w:val="24"/>
        </w:rPr>
        <w:t>For the UK the rise in equity wealth, coupled with the strength </w:t>
      </w:r>
      <w:r>
        <w:rPr>
          <w:spacing w:val="2"/>
          <w:sz w:val="24"/>
        </w:rPr>
        <w:t>of </w:t>
      </w:r>
      <w:r>
        <w:rPr>
          <w:sz w:val="24"/>
        </w:rPr>
        <w:t>borrowing for consumption, suggested a robust </w:t>
      </w:r>
      <w:r>
        <w:rPr>
          <w:spacing w:val="4"/>
          <w:sz w:val="24"/>
        </w:rPr>
        <w:t>outlook </w:t>
      </w:r>
      <w:r>
        <w:rPr>
          <w:sz w:val="24"/>
        </w:rPr>
        <w:t>for consumption growth. House prices had again been volatile, with the Nationwide index </w:t>
      </w:r>
      <w:r>
        <w:rPr>
          <w:spacing w:val="2"/>
          <w:sz w:val="24"/>
        </w:rPr>
        <w:t>recording </w:t>
      </w:r>
      <w:r>
        <w:rPr>
          <w:sz w:val="24"/>
        </w:rPr>
        <w:t>a </w:t>
      </w:r>
      <w:r>
        <w:rPr>
          <w:spacing w:val="2"/>
          <w:sz w:val="24"/>
        </w:rPr>
        <w:t>strong rise </w:t>
      </w:r>
      <w:r>
        <w:rPr>
          <w:spacing w:val="3"/>
          <w:sz w:val="24"/>
        </w:rPr>
        <w:t>on </w:t>
      </w:r>
      <w:r>
        <w:rPr>
          <w:sz w:val="24"/>
        </w:rPr>
        <w:t>the month, while the Halifax index had fallen. Annual percentage rates </w:t>
      </w:r>
      <w:r>
        <w:rPr>
          <w:spacing w:val="2"/>
          <w:sz w:val="24"/>
        </w:rPr>
        <w:t>of </w:t>
      </w:r>
      <w:r>
        <w:rPr>
          <w:sz w:val="24"/>
        </w:rPr>
        <w:t>increase in house prices, and hence gross housing wealth, were in double digits, and many short-run growth rates were at least as fast as the annual rates. Activity indicators in the housing market had been mixed </w:t>
      </w:r>
      <w:r>
        <w:rPr>
          <w:spacing w:val="3"/>
          <w:sz w:val="24"/>
        </w:rPr>
        <w:t>over </w:t>
      </w:r>
      <w:r>
        <w:rPr>
          <w:sz w:val="24"/>
        </w:rPr>
        <w:t>the month, but </w:t>
      </w:r>
      <w:r>
        <w:rPr>
          <w:spacing w:val="2"/>
          <w:sz w:val="24"/>
        </w:rPr>
        <w:t>on </w:t>
      </w:r>
      <w:r>
        <w:rPr>
          <w:sz w:val="24"/>
        </w:rPr>
        <w:t>balance showed activity broadly stable </w:t>
      </w:r>
      <w:r>
        <w:rPr>
          <w:spacing w:val="3"/>
          <w:sz w:val="24"/>
        </w:rPr>
        <w:t>over </w:t>
      </w:r>
      <w:r>
        <w:rPr>
          <w:sz w:val="24"/>
        </w:rPr>
        <w:t>the past few months and stronger than at the beginning </w:t>
      </w:r>
      <w:r>
        <w:rPr>
          <w:spacing w:val="2"/>
          <w:sz w:val="24"/>
        </w:rPr>
        <w:t>of </w:t>
      </w:r>
      <w:r>
        <w:rPr>
          <w:sz w:val="24"/>
        </w:rPr>
        <w:t>the year. The </w:t>
      </w:r>
      <w:r>
        <w:rPr>
          <w:spacing w:val="-4"/>
          <w:sz w:val="24"/>
        </w:rPr>
        <w:t>staff’s </w:t>
      </w:r>
      <w:r>
        <w:rPr>
          <w:sz w:val="24"/>
        </w:rPr>
        <w:t>provisional </w:t>
      </w:r>
      <w:r>
        <w:rPr>
          <w:spacing w:val="2"/>
          <w:sz w:val="24"/>
        </w:rPr>
        <w:t>estimate of </w:t>
      </w:r>
      <w:r>
        <w:rPr>
          <w:sz w:val="24"/>
        </w:rPr>
        <w:t>the increase in mortgage equity withdrawal in the third quarter, though well below the levels </w:t>
      </w:r>
      <w:r>
        <w:rPr>
          <w:spacing w:val="3"/>
          <w:sz w:val="24"/>
        </w:rPr>
        <w:t>of </w:t>
      </w:r>
      <w:r>
        <w:rPr>
          <w:sz w:val="24"/>
        </w:rPr>
        <w:t>the</w:t>
      </w:r>
      <w:r>
        <w:rPr>
          <w:spacing w:val="-6"/>
          <w:sz w:val="24"/>
        </w:rPr>
        <w:t> </w:t>
      </w:r>
      <w:r>
        <w:rPr>
          <w:sz w:val="24"/>
        </w:rPr>
        <w:t>late</w:t>
      </w:r>
      <w:r>
        <w:rPr>
          <w:spacing w:val="-5"/>
          <w:sz w:val="24"/>
        </w:rPr>
        <w:t> </w:t>
      </w:r>
      <w:r>
        <w:rPr>
          <w:sz w:val="24"/>
        </w:rPr>
        <w:t>1980s</w:t>
      </w:r>
      <w:r>
        <w:rPr>
          <w:spacing w:val="-6"/>
          <w:sz w:val="24"/>
        </w:rPr>
        <w:t> </w:t>
      </w:r>
      <w:r>
        <w:rPr>
          <w:sz w:val="24"/>
        </w:rPr>
        <w:t>as</w:t>
      </w:r>
      <w:r>
        <w:rPr>
          <w:spacing w:val="-5"/>
          <w:sz w:val="24"/>
        </w:rPr>
        <w:t> </w:t>
      </w:r>
      <w:r>
        <w:rPr>
          <w:sz w:val="24"/>
        </w:rPr>
        <w:t>a</w:t>
      </w:r>
      <w:r>
        <w:rPr>
          <w:spacing w:val="-5"/>
          <w:sz w:val="24"/>
        </w:rPr>
        <w:t> </w:t>
      </w:r>
      <w:r>
        <w:rPr>
          <w:sz w:val="24"/>
        </w:rPr>
        <w:t>share</w:t>
      </w:r>
      <w:r>
        <w:rPr>
          <w:spacing w:val="-6"/>
          <w:sz w:val="24"/>
        </w:rPr>
        <w:t> </w:t>
      </w:r>
      <w:r>
        <w:rPr>
          <w:spacing w:val="2"/>
          <w:sz w:val="24"/>
        </w:rPr>
        <w:t>of</w:t>
      </w:r>
      <w:r>
        <w:rPr>
          <w:spacing w:val="-1"/>
          <w:sz w:val="24"/>
        </w:rPr>
        <w:t> </w:t>
      </w:r>
      <w:r>
        <w:rPr>
          <w:sz w:val="24"/>
        </w:rPr>
        <w:t>personal</w:t>
      </w:r>
      <w:r>
        <w:rPr>
          <w:spacing w:val="-5"/>
          <w:sz w:val="24"/>
        </w:rPr>
        <w:t> </w:t>
      </w:r>
      <w:r>
        <w:rPr>
          <w:sz w:val="24"/>
        </w:rPr>
        <w:t>income,</w:t>
      </w:r>
      <w:r>
        <w:rPr>
          <w:spacing w:val="-6"/>
          <w:sz w:val="24"/>
        </w:rPr>
        <w:t> </w:t>
      </w:r>
      <w:r>
        <w:rPr>
          <w:sz w:val="24"/>
        </w:rPr>
        <w:t>was</w:t>
      </w:r>
      <w:r>
        <w:rPr>
          <w:spacing w:val="-5"/>
          <w:sz w:val="24"/>
        </w:rPr>
        <w:t> </w:t>
      </w:r>
      <w:r>
        <w:rPr>
          <w:sz w:val="24"/>
        </w:rPr>
        <w:t>quite</w:t>
      </w:r>
      <w:r>
        <w:rPr>
          <w:spacing w:val="-5"/>
          <w:sz w:val="24"/>
        </w:rPr>
        <w:t> </w:t>
      </w:r>
      <w:r>
        <w:rPr>
          <w:sz w:val="24"/>
        </w:rPr>
        <w:t>marked,</w:t>
      </w:r>
      <w:r>
        <w:rPr>
          <w:spacing w:val="-6"/>
          <w:sz w:val="24"/>
        </w:rPr>
        <w:t> </w:t>
      </w:r>
      <w:r>
        <w:rPr>
          <w:sz w:val="24"/>
        </w:rPr>
        <w:t>and</w:t>
      </w:r>
      <w:r>
        <w:rPr>
          <w:spacing w:val="14"/>
          <w:sz w:val="24"/>
        </w:rPr>
        <w:t> </w:t>
      </w:r>
      <w:r>
        <w:rPr>
          <w:sz w:val="24"/>
        </w:rPr>
        <w:t>appeared</w:t>
      </w:r>
      <w:r>
        <w:rPr>
          <w:spacing w:val="-4"/>
          <w:sz w:val="24"/>
        </w:rPr>
        <w:t> </w:t>
      </w:r>
      <w:r>
        <w:rPr>
          <w:spacing w:val="2"/>
          <w:sz w:val="24"/>
        </w:rPr>
        <w:t>to</w:t>
      </w:r>
      <w:r>
        <w:rPr>
          <w:spacing w:val="-1"/>
          <w:sz w:val="24"/>
        </w:rPr>
        <w:t> </w:t>
      </w:r>
      <w:r>
        <w:rPr>
          <w:sz w:val="24"/>
        </w:rPr>
        <w:t>be</w:t>
      </w:r>
      <w:r>
        <w:rPr>
          <w:spacing w:val="-5"/>
          <w:sz w:val="24"/>
        </w:rPr>
        <w:t> </w:t>
      </w:r>
      <w:r>
        <w:rPr>
          <w:sz w:val="24"/>
        </w:rPr>
        <w:t>closely</w:t>
      </w:r>
      <w:r>
        <w:rPr>
          <w:spacing w:val="-5"/>
          <w:sz w:val="24"/>
        </w:rPr>
        <w:t> </w:t>
      </w:r>
      <w:r>
        <w:rPr>
          <w:sz w:val="24"/>
        </w:rPr>
        <w:t>correlated with recent growth rates in household consumption</w:t>
      </w:r>
      <w:r>
        <w:rPr>
          <w:spacing w:val="13"/>
          <w:sz w:val="24"/>
        </w:rPr>
        <w:t> </w:t>
      </w:r>
      <w:r>
        <w:rPr>
          <w:sz w:val="24"/>
        </w:rPr>
        <w:t>spending.</w:t>
      </w:r>
    </w:p>
    <w:p>
      <w:pPr>
        <w:spacing w:after="0" w:line="312" w:lineRule="auto"/>
        <w:jc w:val="left"/>
        <w:rPr>
          <w:sz w:val="24"/>
        </w:rPr>
        <w:sectPr>
          <w:pgSz w:w="11900" w:h="16840"/>
          <w:pgMar w:header="1224" w:footer="0" w:top="1600" w:bottom="280" w:left="1140" w:right="780"/>
        </w:sectPr>
      </w:pPr>
    </w:p>
    <w:p>
      <w:pPr>
        <w:pStyle w:val="Heading1"/>
        <w:spacing w:before="174"/>
        <w:ind w:left="136"/>
      </w:pPr>
      <w:r>
        <w:rPr/>
        <w:t>Prices and costs</w:t>
      </w:r>
    </w:p>
    <w:p>
      <w:pPr>
        <w:pStyle w:val="BodyText"/>
        <w:spacing w:before="9"/>
        <w:rPr>
          <w:b/>
          <w:sz w:val="37"/>
        </w:rPr>
      </w:pPr>
    </w:p>
    <w:p>
      <w:pPr>
        <w:pStyle w:val="ListParagraph"/>
        <w:numPr>
          <w:ilvl w:val="0"/>
          <w:numId w:val="1"/>
        </w:numPr>
        <w:tabs>
          <w:tab w:pos="497" w:val="left" w:leader="none"/>
        </w:tabs>
        <w:spacing w:line="312" w:lineRule="auto" w:before="0" w:after="0"/>
        <w:ind w:left="136" w:right="117" w:firstLine="0"/>
        <w:jc w:val="left"/>
        <w:rPr>
          <w:sz w:val="24"/>
        </w:rPr>
      </w:pPr>
      <w:r>
        <w:rPr>
          <w:sz w:val="24"/>
        </w:rPr>
        <w:t>The </w:t>
      </w:r>
      <w:r>
        <w:rPr>
          <w:spacing w:val="-5"/>
          <w:sz w:val="24"/>
        </w:rPr>
        <w:t>Bank’s </w:t>
      </w:r>
      <w:r>
        <w:rPr>
          <w:sz w:val="24"/>
        </w:rPr>
        <w:t>commodity price index had fallen in October, </w:t>
      </w:r>
      <w:r>
        <w:rPr>
          <w:spacing w:val="2"/>
          <w:sz w:val="24"/>
        </w:rPr>
        <w:t>reflecting </w:t>
      </w:r>
      <w:r>
        <w:rPr>
          <w:sz w:val="24"/>
        </w:rPr>
        <w:t>both the fall in </w:t>
      </w:r>
      <w:r>
        <w:rPr>
          <w:spacing w:val="4"/>
          <w:sz w:val="24"/>
        </w:rPr>
        <w:t>oil </w:t>
      </w:r>
      <w:r>
        <w:rPr>
          <w:sz w:val="24"/>
        </w:rPr>
        <w:t>prices and a fall in metals and food prices. However </w:t>
      </w:r>
      <w:r>
        <w:rPr>
          <w:spacing w:val="4"/>
          <w:sz w:val="24"/>
        </w:rPr>
        <w:t>oil </w:t>
      </w:r>
      <w:r>
        <w:rPr>
          <w:sz w:val="24"/>
        </w:rPr>
        <w:t>prices had risen again in November. Producer input prices</w:t>
      </w:r>
      <w:r>
        <w:rPr>
          <w:spacing w:val="-7"/>
          <w:sz w:val="24"/>
        </w:rPr>
        <w:t> </w:t>
      </w:r>
      <w:r>
        <w:rPr>
          <w:sz w:val="24"/>
        </w:rPr>
        <w:t>continued</w:t>
      </w:r>
      <w:r>
        <w:rPr>
          <w:spacing w:val="-6"/>
          <w:sz w:val="24"/>
        </w:rPr>
        <w:t> </w:t>
      </w:r>
      <w:r>
        <w:rPr>
          <w:spacing w:val="3"/>
          <w:sz w:val="24"/>
        </w:rPr>
        <w:t>to</w:t>
      </w:r>
      <w:r>
        <w:rPr>
          <w:spacing w:val="-2"/>
          <w:sz w:val="24"/>
        </w:rPr>
        <w:t> </w:t>
      </w:r>
      <w:r>
        <w:rPr>
          <w:spacing w:val="2"/>
          <w:sz w:val="24"/>
        </w:rPr>
        <w:t>reflect</w:t>
      </w:r>
      <w:r>
        <w:rPr>
          <w:spacing w:val="-5"/>
          <w:sz w:val="24"/>
        </w:rPr>
        <w:t> </w:t>
      </w:r>
      <w:r>
        <w:rPr>
          <w:sz w:val="24"/>
        </w:rPr>
        <w:t>higher</w:t>
      </w:r>
      <w:r>
        <w:rPr>
          <w:spacing w:val="-6"/>
          <w:sz w:val="24"/>
        </w:rPr>
        <w:t> </w:t>
      </w:r>
      <w:r>
        <w:rPr>
          <w:spacing w:val="4"/>
          <w:sz w:val="24"/>
        </w:rPr>
        <w:t>oil</w:t>
      </w:r>
      <w:r>
        <w:rPr>
          <w:spacing w:val="-2"/>
          <w:sz w:val="24"/>
        </w:rPr>
        <w:t> </w:t>
      </w:r>
      <w:r>
        <w:rPr>
          <w:sz w:val="24"/>
        </w:rPr>
        <w:t>prices.</w:t>
      </w:r>
      <w:r>
        <w:rPr>
          <w:spacing w:val="46"/>
          <w:sz w:val="24"/>
        </w:rPr>
        <w:t> </w:t>
      </w:r>
      <w:r>
        <w:rPr>
          <w:sz w:val="24"/>
        </w:rPr>
        <w:t>At</w:t>
      </w:r>
      <w:r>
        <w:rPr>
          <w:spacing w:val="-1"/>
          <w:sz w:val="24"/>
        </w:rPr>
        <w:t> </w:t>
      </w:r>
      <w:r>
        <w:rPr>
          <w:sz w:val="24"/>
        </w:rPr>
        <w:t>the</w:t>
      </w:r>
      <w:r>
        <w:rPr>
          <w:spacing w:val="-6"/>
          <w:sz w:val="24"/>
        </w:rPr>
        <w:t> </w:t>
      </w:r>
      <w:r>
        <w:rPr>
          <w:spacing w:val="2"/>
          <w:sz w:val="24"/>
        </w:rPr>
        <w:t>retail</w:t>
      </w:r>
      <w:r>
        <w:rPr>
          <w:spacing w:val="-5"/>
          <w:sz w:val="24"/>
        </w:rPr>
        <w:t> </w:t>
      </w:r>
      <w:r>
        <w:rPr>
          <w:sz w:val="24"/>
        </w:rPr>
        <w:t>level,</w:t>
      </w:r>
      <w:r>
        <w:rPr>
          <w:spacing w:val="-6"/>
          <w:sz w:val="24"/>
        </w:rPr>
        <w:t> </w:t>
      </w:r>
      <w:r>
        <w:rPr>
          <w:spacing w:val="4"/>
          <w:sz w:val="24"/>
        </w:rPr>
        <w:t>oil</w:t>
      </w:r>
      <w:r>
        <w:rPr>
          <w:spacing w:val="-2"/>
          <w:sz w:val="24"/>
        </w:rPr>
        <w:t> </w:t>
      </w:r>
      <w:r>
        <w:rPr>
          <w:sz w:val="24"/>
        </w:rPr>
        <w:t>prices</w:t>
      </w:r>
      <w:r>
        <w:rPr>
          <w:spacing w:val="-6"/>
          <w:sz w:val="24"/>
        </w:rPr>
        <w:t> </w:t>
      </w:r>
      <w:r>
        <w:rPr>
          <w:sz w:val="24"/>
        </w:rPr>
        <w:t>had</w:t>
      </w:r>
      <w:r>
        <w:rPr>
          <w:spacing w:val="-7"/>
          <w:sz w:val="24"/>
        </w:rPr>
        <w:t> </w:t>
      </w:r>
      <w:r>
        <w:rPr>
          <w:sz w:val="24"/>
        </w:rPr>
        <w:t>been</w:t>
      </w:r>
      <w:r>
        <w:rPr>
          <w:spacing w:val="-6"/>
          <w:sz w:val="24"/>
        </w:rPr>
        <w:t> </w:t>
      </w:r>
      <w:r>
        <w:rPr>
          <w:spacing w:val="2"/>
          <w:sz w:val="24"/>
        </w:rPr>
        <w:t>reflected</w:t>
      </w:r>
      <w:r>
        <w:rPr>
          <w:spacing w:val="-5"/>
          <w:sz w:val="24"/>
        </w:rPr>
        <w:t> </w:t>
      </w:r>
      <w:r>
        <w:rPr>
          <w:sz w:val="24"/>
        </w:rPr>
        <w:t>in</w:t>
      </w:r>
      <w:r>
        <w:rPr>
          <w:spacing w:val="-6"/>
          <w:sz w:val="24"/>
        </w:rPr>
        <w:t> </w:t>
      </w:r>
      <w:r>
        <w:rPr>
          <w:sz w:val="24"/>
        </w:rPr>
        <w:t>higher inflation in continental Europe. But despite higher petrol prices in the UK </w:t>
      </w:r>
      <w:r>
        <w:rPr>
          <w:spacing w:val="3"/>
          <w:sz w:val="24"/>
        </w:rPr>
        <w:t>too </w:t>
      </w:r>
      <w:r>
        <w:rPr>
          <w:sz w:val="24"/>
        </w:rPr>
        <w:t>– contributing</w:t>
      </w:r>
      <w:r>
        <w:rPr>
          <w:spacing w:val="-22"/>
          <w:sz w:val="24"/>
        </w:rPr>
        <w:t> </w:t>
      </w:r>
      <w:r>
        <w:rPr>
          <w:sz w:val="24"/>
        </w:rPr>
        <w:t>around</w:t>
      </w:r>
    </w:p>
    <w:p>
      <w:pPr>
        <w:pStyle w:val="BodyText"/>
        <w:spacing w:line="312" w:lineRule="auto"/>
        <w:ind w:left="136"/>
      </w:pPr>
      <w:r>
        <w:rPr/>
        <w:t>0.5 percentage points to annual inflation in the year to October – inflation as measured by the harmonised consumer price index in the UK was now below the European average. This was not too surprising given the past strengthening of sterling.</w:t>
      </w:r>
    </w:p>
    <w:p>
      <w:pPr>
        <w:pStyle w:val="BodyText"/>
        <w:spacing w:before="2"/>
        <w:rPr>
          <w:sz w:val="31"/>
        </w:rPr>
      </w:pPr>
    </w:p>
    <w:p>
      <w:pPr>
        <w:pStyle w:val="ListParagraph"/>
        <w:numPr>
          <w:ilvl w:val="0"/>
          <w:numId w:val="1"/>
        </w:numPr>
        <w:tabs>
          <w:tab w:pos="497" w:val="left" w:leader="none"/>
        </w:tabs>
        <w:spacing w:line="312" w:lineRule="auto" w:before="1" w:after="0"/>
        <w:ind w:left="136" w:right="188" w:firstLine="0"/>
        <w:jc w:val="left"/>
        <w:rPr>
          <w:sz w:val="24"/>
        </w:rPr>
      </w:pPr>
      <w:r>
        <w:rPr>
          <w:sz w:val="24"/>
        </w:rPr>
        <w:t>Retail price inflation </w:t>
      </w:r>
      <w:r>
        <w:rPr>
          <w:spacing w:val="2"/>
          <w:sz w:val="24"/>
        </w:rPr>
        <w:t>on </w:t>
      </w:r>
      <w:r>
        <w:rPr>
          <w:sz w:val="24"/>
        </w:rPr>
        <w:t>the targeted RPIX measure had risen </w:t>
      </w:r>
      <w:r>
        <w:rPr>
          <w:spacing w:val="3"/>
          <w:sz w:val="24"/>
        </w:rPr>
        <w:t>to </w:t>
      </w:r>
      <w:r>
        <w:rPr>
          <w:sz w:val="24"/>
        </w:rPr>
        <w:t>2.2% in October. </w:t>
      </w:r>
      <w:r>
        <w:rPr>
          <w:spacing w:val="2"/>
          <w:sz w:val="24"/>
        </w:rPr>
        <w:t>This </w:t>
      </w:r>
      <w:r>
        <w:rPr>
          <w:sz w:val="24"/>
        </w:rPr>
        <w:t>was in line with expectations at the time </w:t>
      </w:r>
      <w:r>
        <w:rPr>
          <w:spacing w:val="3"/>
          <w:sz w:val="24"/>
        </w:rPr>
        <w:t>of </w:t>
      </w:r>
      <w:r>
        <w:rPr>
          <w:sz w:val="24"/>
        </w:rPr>
        <w:t>the Committee’s November meeting. The latest CBI Distributive </w:t>
      </w:r>
      <w:r>
        <w:rPr>
          <w:spacing w:val="2"/>
          <w:sz w:val="24"/>
        </w:rPr>
        <w:t>Trades </w:t>
      </w:r>
      <w:r>
        <w:rPr>
          <w:sz w:val="24"/>
        </w:rPr>
        <w:t>survey balance for retail prices had turned negative in November, and was well below its historical average, which might point </w:t>
      </w:r>
      <w:r>
        <w:rPr>
          <w:spacing w:val="3"/>
          <w:sz w:val="24"/>
        </w:rPr>
        <w:t>to </w:t>
      </w:r>
      <w:r>
        <w:rPr>
          <w:sz w:val="24"/>
        </w:rPr>
        <w:t>further weakness in retail prices. However, the historical</w:t>
      </w:r>
      <w:r>
        <w:rPr>
          <w:spacing w:val="-8"/>
          <w:sz w:val="24"/>
        </w:rPr>
        <w:t> </w:t>
      </w:r>
      <w:r>
        <w:rPr>
          <w:sz w:val="24"/>
        </w:rPr>
        <w:t>average</w:t>
      </w:r>
      <w:r>
        <w:rPr>
          <w:spacing w:val="-7"/>
          <w:sz w:val="24"/>
        </w:rPr>
        <w:t> </w:t>
      </w:r>
      <w:r>
        <w:rPr>
          <w:sz w:val="24"/>
        </w:rPr>
        <w:t>reflected</w:t>
      </w:r>
      <w:r>
        <w:rPr>
          <w:spacing w:val="-5"/>
          <w:sz w:val="24"/>
        </w:rPr>
        <w:t> </w:t>
      </w:r>
      <w:r>
        <w:rPr>
          <w:sz w:val="24"/>
        </w:rPr>
        <w:t>periods</w:t>
      </w:r>
      <w:r>
        <w:rPr>
          <w:spacing w:val="-8"/>
          <w:sz w:val="24"/>
        </w:rPr>
        <w:t> </w:t>
      </w:r>
      <w:r>
        <w:rPr>
          <w:spacing w:val="3"/>
          <w:sz w:val="24"/>
        </w:rPr>
        <w:t>of</w:t>
      </w:r>
      <w:r>
        <w:rPr>
          <w:spacing w:val="-3"/>
          <w:sz w:val="24"/>
        </w:rPr>
        <w:t> </w:t>
      </w:r>
      <w:r>
        <w:rPr>
          <w:sz w:val="24"/>
        </w:rPr>
        <w:t>much</w:t>
      </w:r>
      <w:r>
        <w:rPr>
          <w:spacing w:val="-7"/>
          <w:sz w:val="24"/>
        </w:rPr>
        <w:t> </w:t>
      </w:r>
      <w:r>
        <w:rPr>
          <w:sz w:val="24"/>
        </w:rPr>
        <w:t>higher</w:t>
      </w:r>
      <w:r>
        <w:rPr>
          <w:spacing w:val="-7"/>
          <w:sz w:val="24"/>
        </w:rPr>
        <w:t> </w:t>
      </w:r>
      <w:r>
        <w:rPr>
          <w:sz w:val="24"/>
        </w:rPr>
        <w:t>inflation,</w:t>
      </w:r>
      <w:r>
        <w:rPr>
          <w:spacing w:val="-7"/>
          <w:sz w:val="24"/>
        </w:rPr>
        <w:t> </w:t>
      </w:r>
      <w:r>
        <w:rPr>
          <w:sz w:val="24"/>
        </w:rPr>
        <w:t>so</w:t>
      </w:r>
      <w:r>
        <w:rPr>
          <w:spacing w:val="-7"/>
          <w:sz w:val="24"/>
        </w:rPr>
        <w:t> </w:t>
      </w:r>
      <w:r>
        <w:rPr>
          <w:sz w:val="24"/>
        </w:rPr>
        <w:t>it</w:t>
      </w:r>
      <w:r>
        <w:rPr>
          <w:spacing w:val="-3"/>
          <w:sz w:val="24"/>
        </w:rPr>
        <w:t> </w:t>
      </w:r>
      <w:r>
        <w:rPr>
          <w:sz w:val="24"/>
        </w:rPr>
        <w:t>was</w:t>
      </w:r>
      <w:r>
        <w:rPr>
          <w:spacing w:val="-7"/>
          <w:sz w:val="24"/>
        </w:rPr>
        <w:t> </w:t>
      </w:r>
      <w:r>
        <w:rPr>
          <w:sz w:val="24"/>
        </w:rPr>
        <w:t>difficult</w:t>
      </w:r>
      <w:r>
        <w:rPr>
          <w:spacing w:val="-2"/>
          <w:sz w:val="24"/>
        </w:rPr>
        <w:t> </w:t>
      </w:r>
      <w:r>
        <w:rPr>
          <w:spacing w:val="3"/>
          <w:sz w:val="24"/>
        </w:rPr>
        <w:t>to</w:t>
      </w:r>
      <w:r>
        <w:rPr>
          <w:spacing w:val="-2"/>
          <w:sz w:val="24"/>
        </w:rPr>
        <w:t> </w:t>
      </w:r>
      <w:r>
        <w:rPr>
          <w:sz w:val="24"/>
        </w:rPr>
        <w:t>interpret</w:t>
      </w:r>
      <w:r>
        <w:rPr>
          <w:spacing w:val="-2"/>
          <w:sz w:val="24"/>
        </w:rPr>
        <w:t> </w:t>
      </w:r>
      <w:r>
        <w:rPr>
          <w:sz w:val="24"/>
        </w:rPr>
        <w:t>the</w:t>
      </w:r>
      <w:r>
        <w:rPr>
          <w:spacing w:val="-8"/>
          <w:sz w:val="24"/>
        </w:rPr>
        <w:t> </w:t>
      </w:r>
      <w:r>
        <w:rPr>
          <w:spacing w:val="2"/>
          <w:sz w:val="24"/>
        </w:rPr>
        <w:t>recent </w:t>
      </w:r>
      <w:r>
        <w:rPr>
          <w:sz w:val="24"/>
        </w:rPr>
        <w:t>data. Anecdotal evidence suggested wider discounting than in the past, even </w:t>
      </w:r>
      <w:r>
        <w:rPr>
          <w:spacing w:val="2"/>
          <w:sz w:val="24"/>
        </w:rPr>
        <w:t>of </w:t>
      </w:r>
      <w:r>
        <w:rPr>
          <w:sz w:val="24"/>
        </w:rPr>
        <w:t>some luxury brands. It was difficult </w:t>
      </w:r>
      <w:r>
        <w:rPr>
          <w:spacing w:val="3"/>
          <w:sz w:val="24"/>
        </w:rPr>
        <w:t>to </w:t>
      </w:r>
      <w:r>
        <w:rPr>
          <w:sz w:val="24"/>
        </w:rPr>
        <w:t>tell if the lower-than-expected </w:t>
      </w:r>
      <w:r>
        <w:rPr>
          <w:spacing w:val="3"/>
          <w:sz w:val="24"/>
        </w:rPr>
        <w:t>outturns </w:t>
      </w:r>
      <w:r>
        <w:rPr>
          <w:sz w:val="24"/>
        </w:rPr>
        <w:t>for some of the components of the retail prices index provided evidence </w:t>
      </w:r>
      <w:r>
        <w:rPr>
          <w:spacing w:val="3"/>
          <w:sz w:val="24"/>
        </w:rPr>
        <w:t>of </w:t>
      </w:r>
      <w:r>
        <w:rPr>
          <w:sz w:val="24"/>
        </w:rPr>
        <w:t>a larger-than-expected squeeze </w:t>
      </w:r>
      <w:r>
        <w:rPr>
          <w:spacing w:val="2"/>
          <w:sz w:val="24"/>
        </w:rPr>
        <w:t>on </w:t>
      </w:r>
      <w:r>
        <w:rPr>
          <w:sz w:val="24"/>
        </w:rPr>
        <w:t>retail margins than had been assumed in the fan chart published in the November </w:t>
      </w:r>
      <w:r>
        <w:rPr>
          <w:i/>
          <w:sz w:val="24"/>
        </w:rPr>
        <w:t>Inflation Report</w:t>
      </w:r>
      <w:r>
        <w:rPr>
          <w:sz w:val="24"/>
        </w:rPr>
        <w:t>. It might simply </w:t>
      </w:r>
      <w:r>
        <w:rPr>
          <w:spacing w:val="2"/>
          <w:sz w:val="24"/>
        </w:rPr>
        <w:t>reflect </w:t>
      </w:r>
      <w:r>
        <w:rPr>
          <w:sz w:val="24"/>
        </w:rPr>
        <w:t>a different timing for the </w:t>
      </w:r>
      <w:r>
        <w:rPr>
          <w:spacing w:val="2"/>
          <w:sz w:val="24"/>
        </w:rPr>
        <w:t>reduction </w:t>
      </w:r>
      <w:r>
        <w:rPr>
          <w:sz w:val="24"/>
        </w:rPr>
        <w:t>in margins than had been assumed. Alternatively, it could be due </w:t>
      </w:r>
      <w:r>
        <w:rPr>
          <w:spacing w:val="2"/>
          <w:sz w:val="24"/>
        </w:rPr>
        <w:t>to</w:t>
      </w:r>
      <w:r>
        <w:rPr>
          <w:spacing w:val="-4"/>
          <w:sz w:val="24"/>
        </w:rPr>
        <w:t> </w:t>
      </w:r>
      <w:r>
        <w:rPr>
          <w:spacing w:val="4"/>
          <w:sz w:val="24"/>
        </w:rPr>
        <w:t>other</w:t>
      </w:r>
      <w:r>
        <w:rPr>
          <w:spacing w:val="-3"/>
          <w:sz w:val="24"/>
        </w:rPr>
        <w:t> </w:t>
      </w:r>
      <w:r>
        <w:rPr>
          <w:sz w:val="24"/>
        </w:rPr>
        <w:t>cost</w:t>
      </w:r>
      <w:r>
        <w:rPr>
          <w:spacing w:val="-3"/>
          <w:sz w:val="24"/>
        </w:rPr>
        <w:t> </w:t>
      </w:r>
      <w:r>
        <w:rPr>
          <w:sz w:val="24"/>
        </w:rPr>
        <w:t>factors</w:t>
      </w:r>
      <w:r>
        <w:rPr>
          <w:spacing w:val="-8"/>
          <w:sz w:val="24"/>
        </w:rPr>
        <w:t> </w:t>
      </w:r>
      <w:r>
        <w:rPr>
          <w:sz w:val="24"/>
        </w:rPr>
        <w:t>that</w:t>
      </w:r>
      <w:r>
        <w:rPr>
          <w:spacing w:val="-3"/>
          <w:sz w:val="24"/>
        </w:rPr>
        <w:t> </w:t>
      </w:r>
      <w:r>
        <w:rPr>
          <w:sz w:val="24"/>
        </w:rPr>
        <w:t>had</w:t>
      </w:r>
      <w:r>
        <w:rPr>
          <w:spacing w:val="-8"/>
          <w:sz w:val="24"/>
        </w:rPr>
        <w:t> </w:t>
      </w:r>
      <w:r>
        <w:rPr>
          <w:sz w:val="24"/>
        </w:rPr>
        <w:t>yet</w:t>
      </w:r>
      <w:r>
        <w:rPr>
          <w:spacing w:val="-3"/>
          <w:sz w:val="24"/>
        </w:rPr>
        <w:t> </w:t>
      </w:r>
      <w:r>
        <w:rPr>
          <w:spacing w:val="2"/>
          <w:sz w:val="24"/>
        </w:rPr>
        <w:t>to</w:t>
      </w:r>
      <w:r>
        <w:rPr>
          <w:spacing w:val="-3"/>
          <w:sz w:val="24"/>
        </w:rPr>
        <w:t> </w:t>
      </w:r>
      <w:r>
        <w:rPr>
          <w:sz w:val="24"/>
        </w:rPr>
        <w:t>be</w:t>
      </w:r>
      <w:r>
        <w:rPr>
          <w:spacing w:val="-8"/>
          <w:sz w:val="24"/>
        </w:rPr>
        <w:t> </w:t>
      </w:r>
      <w:r>
        <w:rPr>
          <w:spacing w:val="4"/>
          <w:sz w:val="24"/>
        </w:rPr>
        <w:t>observed</w:t>
      </w:r>
      <w:r>
        <w:rPr>
          <w:spacing w:val="-4"/>
          <w:sz w:val="24"/>
        </w:rPr>
        <w:t> </w:t>
      </w:r>
      <w:r>
        <w:rPr>
          <w:sz w:val="24"/>
        </w:rPr>
        <w:t>in</w:t>
      </w:r>
      <w:r>
        <w:rPr>
          <w:spacing w:val="-7"/>
          <w:sz w:val="24"/>
        </w:rPr>
        <w:t> </w:t>
      </w:r>
      <w:r>
        <w:rPr>
          <w:sz w:val="24"/>
        </w:rPr>
        <w:t>the</w:t>
      </w:r>
      <w:r>
        <w:rPr>
          <w:spacing w:val="-8"/>
          <w:sz w:val="24"/>
        </w:rPr>
        <w:t> </w:t>
      </w:r>
      <w:r>
        <w:rPr>
          <w:sz w:val="24"/>
        </w:rPr>
        <w:t>data</w:t>
      </w:r>
      <w:r>
        <w:rPr>
          <w:spacing w:val="-8"/>
          <w:sz w:val="24"/>
        </w:rPr>
        <w:t> </w:t>
      </w:r>
      <w:r>
        <w:rPr>
          <w:spacing w:val="2"/>
          <w:sz w:val="24"/>
        </w:rPr>
        <w:t>or</w:t>
      </w:r>
      <w:r>
        <w:rPr>
          <w:spacing w:val="-4"/>
          <w:sz w:val="24"/>
        </w:rPr>
        <w:t> </w:t>
      </w:r>
      <w:r>
        <w:rPr>
          <w:sz w:val="24"/>
        </w:rPr>
        <w:t>simply</w:t>
      </w:r>
      <w:r>
        <w:rPr>
          <w:spacing w:val="-8"/>
          <w:sz w:val="24"/>
        </w:rPr>
        <w:t> </w:t>
      </w:r>
      <w:r>
        <w:rPr>
          <w:sz w:val="24"/>
        </w:rPr>
        <w:t>month-to-month</w:t>
      </w:r>
      <w:r>
        <w:rPr>
          <w:spacing w:val="-8"/>
          <w:sz w:val="24"/>
        </w:rPr>
        <w:t> </w:t>
      </w:r>
      <w:r>
        <w:rPr>
          <w:sz w:val="24"/>
        </w:rPr>
        <w:t>volatility</w:t>
      </w:r>
      <w:r>
        <w:rPr>
          <w:spacing w:val="-8"/>
          <w:sz w:val="24"/>
        </w:rPr>
        <w:t> </w:t>
      </w:r>
      <w:r>
        <w:rPr>
          <w:sz w:val="24"/>
        </w:rPr>
        <w:t>with no implications for the short-term profile </w:t>
      </w:r>
      <w:r>
        <w:rPr>
          <w:spacing w:val="3"/>
          <w:sz w:val="24"/>
        </w:rPr>
        <w:t>of</w:t>
      </w:r>
      <w:r>
        <w:rPr>
          <w:spacing w:val="23"/>
          <w:sz w:val="24"/>
        </w:rPr>
        <w:t> </w:t>
      </w:r>
      <w:r>
        <w:rPr>
          <w:sz w:val="24"/>
        </w:rPr>
        <w:t>inflation.</w:t>
      </w:r>
    </w:p>
    <w:p>
      <w:pPr>
        <w:pStyle w:val="BodyText"/>
        <w:spacing w:before="3"/>
        <w:rPr>
          <w:sz w:val="31"/>
        </w:rPr>
      </w:pPr>
    </w:p>
    <w:p>
      <w:pPr>
        <w:pStyle w:val="ListParagraph"/>
        <w:numPr>
          <w:ilvl w:val="0"/>
          <w:numId w:val="1"/>
        </w:numPr>
        <w:tabs>
          <w:tab w:pos="497" w:val="left" w:leader="none"/>
        </w:tabs>
        <w:spacing w:line="312" w:lineRule="auto" w:before="0" w:after="0"/>
        <w:ind w:left="136" w:right="320" w:firstLine="0"/>
        <w:jc w:val="left"/>
        <w:rPr>
          <w:sz w:val="24"/>
        </w:rPr>
      </w:pPr>
      <w:r>
        <w:rPr>
          <w:sz w:val="24"/>
        </w:rPr>
        <w:t>The</w:t>
      </w:r>
      <w:r>
        <w:rPr>
          <w:spacing w:val="-2"/>
          <w:sz w:val="24"/>
        </w:rPr>
        <w:t> </w:t>
      </w:r>
      <w:r>
        <w:rPr>
          <w:sz w:val="24"/>
        </w:rPr>
        <w:t>weakness</w:t>
      </w:r>
      <w:r>
        <w:rPr>
          <w:spacing w:val="-5"/>
          <w:sz w:val="24"/>
        </w:rPr>
        <w:t> </w:t>
      </w:r>
      <w:r>
        <w:rPr>
          <w:spacing w:val="3"/>
          <w:sz w:val="24"/>
        </w:rPr>
        <w:t>of</w:t>
      </w:r>
      <w:r>
        <w:rPr>
          <w:sz w:val="24"/>
        </w:rPr>
        <w:t> goods</w:t>
      </w:r>
      <w:r>
        <w:rPr>
          <w:spacing w:val="-5"/>
          <w:sz w:val="24"/>
        </w:rPr>
        <w:t> </w:t>
      </w:r>
      <w:r>
        <w:rPr>
          <w:sz w:val="24"/>
        </w:rPr>
        <w:t>prices</w:t>
      </w:r>
      <w:r>
        <w:rPr>
          <w:spacing w:val="-5"/>
          <w:sz w:val="24"/>
        </w:rPr>
        <w:t> </w:t>
      </w:r>
      <w:r>
        <w:rPr>
          <w:sz w:val="24"/>
        </w:rPr>
        <w:t>was</w:t>
      </w:r>
      <w:r>
        <w:rPr>
          <w:spacing w:val="-4"/>
          <w:sz w:val="24"/>
        </w:rPr>
        <w:t> </w:t>
      </w:r>
      <w:r>
        <w:rPr>
          <w:sz w:val="24"/>
        </w:rPr>
        <w:t>clearly</w:t>
      </w:r>
      <w:r>
        <w:rPr>
          <w:spacing w:val="-5"/>
          <w:sz w:val="24"/>
        </w:rPr>
        <w:t> </w:t>
      </w:r>
      <w:r>
        <w:rPr>
          <w:sz w:val="24"/>
        </w:rPr>
        <w:t>reflected</w:t>
      </w:r>
      <w:r>
        <w:rPr>
          <w:spacing w:val="-3"/>
          <w:sz w:val="24"/>
        </w:rPr>
        <w:t> </w:t>
      </w:r>
      <w:r>
        <w:rPr>
          <w:sz w:val="24"/>
        </w:rPr>
        <w:t>in</w:t>
      </w:r>
      <w:r>
        <w:rPr>
          <w:spacing w:val="-3"/>
          <w:sz w:val="24"/>
        </w:rPr>
        <w:t> </w:t>
      </w:r>
      <w:r>
        <w:rPr>
          <w:sz w:val="24"/>
        </w:rPr>
        <w:t>the</w:t>
      </w:r>
      <w:r>
        <w:rPr>
          <w:spacing w:val="-5"/>
          <w:sz w:val="24"/>
        </w:rPr>
        <w:t> </w:t>
      </w:r>
      <w:r>
        <w:rPr>
          <w:sz w:val="24"/>
        </w:rPr>
        <w:t>retail</w:t>
      </w:r>
      <w:r>
        <w:rPr>
          <w:spacing w:val="-3"/>
          <w:sz w:val="24"/>
        </w:rPr>
        <w:t> </w:t>
      </w:r>
      <w:r>
        <w:rPr>
          <w:sz w:val="24"/>
        </w:rPr>
        <w:t>sales</w:t>
      </w:r>
      <w:r>
        <w:rPr>
          <w:spacing w:val="-5"/>
          <w:sz w:val="24"/>
        </w:rPr>
        <w:t> </w:t>
      </w:r>
      <w:r>
        <w:rPr>
          <w:spacing w:val="2"/>
          <w:sz w:val="24"/>
        </w:rPr>
        <w:t>deflator,</w:t>
      </w:r>
      <w:r>
        <w:rPr>
          <w:spacing w:val="1"/>
          <w:sz w:val="24"/>
        </w:rPr>
        <w:t> </w:t>
      </w:r>
      <w:r>
        <w:rPr>
          <w:sz w:val="24"/>
        </w:rPr>
        <w:t>which</w:t>
      </w:r>
      <w:r>
        <w:rPr>
          <w:spacing w:val="-5"/>
          <w:sz w:val="24"/>
        </w:rPr>
        <w:t> </w:t>
      </w:r>
      <w:r>
        <w:rPr>
          <w:sz w:val="24"/>
        </w:rPr>
        <w:t>was</w:t>
      </w:r>
      <w:r>
        <w:rPr>
          <w:spacing w:val="-4"/>
          <w:sz w:val="24"/>
        </w:rPr>
        <w:t> </w:t>
      </w:r>
      <w:r>
        <w:rPr>
          <w:sz w:val="24"/>
        </w:rPr>
        <w:t>based </w:t>
      </w:r>
      <w:r>
        <w:rPr>
          <w:spacing w:val="2"/>
          <w:sz w:val="24"/>
        </w:rPr>
        <w:t>on </w:t>
      </w:r>
      <w:r>
        <w:rPr>
          <w:sz w:val="24"/>
        </w:rPr>
        <w:t>the same data. The CBI/Deloitte &amp; Touche survey balance for prices </w:t>
      </w:r>
      <w:r>
        <w:rPr>
          <w:spacing w:val="2"/>
          <w:sz w:val="24"/>
        </w:rPr>
        <w:t>of </w:t>
      </w:r>
      <w:r>
        <w:rPr>
          <w:sz w:val="24"/>
        </w:rPr>
        <w:t>consumer services had also fallen recently, but this survey had </w:t>
      </w:r>
      <w:r>
        <w:rPr>
          <w:spacing w:val="4"/>
          <w:sz w:val="24"/>
        </w:rPr>
        <w:t>only </w:t>
      </w:r>
      <w:r>
        <w:rPr>
          <w:sz w:val="24"/>
        </w:rPr>
        <w:t>been running for a few quarters. However, the C</w:t>
      </w:r>
      <w:r>
        <w:rPr>
          <w:sz w:val="20"/>
        </w:rPr>
        <w:t>IPS </w:t>
      </w:r>
      <w:r>
        <w:rPr>
          <w:sz w:val="24"/>
        </w:rPr>
        <w:t>services prices index had risen </w:t>
      </w:r>
      <w:r>
        <w:rPr>
          <w:spacing w:val="3"/>
          <w:sz w:val="24"/>
        </w:rPr>
        <w:t>on </w:t>
      </w:r>
      <w:r>
        <w:rPr>
          <w:sz w:val="24"/>
        </w:rPr>
        <w:t>the</w:t>
      </w:r>
      <w:r>
        <w:rPr>
          <w:spacing w:val="32"/>
          <w:sz w:val="24"/>
        </w:rPr>
        <w:t> </w:t>
      </w:r>
      <w:r>
        <w:rPr>
          <w:sz w:val="24"/>
        </w:rPr>
        <w:t>month.</w:t>
      </w:r>
    </w:p>
    <w:p>
      <w:pPr>
        <w:pStyle w:val="BodyText"/>
        <w:spacing w:before="4"/>
        <w:rPr>
          <w:sz w:val="31"/>
        </w:rPr>
      </w:pPr>
    </w:p>
    <w:p>
      <w:pPr>
        <w:pStyle w:val="ListParagraph"/>
        <w:numPr>
          <w:ilvl w:val="0"/>
          <w:numId w:val="1"/>
        </w:numPr>
        <w:tabs>
          <w:tab w:pos="497" w:val="left" w:leader="none"/>
        </w:tabs>
        <w:spacing w:line="312" w:lineRule="auto" w:before="0" w:after="0"/>
        <w:ind w:left="136" w:right="152" w:firstLine="0"/>
        <w:jc w:val="left"/>
        <w:rPr>
          <w:sz w:val="24"/>
        </w:rPr>
      </w:pPr>
      <w:r>
        <w:rPr>
          <w:sz w:val="24"/>
        </w:rPr>
        <w:t>The continuing pressure </w:t>
      </w:r>
      <w:r>
        <w:rPr>
          <w:spacing w:val="2"/>
          <w:sz w:val="24"/>
        </w:rPr>
        <w:t>on </w:t>
      </w:r>
      <w:r>
        <w:rPr>
          <w:sz w:val="24"/>
        </w:rPr>
        <w:t>retail margins did not seem </w:t>
      </w:r>
      <w:r>
        <w:rPr>
          <w:spacing w:val="3"/>
          <w:sz w:val="24"/>
        </w:rPr>
        <w:t>to </w:t>
      </w:r>
      <w:r>
        <w:rPr>
          <w:sz w:val="24"/>
        </w:rPr>
        <w:t>reflect weak demand, but </w:t>
      </w:r>
      <w:r>
        <w:rPr>
          <w:spacing w:val="4"/>
          <w:sz w:val="24"/>
        </w:rPr>
        <w:t>other </w:t>
      </w:r>
      <w:r>
        <w:rPr>
          <w:sz w:val="24"/>
        </w:rPr>
        <w:t>factors such as increased competition. If so, increased competition and reduction in retail margins might spread along the supply chain. </w:t>
      </w:r>
      <w:r>
        <w:rPr>
          <w:spacing w:val="2"/>
          <w:sz w:val="24"/>
        </w:rPr>
        <w:t>Even </w:t>
      </w:r>
      <w:r>
        <w:rPr>
          <w:sz w:val="24"/>
        </w:rPr>
        <w:t>given the </w:t>
      </w:r>
      <w:r>
        <w:rPr>
          <w:spacing w:val="2"/>
          <w:sz w:val="24"/>
        </w:rPr>
        <w:t>recent rise </w:t>
      </w:r>
      <w:r>
        <w:rPr>
          <w:sz w:val="24"/>
        </w:rPr>
        <w:t>in input prices, it might be difficult for manufacturers </w:t>
      </w:r>
      <w:r>
        <w:rPr>
          <w:spacing w:val="2"/>
          <w:sz w:val="24"/>
        </w:rPr>
        <w:t>to </w:t>
      </w:r>
      <w:r>
        <w:rPr>
          <w:sz w:val="24"/>
        </w:rPr>
        <w:t>pass </w:t>
      </w:r>
      <w:r>
        <w:rPr>
          <w:spacing w:val="2"/>
          <w:sz w:val="24"/>
        </w:rPr>
        <w:t>on </w:t>
      </w:r>
      <w:r>
        <w:rPr>
          <w:sz w:val="24"/>
        </w:rPr>
        <w:t>higher costs, at least in the short term.  It was possible that aggregate supply</w:t>
      </w:r>
      <w:r>
        <w:rPr>
          <w:spacing w:val="-7"/>
          <w:sz w:val="24"/>
        </w:rPr>
        <w:t> </w:t>
      </w:r>
      <w:r>
        <w:rPr>
          <w:sz w:val="24"/>
        </w:rPr>
        <w:t>had</w:t>
      </w:r>
      <w:r>
        <w:rPr>
          <w:spacing w:val="-7"/>
          <w:sz w:val="24"/>
        </w:rPr>
        <w:t> </w:t>
      </w:r>
      <w:r>
        <w:rPr>
          <w:sz w:val="24"/>
        </w:rPr>
        <w:t>become</w:t>
      </w:r>
      <w:r>
        <w:rPr>
          <w:spacing w:val="-7"/>
          <w:sz w:val="24"/>
        </w:rPr>
        <w:t> </w:t>
      </w:r>
      <w:r>
        <w:rPr>
          <w:sz w:val="24"/>
        </w:rPr>
        <w:t>more</w:t>
      </w:r>
      <w:r>
        <w:rPr>
          <w:spacing w:val="-6"/>
          <w:sz w:val="24"/>
        </w:rPr>
        <w:t> </w:t>
      </w:r>
      <w:r>
        <w:rPr>
          <w:sz w:val="24"/>
        </w:rPr>
        <w:t>elastic</w:t>
      </w:r>
      <w:r>
        <w:rPr>
          <w:spacing w:val="-7"/>
          <w:sz w:val="24"/>
        </w:rPr>
        <w:t> </w:t>
      </w:r>
      <w:r>
        <w:rPr>
          <w:sz w:val="24"/>
        </w:rPr>
        <w:t>for</w:t>
      </w:r>
      <w:r>
        <w:rPr>
          <w:spacing w:val="-7"/>
          <w:sz w:val="24"/>
        </w:rPr>
        <w:t> </w:t>
      </w:r>
      <w:r>
        <w:rPr>
          <w:sz w:val="24"/>
        </w:rPr>
        <w:t>reasons</w:t>
      </w:r>
      <w:r>
        <w:rPr>
          <w:spacing w:val="-5"/>
          <w:sz w:val="24"/>
        </w:rPr>
        <w:t> </w:t>
      </w:r>
      <w:r>
        <w:rPr>
          <w:spacing w:val="4"/>
          <w:sz w:val="24"/>
        </w:rPr>
        <w:t>other</w:t>
      </w:r>
      <w:r>
        <w:rPr>
          <w:spacing w:val="-2"/>
          <w:sz w:val="24"/>
        </w:rPr>
        <w:t> </w:t>
      </w:r>
      <w:r>
        <w:rPr>
          <w:sz w:val="24"/>
        </w:rPr>
        <w:t>than</w:t>
      </w:r>
      <w:r>
        <w:rPr>
          <w:spacing w:val="-7"/>
          <w:sz w:val="24"/>
        </w:rPr>
        <w:t> </w:t>
      </w:r>
      <w:r>
        <w:rPr>
          <w:sz w:val="24"/>
        </w:rPr>
        <w:t>a</w:t>
      </w:r>
      <w:r>
        <w:rPr>
          <w:spacing w:val="-7"/>
          <w:sz w:val="24"/>
        </w:rPr>
        <w:t> </w:t>
      </w:r>
      <w:r>
        <w:rPr>
          <w:sz w:val="24"/>
        </w:rPr>
        <w:t>structural</w:t>
      </w:r>
      <w:r>
        <w:rPr>
          <w:spacing w:val="-6"/>
          <w:sz w:val="24"/>
        </w:rPr>
        <w:t> </w:t>
      </w:r>
      <w:r>
        <w:rPr>
          <w:sz w:val="24"/>
        </w:rPr>
        <w:t>increase</w:t>
      </w:r>
      <w:r>
        <w:rPr>
          <w:spacing w:val="-7"/>
          <w:sz w:val="24"/>
        </w:rPr>
        <w:t> </w:t>
      </w:r>
      <w:r>
        <w:rPr>
          <w:sz w:val="24"/>
        </w:rPr>
        <w:t>in</w:t>
      </w:r>
      <w:r>
        <w:rPr>
          <w:spacing w:val="-7"/>
          <w:sz w:val="24"/>
        </w:rPr>
        <w:t> </w:t>
      </w:r>
      <w:r>
        <w:rPr>
          <w:sz w:val="24"/>
        </w:rPr>
        <w:t>competition</w:t>
      </w:r>
      <w:r>
        <w:rPr>
          <w:spacing w:val="-7"/>
          <w:sz w:val="24"/>
        </w:rPr>
        <w:t> </w:t>
      </w:r>
      <w:r>
        <w:rPr>
          <w:sz w:val="24"/>
        </w:rPr>
        <w:t>in</w:t>
      </w:r>
      <w:r>
        <w:rPr>
          <w:spacing w:val="-6"/>
          <w:sz w:val="24"/>
        </w:rPr>
        <w:t> </w:t>
      </w:r>
      <w:r>
        <w:rPr>
          <w:sz w:val="24"/>
        </w:rPr>
        <w:t>the</w:t>
      </w:r>
      <w:r>
        <w:rPr>
          <w:spacing w:val="-6"/>
          <w:sz w:val="24"/>
        </w:rPr>
        <w:t> </w:t>
      </w:r>
      <w:r>
        <w:rPr>
          <w:sz w:val="24"/>
        </w:rPr>
        <w:t>UK, such as increased investment elsewhere by international companies and a corresponding increase in world supply. More efficient and cheaper access </w:t>
      </w:r>
      <w:r>
        <w:rPr>
          <w:spacing w:val="3"/>
          <w:sz w:val="24"/>
        </w:rPr>
        <w:t>to </w:t>
      </w:r>
      <w:r>
        <w:rPr>
          <w:sz w:val="24"/>
        </w:rPr>
        <w:t>information about domestic and </w:t>
      </w:r>
      <w:r>
        <w:rPr>
          <w:spacing w:val="3"/>
          <w:sz w:val="24"/>
        </w:rPr>
        <w:t>overseas </w:t>
      </w:r>
      <w:r>
        <w:rPr>
          <w:sz w:val="24"/>
        </w:rPr>
        <w:t>production and prices, and associated scope for cost savings </w:t>
      </w:r>
      <w:r>
        <w:rPr>
          <w:spacing w:val="2"/>
          <w:sz w:val="24"/>
        </w:rPr>
        <w:t>on </w:t>
      </w:r>
      <w:r>
        <w:rPr>
          <w:sz w:val="24"/>
        </w:rPr>
        <w:t>inputs, might also have an effect </w:t>
      </w:r>
      <w:r>
        <w:rPr>
          <w:spacing w:val="3"/>
          <w:sz w:val="24"/>
        </w:rPr>
        <w:t>on </w:t>
      </w:r>
      <w:r>
        <w:rPr>
          <w:sz w:val="24"/>
        </w:rPr>
        <w:t>UK prices. For example, the more widespread use </w:t>
      </w:r>
      <w:r>
        <w:rPr>
          <w:spacing w:val="2"/>
          <w:sz w:val="24"/>
        </w:rPr>
        <w:t>of </w:t>
      </w:r>
      <w:r>
        <w:rPr>
          <w:sz w:val="24"/>
        </w:rPr>
        <w:t>the Internet might affect UK productivity growth and pricing behaviour. </w:t>
      </w:r>
      <w:r>
        <w:rPr>
          <w:spacing w:val="2"/>
          <w:sz w:val="24"/>
        </w:rPr>
        <w:t>There </w:t>
      </w:r>
      <w:r>
        <w:rPr>
          <w:sz w:val="24"/>
        </w:rPr>
        <w:t>was little evidence that this was, as yet, having a big</w:t>
      </w:r>
      <w:r>
        <w:rPr>
          <w:spacing w:val="-25"/>
          <w:sz w:val="24"/>
        </w:rPr>
        <w:t> </w:t>
      </w:r>
      <w:r>
        <w:rPr>
          <w:sz w:val="24"/>
        </w:rPr>
        <w:t>effect,</w:t>
      </w:r>
    </w:p>
    <w:p>
      <w:pPr>
        <w:spacing w:after="0" w:line="312" w:lineRule="auto"/>
        <w:jc w:val="left"/>
        <w:rPr>
          <w:sz w:val="24"/>
        </w:rPr>
        <w:sectPr>
          <w:pgSz w:w="11900" w:h="16840"/>
          <w:pgMar w:header="1224" w:footer="0" w:top="1600" w:bottom="280" w:left="1140" w:right="780"/>
        </w:sectPr>
      </w:pPr>
    </w:p>
    <w:p>
      <w:pPr>
        <w:pStyle w:val="BodyText"/>
        <w:spacing w:line="312" w:lineRule="auto" w:before="169"/>
        <w:ind w:left="136" w:right="87"/>
      </w:pPr>
      <w:r>
        <w:rPr/>
        <w:t>though its use could grow rapidly. In the first instance one might see greater effects on inter-firm trade than at the retail level. One much quoted example of internet activity was in books, but recent movements in prices looked small when compared with the impact of the ending of the Net Book Agreement some time ago. It was therefore important not automatically to assume that the effects of the Internet would be bigger than previous shocks.</w:t>
      </w:r>
    </w:p>
    <w:p>
      <w:pPr>
        <w:pStyle w:val="BodyText"/>
        <w:rPr>
          <w:sz w:val="31"/>
        </w:rPr>
      </w:pPr>
    </w:p>
    <w:p>
      <w:pPr>
        <w:pStyle w:val="ListParagraph"/>
        <w:numPr>
          <w:ilvl w:val="0"/>
          <w:numId w:val="1"/>
        </w:numPr>
        <w:tabs>
          <w:tab w:pos="497" w:val="left" w:leader="none"/>
        </w:tabs>
        <w:spacing w:line="312" w:lineRule="auto" w:before="0" w:after="0"/>
        <w:ind w:left="136" w:right="415" w:firstLine="0"/>
        <w:jc w:val="left"/>
        <w:rPr>
          <w:sz w:val="24"/>
        </w:rPr>
      </w:pPr>
      <w:r>
        <w:rPr>
          <w:sz w:val="24"/>
        </w:rPr>
        <w:t>Most </w:t>
      </w:r>
      <w:r>
        <w:rPr>
          <w:spacing w:val="2"/>
          <w:sz w:val="24"/>
        </w:rPr>
        <w:t>of </w:t>
      </w:r>
      <w:r>
        <w:rPr>
          <w:sz w:val="24"/>
        </w:rPr>
        <w:t>the evidence </w:t>
      </w:r>
      <w:r>
        <w:rPr>
          <w:spacing w:val="2"/>
          <w:sz w:val="24"/>
        </w:rPr>
        <w:t>of </w:t>
      </w:r>
      <w:r>
        <w:rPr>
          <w:sz w:val="24"/>
        </w:rPr>
        <w:t>weaker prices related </w:t>
      </w:r>
      <w:r>
        <w:rPr>
          <w:spacing w:val="2"/>
          <w:sz w:val="24"/>
        </w:rPr>
        <w:t>to </w:t>
      </w:r>
      <w:r>
        <w:rPr>
          <w:sz w:val="24"/>
        </w:rPr>
        <w:t>goods prices; indeed the gap between service and goods price inflation was as large as at any time since 1992. </w:t>
      </w:r>
      <w:r>
        <w:rPr>
          <w:spacing w:val="2"/>
          <w:sz w:val="24"/>
        </w:rPr>
        <w:t>That </w:t>
      </w:r>
      <w:r>
        <w:rPr>
          <w:sz w:val="24"/>
        </w:rPr>
        <w:t>gap was much larger than could be explained by differences in trend productivity growth between the</w:t>
      </w:r>
      <w:r>
        <w:rPr>
          <w:spacing w:val="12"/>
          <w:sz w:val="24"/>
        </w:rPr>
        <w:t> </w:t>
      </w:r>
      <w:r>
        <w:rPr>
          <w:sz w:val="24"/>
        </w:rPr>
        <w:t>sectors.</w:t>
      </w:r>
    </w:p>
    <w:p>
      <w:pPr>
        <w:pStyle w:val="BodyText"/>
        <w:spacing w:before="3"/>
        <w:rPr>
          <w:sz w:val="31"/>
        </w:rPr>
      </w:pPr>
    </w:p>
    <w:p>
      <w:pPr>
        <w:pStyle w:val="ListParagraph"/>
        <w:numPr>
          <w:ilvl w:val="0"/>
          <w:numId w:val="1"/>
        </w:numPr>
        <w:tabs>
          <w:tab w:pos="497" w:val="left" w:leader="none"/>
        </w:tabs>
        <w:spacing w:line="312" w:lineRule="auto" w:before="0" w:after="0"/>
        <w:ind w:left="136" w:right="427" w:firstLine="0"/>
        <w:jc w:val="left"/>
        <w:rPr>
          <w:sz w:val="24"/>
        </w:rPr>
      </w:pPr>
      <w:r>
        <w:rPr>
          <w:sz w:val="24"/>
        </w:rPr>
        <w:t>Within the RPI there were large rises in a few components </w:t>
      </w:r>
      <w:r>
        <w:rPr>
          <w:spacing w:val="2"/>
          <w:sz w:val="24"/>
        </w:rPr>
        <w:t>of </w:t>
      </w:r>
      <w:r>
        <w:rPr>
          <w:sz w:val="24"/>
        </w:rPr>
        <w:t>the services index – notably insurance and foreign holidays. Some members thought it was useful </w:t>
      </w:r>
      <w:r>
        <w:rPr>
          <w:spacing w:val="3"/>
          <w:sz w:val="24"/>
        </w:rPr>
        <w:t>to </w:t>
      </w:r>
      <w:r>
        <w:rPr>
          <w:sz w:val="24"/>
        </w:rPr>
        <w:t>gauge the underlying behaviour</w:t>
      </w:r>
      <w:r>
        <w:rPr>
          <w:spacing w:val="-7"/>
          <w:sz w:val="24"/>
        </w:rPr>
        <w:t> </w:t>
      </w:r>
      <w:r>
        <w:rPr>
          <w:spacing w:val="3"/>
          <w:sz w:val="24"/>
        </w:rPr>
        <w:t>of</w:t>
      </w:r>
      <w:r>
        <w:rPr>
          <w:spacing w:val="-3"/>
          <w:sz w:val="24"/>
        </w:rPr>
        <w:t> </w:t>
      </w:r>
      <w:r>
        <w:rPr>
          <w:sz w:val="24"/>
        </w:rPr>
        <w:t>RPIX</w:t>
      </w:r>
      <w:r>
        <w:rPr>
          <w:spacing w:val="-6"/>
          <w:sz w:val="24"/>
        </w:rPr>
        <w:t> </w:t>
      </w:r>
      <w:r>
        <w:rPr>
          <w:sz w:val="24"/>
        </w:rPr>
        <w:t>by</w:t>
      </w:r>
      <w:r>
        <w:rPr>
          <w:spacing w:val="-7"/>
          <w:sz w:val="24"/>
        </w:rPr>
        <w:t> </w:t>
      </w:r>
      <w:r>
        <w:rPr>
          <w:sz w:val="24"/>
        </w:rPr>
        <w:t>looking</w:t>
      </w:r>
      <w:r>
        <w:rPr>
          <w:spacing w:val="-6"/>
          <w:sz w:val="24"/>
        </w:rPr>
        <w:t> </w:t>
      </w:r>
      <w:r>
        <w:rPr>
          <w:sz w:val="24"/>
        </w:rPr>
        <w:t>at</w:t>
      </w:r>
      <w:r>
        <w:rPr>
          <w:spacing w:val="-2"/>
          <w:sz w:val="24"/>
        </w:rPr>
        <w:t> </w:t>
      </w:r>
      <w:r>
        <w:rPr>
          <w:sz w:val="24"/>
        </w:rPr>
        <w:t>sub-indices</w:t>
      </w:r>
      <w:r>
        <w:rPr>
          <w:spacing w:val="-7"/>
          <w:sz w:val="24"/>
        </w:rPr>
        <w:t> </w:t>
      </w:r>
      <w:r>
        <w:rPr>
          <w:sz w:val="24"/>
        </w:rPr>
        <w:t>which</w:t>
      </w:r>
      <w:r>
        <w:rPr>
          <w:spacing w:val="-6"/>
          <w:sz w:val="24"/>
        </w:rPr>
        <w:t> </w:t>
      </w:r>
      <w:r>
        <w:rPr>
          <w:sz w:val="24"/>
        </w:rPr>
        <w:t>excluded</w:t>
      </w:r>
      <w:r>
        <w:rPr>
          <w:spacing w:val="-7"/>
          <w:sz w:val="24"/>
        </w:rPr>
        <w:t> </w:t>
      </w:r>
      <w:r>
        <w:rPr>
          <w:sz w:val="24"/>
        </w:rPr>
        <w:t>volatile</w:t>
      </w:r>
      <w:r>
        <w:rPr>
          <w:spacing w:val="-6"/>
          <w:sz w:val="24"/>
        </w:rPr>
        <w:t> </w:t>
      </w:r>
      <w:r>
        <w:rPr>
          <w:sz w:val="24"/>
        </w:rPr>
        <w:t>items,</w:t>
      </w:r>
      <w:r>
        <w:rPr>
          <w:spacing w:val="-7"/>
          <w:sz w:val="24"/>
        </w:rPr>
        <w:t> </w:t>
      </w:r>
      <w:r>
        <w:rPr>
          <w:sz w:val="24"/>
        </w:rPr>
        <w:t>such</w:t>
      </w:r>
      <w:r>
        <w:rPr>
          <w:spacing w:val="-7"/>
          <w:sz w:val="24"/>
        </w:rPr>
        <w:t> </w:t>
      </w:r>
      <w:r>
        <w:rPr>
          <w:sz w:val="24"/>
        </w:rPr>
        <w:t>as</w:t>
      </w:r>
      <w:r>
        <w:rPr>
          <w:spacing w:val="-6"/>
          <w:sz w:val="24"/>
        </w:rPr>
        <w:t> </w:t>
      </w:r>
      <w:r>
        <w:rPr>
          <w:sz w:val="24"/>
        </w:rPr>
        <w:t>fuel</w:t>
      </w:r>
      <w:r>
        <w:rPr>
          <w:spacing w:val="-7"/>
          <w:sz w:val="24"/>
        </w:rPr>
        <w:t> </w:t>
      </w:r>
      <w:r>
        <w:rPr>
          <w:sz w:val="24"/>
        </w:rPr>
        <w:t>prices,</w:t>
      </w:r>
      <w:r>
        <w:rPr>
          <w:spacing w:val="-7"/>
          <w:sz w:val="24"/>
        </w:rPr>
        <w:t> </w:t>
      </w:r>
      <w:r>
        <w:rPr>
          <w:spacing w:val="4"/>
          <w:sz w:val="24"/>
        </w:rPr>
        <w:t>or </w:t>
      </w:r>
      <w:r>
        <w:rPr>
          <w:sz w:val="24"/>
        </w:rPr>
        <w:t>possibly </w:t>
      </w:r>
      <w:r>
        <w:rPr>
          <w:spacing w:val="4"/>
          <w:sz w:val="24"/>
        </w:rPr>
        <w:t>other </w:t>
      </w:r>
      <w:r>
        <w:rPr>
          <w:spacing w:val="-3"/>
          <w:sz w:val="24"/>
        </w:rPr>
        <w:t>‘exogenous’ </w:t>
      </w:r>
      <w:r>
        <w:rPr>
          <w:sz w:val="24"/>
        </w:rPr>
        <w:t>items such as seasonal foods and taxes. Other members thought that similar</w:t>
      </w:r>
      <w:r>
        <w:rPr>
          <w:spacing w:val="-8"/>
          <w:sz w:val="24"/>
        </w:rPr>
        <w:t> </w:t>
      </w:r>
      <w:r>
        <w:rPr>
          <w:sz w:val="24"/>
        </w:rPr>
        <w:t>arguments</w:t>
      </w:r>
      <w:r>
        <w:rPr>
          <w:spacing w:val="-7"/>
          <w:sz w:val="24"/>
        </w:rPr>
        <w:t> </w:t>
      </w:r>
      <w:r>
        <w:rPr>
          <w:sz w:val="24"/>
        </w:rPr>
        <w:t>could</w:t>
      </w:r>
      <w:r>
        <w:rPr>
          <w:spacing w:val="-7"/>
          <w:sz w:val="24"/>
        </w:rPr>
        <w:t> </w:t>
      </w:r>
      <w:r>
        <w:rPr>
          <w:sz w:val="24"/>
        </w:rPr>
        <w:t>be</w:t>
      </w:r>
      <w:r>
        <w:rPr>
          <w:spacing w:val="-8"/>
          <w:sz w:val="24"/>
        </w:rPr>
        <w:t> </w:t>
      </w:r>
      <w:r>
        <w:rPr>
          <w:sz w:val="24"/>
        </w:rPr>
        <w:t>applied</w:t>
      </w:r>
      <w:r>
        <w:rPr>
          <w:spacing w:val="-7"/>
          <w:sz w:val="24"/>
        </w:rPr>
        <w:t> </w:t>
      </w:r>
      <w:r>
        <w:rPr>
          <w:spacing w:val="3"/>
          <w:sz w:val="24"/>
        </w:rPr>
        <w:t>to</w:t>
      </w:r>
      <w:r>
        <w:rPr>
          <w:spacing w:val="-3"/>
          <w:sz w:val="24"/>
        </w:rPr>
        <w:t> </w:t>
      </w:r>
      <w:r>
        <w:rPr>
          <w:sz w:val="24"/>
        </w:rPr>
        <w:t>changes</w:t>
      </w:r>
      <w:r>
        <w:rPr>
          <w:spacing w:val="-7"/>
          <w:sz w:val="24"/>
        </w:rPr>
        <w:t> </w:t>
      </w:r>
      <w:r>
        <w:rPr>
          <w:sz w:val="24"/>
        </w:rPr>
        <w:t>in</w:t>
      </w:r>
      <w:r>
        <w:rPr>
          <w:spacing w:val="-8"/>
          <w:sz w:val="24"/>
        </w:rPr>
        <w:t> </w:t>
      </w:r>
      <w:r>
        <w:rPr>
          <w:sz w:val="24"/>
        </w:rPr>
        <w:t>prices</w:t>
      </w:r>
      <w:r>
        <w:rPr>
          <w:spacing w:val="-7"/>
          <w:sz w:val="24"/>
        </w:rPr>
        <w:t> </w:t>
      </w:r>
      <w:r>
        <w:rPr>
          <w:spacing w:val="2"/>
          <w:sz w:val="24"/>
        </w:rPr>
        <w:t>resulting</w:t>
      </w:r>
      <w:r>
        <w:rPr>
          <w:spacing w:val="-7"/>
          <w:sz w:val="24"/>
        </w:rPr>
        <w:t> </w:t>
      </w:r>
      <w:r>
        <w:rPr>
          <w:sz w:val="24"/>
        </w:rPr>
        <w:t>from</w:t>
      </w:r>
      <w:r>
        <w:rPr>
          <w:spacing w:val="-7"/>
          <w:sz w:val="24"/>
        </w:rPr>
        <w:t> </w:t>
      </w:r>
      <w:r>
        <w:rPr>
          <w:sz w:val="24"/>
        </w:rPr>
        <w:t>exchange</w:t>
      </w:r>
      <w:r>
        <w:rPr>
          <w:spacing w:val="-7"/>
          <w:sz w:val="24"/>
        </w:rPr>
        <w:t> </w:t>
      </w:r>
      <w:r>
        <w:rPr>
          <w:spacing w:val="2"/>
          <w:sz w:val="24"/>
        </w:rPr>
        <w:t>rate</w:t>
      </w:r>
      <w:r>
        <w:rPr>
          <w:spacing w:val="-7"/>
          <w:sz w:val="24"/>
        </w:rPr>
        <w:t> </w:t>
      </w:r>
      <w:r>
        <w:rPr>
          <w:spacing w:val="3"/>
          <w:sz w:val="24"/>
        </w:rPr>
        <w:t>movements; </w:t>
      </w:r>
      <w:r>
        <w:rPr>
          <w:sz w:val="24"/>
        </w:rPr>
        <w:t>and that </w:t>
      </w:r>
      <w:r>
        <w:rPr>
          <w:spacing w:val="4"/>
          <w:sz w:val="24"/>
        </w:rPr>
        <w:t>other </w:t>
      </w:r>
      <w:r>
        <w:rPr>
          <w:sz w:val="24"/>
        </w:rPr>
        <w:t>than in the very near-term, when nominal rigidities existed, it was not useful </w:t>
      </w:r>
      <w:r>
        <w:rPr>
          <w:spacing w:val="3"/>
          <w:sz w:val="24"/>
        </w:rPr>
        <w:t>to </w:t>
      </w:r>
      <w:r>
        <w:rPr>
          <w:sz w:val="24"/>
        </w:rPr>
        <w:t>exclude items from the</w:t>
      </w:r>
      <w:r>
        <w:rPr>
          <w:spacing w:val="25"/>
          <w:sz w:val="24"/>
        </w:rPr>
        <w:t> </w:t>
      </w:r>
      <w:r>
        <w:rPr>
          <w:sz w:val="24"/>
        </w:rPr>
        <w:t>index.</w:t>
      </w:r>
    </w:p>
    <w:p>
      <w:pPr>
        <w:pStyle w:val="BodyText"/>
        <w:spacing w:before="2"/>
        <w:rPr>
          <w:sz w:val="31"/>
        </w:rPr>
      </w:pPr>
    </w:p>
    <w:p>
      <w:pPr>
        <w:pStyle w:val="ListParagraph"/>
        <w:numPr>
          <w:ilvl w:val="0"/>
          <w:numId w:val="1"/>
        </w:numPr>
        <w:tabs>
          <w:tab w:pos="497" w:val="left" w:leader="none"/>
        </w:tabs>
        <w:spacing w:line="312" w:lineRule="auto" w:before="0" w:after="0"/>
        <w:ind w:left="136" w:right="122" w:firstLine="0"/>
        <w:jc w:val="left"/>
        <w:rPr>
          <w:sz w:val="24"/>
        </w:rPr>
      </w:pPr>
      <w:r>
        <w:rPr>
          <w:sz w:val="24"/>
        </w:rPr>
        <w:t>There had been some recent announcements </w:t>
      </w:r>
      <w:r>
        <w:rPr>
          <w:spacing w:val="2"/>
          <w:sz w:val="24"/>
        </w:rPr>
        <w:t>on </w:t>
      </w:r>
      <w:r>
        <w:rPr>
          <w:sz w:val="24"/>
        </w:rPr>
        <w:t>water, electricity and gas pricing. Taken together the effect </w:t>
      </w:r>
      <w:r>
        <w:rPr>
          <w:spacing w:val="3"/>
          <w:sz w:val="24"/>
        </w:rPr>
        <w:t>on </w:t>
      </w:r>
      <w:r>
        <w:rPr>
          <w:sz w:val="24"/>
        </w:rPr>
        <w:t>the short-term profile for retail prices was broadly in line with what had been assumed in the November </w:t>
      </w:r>
      <w:r>
        <w:rPr>
          <w:i/>
          <w:sz w:val="24"/>
        </w:rPr>
        <w:t>Inflation Report</w:t>
      </w:r>
      <w:r>
        <w:rPr>
          <w:i/>
          <w:spacing w:val="11"/>
          <w:sz w:val="24"/>
        </w:rPr>
        <w:t> </w:t>
      </w:r>
      <w:r>
        <w:rPr>
          <w:sz w:val="24"/>
        </w:rPr>
        <w:t>projections.</w:t>
      </w:r>
    </w:p>
    <w:p>
      <w:pPr>
        <w:pStyle w:val="BodyText"/>
        <w:spacing w:before="7"/>
        <w:rPr>
          <w:sz w:val="31"/>
        </w:rPr>
      </w:pPr>
    </w:p>
    <w:p>
      <w:pPr>
        <w:pStyle w:val="Heading1"/>
        <w:spacing w:before="1"/>
        <w:ind w:left="136"/>
      </w:pPr>
      <w:r>
        <w:rPr/>
        <w:t>The world economy</w:t>
      </w:r>
    </w:p>
    <w:p>
      <w:pPr>
        <w:pStyle w:val="BodyText"/>
        <w:spacing w:before="2"/>
        <w:rPr>
          <w:b/>
          <w:sz w:val="38"/>
        </w:rPr>
      </w:pPr>
    </w:p>
    <w:p>
      <w:pPr>
        <w:pStyle w:val="ListParagraph"/>
        <w:numPr>
          <w:ilvl w:val="0"/>
          <w:numId w:val="1"/>
        </w:numPr>
        <w:tabs>
          <w:tab w:pos="497" w:val="left" w:leader="none"/>
        </w:tabs>
        <w:spacing w:line="312" w:lineRule="auto" w:before="0" w:after="0"/>
        <w:ind w:left="136" w:right="143" w:firstLine="0"/>
        <w:jc w:val="left"/>
        <w:rPr>
          <w:sz w:val="24"/>
        </w:rPr>
      </w:pPr>
      <w:r>
        <w:rPr>
          <w:sz w:val="24"/>
        </w:rPr>
        <w:t>The likely pace </w:t>
      </w:r>
      <w:r>
        <w:rPr>
          <w:spacing w:val="2"/>
          <w:sz w:val="24"/>
        </w:rPr>
        <w:t>of </w:t>
      </w:r>
      <w:r>
        <w:rPr>
          <w:sz w:val="24"/>
        </w:rPr>
        <w:t>growth in the United States remained subject </w:t>
      </w:r>
      <w:r>
        <w:rPr>
          <w:spacing w:val="3"/>
          <w:sz w:val="24"/>
        </w:rPr>
        <w:t>to </w:t>
      </w:r>
      <w:r>
        <w:rPr>
          <w:sz w:val="24"/>
        </w:rPr>
        <w:t>various uncertainties. </w:t>
      </w:r>
      <w:r>
        <w:rPr>
          <w:spacing w:val="2"/>
          <w:sz w:val="24"/>
        </w:rPr>
        <w:t>The </w:t>
      </w:r>
      <w:r>
        <w:rPr>
          <w:sz w:val="24"/>
        </w:rPr>
        <w:t>latest</w:t>
      </w:r>
      <w:r>
        <w:rPr>
          <w:spacing w:val="-2"/>
          <w:sz w:val="24"/>
        </w:rPr>
        <w:t> </w:t>
      </w:r>
      <w:r>
        <w:rPr>
          <w:sz w:val="24"/>
        </w:rPr>
        <w:t>stock</w:t>
      </w:r>
      <w:r>
        <w:rPr>
          <w:spacing w:val="-7"/>
          <w:sz w:val="24"/>
        </w:rPr>
        <w:t> </w:t>
      </w:r>
      <w:r>
        <w:rPr>
          <w:sz w:val="24"/>
        </w:rPr>
        <w:t>market</w:t>
      </w:r>
      <w:r>
        <w:rPr>
          <w:spacing w:val="-2"/>
          <w:sz w:val="24"/>
        </w:rPr>
        <w:t> </w:t>
      </w:r>
      <w:r>
        <w:rPr>
          <w:sz w:val="24"/>
        </w:rPr>
        <w:t>rise</w:t>
      </w:r>
      <w:r>
        <w:rPr>
          <w:spacing w:val="-5"/>
          <w:sz w:val="24"/>
        </w:rPr>
        <w:t> </w:t>
      </w:r>
      <w:r>
        <w:rPr>
          <w:sz w:val="24"/>
        </w:rPr>
        <w:t>added</w:t>
      </w:r>
      <w:r>
        <w:rPr>
          <w:spacing w:val="-6"/>
          <w:sz w:val="24"/>
        </w:rPr>
        <w:t> </w:t>
      </w:r>
      <w:r>
        <w:rPr>
          <w:sz w:val="24"/>
        </w:rPr>
        <w:t>weight</w:t>
      </w:r>
      <w:r>
        <w:rPr>
          <w:spacing w:val="-2"/>
          <w:sz w:val="24"/>
        </w:rPr>
        <w:t> </w:t>
      </w:r>
      <w:r>
        <w:rPr>
          <w:spacing w:val="2"/>
          <w:sz w:val="24"/>
        </w:rPr>
        <w:t>to</w:t>
      </w:r>
      <w:r>
        <w:rPr>
          <w:spacing w:val="-2"/>
          <w:sz w:val="24"/>
        </w:rPr>
        <w:t> </w:t>
      </w:r>
      <w:r>
        <w:rPr>
          <w:sz w:val="24"/>
        </w:rPr>
        <w:t>the</w:t>
      </w:r>
      <w:r>
        <w:rPr>
          <w:spacing w:val="-7"/>
          <w:sz w:val="24"/>
        </w:rPr>
        <w:t> </w:t>
      </w:r>
      <w:r>
        <w:rPr>
          <w:sz w:val="24"/>
        </w:rPr>
        <w:t>factors</w:t>
      </w:r>
      <w:r>
        <w:rPr>
          <w:spacing w:val="-6"/>
          <w:sz w:val="24"/>
        </w:rPr>
        <w:t> </w:t>
      </w:r>
      <w:r>
        <w:rPr>
          <w:sz w:val="24"/>
        </w:rPr>
        <w:t>underpinning</w:t>
      </w:r>
      <w:r>
        <w:rPr>
          <w:spacing w:val="-6"/>
          <w:sz w:val="24"/>
        </w:rPr>
        <w:t> </w:t>
      </w:r>
      <w:r>
        <w:rPr>
          <w:sz w:val="24"/>
        </w:rPr>
        <w:t>strong</w:t>
      </w:r>
      <w:r>
        <w:rPr>
          <w:spacing w:val="-6"/>
          <w:sz w:val="24"/>
        </w:rPr>
        <w:t> </w:t>
      </w:r>
      <w:r>
        <w:rPr>
          <w:sz w:val="24"/>
        </w:rPr>
        <w:t>consumption</w:t>
      </w:r>
      <w:r>
        <w:rPr>
          <w:spacing w:val="-7"/>
          <w:sz w:val="24"/>
        </w:rPr>
        <w:t> </w:t>
      </w:r>
      <w:r>
        <w:rPr>
          <w:sz w:val="24"/>
        </w:rPr>
        <w:t>growth,</w:t>
      </w:r>
      <w:r>
        <w:rPr>
          <w:spacing w:val="-6"/>
          <w:sz w:val="24"/>
        </w:rPr>
        <w:t> </w:t>
      </w:r>
      <w:r>
        <w:rPr>
          <w:sz w:val="24"/>
        </w:rPr>
        <w:t>but</w:t>
      </w:r>
      <w:r>
        <w:rPr>
          <w:spacing w:val="-2"/>
          <w:sz w:val="24"/>
        </w:rPr>
        <w:t> </w:t>
      </w:r>
      <w:r>
        <w:rPr>
          <w:sz w:val="24"/>
        </w:rPr>
        <w:t>had also added </w:t>
      </w:r>
      <w:r>
        <w:rPr>
          <w:spacing w:val="3"/>
          <w:sz w:val="24"/>
        </w:rPr>
        <w:t>to </w:t>
      </w:r>
      <w:r>
        <w:rPr>
          <w:sz w:val="24"/>
        </w:rPr>
        <w:t>the risks </w:t>
      </w:r>
      <w:r>
        <w:rPr>
          <w:spacing w:val="2"/>
          <w:sz w:val="24"/>
        </w:rPr>
        <w:t>of </w:t>
      </w:r>
      <w:r>
        <w:rPr>
          <w:sz w:val="24"/>
        </w:rPr>
        <w:t>a sharper slowdown if equity prices were </w:t>
      </w:r>
      <w:r>
        <w:rPr>
          <w:spacing w:val="3"/>
          <w:sz w:val="24"/>
        </w:rPr>
        <w:t>to </w:t>
      </w:r>
      <w:r>
        <w:rPr>
          <w:sz w:val="24"/>
        </w:rPr>
        <w:t>fall. Inflation had risen somewhat </w:t>
      </w:r>
      <w:r>
        <w:rPr>
          <w:spacing w:val="3"/>
          <w:sz w:val="24"/>
        </w:rPr>
        <w:t>over </w:t>
      </w:r>
      <w:r>
        <w:rPr>
          <w:sz w:val="24"/>
        </w:rPr>
        <w:t>recent months, although not </w:t>
      </w:r>
      <w:r>
        <w:rPr>
          <w:spacing w:val="2"/>
          <w:sz w:val="24"/>
        </w:rPr>
        <w:t>on </w:t>
      </w:r>
      <w:r>
        <w:rPr>
          <w:sz w:val="24"/>
        </w:rPr>
        <w:t>the core measure. In any event, the US situation appeared </w:t>
      </w:r>
      <w:r>
        <w:rPr>
          <w:spacing w:val="2"/>
          <w:sz w:val="24"/>
        </w:rPr>
        <w:t>to </w:t>
      </w:r>
      <w:r>
        <w:rPr>
          <w:sz w:val="24"/>
        </w:rPr>
        <w:t>be rather different from the conjuncture </w:t>
      </w:r>
      <w:r>
        <w:rPr>
          <w:spacing w:val="2"/>
          <w:sz w:val="24"/>
        </w:rPr>
        <w:t>of </w:t>
      </w:r>
      <w:r>
        <w:rPr>
          <w:sz w:val="24"/>
        </w:rPr>
        <w:t>events in the UK, because </w:t>
      </w:r>
      <w:r>
        <w:rPr>
          <w:spacing w:val="2"/>
          <w:sz w:val="24"/>
        </w:rPr>
        <w:t>of </w:t>
      </w:r>
      <w:r>
        <w:rPr>
          <w:sz w:val="24"/>
        </w:rPr>
        <w:t>the much stronger recent productivity growth</w:t>
      </w:r>
      <w:r>
        <w:rPr>
          <w:spacing w:val="6"/>
          <w:sz w:val="24"/>
        </w:rPr>
        <w:t> </w:t>
      </w:r>
      <w:r>
        <w:rPr>
          <w:sz w:val="24"/>
        </w:rPr>
        <w:t>there.</w:t>
      </w:r>
    </w:p>
    <w:p>
      <w:pPr>
        <w:pStyle w:val="BodyText"/>
        <w:spacing w:before="1"/>
        <w:rPr>
          <w:sz w:val="31"/>
        </w:rPr>
      </w:pPr>
    </w:p>
    <w:p>
      <w:pPr>
        <w:pStyle w:val="ListParagraph"/>
        <w:numPr>
          <w:ilvl w:val="0"/>
          <w:numId w:val="1"/>
        </w:numPr>
        <w:tabs>
          <w:tab w:pos="497" w:val="left" w:leader="none"/>
        </w:tabs>
        <w:spacing w:line="312" w:lineRule="auto" w:before="0" w:after="0"/>
        <w:ind w:left="136" w:right="159" w:firstLine="0"/>
        <w:jc w:val="left"/>
        <w:rPr>
          <w:sz w:val="24"/>
        </w:rPr>
      </w:pPr>
      <w:r>
        <w:rPr>
          <w:sz w:val="24"/>
        </w:rPr>
        <w:t>The Japanese GDP data had been heavily revised </w:t>
      </w:r>
      <w:r>
        <w:rPr>
          <w:spacing w:val="2"/>
          <w:sz w:val="24"/>
        </w:rPr>
        <w:t>on </w:t>
      </w:r>
      <w:r>
        <w:rPr>
          <w:sz w:val="24"/>
        </w:rPr>
        <w:t>release </w:t>
      </w:r>
      <w:r>
        <w:rPr>
          <w:spacing w:val="2"/>
          <w:sz w:val="24"/>
        </w:rPr>
        <w:t>of </w:t>
      </w:r>
      <w:r>
        <w:rPr>
          <w:sz w:val="24"/>
        </w:rPr>
        <w:t>the Q3 estimate. GDP was recorded</w:t>
      </w:r>
      <w:r>
        <w:rPr>
          <w:spacing w:val="-4"/>
          <w:sz w:val="24"/>
        </w:rPr>
        <w:t> </w:t>
      </w:r>
      <w:r>
        <w:rPr>
          <w:spacing w:val="2"/>
          <w:sz w:val="24"/>
        </w:rPr>
        <w:t>to</w:t>
      </w:r>
      <w:r>
        <w:rPr>
          <w:sz w:val="24"/>
        </w:rPr>
        <w:t> have</w:t>
      </w:r>
      <w:r>
        <w:rPr>
          <w:spacing w:val="-5"/>
          <w:sz w:val="24"/>
        </w:rPr>
        <w:t> </w:t>
      </w:r>
      <w:r>
        <w:rPr>
          <w:sz w:val="24"/>
        </w:rPr>
        <w:t>fallen</w:t>
      </w:r>
      <w:r>
        <w:rPr>
          <w:spacing w:val="-5"/>
          <w:sz w:val="24"/>
        </w:rPr>
        <w:t> </w:t>
      </w:r>
      <w:r>
        <w:rPr>
          <w:sz w:val="24"/>
        </w:rPr>
        <w:t>by</w:t>
      </w:r>
      <w:r>
        <w:rPr>
          <w:spacing w:val="-5"/>
          <w:sz w:val="24"/>
        </w:rPr>
        <w:t> </w:t>
      </w:r>
      <w:r>
        <w:rPr>
          <w:sz w:val="24"/>
        </w:rPr>
        <w:t>1%</w:t>
      </w:r>
      <w:r>
        <w:rPr>
          <w:spacing w:val="-6"/>
          <w:sz w:val="24"/>
        </w:rPr>
        <w:t> </w:t>
      </w:r>
      <w:r>
        <w:rPr>
          <w:sz w:val="24"/>
        </w:rPr>
        <w:t>in</w:t>
      </w:r>
      <w:r>
        <w:rPr>
          <w:spacing w:val="-5"/>
          <w:sz w:val="24"/>
        </w:rPr>
        <w:t> </w:t>
      </w:r>
      <w:r>
        <w:rPr>
          <w:sz w:val="24"/>
        </w:rPr>
        <w:t>the</w:t>
      </w:r>
      <w:r>
        <w:rPr>
          <w:spacing w:val="-5"/>
          <w:sz w:val="24"/>
        </w:rPr>
        <w:t> </w:t>
      </w:r>
      <w:r>
        <w:rPr>
          <w:sz w:val="24"/>
        </w:rPr>
        <w:t>third</w:t>
      </w:r>
      <w:r>
        <w:rPr>
          <w:spacing w:val="-5"/>
          <w:sz w:val="24"/>
        </w:rPr>
        <w:t> </w:t>
      </w:r>
      <w:r>
        <w:rPr>
          <w:sz w:val="24"/>
        </w:rPr>
        <w:t>quarter,</w:t>
      </w:r>
      <w:r>
        <w:rPr>
          <w:spacing w:val="-5"/>
          <w:sz w:val="24"/>
        </w:rPr>
        <w:t> </w:t>
      </w:r>
      <w:r>
        <w:rPr>
          <w:sz w:val="24"/>
        </w:rPr>
        <w:t>but this</w:t>
      </w:r>
      <w:r>
        <w:rPr>
          <w:spacing w:val="-5"/>
          <w:sz w:val="24"/>
        </w:rPr>
        <w:t> </w:t>
      </w:r>
      <w:r>
        <w:rPr>
          <w:sz w:val="24"/>
        </w:rPr>
        <w:t>followed</w:t>
      </w:r>
      <w:r>
        <w:rPr>
          <w:spacing w:val="-5"/>
          <w:sz w:val="24"/>
        </w:rPr>
        <w:t> </w:t>
      </w:r>
      <w:r>
        <w:rPr>
          <w:sz w:val="24"/>
        </w:rPr>
        <w:t>an</w:t>
      </w:r>
      <w:r>
        <w:rPr>
          <w:spacing w:val="-5"/>
          <w:sz w:val="24"/>
        </w:rPr>
        <w:t> </w:t>
      </w:r>
      <w:r>
        <w:rPr>
          <w:sz w:val="24"/>
        </w:rPr>
        <w:t>upward</w:t>
      </w:r>
      <w:r>
        <w:rPr>
          <w:spacing w:val="-5"/>
          <w:sz w:val="24"/>
        </w:rPr>
        <w:t> </w:t>
      </w:r>
      <w:r>
        <w:rPr>
          <w:sz w:val="24"/>
        </w:rPr>
        <w:t>revision</w:t>
      </w:r>
      <w:r>
        <w:rPr>
          <w:spacing w:val="-4"/>
          <w:sz w:val="24"/>
        </w:rPr>
        <w:t> </w:t>
      </w:r>
      <w:r>
        <w:rPr>
          <w:spacing w:val="2"/>
          <w:sz w:val="24"/>
        </w:rPr>
        <w:t>to</w:t>
      </w:r>
      <w:r>
        <w:rPr>
          <w:sz w:val="24"/>
        </w:rPr>
        <w:t> the</w:t>
      </w:r>
      <w:r>
        <w:rPr>
          <w:spacing w:val="-5"/>
          <w:sz w:val="24"/>
        </w:rPr>
        <w:t> </w:t>
      </w:r>
      <w:r>
        <w:rPr>
          <w:sz w:val="24"/>
        </w:rPr>
        <w:t>second quarter. Overall the new data and revisions back </w:t>
      </w:r>
      <w:r>
        <w:rPr>
          <w:spacing w:val="3"/>
          <w:sz w:val="24"/>
        </w:rPr>
        <w:t>to </w:t>
      </w:r>
      <w:r>
        <w:rPr>
          <w:sz w:val="24"/>
        </w:rPr>
        <w:t>1997 left the level </w:t>
      </w:r>
      <w:r>
        <w:rPr>
          <w:spacing w:val="2"/>
          <w:sz w:val="24"/>
        </w:rPr>
        <w:t>of </w:t>
      </w:r>
      <w:r>
        <w:rPr>
          <w:sz w:val="24"/>
        </w:rPr>
        <w:t>GDP broadly in line with what had been expected at the time </w:t>
      </w:r>
      <w:r>
        <w:rPr>
          <w:spacing w:val="2"/>
          <w:sz w:val="24"/>
        </w:rPr>
        <w:t>of </w:t>
      </w:r>
      <w:r>
        <w:rPr>
          <w:sz w:val="24"/>
        </w:rPr>
        <w:t>the November </w:t>
      </w:r>
      <w:r>
        <w:rPr>
          <w:i/>
          <w:sz w:val="24"/>
        </w:rPr>
        <w:t>Inflation Report</w:t>
      </w:r>
      <w:r>
        <w:rPr>
          <w:sz w:val="24"/>
        </w:rPr>
        <w:t>. The markets had seemingly taken the view that as much weight should be placed </w:t>
      </w:r>
      <w:r>
        <w:rPr>
          <w:spacing w:val="2"/>
          <w:sz w:val="24"/>
        </w:rPr>
        <w:t>on </w:t>
      </w:r>
      <w:r>
        <w:rPr>
          <w:sz w:val="24"/>
        </w:rPr>
        <w:t>the upward revisions </w:t>
      </w:r>
      <w:r>
        <w:rPr>
          <w:spacing w:val="3"/>
          <w:sz w:val="24"/>
        </w:rPr>
        <w:t>to </w:t>
      </w:r>
      <w:r>
        <w:rPr>
          <w:sz w:val="24"/>
        </w:rPr>
        <w:t>the earlier data, as </w:t>
      </w:r>
      <w:r>
        <w:rPr>
          <w:spacing w:val="2"/>
          <w:sz w:val="24"/>
        </w:rPr>
        <w:t>on </w:t>
      </w:r>
      <w:r>
        <w:rPr>
          <w:sz w:val="24"/>
        </w:rPr>
        <w:t>the weaker Q3 growth number (which was subject </w:t>
      </w:r>
      <w:r>
        <w:rPr>
          <w:spacing w:val="3"/>
          <w:sz w:val="24"/>
        </w:rPr>
        <w:t>to </w:t>
      </w:r>
      <w:r>
        <w:rPr>
          <w:sz w:val="24"/>
        </w:rPr>
        <w:t>future revision). But if </w:t>
      </w:r>
      <w:r>
        <w:rPr>
          <w:spacing w:val="3"/>
          <w:sz w:val="24"/>
        </w:rPr>
        <w:t>one </w:t>
      </w:r>
      <w:r>
        <w:rPr>
          <w:sz w:val="24"/>
        </w:rPr>
        <w:t>placed</w:t>
      </w:r>
      <w:r>
        <w:rPr>
          <w:spacing w:val="-36"/>
          <w:sz w:val="24"/>
        </w:rPr>
        <w:t> </w:t>
      </w:r>
      <w:r>
        <w:rPr>
          <w:sz w:val="24"/>
        </w:rPr>
        <w:t>more</w:t>
      </w:r>
    </w:p>
    <w:p>
      <w:pPr>
        <w:spacing w:after="0" w:line="312" w:lineRule="auto"/>
        <w:jc w:val="left"/>
        <w:rPr>
          <w:sz w:val="24"/>
        </w:rPr>
        <w:sectPr>
          <w:pgSz w:w="11900" w:h="16840"/>
          <w:pgMar w:header="1224" w:footer="0" w:top="1600" w:bottom="280" w:left="1140" w:right="780"/>
        </w:sectPr>
      </w:pPr>
    </w:p>
    <w:p>
      <w:pPr>
        <w:pStyle w:val="BodyText"/>
        <w:spacing w:line="309" w:lineRule="auto" w:before="169"/>
        <w:ind w:left="136"/>
      </w:pPr>
      <w:r>
        <w:rPr/>
        <w:t>weight on the momentum implied by the recent numbers, then that would imply a less sanguine view of prospects for the Japanese economy.</w:t>
      </w:r>
    </w:p>
    <w:p>
      <w:pPr>
        <w:pStyle w:val="BodyText"/>
        <w:spacing w:before="7"/>
        <w:rPr>
          <w:sz w:val="31"/>
        </w:rPr>
      </w:pPr>
    </w:p>
    <w:p>
      <w:pPr>
        <w:pStyle w:val="ListParagraph"/>
        <w:numPr>
          <w:ilvl w:val="0"/>
          <w:numId w:val="1"/>
        </w:numPr>
        <w:tabs>
          <w:tab w:pos="497" w:val="left" w:leader="none"/>
        </w:tabs>
        <w:spacing w:line="312" w:lineRule="auto" w:before="0" w:after="0"/>
        <w:ind w:left="136" w:right="198" w:firstLine="0"/>
        <w:jc w:val="left"/>
        <w:rPr>
          <w:sz w:val="24"/>
        </w:rPr>
      </w:pPr>
      <w:r>
        <w:rPr>
          <w:sz w:val="24"/>
        </w:rPr>
        <w:t>The</w:t>
      </w:r>
      <w:r>
        <w:rPr>
          <w:spacing w:val="-4"/>
          <w:sz w:val="24"/>
        </w:rPr>
        <w:t> </w:t>
      </w:r>
      <w:r>
        <w:rPr>
          <w:sz w:val="24"/>
        </w:rPr>
        <w:t>news</w:t>
      </w:r>
      <w:r>
        <w:rPr>
          <w:spacing w:val="-5"/>
          <w:sz w:val="24"/>
        </w:rPr>
        <w:t> </w:t>
      </w:r>
      <w:r>
        <w:rPr>
          <w:spacing w:val="3"/>
          <w:sz w:val="24"/>
        </w:rPr>
        <w:t>on</w:t>
      </w:r>
      <w:r>
        <w:rPr>
          <w:sz w:val="24"/>
        </w:rPr>
        <w:t> activity</w:t>
      </w:r>
      <w:r>
        <w:rPr>
          <w:spacing w:val="-5"/>
          <w:sz w:val="24"/>
        </w:rPr>
        <w:t> </w:t>
      </w:r>
      <w:r>
        <w:rPr>
          <w:sz w:val="24"/>
        </w:rPr>
        <w:t>in</w:t>
      </w:r>
      <w:r>
        <w:rPr>
          <w:spacing w:val="-5"/>
          <w:sz w:val="24"/>
        </w:rPr>
        <w:t> </w:t>
      </w:r>
      <w:r>
        <w:rPr>
          <w:sz w:val="24"/>
        </w:rPr>
        <w:t>the</w:t>
      </w:r>
      <w:r>
        <w:rPr>
          <w:spacing w:val="-5"/>
          <w:sz w:val="24"/>
        </w:rPr>
        <w:t> </w:t>
      </w:r>
      <w:r>
        <w:rPr>
          <w:sz w:val="24"/>
        </w:rPr>
        <w:t>rest</w:t>
      </w:r>
      <w:r>
        <w:rPr>
          <w:spacing w:val="-3"/>
          <w:sz w:val="24"/>
        </w:rPr>
        <w:t> </w:t>
      </w:r>
      <w:r>
        <w:rPr>
          <w:spacing w:val="3"/>
          <w:sz w:val="24"/>
        </w:rPr>
        <w:t>of</w:t>
      </w:r>
      <w:r>
        <w:rPr>
          <w:spacing w:val="-1"/>
          <w:sz w:val="24"/>
        </w:rPr>
        <w:t> </w:t>
      </w:r>
      <w:r>
        <w:rPr>
          <w:sz w:val="24"/>
        </w:rPr>
        <w:t>the</w:t>
      </w:r>
      <w:r>
        <w:rPr>
          <w:spacing w:val="-5"/>
          <w:sz w:val="24"/>
        </w:rPr>
        <w:t> </w:t>
      </w:r>
      <w:r>
        <w:rPr>
          <w:sz w:val="24"/>
        </w:rPr>
        <w:t>industrial</w:t>
      </w:r>
      <w:r>
        <w:rPr>
          <w:spacing w:val="-5"/>
          <w:sz w:val="24"/>
        </w:rPr>
        <w:t> </w:t>
      </w:r>
      <w:r>
        <w:rPr>
          <w:sz w:val="24"/>
        </w:rPr>
        <w:t>world,</w:t>
      </w:r>
      <w:r>
        <w:rPr>
          <w:spacing w:val="-5"/>
          <w:sz w:val="24"/>
        </w:rPr>
        <w:t> </w:t>
      </w:r>
      <w:r>
        <w:rPr>
          <w:sz w:val="24"/>
        </w:rPr>
        <w:t>including</w:t>
      </w:r>
      <w:r>
        <w:rPr>
          <w:spacing w:val="-5"/>
          <w:sz w:val="24"/>
        </w:rPr>
        <w:t> </w:t>
      </w:r>
      <w:r>
        <w:rPr>
          <w:sz w:val="24"/>
        </w:rPr>
        <w:t>the</w:t>
      </w:r>
      <w:r>
        <w:rPr>
          <w:spacing w:val="3"/>
          <w:sz w:val="24"/>
        </w:rPr>
        <w:t> </w:t>
      </w:r>
      <w:r>
        <w:rPr>
          <w:sz w:val="24"/>
        </w:rPr>
        <w:t>euro</w:t>
      </w:r>
      <w:r>
        <w:rPr>
          <w:spacing w:val="-5"/>
          <w:sz w:val="24"/>
        </w:rPr>
        <w:t> </w:t>
      </w:r>
      <w:r>
        <w:rPr>
          <w:sz w:val="24"/>
        </w:rPr>
        <w:t>area,</w:t>
      </w:r>
      <w:r>
        <w:rPr>
          <w:spacing w:val="-5"/>
          <w:sz w:val="24"/>
        </w:rPr>
        <w:t> </w:t>
      </w:r>
      <w:r>
        <w:rPr>
          <w:sz w:val="24"/>
        </w:rPr>
        <w:t>was</w:t>
      </w:r>
      <w:r>
        <w:rPr>
          <w:spacing w:val="-5"/>
          <w:sz w:val="24"/>
        </w:rPr>
        <w:t> </w:t>
      </w:r>
      <w:r>
        <w:rPr>
          <w:sz w:val="24"/>
        </w:rPr>
        <w:t>either</w:t>
      </w:r>
      <w:r>
        <w:rPr>
          <w:spacing w:val="-5"/>
          <w:sz w:val="24"/>
        </w:rPr>
        <w:t> </w:t>
      </w:r>
      <w:r>
        <w:rPr>
          <w:sz w:val="24"/>
        </w:rPr>
        <w:t>in</w:t>
      </w:r>
      <w:r>
        <w:rPr>
          <w:spacing w:val="-5"/>
          <w:sz w:val="24"/>
        </w:rPr>
        <w:t> </w:t>
      </w:r>
      <w:r>
        <w:rPr>
          <w:sz w:val="24"/>
        </w:rPr>
        <w:t>line with </w:t>
      </w:r>
      <w:r>
        <w:rPr>
          <w:spacing w:val="3"/>
          <w:sz w:val="24"/>
        </w:rPr>
        <w:t>or </w:t>
      </w:r>
      <w:r>
        <w:rPr>
          <w:sz w:val="24"/>
        </w:rPr>
        <w:t>slightly more positive than expected </w:t>
      </w:r>
      <w:r>
        <w:rPr>
          <w:spacing w:val="3"/>
          <w:sz w:val="24"/>
        </w:rPr>
        <w:t>over </w:t>
      </w:r>
      <w:r>
        <w:rPr>
          <w:sz w:val="24"/>
        </w:rPr>
        <w:t>the past month. There seemed little news in emerging</w:t>
      </w:r>
      <w:r>
        <w:rPr>
          <w:spacing w:val="-7"/>
          <w:sz w:val="24"/>
        </w:rPr>
        <w:t> </w:t>
      </w:r>
      <w:r>
        <w:rPr>
          <w:sz w:val="24"/>
        </w:rPr>
        <w:t>markets</w:t>
      </w:r>
      <w:r>
        <w:rPr>
          <w:spacing w:val="-7"/>
          <w:sz w:val="24"/>
        </w:rPr>
        <w:t> </w:t>
      </w:r>
      <w:r>
        <w:rPr>
          <w:spacing w:val="3"/>
          <w:sz w:val="24"/>
        </w:rPr>
        <w:t>over</w:t>
      </w:r>
      <w:r>
        <w:rPr>
          <w:spacing w:val="-2"/>
          <w:sz w:val="24"/>
        </w:rPr>
        <w:t> </w:t>
      </w:r>
      <w:r>
        <w:rPr>
          <w:sz w:val="24"/>
        </w:rPr>
        <w:t>the</w:t>
      </w:r>
      <w:r>
        <w:rPr>
          <w:spacing w:val="-6"/>
          <w:sz w:val="24"/>
        </w:rPr>
        <w:t> </w:t>
      </w:r>
      <w:r>
        <w:rPr>
          <w:sz w:val="24"/>
        </w:rPr>
        <w:t>past</w:t>
      </w:r>
      <w:r>
        <w:rPr>
          <w:spacing w:val="-2"/>
          <w:sz w:val="24"/>
        </w:rPr>
        <w:t> </w:t>
      </w:r>
      <w:r>
        <w:rPr>
          <w:sz w:val="24"/>
        </w:rPr>
        <w:t>month</w:t>
      </w:r>
      <w:r>
        <w:rPr>
          <w:spacing w:val="-6"/>
          <w:sz w:val="24"/>
        </w:rPr>
        <w:t> </w:t>
      </w:r>
      <w:r>
        <w:rPr>
          <w:sz w:val="24"/>
        </w:rPr>
        <w:t>that</w:t>
      </w:r>
      <w:r>
        <w:rPr>
          <w:spacing w:val="-2"/>
          <w:sz w:val="24"/>
        </w:rPr>
        <w:t> </w:t>
      </w:r>
      <w:r>
        <w:rPr>
          <w:sz w:val="24"/>
        </w:rPr>
        <w:t>would</w:t>
      </w:r>
      <w:r>
        <w:rPr>
          <w:spacing w:val="-6"/>
          <w:sz w:val="24"/>
        </w:rPr>
        <w:t> </w:t>
      </w:r>
      <w:r>
        <w:rPr>
          <w:sz w:val="24"/>
        </w:rPr>
        <w:t>materially</w:t>
      </w:r>
      <w:r>
        <w:rPr>
          <w:spacing w:val="-7"/>
          <w:sz w:val="24"/>
        </w:rPr>
        <w:t> </w:t>
      </w:r>
      <w:r>
        <w:rPr>
          <w:sz w:val="24"/>
        </w:rPr>
        <w:t>affect</w:t>
      </w:r>
      <w:r>
        <w:rPr>
          <w:spacing w:val="-1"/>
          <w:sz w:val="24"/>
        </w:rPr>
        <w:t> </w:t>
      </w:r>
      <w:r>
        <w:rPr>
          <w:sz w:val="24"/>
        </w:rPr>
        <w:t>the</w:t>
      </w:r>
      <w:r>
        <w:rPr>
          <w:spacing w:val="-7"/>
          <w:sz w:val="24"/>
        </w:rPr>
        <w:t> </w:t>
      </w:r>
      <w:r>
        <w:rPr>
          <w:sz w:val="24"/>
        </w:rPr>
        <w:t>prospects</w:t>
      </w:r>
      <w:r>
        <w:rPr>
          <w:spacing w:val="-6"/>
          <w:sz w:val="24"/>
        </w:rPr>
        <w:t> </w:t>
      </w:r>
      <w:r>
        <w:rPr>
          <w:sz w:val="24"/>
        </w:rPr>
        <w:t>for</w:t>
      </w:r>
      <w:r>
        <w:rPr>
          <w:spacing w:val="-7"/>
          <w:sz w:val="24"/>
        </w:rPr>
        <w:t> </w:t>
      </w:r>
      <w:r>
        <w:rPr>
          <w:sz w:val="24"/>
        </w:rPr>
        <w:t>UK</w:t>
      </w:r>
      <w:r>
        <w:rPr>
          <w:spacing w:val="-6"/>
          <w:sz w:val="24"/>
        </w:rPr>
        <w:t> </w:t>
      </w:r>
      <w:r>
        <w:rPr>
          <w:sz w:val="24"/>
        </w:rPr>
        <w:t>inflation.</w:t>
      </w:r>
    </w:p>
    <w:p>
      <w:pPr>
        <w:pStyle w:val="BodyText"/>
        <w:spacing w:before="2"/>
        <w:rPr>
          <w:sz w:val="31"/>
        </w:rPr>
      </w:pPr>
    </w:p>
    <w:p>
      <w:pPr>
        <w:pStyle w:val="ListParagraph"/>
        <w:numPr>
          <w:ilvl w:val="0"/>
          <w:numId w:val="1"/>
        </w:numPr>
        <w:tabs>
          <w:tab w:pos="497" w:val="left" w:leader="none"/>
        </w:tabs>
        <w:spacing w:line="312" w:lineRule="auto" w:before="0" w:after="0"/>
        <w:ind w:left="136" w:right="130" w:firstLine="0"/>
        <w:jc w:val="left"/>
        <w:rPr>
          <w:sz w:val="24"/>
        </w:rPr>
      </w:pPr>
      <w:r>
        <w:rPr>
          <w:sz w:val="24"/>
        </w:rPr>
        <w:t>Turning </w:t>
      </w:r>
      <w:r>
        <w:rPr>
          <w:spacing w:val="2"/>
          <w:sz w:val="24"/>
        </w:rPr>
        <w:t>to </w:t>
      </w:r>
      <w:r>
        <w:rPr>
          <w:sz w:val="24"/>
        </w:rPr>
        <w:t>the pattern </w:t>
      </w:r>
      <w:r>
        <w:rPr>
          <w:spacing w:val="2"/>
          <w:sz w:val="24"/>
        </w:rPr>
        <w:t>of </w:t>
      </w:r>
      <w:r>
        <w:rPr>
          <w:sz w:val="24"/>
        </w:rPr>
        <w:t>exchange rates, the recent German data had contributed </w:t>
      </w:r>
      <w:r>
        <w:rPr>
          <w:spacing w:val="2"/>
          <w:sz w:val="24"/>
        </w:rPr>
        <w:t>to </w:t>
      </w:r>
      <w:r>
        <w:rPr>
          <w:sz w:val="24"/>
        </w:rPr>
        <w:t>a slight rise in the euro </w:t>
      </w:r>
      <w:r>
        <w:rPr>
          <w:spacing w:val="3"/>
          <w:sz w:val="24"/>
        </w:rPr>
        <w:t>over </w:t>
      </w:r>
      <w:r>
        <w:rPr>
          <w:sz w:val="24"/>
        </w:rPr>
        <w:t>the days leading up </w:t>
      </w:r>
      <w:r>
        <w:rPr>
          <w:spacing w:val="3"/>
          <w:sz w:val="24"/>
        </w:rPr>
        <w:t>to </w:t>
      </w:r>
      <w:r>
        <w:rPr>
          <w:sz w:val="24"/>
        </w:rPr>
        <w:t>the Committee’s meeting, though </w:t>
      </w:r>
      <w:r>
        <w:rPr>
          <w:spacing w:val="3"/>
          <w:sz w:val="24"/>
        </w:rPr>
        <w:t>over </w:t>
      </w:r>
      <w:r>
        <w:rPr>
          <w:sz w:val="24"/>
        </w:rPr>
        <w:t>the past month as a whole the euro had weakened further against the dollar. </w:t>
      </w:r>
      <w:r>
        <w:rPr>
          <w:spacing w:val="-3"/>
          <w:sz w:val="24"/>
        </w:rPr>
        <w:t>Sterling’s </w:t>
      </w:r>
      <w:r>
        <w:rPr>
          <w:sz w:val="24"/>
        </w:rPr>
        <w:t>effective exchange </w:t>
      </w:r>
      <w:r>
        <w:rPr>
          <w:spacing w:val="2"/>
          <w:sz w:val="24"/>
        </w:rPr>
        <w:t>rate </w:t>
      </w:r>
      <w:r>
        <w:rPr>
          <w:sz w:val="24"/>
        </w:rPr>
        <w:t>had not changed much since the time </w:t>
      </w:r>
      <w:r>
        <w:rPr>
          <w:spacing w:val="2"/>
          <w:sz w:val="24"/>
        </w:rPr>
        <w:t>of </w:t>
      </w:r>
      <w:r>
        <w:rPr>
          <w:sz w:val="24"/>
        </w:rPr>
        <w:t>the November meeting, but was around 1% above the fifteen-day average used as a starting point for the projections. That strength was primarily against the euro, rather</w:t>
      </w:r>
      <w:r>
        <w:rPr>
          <w:spacing w:val="-6"/>
          <w:sz w:val="24"/>
        </w:rPr>
        <w:t> </w:t>
      </w:r>
      <w:r>
        <w:rPr>
          <w:sz w:val="24"/>
        </w:rPr>
        <w:t>than</w:t>
      </w:r>
      <w:r>
        <w:rPr>
          <w:spacing w:val="-8"/>
          <w:sz w:val="24"/>
        </w:rPr>
        <w:t> </w:t>
      </w:r>
      <w:r>
        <w:rPr>
          <w:sz w:val="24"/>
        </w:rPr>
        <w:t>against</w:t>
      </w:r>
      <w:r>
        <w:rPr>
          <w:spacing w:val="-3"/>
          <w:sz w:val="24"/>
        </w:rPr>
        <w:t> </w:t>
      </w:r>
      <w:r>
        <w:rPr>
          <w:spacing w:val="4"/>
          <w:sz w:val="24"/>
        </w:rPr>
        <w:t>other</w:t>
      </w:r>
      <w:r>
        <w:rPr>
          <w:spacing w:val="-3"/>
          <w:sz w:val="24"/>
        </w:rPr>
        <w:t> </w:t>
      </w:r>
      <w:r>
        <w:rPr>
          <w:sz w:val="24"/>
        </w:rPr>
        <w:t>currencies,</w:t>
      </w:r>
      <w:r>
        <w:rPr>
          <w:spacing w:val="-7"/>
          <w:sz w:val="24"/>
        </w:rPr>
        <w:t> </w:t>
      </w:r>
      <w:r>
        <w:rPr>
          <w:sz w:val="24"/>
        </w:rPr>
        <w:t>reflecting</w:t>
      </w:r>
      <w:r>
        <w:rPr>
          <w:spacing w:val="-6"/>
          <w:sz w:val="24"/>
        </w:rPr>
        <w:t> </w:t>
      </w:r>
      <w:r>
        <w:rPr>
          <w:sz w:val="24"/>
        </w:rPr>
        <w:t>more</w:t>
      </w:r>
      <w:r>
        <w:rPr>
          <w:spacing w:val="-7"/>
          <w:sz w:val="24"/>
        </w:rPr>
        <w:t> </w:t>
      </w:r>
      <w:r>
        <w:rPr>
          <w:sz w:val="24"/>
        </w:rPr>
        <w:t>buoyant</w:t>
      </w:r>
      <w:r>
        <w:rPr>
          <w:spacing w:val="-4"/>
          <w:sz w:val="24"/>
        </w:rPr>
        <w:t> </w:t>
      </w:r>
      <w:r>
        <w:rPr>
          <w:sz w:val="24"/>
        </w:rPr>
        <w:t>views</w:t>
      </w:r>
      <w:r>
        <w:rPr>
          <w:spacing w:val="-7"/>
          <w:sz w:val="24"/>
        </w:rPr>
        <w:t> </w:t>
      </w:r>
      <w:r>
        <w:rPr>
          <w:spacing w:val="2"/>
          <w:sz w:val="24"/>
        </w:rPr>
        <w:t>of</w:t>
      </w:r>
      <w:r>
        <w:rPr>
          <w:spacing w:val="-3"/>
          <w:sz w:val="24"/>
        </w:rPr>
        <w:t> </w:t>
      </w:r>
      <w:r>
        <w:rPr>
          <w:sz w:val="24"/>
        </w:rPr>
        <w:t>prospects</w:t>
      </w:r>
      <w:r>
        <w:rPr>
          <w:spacing w:val="-8"/>
          <w:sz w:val="24"/>
        </w:rPr>
        <w:t> </w:t>
      </w:r>
      <w:r>
        <w:rPr>
          <w:sz w:val="24"/>
        </w:rPr>
        <w:t>for</w:t>
      </w:r>
      <w:r>
        <w:rPr>
          <w:spacing w:val="-7"/>
          <w:sz w:val="24"/>
        </w:rPr>
        <w:t> </w:t>
      </w:r>
      <w:r>
        <w:rPr>
          <w:sz w:val="24"/>
        </w:rPr>
        <w:t>activity</w:t>
      </w:r>
      <w:r>
        <w:rPr>
          <w:spacing w:val="-7"/>
          <w:sz w:val="24"/>
        </w:rPr>
        <w:t> </w:t>
      </w:r>
      <w:r>
        <w:rPr>
          <w:sz w:val="24"/>
        </w:rPr>
        <w:t>in</w:t>
      </w:r>
      <w:r>
        <w:rPr>
          <w:spacing w:val="-8"/>
          <w:sz w:val="24"/>
        </w:rPr>
        <w:t> </w:t>
      </w:r>
      <w:r>
        <w:rPr>
          <w:sz w:val="24"/>
        </w:rPr>
        <w:t>the</w:t>
      </w:r>
      <w:r>
        <w:rPr>
          <w:spacing w:val="-7"/>
          <w:sz w:val="24"/>
        </w:rPr>
        <w:t> </w:t>
      </w:r>
      <w:r>
        <w:rPr>
          <w:sz w:val="24"/>
        </w:rPr>
        <w:t>US and UK. Relative movements in yield curves </w:t>
      </w:r>
      <w:r>
        <w:rPr>
          <w:spacing w:val="3"/>
          <w:sz w:val="24"/>
        </w:rPr>
        <w:t>over </w:t>
      </w:r>
      <w:r>
        <w:rPr>
          <w:sz w:val="24"/>
        </w:rPr>
        <w:t>the period could account for some </w:t>
      </w:r>
      <w:r>
        <w:rPr>
          <w:spacing w:val="2"/>
          <w:sz w:val="24"/>
        </w:rPr>
        <w:t>of </w:t>
      </w:r>
      <w:r>
        <w:rPr>
          <w:sz w:val="24"/>
        </w:rPr>
        <w:t>sterling’s appreciation against the euro.  Markets had now had a chance </w:t>
      </w:r>
      <w:r>
        <w:rPr>
          <w:spacing w:val="2"/>
          <w:sz w:val="24"/>
        </w:rPr>
        <w:t>to </w:t>
      </w:r>
      <w:r>
        <w:rPr>
          <w:sz w:val="24"/>
        </w:rPr>
        <w:t>adjust </w:t>
      </w:r>
      <w:r>
        <w:rPr>
          <w:spacing w:val="2"/>
          <w:sz w:val="24"/>
        </w:rPr>
        <w:t>to </w:t>
      </w:r>
      <w:r>
        <w:rPr>
          <w:sz w:val="24"/>
        </w:rPr>
        <w:t>the interest rate increases in the United States, the euro area and the United Kingdom </w:t>
      </w:r>
      <w:r>
        <w:rPr>
          <w:spacing w:val="3"/>
          <w:sz w:val="24"/>
        </w:rPr>
        <w:t>over </w:t>
      </w:r>
      <w:r>
        <w:rPr>
          <w:sz w:val="24"/>
        </w:rPr>
        <w:t>the past few months. There had been no immediate major effects </w:t>
      </w:r>
      <w:r>
        <w:rPr>
          <w:spacing w:val="3"/>
          <w:sz w:val="24"/>
        </w:rPr>
        <w:t>on </w:t>
      </w:r>
      <w:r>
        <w:rPr>
          <w:sz w:val="24"/>
        </w:rPr>
        <w:t>financial markets. Compared with some </w:t>
      </w:r>
      <w:r>
        <w:rPr>
          <w:spacing w:val="-4"/>
          <w:sz w:val="24"/>
        </w:rPr>
        <w:t>people’s </w:t>
      </w:r>
      <w:r>
        <w:rPr>
          <w:sz w:val="24"/>
        </w:rPr>
        <w:t>prior expectations, market activity still seemed </w:t>
      </w:r>
      <w:r>
        <w:rPr>
          <w:spacing w:val="3"/>
          <w:sz w:val="24"/>
        </w:rPr>
        <w:t>to </w:t>
      </w:r>
      <w:r>
        <w:rPr>
          <w:sz w:val="24"/>
        </w:rPr>
        <w:t>be quite well sustained as the end </w:t>
      </w:r>
      <w:r>
        <w:rPr>
          <w:spacing w:val="2"/>
          <w:sz w:val="24"/>
        </w:rPr>
        <w:t>of </w:t>
      </w:r>
      <w:r>
        <w:rPr>
          <w:sz w:val="24"/>
        </w:rPr>
        <w:t>the year approached.</w:t>
      </w:r>
    </w:p>
    <w:p>
      <w:pPr>
        <w:pStyle w:val="BodyText"/>
        <w:spacing w:before="9"/>
        <w:rPr>
          <w:sz w:val="31"/>
        </w:rPr>
      </w:pPr>
    </w:p>
    <w:p>
      <w:pPr>
        <w:pStyle w:val="Heading1"/>
        <w:ind w:left="136"/>
      </w:pPr>
      <w:r>
        <w:rPr/>
        <w:t>The labour market</w:t>
      </w:r>
    </w:p>
    <w:p>
      <w:pPr>
        <w:pStyle w:val="BodyText"/>
        <w:spacing w:before="9"/>
        <w:rPr>
          <w:b/>
          <w:sz w:val="37"/>
        </w:rPr>
      </w:pPr>
    </w:p>
    <w:p>
      <w:pPr>
        <w:pStyle w:val="ListParagraph"/>
        <w:numPr>
          <w:ilvl w:val="0"/>
          <w:numId w:val="1"/>
        </w:numPr>
        <w:tabs>
          <w:tab w:pos="497" w:val="left" w:leader="none"/>
        </w:tabs>
        <w:spacing w:line="312" w:lineRule="auto" w:before="0" w:after="0"/>
        <w:ind w:left="136" w:right="117" w:firstLine="0"/>
        <w:jc w:val="left"/>
        <w:rPr>
          <w:sz w:val="24"/>
        </w:rPr>
      </w:pPr>
      <w:r>
        <w:rPr>
          <w:sz w:val="24"/>
        </w:rPr>
        <w:t>The latest labour market data had by and large been as expected. There was, however, some concern among some </w:t>
      </w:r>
      <w:r>
        <w:rPr>
          <w:spacing w:val="2"/>
          <w:sz w:val="24"/>
        </w:rPr>
        <w:t>of </w:t>
      </w:r>
      <w:r>
        <w:rPr>
          <w:sz w:val="24"/>
        </w:rPr>
        <w:t>the </w:t>
      </w:r>
      <w:r>
        <w:rPr>
          <w:spacing w:val="-5"/>
          <w:sz w:val="24"/>
        </w:rPr>
        <w:t>Bank’s </w:t>
      </w:r>
      <w:r>
        <w:rPr>
          <w:sz w:val="24"/>
        </w:rPr>
        <w:t>regional Agents’ contacts about prospects for the coming pay round. The Agents were also finding more widespread evidence </w:t>
      </w:r>
      <w:r>
        <w:rPr>
          <w:spacing w:val="3"/>
          <w:sz w:val="24"/>
        </w:rPr>
        <w:t>of </w:t>
      </w:r>
      <w:r>
        <w:rPr>
          <w:sz w:val="24"/>
        </w:rPr>
        <w:t>skill shortages, which had been building since the spring. But neither this nor any </w:t>
      </w:r>
      <w:r>
        <w:rPr>
          <w:spacing w:val="3"/>
          <w:sz w:val="24"/>
        </w:rPr>
        <w:t>of </w:t>
      </w:r>
      <w:r>
        <w:rPr>
          <w:sz w:val="24"/>
        </w:rPr>
        <w:t>the </w:t>
      </w:r>
      <w:r>
        <w:rPr>
          <w:spacing w:val="4"/>
          <w:sz w:val="24"/>
        </w:rPr>
        <w:t>other </w:t>
      </w:r>
      <w:r>
        <w:rPr>
          <w:sz w:val="24"/>
        </w:rPr>
        <w:t>survey evidence </w:t>
      </w:r>
      <w:r>
        <w:rPr>
          <w:spacing w:val="3"/>
          <w:sz w:val="24"/>
        </w:rPr>
        <w:t>on </w:t>
      </w:r>
      <w:r>
        <w:rPr>
          <w:sz w:val="24"/>
        </w:rPr>
        <w:t>skill shortages had yet fed through </w:t>
      </w:r>
      <w:r>
        <w:rPr>
          <w:spacing w:val="3"/>
          <w:sz w:val="24"/>
        </w:rPr>
        <w:t>to </w:t>
      </w:r>
      <w:r>
        <w:rPr>
          <w:sz w:val="24"/>
        </w:rPr>
        <w:t>the </w:t>
      </w:r>
      <w:r>
        <w:rPr>
          <w:spacing w:val="4"/>
          <w:sz w:val="24"/>
        </w:rPr>
        <w:t>observed </w:t>
      </w:r>
      <w:r>
        <w:rPr>
          <w:sz w:val="24"/>
        </w:rPr>
        <w:t>earnings data. It was possible that the sentiment being picked up by the Agents was rather more about a general desire for more highly trained and educated workers rather than a cyclical point about tightness in the labour</w:t>
      </w:r>
      <w:r>
        <w:rPr>
          <w:spacing w:val="32"/>
          <w:sz w:val="24"/>
        </w:rPr>
        <w:t> </w:t>
      </w:r>
      <w:r>
        <w:rPr>
          <w:sz w:val="24"/>
        </w:rPr>
        <w:t>market.</w:t>
      </w:r>
    </w:p>
    <w:p>
      <w:pPr>
        <w:pStyle w:val="BodyText"/>
        <w:spacing w:before="2"/>
        <w:rPr>
          <w:sz w:val="31"/>
        </w:rPr>
      </w:pPr>
    </w:p>
    <w:p>
      <w:pPr>
        <w:pStyle w:val="ListParagraph"/>
        <w:numPr>
          <w:ilvl w:val="0"/>
          <w:numId w:val="1"/>
        </w:numPr>
        <w:tabs>
          <w:tab w:pos="497" w:val="left" w:leader="none"/>
        </w:tabs>
        <w:spacing w:line="312" w:lineRule="auto" w:before="1" w:after="0"/>
        <w:ind w:left="136" w:right="211" w:firstLine="0"/>
        <w:jc w:val="left"/>
        <w:rPr>
          <w:sz w:val="24"/>
        </w:rPr>
      </w:pPr>
      <w:r>
        <w:rPr>
          <w:sz w:val="24"/>
        </w:rPr>
        <w:t>Some</w:t>
      </w:r>
      <w:r>
        <w:rPr>
          <w:spacing w:val="-7"/>
          <w:sz w:val="24"/>
        </w:rPr>
        <w:t> </w:t>
      </w:r>
      <w:r>
        <w:rPr>
          <w:sz w:val="24"/>
        </w:rPr>
        <w:t>data</w:t>
      </w:r>
      <w:r>
        <w:rPr>
          <w:spacing w:val="-6"/>
          <w:sz w:val="24"/>
        </w:rPr>
        <w:t> </w:t>
      </w:r>
      <w:r>
        <w:rPr>
          <w:sz w:val="24"/>
        </w:rPr>
        <w:t>presented</w:t>
      </w:r>
      <w:r>
        <w:rPr>
          <w:spacing w:val="-7"/>
          <w:sz w:val="24"/>
        </w:rPr>
        <w:t> </w:t>
      </w:r>
      <w:r>
        <w:rPr>
          <w:sz w:val="24"/>
        </w:rPr>
        <w:t>by</w:t>
      </w:r>
      <w:r>
        <w:rPr>
          <w:spacing w:val="-7"/>
          <w:sz w:val="24"/>
        </w:rPr>
        <w:t> </w:t>
      </w:r>
      <w:r>
        <w:rPr>
          <w:sz w:val="24"/>
        </w:rPr>
        <w:t>Bank</w:t>
      </w:r>
      <w:r>
        <w:rPr>
          <w:spacing w:val="-7"/>
          <w:sz w:val="24"/>
        </w:rPr>
        <w:t> </w:t>
      </w:r>
      <w:r>
        <w:rPr>
          <w:sz w:val="24"/>
        </w:rPr>
        <w:t>staff</w:t>
      </w:r>
      <w:r>
        <w:rPr>
          <w:spacing w:val="-7"/>
          <w:sz w:val="24"/>
        </w:rPr>
        <w:t> </w:t>
      </w:r>
      <w:r>
        <w:rPr>
          <w:spacing w:val="3"/>
          <w:sz w:val="24"/>
        </w:rPr>
        <w:t>on</w:t>
      </w:r>
      <w:r>
        <w:rPr>
          <w:spacing w:val="-3"/>
          <w:sz w:val="24"/>
        </w:rPr>
        <w:t> </w:t>
      </w:r>
      <w:r>
        <w:rPr>
          <w:sz w:val="24"/>
        </w:rPr>
        <w:t>employment</w:t>
      </w:r>
      <w:r>
        <w:rPr>
          <w:spacing w:val="-2"/>
          <w:sz w:val="24"/>
        </w:rPr>
        <w:t> </w:t>
      </w:r>
      <w:r>
        <w:rPr>
          <w:sz w:val="24"/>
        </w:rPr>
        <w:t>transition</w:t>
      </w:r>
      <w:r>
        <w:rPr>
          <w:spacing w:val="-7"/>
          <w:sz w:val="24"/>
        </w:rPr>
        <w:t> </w:t>
      </w:r>
      <w:r>
        <w:rPr>
          <w:sz w:val="24"/>
        </w:rPr>
        <w:t>probabilities</w:t>
      </w:r>
      <w:r>
        <w:rPr>
          <w:spacing w:val="-7"/>
          <w:sz w:val="24"/>
        </w:rPr>
        <w:t> </w:t>
      </w:r>
      <w:r>
        <w:rPr>
          <w:sz w:val="24"/>
        </w:rPr>
        <w:t>-</w:t>
      </w:r>
      <w:r>
        <w:rPr>
          <w:spacing w:val="-5"/>
          <w:sz w:val="24"/>
        </w:rPr>
        <w:t> </w:t>
      </w:r>
      <w:r>
        <w:rPr>
          <w:sz w:val="24"/>
        </w:rPr>
        <w:t>flows</w:t>
      </w:r>
      <w:r>
        <w:rPr>
          <w:spacing w:val="-7"/>
          <w:sz w:val="24"/>
        </w:rPr>
        <w:t> </w:t>
      </w:r>
      <w:r>
        <w:rPr>
          <w:spacing w:val="4"/>
          <w:sz w:val="24"/>
        </w:rPr>
        <w:t>out</w:t>
      </w:r>
      <w:r>
        <w:rPr>
          <w:spacing w:val="-3"/>
          <w:sz w:val="24"/>
        </w:rPr>
        <w:t> </w:t>
      </w:r>
      <w:r>
        <w:rPr>
          <w:spacing w:val="3"/>
          <w:sz w:val="24"/>
        </w:rPr>
        <w:t>of</w:t>
      </w:r>
      <w:r>
        <w:rPr>
          <w:spacing w:val="-3"/>
          <w:sz w:val="24"/>
        </w:rPr>
        <w:t> </w:t>
      </w:r>
      <w:r>
        <w:rPr>
          <w:sz w:val="24"/>
        </w:rPr>
        <w:t>various categories</w:t>
      </w:r>
      <w:r>
        <w:rPr>
          <w:spacing w:val="-6"/>
          <w:sz w:val="24"/>
        </w:rPr>
        <w:t> </w:t>
      </w:r>
      <w:r>
        <w:rPr>
          <w:spacing w:val="3"/>
          <w:sz w:val="24"/>
        </w:rPr>
        <w:t>of</w:t>
      </w:r>
      <w:r>
        <w:rPr>
          <w:spacing w:val="-2"/>
          <w:sz w:val="24"/>
        </w:rPr>
        <w:t> </w:t>
      </w:r>
      <w:r>
        <w:rPr>
          <w:sz w:val="24"/>
        </w:rPr>
        <w:t>inactivity</w:t>
      </w:r>
      <w:r>
        <w:rPr>
          <w:spacing w:val="-6"/>
          <w:sz w:val="24"/>
        </w:rPr>
        <w:t> </w:t>
      </w:r>
      <w:r>
        <w:rPr>
          <w:sz w:val="24"/>
        </w:rPr>
        <w:t>-</w:t>
      </w:r>
      <w:r>
        <w:rPr>
          <w:spacing w:val="-4"/>
          <w:sz w:val="24"/>
        </w:rPr>
        <w:t> </w:t>
      </w:r>
      <w:r>
        <w:rPr>
          <w:sz w:val="24"/>
        </w:rPr>
        <w:t>had</w:t>
      </w:r>
      <w:r>
        <w:rPr>
          <w:spacing w:val="-6"/>
          <w:sz w:val="24"/>
        </w:rPr>
        <w:t> </w:t>
      </w:r>
      <w:r>
        <w:rPr>
          <w:sz w:val="24"/>
        </w:rPr>
        <w:t>highlighted</w:t>
      </w:r>
      <w:r>
        <w:rPr>
          <w:spacing w:val="-5"/>
          <w:sz w:val="24"/>
        </w:rPr>
        <w:t> </w:t>
      </w:r>
      <w:r>
        <w:rPr>
          <w:sz w:val="24"/>
        </w:rPr>
        <w:t>a</w:t>
      </w:r>
      <w:r>
        <w:rPr>
          <w:spacing w:val="-6"/>
          <w:sz w:val="24"/>
        </w:rPr>
        <w:t> </w:t>
      </w:r>
      <w:r>
        <w:rPr>
          <w:sz w:val="24"/>
        </w:rPr>
        <w:t>large</w:t>
      </w:r>
      <w:r>
        <w:rPr>
          <w:spacing w:val="-6"/>
          <w:sz w:val="24"/>
        </w:rPr>
        <w:t> </w:t>
      </w:r>
      <w:r>
        <w:rPr>
          <w:sz w:val="24"/>
        </w:rPr>
        <w:t>number</w:t>
      </w:r>
      <w:r>
        <w:rPr>
          <w:spacing w:val="-6"/>
          <w:sz w:val="24"/>
        </w:rPr>
        <w:t> </w:t>
      </w:r>
      <w:r>
        <w:rPr>
          <w:spacing w:val="3"/>
          <w:sz w:val="24"/>
        </w:rPr>
        <w:t>of</w:t>
      </w:r>
      <w:r>
        <w:rPr>
          <w:spacing w:val="-1"/>
          <w:sz w:val="24"/>
        </w:rPr>
        <w:t> </w:t>
      </w:r>
      <w:r>
        <w:rPr>
          <w:sz w:val="24"/>
        </w:rPr>
        <w:t>people</w:t>
      </w:r>
      <w:r>
        <w:rPr>
          <w:spacing w:val="-6"/>
          <w:sz w:val="24"/>
        </w:rPr>
        <w:t> </w:t>
      </w:r>
      <w:r>
        <w:rPr>
          <w:sz w:val="24"/>
        </w:rPr>
        <w:t>flowing</w:t>
      </w:r>
      <w:r>
        <w:rPr>
          <w:spacing w:val="-6"/>
          <w:sz w:val="24"/>
        </w:rPr>
        <w:t> </w:t>
      </w:r>
      <w:r>
        <w:rPr>
          <w:sz w:val="24"/>
        </w:rPr>
        <w:t>from</w:t>
      </w:r>
      <w:r>
        <w:rPr>
          <w:spacing w:val="-5"/>
          <w:sz w:val="24"/>
        </w:rPr>
        <w:t> </w:t>
      </w:r>
      <w:r>
        <w:rPr>
          <w:sz w:val="24"/>
        </w:rPr>
        <w:t>the</w:t>
      </w:r>
      <w:r>
        <w:rPr>
          <w:spacing w:val="-6"/>
          <w:sz w:val="24"/>
        </w:rPr>
        <w:t> </w:t>
      </w:r>
      <w:r>
        <w:rPr>
          <w:sz w:val="24"/>
        </w:rPr>
        <w:t>category</w:t>
      </w:r>
      <w:r>
        <w:rPr>
          <w:spacing w:val="-6"/>
          <w:sz w:val="24"/>
        </w:rPr>
        <w:t> </w:t>
      </w:r>
      <w:r>
        <w:rPr>
          <w:spacing w:val="3"/>
          <w:sz w:val="24"/>
        </w:rPr>
        <w:t>of</w:t>
      </w:r>
      <w:r>
        <w:rPr>
          <w:sz w:val="24"/>
        </w:rPr>
        <w:t> </w:t>
      </w:r>
      <w:r>
        <w:rPr>
          <w:spacing w:val="-7"/>
          <w:sz w:val="24"/>
        </w:rPr>
        <w:t>‘not </w:t>
      </w:r>
      <w:r>
        <w:rPr>
          <w:sz w:val="24"/>
        </w:rPr>
        <w:t>wanting a job’ into employment within a short period </w:t>
      </w:r>
      <w:r>
        <w:rPr>
          <w:spacing w:val="3"/>
          <w:sz w:val="24"/>
        </w:rPr>
        <w:t>of </w:t>
      </w:r>
      <w:r>
        <w:rPr>
          <w:sz w:val="24"/>
        </w:rPr>
        <w:t>time. At first sight this was </w:t>
      </w:r>
      <w:r>
        <w:rPr>
          <w:spacing w:val="2"/>
          <w:sz w:val="24"/>
        </w:rPr>
        <w:t>rather </w:t>
      </w:r>
      <w:r>
        <w:rPr>
          <w:sz w:val="24"/>
        </w:rPr>
        <w:t>surprising, but might be explained by people seeing new job </w:t>
      </w:r>
      <w:r>
        <w:rPr>
          <w:spacing w:val="5"/>
          <w:sz w:val="24"/>
        </w:rPr>
        <w:t>opportunities </w:t>
      </w:r>
      <w:r>
        <w:rPr>
          <w:sz w:val="24"/>
        </w:rPr>
        <w:t>become available which they had not previously expected. More research was needed in this area, but so far it suggested that the pool </w:t>
      </w:r>
      <w:r>
        <w:rPr>
          <w:spacing w:val="2"/>
          <w:sz w:val="24"/>
        </w:rPr>
        <w:t>of </w:t>
      </w:r>
      <w:r>
        <w:rPr>
          <w:sz w:val="24"/>
        </w:rPr>
        <w:t>people who could move into employment was greater than might be thought based on more traditional and more narrowly focused measures </w:t>
      </w:r>
      <w:r>
        <w:rPr>
          <w:spacing w:val="2"/>
          <w:sz w:val="24"/>
        </w:rPr>
        <w:t>of </w:t>
      </w:r>
      <w:r>
        <w:rPr>
          <w:sz w:val="24"/>
        </w:rPr>
        <w:t>potential labour supply. It might help </w:t>
      </w:r>
      <w:r>
        <w:rPr>
          <w:spacing w:val="3"/>
          <w:sz w:val="24"/>
        </w:rPr>
        <w:t>to </w:t>
      </w:r>
      <w:r>
        <w:rPr>
          <w:spacing w:val="2"/>
          <w:sz w:val="24"/>
        </w:rPr>
        <w:t>explain</w:t>
      </w:r>
      <w:r>
        <w:rPr>
          <w:spacing w:val="-4"/>
          <w:sz w:val="24"/>
        </w:rPr>
        <w:t> </w:t>
      </w:r>
      <w:r>
        <w:rPr>
          <w:sz w:val="24"/>
        </w:rPr>
        <w:t>why</w:t>
      </w:r>
      <w:r>
        <w:rPr>
          <w:spacing w:val="2"/>
          <w:sz w:val="24"/>
        </w:rPr>
        <w:t> </w:t>
      </w:r>
      <w:r>
        <w:rPr>
          <w:sz w:val="24"/>
        </w:rPr>
        <w:t>labour</w:t>
      </w:r>
      <w:r>
        <w:rPr>
          <w:spacing w:val="-4"/>
          <w:sz w:val="24"/>
        </w:rPr>
        <w:t> </w:t>
      </w:r>
      <w:r>
        <w:rPr>
          <w:sz w:val="24"/>
        </w:rPr>
        <w:t>tightness</w:t>
      </w:r>
      <w:r>
        <w:rPr>
          <w:spacing w:val="-5"/>
          <w:sz w:val="24"/>
        </w:rPr>
        <w:t> </w:t>
      </w:r>
      <w:r>
        <w:rPr>
          <w:sz w:val="24"/>
        </w:rPr>
        <w:t>had</w:t>
      </w:r>
      <w:r>
        <w:rPr>
          <w:spacing w:val="-4"/>
          <w:sz w:val="24"/>
        </w:rPr>
        <w:t> </w:t>
      </w:r>
      <w:r>
        <w:rPr>
          <w:sz w:val="24"/>
        </w:rPr>
        <w:t>not</w:t>
      </w:r>
      <w:r>
        <w:rPr>
          <w:spacing w:val="1"/>
          <w:sz w:val="24"/>
        </w:rPr>
        <w:t> </w:t>
      </w:r>
      <w:r>
        <w:rPr>
          <w:sz w:val="24"/>
        </w:rPr>
        <w:t>fed</w:t>
      </w:r>
      <w:r>
        <w:rPr>
          <w:spacing w:val="-4"/>
          <w:sz w:val="24"/>
        </w:rPr>
        <w:t> </w:t>
      </w:r>
      <w:r>
        <w:rPr>
          <w:sz w:val="24"/>
        </w:rPr>
        <w:t>through</w:t>
      </w:r>
      <w:r>
        <w:rPr>
          <w:spacing w:val="-4"/>
          <w:sz w:val="24"/>
        </w:rPr>
        <w:t> </w:t>
      </w:r>
      <w:r>
        <w:rPr>
          <w:spacing w:val="3"/>
          <w:sz w:val="24"/>
        </w:rPr>
        <w:t>to</w:t>
      </w:r>
      <w:r>
        <w:rPr>
          <w:sz w:val="24"/>
        </w:rPr>
        <w:t> earnings</w:t>
      </w:r>
      <w:r>
        <w:rPr>
          <w:spacing w:val="-4"/>
          <w:sz w:val="24"/>
        </w:rPr>
        <w:t> </w:t>
      </w:r>
      <w:r>
        <w:rPr>
          <w:sz w:val="24"/>
        </w:rPr>
        <w:t>as</w:t>
      </w:r>
      <w:r>
        <w:rPr>
          <w:spacing w:val="-4"/>
          <w:sz w:val="24"/>
        </w:rPr>
        <w:t> </w:t>
      </w:r>
      <w:r>
        <w:rPr>
          <w:sz w:val="24"/>
        </w:rPr>
        <w:t>fully</w:t>
      </w:r>
      <w:r>
        <w:rPr>
          <w:spacing w:val="-4"/>
          <w:sz w:val="24"/>
        </w:rPr>
        <w:t> </w:t>
      </w:r>
      <w:r>
        <w:rPr>
          <w:sz w:val="24"/>
        </w:rPr>
        <w:t>as</w:t>
      </w:r>
      <w:r>
        <w:rPr>
          <w:spacing w:val="-4"/>
          <w:sz w:val="24"/>
        </w:rPr>
        <w:t> </w:t>
      </w:r>
      <w:r>
        <w:rPr>
          <w:sz w:val="24"/>
        </w:rPr>
        <w:t>might have</w:t>
      </w:r>
      <w:r>
        <w:rPr>
          <w:spacing w:val="-4"/>
          <w:sz w:val="24"/>
        </w:rPr>
        <w:t> </w:t>
      </w:r>
      <w:r>
        <w:rPr>
          <w:sz w:val="24"/>
        </w:rPr>
        <w:t>been</w:t>
      </w:r>
      <w:r>
        <w:rPr>
          <w:spacing w:val="-4"/>
          <w:sz w:val="24"/>
        </w:rPr>
        <w:t> </w:t>
      </w:r>
      <w:r>
        <w:rPr>
          <w:sz w:val="24"/>
        </w:rPr>
        <w:t>expected.</w:t>
      </w:r>
    </w:p>
    <w:p>
      <w:pPr>
        <w:spacing w:after="0" w:line="312" w:lineRule="auto"/>
        <w:jc w:val="left"/>
        <w:rPr>
          <w:sz w:val="24"/>
        </w:rPr>
        <w:sectPr>
          <w:pgSz w:w="11900" w:h="16840"/>
          <w:pgMar w:header="1224" w:footer="0" w:top="1600" w:bottom="280" w:left="1140" w:right="780"/>
        </w:sectPr>
      </w:pPr>
    </w:p>
    <w:p>
      <w:pPr>
        <w:pStyle w:val="ListParagraph"/>
        <w:numPr>
          <w:ilvl w:val="0"/>
          <w:numId w:val="1"/>
        </w:numPr>
        <w:tabs>
          <w:tab w:pos="497" w:val="left" w:leader="none"/>
        </w:tabs>
        <w:spacing w:line="312" w:lineRule="auto" w:before="169" w:after="0"/>
        <w:ind w:left="136" w:right="139" w:firstLine="0"/>
        <w:jc w:val="left"/>
        <w:rPr>
          <w:sz w:val="24"/>
        </w:rPr>
      </w:pPr>
      <w:r>
        <w:rPr>
          <w:sz w:val="24"/>
        </w:rPr>
        <w:t>No new </w:t>
      </w:r>
      <w:r>
        <w:rPr>
          <w:spacing w:val="4"/>
          <w:sz w:val="24"/>
        </w:rPr>
        <w:t>official </w:t>
      </w:r>
      <w:r>
        <w:rPr>
          <w:sz w:val="24"/>
        </w:rPr>
        <w:t>whole economy productivity </w:t>
      </w:r>
      <w:r>
        <w:rPr>
          <w:spacing w:val="2"/>
          <w:sz w:val="24"/>
        </w:rPr>
        <w:t>or </w:t>
      </w:r>
      <w:r>
        <w:rPr>
          <w:sz w:val="24"/>
        </w:rPr>
        <w:t>unit labour cost data were yet available for Q3, but</w:t>
      </w:r>
      <w:r>
        <w:rPr>
          <w:spacing w:val="-1"/>
          <w:sz w:val="24"/>
        </w:rPr>
        <w:t> </w:t>
      </w:r>
      <w:r>
        <w:rPr>
          <w:sz w:val="24"/>
        </w:rPr>
        <w:t>manufacturing</w:t>
      </w:r>
      <w:r>
        <w:rPr>
          <w:spacing w:val="-5"/>
          <w:sz w:val="24"/>
        </w:rPr>
        <w:t> </w:t>
      </w:r>
      <w:r>
        <w:rPr>
          <w:sz w:val="24"/>
        </w:rPr>
        <w:t>productivity</w:t>
      </w:r>
      <w:r>
        <w:rPr>
          <w:spacing w:val="-6"/>
          <w:sz w:val="24"/>
        </w:rPr>
        <w:t> </w:t>
      </w:r>
      <w:r>
        <w:rPr>
          <w:sz w:val="24"/>
        </w:rPr>
        <w:t>had</w:t>
      </w:r>
      <w:r>
        <w:rPr>
          <w:spacing w:val="-5"/>
          <w:sz w:val="24"/>
        </w:rPr>
        <w:t> </w:t>
      </w:r>
      <w:r>
        <w:rPr>
          <w:sz w:val="24"/>
        </w:rPr>
        <w:t>shown</w:t>
      </w:r>
      <w:r>
        <w:rPr>
          <w:spacing w:val="-5"/>
          <w:sz w:val="24"/>
        </w:rPr>
        <w:t> </w:t>
      </w:r>
      <w:r>
        <w:rPr>
          <w:sz w:val="24"/>
        </w:rPr>
        <w:t>signs</w:t>
      </w:r>
      <w:r>
        <w:rPr>
          <w:spacing w:val="-5"/>
          <w:sz w:val="24"/>
        </w:rPr>
        <w:t> </w:t>
      </w:r>
      <w:r>
        <w:rPr>
          <w:spacing w:val="3"/>
          <w:sz w:val="24"/>
        </w:rPr>
        <w:t>of</w:t>
      </w:r>
      <w:r>
        <w:rPr>
          <w:spacing w:val="-1"/>
          <w:sz w:val="24"/>
        </w:rPr>
        <w:t> </w:t>
      </w:r>
      <w:r>
        <w:rPr>
          <w:sz w:val="24"/>
        </w:rPr>
        <w:t>picking</w:t>
      </w:r>
      <w:r>
        <w:rPr>
          <w:spacing w:val="-5"/>
          <w:sz w:val="24"/>
        </w:rPr>
        <w:t> </w:t>
      </w:r>
      <w:r>
        <w:rPr>
          <w:sz w:val="24"/>
        </w:rPr>
        <w:t>up</w:t>
      </w:r>
      <w:r>
        <w:rPr>
          <w:spacing w:val="-5"/>
          <w:sz w:val="24"/>
        </w:rPr>
        <w:t> </w:t>
      </w:r>
      <w:r>
        <w:rPr>
          <w:sz w:val="24"/>
        </w:rPr>
        <w:t>and</w:t>
      </w:r>
      <w:r>
        <w:rPr>
          <w:spacing w:val="-5"/>
          <w:sz w:val="24"/>
        </w:rPr>
        <w:t> </w:t>
      </w:r>
      <w:r>
        <w:rPr>
          <w:sz w:val="24"/>
        </w:rPr>
        <w:t>had</w:t>
      </w:r>
      <w:r>
        <w:rPr>
          <w:spacing w:val="-5"/>
          <w:sz w:val="24"/>
        </w:rPr>
        <w:t> </w:t>
      </w:r>
      <w:r>
        <w:rPr>
          <w:sz w:val="24"/>
        </w:rPr>
        <w:t>consequently</w:t>
      </w:r>
      <w:r>
        <w:rPr>
          <w:spacing w:val="-6"/>
          <w:sz w:val="24"/>
        </w:rPr>
        <w:t> </w:t>
      </w:r>
      <w:r>
        <w:rPr>
          <w:sz w:val="24"/>
        </w:rPr>
        <w:t>begun</w:t>
      </w:r>
      <w:r>
        <w:rPr>
          <w:spacing w:val="-5"/>
          <w:sz w:val="24"/>
        </w:rPr>
        <w:t> </w:t>
      </w:r>
      <w:r>
        <w:rPr>
          <w:spacing w:val="3"/>
          <w:sz w:val="24"/>
        </w:rPr>
        <w:t>to</w:t>
      </w:r>
      <w:r>
        <w:rPr>
          <w:spacing w:val="-1"/>
          <w:sz w:val="24"/>
        </w:rPr>
        <w:t> </w:t>
      </w:r>
      <w:r>
        <w:rPr>
          <w:spacing w:val="2"/>
          <w:sz w:val="24"/>
        </w:rPr>
        <w:t>reduce </w:t>
      </w:r>
      <w:r>
        <w:rPr>
          <w:sz w:val="24"/>
        </w:rPr>
        <w:t>the rate of increase of unit labour costs in that sector. The latest GDP data suggested that productivity growth for the whole economy might have risen </w:t>
      </w:r>
      <w:r>
        <w:rPr>
          <w:spacing w:val="3"/>
          <w:sz w:val="24"/>
        </w:rPr>
        <w:t>to </w:t>
      </w:r>
      <w:r>
        <w:rPr>
          <w:sz w:val="24"/>
        </w:rPr>
        <w:t>around 2% at an annualised rate in the third quarter, which would be close </w:t>
      </w:r>
      <w:r>
        <w:rPr>
          <w:spacing w:val="2"/>
          <w:sz w:val="24"/>
        </w:rPr>
        <w:t>to </w:t>
      </w:r>
      <w:r>
        <w:rPr>
          <w:sz w:val="24"/>
        </w:rPr>
        <w:t>its long run average. This was important, as the central projection in the November </w:t>
      </w:r>
      <w:r>
        <w:rPr>
          <w:i/>
          <w:sz w:val="24"/>
        </w:rPr>
        <w:t>Report </w:t>
      </w:r>
      <w:r>
        <w:rPr>
          <w:sz w:val="24"/>
        </w:rPr>
        <w:t>had assumed a recovery in whole economy productivity growth </w:t>
      </w:r>
      <w:r>
        <w:rPr>
          <w:spacing w:val="3"/>
          <w:sz w:val="24"/>
        </w:rPr>
        <w:t>over </w:t>
      </w:r>
      <w:r>
        <w:rPr>
          <w:sz w:val="24"/>
        </w:rPr>
        <w:t>the forecast period.  The fall in profit margins could not go </w:t>
      </w:r>
      <w:r>
        <w:rPr>
          <w:spacing w:val="2"/>
          <w:sz w:val="24"/>
        </w:rPr>
        <w:t>on </w:t>
      </w:r>
      <w:r>
        <w:rPr>
          <w:sz w:val="24"/>
        </w:rPr>
        <w:t>forever, and required a continuing intensification </w:t>
      </w:r>
      <w:r>
        <w:rPr>
          <w:spacing w:val="3"/>
          <w:sz w:val="24"/>
        </w:rPr>
        <w:t>of </w:t>
      </w:r>
      <w:r>
        <w:rPr>
          <w:sz w:val="24"/>
        </w:rPr>
        <w:t>competitive pressures. Unless there was an even stronger recovery in productivity growth than had been assumed, earnings growth would need </w:t>
      </w:r>
      <w:r>
        <w:rPr>
          <w:spacing w:val="2"/>
          <w:sz w:val="24"/>
        </w:rPr>
        <w:t>to </w:t>
      </w:r>
      <w:r>
        <w:rPr>
          <w:sz w:val="24"/>
        </w:rPr>
        <w:t>turn </w:t>
      </w:r>
      <w:r>
        <w:rPr>
          <w:spacing w:val="3"/>
          <w:sz w:val="24"/>
        </w:rPr>
        <w:t>out </w:t>
      </w:r>
      <w:r>
        <w:rPr>
          <w:sz w:val="24"/>
        </w:rPr>
        <w:t>as low as assumed for the central projection </w:t>
      </w:r>
      <w:r>
        <w:rPr>
          <w:spacing w:val="2"/>
          <w:sz w:val="24"/>
        </w:rPr>
        <w:t>of </w:t>
      </w:r>
      <w:r>
        <w:rPr>
          <w:sz w:val="24"/>
        </w:rPr>
        <w:t>inflation </w:t>
      </w:r>
      <w:r>
        <w:rPr>
          <w:spacing w:val="3"/>
          <w:sz w:val="24"/>
        </w:rPr>
        <w:t>to </w:t>
      </w:r>
      <w:r>
        <w:rPr>
          <w:sz w:val="24"/>
        </w:rPr>
        <w:t>hold. </w:t>
      </w:r>
      <w:r>
        <w:rPr>
          <w:spacing w:val="2"/>
          <w:sz w:val="24"/>
        </w:rPr>
        <w:t>Even </w:t>
      </w:r>
      <w:r>
        <w:rPr>
          <w:sz w:val="24"/>
        </w:rPr>
        <w:t>then, unless productivity growth improved further, inflation would tend </w:t>
      </w:r>
      <w:r>
        <w:rPr>
          <w:spacing w:val="2"/>
          <w:sz w:val="24"/>
        </w:rPr>
        <w:t>to </w:t>
      </w:r>
      <w:r>
        <w:rPr>
          <w:sz w:val="24"/>
        </w:rPr>
        <w:t>rise at some point in the future, as the short-run downward price effects - </w:t>
      </w:r>
      <w:r>
        <w:rPr>
          <w:spacing w:val="2"/>
          <w:sz w:val="24"/>
        </w:rPr>
        <w:t>of </w:t>
      </w:r>
      <w:r>
        <w:rPr>
          <w:sz w:val="24"/>
        </w:rPr>
        <w:t>lower margins and a strengthening exchange rate - wore </w:t>
      </w:r>
      <w:r>
        <w:rPr>
          <w:spacing w:val="3"/>
          <w:sz w:val="24"/>
        </w:rPr>
        <w:t>off </w:t>
      </w:r>
      <w:r>
        <w:rPr>
          <w:sz w:val="24"/>
        </w:rPr>
        <w:t>and the effect </w:t>
      </w:r>
      <w:r>
        <w:rPr>
          <w:spacing w:val="2"/>
          <w:sz w:val="24"/>
        </w:rPr>
        <w:t>of </w:t>
      </w:r>
      <w:r>
        <w:rPr>
          <w:sz w:val="24"/>
        </w:rPr>
        <w:t>the underlying strength </w:t>
      </w:r>
      <w:r>
        <w:rPr>
          <w:spacing w:val="3"/>
          <w:sz w:val="24"/>
        </w:rPr>
        <w:t>of </w:t>
      </w:r>
      <w:r>
        <w:rPr>
          <w:sz w:val="24"/>
        </w:rPr>
        <w:t>demand began </w:t>
      </w:r>
      <w:r>
        <w:rPr>
          <w:spacing w:val="3"/>
          <w:sz w:val="24"/>
        </w:rPr>
        <w:t>to</w:t>
      </w:r>
      <w:r>
        <w:rPr>
          <w:spacing w:val="25"/>
          <w:sz w:val="24"/>
        </w:rPr>
        <w:t> </w:t>
      </w:r>
      <w:r>
        <w:rPr>
          <w:sz w:val="24"/>
        </w:rPr>
        <w:t>dominate.</w:t>
      </w:r>
    </w:p>
    <w:p>
      <w:pPr>
        <w:pStyle w:val="BodyText"/>
        <w:rPr>
          <w:sz w:val="31"/>
        </w:rPr>
      </w:pPr>
    </w:p>
    <w:p>
      <w:pPr>
        <w:pStyle w:val="ListParagraph"/>
        <w:numPr>
          <w:ilvl w:val="0"/>
          <w:numId w:val="1"/>
        </w:numPr>
        <w:tabs>
          <w:tab w:pos="497" w:val="left" w:leader="none"/>
        </w:tabs>
        <w:spacing w:line="312" w:lineRule="auto" w:before="1" w:after="0"/>
        <w:ind w:left="136" w:right="171" w:firstLine="0"/>
        <w:jc w:val="left"/>
        <w:rPr>
          <w:sz w:val="24"/>
        </w:rPr>
      </w:pPr>
      <w:r>
        <w:rPr>
          <w:sz w:val="24"/>
        </w:rPr>
        <w:t>Members </w:t>
      </w:r>
      <w:r>
        <w:rPr>
          <w:spacing w:val="2"/>
          <w:sz w:val="24"/>
        </w:rPr>
        <w:t>of </w:t>
      </w:r>
      <w:r>
        <w:rPr>
          <w:sz w:val="24"/>
        </w:rPr>
        <w:t>the Committee reflected </w:t>
      </w:r>
      <w:r>
        <w:rPr>
          <w:spacing w:val="2"/>
          <w:sz w:val="24"/>
        </w:rPr>
        <w:t>on </w:t>
      </w:r>
      <w:r>
        <w:rPr>
          <w:sz w:val="24"/>
        </w:rPr>
        <w:t>the November central projection for </w:t>
      </w:r>
      <w:r>
        <w:rPr>
          <w:spacing w:val="2"/>
          <w:sz w:val="24"/>
        </w:rPr>
        <w:t>real </w:t>
      </w:r>
      <w:r>
        <w:rPr>
          <w:sz w:val="24"/>
        </w:rPr>
        <w:t>earnings growth. The earnings profile in the central projection was somewhat lower than the average </w:t>
      </w:r>
      <w:r>
        <w:rPr>
          <w:spacing w:val="3"/>
          <w:sz w:val="24"/>
        </w:rPr>
        <w:t>of </w:t>
      </w:r>
      <w:r>
        <w:rPr>
          <w:spacing w:val="4"/>
          <w:sz w:val="24"/>
        </w:rPr>
        <w:t>outside </w:t>
      </w:r>
      <w:r>
        <w:rPr>
          <w:sz w:val="24"/>
        </w:rPr>
        <w:t>forecasts made for 2000, and given the evidence </w:t>
      </w:r>
      <w:r>
        <w:rPr>
          <w:spacing w:val="2"/>
          <w:sz w:val="24"/>
        </w:rPr>
        <w:t>of </w:t>
      </w:r>
      <w:r>
        <w:rPr>
          <w:sz w:val="24"/>
        </w:rPr>
        <w:t>skill shortages it was possible that the risks </w:t>
      </w:r>
      <w:r>
        <w:rPr>
          <w:spacing w:val="3"/>
          <w:sz w:val="24"/>
        </w:rPr>
        <w:t>to </w:t>
      </w:r>
      <w:r>
        <w:rPr>
          <w:sz w:val="24"/>
        </w:rPr>
        <w:t>this projection were more clearly </w:t>
      </w:r>
      <w:r>
        <w:rPr>
          <w:spacing w:val="2"/>
          <w:sz w:val="24"/>
        </w:rPr>
        <w:t>on </w:t>
      </w:r>
      <w:r>
        <w:rPr>
          <w:sz w:val="24"/>
        </w:rPr>
        <w:t>the upside. But some members retained doubts about the interpretation </w:t>
      </w:r>
      <w:r>
        <w:rPr>
          <w:spacing w:val="2"/>
          <w:sz w:val="24"/>
        </w:rPr>
        <w:t>of </w:t>
      </w:r>
      <w:r>
        <w:rPr>
          <w:sz w:val="24"/>
        </w:rPr>
        <w:t>the data, and as yet there was no firm evidence that the </w:t>
      </w:r>
      <w:r>
        <w:rPr>
          <w:spacing w:val="4"/>
          <w:sz w:val="24"/>
        </w:rPr>
        <w:t>outturn </w:t>
      </w:r>
      <w:r>
        <w:rPr>
          <w:sz w:val="24"/>
        </w:rPr>
        <w:t>for earnings growth was diverging markedly from the central projection made in November. </w:t>
      </w:r>
      <w:r>
        <w:rPr>
          <w:spacing w:val="2"/>
          <w:sz w:val="24"/>
        </w:rPr>
        <w:t>This </w:t>
      </w:r>
      <w:r>
        <w:rPr>
          <w:sz w:val="24"/>
        </w:rPr>
        <w:t>question</w:t>
      </w:r>
      <w:r>
        <w:rPr>
          <w:spacing w:val="-20"/>
          <w:sz w:val="24"/>
        </w:rPr>
        <w:t> </w:t>
      </w:r>
      <w:r>
        <w:rPr>
          <w:sz w:val="24"/>
        </w:rPr>
        <w:t>would need </w:t>
      </w:r>
      <w:r>
        <w:rPr>
          <w:spacing w:val="2"/>
          <w:sz w:val="24"/>
        </w:rPr>
        <w:t>to </w:t>
      </w:r>
      <w:r>
        <w:rPr>
          <w:sz w:val="24"/>
        </w:rPr>
        <w:t>be re-examined in the context </w:t>
      </w:r>
      <w:r>
        <w:rPr>
          <w:spacing w:val="2"/>
          <w:sz w:val="24"/>
        </w:rPr>
        <w:t>of </w:t>
      </w:r>
      <w:r>
        <w:rPr>
          <w:sz w:val="24"/>
        </w:rPr>
        <w:t>the February forecast</w:t>
      </w:r>
      <w:r>
        <w:rPr>
          <w:spacing w:val="34"/>
          <w:sz w:val="24"/>
        </w:rPr>
        <w:t> </w:t>
      </w:r>
      <w:r>
        <w:rPr>
          <w:sz w:val="24"/>
        </w:rPr>
        <w:t>round.</w:t>
      </w:r>
    </w:p>
    <w:p>
      <w:pPr>
        <w:pStyle w:val="BodyText"/>
        <w:spacing w:before="7"/>
        <w:rPr>
          <w:sz w:val="31"/>
        </w:rPr>
      </w:pPr>
    </w:p>
    <w:p>
      <w:pPr>
        <w:pStyle w:val="Heading1"/>
        <w:ind w:left="136"/>
      </w:pPr>
      <w:r>
        <w:rPr/>
        <w:t>Tactical considerations</w:t>
      </w:r>
    </w:p>
    <w:p>
      <w:pPr>
        <w:pStyle w:val="BodyText"/>
        <w:spacing w:before="10"/>
        <w:rPr>
          <w:b/>
          <w:sz w:val="26"/>
        </w:rPr>
      </w:pPr>
    </w:p>
    <w:p>
      <w:pPr>
        <w:pStyle w:val="ListParagraph"/>
        <w:numPr>
          <w:ilvl w:val="0"/>
          <w:numId w:val="1"/>
        </w:numPr>
        <w:tabs>
          <w:tab w:pos="497" w:val="left" w:leader="none"/>
        </w:tabs>
        <w:spacing w:line="312" w:lineRule="auto" w:before="1" w:after="0"/>
        <w:ind w:left="136" w:right="240" w:firstLine="0"/>
        <w:jc w:val="left"/>
        <w:rPr>
          <w:sz w:val="24"/>
        </w:rPr>
      </w:pPr>
      <w:r>
        <w:rPr>
          <w:spacing w:val="2"/>
          <w:sz w:val="24"/>
        </w:rPr>
        <w:t>There</w:t>
      </w:r>
      <w:r>
        <w:rPr>
          <w:spacing w:val="-9"/>
          <w:sz w:val="24"/>
        </w:rPr>
        <w:t> </w:t>
      </w:r>
      <w:r>
        <w:rPr>
          <w:sz w:val="24"/>
        </w:rPr>
        <w:t>were</w:t>
      </w:r>
      <w:r>
        <w:rPr>
          <w:spacing w:val="-9"/>
          <w:sz w:val="24"/>
        </w:rPr>
        <w:t> </w:t>
      </w:r>
      <w:r>
        <w:rPr>
          <w:sz w:val="24"/>
        </w:rPr>
        <w:t>several</w:t>
      </w:r>
      <w:r>
        <w:rPr>
          <w:spacing w:val="-10"/>
          <w:sz w:val="24"/>
        </w:rPr>
        <w:t> </w:t>
      </w:r>
      <w:r>
        <w:rPr>
          <w:sz w:val="24"/>
        </w:rPr>
        <w:t>tactical</w:t>
      </w:r>
      <w:r>
        <w:rPr>
          <w:spacing w:val="-10"/>
          <w:sz w:val="24"/>
        </w:rPr>
        <w:t> </w:t>
      </w:r>
      <w:r>
        <w:rPr>
          <w:sz w:val="24"/>
        </w:rPr>
        <w:t>considerations</w:t>
      </w:r>
      <w:r>
        <w:rPr>
          <w:spacing w:val="-10"/>
          <w:sz w:val="24"/>
        </w:rPr>
        <w:t> </w:t>
      </w:r>
      <w:r>
        <w:rPr>
          <w:sz w:val="24"/>
        </w:rPr>
        <w:t>discussed</w:t>
      </w:r>
      <w:r>
        <w:rPr>
          <w:spacing w:val="-9"/>
          <w:sz w:val="24"/>
        </w:rPr>
        <w:t> </w:t>
      </w:r>
      <w:r>
        <w:rPr>
          <w:sz w:val="24"/>
        </w:rPr>
        <w:t>this</w:t>
      </w:r>
      <w:r>
        <w:rPr>
          <w:spacing w:val="-10"/>
          <w:sz w:val="24"/>
        </w:rPr>
        <w:t> </w:t>
      </w:r>
      <w:r>
        <w:rPr>
          <w:sz w:val="24"/>
        </w:rPr>
        <w:t>month.</w:t>
      </w:r>
      <w:r>
        <w:rPr>
          <w:spacing w:val="40"/>
          <w:sz w:val="24"/>
        </w:rPr>
        <w:t> </w:t>
      </w:r>
      <w:r>
        <w:rPr>
          <w:sz w:val="24"/>
        </w:rPr>
        <w:t>First,</w:t>
      </w:r>
      <w:r>
        <w:rPr>
          <w:spacing w:val="-6"/>
          <w:sz w:val="24"/>
        </w:rPr>
        <w:t> </w:t>
      </w:r>
      <w:r>
        <w:rPr>
          <w:sz w:val="24"/>
        </w:rPr>
        <w:t>the</w:t>
      </w:r>
      <w:r>
        <w:rPr>
          <w:spacing w:val="-10"/>
          <w:sz w:val="24"/>
        </w:rPr>
        <w:t> </w:t>
      </w:r>
      <w:r>
        <w:rPr>
          <w:sz w:val="24"/>
        </w:rPr>
        <w:t>Committee</w:t>
      </w:r>
      <w:r>
        <w:rPr>
          <w:spacing w:val="-10"/>
          <w:sz w:val="24"/>
        </w:rPr>
        <w:t> </w:t>
      </w:r>
      <w:r>
        <w:rPr>
          <w:sz w:val="24"/>
        </w:rPr>
        <w:t>concluded that there was no reason </w:t>
      </w:r>
      <w:r>
        <w:rPr>
          <w:spacing w:val="2"/>
          <w:sz w:val="24"/>
        </w:rPr>
        <w:t>to </w:t>
      </w:r>
      <w:r>
        <w:rPr>
          <w:sz w:val="24"/>
        </w:rPr>
        <w:t>change the view </w:t>
      </w:r>
      <w:r>
        <w:rPr>
          <w:spacing w:val="4"/>
          <w:sz w:val="24"/>
        </w:rPr>
        <w:t>outlined </w:t>
      </w:r>
      <w:r>
        <w:rPr>
          <w:sz w:val="24"/>
        </w:rPr>
        <w:t>in the minutes </w:t>
      </w:r>
      <w:r>
        <w:rPr>
          <w:spacing w:val="2"/>
          <w:sz w:val="24"/>
        </w:rPr>
        <w:t>of </w:t>
      </w:r>
      <w:r>
        <w:rPr>
          <w:sz w:val="24"/>
        </w:rPr>
        <w:t>the September meeting that the Y2K period should not constrain UK monetary policy setting. However, there was a related consideration concerning the data. The uncertainties about the size </w:t>
      </w:r>
      <w:r>
        <w:rPr>
          <w:spacing w:val="3"/>
          <w:sz w:val="24"/>
        </w:rPr>
        <w:t>of </w:t>
      </w:r>
      <w:r>
        <w:rPr>
          <w:sz w:val="24"/>
        </w:rPr>
        <w:t>millennium-related effects might make it more than usually difficult </w:t>
      </w:r>
      <w:r>
        <w:rPr>
          <w:spacing w:val="3"/>
          <w:sz w:val="24"/>
        </w:rPr>
        <w:t>to </w:t>
      </w:r>
      <w:r>
        <w:rPr>
          <w:sz w:val="24"/>
        </w:rPr>
        <w:t>interpret the data relating </w:t>
      </w:r>
      <w:r>
        <w:rPr>
          <w:spacing w:val="3"/>
          <w:sz w:val="24"/>
        </w:rPr>
        <w:t>to </w:t>
      </w:r>
      <w:r>
        <w:rPr>
          <w:sz w:val="24"/>
        </w:rPr>
        <w:t>the period covering the year-end; particular examples were for consumer spending, investment, money and earnings.</w:t>
      </w:r>
      <w:r>
        <w:rPr>
          <w:spacing w:val="29"/>
          <w:sz w:val="24"/>
        </w:rPr>
        <w:t> </w:t>
      </w:r>
      <w:r>
        <w:rPr>
          <w:sz w:val="24"/>
        </w:rPr>
        <w:t>In</w:t>
      </w:r>
    </w:p>
    <w:p>
      <w:pPr>
        <w:pStyle w:val="BodyText"/>
        <w:spacing w:line="312" w:lineRule="auto"/>
        <w:ind w:left="136" w:right="151"/>
      </w:pPr>
      <w:r>
        <w:rPr/>
        <w:t>each</w:t>
      </w:r>
      <w:r>
        <w:rPr>
          <w:spacing w:val="-6"/>
        </w:rPr>
        <w:t> </w:t>
      </w:r>
      <w:r>
        <w:rPr/>
        <w:t>case</w:t>
      </w:r>
      <w:r>
        <w:rPr>
          <w:spacing w:val="-6"/>
        </w:rPr>
        <w:t> </w:t>
      </w:r>
      <w:r>
        <w:rPr/>
        <w:t>there</w:t>
      </w:r>
      <w:r>
        <w:rPr>
          <w:spacing w:val="-6"/>
        </w:rPr>
        <w:t> </w:t>
      </w:r>
      <w:r>
        <w:rPr/>
        <w:t>would</w:t>
      </w:r>
      <w:r>
        <w:rPr>
          <w:spacing w:val="-5"/>
        </w:rPr>
        <w:t> </w:t>
      </w:r>
      <w:r>
        <w:rPr/>
        <w:t>be</w:t>
      </w:r>
      <w:r>
        <w:rPr>
          <w:spacing w:val="-6"/>
        </w:rPr>
        <w:t> </w:t>
      </w:r>
      <w:r>
        <w:rPr/>
        <w:t>difficulty</w:t>
      </w:r>
      <w:r>
        <w:rPr>
          <w:spacing w:val="-6"/>
        </w:rPr>
        <w:t> </w:t>
      </w:r>
      <w:r>
        <w:rPr/>
        <w:t>in</w:t>
      </w:r>
      <w:r>
        <w:rPr>
          <w:spacing w:val="-5"/>
        </w:rPr>
        <w:t> </w:t>
      </w:r>
      <w:r>
        <w:rPr>
          <w:spacing w:val="2"/>
        </w:rPr>
        <w:t>reaching</w:t>
      </w:r>
      <w:r>
        <w:rPr>
          <w:spacing w:val="-4"/>
        </w:rPr>
        <w:t> </w:t>
      </w:r>
      <w:r>
        <w:rPr/>
        <w:t>a</w:t>
      </w:r>
      <w:r>
        <w:rPr>
          <w:spacing w:val="-6"/>
        </w:rPr>
        <w:t> </w:t>
      </w:r>
      <w:r>
        <w:rPr/>
        <w:t>clear</w:t>
      </w:r>
      <w:r>
        <w:rPr>
          <w:spacing w:val="-6"/>
        </w:rPr>
        <w:t> </w:t>
      </w:r>
      <w:r>
        <w:rPr/>
        <w:t>interpretation</w:t>
      </w:r>
      <w:r>
        <w:rPr>
          <w:spacing w:val="-6"/>
        </w:rPr>
        <w:t> </w:t>
      </w:r>
      <w:r>
        <w:rPr>
          <w:spacing w:val="3"/>
        </w:rPr>
        <w:t>of</w:t>
      </w:r>
      <w:r>
        <w:rPr>
          <w:spacing w:val="-1"/>
        </w:rPr>
        <w:t> </w:t>
      </w:r>
      <w:r>
        <w:rPr/>
        <w:t>the</w:t>
      </w:r>
      <w:r>
        <w:rPr>
          <w:spacing w:val="-6"/>
        </w:rPr>
        <w:t> </w:t>
      </w:r>
      <w:r>
        <w:rPr/>
        <w:t>data</w:t>
      </w:r>
      <w:r>
        <w:rPr>
          <w:spacing w:val="-5"/>
        </w:rPr>
        <w:t> </w:t>
      </w:r>
      <w:r>
        <w:rPr/>
        <w:t>immediately</w:t>
      </w:r>
      <w:r>
        <w:rPr>
          <w:spacing w:val="-6"/>
        </w:rPr>
        <w:t> </w:t>
      </w:r>
      <w:r>
        <w:rPr/>
        <w:t>after</w:t>
      </w:r>
      <w:r>
        <w:rPr>
          <w:spacing w:val="-6"/>
        </w:rPr>
        <w:t> </w:t>
      </w:r>
      <w:r>
        <w:rPr>
          <w:spacing w:val="2"/>
        </w:rPr>
        <w:t>the </w:t>
      </w:r>
      <w:r>
        <w:rPr/>
        <w:t>turn </w:t>
      </w:r>
      <w:r>
        <w:rPr>
          <w:spacing w:val="2"/>
        </w:rPr>
        <w:t>of </w:t>
      </w:r>
      <w:r>
        <w:rPr/>
        <w:t>the year. But it was always difficult </w:t>
      </w:r>
      <w:r>
        <w:rPr>
          <w:spacing w:val="3"/>
        </w:rPr>
        <w:t>to </w:t>
      </w:r>
      <w:r>
        <w:rPr/>
        <w:t>interpret the data for, say, retail sales around Christmas and the New Year. It was not clear that this fog would be that much thicker than usual, and it would not preclude making a change in interest rates in either December </w:t>
      </w:r>
      <w:r>
        <w:rPr>
          <w:spacing w:val="2"/>
        </w:rPr>
        <w:t>or</w:t>
      </w:r>
      <w:r>
        <w:rPr>
          <w:spacing w:val="3"/>
        </w:rPr>
        <w:t> </w:t>
      </w:r>
      <w:r>
        <w:rPr/>
        <w:t>January.</w:t>
      </w:r>
    </w:p>
    <w:p>
      <w:pPr>
        <w:spacing w:after="0" w:line="312" w:lineRule="auto"/>
        <w:sectPr>
          <w:pgSz w:w="11900" w:h="16840"/>
          <w:pgMar w:header="1224" w:footer="0" w:top="1600" w:bottom="280" w:left="1140" w:right="780"/>
        </w:sectPr>
      </w:pPr>
    </w:p>
    <w:p>
      <w:pPr>
        <w:pStyle w:val="Heading1"/>
        <w:spacing w:before="174"/>
        <w:ind w:left="136"/>
      </w:pPr>
      <w:r>
        <w:rPr/>
        <w:t>The immediate policy decision</w:t>
      </w:r>
    </w:p>
    <w:p>
      <w:pPr>
        <w:pStyle w:val="BodyText"/>
        <w:spacing w:before="7"/>
        <w:rPr>
          <w:b/>
          <w:sz w:val="23"/>
        </w:rPr>
      </w:pPr>
    </w:p>
    <w:p>
      <w:pPr>
        <w:pStyle w:val="ListParagraph"/>
        <w:numPr>
          <w:ilvl w:val="0"/>
          <w:numId w:val="1"/>
        </w:numPr>
        <w:tabs>
          <w:tab w:pos="497" w:val="left" w:leader="none"/>
        </w:tabs>
        <w:spacing w:line="312" w:lineRule="auto" w:before="0" w:after="0"/>
        <w:ind w:left="136" w:right="169" w:firstLine="0"/>
        <w:jc w:val="left"/>
        <w:rPr>
          <w:sz w:val="24"/>
        </w:rPr>
      </w:pPr>
      <w:r>
        <w:rPr>
          <w:sz w:val="24"/>
        </w:rPr>
        <w:t>Some members thought that the balance </w:t>
      </w:r>
      <w:r>
        <w:rPr>
          <w:spacing w:val="2"/>
          <w:sz w:val="24"/>
        </w:rPr>
        <w:t>of </w:t>
      </w:r>
      <w:r>
        <w:rPr>
          <w:sz w:val="24"/>
        </w:rPr>
        <w:t>arguments was in favour </w:t>
      </w:r>
      <w:r>
        <w:rPr>
          <w:spacing w:val="2"/>
          <w:sz w:val="24"/>
        </w:rPr>
        <w:t>of </w:t>
      </w:r>
      <w:r>
        <w:rPr>
          <w:sz w:val="24"/>
        </w:rPr>
        <w:t>a rise in interest rates </w:t>
      </w:r>
      <w:r>
        <w:rPr>
          <w:spacing w:val="3"/>
          <w:sz w:val="24"/>
        </w:rPr>
        <w:t>of </w:t>
      </w:r>
      <w:r>
        <w:rPr>
          <w:sz w:val="24"/>
        </w:rPr>
        <w:t>25 basis points this month, but attached different weights </w:t>
      </w:r>
      <w:r>
        <w:rPr>
          <w:spacing w:val="2"/>
          <w:sz w:val="24"/>
        </w:rPr>
        <w:t>to </w:t>
      </w:r>
      <w:r>
        <w:rPr>
          <w:sz w:val="24"/>
        </w:rPr>
        <w:t>the various supporting factors. F</w:t>
      </w:r>
      <w:r>
        <w:rPr>
          <w:spacing w:val="-45"/>
          <w:sz w:val="24"/>
        </w:rPr>
        <w:t> </w:t>
      </w:r>
      <w:r>
        <w:rPr>
          <w:sz w:val="24"/>
        </w:rPr>
        <w:t>irst, for those members who had contemplated voting for a 50 basis point increase in interest rates in November</w:t>
      </w:r>
      <w:r>
        <w:rPr>
          <w:spacing w:val="-4"/>
          <w:sz w:val="24"/>
        </w:rPr>
        <w:t> </w:t>
      </w:r>
      <w:r>
        <w:rPr>
          <w:sz w:val="24"/>
        </w:rPr>
        <w:t>(rather</w:t>
      </w:r>
      <w:r>
        <w:rPr>
          <w:spacing w:val="-1"/>
          <w:sz w:val="24"/>
        </w:rPr>
        <w:t> </w:t>
      </w:r>
      <w:r>
        <w:rPr>
          <w:sz w:val="24"/>
        </w:rPr>
        <w:t>than</w:t>
      </w:r>
      <w:r>
        <w:rPr>
          <w:spacing w:val="-4"/>
          <w:sz w:val="24"/>
        </w:rPr>
        <w:t> </w:t>
      </w:r>
      <w:r>
        <w:rPr>
          <w:sz w:val="24"/>
        </w:rPr>
        <w:t>25),</w:t>
      </w:r>
      <w:r>
        <w:rPr>
          <w:spacing w:val="-3"/>
          <w:sz w:val="24"/>
        </w:rPr>
        <w:t> </w:t>
      </w:r>
      <w:r>
        <w:rPr>
          <w:sz w:val="24"/>
        </w:rPr>
        <w:t>there</w:t>
      </w:r>
      <w:r>
        <w:rPr>
          <w:spacing w:val="-3"/>
          <w:sz w:val="24"/>
        </w:rPr>
        <w:t> </w:t>
      </w:r>
      <w:r>
        <w:rPr>
          <w:sz w:val="24"/>
        </w:rPr>
        <w:t>did</w:t>
      </w:r>
      <w:r>
        <w:rPr>
          <w:spacing w:val="-4"/>
          <w:sz w:val="24"/>
        </w:rPr>
        <w:t> </w:t>
      </w:r>
      <w:r>
        <w:rPr>
          <w:sz w:val="24"/>
        </w:rPr>
        <w:t>not</w:t>
      </w:r>
      <w:r>
        <w:rPr>
          <w:spacing w:val="2"/>
          <w:sz w:val="24"/>
        </w:rPr>
        <w:t> </w:t>
      </w:r>
      <w:r>
        <w:rPr>
          <w:sz w:val="24"/>
        </w:rPr>
        <w:t>need</w:t>
      </w:r>
      <w:r>
        <w:rPr>
          <w:spacing w:val="-4"/>
          <w:sz w:val="24"/>
        </w:rPr>
        <w:t> </w:t>
      </w:r>
      <w:r>
        <w:rPr>
          <w:spacing w:val="2"/>
          <w:sz w:val="24"/>
        </w:rPr>
        <w:t>to </w:t>
      </w:r>
      <w:r>
        <w:rPr>
          <w:sz w:val="24"/>
        </w:rPr>
        <w:t>be</w:t>
      </w:r>
      <w:r>
        <w:rPr>
          <w:spacing w:val="-4"/>
          <w:sz w:val="24"/>
        </w:rPr>
        <w:t> </w:t>
      </w:r>
      <w:r>
        <w:rPr>
          <w:sz w:val="24"/>
        </w:rPr>
        <w:t>much</w:t>
      </w:r>
      <w:r>
        <w:rPr>
          <w:spacing w:val="-3"/>
          <w:sz w:val="24"/>
        </w:rPr>
        <w:t> </w:t>
      </w:r>
      <w:r>
        <w:rPr>
          <w:sz w:val="24"/>
        </w:rPr>
        <w:t>news</w:t>
      </w:r>
      <w:r>
        <w:rPr>
          <w:spacing w:val="-3"/>
          <w:sz w:val="24"/>
        </w:rPr>
        <w:t> </w:t>
      </w:r>
      <w:r>
        <w:rPr>
          <w:spacing w:val="2"/>
          <w:sz w:val="24"/>
        </w:rPr>
        <w:t>on</w:t>
      </w:r>
      <w:r>
        <w:rPr>
          <w:spacing w:val="1"/>
          <w:sz w:val="24"/>
        </w:rPr>
        <w:t> </w:t>
      </w:r>
      <w:r>
        <w:rPr>
          <w:sz w:val="24"/>
        </w:rPr>
        <w:t>the</w:t>
      </w:r>
      <w:r>
        <w:rPr>
          <w:spacing w:val="-3"/>
          <w:sz w:val="24"/>
        </w:rPr>
        <w:t> </w:t>
      </w:r>
      <w:r>
        <w:rPr>
          <w:sz w:val="24"/>
        </w:rPr>
        <w:t>month</w:t>
      </w:r>
      <w:r>
        <w:rPr>
          <w:spacing w:val="-4"/>
          <w:sz w:val="24"/>
        </w:rPr>
        <w:t> </w:t>
      </w:r>
      <w:r>
        <w:rPr>
          <w:spacing w:val="2"/>
          <w:sz w:val="24"/>
        </w:rPr>
        <w:t>to </w:t>
      </w:r>
      <w:r>
        <w:rPr>
          <w:sz w:val="24"/>
        </w:rPr>
        <w:t>justify</w:t>
      </w:r>
      <w:r>
        <w:rPr>
          <w:spacing w:val="-4"/>
          <w:sz w:val="24"/>
        </w:rPr>
        <w:t> </w:t>
      </w:r>
      <w:r>
        <w:rPr>
          <w:sz w:val="24"/>
        </w:rPr>
        <w:t>a</w:t>
      </w:r>
      <w:r>
        <w:rPr>
          <w:spacing w:val="-3"/>
          <w:sz w:val="24"/>
        </w:rPr>
        <w:t> </w:t>
      </w:r>
      <w:r>
        <w:rPr>
          <w:sz w:val="24"/>
        </w:rPr>
        <w:t>further</w:t>
      </w:r>
    </w:p>
    <w:p>
      <w:pPr>
        <w:pStyle w:val="BodyText"/>
        <w:spacing w:line="312" w:lineRule="auto"/>
        <w:ind w:left="136" w:right="127"/>
      </w:pPr>
      <w:r>
        <w:rPr/>
        <w:t>25 basis point rise in rates now. Second, and related to this, the latest data did </w:t>
      </w:r>
      <w:r>
        <w:rPr>
          <w:spacing w:val="2"/>
        </w:rPr>
        <w:t>on </w:t>
      </w:r>
      <w:r>
        <w:rPr/>
        <w:t>balance suggest the central projection for inflation would be a little higher than thought a month ago. The latest evidence on activity was at least as strong as expected a month ago, and suggested that the pace of </w:t>
      </w:r>
      <w:r>
        <w:rPr>
          <w:spacing w:val="2"/>
        </w:rPr>
        <w:t>output </w:t>
      </w:r>
      <w:r>
        <w:rPr/>
        <w:t>growth might not slow as envisaged in the central case. In particular, world demand now seemed </w:t>
      </w:r>
      <w:r>
        <w:rPr>
          <w:spacing w:val="3"/>
        </w:rPr>
        <w:t>to </w:t>
      </w:r>
      <w:r>
        <w:rPr/>
        <w:t>be strengthening, and some </w:t>
      </w:r>
      <w:r>
        <w:rPr>
          <w:spacing w:val="2"/>
        </w:rPr>
        <w:t>of </w:t>
      </w:r>
      <w:r>
        <w:rPr/>
        <w:t>the influences </w:t>
      </w:r>
      <w:r>
        <w:rPr>
          <w:spacing w:val="2"/>
        </w:rPr>
        <w:t>on </w:t>
      </w:r>
      <w:r>
        <w:rPr/>
        <w:t>UK consumption growth - wealth, real incomes and borrowing - seemed </w:t>
      </w:r>
      <w:r>
        <w:rPr>
          <w:spacing w:val="2"/>
        </w:rPr>
        <w:t>to </w:t>
      </w:r>
      <w:r>
        <w:rPr/>
        <w:t>have remained strong </w:t>
      </w:r>
      <w:r>
        <w:rPr>
          <w:spacing w:val="2"/>
        </w:rPr>
        <w:t>or to </w:t>
      </w:r>
      <w:r>
        <w:rPr/>
        <w:t>have strengthened </w:t>
      </w:r>
      <w:r>
        <w:rPr>
          <w:spacing w:val="3"/>
        </w:rPr>
        <w:t>over </w:t>
      </w:r>
      <w:r>
        <w:rPr/>
        <w:t>the past month. On prices, there had been signs </w:t>
      </w:r>
      <w:r>
        <w:rPr>
          <w:spacing w:val="3"/>
        </w:rPr>
        <w:t>of </w:t>
      </w:r>
      <w:r>
        <w:rPr/>
        <w:t>a compression </w:t>
      </w:r>
      <w:r>
        <w:rPr>
          <w:spacing w:val="3"/>
        </w:rPr>
        <w:t>of </w:t>
      </w:r>
      <w:r>
        <w:rPr/>
        <w:t>retail margins, and sterling had strengthened which would put further downward pressure </w:t>
      </w:r>
      <w:r>
        <w:rPr>
          <w:spacing w:val="2"/>
        </w:rPr>
        <w:t>on </w:t>
      </w:r>
      <w:r>
        <w:rPr/>
        <w:t>the price level. But the </w:t>
      </w:r>
      <w:r>
        <w:rPr>
          <w:spacing w:val="3"/>
        </w:rPr>
        <w:t>oil </w:t>
      </w:r>
      <w:r>
        <w:rPr/>
        <w:t>price had risen further. Third, the position </w:t>
      </w:r>
      <w:r>
        <w:rPr>
          <w:spacing w:val="2"/>
        </w:rPr>
        <w:t>of </w:t>
      </w:r>
      <w:r>
        <w:rPr/>
        <w:t>the UK economy looked very different from when the last reduction in interest rates had been made in June. It was unclear whether the 50 basis point rise in rates since the summer would be sufficient </w:t>
      </w:r>
      <w:r>
        <w:rPr>
          <w:spacing w:val="3"/>
        </w:rPr>
        <w:t>to </w:t>
      </w:r>
      <w:r>
        <w:rPr/>
        <w:t>slow the economy </w:t>
      </w:r>
      <w:r>
        <w:rPr>
          <w:spacing w:val="3"/>
        </w:rPr>
        <w:t>to </w:t>
      </w:r>
      <w:r>
        <w:rPr/>
        <w:t>a more sustainable pace, and a </w:t>
      </w:r>
      <w:r>
        <w:rPr>
          <w:spacing w:val="2"/>
        </w:rPr>
        <w:t>rise </w:t>
      </w:r>
      <w:r>
        <w:rPr/>
        <w:t>in </w:t>
      </w:r>
      <w:r>
        <w:rPr>
          <w:spacing w:val="2"/>
        </w:rPr>
        <w:t>rates </w:t>
      </w:r>
      <w:r>
        <w:rPr/>
        <w:t>now might helpfully affect expectations. Fourth, the projection for inflation made in November had an upward slope at the two-year horizon. The passage </w:t>
      </w:r>
      <w:r>
        <w:rPr>
          <w:spacing w:val="2"/>
        </w:rPr>
        <w:t>of </w:t>
      </w:r>
      <w:r>
        <w:rPr/>
        <w:t>each month meant that </w:t>
      </w:r>
      <w:r>
        <w:rPr>
          <w:spacing w:val="4"/>
        </w:rPr>
        <w:t>other </w:t>
      </w:r>
      <w:r>
        <w:rPr/>
        <w:t>things being equal the projection for inflation would be higher two years ahead. So even if there were no news </w:t>
      </w:r>
      <w:r>
        <w:rPr>
          <w:spacing w:val="2"/>
        </w:rPr>
        <w:t>on </w:t>
      </w:r>
      <w:r>
        <w:rPr/>
        <w:t>the month there could be a case for a rise in interest rates. Fifth, in the view </w:t>
      </w:r>
      <w:r>
        <w:rPr>
          <w:spacing w:val="2"/>
        </w:rPr>
        <w:t>of </w:t>
      </w:r>
      <w:r>
        <w:rPr/>
        <w:t>some members, the risks </w:t>
      </w:r>
      <w:r>
        <w:rPr>
          <w:spacing w:val="2"/>
        </w:rPr>
        <w:t>of </w:t>
      </w:r>
      <w:r>
        <w:rPr/>
        <w:t>making a big monetary policy mistake were greater </w:t>
      </w:r>
      <w:r>
        <w:rPr>
          <w:spacing w:val="2"/>
        </w:rPr>
        <w:t>on </w:t>
      </w:r>
      <w:r>
        <w:rPr/>
        <w:t>the upside, and stemmed from the potential for the tightening labour market </w:t>
      </w:r>
      <w:r>
        <w:rPr>
          <w:spacing w:val="3"/>
        </w:rPr>
        <w:t>to </w:t>
      </w:r>
      <w:r>
        <w:rPr/>
        <w:t>begin </w:t>
      </w:r>
      <w:r>
        <w:rPr>
          <w:spacing w:val="3"/>
        </w:rPr>
        <w:t>to </w:t>
      </w:r>
      <w:r>
        <w:rPr/>
        <w:t>feed through rapidly </w:t>
      </w:r>
      <w:r>
        <w:rPr>
          <w:spacing w:val="3"/>
        </w:rPr>
        <w:t>to </w:t>
      </w:r>
      <w:r>
        <w:rPr/>
        <w:t>wages and prices, which suggested raising rates sooner rather than later. Overall, the case for raising rates this month, rather than delaying, was not a matter </w:t>
      </w:r>
      <w:r>
        <w:rPr>
          <w:spacing w:val="2"/>
        </w:rPr>
        <w:t>of </w:t>
      </w:r>
      <w:r>
        <w:rPr/>
        <w:t>urgency, but </w:t>
      </w:r>
      <w:r>
        <w:rPr>
          <w:spacing w:val="2"/>
        </w:rPr>
        <w:t>on </w:t>
      </w:r>
      <w:r>
        <w:rPr/>
        <w:t>balance the evidence pointed </w:t>
      </w:r>
      <w:r>
        <w:rPr>
          <w:spacing w:val="3"/>
        </w:rPr>
        <w:t>to </w:t>
      </w:r>
      <w:r>
        <w:rPr/>
        <w:t>the need for a further rise in the repo rate </w:t>
      </w:r>
      <w:r>
        <w:rPr>
          <w:spacing w:val="2"/>
        </w:rPr>
        <w:t>of </w:t>
      </w:r>
      <w:r>
        <w:rPr/>
        <w:t>25 basis</w:t>
      </w:r>
      <w:r>
        <w:rPr>
          <w:spacing w:val="21"/>
        </w:rPr>
        <w:t> </w:t>
      </w:r>
      <w:r>
        <w:rPr/>
        <w:t>points.</w:t>
      </w:r>
    </w:p>
    <w:p>
      <w:pPr>
        <w:pStyle w:val="BodyText"/>
        <w:spacing w:before="11"/>
        <w:rPr>
          <w:sz w:val="30"/>
        </w:rPr>
      </w:pPr>
    </w:p>
    <w:p>
      <w:pPr>
        <w:pStyle w:val="ListParagraph"/>
        <w:numPr>
          <w:ilvl w:val="0"/>
          <w:numId w:val="2"/>
        </w:numPr>
        <w:tabs>
          <w:tab w:pos="497" w:val="left" w:leader="none"/>
        </w:tabs>
        <w:spacing w:line="312" w:lineRule="auto" w:before="0" w:after="0"/>
        <w:ind w:left="136" w:right="135" w:firstLine="0"/>
        <w:jc w:val="left"/>
        <w:rPr>
          <w:sz w:val="24"/>
        </w:rPr>
      </w:pPr>
      <w:r>
        <w:rPr>
          <w:sz w:val="24"/>
        </w:rPr>
        <w:t>A second view was that there was no need for a change in interest rates this month. On this view, the news </w:t>
      </w:r>
      <w:r>
        <w:rPr>
          <w:spacing w:val="2"/>
          <w:sz w:val="24"/>
        </w:rPr>
        <w:t>on </w:t>
      </w:r>
      <w:r>
        <w:rPr>
          <w:sz w:val="24"/>
        </w:rPr>
        <w:t>demand and </w:t>
      </w:r>
      <w:r>
        <w:rPr>
          <w:spacing w:val="4"/>
          <w:sz w:val="24"/>
        </w:rPr>
        <w:t>output </w:t>
      </w:r>
      <w:r>
        <w:rPr>
          <w:sz w:val="24"/>
        </w:rPr>
        <w:t>was broadly as expected at the time </w:t>
      </w:r>
      <w:r>
        <w:rPr>
          <w:spacing w:val="2"/>
          <w:sz w:val="24"/>
        </w:rPr>
        <w:t>of </w:t>
      </w:r>
      <w:r>
        <w:rPr>
          <w:sz w:val="24"/>
        </w:rPr>
        <w:t>the </w:t>
      </w:r>
      <w:r>
        <w:rPr>
          <w:i/>
          <w:sz w:val="24"/>
        </w:rPr>
        <w:t>Inflation Report</w:t>
      </w:r>
      <w:r>
        <w:rPr>
          <w:sz w:val="24"/>
        </w:rPr>
        <w:t>, albeit with the risks perhaps now slightly more </w:t>
      </w:r>
      <w:r>
        <w:rPr>
          <w:spacing w:val="2"/>
          <w:sz w:val="24"/>
        </w:rPr>
        <w:t>on </w:t>
      </w:r>
      <w:r>
        <w:rPr>
          <w:sz w:val="24"/>
        </w:rPr>
        <w:t>the upside. The news </w:t>
      </w:r>
      <w:r>
        <w:rPr>
          <w:spacing w:val="2"/>
          <w:sz w:val="24"/>
        </w:rPr>
        <w:t>on </w:t>
      </w:r>
      <w:r>
        <w:rPr>
          <w:sz w:val="24"/>
        </w:rPr>
        <w:t>labour market quantities was also slightly tighter than expected. However, the likely short-term profile for inflation was if anything a little lower than thought a month ago. Indeed, the downward effects </w:t>
      </w:r>
      <w:r>
        <w:rPr>
          <w:spacing w:val="2"/>
          <w:sz w:val="24"/>
        </w:rPr>
        <w:t>on </w:t>
      </w:r>
      <w:r>
        <w:rPr>
          <w:sz w:val="24"/>
        </w:rPr>
        <w:t>prices from reductions</w:t>
      </w:r>
      <w:r>
        <w:rPr>
          <w:spacing w:val="-5"/>
          <w:sz w:val="24"/>
        </w:rPr>
        <w:t> </w:t>
      </w:r>
      <w:r>
        <w:rPr>
          <w:sz w:val="24"/>
        </w:rPr>
        <w:t>in</w:t>
      </w:r>
      <w:r>
        <w:rPr>
          <w:spacing w:val="-6"/>
          <w:sz w:val="24"/>
        </w:rPr>
        <w:t> </w:t>
      </w:r>
      <w:r>
        <w:rPr>
          <w:sz w:val="24"/>
        </w:rPr>
        <w:t>utilities</w:t>
      </w:r>
      <w:r>
        <w:rPr>
          <w:spacing w:val="-6"/>
          <w:sz w:val="24"/>
        </w:rPr>
        <w:t> </w:t>
      </w:r>
      <w:r>
        <w:rPr>
          <w:sz w:val="24"/>
        </w:rPr>
        <w:t>prices,</w:t>
      </w:r>
      <w:r>
        <w:rPr>
          <w:spacing w:val="-6"/>
          <w:sz w:val="24"/>
        </w:rPr>
        <w:t> </w:t>
      </w:r>
      <w:r>
        <w:rPr>
          <w:sz w:val="24"/>
        </w:rPr>
        <w:t>removal</w:t>
      </w:r>
      <w:r>
        <w:rPr>
          <w:spacing w:val="-4"/>
          <w:sz w:val="24"/>
        </w:rPr>
        <w:t> </w:t>
      </w:r>
      <w:r>
        <w:rPr>
          <w:spacing w:val="3"/>
          <w:sz w:val="24"/>
        </w:rPr>
        <w:t>of</w:t>
      </w:r>
      <w:r>
        <w:rPr>
          <w:spacing w:val="-2"/>
          <w:sz w:val="24"/>
        </w:rPr>
        <w:t> </w:t>
      </w:r>
      <w:r>
        <w:rPr>
          <w:sz w:val="24"/>
        </w:rPr>
        <w:t>fuel</w:t>
      </w:r>
      <w:r>
        <w:rPr>
          <w:spacing w:val="-6"/>
          <w:sz w:val="24"/>
        </w:rPr>
        <w:t> </w:t>
      </w:r>
      <w:r>
        <w:rPr>
          <w:sz w:val="24"/>
        </w:rPr>
        <w:t>and</w:t>
      </w:r>
      <w:r>
        <w:rPr>
          <w:spacing w:val="-6"/>
          <w:sz w:val="24"/>
        </w:rPr>
        <w:t> </w:t>
      </w:r>
      <w:r>
        <w:rPr>
          <w:sz w:val="24"/>
        </w:rPr>
        <w:t>tobacco</w:t>
      </w:r>
      <w:r>
        <w:rPr>
          <w:spacing w:val="-6"/>
          <w:sz w:val="24"/>
        </w:rPr>
        <w:t> </w:t>
      </w:r>
      <w:r>
        <w:rPr>
          <w:sz w:val="24"/>
        </w:rPr>
        <w:t>escalators</w:t>
      </w:r>
      <w:r>
        <w:rPr>
          <w:spacing w:val="-6"/>
          <w:sz w:val="24"/>
        </w:rPr>
        <w:t> </w:t>
      </w:r>
      <w:r>
        <w:rPr>
          <w:sz w:val="24"/>
        </w:rPr>
        <w:t>and</w:t>
      </w:r>
      <w:r>
        <w:rPr>
          <w:spacing w:val="-6"/>
          <w:sz w:val="24"/>
        </w:rPr>
        <w:t> </w:t>
      </w:r>
      <w:r>
        <w:rPr>
          <w:sz w:val="24"/>
        </w:rPr>
        <w:t>increasing</w:t>
      </w:r>
      <w:r>
        <w:rPr>
          <w:spacing w:val="-5"/>
          <w:sz w:val="24"/>
        </w:rPr>
        <w:t> </w:t>
      </w:r>
      <w:r>
        <w:rPr>
          <w:sz w:val="24"/>
        </w:rPr>
        <w:t>competition</w:t>
      </w:r>
      <w:r>
        <w:rPr>
          <w:spacing w:val="-6"/>
          <w:sz w:val="24"/>
        </w:rPr>
        <w:t> </w:t>
      </w:r>
      <w:r>
        <w:rPr>
          <w:sz w:val="24"/>
        </w:rPr>
        <w:t>could well be larger than had been built into the published central projection in November. Overall, neither the news </w:t>
      </w:r>
      <w:r>
        <w:rPr>
          <w:spacing w:val="2"/>
          <w:sz w:val="24"/>
        </w:rPr>
        <w:t>on </w:t>
      </w:r>
      <w:r>
        <w:rPr>
          <w:sz w:val="24"/>
        </w:rPr>
        <w:t>demand nor that </w:t>
      </w:r>
      <w:r>
        <w:rPr>
          <w:spacing w:val="2"/>
          <w:sz w:val="24"/>
        </w:rPr>
        <w:t>on </w:t>
      </w:r>
      <w:r>
        <w:rPr>
          <w:sz w:val="24"/>
        </w:rPr>
        <w:t>prices this month was conclusive. The data continued </w:t>
      </w:r>
      <w:r>
        <w:rPr>
          <w:spacing w:val="3"/>
          <w:sz w:val="24"/>
        </w:rPr>
        <w:t>to </w:t>
      </w:r>
      <w:r>
        <w:rPr>
          <w:sz w:val="24"/>
        </w:rPr>
        <w:t>highlight the</w:t>
      </w:r>
      <w:r>
        <w:rPr>
          <w:spacing w:val="-6"/>
          <w:sz w:val="24"/>
        </w:rPr>
        <w:t> </w:t>
      </w:r>
      <w:r>
        <w:rPr>
          <w:sz w:val="24"/>
        </w:rPr>
        <w:t>same</w:t>
      </w:r>
      <w:r>
        <w:rPr>
          <w:spacing w:val="-5"/>
          <w:sz w:val="24"/>
        </w:rPr>
        <w:t> </w:t>
      </w:r>
      <w:r>
        <w:rPr>
          <w:sz w:val="24"/>
        </w:rPr>
        <w:t>short-run</w:t>
      </w:r>
      <w:r>
        <w:rPr>
          <w:spacing w:val="-6"/>
          <w:sz w:val="24"/>
        </w:rPr>
        <w:t> </w:t>
      </w:r>
      <w:r>
        <w:rPr>
          <w:sz w:val="24"/>
        </w:rPr>
        <w:t>trade-off</w:t>
      </w:r>
      <w:r>
        <w:rPr>
          <w:spacing w:val="-5"/>
          <w:sz w:val="24"/>
        </w:rPr>
        <w:t> </w:t>
      </w:r>
      <w:r>
        <w:rPr>
          <w:sz w:val="24"/>
        </w:rPr>
        <w:t>puzzle</w:t>
      </w:r>
      <w:r>
        <w:rPr>
          <w:spacing w:val="-6"/>
          <w:sz w:val="24"/>
        </w:rPr>
        <w:t> </w:t>
      </w:r>
      <w:r>
        <w:rPr>
          <w:sz w:val="24"/>
        </w:rPr>
        <w:t>between</w:t>
      </w:r>
      <w:r>
        <w:rPr>
          <w:spacing w:val="-5"/>
          <w:sz w:val="24"/>
        </w:rPr>
        <w:t> </w:t>
      </w:r>
      <w:r>
        <w:rPr>
          <w:spacing w:val="4"/>
          <w:sz w:val="24"/>
        </w:rPr>
        <w:t>output</w:t>
      </w:r>
      <w:r>
        <w:rPr>
          <w:spacing w:val="-1"/>
          <w:sz w:val="24"/>
        </w:rPr>
        <w:t> </w:t>
      </w:r>
      <w:r>
        <w:rPr>
          <w:sz w:val="24"/>
        </w:rPr>
        <w:t>and</w:t>
      </w:r>
      <w:r>
        <w:rPr>
          <w:spacing w:val="-6"/>
          <w:sz w:val="24"/>
        </w:rPr>
        <w:t> </w:t>
      </w:r>
      <w:r>
        <w:rPr>
          <w:sz w:val="24"/>
        </w:rPr>
        <w:t>prices</w:t>
      </w:r>
      <w:r>
        <w:rPr>
          <w:spacing w:val="-5"/>
          <w:sz w:val="24"/>
        </w:rPr>
        <w:t> </w:t>
      </w:r>
      <w:r>
        <w:rPr>
          <w:sz w:val="24"/>
        </w:rPr>
        <w:t>discussed</w:t>
      </w:r>
      <w:r>
        <w:rPr>
          <w:spacing w:val="-6"/>
          <w:sz w:val="24"/>
        </w:rPr>
        <w:t> </w:t>
      </w:r>
      <w:r>
        <w:rPr>
          <w:sz w:val="24"/>
        </w:rPr>
        <w:t>last</w:t>
      </w:r>
      <w:r>
        <w:rPr>
          <w:spacing w:val="-1"/>
          <w:sz w:val="24"/>
        </w:rPr>
        <w:t> </w:t>
      </w:r>
      <w:r>
        <w:rPr>
          <w:sz w:val="24"/>
        </w:rPr>
        <w:t>month</w:t>
      </w:r>
      <w:r>
        <w:rPr>
          <w:spacing w:val="-5"/>
          <w:sz w:val="24"/>
        </w:rPr>
        <w:t> </w:t>
      </w:r>
      <w:r>
        <w:rPr>
          <w:sz w:val="24"/>
        </w:rPr>
        <w:t>in</w:t>
      </w:r>
      <w:r>
        <w:rPr>
          <w:spacing w:val="-6"/>
          <w:sz w:val="24"/>
        </w:rPr>
        <w:t> </w:t>
      </w:r>
      <w:r>
        <w:rPr>
          <w:sz w:val="24"/>
        </w:rPr>
        <w:t>the</w:t>
      </w:r>
      <w:r>
        <w:rPr>
          <w:spacing w:val="10"/>
          <w:sz w:val="24"/>
        </w:rPr>
        <w:t> </w:t>
      </w:r>
      <w:r>
        <w:rPr>
          <w:i/>
          <w:sz w:val="24"/>
        </w:rPr>
        <w:t>Report</w:t>
      </w:r>
      <w:r>
        <w:rPr>
          <w:i/>
          <w:spacing w:val="-9"/>
          <w:sz w:val="24"/>
        </w:rPr>
        <w:t> </w:t>
      </w:r>
      <w:r>
        <w:rPr>
          <w:sz w:val="24"/>
        </w:rPr>
        <w:t>and the minutes </w:t>
      </w:r>
      <w:r>
        <w:rPr>
          <w:spacing w:val="3"/>
          <w:sz w:val="24"/>
        </w:rPr>
        <w:t>of </w:t>
      </w:r>
      <w:r>
        <w:rPr>
          <w:sz w:val="24"/>
        </w:rPr>
        <w:t>the Committee’s previous meeting. Looking forward, the prospects were still for </w:t>
      </w:r>
      <w:r>
        <w:rPr>
          <w:spacing w:val="2"/>
          <w:sz w:val="24"/>
        </w:rPr>
        <w:t>rising</w:t>
      </w:r>
      <w:r>
        <w:rPr>
          <w:spacing w:val="-5"/>
          <w:sz w:val="24"/>
        </w:rPr>
        <w:t> </w:t>
      </w:r>
      <w:r>
        <w:rPr>
          <w:sz w:val="24"/>
        </w:rPr>
        <w:t>inflation</w:t>
      </w:r>
      <w:r>
        <w:rPr>
          <w:spacing w:val="-5"/>
          <w:sz w:val="24"/>
        </w:rPr>
        <w:t> </w:t>
      </w:r>
      <w:r>
        <w:rPr>
          <w:sz w:val="24"/>
        </w:rPr>
        <w:t>at</w:t>
      </w:r>
      <w:r>
        <w:rPr>
          <w:spacing w:val="-1"/>
          <w:sz w:val="24"/>
        </w:rPr>
        <w:t> </w:t>
      </w:r>
      <w:r>
        <w:rPr>
          <w:sz w:val="24"/>
        </w:rPr>
        <w:t>the</w:t>
      </w:r>
      <w:r>
        <w:rPr>
          <w:spacing w:val="-5"/>
          <w:sz w:val="24"/>
        </w:rPr>
        <w:t> </w:t>
      </w:r>
      <w:r>
        <w:rPr>
          <w:spacing w:val="2"/>
          <w:sz w:val="24"/>
        </w:rPr>
        <w:t>two-year</w:t>
      </w:r>
      <w:r>
        <w:rPr>
          <w:spacing w:val="-4"/>
          <w:sz w:val="24"/>
        </w:rPr>
        <w:t> </w:t>
      </w:r>
      <w:r>
        <w:rPr>
          <w:sz w:val="24"/>
        </w:rPr>
        <w:t>horizon,</w:t>
      </w:r>
      <w:r>
        <w:rPr>
          <w:spacing w:val="-5"/>
          <w:sz w:val="24"/>
        </w:rPr>
        <w:t> </w:t>
      </w:r>
      <w:r>
        <w:rPr>
          <w:sz w:val="24"/>
        </w:rPr>
        <w:t>so</w:t>
      </w:r>
      <w:r>
        <w:rPr>
          <w:spacing w:val="-5"/>
          <w:sz w:val="24"/>
        </w:rPr>
        <w:t> </w:t>
      </w:r>
      <w:r>
        <w:rPr>
          <w:sz w:val="24"/>
        </w:rPr>
        <w:t>a</w:t>
      </w:r>
      <w:r>
        <w:rPr>
          <w:spacing w:val="-5"/>
          <w:sz w:val="24"/>
        </w:rPr>
        <w:t> </w:t>
      </w:r>
      <w:r>
        <w:rPr>
          <w:sz w:val="24"/>
        </w:rPr>
        <w:t>further</w:t>
      </w:r>
      <w:r>
        <w:rPr>
          <w:spacing w:val="-5"/>
          <w:sz w:val="24"/>
        </w:rPr>
        <w:t> </w:t>
      </w:r>
      <w:r>
        <w:rPr>
          <w:sz w:val="24"/>
        </w:rPr>
        <w:t>tightening</w:t>
      </w:r>
      <w:r>
        <w:rPr>
          <w:spacing w:val="-6"/>
          <w:sz w:val="24"/>
        </w:rPr>
        <w:t> </w:t>
      </w:r>
      <w:r>
        <w:rPr>
          <w:sz w:val="24"/>
        </w:rPr>
        <w:t>would</w:t>
      </w:r>
      <w:r>
        <w:rPr>
          <w:spacing w:val="-5"/>
          <w:sz w:val="24"/>
        </w:rPr>
        <w:t> </w:t>
      </w:r>
      <w:r>
        <w:rPr>
          <w:sz w:val="24"/>
        </w:rPr>
        <w:t>probably</w:t>
      </w:r>
      <w:r>
        <w:rPr>
          <w:spacing w:val="-5"/>
          <w:sz w:val="24"/>
        </w:rPr>
        <w:t> </w:t>
      </w:r>
      <w:r>
        <w:rPr>
          <w:sz w:val="24"/>
        </w:rPr>
        <w:t>be</w:t>
      </w:r>
      <w:r>
        <w:rPr>
          <w:spacing w:val="-5"/>
          <w:sz w:val="24"/>
        </w:rPr>
        <w:t> </w:t>
      </w:r>
      <w:r>
        <w:rPr>
          <w:sz w:val="24"/>
        </w:rPr>
        <w:t>needed</w:t>
      </w:r>
      <w:r>
        <w:rPr>
          <w:spacing w:val="-6"/>
          <w:sz w:val="24"/>
        </w:rPr>
        <w:t> </w:t>
      </w:r>
      <w:r>
        <w:rPr>
          <w:sz w:val="24"/>
        </w:rPr>
        <w:t>at some</w:t>
      </w:r>
    </w:p>
    <w:p>
      <w:pPr>
        <w:spacing w:after="0" w:line="312" w:lineRule="auto"/>
        <w:jc w:val="left"/>
        <w:rPr>
          <w:sz w:val="24"/>
        </w:rPr>
        <w:sectPr>
          <w:pgSz w:w="11900" w:h="16840"/>
          <w:pgMar w:header="1224" w:footer="0" w:top="1600" w:bottom="280" w:left="1140" w:right="780"/>
        </w:sectPr>
      </w:pPr>
    </w:p>
    <w:p>
      <w:pPr>
        <w:pStyle w:val="BodyText"/>
        <w:spacing w:line="312" w:lineRule="auto" w:before="169"/>
        <w:ind w:left="136" w:right="103"/>
      </w:pPr>
      <w:r>
        <w:rPr/>
        <w:t>stage if the economy continued along the path outlined in the published November central projection. In particular, given the latest news on labour market quantities and skill shortages, it was possible that the central projection for earnings growth in 2000 made at the time of the November </w:t>
      </w:r>
      <w:r>
        <w:rPr>
          <w:i/>
        </w:rPr>
        <w:t>Inflation </w:t>
      </w:r>
      <w:r>
        <w:rPr>
          <w:i/>
        </w:rPr>
        <w:t>Report </w:t>
      </w:r>
      <w:r>
        <w:rPr/>
        <w:t>was now too low. But there would be more hard evidence on earnings fairly soon as many settlements were agreed early in the New Year, and the risk of waiting another month or two would be unlikely to give rise to a big policy mistake given the saucer-shaped projection for inflation.</w:t>
      </w:r>
    </w:p>
    <w:p>
      <w:pPr>
        <w:pStyle w:val="BodyText"/>
        <w:spacing w:line="312" w:lineRule="auto"/>
        <w:ind w:left="137" w:right="341" w:hanging="1"/>
      </w:pPr>
      <w:r>
        <w:rPr/>
        <w:t>There was time to wait and see if signs of earnings and price pressures emerged. There was therefore no need to change interest rates this month.</w:t>
      </w:r>
    </w:p>
    <w:p>
      <w:pPr>
        <w:pStyle w:val="BodyText"/>
        <w:spacing w:before="11"/>
        <w:rPr>
          <w:sz w:val="30"/>
        </w:rPr>
      </w:pPr>
    </w:p>
    <w:p>
      <w:pPr>
        <w:pStyle w:val="ListParagraph"/>
        <w:numPr>
          <w:ilvl w:val="0"/>
          <w:numId w:val="2"/>
        </w:numPr>
        <w:tabs>
          <w:tab w:pos="497" w:val="left" w:leader="none"/>
        </w:tabs>
        <w:spacing w:line="312" w:lineRule="auto" w:before="0" w:after="0"/>
        <w:ind w:left="136" w:right="198" w:firstLine="0"/>
        <w:jc w:val="left"/>
        <w:rPr>
          <w:sz w:val="24"/>
        </w:rPr>
      </w:pPr>
      <w:r>
        <w:rPr>
          <w:sz w:val="24"/>
        </w:rPr>
        <w:t>A third view also led </w:t>
      </w:r>
      <w:r>
        <w:rPr>
          <w:spacing w:val="2"/>
          <w:sz w:val="24"/>
        </w:rPr>
        <w:t>to </w:t>
      </w:r>
      <w:r>
        <w:rPr>
          <w:sz w:val="24"/>
        </w:rPr>
        <w:t>a conclusion that no change in interest rates was needed this month. On this view, the latest indicators were consistent with a slowdown in the rate </w:t>
      </w:r>
      <w:r>
        <w:rPr>
          <w:spacing w:val="2"/>
          <w:sz w:val="24"/>
        </w:rPr>
        <w:t>of </w:t>
      </w:r>
      <w:r>
        <w:rPr>
          <w:sz w:val="24"/>
        </w:rPr>
        <w:t>growth </w:t>
      </w:r>
      <w:r>
        <w:rPr>
          <w:spacing w:val="2"/>
          <w:sz w:val="24"/>
        </w:rPr>
        <w:t>of </w:t>
      </w:r>
      <w:r>
        <w:rPr>
          <w:sz w:val="24"/>
        </w:rPr>
        <w:t>domestic demand and </w:t>
      </w:r>
      <w:r>
        <w:rPr>
          <w:spacing w:val="3"/>
          <w:sz w:val="24"/>
        </w:rPr>
        <w:t>output </w:t>
      </w:r>
      <w:r>
        <w:rPr>
          <w:sz w:val="24"/>
        </w:rPr>
        <w:t>through the fourth quarter of 1999 and beyond, and the short-term profile for inflation was at least as weak as in the central projection in the </w:t>
      </w:r>
      <w:r>
        <w:rPr>
          <w:i/>
          <w:sz w:val="24"/>
        </w:rPr>
        <w:t>Inflation Report</w:t>
      </w:r>
      <w:r>
        <w:rPr>
          <w:sz w:val="24"/>
        </w:rPr>
        <w:t>. The exchange rate had</w:t>
      </w:r>
      <w:r>
        <w:rPr>
          <w:spacing w:val="-7"/>
          <w:sz w:val="24"/>
        </w:rPr>
        <w:t> </w:t>
      </w:r>
      <w:r>
        <w:rPr>
          <w:sz w:val="24"/>
        </w:rPr>
        <w:t>appreciated</w:t>
      </w:r>
      <w:r>
        <w:rPr>
          <w:spacing w:val="-7"/>
          <w:sz w:val="24"/>
        </w:rPr>
        <w:t> </w:t>
      </w:r>
      <w:r>
        <w:rPr>
          <w:sz w:val="24"/>
        </w:rPr>
        <w:t>compared</w:t>
      </w:r>
      <w:r>
        <w:rPr>
          <w:spacing w:val="-7"/>
          <w:sz w:val="24"/>
        </w:rPr>
        <w:t> </w:t>
      </w:r>
      <w:r>
        <w:rPr>
          <w:sz w:val="24"/>
        </w:rPr>
        <w:t>with</w:t>
      </w:r>
      <w:r>
        <w:rPr>
          <w:spacing w:val="-7"/>
          <w:sz w:val="24"/>
        </w:rPr>
        <w:t> </w:t>
      </w:r>
      <w:r>
        <w:rPr>
          <w:sz w:val="24"/>
        </w:rPr>
        <w:t>the</w:t>
      </w:r>
      <w:r>
        <w:rPr>
          <w:spacing w:val="-6"/>
          <w:sz w:val="24"/>
        </w:rPr>
        <w:t> </w:t>
      </w:r>
      <w:r>
        <w:rPr>
          <w:sz w:val="24"/>
        </w:rPr>
        <w:t>central</w:t>
      </w:r>
      <w:r>
        <w:rPr>
          <w:spacing w:val="-7"/>
          <w:sz w:val="24"/>
        </w:rPr>
        <w:t> </w:t>
      </w:r>
      <w:r>
        <w:rPr>
          <w:sz w:val="24"/>
        </w:rPr>
        <w:t>assumption,</w:t>
      </w:r>
      <w:r>
        <w:rPr>
          <w:spacing w:val="-7"/>
          <w:sz w:val="24"/>
        </w:rPr>
        <w:t> </w:t>
      </w:r>
      <w:r>
        <w:rPr>
          <w:sz w:val="24"/>
        </w:rPr>
        <w:t>and</w:t>
      </w:r>
      <w:r>
        <w:rPr>
          <w:spacing w:val="-7"/>
          <w:sz w:val="24"/>
        </w:rPr>
        <w:t> </w:t>
      </w:r>
      <w:r>
        <w:rPr>
          <w:sz w:val="24"/>
        </w:rPr>
        <w:t>was</w:t>
      </w:r>
      <w:r>
        <w:rPr>
          <w:spacing w:val="-6"/>
          <w:sz w:val="24"/>
        </w:rPr>
        <w:t> </w:t>
      </w:r>
      <w:r>
        <w:rPr>
          <w:sz w:val="24"/>
        </w:rPr>
        <w:t>closest</w:t>
      </w:r>
      <w:r>
        <w:rPr>
          <w:spacing w:val="-2"/>
          <w:sz w:val="24"/>
        </w:rPr>
        <w:t> </w:t>
      </w:r>
      <w:r>
        <w:rPr>
          <w:spacing w:val="2"/>
          <w:sz w:val="24"/>
        </w:rPr>
        <w:t>to</w:t>
      </w:r>
      <w:r>
        <w:rPr>
          <w:spacing w:val="-1"/>
          <w:sz w:val="24"/>
        </w:rPr>
        <w:t> </w:t>
      </w:r>
      <w:r>
        <w:rPr>
          <w:sz w:val="24"/>
        </w:rPr>
        <w:t>the</w:t>
      </w:r>
      <w:r>
        <w:rPr>
          <w:spacing w:val="-7"/>
          <w:sz w:val="24"/>
        </w:rPr>
        <w:t> </w:t>
      </w:r>
      <w:r>
        <w:rPr>
          <w:sz w:val="24"/>
        </w:rPr>
        <w:t>constant</w:t>
      </w:r>
      <w:r>
        <w:rPr>
          <w:spacing w:val="-3"/>
          <w:sz w:val="24"/>
        </w:rPr>
        <w:t> </w:t>
      </w:r>
      <w:r>
        <w:rPr>
          <w:sz w:val="24"/>
        </w:rPr>
        <w:t>exchange</w:t>
      </w:r>
      <w:r>
        <w:rPr>
          <w:spacing w:val="-6"/>
          <w:sz w:val="24"/>
        </w:rPr>
        <w:t> </w:t>
      </w:r>
      <w:r>
        <w:rPr>
          <w:sz w:val="24"/>
        </w:rPr>
        <w:t>rate profile described in the November </w:t>
      </w:r>
      <w:r>
        <w:rPr>
          <w:i/>
          <w:sz w:val="24"/>
        </w:rPr>
        <w:t>Inflation Report </w:t>
      </w:r>
      <w:r>
        <w:rPr>
          <w:sz w:val="24"/>
        </w:rPr>
        <w:t>(see pages 48 and 58). A higher exchange rate would put more downward pressure </w:t>
      </w:r>
      <w:r>
        <w:rPr>
          <w:spacing w:val="2"/>
          <w:sz w:val="24"/>
        </w:rPr>
        <w:t>on </w:t>
      </w:r>
      <w:r>
        <w:rPr>
          <w:sz w:val="24"/>
        </w:rPr>
        <w:t>prices than implied by the November central projection. On this view it was prudent </w:t>
      </w:r>
      <w:r>
        <w:rPr>
          <w:spacing w:val="2"/>
          <w:sz w:val="24"/>
        </w:rPr>
        <w:t>to </w:t>
      </w:r>
      <w:r>
        <w:rPr>
          <w:sz w:val="24"/>
        </w:rPr>
        <w:t>wait and gauge the impact </w:t>
      </w:r>
      <w:r>
        <w:rPr>
          <w:spacing w:val="2"/>
          <w:sz w:val="24"/>
        </w:rPr>
        <w:t>of </w:t>
      </w:r>
      <w:r>
        <w:rPr>
          <w:sz w:val="24"/>
        </w:rPr>
        <w:t>the two previous increases in interest rates since the summer, and </w:t>
      </w:r>
      <w:r>
        <w:rPr>
          <w:spacing w:val="3"/>
          <w:sz w:val="24"/>
        </w:rPr>
        <w:t>to </w:t>
      </w:r>
      <w:r>
        <w:rPr>
          <w:sz w:val="24"/>
        </w:rPr>
        <w:t>see whether there would be a further intensification </w:t>
      </w:r>
      <w:r>
        <w:rPr>
          <w:spacing w:val="2"/>
          <w:sz w:val="24"/>
        </w:rPr>
        <w:t>of </w:t>
      </w:r>
      <w:r>
        <w:rPr>
          <w:sz w:val="24"/>
        </w:rPr>
        <w:t>competitive pressures. A rise in interest rates now would risk pushing inflation further below the</w:t>
      </w:r>
      <w:r>
        <w:rPr>
          <w:spacing w:val="-7"/>
          <w:sz w:val="24"/>
        </w:rPr>
        <w:t> </w:t>
      </w:r>
      <w:r>
        <w:rPr>
          <w:sz w:val="24"/>
        </w:rPr>
        <w:t>target.</w:t>
      </w:r>
    </w:p>
    <w:p>
      <w:pPr>
        <w:pStyle w:val="BodyText"/>
        <w:spacing w:before="6"/>
        <w:rPr>
          <w:sz w:val="31"/>
        </w:rPr>
      </w:pPr>
    </w:p>
    <w:p>
      <w:pPr>
        <w:pStyle w:val="ListParagraph"/>
        <w:numPr>
          <w:ilvl w:val="0"/>
          <w:numId w:val="2"/>
        </w:numPr>
        <w:tabs>
          <w:tab w:pos="497" w:val="left" w:leader="none"/>
        </w:tabs>
        <w:spacing w:line="309" w:lineRule="auto" w:before="0" w:after="0"/>
        <w:ind w:left="136" w:right="114" w:firstLine="0"/>
        <w:jc w:val="left"/>
        <w:rPr>
          <w:sz w:val="24"/>
        </w:rPr>
      </w:pPr>
      <w:r>
        <w:rPr>
          <w:sz w:val="24"/>
        </w:rPr>
        <w:t>The Governor invited members </w:t>
      </w:r>
      <w:r>
        <w:rPr>
          <w:spacing w:val="2"/>
          <w:sz w:val="24"/>
        </w:rPr>
        <w:t>to </w:t>
      </w:r>
      <w:r>
        <w:rPr>
          <w:sz w:val="24"/>
        </w:rPr>
        <w:t>vote </w:t>
      </w:r>
      <w:r>
        <w:rPr>
          <w:spacing w:val="2"/>
          <w:sz w:val="24"/>
        </w:rPr>
        <w:t>on </w:t>
      </w:r>
      <w:r>
        <w:rPr>
          <w:sz w:val="24"/>
        </w:rPr>
        <w:t>the proposition that the </w:t>
      </w:r>
      <w:r>
        <w:rPr>
          <w:spacing w:val="-6"/>
          <w:sz w:val="24"/>
        </w:rPr>
        <w:t>Bank’s</w:t>
      </w:r>
      <w:r>
        <w:rPr>
          <w:spacing w:val="-17"/>
          <w:sz w:val="24"/>
        </w:rPr>
        <w:t> </w:t>
      </w:r>
      <w:r>
        <w:rPr>
          <w:sz w:val="24"/>
        </w:rPr>
        <w:t>repo rate be maintained at 5.5%. Six members </w:t>
      </w:r>
      <w:r>
        <w:rPr>
          <w:spacing w:val="2"/>
          <w:sz w:val="24"/>
        </w:rPr>
        <w:t>of </w:t>
      </w:r>
      <w:r>
        <w:rPr>
          <w:sz w:val="24"/>
        </w:rPr>
        <w:t>the Committee (the Governor, David </w:t>
      </w:r>
      <w:r>
        <w:rPr>
          <w:spacing w:val="2"/>
          <w:sz w:val="24"/>
        </w:rPr>
        <w:t>Clementi, </w:t>
      </w:r>
      <w:r>
        <w:rPr>
          <w:sz w:val="24"/>
        </w:rPr>
        <w:t>Charles</w:t>
      </w:r>
      <w:r>
        <w:rPr>
          <w:spacing w:val="8"/>
          <w:sz w:val="24"/>
        </w:rPr>
        <w:t> </w:t>
      </w:r>
      <w:r>
        <w:rPr>
          <w:sz w:val="24"/>
        </w:rPr>
        <w:t>Goodhart,</w:t>
      </w:r>
    </w:p>
    <w:p>
      <w:pPr>
        <w:pStyle w:val="BodyText"/>
        <w:spacing w:line="312" w:lineRule="auto" w:before="3"/>
        <w:ind w:left="136"/>
      </w:pPr>
      <w:r>
        <w:rPr/>
        <w:t>DeAnne Julius, Ian </w:t>
      </w:r>
      <w:r>
        <w:rPr>
          <w:spacing w:val="2"/>
        </w:rPr>
        <w:t>Plenderleith </w:t>
      </w:r>
      <w:r>
        <w:rPr/>
        <w:t>and </w:t>
      </w:r>
      <w:r>
        <w:rPr>
          <w:spacing w:val="3"/>
        </w:rPr>
        <w:t>Sushil </w:t>
      </w:r>
      <w:r>
        <w:rPr/>
        <w:t>Wadhwani) voted for the proposition.</w:t>
      </w:r>
      <w:r>
        <w:rPr>
          <w:spacing w:val="-20"/>
        </w:rPr>
        <w:t> </w:t>
      </w:r>
      <w:r>
        <w:rPr/>
        <w:t>Mervyn King, </w:t>
      </w:r>
      <w:r>
        <w:rPr>
          <w:spacing w:val="4"/>
        </w:rPr>
        <w:t>Willem </w:t>
      </w:r>
      <w:r>
        <w:rPr/>
        <w:t>Buiter and John Vickers voted against, preferring a rise in rates </w:t>
      </w:r>
      <w:r>
        <w:rPr>
          <w:spacing w:val="2"/>
        </w:rPr>
        <w:t>of </w:t>
      </w:r>
      <w:r>
        <w:rPr/>
        <w:t>25 basis</w:t>
      </w:r>
      <w:r>
        <w:rPr>
          <w:spacing w:val="-37"/>
        </w:rPr>
        <w:t> </w:t>
      </w:r>
      <w:r>
        <w:rPr/>
        <w:t>points.</w:t>
      </w:r>
    </w:p>
    <w:p>
      <w:pPr>
        <w:pStyle w:val="ListParagraph"/>
        <w:numPr>
          <w:ilvl w:val="0"/>
          <w:numId w:val="2"/>
        </w:numPr>
        <w:tabs>
          <w:tab w:pos="497" w:val="left" w:leader="none"/>
        </w:tabs>
        <w:spacing w:line="550" w:lineRule="atLeast" w:before="7" w:after="0"/>
        <w:ind w:left="136" w:right="4108" w:firstLine="0"/>
        <w:jc w:val="left"/>
        <w:rPr>
          <w:sz w:val="24"/>
        </w:rPr>
      </w:pPr>
      <w:r>
        <w:rPr>
          <w:sz w:val="24"/>
        </w:rPr>
        <w:t>The following members </w:t>
      </w:r>
      <w:r>
        <w:rPr>
          <w:spacing w:val="3"/>
          <w:sz w:val="24"/>
        </w:rPr>
        <w:t>of </w:t>
      </w:r>
      <w:r>
        <w:rPr>
          <w:sz w:val="24"/>
        </w:rPr>
        <w:t>the Committee were</w:t>
      </w:r>
      <w:r>
        <w:rPr>
          <w:spacing w:val="-39"/>
          <w:sz w:val="24"/>
        </w:rPr>
        <w:t> </w:t>
      </w:r>
      <w:r>
        <w:rPr>
          <w:sz w:val="24"/>
        </w:rPr>
        <w:t>present: Eddie George,</w:t>
      </w:r>
      <w:r>
        <w:rPr>
          <w:spacing w:val="4"/>
          <w:sz w:val="24"/>
        </w:rPr>
        <w:t> </w:t>
      </w:r>
      <w:r>
        <w:rPr>
          <w:sz w:val="24"/>
        </w:rPr>
        <w:t>Governor</w:t>
      </w:r>
    </w:p>
    <w:p>
      <w:pPr>
        <w:pStyle w:val="BodyText"/>
        <w:ind w:left="136" w:right="3052"/>
      </w:pPr>
      <w:r>
        <w:rPr/>
        <w:t>Mervyn King, Deputy Governor responsible for monetary policy David Clementi, Deputy Governor responsible for financial stability Willem Buiter</w:t>
      </w:r>
    </w:p>
    <w:p>
      <w:pPr>
        <w:pStyle w:val="BodyText"/>
        <w:spacing w:before="2"/>
        <w:ind w:left="136" w:right="8124"/>
      </w:pPr>
      <w:r>
        <w:rPr/>
        <w:t>Charles Goodhart DeAnne Julius Ian Plenderleith John Vickers Sushil Wadhwani</w:t>
      </w:r>
    </w:p>
    <w:p>
      <w:pPr>
        <w:pStyle w:val="BodyText"/>
      </w:pPr>
    </w:p>
    <w:p>
      <w:pPr>
        <w:pStyle w:val="BodyText"/>
        <w:ind w:left="136"/>
      </w:pPr>
      <w:r>
        <w:rPr/>
        <w:t>Gus O’Donnell was also present as the Treasury representative.</w:t>
      </w:r>
    </w:p>
    <w:p>
      <w:pPr>
        <w:spacing w:after="0"/>
        <w:sectPr>
          <w:pgSz w:w="11900" w:h="16840"/>
          <w:pgMar w:header="1224" w:footer="0" w:top="1600" w:bottom="280" w:left="1140" w:right="780"/>
        </w:sectPr>
      </w:pPr>
    </w:p>
    <w:p>
      <w:pPr>
        <w:pStyle w:val="BodyText"/>
        <w:rPr>
          <w:sz w:val="20"/>
        </w:rPr>
      </w:pPr>
    </w:p>
    <w:p>
      <w:pPr>
        <w:pStyle w:val="BodyText"/>
        <w:rPr>
          <w:sz w:val="20"/>
        </w:rPr>
      </w:pPr>
    </w:p>
    <w:p>
      <w:pPr>
        <w:pStyle w:val="BodyText"/>
        <w:rPr>
          <w:sz w:val="20"/>
        </w:rPr>
      </w:pPr>
    </w:p>
    <w:p>
      <w:pPr>
        <w:pStyle w:val="BodyText"/>
        <w:spacing w:before="9"/>
        <w:rPr>
          <w:sz w:val="22"/>
        </w:rPr>
      </w:pPr>
    </w:p>
    <w:p>
      <w:pPr>
        <w:pStyle w:val="Heading1"/>
        <w:ind w:left="107"/>
      </w:pPr>
      <w:r>
        <w:rPr/>
        <w:t>ANNEX: SUMMARY OF DATA PRESENTED BY BANK STAFF</w:t>
      </w:r>
    </w:p>
    <w:p>
      <w:pPr>
        <w:pStyle w:val="BodyText"/>
        <w:rPr>
          <w:b/>
          <w:sz w:val="26"/>
        </w:rPr>
      </w:pPr>
    </w:p>
    <w:p>
      <w:pPr>
        <w:pStyle w:val="BodyText"/>
        <w:spacing w:before="9"/>
        <w:rPr>
          <w:b/>
          <w:sz w:val="21"/>
        </w:rPr>
      </w:pPr>
    </w:p>
    <w:p>
      <w:pPr>
        <w:pStyle w:val="BodyText"/>
        <w:tabs>
          <w:tab w:pos="827" w:val="left" w:leader="none"/>
        </w:tabs>
        <w:spacing w:line="360" w:lineRule="auto"/>
        <w:ind w:left="107" w:right="626"/>
      </w:pPr>
      <w:r>
        <w:rPr/>
        <w:t>A1</w:t>
        <w:tab/>
      </w:r>
      <w:r>
        <w:rPr>
          <w:spacing w:val="3"/>
        </w:rPr>
        <w:t>This </w:t>
      </w:r>
      <w:r>
        <w:rPr/>
        <w:t>Annex summarises the analysis presented by the Bank staff </w:t>
      </w:r>
      <w:r>
        <w:rPr>
          <w:spacing w:val="3"/>
        </w:rPr>
        <w:t>to </w:t>
      </w:r>
      <w:r>
        <w:rPr/>
        <w:t>the Monetary </w:t>
      </w:r>
      <w:r>
        <w:rPr>
          <w:spacing w:val="2"/>
        </w:rPr>
        <w:t>Policy </w:t>
      </w:r>
      <w:r>
        <w:rPr/>
        <w:t>Committee </w:t>
      </w:r>
      <w:r>
        <w:rPr>
          <w:spacing w:val="3"/>
        </w:rPr>
        <w:t>on </w:t>
      </w:r>
      <w:r>
        <w:rPr/>
        <w:t>3 December, in advance </w:t>
      </w:r>
      <w:r>
        <w:rPr>
          <w:spacing w:val="2"/>
        </w:rPr>
        <w:t>of </w:t>
      </w:r>
      <w:r>
        <w:rPr/>
        <w:t>its meeting </w:t>
      </w:r>
      <w:r>
        <w:rPr>
          <w:spacing w:val="3"/>
        </w:rPr>
        <w:t>on </w:t>
      </w:r>
      <w:r>
        <w:rPr/>
        <w:t>8-9 December 1999. At the start of the Committee meeting itself, members were made aware </w:t>
      </w:r>
      <w:r>
        <w:rPr>
          <w:spacing w:val="3"/>
        </w:rPr>
        <w:t>of </w:t>
      </w:r>
      <w:r>
        <w:rPr/>
        <w:t>information that had subsequently become available, and that information is included in th is</w:t>
      </w:r>
      <w:r>
        <w:rPr>
          <w:spacing w:val="8"/>
        </w:rPr>
        <w:t> </w:t>
      </w:r>
      <w:r>
        <w:rPr>
          <w:spacing w:val="2"/>
        </w:rPr>
        <w:t>Annex.</w:t>
      </w:r>
    </w:p>
    <w:p>
      <w:pPr>
        <w:pStyle w:val="BodyText"/>
        <w:spacing w:before="3"/>
        <w:rPr>
          <w:sz w:val="36"/>
        </w:rPr>
      </w:pPr>
    </w:p>
    <w:p>
      <w:pPr>
        <w:pStyle w:val="Heading1"/>
        <w:numPr>
          <w:ilvl w:val="0"/>
          <w:numId w:val="3"/>
        </w:numPr>
        <w:tabs>
          <w:tab w:pos="827" w:val="left" w:leader="none"/>
          <w:tab w:pos="828" w:val="left" w:leader="none"/>
        </w:tabs>
        <w:spacing w:line="240" w:lineRule="auto" w:before="1" w:after="0"/>
        <w:ind w:left="828" w:right="0" w:hanging="720"/>
        <w:jc w:val="left"/>
      </w:pPr>
      <w:r>
        <w:rPr/>
        <w:t>The international</w:t>
      </w:r>
      <w:r>
        <w:rPr>
          <w:spacing w:val="24"/>
        </w:rPr>
        <w:t> </w:t>
      </w:r>
      <w:r>
        <w:rPr/>
        <w:t>environment</w:t>
      </w:r>
    </w:p>
    <w:p>
      <w:pPr>
        <w:pStyle w:val="BodyText"/>
        <w:rPr>
          <w:b/>
          <w:sz w:val="26"/>
        </w:rPr>
      </w:pPr>
    </w:p>
    <w:p>
      <w:pPr>
        <w:pStyle w:val="BodyText"/>
        <w:spacing w:before="4"/>
        <w:rPr>
          <w:b/>
          <w:sz w:val="21"/>
        </w:rPr>
      </w:pPr>
    </w:p>
    <w:p>
      <w:pPr>
        <w:pStyle w:val="BodyText"/>
        <w:tabs>
          <w:tab w:pos="827" w:val="left" w:leader="none"/>
        </w:tabs>
        <w:spacing w:line="360" w:lineRule="auto"/>
        <w:ind w:left="107" w:right="533"/>
      </w:pPr>
      <w:r>
        <w:rPr/>
        <w:t>A2</w:t>
        <w:tab/>
        <w:t>Growth</w:t>
      </w:r>
      <w:r>
        <w:rPr>
          <w:spacing w:val="-5"/>
        </w:rPr>
        <w:t> </w:t>
      </w:r>
      <w:r>
        <w:rPr/>
        <w:t>in</w:t>
      </w:r>
      <w:r>
        <w:rPr>
          <w:spacing w:val="-5"/>
        </w:rPr>
        <w:t> </w:t>
      </w:r>
      <w:r>
        <w:rPr/>
        <w:t>the</w:t>
      </w:r>
      <w:r>
        <w:rPr>
          <w:spacing w:val="-5"/>
        </w:rPr>
        <w:t> </w:t>
      </w:r>
      <w:r>
        <w:rPr/>
        <w:t>United</w:t>
      </w:r>
      <w:r>
        <w:rPr>
          <w:spacing w:val="-5"/>
        </w:rPr>
        <w:t> </w:t>
      </w:r>
      <w:r>
        <w:rPr/>
        <w:t>States</w:t>
      </w:r>
      <w:r>
        <w:rPr>
          <w:spacing w:val="-5"/>
        </w:rPr>
        <w:t> </w:t>
      </w:r>
      <w:r>
        <w:rPr/>
        <w:t>in</w:t>
      </w:r>
      <w:r>
        <w:rPr>
          <w:spacing w:val="-5"/>
        </w:rPr>
        <w:t> </w:t>
      </w:r>
      <w:r>
        <w:rPr/>
        <w:t>Q3</w:t>
      </w:r>
      <w:r>
        <w:rPr>
          <w:spacing w:val="-5"/>
        </w:rPr>
        <w:t> </w:t>
      </w:r>
      <w:r>
        <w:rPr/>
        <w:t>had</w:t>
      </w:r>
      <w:r>
        <w:rPr>
          <w:spacing w:val="-5"/>
        </w:rPr>
        <w:t> </w:t>
      </w:r>
      <w:r>
        <w:rPr/>
        <w:t>been</w:t>
      </w:r>
      <w:r>
        <w:rPr>
          <w:spacing w:val="-5"/>
        </w:rPr>
        <w:t> </w:t>
      </w:r>
      <w:r>
        <w:rPr/>
        <w:t>stronger</w:t>
      </w:r>
      <w:r>
        <w:rPr>
          <w:spacing w:val="-5"/>
        </w:rPr>
        <w:t> </w:t>
      </w:r>
      <w:r>
        <w:rPr/>
        <w:t>than</w:t>
      </w:r>
      <w:r>
        <w:rPr>
          <w:spacing w:val="-5"/>
        </w:rPr>
        <w:t> </w:t>
      </w:r>
      <w:r>
        <w:rPr/>
        <w:t>expected,</w:t>
      </w:r>
      <w:r>
        <w:rPr>
          <w:spacing w:val="-4"/>
        </w:rPr>
        <w:t> </w:t>
      </w:r>
      <w:r>
        <w:rPr/>
        <w:t>but</w:t>
      </w:r>
      <w:r>
        <w:rPr>
          <w:spacing w:val="-1"/>
        </w:rPr>
        <w:t> </w:t>
      </w:r>
      <w:r>
        <w:rPr/>
        <w:t>GDP</w:t>
      </w:r>
      <w:r>
        <w:rPr>
          <w:spacing w:val="-5"/>
        </w:rPr>
        <w:t> </w:t>
      </w:r>
      <w:r>
        <w:rPr/>
        <w:t>had</w:t>
      </w:r>
      <w:r>
        <w:rPr>
          <w:spacing w:val="-5"/>
        </w:rPr>
        <w:t> </w:t>
      </w:r>
      <w:r>
        <w:rPr/>
        <w:t>fallen</w:t>
      </w:r>
      <w:r>
        <w:rPr>
          <w:spacing w:val="-5"/>
        </w:rPr>
        <w:t> </w:t>
      </w:r>
      <w:r>
        <w:rPr/>
        <w:t>in Japan, and there had been a mixed picture in the euro area, with activity stronger in France than in Germany. The latest data from the US and Japan had suggested that growth in gross trade volumes had </w:t>
      </w:r>
      <w:r>
        <w:rPr>
          <w:spacing w:val="2"/>
        </w:rPr>
        <w:t>remained </w:t>
      </w:r>
      <w:r>
        <w:rPr/>
        <w:t>at </w:t>
      </w:r>
      <w:r>
        <w:rPr>
          <w:spacing w:val="2"/>
        </w:rPr>
        <w:t>relatively </w:t>
      </w:r>
      <w:r>
        <w:rPr/>
        <w:t>high levels, </w:t>
      </w:r>
      <w:r>
        <w:rPr>
          <w:spacing w:val="2"/>
        </w:rPr>
        <w:t>though </w:t>
      </w:r>
      <w:r>
        <w:rPr/>
        <w:t>might have fallen back </w:t>
      </w:r>
      <w:r>
        <w:rPr>
          <w:spacing w:val="2"/>
        </w:rPr>
        <w:t>slightly </w:t>
      </w:r>
      <w:r>
        <w:rPr/>
        <w:t>in </w:t>
      </w:r>
      <w:r>
        <w:rPr>
          <w:spacing w:val="3"/>
        </w:rPr>
        <w:t>recent </w:t>
      </w:r>
      <w:r>
        <w:rPr/>
        <w:t>months. Oil prices had </w:t>
      </w:r>
      <w:r>
        <w:rPr>
          <w:spacing w:val="2"/>
        </w:rPr>
        <w:t>risen </w:t>
      </w:r>
      <w:r>
        <w:rPr/>
        <w:t>again in November, </w:t>
      </w:r>
      <w:r>
        <w:rPr>
          <w:spacing w:val="2"/>
        </w:rPr>
        <w:t>reflecting </w:t>
      </w:r>
      <w:r>
        <w:rPr/>
        <w:t>stronger global demand prospects, high compliance </w:t>
      </w:r>
      <w:r>
        <w:rPr>
          <w:spacing w:val="2"/>
        </w:rPr>
        <w:t>rates </w:t>
      </w:r>
      <w:r>
        <w:rPr/>
        <w:t>with the agreement among </w:t>
      </w:r>
      <w:r>
        <w:rPr>
          <w:spacing w:val="3"/>
        </w:rPr>
        <w:t>O</w:t>
      </w:r>
      <w:r>
        <w:rPr>
          <w:spacing w:val="3"/>
          <w:sz w:val="20"/>
        </w:rPr>
        <w:t>PEC </w:t>
      </w:r>
      <w:r>
        <w:rPr/>
        <w:t>members </w:t>
      </w:r>
      <w:r>
        <w:rPr>
          <w:spacing w:val="3"/>
        </w:rPr>
        <w:t>to </w:t>
      </w:r>
      <w:r>
        <w:rPr/>
        <w:t>limit </w:t>
      </w:r>
      <w:r>
        <w:rPr>
          <w:spacing w:val="2"/>
        </w:rPr>
        <w:t>supply, </w:t>
      </w:r>
      <w:r>
        <w:rPr/>
        <w:t>and lower </w:t>
      </w:r>
      <w:r>
        <w:rPr>
          <w:spacing w:val="2"/>
        </w:rPr>
        <w:t>oil </w:t>
      </w:r>
      <w:r>
        <w:rPr/>
        <w:t>stocks in O</w:t>
      </w:r>
      <w:r>
        <w:rPr>
          <w:sz w:val="20"/>
        </w:rPr>
        <w:t>ECD </w:t>
      </w:r>
      <w:r>
        <w:rPr/>
        <w:t>countries. World food prices had</w:t>
      </w:r>
      <w:r>
        <w:rPr>
          <w:spacing w:val="34"/>
        </w:rPr>
        <w:t> </w:t>
      </w:r>
      <w:r>
        <w:rPr/>
        <w:t>fallen.</w:t>
      </w:r>
    </w:p>
    <w:p>
      <w:pPr>
        <w:pStyle w:val="BodyText"/>
        <w:rPr>
          <w:sz w:val="26"/>
        </w:rPr>
      </w:pPr>
    </w:p>
    <w:p>
      <w:pPr>
        <w:pStyle w:val="BodyText"/>
        <w:spacing w:before="5"/>
        <w:rPr>
          <w:sz w:val="20"/>
        </w:rPr>
      </w:pPr>
    </w:p>
    <w:p>
      <w:pPr>
        <w:pStyle w:val="BodyText"/>
        <w:tabs>
          <w:tab w:pos="827" w:val="left" w:leader="none"/>
        </w:tabs>
        <w:spacing w:line="360" w:lineRule="auto"/>
        <w:ind w:left="107" w:right="574"/>
      </w:pPr>
      <w:r>
        <w:rPr/>
        <w:t>A3</w:t>
        <w:tab/>
        <w:t>US GDP growth in Q3 had been revised upwards </w:t>
      </w:r>
      <w:r>
        <w:rPr>
          <w:spacing w:val="3"/>
        </w:rPr>
        <w:t>to </w:t>
      </w:r>
      <w:r>
        <w:rPr/>
        <w:t>1.4%, largely reflecting higher contributions from net trade and stockbuilding. Annual growth in industrial production had risen </w:t>
      </w:r>
      <w:r>
        <w:rPr>
          <w:spacing w:val="3"/>
        </w:rPr>
        <w:t>to </w:t>
      </w:r>
      <w:r>
        <w:rPr/>
        <w:t>3.3% in October. Although the index </w:t>
      </w:r>
      <w:r>
        <w:rPr>
          <w:spacing w:val="2"/>
        </w:rPr>
        <w:t>of </w:t>
      </w:r>
      <w:r>
        <w:rPr/>
        <w:t>capacity utilisation in the National Association </w:t>
      </w:r>
      <w:r>
        <w:rPr>
          <w:spacing w:val="3"/>
        </w:rPr>
        <w:t>of </w:t>
      </w:r>
      <w:r>
        <w:rPr/>
        <w:t>Purchasing Managers’ survey had been stable </w:t>
      </w:r>
      <w:r>
        <w:rPr>
          <w:spacing w:val="3"/>
        </w:rPr>
        <w:t>over </w:t>
      </w:r>
      <w:r>
        <w:rPr/>
        <w:t>the last year, the survey had been pointing </w:t>
      </w:r>
      <w:r>
        <w:rPr>
          <w:spacing w:val="4"/>
        </w:rPr>
        <w:t>to </w:t>
      </w:r>
      <w:r>
        <w:rPr/>
        <w:t>lengthening delivery times and a rising backlog </w:t>
      </w:r>
      <w:r>
        <w:rPr>
          <w:spacing w:val="3"/>
        </w:rPr>
        <w:t>of </w:t>
      </w:r>
      <w:r>
        <w:rPr>
          <w:spacing w:val="5"/>
        </w:rPr>
        <w:t>orders, </w:t>
      </w:r>
      <w:r>
        <w:rPr/>
        <w:t>consistent with a rather stronger </w:t>
      </w:r>
      <w:r>
        <w:rPr>
          <w:spacing w:val="4"/>
        </w:rPr>
        <w:t>outlook </w:t>
      </w:r>
      <w:r>
        <w:rPr/>
        <w:t>for activity. Consumer confidence had risen in November, </w:t>
      </w:r>
      <w:r>
        <w:rPr>
          <w:spacing w:val="2"/>
        </w:rPr>
        <w:t>on </w:t>
      </w:r>
      <w:r>
        <w:rPr/>
        <w:t>the back </w:t>
      </w:r>
      <w:r>
        <w:rPr>
          <w:spacing w:val="2"/>
        </w:rPr>
        <w:t>of </w:t>
      </w:r>
      <w:r>
        <w:rPr/>
        <w:t>strong income expectations. Unemployment had continued </w:t>
      </w:r>
      <w:r>
        <w:rPr>
          <w:spacing w:val="3"/>
        </w:rPr>
        <w:t>to </w:t>
      </w:r>
      <w:r>
        <w:rPr/>
        <w:t>fall, reaching 4.1% in October, and had remained unchanged in November. Producer prices had fallen by 0.1% in October, reflecting falls in food and energy prices. Annual consumer price inflation had </w:t>
      </w:r>
      <w:r>
        <w:rPr>
          <w:spacing w:val="2"/>
        </w:rPr>
        <w:t>remained </w:t>
      </w:r>
      <w:r>
        <w:rPr/>
        <w:t>unchanged in October, at 2.6%.</w:t>
      </w:r>
    </w:p>
    <w:p>
      <w:pPr>
        <w:pStyle w:val="BodyText"/>
        <w:rPr>
          <w:sz w:val="26"/>
        </w:rPr>
      </w:pPr>
    </w:p>
    <w:p>
      <w:pPr>
        <w:pStyle w:val="BodyText"/>
        <w:rPr>
          <w:sz w:val="31"/>
        </w:rPr>
      </w:pPr>
    </w:p>
    <w:p>
      <w:pPr>
        <w:pStyle w:val="BodyText"/>
        <w:tabs>
          <w:tab w:pos="827" w:val="left" w:leader="none"/>
        </w:tabs>
        <w:spacing w:line="360" w:lineRule="auto"/>
        <w:ind w:left="107" w:right="547"/>
      </w:pPr>
      <w:r>
        <w:rPr/>
        <w:t>A4</w:t>
        <w:tab/>
        <w:t>German GDP had risen by 0.7% in Q3, and growth rates in Q1 and Q2 had been revised upwards. French industrial and consumer confidence indicators had grown by considerably</w:t>
      </w:r>
      <w:r>
        <w:rPr>
          <w:spacing w:val="-9"/>
        </w:rPr>
        <w:t> </w:t>
      </w:r>
      <w:r>
        <w:rPr/>
        <w:t>more</w:t>
      </w:r>
    </w:p>
    <w:p>
      <w:pPr>
        <w:spacing w:after="0" w:line="360" w:lineRule="auto"/>
        <w:sectPr>
          <w:headerReference w:type="default" r:id="rId8"/>
          <w:pgSz w:w="11900" w:h="16840"/>
          <w:pgMar w:header="0" w:footer="0" w:top="1600" w:bottom="280" w:left="1140" w:right="780"/>
        </w:sectPr>
      </w:pPr>
    </w:p>
    <w:p>
      <w:pPr>
        <w:pStyle w:val="BodyText"/>
        <w:spacing w:line="360" w:lineRule="auto" w:before="121"/>
        <w:ind w:left="107" w:right="526"/>
      </w:pPr>
      <w:r>
        <w:rPr/>
        <w:t>than those in Germany in October and November. Annual growth in industrial production in the major three euro area economies had fallen slightly to 0.9% in September, reflecting growth of 3.1% in France, 0.3% in Germany and –0.7% in Italy.  But a strong rise in German manufacturing orders in October and a rise of industrial production of 1.4% in the year to October had suggested a possible future pick up in German activity. The euro area broad money measure M3 had risen by 6.0% in the year to October. Annual inflation in the euro area had risen slightly in October to 1.4%, mainly reflecting the rise in energy prices over the year. Survey measures had suggested that inflation was expected to rise further in coming months.</w:t>
      </w:r>
    </w:p>
    <w:p>
      <w:pPr>
        <w:pStyle w:val="BodyText"/>
        <w:rPr>
          <w:sz w:val="26"/>
        </w:rPr>
      </w:pPr>
    </w:p>
    <w:p>
      <w:pPr>
        <w:pStyle w:val="BodyText"/>
        <w:spacing w:before="9"/>
        <w:rPr>
          <w:sz w:val="30"/>
        </w:rPr>
      </w:pPr>
    </w:p>
    <w:p>
      <w:pPr>
        <w:pStyle w:val="BodyText"/>
        <w:tabs>
          <w:tab w:pos="827" w:val="left" w:leader="none"/>
        </w:tabs>
        <w:spacing w:line="360" w:lineRule="auto"/>
        <w:ind w:left="107" w:right="540"/>
      </w:pPr>
      <w:r>
        <w:rPr/>
        <w:t>A5</w:t>
        <w:tab/>
        <w:t>Japanese GDP had fallen by 1% in Q3, a steeper fall than market expectations, although the level </w:t>
      </w:r>
      <w:r>
        <w:rPr>
          <w:spacing w:val="3"/>
        </w:rPr>
        <w:t>of </w:t>
      </w:r>
      <w:r>
        <w:rPr/>
        <w:t>GDP in the previous quarter had been revised up substantially. Industrial production had</w:t>
      </w:r>
      <w:r>
        <w:rPr>
          <w:spacing w:val="-5"/>
        </w:rPr>
        <w:t> </w:t>
      </w:r>
      <w:r>
        <w:rPr/>
        <w:t>fallen</w:t>
      </w:r>
      <w:r>
        <w:rPr>
          <w:spacing w:val="-5"/>
        </w:rPr>
        <w:t> </w:t>
      </w:r>
      <w:r>
        <w:rPr/>
        <w:t>by</w:t>
      </w:r>
      <w:r>
        <w:rPr>
          <w:spacing w:val="-5"/>
        </w:rPr>
        <w:t> </w:t>
      </w:r>
      <w:r>
        <w:rPr/>
        <w:t>2.3%</w:t>
      </w:r>
      <w:r>
        <w:rPr>
          <w:spacing w:val="-5"/>
        </w:rPr>
        <w:t> </w:t>
      </w:r>
      <w:r>
        <w:rPr/>
        <w:t>in</w:t>
      </w:r>
      <w:r>
        <w:rPr>
          <w:spacing w:val="-5"/>
        </w:rPr>
        <w:t> </w:t>
      </w:r>
      <w:r>
        <w:rPr/>
        <w:t>the</w:t>
      </w:r>
      <w:r>
        <w:rPr>
          <w:spacing w:val="-4"/>
        </w:rPr>
        <w:t> </w:t>
      </w:r>
      <w:r>
        <w:rPr/>
        <w:t>month</w:t>
      </w:r>
      <w:r>
        <w:rPr>
          <w:spacing w:val="-5"/>
        </w:rPr>
        <w:t> </w:t>
      </w:r>
      <w:r>
        <w:rPr>
          <w:spacing w:val="2"/>
        </w:rPr>
        <w:t>to</w:t>
      </w:r>
      <w:r>
        <w:rPr>
          <w:spacing w:val="-1"/>
        </w:rPr>
        <w:t> </w:t>
      </w:r>
      <w:r>
        <w:rPr/>
        <w:t>October,</w:t>
      </w:r>
      <w:r>
        <w:rPr>
          <w:spacing w:val="-4"/>
        </w:rPr>
        <w:t> </w:t>
      </w:r>
      <w:r>
        <w:rPr/>
        <w:t>but</w:t>
      </w:r>
      <w:r>
        <w:rPr>
          <w:spacing w:val="-1"/>
        </w:rPr>
        <w:t> </w:t>
      </w:r>
      <w:r>
        <w:rPr/>
        <w:t>it had</w:t>
      </w:r>
      <w:r>
        <w:rPr>
          <w:spacing w:val="-5"/>
        </w:rPr>
        <w:t> </w:t>
      </w:r>
      <w:r>
        <w:rPr/>
        <w:t>still</w:t>
      </w:r>
      <w:r>
        <w:rPr>
          <w:spacing w:val="-5"/>
        </w:rPr>
        <w:t> </w:t>
      </w:r>
      <w:r>
        <w:rPr/>
        <w:t>been</w:t>
      </w:r>
      <w:r>
        <w:rPr>
          <w:spacing w:val="-5"/>
        </w:rPr>
        <w:t> </w:t>
      </w:r>
      <w:r>
        <w:rPr/>
        <w:t>1.7%</w:t>
      </w:r>
      <w:r>
        <w:rPr>
          <w:spacing w:val="-5"/>
        </w:rPr>
        <w:t> </w:t>
      </w:r>
      <w:r>
        <w:rPr/>
        <w:t>higher</w:t>
      </w:r>
      <w:r>
        <w:rPr>
          <w:spacing w:val="-4"/>
        </w:rPr>
        <w:t> </w:t>
      </w:r>
      <w:r>
        <w:rPr/>
        <w:t>than</w:t>
      </w:r>
      <w:r>
        <w:rPr>
          <w:spacing w:val="-5"/>
        </w:rPr>
        <w:t> </w:t>
      </w:r>
      <w:r>
        <w:rPr/>
        <w:t>a</w:t>
      </w:r>
      <w:r>
        <w:rPr>
          <w:spacing w:val="-5"/>
        </w:rPr>
        <w:t> </w:t>
      </w:r>
      <w:r>
        <w:rPr/>
        <w:t>year</w:t>
      </w:r>
      <w:r>
        <w:rPr>
          <w:spacing w:val="-5"/>
        </w:rPr>
        <w:t> </w:t>
      </w:r>
      <w:r>
        <w:rPr/>
        <w:t>ago,</w:t>
      </w:r>
      <w:r>
        <w:rPr>
          <w:spacing w:val="-5"/>
        </w:rPr>
        <w:t> </w:t>
      </w:r>
      <w:r>
        <w:rPr/>
        <w:t>and </w:t>
      </w:r>
      <w:r>
        <w:rPr>
          <w:spacing w:val="5"/>
        </w:rPr>
        <w:t>overtime </w:t>
      </w:r>
      <w:r>
        <w:rPr/>
        <w:t>hours had risen in recent months. Inventories had continued </w:t>
      </w:r>
      <w:r>
        <w:rPr>
          <w:spacing w:val="3"/>
        </w:rPr>
        <w:t>to </w:t>
      </w:r>
      <w:r>
        <w:rPr/>
        <w:t>decline, falling by 8.8% in the year </w:t>
      </w:r>
      <w:r>
        <w:rPr>
          <w:spacing w:val="3"/>
        </w:rPr>
        <w:t>to </w:t>
      </w:r>
      <w:r>
        <w:rPr/>
        <w:t>October. The unemployment rate had remained unchanged at 4.6% in</w:t>
      </w:r>
      <w:r>
        <w:rPr>
          <w:spacing w:val="-27"/>
        </w:rPr>
        <w:t> </w:t>
      </w:r>
      <w:r>
        <w:rPr/>
        <w:t>October.</w:t>
      </w:r>
    </w:p>
    <w:p>
      <w:pPr>
        <w:pStyle w:val="BodyText"/>
        <w:spacing w:line="360" w:lineRule="auto"/>
        <w:ind w:left="107" w:right="515"/>
      </w:pPr>
      <w:r>
        <w:rPr/>
        <w:t>Base money growth had slowed to 5.5% in the year to October, but growth in broader measures had picked up slightly, and bank lending had continued to recover from the low in August. The consumer price index had fallen by 0.7% in the year to October, but excluding food had fallen by only 0.1%. The Economic Planning Authority had released details of a further ¥18 trillion economic revival package.</w:t>
      </w:r>
    </w:p>
    <w:p>
      <w:pPr>
        <w:pStyle w:val="BodyText"/>
        <w:spacing w:before="7"/>
        <w:rPr>
          <w:sz w:val="36"/>
        </w:rPr>
      </w:pPr>
    </w:p>
    <w:p>
      <w:pPr>
        <w:pStyle w:val="Heading1"/>
        <w:numPr>
          <w:ilvl w:val="0"/>
          <w:numId w:val="3"/>
        </w:numPr>
        <w:tabs>
          <w:tab w:pos="828" w:val="left" w:leader="none"/>
          <w:tab w:pos="829" w:val="left" w:leader="none"/>
        </w:tabs>
        <w:spacing w:line="240" w:lineRule="auto" w:before="0" w:after="0"/>
        <w:ind w:left="828" w:right="0" w:hanging="722"/>
        <w:jc w:val="left"/>
      </w:pPr>
      <w:r>
        <w:rPr/>
        <w:t>Monetary and financial</w:t>
      </w:r>
      <w:r>
        <w:rPr>
          <w:spacing w:val="5"/>
        </w:rPr>
        <w:t> </w:t>
      </w:r>
      <w:r>
        <w:rPr/>
        <w:t>conditions</w:t>
      </w:r>
    </w:p>
    <w:p>
      <w:pPr>
        <w:pStyle w:val="BodyText"/>
        <w:rPr>
          <w:b/>
          <w:sz w:val="26"/>
        </w:rPr>
      </w:pPr>
    </w:p>
    <w:p>
      <w:pPr>
        <w:pStyle w:val="BodyText"/>
        <w:spacing w:before="4"/>
        <w:rPr>
          <w:b/>
          <w:sz w:val="21"/>
        </w:rPr>
      </w:pPr>
    </w:p>
    <w:p>
      <w:pPr>
        <w:pStyle w:val="BodyText"/>
        <w:tabs>
          <w:tab w:pos="827" w:val="left" w:leader="none"/>
        </w:tabs>
        <w:spacing w:line="360" w:lineRule="auto"/>
        <w:ind w:left="107" w:right="624"/>
      </w:pPr>
      <w:r>
        <w:rPr/>
        <w:t>A6</w:t>
        <w:tab/>
        <w:t>Narrow money had grown strongly in November. After adjustment for seasonality and the introduction </w:t>
      </w:r>
      <w:r>
        <w:rPr>
          <w:spacing w:val="2"/>
        </w:rPr>
        <w:t>of </w:t>
      </w:r>
      <w:r>
        <w:rPr/>
        <w:t>the new 50p and £2 coins, notes and coin had increased by 1.4% </w:t>
      </w:r>
      <w:r>
        <w:rPr>
          <w:spacing w:val="2"/>
        </w:rPr>
        <w:t>on </w:t>
      </w:r>
      <w:r>
        <w:rPr/>
        <w:t>the month, and the twelve-month growth rate had risen </w:t>
      </w:r>
      <w:r>
        <w:rPr>
          <w:spacing w:val="2"/>
        </w:rPr>
        <w:t>to </w:t>
      </w:r>
      <w:r>
        <w:rPr/>
        <w:t>8.9%, the highest since 1980. The usual practice </w:t>
      </w:r>
      <w:r>
        <w:rPr>
          <w:spacing w:val="2"/>
        </w:rPr>
        <w:t>of </w:t>
      </w:r>
      <w:r>
        <w:rPr/>
        <w:t>current updating </w:t>
      </w:r>
      <w:r>
        <w:rPr>
          <w:spacing w:val="2"/>
        </w:rPr>
        <w:t>of </w:t>
      </w:r>
      <w:r>
        <w:rPr/>
        <w:t>seasonal adjustment meant that part </w:t>
      </w:r>
      <w:r>
        <w:rPr>
          <w:spacing w:val="2"/>
        </w:rPr>
        <w:t>of </w:t>
      </w:r>
      <w:r>
        <w:rPr/>
        <w:t>the rise in the seasonally unadjusted data in November had been treated as a seasonal effect, depressing the seasonally adjusted figure relative </w:t>
      </w:r>
      <w:r>
        <w:rPr>
          <w:spacing w:val="3"/>
        </w:rPr>
        <w:t>to </w:t>
      </w:r>
      <w:r>
        <w:rPr/>
        <w:t>an alternative measure based </w:t>
      </w:r>
      <w:r>
        <w:rPr>
          <w:spacing w:val="2"/>
        </w:rPr>
        <w:t>on </w:t>
      </w:r>
      <w:r>
        <w:rPr/>
        <w:t>non-updated seasonal factors.</w:t>
      </w:r>
      <w:r>
        <w:rPr>
          <w:spacing w:val="-9"/>
        </w:rPr>
        <w:t> </w:t>
      </w:r>
      <w:r>
        <w:rPr/>
        <w:t>Part of the pick up in November had </w:t>
      </w:r>
      <w:r>
        <w:rPr>
          <w:spacing w:val="2"/>
        </w:rPr>
        <w:t>reflected </w:t>
      </w:r>
      <w:r>
        <w:rPr/>
        <w:t>special </w:t>
      </w:r>
      <w:r>
        <w:rPr>
          <w:spacing w:val="2"/>
        </w:rPr>
        <w:t>effects, </w:t>
      </w:r>
      <w:r>
        <w:rPr/>
        <w:t>such as a temporary increase in cash holdings </w:t>
      </w:r>
      <w:r>
        <w:rPr>
          <w:spacing w:val="2"/>
        </w:rPr>
        <w:t>relating </w:t>
      </w:r>
      <w:r>
        <w:rPr>
          <w:spacing w:val="3"/>
        </w:rPr>
        <w:t>to </w:t>
      </w:r>
      <w:r>
        <w:rPr/>
        <w:t>government Winter Allowance payments. But even after adjusting for an estimate </w:t>
      </w:r>
      <w:r>
        <w:rPr>
          <w:spacing w:val="2"/>
        </w:rPr>
        <w:t>of </w:t>
      </w:r>
      <w:r>
        <w:rPr/>
        <w:t>the quantitative impact </w:t>
      </w:r>
      <w:r>
        <w:rPr>
          <w:spacing w:val="2"/>
        </w:rPr>
        <w:t>of </w:t>
      </w:r>
      <w:r>
        <w:rPr/>
        <w:t>these factors, narrow money growth had still been unusually</w:t>
      </w:r>
      <w:r>
        <w:rPr>
          <w:spacing w:val="-6"/>
        </w:rPr>
        <w:t> </w:t>
      </w:r>
      <w:r>
        <w:rPr/>
        <w:t>strong,</w:t>
      </w:r>
      <w:r>
        <w:rPr>
          <w:spacing w:val="-6"/>
        </w:rPr>
        <w:t> </w:t>
      </w:r>
      <w:r>
        <w:rPr/>
        <w:t>consistent with</w:t>
      </w:r>
      <w:r>
        <w:rPr>
          <w:spacing w:val="-6"/>
        </w:rPr>
        <w:t> </w:t>
      </w:r>
      <w:r>
        <w:rPr/>
        <w:t>evidence</w:t>
      </w:r>
      <w:r>
        <w:rPr>
          <w:spacing w:val="-6"/>
        </w:rPr>
        <w:t> </w:t>
      </w:r>
      <w:r>
        <w:rPr/>
        <w:t>from</w:t>
      </w:r>
      <w:r>
        <w:rPr>
          <w:spacing w:val="-5"/>
        </w:rPr>
        <w:t> </w:t>
      </w:r>
      <w:r>
        <w:rPr>
          <w:spacing w:val="4"/>
        </w:rPr>
        <w:t>other</w:t>
      </w:r>
      <w:r>
        <w:rPr>
          <w:spacing w:val="-2"/>
        </w:rPr>
        <w:t> </w:t>
      </w:r>
      <w:r>
        <w:rPr/>
        <w:t>sources</w:t>
      </w:r>
      <w:r>
        <w:rPr>
          <w:spacing w:val="-5"/>
        </w:rPr>
        <w:t> </w:t>
      </w:r>
      <w:r>
        <w:rPr>
          <w:spacing w:val="2"/>
        </w:rPr>
        <w:t>of</w:t>
      </w:r>
      <w:r>
        <w:rPr>
          <w:spacing w:val="-2"/>
        </w:rPr>
        <w:t> </w:t>
      </w:r>
      <w:r>
        <w:rPr/>
        <w:t>robust</w:t>
      </w:r>
      <w:r>
        <w:rPr>
          <w:spacing w:val="-4"/>
        </w:rPr>
        <w:t> </w:t>
      </w:r>
      <w:r>
        <w:rPr/>
        <w:t>growth</w:t>
      </w:r>
      <w:r>
        <w:rPr>
          <w:spacing w:val="-5"/>
        </w:rPr>
        <w:t> </w:t>
      </w:r>
      <w:r>
        <w:rPr/>
        <w:t>in</w:t>
      </w:r>
      <w:r>
        <w:rPr>
          <w:spacing w:val="-6"/>
        </w:rPr>
        <w:t> </w:t>
      </w:r>
      <w:r>
        <w:rPr/>
        <w:t>retail</w:t>
      </w:r>
      <w:r>
        <w:rPr>
          <w:spacing w:val="-4"/>
        </w:rPr>
        <w:t> </w:t>
      </w:r>
      <w:r>
        <w:rPr/>
        <w:t>sales.</w:t>
      </w:r>
    </w:p>
    <w:p>
      <w:pPr>
        <w:spacing w:after="0" w:line="360" w:lineRule="auto"/>
        <w:sectPr>
          <w:headerReference w:type="default" r:id="rId9"/>
          <w:pgSz w:w="11900" w:h="16840"/>
          <w:pgMar w:header="1219" w:footer="0" w:top="1600" w:bottom="280" w:left="1140" w:right="780"/>
          <w:pgNumType w:start="2"/>
        </w:sectPr>
      </w:pPr>
    </w:p>
    <w:p>
      <w:pPr>
        <w:pStyle w:val="BodyText"/>
        <w:tabs>
          <w:tab w:pos="827" w:val="left" w:leader="none"/>
        </w:tabs>
        <w:spacing w:line="360" w:lineRule="auto" w:before="121"/>
        <w:ind w:left="107" w:right="600"/>
      </w:pPr>
      <w:r>
        <w:rPr/>
        <w:t>A7</w:t>
        <w:tab/>
        <w:t>The stock </w:t>
      </w:r>
      <w:r>
        <w:rPr>
          <w:spacing w:val="2"/>
        </w:rPr>
        <w:t>of </w:t>
      </w:r>
      <w:r>
        <w:rPr/>
        <w:t>M4 had risen by £4.2 </w:t>
      </w:r>
      <w:r>
        <w:rPr>
          <w:spacing w:val="4"/>
        </w:rPr>
        <w:t>billion </w:t>
      </w:r>
      <w:r>
        <w:rPr/>
        <w:t>(0.5%) in October. The twelve-month rate had picked up slightly </w:t>
      </w:r>
      <w:r>
        <w:rPr>
          <w:spacing w:val="3"/>
        </w:rPr>
        <w:t>to </w:t>
      </w:r>
      <w:r>
        <w:rPr/>
        <w:t>3.0%. M4 lending (excluding securitisations) had grown by £7.6 </w:t>
      </w:r>
      <w:r>
        <w:rPr>
          <w:spacing w:val="5"/>
        </w:rPr>
        <w:t>billion </w:t>
      </w:r>
      <w:r>
        <w:rPr/>
        <w:t>(0.8%) in October, and the twelve-month rate had risen </w:t>
      </w:r>
      <w:r>
        <w:rPr>
          <w:spacing w:val="2"/>
        </w:rPr>
        <w:t>to </w:t>
      </w:r>
      <w:r>
        <w:rPr/>
        <w:t>7.2%. Robust lending growth had been driven by the continuing strength in lending </w:t>
      </w:r>
      <w:r>
        <w:rPr>
          <w:spacing w:val="3"/>
        </w:rPr>
        <w:t>to </w:t>
      </w:r>
      <w:r>
        <w:rPr/>
        <w:t>households and a </w:t>
      </w:r>
      <w:r>
        <w:rPr>
          <w:spacing w:val="3"/>
        </w:rPr>
        <w:t>rise of </w:t>
      </w:r>
      <w:r>
        <w:rPr/>
        <w:t>some £3 billion in lending </w:t>
      </w:r>
      <w:r>
        <w:rPr>
          <w:spacing w:val="3"/>
        </w:rPr>
        <w:t>to </w:t>
      </w:r>
      <w:r>
        <w:rPr>
          <w:spacing w:val="4"/>
        </w:rPr>
        <w:t>other </w:t>
      </w:r>
      <w:r>
        <w:rPr/>
        <w:t>financial corporations (OFCs) </w:t>
      </w:r>
      <w:r>
        <w:rPr>
          <w:spacing w:val="2"/>
        </w:rPr>
        <w:t>on </w:t>
      </w:r>
      <w:r>
        <w:rPr/>
        <w:t>the</w:t>
      </w:r>
      <w:r>
        <w:rPr>
          <w:spacing w:val="15"/>
        </w:rPr>
        <w:t> </w:t>
      </w:r>
      <w:r>
        <w:rPr/>
        <w:t>month.</w:t>
      </w:r>
    </w:p>
    <w:p>
      <w:pPr>
        <w:pStyle w:val="BodyText"/>
        <w:spacing w:before="9"/>
        <w:rPr>
          <w:sz w:val="35"/>
        </w:rPr>
      </w:pPr>
    </w:p>
    <w:p>
      <w:pPr>
        <w:pStyle w:val="BodyText"/>
        <w:tabs>
          <w:tab w:pos="827" w:val="left" w:leader="none"/>
        </w:tabs>
        <w:spacing w:line="360" w:lineRule="auto" w:before="1"/>
        <w:ind w:left="107" w:right="533"/>
      </w:pPr>
      <w:r>
        <w:rPr/>
        <w:t>A8</w:t>
        <w:tab/>
        <w:t>Households’ M4 deposits had risen by £2.2 </w:t>
      </w:r>
      <w:r>
        <w:rPr>
          <w:spacing w:val="4"/>
        </w:rPr>
        <w:t>billion </w:t>
      </w:r>
      <w:r>
        <w:rPr/>
        <w:t>(0.4%) in October. M4 lending </w:t>
      </w:r>
      <w:r>
        <w:rPr>
          <w:spacing w:val="3"/>
        </w:rPr>
        <w:t>to </w:t>
      </w:r>
      <w:r>
        <w:rPr/>
        <w:t>households </w:t>
      </w:r>
      <w:r>
        <w:rPr>
          <w:spacing w:val="2"/>
        </w:rPr>
        <w:t>(excluding </w:t>
      </w:r>
      <w:r>
        <w:rPr/>
        <w:t>securitisations) had </w:t>
      </w:r>
      <w:r>
        <w:rPr>
          <w:spacing w:val="2"/>
        </w:rPr>
        <w:t>remained strong, rising </w:t>
      </w:r>
      <w:r>
        <w:rPr/>
        <w:t>by £4.1 </w:t>
      </w:r>
      <w:r>
        <w:rPr>
          <w:spacing w:val="3"/>
        </w:rPr>
        <w:t>billion </w:t>
      </w:r>
      <w:r>
        <w:rPr/>
        <w:t>(0.8%) in October. The twelve-month rate had picked up </w:t>
      </w:r>
      <w:r>
        <w:rPr>
          <w:spacing w:val="2"/>
        </w:rPr>
        <w:t>to </w:t>
      </w:r>
      <w:r>
        <w:rPr/>
        <w:t>8.8%, the highest rate since 1991Q3, as net secured lending had continued </w:t>
      </w:r>
      <w:r>
        <w:rPr>
          <w:spacing w:val="2"/>
        </w:rPr>
        <w:t>to </w:t>
      </w:r>
      <w:r>
        <w:rPr/>
        <w:t>grow strongly. </w:t>
      </w:r>
      <w:r>
        <w:rPr>
          <w:spacing w:val="2"/>
        </w:rPr>
        <w:t>Within total </w:t>
      </w:r>
      <w:r>
        <w:rPr/>
        <w:t>lending </w:t>
      </w:r>
      <w:r>
        <w:rPr>
          <w:spacing w:val="3"/>
        </w:rPr>
        <w:t>to </w:t>
      </w:r>
      <w:r>
        <w:rPr/>
        <w:t>individuals, net secured lending had </w:t>
      </w:r>
      <w:r>
        <w:rPr>
          <w:spacing w:val="2"/>
        </w:rPr>
        <w:t>risen </w:t>
      </w:r>
      <w:r>
        <w:rPr/>
        <w:t>by £3.6 </w:t>
      </w:r>
      <w:r>
        <w:rPr>
          <w:spacing w:val="4"/>
        </w:rPr>
        <w:t>billion </w:t>
      </w:r>
      <w:r>
        <w:rPr/>
        <w:t>(0.8%) in October, and the twelve-month growth rate had increased </w:t>
      </w:r>
      <w:r>
        <w:rPr>
          <w:spacing w:val="2"/>
        </w:rPr>
        <w:t>to </w:t>
      </w:r>
      <w:r>
        <w:rPr/>
        <w:t>7.9%. The value </w:t>
      </w:r>
      <w:r>
        <w:rPr>
          <w:spacing w:val="2"/>
        </w:rPr>
        <w:t>of </w:t>
      </w:r>
      <w:r>
        <w:rPr/>
        <w:t>loan approvals had also been strong (at £10.4 </w:t>
      </w:r>
      <w:r>
        <w:rPr>
          <w:spacing w:val="3"/>
        </w:rPr>
        <w:t>billion). </w:t>
      </w:r>
      <w:r>
        <w:rPr>
          <w:spacing w:val="-5"/>
        </w:rPr>
        <w:t>October’s </w:t>
      </w:r>
      <w:r>
        <w:rPr/>
        <w:t>net secured lending and loan approvals data, combined with the historically high level </w:t>
      </w:r>
      <w:r>
        <w:rPr>
          <w:spacing w:val="3"/>
        </w:rPr>
        <w:t>of </w:t>
      </w:r>
      <w:r>
        <w:rPr>
          <w:spacing w:val="2"/>
        </w:rPr>
        <w:t>the </w:t>
      </w:r>
      <w:r>
        <w:rPr/>
        <w:t>stock </w:t>
      </w:r>
      <w:r>
        <w:rPr>
          <w:spacing w:val="2"/>
        </w:rPr>
        <w:t>of </w:t>
      </w:r>
      <w:r>
        <w:rPr/>
        <w:t>loan approvals, were consistent with continued housing market strength.  Total unsecured lending had also been strong, growing by £1.0 </w:t>
      </w:r>
      <w:r>
        <w:rPr>
          <w:spacing w:val="3"/>
        </w:rPr>
        <w:t>billion </w:t>
      </w:r>
      <w:r>
        <w:rPr/>
        <w:t>(0.9%) in October, but growth had weakened </w:t>
      </w:r>
      <w:r>
        <w:rPr>
          <w:spacing w:val="3"/>
        </w:rPr>
        <w:t>over </w:t>
      </w:r>
      <w:r>
        <w:rPr/>
        <w:t>the past year. According </w:t>
      </w:r>
      <w:r>
        <w:rPr>
          <w:spacing w:val="2"/>
        </w:rPr>
        <w:t>to </w:t>
      </w:r>
      <w:r>
        <w:rPr/>
        <w:t>provisional Bank estimates, mortgage equity withdrawal had risen sharply </w:t>
      </w:r>
      <w:r>
        <w:rPr>
          <w:spacing w:val="3"/>
        </w:rPr>
        <w:t>to </w:t>
      </w:r>
      <w:r>
        <w:rPr/>
        <w:t>£2.4 </w:t>
      </w:r>
      <w:r>
        <w:rPr>
          <w:spacing w:val="3"/>
        </w:rPr>
        <w:t>billion </w:t>
      </w:r>
      <w:r>
        <w:rPr/>
        <w:t>in Q3, leaving </w:t>
      </w:r>
      <w:r>
        <w:rPr>
          <w:spacing w:val="-5"/>
        </w:rPr>
        <w:t>‘total </w:t>
      </w:r>
      <w:r>
        <w:rPr/>
        <w:t>borrowing for consumption’ (defined as mortgage equity withdrawal plus unsecured lending) at its highest level as a percentage </w:t>
      </w:r>
      <w:r>
        <w:rPr>
          <w:spacing w:val="3"/>
        </w:rPr>
        <w:t>of </w:t>
      </w:r>
      <w:r>
        <w:rPr/>
        <w:t>disposable income since</w:t>
      </w:r>
      <w:r>
        <w:rPr>
          <w:spacing w:val="18"/>
        </w:rPr>
        <w:t> </w:t>
      </w:r>
      <w:r>
        <w:rPr/>
        <w:t>1990.</w:t>
      </w:r>
    </w:p>
    <w:p>
      <w:pPr>
        <w:pStyle w:val="BodyText"/>
        <w:spacing w:before="2"/>
        <w:rPr>
          <w:sz w:val="36"/>
        </w:rPr>
      </w:pPr>
    </w:p>
    <w:p>
      <w:pPr>
        <w:pStyle w:val="BodyText"/>
        <w:tabs>
          <w:tab w:pos="827" w:val="left" w:leader="none"/>
        </w:tabs>
        <w:spacing w:line="360" w:lineRule="auto"/>
        <w:ind w:left="107" w:right="730"/>
      </w:pPr>
      <w:r>
        <w:rPr/>
        <w:t>A9</w:t>
        <w:tab/>
        <w:t>The</w:t>
      </w:r>
      <w:r>
        <w:rPr>
          <w:spacing w:val="-9"/>
        </w:rPr>
        <w:t> </w:t>
      </w:r>
      <w:r>
        <w:rPr/>
        <w:t>M4</w:t>
      </w:r>
      <w:r>
        <w:rPr>
          <w:spacing w:val="-11"/>
        </w:rPr>
        <w:t> </w:t>
      </w:r>
      <w:r>
        <w:rPr/>
        <w:t>deposits</w:t>
      </w:r>
      <w:r>
        <w:rPr>
          <w:spacing w:val="-10"/>
        </w:rPr>
        <w:t> </w:t>
      </w:r>
      <w:r>
        <w:rPr>
          <w:spacing w:val="2"/>
        </w:rPr>
        <w:t>of</w:t>
      </w:r>
      <w:r>
        <w:rPr>
          <w:spacing w:val="-6"/>
        </w:rPr>
        <w:t> </w:t>
      </w:r>
      <w:r>
        <w:rPr/>
        <w:t>private</w:t>
      </w:r>
      <w:r>
        <w:rPr>
          <w:spacing w:val="-11"/>
        </w:rPr>
        <w:t> </w:t>
      </w:r>
      <w:r>
        <w:rPr/>
        <w:t>non-financial</w:t>
      </w:r>
      <w:r>
        <w:rPr>
          <w:spacing w:val="-10"/>
        </w:rPr>
        <w:t> </w:t>
      </w:r>
      <w:r>
        <w:rPr/>
        <w:t>corporations</w:t>
      </w:r>
      <w:r>
        <w:rPr>
          <w:spacing w:val="-10"/>
        </w:rPr>
        <w:t> </w:t>
      </w:r>
      <w:r>
        <w:rPr/>
        <w:t>(P</w:t>
      </w:r>
      <w:r>
        <w:rPr>
          <w:spacing w:val="-36"/>
        </w:rPr>
        <w:t> </w:t>
      </w:r>
      <w:r>
        <w:rPr>
          <w:sz w:val="20"/>
        </w:rPr>
        <w:t>NFC</w:t>
      </w:r>
      <w:r>
        <w:rPr/>
        <w:t>s)</w:t>
      </w:r>
      <w:r>
        <w:rPr>
          <w:spacing w:val="-9"/>
        </w:rPr>
        <w:t> </w:t>
      </w:r>
      <w:r>
        <w:rPr/>
        <w:t>had</w:t>
      </w:r>
      <w:r>
        <w:rPr>
          <w:spacing w:val="-10"/>
        </w:rPr>
        <w:t> </w:t>
      </w:r>
      <w:r>
        <w:rPr/>
        <w:t>risen</w:t>
      </w:r>
      <w:r>
        <w:rPr>
          <w:spacing w:val="-8"/>
        </w:rPr>
        <w:t> </w:t>
      </w:r>
      <w:r>
        <w:rPr/>
        <w:t>by</w:t>
      </w:r>
      <w:r>
        <w:rPr>
          <w:spacing w:val="-9"/>
        </w:rPr>
        <w:t> </w:t>
      </w:r>
      <w:r>
        <w:rPr/>
        <w:t>£1.7</w:t>
      </w:r>
      <w:r>
        <w:rPr>
          <w:spacing w:val="-13"/>
        </w:rPr>
        <w:t> </w:t>
      </w:r>
      <w:r>
        <w:rPr>
          <w:spacing w:val="5"/>
        </w:rPr>
        <w:t>billion </w:t>
      </w:r>
      <w:r>
        <w:rPr/>
        <w:t>(1.4%) in October, and the twelve-month rate had risen sharply </w:t>
      </w:r>
      <w:r>
        <w:rPr>
          <w:spacing w:val="2"/>
        </w:rPr>
        <w:t>to </w:t>
      </w:r>
      <w:r>
        <w:rPr/>
        <w:t>6.9%. M4 lending </w:t>
      </w:r>
      <w:r>
        <w:rPr>
          <w:spacing w:val="2"/>
        </w:rPr>
        <w:t>to </w:t>
      </w:r>
      <w:r>
        <w:rPr/>
        <w:t>P</w:t>
      </w:r>
      <w:r>
        <w:rPr>
          <w:sz w:val="20"/>
        </w:rPr>
        <w:t>NFC</w:t>
      </w:r>
      <w:r>
        <w:rPr/>
        <w:t>s had grown more slowly, rising by £0.4 </w:t>
      </w:r>
      <w:r>
        <w:rPr>
          <w:spacing w:val="4"/>
        </w:rPr>
        <w:t>billion </w:t>
      </w:r>
      <w:r>
        <w:rPr/>
        <w:t>(0.2%) in October. But P</w:t>
      </w:r>
      <w:r>
        <w:rPr>
          <w:sz w:val="20"/>
        </w:rPr>
        <w:t>NFC</w:t>
      </w:r>
      <w:r>
        <w:rPr/>
        <w:t>s’ total borrowing, including foreign currency borrowing and capital market finance, had </w:t>
      </w:r>
      <w:r>
        <w:rPr>
          <w:spacing w:val="2"/>
        </w:rPr>
        <w:t>remained</w:t>
      </w:r>
      <w:r>
        <w:rPr>
          <w:spacing w:val="-14"/>
        </w:rPr>
        <w:t> </w:t>
      </w:r>
      <w:r>
        <w:rPr>
          <w:spacing w:val="2"/>
        </w:rPr>
        <w:t>strong.</w:t>
      </w:r>
    </w:p>
    <w:p>
      <w:pPr>
        <w:pStyle w:val="BodyText"/>
        <w:spacing w:before="11"/>
        <w:rPr>
          <w:sz w:val="35"/>
        </w:rPr>
      </w:pPr>
    </w:p>
    <w:p>
      <w:pPr>
        <w:pStyle w:val="BodyText"/>
        <w:tabs>
          <w:tab w:pos="827" w:val="left" w:leader="none"/>
        </w:tabs>
        <w:ind w:left="107"/>
      </w:pPr>
      <w:r>
        <w:rPr/>
        <w:t>A10</w:t>
        <w:tab/>
        <w:t>OFCs’ M4 deposits had risen by £0.3 </w:t>
      </w:r>
      <w:r>
        <w:rPr>
          <w:spacing w:val="4"/>
        </w:rPr>
        <w:t>billion </w:t>
      </w:r>
      <w:r>
        <w:rPr/>
        <w:t>(0.2%) in October, although</w:t>
      </w:r>
      <w:r>
        <w:rPr>
          <w:spacing w:val="5"/>
        </w:rPr>
        <w:t> </w:t>
      </w:r>
      <w:r>
        <w:rPr/>
        <w:t>the</w:t>
      </w:r>
    </w:p>
    <w:p>
      <w:pPr>
        <w:pStyle w:val="BodyText"/>
        <w:spacing w:line="360" w:lineRule="auto" w:before="137"/>
        <w:ind w:left="107" w:right="574"/>
      </w:pPr>
      <w:r>
        <w:rPr/>
        <w:t>twelve-month rate had remained very weak at -7.2%, reflecting the sharp rundown earlier in the year. OFCs’ M4 borrowing had been much stronger in October, rising by £3.1 billion (1.6%) on a month earlier, and by 6.0% on a year earlier.</w:t>
      </w:r>
    </w:p>
    <w:p>
      <w:pPr>
        <w:pStyle w:val="BodyText"/>
        <w:rPr>
          <w:sz w:val="36"/>
        </w:rPr>
      </w:pPr>
    </w:p>
    <w:p>
      <w:pPr>
        <w:pStyle w:val="BodyText"/>
        <w:tabs>
          <w:tab w:pos="827" w:val="left" w:leader="none"/>
        </w:tabs>
        <w:spacing w:line="360" w:lineRule="auto"/>
        <w:ind w:left="107" w:right="663"/>
      </w:pPr>
      <w:r>
        <w:rPr/>
        <w:t>A11</w:t>
        <w:tab/>
        <w:t>Short-term nominal forward rates at maturities up </w:t>
      </w:r>
      <w:r>
        <w:rPr>
          <w:spacing w:val="3"/>
        </w:rPr>
        <w:t>to </w:t>
      </w:r>
      <w:r>
        <w:rPr/>
        <w:t>five years had fallen following the 25 basis point rise in the repo rate and the publication </w:t>
      </w:r>
      <w:r>
        <w:rPr>
          <w:spacing w:val="2"/>
        </w:rPr>
        <w:t>of </w:t>
      </w:r>
      <w:r>
        <w:rPr/>
        <w:t>the </w:t>
      </w:r>
      <w:r>
        <w:rPr>
          <w:i/>
        </w:rPr>
        <w:t>Inflation Report </w:t>
      </w:r>
      <w:r>
        <w:rPr/>
        <w:t>in November.</w:t>
      </w:r>
      <w:r>
        <w:rPr>
          <w:spacing w:val="18"/>
        </w:rPr>
        <w:t> </w:t>
      </w:r>
      <w:r>
        <w:rPr/>
        <w:t>But market rates had risen again following the </w:t>
      </w:r>
      <w:r>
        <w:rPr>
          <w:spacing w:val="2"/>
        </w:rPr>
        <w:t>release </w:t>
      </w:r>
      <w:r>
        <w:rPr>
          <w:spacing w:val="3"/>
        </w:rPr>
        <w:t>of </w:t>
      </w:r>
      <w:r>
        <w:rPr/>
        <w:t>the MPC minutes, most markedly</w:t>
      </w:r>
      <w:r>
        <w:rPr>
          <w:spacing w:val="-17"/>
        </w:rPr>
        <w:t> </w:t>
      </w:r>
      <w:r>
        <w:rPr/>
        <w:t>at</w:t>
      </w:r>
    </w:p>
    <w:p>
      <w:pPr>
        <w:spacing w:after="0" w:line="360" w:lineRule="auto"/>
        <w:sectPr>
          <w:pgSz w:w="11900" w:h="16840"/>
          <w:pgMar w:header="1219" w:footer="0" w:top="1600" w:bottom="280" w:left="1140" w:right="780"/>
        </w:sectPr>
      </w:pPr>
    </w:p>
    <w:p>
      <w:pPr>
        <w:pStyle w:val="BodyText"/>
        <w:spacing w:line="360" w:lineRule="auto" w:before="121"/>
        <w:ind w:left="107" w:right="542"/>
      </w:pPr>
      <w:r>
        <w:rPr/>
        <w:t>maturities of around one year. The falls in long nominal rates seen in late October had continued in the first week of November. This had partly reflected a global bond rally, but the fall in UK gilt yields had been greater than in other countries. Corporate bond yields at comparable maturities had also fallen. Long real interest rates derived from the index-linked gilt market had shown a similar pattern to long nominal rates. Although market expectations of inflation in the short to medium term (derived from nominal and index-linked gilts) had fallen immediately after November’s MPC meeting, the decline had largely been unwound later in the month. Survey measures of inflation expectations for 2000 had been broadly unchanged on the month.</w:t>
      </w:r>
    </w:p>
    <w:p>
      <w:pPr>
        <w:pStyle w:val="BodyText"/>
        <w:spacing w:before="11"/>
        <w:rPr>
          <w:sz w:val="35"/>
        </w:rPr>
      </w:pPr>
    </w:p>
    <w:p>
      <w:pPr>
        <w:pStyle w:val="BodyText"/>
        <w:tabs>
          <w:tab w:pos="827" w:val="left" w:leader="none"/>
        </w:tabs>
        <w:spacing w:line="360" w:lineRule="auto"/>
        <w:ind w:left="107" w:right="730"/>
      </w:pPr>
      <w:r>
        <w:rPr/>
        <w:t>A12</w:t>
        <w:tab/>
        <w:t>Quoted</w:t>
      </w:r>
      <w:r>
        <w:rPr>
          <w:spacing w:val="-6"/>
        </w:rPr>
        <w:t> </w:t>
      </w:r>
      <w:r>
        <w:rPr/>
        <w:t>retail</w:t>
      </w:r>
      <w:r>
        <w:rPr>
          <w:spacing w:val="-5"/>
        </w:rPr>
        <w:t> </w:t>
      </w:r>
      <w:r>
        <w:rPr/>
        <w:t>rates</w:t>
      </w:r>
      <w:r>
        <w:rPr>
          <w:spacing w:val="-5"/>
        </w:rPr>
        <w:t> </w:t>
      </w:r>
      <w:r>
        <w:rPr/>
        <w:t>data</w:t>
      </w:r>
      <w:r>
        <w:rPr>
          <w:spacing w:val="-5"/>
        </w:rPr>
        <w:t> </w:t>
      </w:r>
      <w:r>
        <w:rPr/>
        <w:t>had</w:t>
      </w:r>
      <w:r>
        <w:rPr>
          <w:spacing w:val="-6"/>
        </w:rPr>
        <w:t> </w:t>
      </w:r>
      <w:r>
        <w:rPr/>
        <w:t>suggested</w:t>
      </w:r>
      <w:r>
        <w:rPr>
          <w:spacing w:val="-6"/>
        </w:rPr>
        <w:t> </w:t>
      </w:r>
      <w:r>
        <w:rPr/>
        <w:t>that</w:t>
      </w:r>
      <w:r>
        <w:rPr>
          <w:spacing w:val="-1"/>
        </w:rPr>
        <w:t> </w:t>
      </w:r>
      <w:r>
        <w:rPr/>
        <w:t>the</w:t>
      </w:r>
      <w:r>
        <w:rPr>
          <w:spacing w:val="-6"/>
        </w:rPr>
        <w:t> </w:t>
      </w:r>
      <w:r>
        <w:rPr/>
        <w:t>November</w:t>
      </w:r>
      <w:r>
        <w:rPr>
          <w:spacing w:val="-6"/>
        </w:rPr>
        <w:t> </w:t>
      </w:r>
      <w:r>
        <w:rPr/>
        <w:t>rate</w:t>
      </w:r>
      <w:r>
        <w:rPr>
          <w:spacing w:val="-4"/>
        </w:rPr>
        <w:t> </w:t>
      </w:r>
      <w:r>
        <w:rPr/>
        <w:t>rise</w:t>
      </w:r>
      <w:r>
        <w:rPr>
          <w:spacing w:val="-5"/>
        </w:rPr>
        <w:t> </w:t>
      </w:r>
      <w:r>
        <w:rPr/>
        <w:t>had</w:t>
      </w:r>
      <w:r>
        <w:rPr>
          <w:spacing w:val="-6"/>
        </w:rPr>
        <w:t> </w:t>
      </w:r>
      <w:r>
        <w:rPr/>
        <w:t>been</w:t>
      </w:r>
      <w:r>
        <w:rPr>
          <w:spacing w:val="-6"/>
        </w:rPr>
        <w:t> </w:t>
      </w:r>
      <w:r>
        <w:rPr/>
        <w:t>almost</w:t>
      </w:r>
      <w:r>
        <w:rPr>
          <w:spacing w:val="-1"/>
        </w:rPr>
        <w:t> </w:t>
      </w:r>
      <w:r>
        <w:rPr/>
        <w:t>fully passed through </w:t>
      </w:r>
      <w:r>
        <w:rPr>
          <w:spacing w:val="2"/>
        </w:rPr>
        <w:t>to </w:t>
      </w:r>
      <w:r>
        <w:rPr/>
        <w:t>standard variable mortgage rates. Fixed-rate mortgages had risen by less, </w:t>
      </w:r>
      <w:r>
        <w:rPr>
          <w:spacing w:val="2"/>
        </w:rPr>
        <w:t>reflecting </w:t>
      </w:r>
      <w:r>
        <w:rPr/>
        <w:t>movements in swap</w:t>
      </w:r>
      <w:r>
        <w:rPr>
          <w:spacing w:val="20"/>
        </w:rPr>
        <w:t> </w:t>
      </w:r>
      <w:r>
        <w:rPr>
          <w:spacing w:val="2"/>
        </w:rPr>
        <w:t>rates.</w:t>
      </w:r>
    </w:p>
    <w:p>
      <w:pPr>
        <w:pStyle w:val="BodyText"/>
        <w:rPr>
          <w:sz w:val="36"/>
        </w:rPr>
      </w:pPr>
    </w:p>
    <w:p>
      <w:pPr>
        <w:pStyle w:val="BodyText"/>
        <w:tabs>
          <w:tab w:pos="827" w:val="left" w:leader="none"/>
        </w:tabs>
        <w:spacing w:line="360" w:lineRule="auto"/>
        <w:ind w:left="107" w:right="905"/>
      </w:pPr>
      <w:r>
        <w:rPr/>
        <w:t>A13</w:t>
        <w:tab/>
        <w:t>The FTSE All-Share index had </w:t>
      </w:r>
      <w:r>
        <w:rPr>
          <w:spacing w:val="2"/>
        </w:rPr>
        <w:t>risen </w:t>
      </w:r>
      <w:r>
        <w:rPr/>
        <w:t>by 6.2% since the November meeting. Small capitalisation</w:t>
      </w:r>
      <w:r>
        <w:rPr>
          <w:spacing w:val="-5"/>
        </w:rPr>
        <w:t> </w:t>
      </w:r>
      <w:r>
        <w:rPr/>
        <w:t>stocks</w:t>
      </w:r>
      <w:r>
        <w:rPr>
          <w:spacing w:val="-5"/>
        </w:rPr>
        <w:t> </w:t>
      </w:r>
      <w:r>
        <w:rPr/>
        <w:t>had</w:t>
      </w:r>
      <w:r>
        <w:rPr>
          <w:spacing w:val="-5"/>
        </w:rPr>
        <w:t> </w:t>
      </w:r>
      <w:r>
        <w:rPr>
          <w:spacing w:val="4"/>
        </w:rPr>
        <w:t>outperformed</w:t>
      </w:r>
      <w:r>
        <w:rPr>
          <w:spacing w:val="-1"/>
        </w:rPr>
        <w:t> </w:t>
      </w:r>
      <w:r>
        <w:rPr/>
        <w:t>the</w:t>
      </w:r>
      <w:r>
        <w:rPr>
          <w:spacing w:val="-5"/>
        </w:rPr>
        <w:t> </w:t>
      </w:r>
      <w:r>
        <w:rPr/>
        <w:t>FTSE</w:t>
      </w:r>
      <w:r>
        <w:rPr>
          <w:spacing w:val="-4"/>
        </w:rPr>
        <w:t> </w:t>
      </w:r>
      <w:r>
        <w:rPr/>
        <w:t>100</w:t>
      </w:r>
      <w:r>
        <w:rPr>
          <w:spacing w:val="-5"/>
        </w:rPr>
        <w:t> </w:t>
      </w:r>
      <w:r>
        <w:rPr/>
        <w:t>and</w:t>
      </w:r>
      <w:r>
        <w:rPr>
          <w:spacing w:val="-5"/>
        </w:rPr>
        <w:t> </w:t>
      </w:r>
      <w:r>
        <w:rPr/>
        <w:t>All-Share</w:t>
      </w:r>
      <w:r>
        <w:rPr>
          <w:spacing w:val="-5"/>
        </w:rPr>
        <w:t> </w:t>
      </w:r>
      <w:r>
        <w:rPr/>
        <w:t>indices,</w:t>
      </w:r>
      <w:r>
        <w:rPr>
          <w:spacing w:val="-5"/>
        </w:rPr>
        <w:t> </w:t>
      </w:r>
      <w:r>
        <w:rPr/>
        <w:t>rising</w:t>
      </w:r>
      <w:r>
        <w:rPr>
          <w:spacing w:val="-4"/>
        </w:rPr>
        <w:t> </w:t>
      </w:r>
      <w:r>
        <w:rPr/>
        <w:t>by</w:t>
      </w:r>
      <w:r>
        <w:rPr>
          <w:spacing w:val="-5"/>
        </w:rPr>
        <w:t> </w:t>
      </w:r>
      <w:r>
        <w:rPr/>
        <w:t>12.2%.</w:t>
      </w:r>
    </w:p>
    <w:p>
      <w:pPr>
        <w:pStyle w:val="BodyText"/>
        <w:spacing w:before="1"/>
        <w:rPr>
          <w:sz w:val="36"/>
        </w:rPr>
      </w:pPr>
    </w:p>
    <w:p>
      <w:pPr>
        <w:pStyle w:val="BodyText"/>
        <w:tabs>
          <w:tab w:pos="827" w:val="left" w:leader="none"/>
        </w:tabs>
        <w:spacing w:line="360" w:lineRule="auto"/>
        <w:ind w:left="108" w:right="648"/>
      </w:pPr>
      <w:r>
        <w:rPr/>
        <w:t>A14</w:t>
        <w:tab/>
      </w:r>
      <w:r>
        <w:rPr>
          <w:spacing w:val="2"/>
        </w:rPr>
        <w:t>The </w:t>
      </w:r>
      <w:r>
        <w:rPr/>
        <w:t>sterling effective exchange </w:t>
      </w:r>
      <w:r>
        <w:rPr>
          <w:spacing w:val="2"/>
        </w:rPr>
        <w:t>rate </w:t>
      </w:r>
      <w:r>
        <w:rPr/>
        <w:t>index had appreciated by 0.3% since the November MPC meeting, and by 0.8% compared with the starting point for the November </w:t>
      </w:r>
      <w:r>
        <w:rPr>
          <w:i/>
        </w:rPr>
        <w:t>Inflation Report </w:t>
      </w:r>
      <w:r>
        <w:rPr/>
        <w:t>projection. Over the month, sterling had appreciated against the euro, but had fallen against the dollar and yen. Monetary news had appeared </w:t>
      </w:r>
      <w:r>
        <w:rPr>
          <w:spacing w:val="3"/>
        </w:rPr>
        <w:t>to </w:t>
      </w:r>
      <w:r>
        <w:rPr/>
        <w:t>explain much </w:t>
      </w:r>
      <w:r>
        <w:rPr>
          <w:spacing w:val="2"/>
        </w:rPr>
        <w:t>of </w:t>
      </w:r>
      <w:r>
        <w:rPr/>
        <w:t>the move in the euro-sterling bilateral</w:t>
      </w:r>
      <w:r>
        <w:rPr>
          <w:spacing w:val="3"/>
        </w:rPr>
        <w:t> </w:t>
      </w:r>
      <w:r>
        <w:rPr/>
        <w:t>rate.</w:t>
      </w:r>
    </w:p>
    <w:p>
      <w:pPr>
        <w:pStyle w:val="BodyText"/>
        <w:spacing w:before="3"/>
        <w:rPr>
          <w:sz w:val="36"/>
        </w:rPr>
      </w:pPr>
    </w:p>
    <w:p>
      <w:pPr>
        <w:pStyle w:val="Heading1"/>
        <w:numPr>
          <w:ilvl w:val="0"/>
          <w:numId w:val="3"/>
        </w:numPr>
        <w:tabs>
          <w:tab w:pos="827" w:val="left" w:leader="none"/>
          <w:tab w:pos="828" w:val="left" w:leader="none"/>
        </w:tabs>
        <w:spacing w:line="240" w:lineRule="auto" w:before="0" w:after="0"/>
        <w:ind w:left="828" w:right="0" w:hanging="720"/>
        <w:jc w:val="left"/>
      </w:pPr>
      <w:r>
        <w:rPr/>
        <w:t>Demand and</w:t>
      </w:r>
      <w:r>
        <w:rPr>
          <w:spacing w:val="2"/>
        </w:rPr>
        <w:t> </w:t>
      </w:r>
      <w:r>
        <w:rPr/>
        <w:t>output</w:t>
      </w:r>
    </w:p>
    <w:p>
      <w:pPr>
        <w:pStyle w:val="BodyText"/>
        <w:rPr>
          <w:b/>
          <w:sz w:val="26"/>
        </w:rPr>
      </w:pPr>
    </w:p>
    <w:p>
      <w:pPr>
        <w:pStyle w:val="BodyText"/>
        <w:tabs>
          <w:tab w:pos="827" w:val="left" w:leader="none"/>
        </w:tabs>
        <w:spacing w:line="360" w:lineRule="auto" w:before="231"/>
        <w:ind w:left="108" w:right="556"/>
      </w:pPr>
      <w:r>
        <w:rPr/>
        <w:t>A15</w:t>
        <w:tab/>
        <w:t>Quarterly GDP growth at constant market prices had been unrevised, at 0.9%, in Q3. The annual growth rate had also been unchanged at 1.8%. Total industrial production had risen by 1.2% in Q3 and by 0.3% </w:t>
      </w:r>
      <w:r>
        <w:rPr>
          <w:spacing w:val="2"/>
        </w:rPr>
        <w:t>on </w:t>
      </w:r>
      <w:r>
        <w:rPr/>
        <w:t>a year earlier. Manufacturing </w:t>
      </w:r>
      <w:r>
        <w:rPr>
          <w:spacing w:val="4"/>
        </w:rPr>
        <w:t>output </w:t>
      </w:r>
      <w:r>
        <w:rPr/>
        <w:t>had grown by 1.0% in Q3, the first time</w:t>
      </w:r>
      <w:r>
        <w:rPr>
          <w:spacing w:val="-6"/>
        </w:rPr>
        <w:t> </w:t>
      </w:r>
      <w:r>
        <w:rPr/>
        <w:t>since</w:t>
      </w:r>
      <w:r>
        <w:rPr>
          <w:spacing w:val="-5"/>
        </w:rPr>
        <w:t> </w:t>
      </w:r>
      <w:r>
        <w:rPr/>
        <w:t>1995</w:t>
      </w:r>
      <w:r>
        <w:rPr>
          <w:spacing w:val="-5"/>
        </w:rPr>
        <w:t> </w:t>
      </w:r>
      <w:r>
        <w:rPr/>
        <w:t>Q2</w:t>
      </w:r>
      <w:r>
        <w:rPr>
          <w:spacing w:val="-5"/>
        </w:rPr>
        <w:t> </w:t>
      </w:r>
      <w:r>
        <w:rPr/>
        <w:t>that manufacturing</w:t>
      </w:r>
      <w:r>
        <w:rPr>
          <w:spacing w:val="-5"/>
        </w:rPr>
        <w:t> </w:t>
      </w:r>
      <w:r>
        <w:rPr>
          <w:spacing w:val="4"/>
        </w:rPr>
        <w:t>output</w:t>
      </w:r>
      <w:r>
        <w:rPr>
          <w:spacing w:val="-1"/>
        </w:rPr>
        <w:t> </w:t>
      </w:r>
      <w:r>
        <w:rPr/>
        <w:t>growth</w:t>
      </w:r>
      <w:r>
        <w:rPr>
          <w:spacing w:val="-5"/>
        </w:rPr>
        <w:t> </w:t>
      </w:r>
      <w:r>
        <w:rPr/>
        <w:t>had</w:t>
      </w:r>
      <w:r>
        <w:rPr>
          <w:spacing w:val="-5"/>
        </w:rPr>
        <w:t> </w:t>
      </w:r>
      <w:r>
        <w:rPr/>
        <w:t>been</w:t>
      </w:r>
      <w:r>
        <w:rPr>
          <w:spacing w:val="-5"/>
        </w:rPr>
        <w:t> </w:t>
      </w:r>
      <w:r>
        <w:rPr/>
        <w:t>higher</w:t>
      </w:r>
      <w:r>
        <w:rPr>
          <w:spacing w:val="-6"/>
        </w:rPr>
        <w:t> </w:t>
      </w:r>
      <w:r>
        <w:rPr/>
        <w:t>than</w:t>
      </w:r>
      <w:r>
        <w:rPr>
          <w:spacing w:val="-5"/>
        </w:rPr>
        <w:t> </w:t>
      </w:r>
      <w:r>
        <w:rPr/>
        <w:t>services,</w:t>
      </w:r>
      <w:r>
        <w:rPr>
          <w:spacing w:val="-5"/>
        </w:rPr>
        <w:t> </w:t>
      </w:r>
      <w:r>
        <w:rPr/>
        <w:t>though the level </w:t>
      </w:r>
      <w:r>
        <w:rPr>
          <w:spacing w:val="3"/>
        </w:rPr>
        <w:t>of </w:t>
      </w:r>
      <w:r>
        <w:rPr/>
        <w:t>manufacturing </w:t>
      </w:r>
      <w:r>
        <w:rPr>
          <w:spacing w:val="4"/>
        </w:rPr>
        <w:t>output </w:t>
      </w:r>
      <w:r>
        <w:rPr/>
        <w:t>had still been 0.2% lower than a year earlier. Services </w:t>
      </w:r>
      <w:r>
        <w:rPr>
          <w:spacing w:val="2"/>
        </w:rPr>
        <w:t>output </w:t>
      </w:r>
      <w:r>
        <w:rPr/>
        <w:t>had grown by 0.9% in Q3, revised down from 1.0% in the first release, with annual growth at 2.4%. Construction </w:t>
      </w:r>
      <w:r>
        <w:rPr>
          <w:spacing w:val="3"/>
        </w:rPr>
        <w:t>output </w:t>
      </w:r>
      <w:r>
        <w:rPr/>
        <w:t>had grown by 0.5% in</w:t>
      </w:r>
      <w:r>
        <w:rPr>
          <w:spacing w:val="16"/>
        </w:rPr>
        <w:t> </w:t>
      </w:r>
      <w:r>
        <w:rPr/>
        <w:t>Q3.</w:t>
      </w:r>
    </w:p>
    <w:p>
      <w:pPr>
        <w:spacing w:after="0" w:line="360" w:lineRule="auto"/>
        <w:sectPr>
          <w:pgSz w:w="11900" w:h="16840"/>
          <w:pgMar w:header="1219" w:footer="0" w:top="1600" w:bottom="280" w:left="1140" w:right="780"/>
        </w:sectPr>
      </w:pPr>
    </w:p>
    <w:p>
      <w:pPr>
        <w:pStyle w:val="BodyText"/>
        <w:tabs>
          <w:tab w:pos="827" w:val="left" w:leader="none"/>
        </w:tabs>
        <w:spacing w:line="360" w:lineRule="auto" w:before="121"/>
        <w:ind w:left="107" w:right="800"/>
      </w:pPr>
      <w:r>
        <w:rPr/>
        <w:t>A16</w:t>
        <w:tab/>
        <w:t>The expenditure breakdown </w:t>
      </w:r>
      <w:r>
        <w:rPr>
          <w:spacing w:val="2"/>
        </w:rPr>
        <w:t>of </w:t>
      </w:r>
      <w:r>
        <w:rPr/>
        <w:t>GDP had shown domestic demand growing by 0.7% in Q3.</w:t>
      </w:r>
      <w:r>
        <w:rPr>
          <w:spacing w:val="47"/>
        </w:rPr>
        <w:t> </w:t>
      </w:r>
      <w:r>
        <w:rPr/>
        <w:t>Changes</w:t>
      </w:r>
      <w:r>
        <w:rPr>
          <w:spacing w:val="-7"/>
        </w:rPr>
        <w:t> </w:t>
      </w:r>
      <w:r>
        <w:rPr/>
        <w:t>in</w:t>
      </w:r>
      <w:r>
        <w:rPr>
          <w:spacing w:val="-6"/>
        </w:rPr>
        <w:t> </w:t>
      </w:r>
      <w:r>
        <w:rPr/>
        <w:t>inventories</w:t>
      </w:r>
      <w:r>
        <w:rPr>
          <w:spacing w:val="-7"/>
        </w:rPr>
        <w:t> </w:t>
      </w:r>
      <w:r>
        <w:rPr/>
        <w:t>had</w:t>
      </w:r>
      <w:r>
        <w:rPr>
          <w:spacing w:val="-6"/>
        </w:rPr>
        <w:t> </w:t>
      </w:r>
      <w:r>
        <w:rPr/>
        <w:t>contributed</w:t>
      </w:r>
      <w:r>
        <w:rPr>
          <w:spacing w:val="-7"/>
        </w:rPr>
        <w:t> </w:t>
      </w:r>
      <w:r>
        <w:rPr/>
        <w:t>0.2</w:t>
      </w:r>
      <w:r>
        <w:rPr>
          <w:spacing w:val="-6"/>
        </w:rPr>
        <w:t> </w:t>
      </w:r>
      <w:r>
        <w:rPr/>
        <w:t>percentage</w:t>
      </w:r>
      <w:r>
        <w:rPr>
          <w:spacing w:val="-7"/>
        </w:rPr>
        <w:t> </w:t>
      </w:r>
      <w:r>
        <w:rPr/>
        <w:t>points</w:t>
      </w:r>
      <w:r>
        <w:rPr>
          <w:spacing w:val="-6"/>
        </w:rPr>
        <w:t> </w:t>
      </w:r>
      <w:r>
        <w:rPr>
          <w:spacing w:val="2"/>
        </w:rPr>
        <w:t>to</w:t>
      </w:r>
      <w:r>
        <w:rPr>
          <w:spacing w:val="-2"/>
        </w:rPr>
        <w:t> </w:t>
      </w:r>
      <w:r>
        <w:rPr/>
        <w:t>growth</w:t>
      </w:r>
      <w:r>
        <w:rPr>
          <w:spacing w:val="-30"/>
        </w:rPr>
        <w:t> </w:t>
      </w:r>
      <w:r>
        <w:rPr/>
        <w:t>,</w:t>
      </w:r>
      <w:r>
        <w:rPr>
          <w:spacing w:val="-5"/>
        </w:rPr>
        <w:t> </w:t>
      </w:r>
      <w:r>
        <w:rPr/>
        <w:t>so</w:t>
      </w:r>
      <w:r>
        <w:rPr>
          <w:spacing w:val="-3"/>
        </w:rPr>
        <w:t> </w:t>
      </w:r>
      <w:r>
        <w:rPr/>
        <w:t>final</w:t>
      </w:r>
      <w:r>
        <w:rPr>
          <w:spacing w:val="-5"/>
        </w:rPr>
        <w:t> </w:t>
      </w:r>
      <w:r>
        <w:rPr/>
        <w:t>domestic demand had grown by</w:t>
      </w:r>
      <w:r>
        <w:rPr>
          <w:spacing w:val="14"/>
        </w:rPr>
        <w:t> </w:t>
      </w:r>
      <w:r>
        <w:rPr/>
        <w:t>0.5%.</w:t>
      </w:r>
    </w:p>
    <w:p>
      <w:pPr>
        <w:pStyle w:val="BodyText"/>
        <w:rPr>
          <w:sz w:val="36"/>
        </w:rPr>
      </w:pPr>
    </w:p>
    <w:p>
      <w:pPr>
        <w:pStyle w:val="BodyText"/>
        <w:tabs>
          <w:tab w:pos="827" w:val="left" w:leader="none"/>
        </w:tabs>
        <w:spacing w:line="360" w:lineRule="auto"/>
        <w:ind w:left="107" w:right="533"/>
      </w:pPr>
      <w:r>
        <w:rPr/>
        <w:t>A17</w:t>
        <w:tab/>
        <w:t>Private consumption had grown by 0.6% in 1999 Q3, and annual growth had been 4.4%. </w:t>
      </w:r>
      <w:r>
        <w:rPr>
          <w:spacing w:val="2"/>
        </w:rPr>
        <w:t>This </w:t>
      </w:r>
      <w:r>
        <w:rPr/>
        <w:t>had been stronger than expected at the time </w:t>
      </w:r>
      <w:r>
        <w:rPr>
          <w:spacing w:val="2"/>
        </w:rPr>
        <w:t>of </w:t>
      </w:r>
      <w:r>
        <w:rPr/>
        <w:t>the November </w:t>
      </w:r>
      <w:r>
        <w:rPr>
          <w:i/>
        </w:rPr>
        <w:t>Inflation Report</w:t>
      </w:r>
      <w:r>
        <w:rPr/>
        <w:t>, partly because </w:t>
      </w:r>
      <w:r>
        <w:rPr>
          <w:spacing w:val="3"/>
        </w:rPr>
        <w:t>of </w:t>
      </w:r>
      <w:r>
        <w:rPr/>
        <w:t>an unexpectedly small fall in vehicle expenditure. </w:t>
      </w:r>
      <w:r>
        <w:rPr>
          <w:spacing w:val="2"/>
        </w:rPr>
        <w:t>The </w:t>
      </w:r>
      <w:r>
        <w:rPr/>
        <w:t>seasonal pattern </w:t>
      </w:r>
      <w:r>
        <w:rPr>
          <w:spacing w:val="3"/>
        </w:rPr>
        <w:t>of </w:t>
      </w:r>
      <w:r>
        <w:rPr/>
        <w:t>vehicle expenditure in 1999 had been affected by the change in registration dates for new cars. The ONS had</w:t>
      </w:r>
      <w:r>
        <w:rPr>
          <w:spacing w:val="-2"/>
        </w:rPr>
        <w:t> </w:t>
      </w:r>
      <w:r>
        <w:rPr/>
        <w:t>included</w:t>
      </w:r>
      <w:r>
        <w:rPr>
          <w:spacing w:val="-3"/>
        </w:rPr>
        <w:t> </w:t>
      </w:r>
      <w:r>
        <w:rPr/>
        <w:t>an</w:t>
      </w:r>
      <w:r>
        <w:rPr>
          <w:spacing w:val="-4"/>
        </w:rPr>
        <w:t> </w:t>
      </w:r>
      <w:r>
        <w:rPr/>
        <w:t>estimate</w:t>
      </w:r>
      <w:r>
        <w:rPr>
          <w:spacing w:val="-4"/>
        </w:rPr>
        <w:t> </w:t>
      </w:r>
      <w:r>
        <w:rPr>
          <w:spacing w:val="3"/>
        </w:rPr>
        <w:t>of</w:t>
      </w:r>
      <w:r>
        <w:rPr>
          <w:spacing w:val="1"/>
        </w:rPr>
        <w:t> </w:t>
      </w:r>
      <w:r>
        <w:rPr/>
        <w:t>the</w:t>
      </w:r>
      <w:r>
        <w:rPr>
          <w:spacing w:val="-4"/>
        </w:rPr>
        <w:t> </w:t>
      </w:r>
      <w:r>
        <w:rPr/>
        <w:t>size</w:t>
      </w:r>
      <w:r>
        <w:rPr>
          <w:spacing w:val="-3"/>
        </w:rPr>
        <w:t> </w:t>
      </w:r>
      <w:r>
        <w:rPr>
          <w:spacing w:val="3"/>
        </w:rPr>
        <w:t>of</w:t>
      </w:r>
      <w:r>
        <w:rPr/>
        <w:t> this</w:t>
      </w:r>
      <w:r>
        <w:rPr>
          <w:spacing w:val="-3"/>
        </w:rPr>
        <w:t> </w:t>
      </w:r>
      <w:r>
        <w:rPr/>
        <w:t>seasonal</w:t>
      </w:r>
      <w:r>
        <w:rPr>
          <w:spacing w:val="-4"/>
        </w:rPr>
        <w:t> </w:t>
      </w:r>
      <w:r>
        <w:rPr/>
        <w:t>shift</w:t>
      </w:r>
      <w:r>
        <w:rPr>
          <w:spacing w:val="1"/>
        </w:rPr>
        <w:t> </w:t>
      </w:r>
      <w:r>
        <w:rPr/>
        <w:t>in</w:t>
      </w:r>
      <w:r>
        <w:rPr>
          <w:spacing w:val="-3"/>
        </w:rPr>
        <w:t> </w:t>
      </w:r>
      <w:r>
        <w:rPr/>
        <w:t>their</w:t>
      </w:r>
      <w:r>
        <w:rPr>
          <w:spacing w:val="-4"/>
        </w:rPr>
        <w:t> </w:t>
      </w:r>
      <w:r>
        <w:rPr/>
        <w:t>estimate</w:t>
      </w:r>
      <w:r>
        <w:rPr>
          <w:spacing w:val="-4"/>
        </w:rPr>
        <w:t> </w:t>
      </w:r>
      <w:r>
        <w:rPr>
          <w:spacing w:val="3"/>
        </w:rPr>
        <w:t>of</w:t>
      </w:r>
      <w:r>
        <w:rPr>
          <w:spacing w:val="9"/>
        </w:rPr>
        <w:t> </w:t>
      </w:r>
      <w:r>
        <w:rPr/>
        <w:t>total</w:t>
      </w:r>
      <w:r>
        <w:rPr>
          <w:spacing w:val="-6"/>
        </w:rPr>
        <w:t> </w:t>
      </w:r>
      <w:r>
        <w:rPr/>
        <w:t>Q3</w:t>
      </w:r>
      <w:r>
        <w:rPr>
          <w:spacing w:val="-5"/>
        </w:rPr>
        <w:t> </w:t>
      </w:r>
      <w:r>
        <w:rPr/>
        <w:t>spending.</w:t>
      </w:r>
    </w:p>
    <w:p>
      <w:pPr>
        <w:pStyle w:val="BodyText"/>
        <w:spacing w:line="360" w:lineRule="auto"/>
        <w:ind w:left="108" w:right="555"/>
      </w:pPr>
      <w:r>
        <w:rPr/>
        <w:t>But a similar adjustment had not yet been made to Q1 or Q2 in light of the latest data. Total new car registrations over the first eleven months of the year had been 1.8% lower than a year earlier. A complete breakdown of consumption growth had not yet been published, but retail sales had grown by 1.2% in Q3. Government consumption had risen by 0.5% in Q3, down from 0.6% in Q2.</w:t>
      </w:r>
    </w:p>
    <w:p>
      <w:pPr>
        <w:pStyle w:val="BodyText"/>
        <w:spacing w:before="8"/>
        <w:rPr>
          <w:sz w:val="35"/>
        </w:rPr>
      </w:pPr>
    </w:p>
    <w:p>
      <w:pPr>
        <w:pStyle w:val="BodyText"/>
        <w:tabs>
          <w:tab w:pos="827" w:val="left" w:leader="none"/>
        </w:tabs>
        <w:spacing w:line="360" w:lineRule="auto" w:before="1"/>
        <w:ind w:left="108" w:right="507"/>
      </w:pPr>
      <w:r>
        <w:rPr/>
        <w:t>A18</w:t>
        <w:tab/>
      </w:r>
      <w:r>
        <w:rPr>
          <w:spacing w:val="2"/>
        </w:rPr>
        <w:t>Total </w:t>
      </w:r>
      <w:r>
        <w:rPr/>
        <w:t>investment had grown by 0.2% in Q3. Business investment had fallen by 1.3%, though it had </w:t>
      </w:r>
      <w:r>
        <w:rPr>
          <w:spacing w:val="2"/>
        </w:rPr>
        <w:t>remained </w:t>
      </w:r>
      <w:r>
        <w:rPr/>
        <w:t>4.3% higher than a year earlier. Within this, manufacturing investment had fallen by 5.2% in Q3, and service </w:t>
      </w:r>
      <w:r>
        <w:rPr>
          <w:spacing w:val="3"/>
        </w:rPr>
        <w:t>sector </w:t>
      </w:r>
      <w:r>
        <w:rPr/>
        <w:t>investment had fallen by 0.6%. </w:t>
      </w:r>
      <w:r>
        <w:rPr>
          <w:spacing w:val="2"/>
        </w:rPr>
        <w:t>The </w:t>
      </w:r>
      <w:r>
        <w:rPr/>
        <w:t>fall in business investment had been puzzling, but the investment data had tended </w:t>
      </w:r>
      <w:r>
        <w:rPr>
          <w:spacing w:val="3"/>
        </w:rPr>
        <w:t>to </w:t>
      </w:r>
      <w:r>
        <w:rPr/>
        <w:t>be revised upwards in</w:t>
      </w:r>
      <w:r>
        <w:rPr>
          <w:spacing w:val="-40"/>
        </w:rPr>
        <w:t> </w:t>
      </w:r>
      <w:r>
        <w:rPr/>
        <w:t>recent years. The gross </w:t>
      </w:r>
      <w:r>
        <w:rPr>
          <w:spacing w:val="4"/>
        </w:rPr>
        <w:t>operating </w:t>
      </w:r>
      <w:r>
        <w:rPr/>
        <w:t>surplus </w:t>
      </w:r>
      <w:r>
        <w:rPr>
          <w:spacing w:val="2"/>
        </w:rPr>
        <w:t>of </w:t>
      </w:r>
      <w:r>
        <w:rPr/>
        <w:t>corporations had risen by 2.3% in Q2, and the annual rate </w:t>
      </w:r>
      <w:r>
        <w:rPr>
          <w:spacing w:val="2"/>
        </w:rPr>
        <w:t>of </w:t>
      </w:r>
      <w:r>
        <w:rPr/>
        <w:t>decline had moderated </w:t>
      </w:r>
      <w:r>
        <w:rPr>
          <w:spacing w:val="2"/>
        </w:rPr>
        <w:t>to</w:t>
      </w:r>
      <w:r>
        <w:rPr>
          <w:spacing w:val="16"/>
        </w:rPr>
        <w:t> </w:t>
      </w:r>
      <w:r>
        <w:rPr/>
        <w:t>-5.0%.</w:t>
      </w:r>
    </w:p>
    <w:p>
      <w:pPr>
        <w:pStyle w:val="BodyText"/>
        <w:spacing w:before="1"/>
        <w:rPr>
          <w:sz w:val="36"/>
        </w:rPr>
      </w:pPr>
    </w:p>
    <w:p>
      <w:pPr>
        <w:pStyle w:val="BodyText"/>
        <w:tabs>
          <w:tab w:pos="827" w:val="left" w:leader="none"/>
        </w:tabs>
        <w:spacing w:line="360" w:lineRule="auto"/>
        <w:ind w:left="108" w:right="517"/>
      </w:pPr>
      <w:r>
        <w:rPr/>
        <w:t>A19</w:t>
        <w:tab/>
        <w:t>Inventories</w:t>
      </w:r>
      <w:r>
        <w:rPr>
          <w:spacing w:val="-5"/>
        </w:rPr>
        <w:t> </w:t>
      </w:r>
      <w:r>
        <w:rPr/>
        <w:t>had</w:t>
      </w:r>
      <w:r>
        <w:rPr>
          <w:spacing w:val="-6"/>
        </w:rPr>
        <w:t> </w:t>
      </w:r>
      <w:r>
        <w:rPr/>
        <w:t>made</w:t>
      </w:r>
      <w:r>
        <w:rPr>
          <w:spacing w:val="-6"/>
        </w:rPr>
        <w:t> </w:t>
      </w:r>
      <w:r>
        <w:rPr/>
        <w:t>a</w:t>
      </w:r>
      <w:r>
        <w:rPr>
          <w:spacing w:val="-5"/>
        </w:rPr>
        <w:t> </w:t>
      </w:r>
      <w:r>
        <w:rPr/>
        <w:t>positive</w:t>
      </w:r>
      <w:r>
        <w:rPr>
          <w:spacing w:val="-6"/>
        </w:rPr>
        <w:t> </w:t>
      </w:r>
      <w:r>
        <w:rPr/>
        <w:t>contribution</w:t>
      </w:r>
      <w:r>
        <w:rPr>
          <w:spacing w:val="-6"/>
        </w:rPr>
        <w:t> </w:t>
      </w:r>
      <w:r>
        <w:rPr>
          <w:spacing w:val="2"/>
        </w:rPr>
        <w:t>to</w:t>
      </w:r>
      <w:r>
        <w:rPr>
          <w:spacing w:val="-2"/>
        </w:rPr>
        <w:t> </w:t>
      </w:r>
      <w:r>
        <w:rPr/>
        <w:t>GDP</w:t>
      </w:r>
      <w:r>
        <w:rPr>
          <w:spacing w:val="-6"/>
        </w:rPr>
        <w:t> </w:t>
      </w:r>
      <w:r>
        <w:rPr/>
        <w:t>growth</w:t>
      </w:r>
      <w:r>
        <w:rPr>
          <w:spacing w:val="-6"/>
        </w:rPr>
        <w:t> </w:t>
      </w:r>
      <w:r>
        <w:rPr/>
        <w:t>in</w:t>
      </w:r>
      <w:r>
        <w:rPr>
          <w:spacing w:val="-6"/>
        </w:rPr>
        <w:t> </w:t>
      </w:r>
      <w:r>
        <w:rPr/>
        <w:t>Q3,</w:t>
      </w:r>
      <w:r>
        <w:rPr>
          <w:spacing w:val="-6"/>
        </w:rPr>
        <w:t> </w:t>
      </w:r>
      <w:r>
        <w:rPr/>
        <w:t>reflecting</w:t>
      </w:r>
      <w:r>
        <w:rPr>
          <w:spacing w:val="-4"/>
        </w:rPr>
        <w:t> </w:t>
      </w:r>
      <w:r>
        <w:rPr/>
        <w:t>a</w:t>
      </w:r>
      <w:r>
        <w:rPr>
          <w:spacing w:val="-6"/>
        </w:rPr>
        <w:t> </w:t>
      </w:r>
      <w:r>
        <w:rPr/>
        <w:t>slowdown in the pace </w:t>
      </w:r>
      <w:r>
        <w:rPr>
          <w:spacing w:val="3"/>
        </w:rPr>
        <w:t>of </w:t>
      </w:r>
      <w:r>
        <w:rPr/>
        <w:t>decline. </w:t>
      </w:r>
      <w:r>
        <w:rPr>
          <w:spacing w:val="3"/>
        </w:rPr>
        <w:t>Including </w:t>
      </w:r>
      <w:r>
        <w:rPr>
          <w:spacing w:val="2"/>
        </w:rPr>
        <w:t>the </w:t>
      </w:r>
      <w:r>
        <w:rPr/>
        <w:t>alignment </w:t>
      </w:r>
      <w:r>
        <w:rPr>
          <w:spacing w:val="2"/>
        </w:rPr>
        <w:t>adjustment, inventories </w:t>
      </w:r>
      <w:r>
        <w:rPr/>
        <w:t>had fallen by £0.7 billion in Q3, compared with a fall </w:t>
      </w:r>
      <w:r>
        <w:rPr>
          <w:spacing w:val="3"/>
        </w:rPr>
        <w:t>of </w:t>
      </w:r>
      <w:r>
        <w:rPr/>
        <w:t>£1.2 billion in Q2. The CBI monthly survey in November had reported that manufacturers still perceived their stocks </w:t>
      </w:r>
      <w:r>
        <w:rPr>
          <w:spacing w:val="2"/>
        </w:rPr>
        <w:t>to </w:t>
      </w:r>
      <w:r>
        <w:rPr/>
        <w:t>be more than</w:t>
      </w:r>
      <w:r>
        <w:rPr>
          <w:spacing w:val="26"/>
        </w:rPr>
        <w:t> </w:t>
      </w:r>
      <w:r>
        <w:rPr/>
        <w:t>adequate.</w:t>
      </w:r>
    </w:p>
    <w:p>
      <w:pPr>
        <w:pStyle w:val="BodyText"/>
        <w:spacing w:before="10"/>
        <w:rPr>
          <w:sz w:val="35"/>
        </w:rPr>
      </w:pPr>
    </w:p>
    <w:p>
      <w:pPr>
        <w:pStyle w:val="BodyText"/>
        <w:tabs>
          <w:tab w:pos="827" w:val="left" w:leader="none"/>
        </w:tabs>
        <w:spacing w:line="360" w:lineRule="auto" w:before="1"/>
        <w:ind w:left="107" w:right="690"/>
      </w:pPr>
      <w:r>
        <w:rPr/>
        <w:t>A20</w:t>
        <w:tab/>
        <w:t>Net trade had contributed 0.2 percentage points to GDP growth in Q3, the second consecutive positive quarterly contribution. Total exports </w:t>
      </w:r>
      <w:r>
        <w:rPr>
          <w:spacing w:val="2"/>
        </w:rPr>
        <w:t>of </w:t>
      </w:r>
      <w:r>
        <w:rPr/>
        <w:t>goods and services had grown by 6.2%, and imports had grown by 4.9%. The rise in goods exports had been more broadly based than</w:t>
      </w:r>
      <w:r>
        <w:rPr>
          <w:spacing w:val="-7"/>
        </w:rPr>
        <w:t> </w:t>
      </w:r>
      <w:r>
        <w:rPr/>
        <w:t>in</w:t>
      </w:r>
      <w:r>
        <w:rPr>
          <w:spacing w:val="-6"/>
        </w:rPr>
        <w:t> </w:t>
      </w:r>
      <w:r>
        <w:rPr/>
        <w:t>Q2,</w:t>
      </w:r>
      <w:r>
        <w:rPr>
          <w:spacing w:val="-6"/>
        </w:rPr>
        <w:t> </w:t>
      </w:r>
      <w:r>
        <w:rPr/>
        <w:t>with</w:t>
      </w:r>
      <w:r>
        <w:rPr>
          <w:spacing w:val="-6"/>
        </w:rPr>
        <w:t> </w:t>
      </w:r>
      <w:r>
        <w:rPr/>
        <w:t>exports</w:t>
      </w:r>
      <w:r>
        <w:rPr>
          <w:spacing w:val="-6"/>
        </w:rPr>
        <w:t> </w:t>
      </w:r>
      <w:r>
        <w:rPr>
          <w:spacing w:val="2"/>
        </w:rPr>
        <w:t>to</w:t>
      </w:r>
      <w:r>
        <w:rPr/>
        <w:t> non-EU</w:t>
      </w:r>
      <w:r>
        <w:rPr>
          <w:spacing w:val="-7"/>
        </w:rPr>
        <w:t> </w:t>
      </w:r>
      <w:r>
        <w:rPr/>
        <w:t>countries</w:t>
      </w:r>
      <w:r>
        <w:rPr>
          <w:spacing w:val="-6"/>
        </w:rPr>
        <w:t> </w:t>
      </w:r>
      <w:r>
        <w:rPr/>
        <w:t>growing</w:t>
      </w:r>
      <w:r>
        <w:rPr>
          <w:spacing w:val="-6"/>
        </w:rPr>
        <w:t> </w:t>
      </w:r>
      <w:r>
        <w:rPr/>
        <w:t>by</w:t>
      </w:r>
      <w:r>
        <w:rPr>
          <w:spacing w:val="-6"/>
        </w:rPr>
        <w:t> </w:t>
      </w:r>
      <w:r>
        <w:rPr/>
        <w:t>10.1%</w:t>
      </w:r>
      <w:r>
        <w:rPr>
          <w:spacing w:val="-6"/>
        </w:rPr>
        <w:t> </w:t>
      </w:r>
      <w:r>
        <w:rPr/>
        <w:t>and</w:t>
      </w:r>
      <w:r>
        <w:rPr>
          <w:spacing w:val="-7"/>
        </w:rPr>
        <w:t> </w:t>
      </w:r>
      <w:r>
        <w:rPr/>
        <w:t>exports</w:t>
      </w:r>
      <w:r>
        <w:rPr>
          <w:spacing w:val="-5"/>
        </w:rPr>
        <w:t> </w:t>
      </w:r>
      <w:r>
        <w:rPr>
          <w:spacing w:val="2"/>
        </w:rPr>
        <w:t>to</w:t>
      </w:r>
      <w:r>
        <w:rPr>
          <w:spacing w:val="-1"/>
        </w:rPr>
        <w:t> </w:t>
      </w:r>
      <w:r>
        <w:rPr/>
        <w:t>the</w:t>
      </w:r>
      <w:r>
        <w:rPr>
          <w:spacing w:val="-6"/>
        </w:rPr>
        <w:t> </w:t>
      </w:r>
      <w:r>
        <w:rPr/>
        <w:t>EU</w:t>
      </w:r>
      <w:r>
        <w:rPr>
          <w:spacing w:val="-3"/>
        </w:rPr>
        <w:t> </w:t>
      </w:r>
      <w:r>
        <w:rPr/>
        <w:t>rising</w:t>
      </w:r>
      <w:r>
        <w:rPr>
          <w:spacing w:val="-5"/>
        </w:rPr>
        <w:t> </w:t>
      </w:r>
      <w:r>
        <w:rPr/>
        <w:t>by 7.0%.</w:t>
      </w:r>
    </w:p>
    <w:p>
      <w:pPr>
        <w:spacing w:after="0" w:line="360" w:lineRule="auto"/>
        <w:sectPr>
          <w:pgSz w:w="11900" w:h="16840"/>
          <w:pgMar w:header="1219" w:footer="0" w:top="1600" w:bottom="280" w:left="1140" w:right="780"/>
        </w:sectPr>
      </w:pPr>
    </w:p>
    <w:p>
      <w:pPr>
        <w:pStyle w:val="BodyText"/>
        <w:tabs>
          <w:tab w:pos="827" w:val="left" w:leader="none"/>
        </w:tabs>
        <w:spacing w:line="360" w:lineRule="auto" w:before="121"/>
        <w:ind w:left="107" w:right="551"/>
      </w:pPr>
      <w:r>
        <w:rPr/>
        <w:t>A21</w:t>
        <w:tab/>
        <w:t>The </w:t>
      </w:r>
      <w:r>
        <w:rPr>
          <w:spacing w:val="-5"/>
        </w:rPr>
        <w:t>Bank’s </w:t>
      </w:r>
      <w:r>
        <w:rPr/>
        <w:t>regional Agents had conducted a survey </w:t>
      </w:r>
      <w:r>
        <w:rPr>
          <w:spacing w:val="2"/>
        </w:rPr>
        <w:t>of </w:t>
      </w:r>
      <w:r>
        <w:rPr/>
        <w:t>their contacts </w:t>
      </w:r>
      <w:r>
        <w:rPr>
          <w:spacing w:val="2"/>
        </w:rPr>
        <w:t>to </w:t>
      </w:r>
      <w:r>
        <w:rPr/>
        <w:t>help assess the nature </w:t>
      </w:r>
      <w:r>
        <w:rPr>
          <w:spacing w:val="2"/>
        </w:rPr>
        <w:t>of </w:t>
      </w:r>
      <w:r>
        <w:rPr/>
        <w:t>the export recovery. A sample </w:t>
      </w:r>
      <w:r>
        <w:rPr>
          <w:spacing w:val="2"/>
        </w:rPr>
        <w:t>of </w:t>
      </w:r>
      <w:r>
        <w:rPr/>
        <w:t>mostly manufacturing firms with export-related business had been selected. Of the 121 firms </w:t>
      </w:r>
      <w:r>
        <w:rPr>
          <w:spacing w:val="2"/>
        </w:rPr>
        <w:t>responding </w:t>
      </w:r>
      <w:r>
        <w:rPr>
          <w:spacing w:val="3"/>
        </w:rPr>
        <w:t>to </w:t>
      </w:r>
      <w:r>
        <w:rPr/>
        <w:t>the survey, slightly more than half had indicated that their export volumes had not grown </w:t>
      </w:r>
      <w:r>
        <w:rPr>
          <w:spacing w:val="3"/>
        </w:rPr>
        <w:t>over </w:t>
      </w:r>
      <w:r>
        <w:rPr/>
        <w:t>the past six months. Demand had been reported </w:t>
      </w:r>
      <w:r>
        <w:rPr>
          <w:spacing w:val="2"/>
        </w:rPr>
        <w:t>to </w:t>
      </w:r>
      <w:r>
        <w:rPr/>
        <w:t>be strongest in North America, followed by Asia and </w:t>
      </w:r>
      <w:r>
        <w:rPr>
          <w:spacing w:val="4"/>
        </w:rPr>
        <w:t>other </w:t>
      </w:r>
      <w:r>
        <w:rPr/>
        <w:t>markets. Europe remained the weakest market, but had been recovering slowly. A large number </w:t>
      </w:r>
      <w:r>
        <w:rPr>
          <w:spacing w:val="2"/>
        </w:rPr>
        <w:t>of </w:t>
      </w:r>
      <w:r>
        <w:rPr/>
        <w:t>exporters </w:t>
      </w:r>
      <w:r>
        <w:rPr>
          <w:spacing w:val="3"/>
        </w:rPr>
        <w:t>to </w:t>
      </w:r>
      <w:r>
        <w:rPr/>
        <w:t>Europe</w:t>
      </w:r>
      <w:r>
        <w:rPr>
          <w:spacing w:val="-5"/>
        </w:rPr>
        <w:t> </w:t>
      </w:r>
      <w:r>
        <w:rPr/>
        <w:t>had</w:t>
      </w:r>
      <w:r>
        <w:rPr>
          <w:spacing w:val="-6"/>
        </w:rPr>
        <w:t> </w:t>
      </w:r>
      <w:r>
        <w:rPr/>
        <w:t>noted</w:t>
      </w:r>
      <w:r>
        <w:rPr>
          <w:spacing w:val="-6"/>
        </w:rPr>
        <w:t> </w:t>
      </w:r>
      <w:r>
        <w:rPr/>
        <w:t>that</w:t>
      </w:r>
      <w:r>
        <w:rPr>
          <w:spacing w:val="-2"/>
        </w:rPr>
        <w:t> </w:t>
      </w:r>
      <w:r>
        <w:rPr/>
        <w:t>lower</w:t>
      </w:r>
      <w:r>
        <w:rPr>
          <w:spacing w:val="-6"/>
        </w:rPr>
        <w:t> </w:t>
      </w:r>
      <w:r>
        <w:rPr/>
        <w:t>profit</w:t>
      </w:r>
      <w:r>
        <w:rPr>
          <w:spacing w:val="-1"/>
        </w:rPr>
        <w:t> </w:t>
      </w:r>
      <w:r>
        <w:rPr/>
        <w:t>margins</w:t>
      </w:r>
      <w:r>
        <w:rPr>
          <w:spacing w:val="-6"/>
        </w:rPr>
        <w:t> </w:t>
      </w:r>
      <w:r>
        <w:rPr/>
        <w:t>had</w:t>
      </w:r>
      <w:r>
        <w:rPr>
          <w:spacing w:val="-6"/>
        </w:rPr>
        <w:t> </w:t>
      </w:r>
      <w:r>
        <w:rPr/>
        <w:t>been</w:t>
      </w:r>
      <w:r>
        <w:rPr>
          <w:spacing w:val="-6"/>
        </w:rPr>
        <w:t> </w:t>
      </w:r>
      <w:r>
        <w:rPr/>
        <w:t>a</w:t>
      </w:r>
      <w:r>
        <w:rPr>
          <w:spacing w:val="-6"/>
        </w:rPr>
        <w:t> </w:t>
      </w:r>
      <w:r>
        <w:rPr/>
        <w:t>factor</w:t>
      </w:r>
      <w:r>
        <w:rPr>
          <w:spacing w:val="-2"/>
        </w:rPr>
        <w:t> </w:t>
      </w:r>
      <w:r>
        <w:rPr/>
        <w:t>affecting</w:t>
      </w:r>
      <w:r>
        <w:rPr>
          <w:spacing w:val="-6"/>
        </w:rPr>
        <w:t> </w:t>
      </w:r>
      <w:r>
        <w:rPr/>
        <w:t>export</w:t>
      </w:r>
      <w:r>
        <w:rPr>
          <w:spacing w:val="-2"/>
        </w:rPr>
        <w:t> </w:t>
      </w:r>
      <w:r>
        <w:rPr/>
        <w:t>volumes</w:t>
      </w:r>
      <w:r>
        <w:rPr>
          <w:spacing w:val="-6"/>
        </w:rPr>
        <w:t> </w:t>
      </w:r>
      <w:r>
        <w:rPr/>
        <w:t>in</w:t>
      </w:r>
      <w:r>
        <w:rPr>
          <w:spacing w:val="-6"/>
        </w:rPr>
        <w:t> </w:t>
      </w:r>
      <w:r>
        <w:rPr/>
        <w:t>the</w:t>
      </w:r>
      <w:r>
        <w:rPr>
          <w:spacing w:val="-6"/>
        </w:rPr>
        <w:t> </w:t>
      </w:r>
      <w:r>
        <w:rPr/>
        <w:t>past six</w:t>
      </w:r>
      <w:r>
        <w:rPr>
          <w:spacing w:val="7"/>
        </w:rPr>
        <w:t> </w:t>
      </w:r>
      <w:r>
        <w:rPr/>
        <w:t>months.</w:t>
      </w:r>
    </w:p>
    <w:p>
      <w:pPr>
        <w:pStyle w:val="BodyText"/>
        <w:spacing w:before="11"/>
        <w:rPr>
          <w:sz w:val="35"/>
        </w:rPr>
      </w:pPr>
    </w:p>
    <w:p>
      <w:pPr>
        <w:pStyle w:val="BodyText"/>
        <w:tabs>
          <w:tab w:pos="827" w:val="left" w:leader="none"/>
        </w:tabs>
        <w:spacing w:line="360" w:lineRule="auto"/>
        <w:ind w:left="107" w:right="607"/>
      </w:pPr>
      <w:r>
        <w:rPr/>
        <w:t>A22</w:t>
        <w:tab/>
        <w:t>On the assumption that the exchange rate remained unchanged, the expected growth in export volumes </w:t>
      </w:r>
      <w:r>
        <w:rPr>
          <w:spacing w:val="3"/>
        </w:rPr>
        <w:t>over </w:t>
      </w:r>
      <w:r>
        <w:rPr/>
        <w:t>the next six months had varied across regions. Around 40% </w:t>
      </w:r>
      <w:r>
        <w:rPr>
          <w:spacing w:val="2"/>
        </w:rPr>
        <w:t>of </w:t>
      </w:r>
      <w:r>
        <w:rPr/>
        <w:t>respondents exporting </w:t>
      </w:r>
      <w:r>
        <w:rPr>
          <w:spacing w:val="2"/>
        </w:rPr>
        <w:t>to </w:t>
      </w:r>
      <w:r>
        <w:rPr/>
        <w:t>Europe expected volumes </w:t>
      </w:r>
      <w:r>
        <w:rPr>
          <w:spacing w:val="2"/>
        </w:rPr>
        <w:t>to </w:t>
      </w:r>
      <w:r>
        <w:rPr/>
        <w:t>fall, with an additional 30% expecting growth </w:t>
      </w:r>
      <w:r>
        <w:rPr>
          <w:spacing w:val="2"/>
        </w:rPr>
        <w:t>to </w:t>
      </w:r>
      <w:r>
        <w:rPr/>
        <w:t>slow but remain positive. Those exporting </w:t>
      </w:r>
      <w:r>
        <w:rPr>
          <w:spacing w:val="2"/>
        </w:rPr>
        <w:t>to </w:t>
      </w:r>
      <w:r>
        <w:rPr/>
        <w:t>regions </w:t>
      </w:r>
      <w:r>
        <w:rPr>
          <w:spacing w:val="4"/>
        </w:rPr>
        <w:t>outside </w:t>
      </w:r>
      <w:r>
        <w:rPr/>
        <w:t>Europe had been more </w:t>
      </w:r>
      <w:r>
        <w:rPr>
          <w:spacing w:val="4"/>
        </w:rPr>
        <w:t>optimistic, </w:t>
      </w:r>
      <w:r>
        <w:rPr/>
        <w:t>with around three-quarters expecting positive export</w:t>
      </w:r>
      <w:r>
        <w:rPr>
          <w:spacing w:val="5"/>
        </w:rPr>
        <w:t> </w:t>
      </w:r>
      <w:r>
        <w:rPr/>
        <w:t>growth.</w:t>
      </w:r>
    </w:p>
    <w:p>
      <w:pPr>
        <w:pStyle w:val="BodyText"/>
        <w:spacing w:before="9"/>
        <w:rPr>
          <w:sz w:val="35"/>
        </w:rPr>
      </w:pPr>
    </w:p>
    <w:p>
      <w:pPr>
        <w:pStyle w:val="BodyText"/>
        <w:tabs>
          <w:tab w:pos="827" w:val="left" w:leader="none"/>
        </w:tabs>
        <w:spacing w:line="360" w:lineRule="auto"/>
        <w:ind w:left="107" w:right="511"/>
      </w:pPr>
      <w:r>
        <w:rPr/>
        <w:t>A23</w:t>
        <w:tab/>
      </w:r>
      <w:r>
        <w:rPr>
          <w:spacing w:val="2"/>
        </w:rPr>
        <w:t>Turning </w:t>
      </w:r>
      <w:r>
        <w:rPr>
          <w:spacing w:val="3"/>
        </w:rPr>
        <w:t>to </w:t>
      </w:r>
      <w:r>
        <w:rPr/>
        <w:t>indicators </w:t>
      </w:r>
      <w:r>
        <w:rPr>
          <w:spacing w:val="2"/>
        </w:rPr>
        <w:t>of </w:t>
      </w:r>
      <w:r>
        <w:rPr/>
        <w:t>Q4 activity, manufacturing </w:t>
      </w:r>
      <w:r>
        <w:rPr>
          <w:spacing w:val="4"/>
        </w:rPr>
        <w:t>output </w:t>
      </w:r>
      <w:r>
        <w:rPr/>
        <w:t>had risen by 0.1% in October and </w:t>
      </w:r>
      <w:r>
        <w:rPr>
          <w:spacing w:val="2"/>
        </w:rPr>
        <w:t>retail </w:t>
      </w:r>
      <w:r>
        <w:rPr/>
        <w:t>sales volumes had </w:t>
      </w:r>
      <w:r>
        <w:rPr>
          <w:spacing w:val="2"/>
        </w:rPr>
        <w:t>risen </w:t>
      </w:r>
      <w:r>
        <w:rPr/>
        <w:t>by 0.5%. Retail sales volumes had grown by 1.2% in the three months </w:t>
      </w:r>
      <w:r>
        <w:rPr>
          <w:spacing w:val="2"/>
        </w:rPr>
        <w:t>to </w:t>
      </w:r>
      <w:r>
        <w:rPr/>
        <w:t>October compared with the previous three months, and by 4% compared with a year earlier. Growth in retail sales volumes had continued </w:t>
      </w:r>
      <w:r>
        <w:rPr>
          <w:spacing w:val="3"/>
        </w:rPr>
        <w:t>to </w:t>
      </w:r>
      <w:r>
        <w:rPr/>
        <w:t>exceed that </w:t>
      </w:r>
      <w:r>
        <w:rPr>
          <w:spacing w:val="2"/>
        </w:rPr>
        <w:t>of </w:t>
      </w:r>
      <w:r>
        <w:rPr/>
        <w:t>retail sales values. </w:t>
      </w:r>
      <w:r>
        <w:rPr>
          <w:spacing w:val="2"/>
        </w:rPr>
        <w:t>The </w:t>
      </w:r>
      <w:r>
        <w:rPr/>
        <w:t>CBI</w:t>
      </w:r>
      <w:r>
        <w:rPr>
          <w:spacing w:val="-4"/>
        </w:rPr>
        <w:t> </w:t>
      </w:r>
      <w:r>
        <w:rPr/>
        <w:t>Distributive</w:t>
      </w:r>
      <w:r>
        <w:rPr>
          <w:spacing w:val="-4"/>
        </w:rPr>
        <w:t> </w:t>
      </w:r>
      <w:r>
        <w:rPr>
          <w:spacing w:val="2"/>
        </w:rPr>
        <w:t>Trades</w:t>
      </w:r>
      <w:r>
        <w:rPr>
          <w:spacing w:val="-2"/>
        </w:rPr>
        <w:t> </w:t>
      </w:r>
      <w:r>
        <w:rPr/>
        <w:t>survey</w:t>
      </w:r>
      <w:r>
        <w:rPr>
          <w:spacing w:val="-4"/>
        </w:rPr>
        <w:t> </w:t>
      </w:r>
      <w:r>
        <w:rPr/>
        <w:t>had</w:t>
      </w:r>
      <w:r>
        <w:rPr>
          <w:spacing w:val="-4"/>
        </w:rPr>
        <w:t> </w:t>
      </w:r>
      <w:r>
        <w:rPr/>
        <w:t>shown</w:t>
      </w:r>
      <w:r>
        <w:rPr>
          <w:spacing w:val="-4"/>
        </w:rPr>
        <w:t> </w:t>
      </w:r>
      <w:r>
        <w:rPr/>
        <w:t>a</w:t>
      </w:r>
      <w:r>
        <w:rPr>
          <w:spacing w:val="-4"/>
        </w:rPr>
        <w:t> </w:t>
      </w:r>
      <w:r>
        <w:rPr/>
        <w:t>balance</w:t>
      </w:r>
      <w:r>
        <w:rPr>
          <w:spacing w:val="-4"/>
        </w:rPr>
        <w:t> </w:t>
      </w:r>
      <w:r>
        <w:rPr>
          <w:spacing w:val="2"/>
        </w:rPr>
        <w:t>of</w:t>
      </w:r>
      <w:r>
        <w:rPr/>
        <w:t> +24</w:t>
      </w:r>
      <w:r>
        <w:rPr>
          <w:spacing w:val="-4"/>
        </w:rPr>
        <w:t> </w:t>
      </w:r>
      <w:r>
        <w:rPr/>
        <w:t>respondents</w:t>
      </w:r>
      <w:r>
        <w:rPr>
          <w:spacing w:val="-3"/>
        </w:rPr>
        <w:t> </w:t>
      </w:r>
      <w:r>
        <w:rPr/>
        <w:t>reporting</w:t>
      </w:r>
      <w:r>
        <w:rPr>
          <w:spacing w:val="-3"/>
        </w:rPr>
        <w:t> </w:t>
      </w:r>
      <w:r>
        <w:rPr/>
        <w:t>higher</w:t>
      </w:r>
      <w:r>
        <w:rPr>
          <w:spacing w:val="-4"/>
        </w:rPr>
        <w:t> </w:t>
      </w:r>
      <w:r>
        <w:rPr/>
        <w:t>activity in November, and further growth had been expected in December. The M </w:t>
      </w:r>
      <w:r>
        <w:rPr>
          <w:sz w:val="20"/>
        </w:rPr>
        <w:t>ORI </w:t>
      </w:r>
      <w:r>
        <w:rPr/>
        <w:t>measure of consumer confidence had </w:t>
      </w:r>
      <w:r>
        <w:rPr>
          <w:spacing w:val="2"/>
        </w:rPr>
        <w:t>risen </w:t>
      </w:r>
      <w:r>
        <w:rPr>
          <w:spacing w:val="3"/>
        </w:rPr>
        <w:t>to </w:t>
      </w:r>
      <w:r>
        <w:rPr/>
        <w:t>+4 in November, but the GfK confidence index </w:t>
      </w:r>
      <w:r>
        <w:rPr>
          <w:spacing w:val="2"/>
        </w:rPr>
        <w:t>(which </w:t>
      </w:r>
      <w:r>
        <w:rPr/>
        <w:t>was less volatile and had a bigger sample) had fallen </w:t>
      </w:r>
      <w:r>
        <w:rPr>
          <w:spacing w:val="3"/>
        </w:rPr>
        <w:t>to</w:t>
      </w:r>
      <w:r>
        <w:rPr>
          <w:spacing w:val="32"/>
        </w:rPr>
        <w:t> </w:t>
      </w:r>
      <w:r>
        <w:rPr>
          <w:spacing w:val="2"/>
        </w:rPr>
        <w:t>–1.5.</w:t>
      </w:r>
    </w:p>
    <w:p>
      <w:pPr>
        <w:pStyle w:val="BodyText"/>
        <w:spacing w:before="11"/>
        <w:rPr>
          <w:sz w:val="35"/>
        </w:rPr>
      </w:pPr>
    </w:p>
    <w:p>
      <w:pPr>
        <w:pStyle w:val="BodyText"/>
        <w:tabs>
          <w:tab w:pos="827" w:val="left" w:leader="none"/>
        </w:tabs>
        <w:spacing w:line="360" w:lineRule="auto"/>
        <w:ind w:left="107" w:right="470"/>
      </w:pPr>
      <w:r>
        <w:rPr/>
        <w:t>A24</w:t>
        <w:tab/>
        <w:t>Housing data had been mixed in November, with the Halifax house price index falling by 0.5%, but the Nationwide measure rising by 1.9%. Indicators </w:t>
      </w:r>
      <w:r>
        <w:rPr>
          <w:spacing w:val="2"/>
        </w:rPr>
        <w:t>of </w:t>
      </w:r>
      <w:r>
        <w:rPr/>
        <w:t>housing activity had also been mixed, but generally pointed </w:t>
      </w:r>
      <w:r>
        <w:rPr>
          <w:spacing w:val="3"/>
        </w:rPr>
        <w:t>to </w:t>
      </w:r>
      <w:r>
        <w:rPr/>
        <w:t>continued high levels </w:t>
      </w:r>
      <w:r>
        <w:rPr>
          <w:spacing w:val="3"/>
        </w:rPr>
        <w:t>of </w:t>
      </w:r>
      <w:r>
        <w:rPr/>
        <w:t>activity. Particulars delivered had risen by 4.1% in October and had been 17.4% up </w:t>
      </w:r>
      <w:r>
        <w:rPr>
          <w:spacing w:val="2"/>
        </w:rPr>
        <w:t>on </w:t>
      </w:r>
      <w:r>
        <w:rPr/>
        <w:t>a year earlier. But the seasonally adjusted net balance</w:t>
      </w:r>
      <w:r>
        <w:rPr>
          <w:spacing w:val="-5"/>
        </w:rPr>
        <w:t> </w:t>
      </w:r>
      <w:r>
        <w:rPr>
          <w:spacing w:val="2"/>
        </w:rPr>
        <w:t>of</w:t>
      </w:r>
      <w:r>
        <w:rPr>
          <w:spacing w:val="-1"/>
        </w:rPr>
        <w:t> </w:t>
      </w:r>
      <w:r>
        <w:rPr/>
        <w:t>respondents</w:t>
      </w:r>
      <w:r>
        <w:rPr>
          <w:spacing w:val="-4"/>
        </w:rPr>
        <w:t> </w:t>
      </w:r>
      <w:r>
        <w:rPr/>
        <w:t>reporting</w:t>
      </w:r>
      <w:r>
        <w:rPr>
          <w:spacing w:val="-3"/>
        </w:rPr>
        <w:t> </w:t>
      </w:r>
      <w:r>
        <w:rPr/>
        <w:t>an</w:t>
      </w:r>
      <w:r>
        <w:rPr>
          <w:spacing w:val="-5"/>
        </w:rPr>
        <w:t> </w:t>
      </w:r>
      <w:r>
        <w:rPr/>
        <w:t>increase</w:t>
      </w:r>
      <w:r>
        <w:rPr>
          <w:spacing w:val="-4"/>
        </w:rPr>
        <w:t> </w:t>
      </w:r>
      <w:r>
        <w:rPr/>
        <w:t>in</w:t>
      </w:r>
      <w:r>
        <w:rPr>
          <w:spacing w:val="-5"/>
        </w:rPr>
        <w:t> </w:t>
      </w:r>
      <w:r>
        <w:rPr/>
        <w:t>net reservations</w:t>
      </w:r>
      <w:r>
        <w:rPr>
          <w:spacing w:val="-4"/>
        </w:rPr>
        <w:t> </w:t>
      </w:r>
      <w:r>
        <w:rPr/>
        <w:t>compared</w:t>
      </w:r>
      <w:r>
        <w:rPr>
          <w:spacing w:val="-4"/>
        </w:rPr>
        <w:t> </w:t>
      </w:r>
      <w:r>
        <w:rPr>
          <w:spacing w:val="3"/>
        </w:rPr>
        <w:t>to</w:t>
      </w:r>
      <w:r>
        <w:rPr/>
        <w:t> a</w:t>
      </w:r>
      <w:r>
        <w:rPr>
          <w:spacing w:val="-5"/>
        </w:rPr>
        <w:t> </w:t>
      </w:r>
      <w:r>
        <w:rPr/>
        <w:t>year</w:t>
      </w:r>
      <w:r>
        <w:rPr>
          <w:spacing w:val="-4"/>
        </w:rPr>
        <w:t> </w:t>
      </w:r>
      <w:r>
        <w:rPr/>
        <w:t>ago</w:t>
      </w:r>
      <w:r>
        <w:rPr>
          <w:spacing w:val="-5"/>
        </w:rPr>
        <w:t> </w:t>
      </w:r>
      <w:r>
        <w:rPr/>
        <w:t>had</w:t>
      </w:r>
      <w:r>
        <w:rPr>
          <w:spacing w:val="-4"/>
        </w:rPr>
        <w:t> </w:t>
      </w:r>
      <w:r>
        <w:rPr/>
        <w:t>fallen to +29 in the October House Builders’ Federation survey, from +45 in September. The Royal Institute </w:t>
      </w:r>
      <w:r>
        <w:rPr>
          <w:spacing w:val="2"/>
        </w:rPr>
        <w:t>of </w:t>
      </w:r>
      <w:r>
        <w:rPr/>
        <w:t>Chartered Surveyors seasonally adjusted sales balance had </w:t>
      </w:r>
      <w:r>
        <w:rPr>
          <w:spacing w:val="2"/>
        </w:rPr>
        <w:t>remained </w:t>
      </w:r>
      <w:r>
        <w:rPr/>
        <w:t>high at +32.</w:t>
      </w:r>
    </w:p>
    <w:p>
      <w:pPr>
        <w:pStyle w:val="BodyText"/>
        <w:spacing w:line="360" w:lineRule="auto" w:before="1"/>
        <w:ind w:left="108" w:right="515" w:hanging="1"/>
      </w:pPr>
      <w:r>
        <w:rPr/>
        <w:t>Private housing starts had risen by 4.5% in the three months to October compared to the previous three months, and by 9.0% compared to a year earlier.</w:t>
      </w:r>
    </w:p>
    <w:p>
      <w:pPr>
        <w:spacing w:after="0" w:line="360" w:lineRule="auto"/>
        <w:sectPr>
          <w:pgSz w:w="11900" w:h="16840"/>
          <w:pgMar w:header="1219" w:footer="0" w:top="1600" w:bottom="280" w:left="1140" w:right="780"/>
        </w:sectPr>
      </w:pPr>
    </w:p>
    <w:p>
      <w:pPr>
        <w:pStyle w:val="BodyText"/>
        <w:tabs>
          <w:tab w:pos="827" w:val="left" w:leader="none"/>
        </w:tabs>
        <w:spacing w:line="360" w:lineRule="auto" w:before="121"/>
        <w:ind w:left="108" w:right="517"/>
      </w:pPr>
      <w:r>
        <w:rPr/>
        <w:t>A25</w:t>
        <w:tab/>
        <w:t>The latest survey-based estimate produced by Bank staff had suggested GDP growth of 0.8%-0.9% in Q4. The estimate of three-month on three-month GDP growth produced by the National Institute </w:t>
      </w:r>
      <w:r>
        <w:rPr>
          <w:spacing w:val="2"/>
        </w:rPr>
        <w:t>of Economic </w:t>
      </w:r>
      <w:r>
        <w:rPr/>
        <w:t>and Social Research had been 0.9% in October and projected to be 0.8% in November. Turning to the individual surveys, </w:t>
      </w:r>
      <w:r>
        <w:rPr>
          <w:spacing w:val="3"/>
        </w:rPr>
        <w:t>the </w:t>
      </w:r>
      <w:r>
        <w:rPr>
          <w:spacing w:val="2"/>
        </w:rPr>
        <w:t>output </w:t>
      </w:r>
      <w:r>
        <w:rPr/>
        <w:t>expectations balance in the CBI Monthly </w:t>
      </w:r>
      <w:r>
        <w:rPr>
          <w:spacing w:val="2"/>
        </w:rPr>
        <w:t>Trends </w:t>
      </w:r>
      <w:r>
        <w:rPr/>
        <w:t>survey had fallen back a little </w:t>
      </w:r>
      <w:r>
        <w:rPr>
          <w:spacing w:val="3"/>
        </w:rPr>
        <w:t>to </w:t>
      </w:r>
      <w:r>
        <w:rPr/>
        <w:t>+6 in November from +12 in October. </w:t>
      </w:r>
      <w:r>
        <w:rPr>
          <w:spacing w:val="2"/>
        </w:rPr>
        <w:t>The </w:t>
      </w:r>
      <w:r>
        <w:rPr/>
        <w:t>total </w:t>
      </w:r>
      <w:r>
        <w:rPr>
          <w:spacing w:val="3"/>
        </w:rPr>
        <w:t>orders </w:t>
      </w:r>
      <w:r>
        <w:rPr/>
        <w:t>balance had been above its average at -16, but export </w:t>
      </w:r>
      <w:r>
        <w:rPr>
          <w:spacing w:val="2"/>
        </w:rPr>
        <w:t>order </w:t>
      </w:r>
      <w:r>
        <w:rPr/>
        <w:t>books had been at –33, below their long run average. The October CBI Industrial Trends survey had shown that manufacturing investment intentions had weakened as the balance </w:t>
      </w:r>
      <w:r>
        <w:rPr>
          <w:spacing w:val="3"/>
        </w:rPr>
        <w:t>of </w:t>
      </w:r>
      <w:r>
        <w:rPr/>
        <w:t>expected capital expenditure </w:t>
      </w:r>
      <w:r>
        <w:rPr>
          <w:spacing w:val="2"/>
        </w:rPr>
        <w:t>on </w:t>
      </w:r>
      <w:r>
        <w:rPr/>
        <w:t>plant and machinery had fallen </w:t>
      </w:r>
      <w:r>
        <w:rPr>
          <w:spacing w:val="3"/>
        </w:rPr>
        <w:t>to </w:t>
      </w:r>
      <w:r>
        <w:rPr>
          <w:spacing w:val="2"/>
        </w:rPr>
        <w:t>–11 </w:t>
      </w:r>
      <w:r>
        <w:rPr/>
        <w:t>in Q3 from </w:t>
      </w:r>
      <w:r>
        <w:rPr>
          <w:spacing w:val="4"/>
        </w:rPr>
        <w:t>–8</w:t>
      </w:r>
      <w:r>
        <w:rPr>
          <w:spacing w:val="-41"/>
        </w:rPr>
        <w:t> </w:t>
      </w:r>
      <w:r>
        <w:rPr/>
        <w:t>in Q2, well below the</w:t>
      </w:r>
    </w:p>
    <w:p>
      <w:pPr>
        <w:pStyle w:val="BodyText"/>
        <w:spacing w:line="275" w:lineRule="exact"/>
        <w:ind w:left="108"/>
      </w:pPr>
      <w:r>
        <w:rPr/>
        <w:t>long-run average.</w:t>
      </w:r>
    </w:p>
    <w:p>
      <w:pPr>
        <w:pStyle w:val="BodyText"/>
        <w:rPr>
          <w:sz w:val="26"/>
        </w:rPr>
      </w:pPr>
    </w:p>
    <w:p>
      <w:pPr>
        <w:pStyle w:val="BodyText"/>
        <w:spacing w:before="9"/>
        <w:rPr>
          <w:sz w:val="21"/>
        </w:rPr>
      </w:pPr>
    </w:p>
    <w:p>
      <w:pPr>
        <w:pStyle w:val="BodyText"/>
        <w:tabs>
          <w:tab w:pos="827" w:val="left" w:leader="none"/>
        </w:tabs>
        <w:spacing w:line="360" w:lineRule="auto"/>
        <w:ind w:left="108" w:right="632"/>
      </w:pPr>
      <w:r>
        <w:rPr/>
        <w:t>A26</w:t>
        <w:tab/>
        <w:t>The headline index </w:t>
      </w:r>
      <w:r>
        <w:rPr>
          <w:spacing w:val="2"/>
        </w:rPr>
        <w:t>of </w:t>
      </w:r>
      <w:r>
        <w:rPr/>
        <w:t>the Chartered Institute </w:t>
      </w:r>
      <w:r>
        <w:rPr>
          <w:spacing w:val="2"/>
        </w:rPr>
        <w:t>of </w:t>
      </w:r>
      <w:r>
        <w:rPr/>
        <w:t>Purchasing and Supply </w:t>
      </w:r>
      <w:r>
        <w:rPr>
          <w:spacing w:val="-3"/>
        </w:rPr>
        <w:t>(C</w:t>
      </w:r>
      <w:r>
        <w:rPr>
          <w:spacing w:val="-3"/>
          <w:sz w:val="20"/>
        </w:rPr>
        <w:t>IPS</w:t>
      </w:r>
      <w:r>
        <w:rPr>
          <w:spacing w:val="-3"/>
        </w:rPr>
        <w:t>) </w:t>
      </w:r>
      <w:r>
        <w:rPr>
          <w:spacing w:val="2"/>
        </w:rPr>
        <w:t>manufacturing </w:t>
      </w:r>
      <w:r>
        <w:rPr/>
        <w:t>survey had risen slightly </w:t>
      </w:r>
      <w:r>
        <w:rPr>
          <w:spacing w:val="3"/>
        </w:rPr>
        <w:t>to </w:t>
      </w:r>
      <w:r>
        <w:rPr/>
        <w:t>54.2 in November. The </w:t>
      </w:r>
      <w:r>
        <w:rPr>
          <w:spacing w:val="4"/>
        </w:rPr>
        <w:t>output </w:t>
      </w:r>
      <w:r>
        <w:rPr/>
        <w:t>index had been 57.4, above the no-change value </w:t>
      </w:r>
      <w:r>
        <w:rPr>
          <w:spacing w:val="2"/>
        </w:rPr>
        <w:t>of </w:t>
      </w:r>
      <w:r>
        <w:rPr/>
        <w:t>50 for the ninth consecutive month, and </w:t>
      </w:r>
      <w:r>
        <w:rPr>
          <w:spacing w:val="2"/>
        </w:rPr>
        <w:t>the </w:t>
      </w:r>
      <w:r>
        <w:rPr/>
        <w:t>highest level since February 1997. The survey had suggested rather less buoyant export growth than the </w:t>
      </w:r>
      <w:r>
        <w:rPr>
          <w:spacing w:val="3"/>
        </w:rPr>
        <w:t>official </w:t>
      </w:r>
      <w:r>
        <w:rPr/>
        <w:t>data, with the index at 53.1. Stocks </w:t>
      </w:r>
      <w:r>
        <w:rPr>
          <w:spacing w:val="3"/>
        </w:rPr>
        <w:t>of </w:t>
      </w:r>
      <w:r>
        <w:rPr/>
        <w:t>finished goods had fallen in November, after </w:t>
      </w:r>
      <w:r>
        <w:rPr>
          <w:spacing w:val="2"/>
        </w:rPr>
        <w:t>rising </w:t>
      </w:r>
      <w:r>
        <w:rPr/>
        <w:t>in October for the first time since July 1998. The </w:t>
      </w:r>
      <w:r>
        <w:rPr>
          <w:spacing w:val="-3"/>
        </w:rPr>
        <w:t>C</w:t>
      </w:r>
      <w:r>
        <w:rPr>
          <w:spacing w:val="-3"/>
          <w:sz w:val="20"/>
        </w:rPr>
        <w:t>IPS </w:t>
      </w:r>
      <w:r>
        <w:rPr/>
        <w:t>services survey had strengthened </w:t>
      </w:r>
      <w:r>
        <w:rPr>
          <w:spacing w:val="2"/>
        </w:rPr>
        <w:t>to </w:t>
      </w:r>
      <w:r>
        <w:rPr/>
        <w:t>59.5 in November,</w:t>
      </w:r>
      <w:r>
        <w:rPr>
          <w:spacing w:val="-8"/>
        </w:rPr>
        <w:t> </w:t>
      </w:r>
      <w:r>
        <w:rPr/>
        <w:t>the</w:t>
      </w:r>
      <w:r>
        <w:rPr>
          <w:spacing w:val="-7"/>
        </w:rPr>
        <w:t> </w:t>
      </w:r>
      <w:r>
        <w:rPr/>
        <w:t>highest</w:t>
      </w:r>
      <w:r>
        <w:rPr>
          <w:spacing w:val="-3"/>
        </w:rPr>
        <w:t> </w:t>
      </w:r>
      <w:r>
        <w:rPr/>
        <w:t>level</w:t>
      </w:r>
      <w:r>
        <w:rPr>
          <w:spacing w:val="-7"/>
        </w:rPr>
        <w:t> </w:t>
      </w:r>
      <w:r>
        <w:rPr/>
        <w:t>since</w:t>
      </w:r>
      <w:r>
        <w:rPr>
          <w:spacing w:val="-7"/>
        </w:rPr>
        <w:t> </w:t>
      </w:r>
      <w:r>
        <w:rPr/>
        <w:t>June</w:t>
      </w:r>
      <w:r>
        <w:rPr>
          <w:spacing w:val="-8"/>
        </w:rPr>
        <w:t> </w:t>
      </w:r>
      <w:r>
        <w:rPr/>
        <w:t>1997,</w:t>
      </w:r>
      <w:r>
        <w:rPr>
          <w:spacing w:val="-7"/>
        </w:rPr>
        <w:t> </w:t>
      </w:r>
      <w:r>
        <w:rPr/>
        <w:t>with</w:t>
      </w:r>
      <w:r>
        <w:rPr>
          <w:spacing w:val="-7"/>
        </w:rPr>
        <w:t> </w:t>
      </w:r>
      <w:r>
        <w:rPr/>
        <w:t>business</w:t>
      </w:r>
      <w:r>
        <w:rPr>
          <w:spacing w:val="-8"/>
        </w:rPr>
        <w:t> </w:t>
      </w:r>
      <w:r>
        <w:rPr/>
        <w:t>activity</w:t>
      </w:r>
      <w:r>
        <w:rPr>
          <w:spacing w:val="-7"/>
        </w:rPr>
        <w:t> </w:t>
      </w:r>
      <w:r>
        <w:rPr>
          <w:spacing w:val="2"/>
        </w:rPr>
        <w:t>rising</w:t>
      </w:r>
      <w:r>
        <w:rPr>
          <w:spacing w:val="-6"/>
        </w:rPr>
        <w:t> </w:t>
      </w:r>
      <w:r>
        <w:rPr/>
        <w:t>throughout</w:t>
      </w:r>
      <w:r>
        <w:rPr>
          <w:spacing w:val="-2"/>
        </w:rPr>
        <w:t> </w:t>
      </w:r>
      <w:r>
        <w:rPr/>
        <w:t>the</w:t>
      </w:r>
      <w:r>
        <w:rPr>
          <w:spacing w:val="-8"/>
        </w:rPr>
        <w:t> </w:t>
      </w:r>
      <w:r>
        <w:rPr>
          <w:spacing w:val="2"/>
        </w:rPr>
        <w:t>sector. </w:t>
      </w:r>
      <w:r>
        <w:rPr/>
        <w:t>The </w:t>
      </w:r>
      <w:r>
        <w:rPr>
          <w:spacing w:val="-3"/>
        </w:rPr>
        <w:t>C</w:t>
      </w:r>
      <w:r>
        <w:rPr>
          <w:spacing w:val="-3"/>
          <w:sz w:val="20"/>
        </w:rPr>
        <w:t>IPS </w:t>
      </w:r>
      <w:r>
        <w:rPr/>
        <w:t>construction index had also been strong at 57.5 in November, with housing and commercial </w:t>
      </w:r>
      <w:r>
        <w:rPr>
          <w:spacing w:val="4"/>
        </w:rPr>
        <w:t>orders </w:t>
      </w:r>
      <w:r>
        <w:rPr/>
        <w:t>remaining robust. But construction new </w:t>
      </w:r>
      <w:r>
        <w:rPr>
          <w:spacing w:val="4"/>
        </w:rPr>
        <w:t>orders </w:t>
      </w:r>
      <w:r>
        <w:rPr/>
        <w:t>had fallen by 5% in the three months </w:t>
      </w:r>
      <w:r>
        <w:rPr>
          <w:spacing w:val="2"/>
        </w:rPr>
        <w:t>to </w:t>
      </w:r>
      <w:r>
        <w:rPr/>
        <w:t>September compared with the previous three months, and had been 16% below their level in the same period in</w:t>
      </w:r>
      <w:r>
        <w:rPr>
          <w:spacing w:val="26"/>
        </w:rPr>
        <w:t> </w:t>
      </w:r>
      <w:r>
        <w:rPr/>
        <w:t>1998.</w:t>
      </w:r>
    </w:p>
    <w:p>
      <w:pPr>
        <w:pStyle w:val="BodyText"/>
        <w:spacing w:before="1"/>
        <w:rPr>
          <w:sz w:val="36"/>
        </w:rPr>
      </w:pPr>
    </w:p>
    <w:p>
      <w:pPr>
        <w:pStyle w:val="BodyText"/>
        <w:tabs>
          <w:tab w:pos="827" w:val="left" w:leader="none"/>
        </w:tabs>
        <w:spacing w:line="360" w:lineRule="auto"/>
        <w:ind w:left="108" w:right="540"/>
      </w:pPr>
      <w:r>
        <w:rPr/>
        <w:t>A27</w:t>
        <w:tab/>
        <w:t>In its latest Pre-Budget Report, published </w:t>
      </w:r>
      <w:r>
        <w:rPr>
          <w:spacing w:val="3"/>
        </w:rPr>
        <w:t>on </w:t>
      </w:r>
      <w:r>
        <w:rPr/>
        <w:t>9 November, HM </w:t>
      </w:r>
      <w:r>
        <w:rPr>
          <w:spacing w:val="2"/>
        </w:rPr>
        <w:t>Treasury </w:t>
      </w:r>
      <w:r>
        <w:rPr/>
        <w:t>had revised down its forecast </w:t>
      </w:r>
      <w:r>
        <w:rPr>
          <w:spacing w:val="2"/>
        </w:rPr>
        <w:t>of </w:t>
      </w:r>
      <w:r>
        <w:rPr/>
        <w:t>Public Sector Net Borrowing in 1999/00 by around £6 billion. Forecast receipts had been revised upwards, reflecting an improved cyclical </w:t>
      </w:r>
      <w:r>
        <w:rPr>
          <w:spacing w:val="4"/>
        </w:rPr>
        <w:t>outlook. </w:t>
      </w:r>
      <w:r>
        <w:rPr/>
        <w:t>Projections for total public</w:t>
      </w:r>
      <w:r>
        <w:rPr>
          <w:spacing w:val="-9"/>
        </w:rPr>
        <w:t> </w:t>
      </w:r>
      <w:r>
        <w:rPr>
          <w:spacing w:val="2"/>
        </w:rPr>
        <w:t>sector</w:t>
      </w:r>
      <w:r>
        <w:rPr>
          <w:spacing w:val="-4"/>
        </w:rPr>
        <w:t> </w:t>
      </w:r>
      <w:r>
        <w:rPr/>
        <w:t>spending</w:t>
      </w:r>
      <w:r>
        <w:rPr>
          <w:spacing w:val="-8"/>
        </w:rPr>
        <w:t> </w:t>
      </w:r>
      <w:r>
        <w:rPr>
          <w:spacing w:val="3"/>
        </w:rPr>
        <w:t>out</w:t>
      </w:r>
      <w:r>
        <w:rPr>
          <w:spacing w:val="-5"/>
        </w:rPr>
        <w:t> </w:t>
      </w:r>
      <w:r>
        <w:rPr>
          <w:spacing w:val="3"/>
        </w:rPr>
        <w:t>to</w:t>
      </w:r>
      <w:r>
        <w:rPr>
          <w:spacing w:val="-4"/>
        </w:rPr>
        <w:t> </w:t>
      </w:r>
      <w:r>
        <w:rPr/>
        <w:t>2001/02</w:t>
      </w:r>
      <w:r>
        <w:rPr>
          <w:spacing w:val="-8"/>
        </w:rPr>
        <w:t> </w:t>
      </w:r>
      <w:r>
        <w:rPr/>
        <w:t>had</w:t>
      </w:r>
      <w:r>
        <w:rPr>
          <w:spacing w:val="-9"/>
        </w:rPr>
        <w:t> </w:t>
      </w:r>
      <w:r>
        <w:rPr/>
        <w:t>been</w:t>
      </w:r>
      <w:r>
        <w:rPr>
          <w:spacing w:val="-8"/>
        </w:rPr>
        <w:t> </w:t>
      </w:r>
      <w:r>
        <w:rPr/>
        <w:t>little</w:t>
      </w:r>
      <w:r>
        <w:rPr>
          <w:spacing w:val="-8"/>
        </w:rPr>
        <w:t> </w:t>
      </w:r>
      <w:r>
        <w:rPr/>
        <w:t>changed,</w:t>
      </w:r>
      <w:r>
        <w:rPr>
          <w:spacing w:val="-9"/>
        </w:rPr>
        <w:t> </w:t>
      </w:r>
      <w:r>
        <w:rPr/>
        <w:t>although</w:t>
      </w:r>
      <w:r>
        <w:rPr>
          <w:spacing w:val="-8"/>
        </w:rPr>
        <w:t> </w:t>
      </w:r>
      <w:r>
        <w:rPr/>
        <w:t>a</w:t>
      </w:r>
      <w:r>
        <w:rPr>
          <w:spacing w:val="-9"/>
        </w:rPr>
        <w:t> </w:t>
      </w:r>
      <w:r>
        <w:rPr/>
        <w:t>£0.7</w:t>
      </w:r>
      <w:r>
        <w:rPr>
          <w:spacing w:val="-8"/>
        </w:rPr>
        <w:t> </w:t>
      </w:r>
      <w:r>
        <w:rPr/>
        <w:t>billion</w:t>
      </w:r>
      <w:r>
        <w:rPr>
          <w:spacing w:val="-8"/>
        </w:rPr>
        <w:t> </w:t>
      </w:r>
      <w:r>
        <w:rPr/>
        <w:t>underspend in 1998/99 had been carried forward into</w:t>
      </w:r>
      <w:r>
        <w:rPr>
          <w:spacing w:val="27"/>
        </w:rPr>
        <w:t> </w:t>
      </w:r>
      <w:r>
        <w:rPr/>
        <w:t>1999/00.</w:t>
      </w:r>
    </w:p>
    <w:p>
      <w:pPr>
        <w:pStyle w:val="BodyText"/>
        <w:spacing w:before="2"/>
        <w:rPr>
          <w:sz w:val="36"/>
        </w:rPr>
      </w:pPr>
    </w:p>
    <w:p>
      <w:pPr>
        <w:pStyle w:val="BodyText"/>
        <w:tabs>
          <w:tab w:pos="827" w:val="left" w:leader="none"/>
        </w:tabs>
        <w:spacing w:line="360" w:lineRule="auto"/>
        <w:ind w:left="108" w:right="561"/>
      </w:pPr>
      <w:r>
        <w:rPr/>
        <w:t>A28</w:t>
        <w:tab/>
        <w:t>The Chancellor had announced that the automatic road fuel and tobacco duty escalators would</w:t>
      </w:r>
      <w:r>
        <w:rPr>
          <w:spacing w:val="-6"/>
        </w:rPr>
        <w:t> </w:t>
      </w:r>
      <w:r>
        <w:rPr/>
        <w:t>no</w:t>
      </w:r>
      <w:r>
        <w:rPr>
          <w:spacing w:val="-6"/>
        </w:rPr>
        <w:t> </w:t>
      </w:r>
      <w:r>
        <w:rPr/>
        <w:t>longer</w:t>
      </w:r>
      <w:r>
        <w:rPr>
          <w:spacing w:val="-5"/>
        </w:rPr>
        <w:t> </w:t>
      </w:r>
      <w:r>
        <w:rPr/>
        <w:t>be</w:t>
      </w:r>
      <w:r>
        <w:rPr>
          <w:spacing w:val="-6"/>
        </w:rPr>
        <w:t> </w:t>
      </w:r>
      <w:r>
        <w:rPr/>
        <w:t>applied:</w:t>
      </w:r>
      <w:r>
        <w:rPr>
          <w:spacing w:val="8"/>
        </w:rPr>
        <w:t> </w:t>
      </w:r>
      <w:r>
        <w:rPr/>
        <w:t>decisions</w:t>
      </w:r>
      <w:r>
        <w:rPr>
          <w:spacing w:val="-5"/>
        </w:rPr>
        <w:t> </w:t>
      </w:r>
      <w:r>
        <w:rPr>
          <w:spacing w:val="3"/>
        </w:rPr>
        <w:t>on</w:t>
      </w:r>
      <w:r>
        <w:rPr/>
        <w:t> any</w:t>
      </w:r>
      <w:r>
        <w:rPr>
          <w:spacing w:val="-5"/>
        </w:rPr>
        <w:t> </w:t>
      </w:r>
      <w:r>
        <w:rPr>
          <w:spacing w:val="2"/>
        </w:rPr>
        <w:t>real</w:t>
      </w:r>
      <w:r>
        <w:rPr>
          <w:spacing w:val="-3"/>
        </w:rPr>
        <w:t> </w:t>
      </w:r>
      <w:r>
        <w:rPr/>
        <w:t>increases</w:t>
      </w:r>
      <w:r>
        <w:rPr>
          <w:spacing w:val="-5"/>
        </w:rPr>
        <w:t> </w:t>
      </w:r>
      <w:r>
        <w:rPr/>
        <w:t>in</w:t>
      </w:r>
      <w:r>
        <w:rPr>
          <w:spacing w:val="-5"/>
        </w:rPr>
        <w:t> </w:t>
      </w:r>
      <w:r>
        <w:rPr/>
        <w:t>these</w:t>
      </w:r>
      <w:r>
        <w:rPr>
          <w:spacing w:val="-4"/>
        </w:rPr>
        <w:t> </w:t>
      </w:r>
      <w:r>
        <w:rPr/>
        <w:t>duties</w:t>
      </w:r>
      <w:r>
        <w:rPr>
          <w:spacing w:val="-5"/>
        </w:rPr>
        <w:t> </w:t>
      </w:r>
      <w:r>
        <w:rPr/>
        <w:t>would</w:t>
      </w:r>
      <w:r>
        <w:rPr>
          <w:spacing w:val="-5"/>
        </w:rPr>
        <w:t> </w:t>
      </w:r>
      <w:r>
        <w:rPr/>
        <w:t>be</w:t>
      </w:r>
      <w:r>
        <w:rPr>
          <w:spacing w:val="-5"/>
        </w:rPr>
        <w:t> </w:t>
      </w:r>
      <w:r>
        <w:rPr/>
        <w:t>made</w:t>
      </w:r>
      <w:r>
        <w:rPr>
          <w:spacing w:val="-4"/>
        </w:rPr>
        <w:t> </w:t>
      </w:r>
      <w:r>
        <w:rPr/>
        <w:t>by</w:t>
      </w:r>
      <w:r>
        <w:rPr>
          <w:spacing w:val="-5"/>
        </w:rPr>
        <w:t> </w:t>
      </w:r>
      <w:r>
        <w:rPr>
          <w:spacing w:val="2"/>
        </w:rPr>
        <w:t>the </w:t>
      </w:r>
      <w:r>
        <w:rPr/>
        <w:t>Chancellor in subsequent Budgets. Removing the escalators from the fiscal projections had reduced projected receipts by £1 ¼ billion in 2000/01, rising </w:t>
      </w:r>
      <w:r>
        <w:rPr>
          <w:spacing w:val="3"/>
        </w:rPr>
        <w:t>to </w:t>
      </w:r>
      <w:r>
        <w:rPr/>
        <w:t>£6 billion in</w:t>
      </w:r>
      <w:r>
        <w:rPr>
          <w:spacing w:val="17"/>
        </w:rPr>
        <w:t> </w:t>
      </w:r>
      <w:r>
        <w:rPr/>
        <w:t>2003/04.</w:t>
      </w:r>
    </w:p>
    <w:p>
      <w:pPr>
        <w:spacing w:after="0" w:line="360" w:lineRule="auto"/>
        <w:sectPr>
          <w:pgSz w:w="11900" w:h="16840"/>
          <w:pgMar w:header="1219" w:footer="0" w:top="1600" w:bottom="280" w:left="1140" w:right="780"/>
        </w:sectPr>
      </w:pPr>
    </w:p>
    <w:p>
      <w:pPr>
        <w:pStyle w:val="BodyText"/>
        <w:tabs>
          <w:tab w:pos="827" w:val="left" w:leader="none"/>
        </w:tabs>
        <w:spacing w:line="360" w:lineRule="auto" w:before="121"/>
        <w:ind w:left="107" w:right="518"/>
      </w:pPr>
      <w:r>
        <w:rPr/>
        <w:t>A29</w:t>
        <w:tab/>
        <w:t>The lower </w:t>
      </w:r>
      <w:r>
        <w:rPr>
          <w:spacing w:val="4"/>
        </w:rPr>
        <w:t>overall </w:t>
      </w:r>
      <w:r>
        <w:rPr/>
        <w:t>projections for borrowing had not reflected a tightening </w:t>
      </w:r>
      <w:r>
        <w:rPr>
          <w:spacing w:val="2"/>
        </w:rPr>
        <w:t>of </w:t>
      </w:r>
      <w:r>
        <w:rPr/>
        <w:t>the Government’s desired fiscal stance, which would </w:t>
      </w:r>
      <w:r>
        <w:rPr>
          <w:spacing w:val="3"/>
        </w:rPr>
        <w:t>only </w:t>
      </w:r>
      <w:r>
        <w:rPr/>
        <w:t>be reassessed in the next Budget. Projections for the structural deficit </w:t>
      </w:r>
      <w:r>
        <w:rPr>
          <w:spacing w:val="3"/>
        </w:rPr>
        <w:t>over </w:t>
      </w:r>
      <w:r>
        <w:rPr/>
        <w:t>the next three years had been little changed. The Treasury had published a separate document prior </w:t>
      </w:r>
      <w:r>
        <w:rPr>
          <w:spacing w:val="2"/>
        </w:rPr>
        <w:t>to</w:t>
      </w:r>
      <w:r>
        <w:rPr>
          <w:spacing w:val="-42"/>
        </w:rPr>
        <w:t> </w:t>
      </w:r>
      <w:r>
        <w:rPr/>
        <w:t>the Pre-Budget Report assessing the outlook for</w:t>
      </w:r>
      <w:r>
        <w:rPr>
          <w:spacing w:val="-6"/>
        </w:rPr>
        <w:t> </w:t>
      </w:r>
      <w:r>
        <w:rPr/>
        <w:t>trend</w:t>
      </w:r>
      <w:r>
        <w:rPr>
          <w:spacing w:val="-5"/>
        </w:rPr>
        <w:t> </w:t>
      </w:r>
      <w:r>
        <w:rPr>
          <w:spacing w:val="3"/>
        </w:rPr>
        <w:t>output</w:t>
      </w:r>
      <w:r>
        <w:rPr/>
        <w:t> growth</w:t>
      </w:r>
      <w:r>
        <w:rPr>
          <w:spacing w:val="-5"/>
        </w:rPr>
        <w:t> </w:t>
      </w:r>
      <w:r>
        <w:rPr>
          <w:spacing w:val="3"/>
        </w:rPr>
        <w:t>over</w:t>
      </w:r>
      <w:r>
        <w:rPr>
          <w:spacing w:val="-1"/>
        </w:rPr>
        <w:t> </w:t>
      </w:r>
      <w:r>
        <w:rPr/>
        <w:t>the</w:t>
      </w:r>
      <w:r>
        <w:rPr>
          <w:spacing w:val="-5"/>
        </w:rPr>
        <w:t> </w:t>
      </w:r>
      <w:r>
        <w:rPr/>
        <w:t>next five</w:t>
      </w:r>
      <w:r>
        <w:rPr>
          <w:spacing w:val="-5"/>
        </w:rPr>
        <w:t> </w:t>
      </w:r>
      <w:r>
        <w:rPr/>
        <w:t>years.</w:t>
      </w:r>
      <w:r>
        <w:rPr>
          <w:spacing w:val="-5"/>
        </w:rPr>
        <w:t> </w:t>
      </w:r>
      <w:r>
        <w:rPr/>
        <w:t>This</w:t>
      </w:r>
      <w:r>
        <w:rPr>
          <w:spacing w:val="-4"/>
        </w:rPr>
        <w:t> </w:t>
      </w:r>
      <w:r>
        <w:rPr/>
        <w:t>had</w:t>
      </w:r>
      <w:r>
        <w:rPr>
          <w:spacing w:val="-5"/>
        </w:rPr>
        <w:t> </w:t>
      </w:r>
      <w:r>
        <w:rPr/>
        <w:t>suggested</w:t>
      </w:r>
      <w:r>
        <w:rPr>
          <w:spacing w:val="-5"/>
        </w:rPr>
        <w:t> </w:t>
      </w:r>
      <w:r>
        <w:rPr/>
        <w:t>that</w:t>
      </w:r>
      <w:r>
        <w:rPr>
          <w:spacing w:val="1"/>
        </w:rPr>
        <w:t> </w:t>
      </w:r>
      <w:r>
        <w:rPr/>
        <w:t>trend</w:t>
      </w:r>
      <w:r>
        <w:rPr>
          <w:spacing w:val="-5"/>
        </w:rPr>
        <w:t> </w:t>
      </w:r>
      <w:r>
        <w:rPr/>
        <w:t>growth</w:t>
      </w:r>
      <w:r>
        <w:rPr>
          <w:spacing w:val="-5"/>
        </w:rPr>
        <w:t> </w:t>
      </w:r>
      <w:r>
        <w:rPr/>
        <w:t>could</w:t>
      </w:r>
      <w:r>
        <w:rPr>
          <w:spacing w:val="-5"/>
        </w:rPr>
        <w:t> </w:t>
      </w:r>
      <w:r>
        <w:rPr/>
        <w:t>be</w:t>
      </w:r>
    </w:p>
    <w:p>
      <w:pPr>
        <w:pStyle w:val="BodyText"/>
        <w:spacing w:line="360" w:lineRule="auto"/>
        <w:ind w:left="107" w:right="842"/>
      </w:pPr>
      <w:r>
        <w:rPr/>
        <w:t>2 ½% per annum compared with the 2 ¼% per annum assumed in recent Treasury fiscal forecasts. Nevertheless, the fiscal forecasts in the Pre-Budget Report had continued to assume trend growth of 2 ¼% per annum, as would those in the next Budget.</w:t>
      </w:r>
    </w:p>
    <w:p>
      <w:pPr>
        <w:pStyle w:val="BodyText"/>
        <w:rPr>
          <w:sz w:val="26"/>
        </w:rPr>
      </w:pPr>
    </w:p>
    <w:p>
      <w:pPr>
        <w:pStyle w:val="BodyText"/>
        <w:spacing w:before="9"/>
        <w:rPr>
          <w:sz w:val="20"/>
        </w:rPr>
      </w:pPr>
    </w:p>
    <w:p>
      <w:pPr>
        <w:pStyle w:val="Heading1"/>
        <w:numPr>
          <w:ilvl w:val="0"/>
          <w:numId w:val="3"/>
        </w:numPr>
        <w:tabs>
          <w:tab w:pos="827" w:val="left" w:leader="none"/>
          <w:tab w:pos="828" w:val="left" w:leader="none"/>
        </w:tabs>
        <w:spacing w:line="240" w:lineRule="auto" w:before="0" w:after="0"/>
        <w:ind w:left="828" w:right="0" w:hanging="721"/>
        <w:jc w:val="left"/>
      </w:pPr>
      <w:r>
        <w:rPr/>
        <w:t>The labour</w:t>
      </w:r>
      <w:r>
        <w:rPr>
          <w:spacing w:val="12"/>
        </w:rPr>
        <w:t> </w:t>
      </w:r>
      <w:r>
        <w:rPr/>
        <w:t>market</w:t>
      </w:r>
    </w:p>
    <w:p>
      <w:pPr>
        <w:pStyle w:val="BodyText"/>
        <w:rPr>
          <w:b/>
          <w:sz w:val="26"/>
        </w:rPr>
      </w:pPr>
    </w:p>
    <w:p>
      <w:pPr>
        <w:pStyle w:val="BodyText"/>
        <w:spacing w:before="4"/>
        <w:rPr>
          <w:b/>
          <w:sz w:val="21"/>
        </w:rPr>
      </w:pPr>
    </w:p>
    <w:p>
      <w:pPr>
        <w:pStyle w:val="BodyText"/>
        <w:tabs>
          <w:tab w:pos="827" w:val="left" w:leader="none"/>
        </w:tabs>
        <w:spacing w:line="360" w:lineRule="auto" w:before="1"/>
        <w:ind w:left="108" w:right="790"/>
      </w:pPr>
      <w:r>
        <w:rPr/>
        <w:t>A30</w:t>
        <w:tab/>
        <w:t>According </w:t>
      </w:r>
      <w:r>
        <w:rPr>
          <w:spacing w:val="2"/>
        </w:rPr>
        <w:t>to </w:t>
      </w:r>
      <w:r>
        <w:rPr/>
        <w:t>the Labour Force Survey (LFS), there had been a sharp increase in employment </w:t>
      </w:r>
      <w:r>
        <w:rPr>
          <w:spacing w:val="2"/>
        </w:rPr>
        <w:t>of </w:t>
      </w:r>
      <w:r>
        <w:rPr/>
        <w:t>110,000 (0.4%) in Q3, following growth </w:t>
      </w:r>
      <w:r>
        <w:rPr>
          <w:spacing w:val="2"/>
        </w:rPr>
        <w:t>of </w:t>
      </w:r>
      <w:r>
        <w:rPr/>
        <w:t>0.2% in Q2. After making an adjustment for the difference in average hours worked by full and part-time staff, employment growth in full-time equivalent terms had been the strongest for more than a year. Total hours worked had risen by 0.3% during the quarter. The proportion of the working-age population in </w:t>
      </w:r>
      <w:r>
        <w:rPr>
          <w:spacing w:val="2"/>
        </w:rPr>
        <w:t>employment </w:t>
      </w:r>
      <w:r>
        <w:rPr/>
        <w:t>had </w:t>
      </w:r>
      <w:r>
        <w:rPr>
          <w:spacing w:val="3"/>
        </w:rPr>
        <w:t>risen </w:t>
      </w:r>
      <w:r>
        <w:rPr>
          <w:spacing w:val="2"/>
        </w:rPr>
        <w:t>slightly </w:t>
      </w:r>
      <w:r>
        <w:rPr/>
        <w:t>in Q3, but had </w:t>
      </w:r>
      <w:r>
        <w:rPr>
          <w:spacing w:val="3"/>
        </w:rPr>
        <w:t>remained </w:t>
      </w:r>
      <w:r>
        <w:rPr/>
        <w:t>below the spring 1990</w:t>
      </w:r>
      <w:r>
        <w:rPr>
          <w:spacing w:val="-33"/>
        </w:rPr>
        <w:t> </w:t>
      </w:r>
      <w:r>
        <w:rPr/>
        <w:t>peak.</w:t>
      </w:r>
    </w:p>
    <w:p>
      <w:pPr>
        <w:pStyle w:val="BodyText"/>
        <w:spacing w:before="1"/>
        <w:rPr>
          <w:sz w:val="36"/>
        </w:rPr>
      </w:pPr>
    </w:p>
    <w:p>
      <w:pPr>
        <w:pStyle w:val="BodyText"/>
        <w:tabs>
          <w:tab w:pos="827" w:val="left" w:leader="none"/>
        </w:tabs>
        <w:spacing w:line="360" w:lineRule="auto"/>
        <w:ind w:left="107" w:right="648"/>
      </w:pPr>
      <w:r>
        <w:rPr/>
        <w:t>A31</w:t>
        <w:tab/>
        <w:t>C</w:t>
      </w:r>
      <w:r>
        <w:rPr>
          <w:sz w:val="20"/>
        </w:rPr>
        <w:t>IPS </w:t>
      </w:r>
      <w:r>
        <w:rPr/>
        <w:t>survey measures </w:t>
      </w:r>
      <w:r>
        <w:rPr>
          <w:spacing w:val="3"/>
        </w:rPr>
        <w:t>of </w:t>
      </w:r>
      <w:r>
        <w:rPr/>
        <w:t>employment growth had been little changed in November. The surveys suggested that </w:t>
      </w:r>
      <w:r>
        <w:rPr>
          <w:spacing w:val="2"/>
        </w:rPr>
        <w:t>manufacturing </w:t>
      </w:r>
      <w:r>
        <w:rPr/>
        <w:t>employment had again </w:t>
      </w:r>
      <w:r>
        <w:rPr>
          <w:spacing w:val="2"/>
        </w:rPr>
        <w:t>remained </w:t>
      </w:r>
      <w:r>
        <w:rPr/>
        <w:t>stable, services employment had continued </w:t>
      </w:r>
      <w:r>
        <w:rPr>
          <w:spacing w:val="3"/>
        </w:rPr>
        <w:t>to </w:t>
      </w:r>
      <w:r>
        <w:rPr/>
        <w:t>rise moderately, and growth in construction </w:t>
      </w:r>
      <w:r>
        <w:rPr>
          <w:spacing w:val="2"/>
        </w:rPr>
        <w:t>sector </w:t>
      </w:r>
      <w:r>
        <w:rPr/>
        <w:t>employment had </w:t>
      </w:r>
      <w:r>
        <w:rPr>
          <w:spacing w:val="2"/>
        </w:rPr>
        <w:t>remained</w:t>
      </w:r>
      <w:r>
        <w:rPr>
          <w:spacing w:val="6"/>
        </w:rPr>
        <w:t> </w:t>
      </w:r>
      <w:r>
        <w:rPr/>
        <w:t>robust.</w:t>
      </w:r>
    </w:p>
    <w:p>
      <w:pPr>
        <w:pStyle w:val="BodyText"/>
        <w:spacing w:before="10"/>
        <w:rPr>
          <w:sz w:val="35"/>
        </w:rPr>
      </w:pPr>
    </w:p>
    <w:p>
      <w:pPr>
        <w:pStyle w:val="BodyText"/>
        <w:tabs>
          <w:tab w:pos="827" w:val="left" w:leader="none"/>
        </w:tabs>
        <w:spacing w:line="360" w:lineRule="auto"/>
        <w:ind w:left="107" w:right="499"/>
      </w:pPr>
      <w:r>
        <w:rPr/>
        <w:t>A32</w:t>
        <w:tab/>
        <w:t>Unemployment had continued </w:t>
      </w:r>
      <w:r>
        <w:rPr>
          <w:spacing w:val="3"/>
        </w:rPr>
        <w:t>to </w:t>
      </w:r>
      <w:r>
        <w:rPr/>
        <w:t>fall in Q3, by 38,000 </w:t>
      </w:r>
      <w:r>
        <w:rPr>
          <w:spacing w:val="2"/>
        </w:rPr>
        <w:t>on </w:t>
      </w:r>
      <w:r>
        <w:rPr/>
        <w:t>the LFS measure and by 57,000 </w:t>
      </w:r>
      <w:r>
        <w:rPr>
          <w:spacing w:val="3"/>
        </w:rPr>
        <w:t>on </w:t>
      </w:r>
      <w:r>
        <w:rPr/>
        <w:t>the claimant count measure. Almost the entire fall in the LFS measure had been accounted for by a reduction in the number </w:t>
      </w:r>
      <w:r>
        <w:rPr>
          <w:spacing w:val="2"/>
        </w:rPr>
        <w:t>of </w:t>
      </w:r>
      <w:r>
        <w:rPr/>
        <w:t>short-term unemployed (those unemployed for fewer than six months). </w:t>
      </w:r>
      <w:r>
        <w:rPr>
          <w:spacing w:val="5"/>
        </w:rPr>
        <w:t>The </w:t>
      </w:r>
      <w:r>
        <w:rPr/>
        <w:t>pace </w:t>
      </w:r>
      <w:r>
        <w:rPr>
          <w:spacing w:val="3"/>
        </w:rPr>
        <w:t>of </w:t>
      </w:r>
      <w:r>
        <w:rPr/>
        <w:t>decline in claimant count unemployment had appeared to slow in the most recent data (the claimant count had fallen by 11,000 during September and October, compared with a total </w:t>
      </w:r>
      <w:r>
        <w:rPr>
          <w:spacing w:val="2"/>
        </w:rPr>
        <w:t>of </w:t>
      </w:r>
      <w:r>
        <w:rPr/>
        <w:t>54,000 in the preceding two months). However, the ONS were reviewing the seasonal adjustment </w:t>
      </w:r>
      <w:r>
        <w:rPr>
          <w:spacing w:val="2"/>
        </w:rPr>
        <w:t>of </w:t>
      </w:r>
      <w:r>
        <w:rPr/>
        <w:t>these</w:t>
      </w:r>
      <w:r>
        <w:rPr>
          <w:spacing w:val="23"/>
        </w:rPr>
        <w:t> </w:t>
      </w:r>
      <w:r>
        <w:rPr/>
        <w:t>data.</w:t>
      </w:r>
    </w:p>
    <w:p>
      <w:pPr>
        <w:spacing w:after="0" w:line="360" w:lineRule="auto"/>
        <w:sectPr>
          <w:pgSz w:w="11900" w:h="16840"/>
          <w:pgMar w:header="1219" w:footer="0" w:top="1600" w:bottom="280" w:left="1140" w:right="780"/>
        </w:sectPr>
      </w:pPr>
    </w:p>
    <w:p>
      <w:pPr>
        <w:pStyle w:val="BodyText"/>
        <w:tabs>
          <w:tab w:pos="827" w:val="left" w:leader="none"/>
        </w:tabs>
        <w:spacing w:line="360" w:lineRule="auto" w:before="121"/>
        <w:ind w:left="108" w:right="556"/>
      </w:pPr>
      <w:r>
        <w:rPr/>
        <w:t>A33</w:t>
        <w:tab/>
        <w:t>According </w:t>
      </w:r>
      <w:r>
        <w:rPr>
          <w:spacing w:val="2"/>
        </w:rPr>
        <w:t>to </w:t>
      </w:r>
      <w:r>
        <w:rPr/>
        <w:t>the Federation of Recruitment and </w:t>
      </w:r>
      <w:r>
        <w:rPr>
          <w:spacing w:val="2"/>
        </w:rPr>
        <w:t>Employment </w:t>
      </w:r>
      <w:r>
        <w:rPr/>
        <w:t>Services (F</w:t>
      </w:r>
      <w:r>
        <w:rPr>
          <w:sz w:val="20"/>
        </w:rPr>
        <w:t>RES</w:t>
      </w:r>
      <w:r>
        <w:rPr/>
        <w:t>) survey </w:t>
      </w:r>
      <w:r>
        <w:rPr>
          <w:spacing w:val="3"/>
        </w:rPr>
        <w:t>of </w:t>
      </w:r>
      <w:r>
        <w:rPr/>
        <w:t>recruitment agencies, staff shortages had continued </w:t>
      </w:r>
      <w:r>
        <w:rPr>
          <w:spacing w:val="3"/>
        </w:rPr>
        <w:t>to </w:t>
      </w:r>
      <w:r>
        <w:rPr/>
        <w:t>intensify in November. The </w:t>
      </w:r>
      <w:r>
        <w:rPr>
          <w:spacing w:val="-4"/>
        </w:rPr>
        <w:t>Bank’s </w:t>
      </w:r>
      <w:r>
        <w:rPr/>
        <w:t>regional</w:t>
      </w:r>
      <w:r>
        <w:rPr>
          <w:spacing w:val="-7"/>
        </w:rPr>
        <w:t> </w:t>
      </w:r>
      <w:r>
        <w:rPr/>
        <w:t>Agents</w:t>
      </w:r>
      <w:r>
        <w:rPr>
          <w:spacing w:val="-7"/>
        </w:rPr>
        <w:t> </w:t>
      </w:r>
      <w:r>
        <w:rPr/>
        <w:t>had</w:t>
      </w:r>
      <w:r>
        <w:rPr>
          <w:spacing w:val="-5"/>
        </w:rPr>
        <w:t> </w:t>
      </w:r>
      <w:r>
        <w:rPr/>
        <w:t>also</w:t>
      </w:r>
      <w:r>
        <w:rPr>
          <w:spacing w:val="-2"/>
        </w:rPr>
        <w:t> </w:t>
      </w:r>
      <w:r>
        <w:rPr>
          <w:spacing w:val="2"/>
        </w:rPr>
        <w:t>reported</w:t>
      </w:r>
      <w:r>
        <w:rPr>
          <w:spacing w:val="-5"/>
        </w:rPr>
        <w:t> </w:t>
      </w:r>
      <w:r>
        <w:rPr/>
        <w:t>evidence</w:t>
      </w:r>
      <w:r>
        <w:rPr>
          <w:spacing w:val="-7"/>
        </w:rPr>
        <w:t> </w:t>
      </w:r>
      <w:r>
        <w:rPr>
          <w:spacing w:val="3"/>
        </w:rPr>
        <w:t>of</w:t>
      </w:r>
      <w:r>
        <w:rPr>
          <w:spacing w:val="-3"/>
        </w:rPr>
        <w:t> </w:t>
      </w:r>
      <w:r>
        <w:rPr>
          <w:spacing w:val="2"/>
        </w:rPr>
        <w:t>rising</w:t>
      </w:r>
      <w:r>
        <w:rPr>
          <w:spacing w:val="-5"/>
        </w:rPr>
        <w:t> </w:t>
      </w:r>
      <w:r>
        <w:rPr/>
        <w:t>shortages</w:t>
      </w:r>
      <w:r>
        <w:rPr>
          <w:spacing w:val="-6"/>
        </w:rPr>
        <w:t> </w:t>
      </w:r>
      <w:r>
        <w:rPr>
          <w:spacing w:val="3"/>
        </w:rPr>
        <w:t>of</w:t>
      </w:r>
      <w:r>
        <w:rPr>
          <w:spacing w:val="-3"/>
        </w:rPr>
        <w:t> </w:t>
      </w:r>
      <w:r>
        <w:rPr/>
        <w:t>both</w:t>
      </w:r>
      <w:r>
        <w:rPr>
          <w:spacing w:val="-7"/>
        </w:rPr>
        <w:t> </w:t>
      </w:r>
      <w:r>
        <w:rPr/>
        <w:t>skilled</w:t>
      </w:r>
      <w:r>
        <w:rPr>
          <w:spacing w:val="-7"/>
        </w:rPr>
        <w:t> </w:t>
      </w:r>
      <w:r>
        <w:rPr/>
        <w:t>and</w:t>
      </w:r>
      <w:r>
        <w:rPr>
          <w:spacing w:val="-6"/>
        </w:rPr>
        <w:t> </w:t>
      </w:r>
      <w:r>
        <w:rPr/>
        <w:t>unskilled</w:t>
      </w:r>
      <w:r>
        <w:rPr>
          <w:spacing w:val="-7"/>
        </w:rPr>
        <w:t> </w:t>
      </w:r>
      <w:r>
        <w:rPr/>
        <w:t>staff, particularly in the</w:t>
      </w:r>
      <w:r>
        <w:rPr>
          <w:spacing w:val="22"/>
        </w:rPr>
        <w:t> </w:t>
      </w:r>
      <w:r>
        <w:rPr/>
        <w:t>South.</w:t>
      </w:r>
    </w:p>
    <w:p>
      <w:pPr>
        <w:pStyle w:val="BodyText"/>
        <w:spacing w:before="11"/>
        <w:rPr>
          <w:sz w:val="35"/>
        </w:rPr>
      </w:pPr>
    </w:p>
    <w:p>
      <w:pPr>
        <w:pStyle w:val="BodyText"/>
        <w:tabs>
          <w:tab w:pos="827" w:val="left" w:leader="none"/>
        </w:tabs>
        <w:spacing w:line="360" w:lineRule="auto"/>
        <w:ind w:left="108" w:right="601"/>
      </w:pPr>
      <w:r>
        <w:rPr/>
        <w:t>A34</w:t>
        <w:tab/>
        <w:t>The headline measure </w:t>
      </w:r>
      <w:r>
        <w:rPr>
          <w:spacing w:val="3"/>
        </w:rPr>
        <w:t>of </w:t>
      </w:r>
      <w:r>
        <w:rPr/>
        <w:t>annual growth in average earnings per head, a three-month moving average, had fallen from 4.9% in August </w:t>
      </w:r>
      <w:r>
        <w:rPr>
          <w:spacing w:val="3"/>
        </w:rPr>
        <w:t>to </w:t>
      </w:r>
      <w:r>
        <w:rPr/>
        <w:t>4.7% in September. Within the total, the service sector headline measure had fallen by 0.4 percentage points </w:t>
      </w:r>
      <w:r>
        <w:rPr>
          <w:spacing w:val="2"/>
        </w:rPr>
        <w:t>to </w:t>
      </w:r>
      <w:r>
        <w:rPr/>
        <w:t>5.0%, while the manufacturing measure had risen 0.3 percentage points </w:t>
      </w:r>
      <w:r>
        <w:rPr>
          <w:spacing w:val="2"/>
        </w:rPr>
        <w:t>to </w:t>
      </w:r>
      <w:r>
        <w:rPr/>
        <w:t>4.0%. The Reward index had risen</w:t>
      </w:r>
      <w:r>
        <w:rPr>
          <w:spacing w:val="-4"/>
        </w:rPr>
        <w:t> </w:t>
      </w:r>
      <w:r>
        <w:rPr/>
        <w:t>by</w:t>
      </w:r>
    </w:p>
    <w:p>
      <w:pPr>
        <w:pStyle w:val="BodyText"/>
        <w:spacing w:line="360" w:lineRule="auto"/>
        <w:ind w:left="108" w:right="341"/>
      </w:pPr>
      <w:r>
        <w:rPr/>
        <w:t>0.1 percentage points to 3.5% in October. According to the F</w:t>
      </w:r>
      <w:r>
        <w:rPr>
          <w:sz w:val="20"/>
        </w:rPr>
        <w:t>RES </w:t>
      </w:r>
      <w:r>
        <w:rPr/>
        <w:t>survey, there had been little change in the rate of earnings growth of either permanent or temporary staff in November.</w:t>
      </w:r>
    </w:p>
    <w:p>
      <w:pPr>
        <w:pStyle w:val="BodyText"/>
        <w:spacing w:before="1"/>
        <w:rPr>
          <w:sz w:val="36"/>
        </w:rPr>
      </w:pPr>
    </w:p>
    <w:p>
      <w:pPr>
        <w:pStyle w:val="BodyText"/>
        <w:tabs>
          <w:tab w:pos="827" w:val="left" w:leader="none"/>
        </w:tabs>
        <w:spacing w:line="360" w:lineRule="auto"/>
        <w:ind w:left="108" w:right="733"/>
      </w:pPr>
      <w:r>
        <w:rPr/>
        <w:t>A35</w:t>
        <w:tab/>
      </w:r>
      <w:r>
        <w:rPr>
          <w:spacing w:val="2"/>
        </w:rPr>
        <w:t>There </w:t>
      </w:r>
      <w:r>
        <w:rPr/>
        <w:t>had been little new information </w:t>
      </w:r>
      <w:r>
        <w:rPr>
          <w:spacing w:val="2"/>
        </w:rPr>
        <w:t>on </w:t>
      </w:r>
      <w:r>
        <w:rPr/>
        <w:t>settlements. The </w:t>
      </w:r>
      <w:r>
        <w:rPr>
          <w:spacing w:val="-4"/>
        </w:rPr>
        <w:t>Bank’s </w:t>
      </w:r>
      <w:r>
        <w:rPr/>
        <w:t>AEI-weighted twelve-month mean settlement had remained at 3.5% in October. Further details had </w:t>
      </w:r>
      <w:r>
        <w:rPr>
          <w:spacing w:val="2"/>
        </w:rPr>
        <w:t>become available </w:t>
      </w:r>
      <w:r>
        <w:rPr/>
        <w:t>on the proposed three-year deal at Ford. It had been reported that the first year would combine a pay increase </w:t>
      </w:r>
      <w:r>
        <w:rPr>
          <w:spacing w:val="2"/>
        </w:rPr>
        <w:t>of </w:t>
      </w:r>
      <w:r>
        <w:rPr/>
        <w:t>4.0% with a cut in basic hours worked. This would be above the average rate </w:t>
      </w:r>
      <w:r>
        <w:rPr>
          <w:spacing w:val="2"/>
        </w:rPr>
        <w:t>of </w:t>
      </w:r>
      <w:r>
        <w:rPr/>
        <w:t>recent manufacturing settlements in the </w:t>
      </w:r>
      <w:r>
        <w:rPr>
          <w:spacing w:val="-5"/>
        </w:rPr>
        <w:t>Bank’s</w:t>
      </w:r>
      <w:r>
        <w:rPr>
          <w:spacing w:val="11"/>
        </w:rPr>
        <w:t> </w:t>
      </w:r>
      <w:r>
        <w:rPr/>
        <w:t>database.</w:t>
      </w:r>
    </w:p>
    <w:p>
      <w:pPr>
        <w:pStyle w:val="BodyText"/>
        <w:spacing w:before="9"/>
        <w:rPr>
          <w:sz w:val="35"/>
        </w:rPr>
      </w:pPr>
    </w:p>
    <w:p>
      <w:pPr>
        <w:pStyle w:val="BodyText"/>
        <w:tabs>
          <w:tab w:pos="827" w:val="left" w:leader="none"/>
        </w:tabs>
        <w:spacing w:line="360" w:lineRule="auto"/>
        <w:ind w:left="108" w:right="574"/>
      </w:pPr>
      <w:r>
        <w:rPr/>
        <w:t>A36</w:t>
        <w:tab/>
        <w:t>Historically, much </w:t>
      </w:r>
      <w:r>
        <w:rPr>
          <w:spacing w:val="3"/>
        </w:rPr>
        <w:t>of </w:t>
      </w:r>
      <w:r>
        <w:rPr/>
        <w:t>the variation in nominal earnings growth </w:t>
      </w:r>
      <w:r>
        <w:rPr>
          <w:spacing w:val="10"/>
        </w:rPr>
        <w:t>had </w:t>
      </w:r>
      <w:r>
        <w:rPr>
          <w:spacing w:val="2"/>
        </w:rPr>
        <w:t>reflected </w:t>
      </w:r>
      <w:r>
        <w:rPr/>
        <w:t>changes in inflation expectations. The latest data had suggested that real average earnings growth, after adjustment</w:t>
      </w:r>
      <w:r>
        <w:rPr>
          <w:spacing w:val="-5"/>
        </w:rPr>
        <w:t> </w:t>
      </w:r>
      <w:r>
        <w:rPr/>
        <w:t>for</w:t>
      </w:r>
      <w:r>
        <w:rPr>
          <w:spacing w:val="-8"/>
        </w:rPr>
        <w:t> </w:t>
      </w:r>
      <w:r>
        <w:rPr/>
        <w:t>the</w:t>
      </w:r>
      <w:r>
        <w:rPr>
          <w:spacing w:val="-9"/>
        </w:rPr>
        <w:t> </w:t>
      </w:r>
      <w:r>
        <w:rPr/>
        <w:t>surveyed</w:t>
      </w:r>
      <w:r>
        <w:rPr>
          <w:spacing w:val="-9"/>
        </w:rPr>
        <w:t> </w:t>
      </w:r>
      <w:r>
        <w:rPr/>
        <w:t>inflation</w:t>
      </w:r>
      <w:r>
        <w:rPr>
          <w:spacing w:val="-9"/>
        </w:rPr>
        <w:t> </w:t>
      </w:r>
      <w:r>
        <w:rPr/>
        <w:t>expectations</w:t>
      </w:r>
      <w:r>
        <w:rPr>
          <w:spacing w:val="-9"/>
        </w:rPr>
        <w:t> </w:t>
      </w:r>
      <w:r>
        <w:rPr>
          <w:spacing w:val="2"/>
        </w:rPr>
        <w:t>of</w:t>
      </w:r>
      <w:r>
        <w:rPr>
          <w:spacing w:val="-5"/>
        </w:rPr>
        <w:t> </w:t>
      </w:r>
      <w:r>
        <w:rPr/>
        <w:t>trade</w:t>
      </w:r>
      <w:r>
        <w:rPr>
          <w:spacing w:val="-9"/>
        </w:rPr>
        <w:t> </w:t>
      </w:r>
      <w:r>
        <w:rPr/>
        <w:t>union</w:t>
      </w:r>
      <w:r>
        <w:rPr>
          <w:spacing w:val="-9"/>
        </w:rPr>
        <w:t> </w:t>
      </w:r>
      <w:r>
        <w:rPr/>
        <w:t>leaders,</w:t>
      </w:r>
      <w:r>
        <w:rPr>
          <w:spacing w:val="-9"/>
        </w:rPr>
        <w:t> </w:t>
      </w:r>
      <w:r>
        <w:rPr/>
        <w:t>m</w:t>
      </w:r>
      <w:r>
        <w:rPr>
          <w:spacing w:val="-33"/>
        </w:rPr>
        <w:t> </w:t>
      </w:r>
      <w:r>
        <w:rPr/>
        <w:t>ight</w:t>
      </w:r>
      <w:r>
        <w:rPr>
          <w:spacing w:val="-3"/>
        </w:rPr>
        <w:t> </w:t>
      </w:r>
      <w:r>
        <w:rPr/>
        <w:t>have</w:t>
      </w:r>
      <w:r>
        <w:rPr>
          <w:spacing w:val="-7"/>
        </w:rPr>
        <w:t> </w:t>
      </w:r>
      <w:r>
        <w:rPr/>
        <w:t>levelled</w:t>
      </w:r>
      <w:r>
        <w:rPr>
          <w:spacing w:val="-8"/>
        </w:rPr>
        <w:t> </w:t>
      </w:r>
      <w:r>
        <w:rPr>
          <w:spacing w:val="5"/>
        </w:rPr>
        <w:t>off </w:t>
      </w:r>
      <w:r>
        <w:rPr/>
        <w:t>at around</w:t>
      </w:r>
      <w:r>
        <w:rPr>
          <w:spacing w:val="6"/>
        </w:rPr>
        <w:t> </w:t>
      </w:r>
      <w:r>
        <w:rPr/>
        <w:t>2%.</w:t>
      </w:r>
    </w:p>
    <w:p>
      <w:pPr>
        <w:pStyle w:val="BodyText"/>
        <w:spacing w:before="6"/>
        <w:rPr>
          <w:sz w:val="30"/>
        </w:rPr>
      </w:pPr>
    </w:p>
    <w:p>
      <w:pPr>
        <w:pStyle w:val="Heading1"/>
        <w:numPr>
          <w:ilvl w:val="0"/>
          <w:numId w:val="3"/>
        </w:numPr>
        <w:tabs>
          <w:tab w:pos="827" w:val="left" w:leader="none"/>
          <w:tab w:pos="828" w:val="left" w:leader="none"/>
        </w:tabs>
        <w:spacing w:line="240" w:lineRule="auto" w:before="0" w:after="0"/>
        <w:ind w:left="828" w:right="0" w:hanging="720"/>
        <w:jc w:val="left"/>
      </w:pPr>
      <w:r>
        <w:rPr/>
        <w:t>Prices</w:t>
      </w:r>
    </w:p>
    <w:p>
      <w:pPr>
        <w:pStyle w:val="BodyText"/>
        <w:rPr>
          <w:b/>
          <w:sz w:val="26"/>
        </w:rPr>
      </w:pPr>
    </w:p>
    <w:p>
      <w:pPr>
        <w:pStyle w:val="BodyText"/>
        <w:spacing w:before="4"/>
        <w:rPr>
          <w:b/>
          <w:sz w:val="21"/>
        </w:rPr>
      </w:pPr>
    </w:p>
    <w:p>
      <w:pPr>
        <w:pStyle w:val="BodyText"/>
        <w:tabs>
          <w:tab w:pos="827" w:val="left" w:leader="none"/>
        </w:tabs>
        <w:spacing w:line="360" w:lineRule="auto"/>
        <w:ind w:left="108" w:right="529"/>
      </w:pPr>
      <w:r>
        <w:rPr/>
        <w:t>A37</w:t>
        <w:tab/>
        <w:t>The </w:t>
      </w:r>
      <w:r>
        <w:rPr>
          <w:spacing w:val="-5"/>
        </w:rPr>
        <w:t>Bank’s </w:t>
      </w:r>
      <w:r>
        <w:rPr>
          <w:spacing w:val="5"/>
        </w:rPr>
        <w:t>oil-inclusive </w:t>
      </w:r>
      <w:r>
        <w:rPr/>
        <w:t>commodity price index had fallen by 1.0% in October, taking the annual inflation rate from 13.2% </w:t>
      </w:r>
      <w:r>
        <w:rPr>
          <w:spacing w:val="3"/>
        </w:rPr>
        <w:t>to </w:t>
      </w:r>
      <w:r>
        <w:rPr/>
        <w:t>12.9%. The monthly fall had reflected price falls in crude </w:t>
      </w:r>
      <w:r>
        <w:rPr>
          <w:spacing w:val="3"/>
        </w:rPr>
        <w:t>oil </w:t>
      </w:r>
      <w:r>
        <w:rPr/>
        <w:t>and all the </w:t>
      </w:r>
      <w:r>
        <w:rPr>
          <w:spacing w:val="4"/>
        </w:rPr>
        <w:t>other </w:t>
      </w:r>
      <w:r>
        <w:rPr/>
        <w:t>major components </w:t>
      </w:r>
      <w:r>
        <w:rPr>
          <w:spacing w:val="2"/>
        </w:rPr>
        <w:t>of </w:t>
      </w:r>
      <w:r>
        <w:rPr/>
        <w:t>the index. The non-oil index had fallen by 1.3% in October, but had risen by 1.5% </w:t>
      </w:r>
      <w:r>
        <w:rPr>
          <w:spacing w:val="2"/>
        </w:rPr>
        <w:t>on </w:t>
      </w:r>
      <w:r>
        <w:rPr/>
        <w:t>a year earlier. Metal prices had fallen for the first time since June, and domestic food price inflation had remained</w:t>
      </w:r>
      <w:r>
        <w:rPr>
          <w:spacing w:val="31"/>
        </w:rPr>
        <w:t> </w:t>
      </w:r>
      <w:r>
        <w:rPr/>
        <w:t>weak.</w:t>
      </w:r>
    </w:p>
    <w:p>
      <w:pPr>
        <w:pStyle w:val="BodyText"/>
        <w:spacing w:before="3"/>
        <w:rPr>
          <w:sz w:val="36"/>
        </w:rPr>
      </w:pPr>
    </w:p>
    <w:p>
      <w:pPr>
        <w:pStyle w:val="BodyText"/>
        <w:tabs>
          <w:tab w:pos="827" w:val="left" w:leader="none"/>
        </w:tabs>
        <w:spacing w:line="360" w:lineRule="auto"/>
        <w:ind w:left="108" w:right="894"/>
      </w:pPr>
      <w:r>
        <w:rPr/>
        <w:t>A38</w:t>
        <w:tab/>
        <w:t>Seasonally</w:t>
      </w:r>
      <w:r>
        <w:rPr>
          <w:spacing w:val="-5"/>
        </w:rPr>
        <w:t> </w:t>
      </w:r>
      <w:r>
        <w:rPr/>
        <w:t>adjusted</w:t>
      </w:r>
      <w:r>
        <w:rPr>
          <w:spacing w:val="-6"/>
        </w:rPr>
        <w:t> </w:t>
      </w:r>
      <w:r>
        <w:rPr/>
        <w:t>manufacturing</w:t>
      </w:r>
      <w:r>
        <w:rPr>
          <w:spacing w:val="-5"/>
        </w:rPr>
        <w:t> </w:t>
      </w:r>
      <w:r>
        <w:rPr/>
        <w:t>input</w:t>
      </w:r>
      <w:r>
        <w:rPr>
          <w:spacing w:val="-1"/>
        </w:rPr>
        <w:t> </w:t>
      </w:r>
      <w:r>
        <w:rPr/>
        <w:t>prices</w:t>
      </w:r>
      <w:r>
        <w:rPr>
          <w:spacing w:val="-6"/>
        </w:rPr>
        <w:t> </w:t>
      </w:r>
      <w:r>
        <w:rPr/>
        <w:t>had</w:t>
      </w:r>
      <w:r>
        <w:rPr>
          <w:spacing w:val="-6"/>
        </w:rPr>
        <w:t> </w:t>
      </w:r>
      <w:r>
        <w:rPr/>
        <w:t>fallen</w:t>
      </w:r>
      <w:r>
        <w:rPr>
          <w:spacing w:val="-5"/>
        </w:rPr>
        <w:t> </w:t>
      </w:r>
      <w:r>
        <w:rPr/>
        <w:t>by</w:t>
      </w:r>
      <w:r>
        <w:rPr>
          <w:spacing w:val="-6"/>
        </w:rPr>
        <w:t> </w:t>
      </w:r>
      <w:r>
        <w:rPr/>
        <w:t>0.1%</w:t>
      </w:r>
      <w:r>
        <w:rPr>
          <w:spacing w:val="-5"/>
        </w:rPr>
        <w:t> </w:t>
      </w:r>
      <w:r>
        <w:rPr/>
        <w:t>in</w:t>
      </w:r>
      <w:r>
        <w:rPr>
          <w:spacing w:val="-6"/>
        </w:rPr>
        <w:t> </w:t>
      </w:r>
      <w:r>
        <w:rPr/>
        <w:t>October,</w:t>
      </w:r>
      <w:r>
        <w:rPr>
          <w:spacing w:val="-5"/>
        </w:rPr>
        <w:t> </w:t>
      </w:r>
      <w:r>
        <w:rPr/>
        <w:t>but</w:t>
      </w:r>
      <w:r>
        <w:rPr>
          <w:spacing w:val="-1"/>
        </w:rPr>
        <w:t> </w:t>
      </w:r>
      <w:r>
        <w:rPr>
          <w:spacing w:val="2"/>
        </w:rPr>
        <w:t>the </w:t>
      </w:r>
      <w:r>
        <w:rPr/>
        <w:t>annual inflation </w:t>
      </w:r>
      <w:r>
        <w:rPr>
          <w:spacing w:val="2"/>
        </w:rPr>
        <w:t>rate </w:t>
      </w:r>
      <w:r>
        <w:rPr/>
        <w:t>had increased </w:t>
      </w:r>
      <w:r>
        <w:rPr>
          <w:spacing w:val="2"/>
        </w:rPr>
        <w:t>to </w:t>
      </w:r>
      <w:r>
        <w:rPr/>
        <w:t>6.3% from 5.8%. The latest </w:t>
      </w:r>
      <w:r>
        <w:rPr>
          <w:spacing w:val="2"/>
        </w:rPr>
        <w:t>C</w:t>
      </w:r>
      <w:r>
        <w:rPr>
          <w:spacing w:val="2"/>
          <w:sz w:val="20"/>
        </w:rPr>
        <w:t>IPS </w:t>
      </w:r>
      <w:r>
        <w:rPr/>
        <w:t>manufacturing</w:t>
      </w:r>
      <w:r>
        <w:rPr>
          <w:spacing w:val="6"/>
        </w:rPr>
        <w:t> </w:t>
      </w:r>
      <w:r>
        <w:rPr/>
        <w:t>survey</w:t>
      </w:r>
    </w:p>
    <w:p>
      <w:pPr>
        <w:spacing w:after="0" w:line="360" w:lineRule="auto"/>
        <w:sectPr>
          <w:pgSz w:w="11900" w:h="16840"/>
          <w:pgMar w:header="1219" w:footer="0" w:top="1600" w:bottom="280" w:left="1140" w:right="780"/>
        </w:sectPr>
      </w:pPr>
    </w:p>
    <w:p>
      <w:pPr>
        <w:pStyle w:val="BodyText"/>
        <w:spacing w:line="360" w:lineRule="auto" w:before="121"/>
        <w:ind w:left="107" w:right="533"/>
      </w:pPr>
      <w:r>
        <w:rPr/>
        <w:t>input price index had risen to 57.1 in November, the highest for four years. Seasonally adjusted total output prices excluding excise duties (PPIY) had risen by 0.1% in October, to give an annual inflation rate of 0.9%. The seasonally adjusted CBI output price expectations balance had risen to –7 in November, the highest since February 1998. In November’s C </w:t>
      </w:r>
      <w:r>
        <w:rPr>
          <w:sz w:val="20"/>
        </w:rPr>
        <w:t>IPS </w:t>
      </w:r>
      <w:r>
        <w:rPr/>
        <w:t>services survey, the average prices charged index had risen to 53.2, the highest for two and a half years.</w:t>
      </w:r>
    </w:p>
    <w:p>
      <w:pPr>
        <w:pStyle w:val="BodyText"/>
        <w:spacing w:before="9"/>
        <w:rPr>
          <w:sz w:val="35"/>
        </w:rPr>
      </w:pPr>
    </w:p>
    <w:p>
      <w:pPr>
        <w:pStyle w:val="BodyText"/>
        <w:spacing w:line="360" w:lineRule="auto" w:before="1"/>
        <w:ind w:left="107" w:right="840"/>
        <w:jc w:val="both"/>
      </w:pPr>
      <w:r>
        <w:rPr/>
        <w:t>A39 Prices of exports and imports of goods had risen by 1.5% and 1.0% respectively in the three months to September. Stripping out the oil component, export prices had fallen by 0.7% and import prices had risen by 0.2% over the same period.</w:t>
      </w:r>
    </w:p>
    <w:p>
      <w:pPr>
        <w:pStyle w:val="BodyText"/>
        <w:spacing w:before="11"/>
        <w:rPr>
          <w:sz w:val="35"/>
        </w:rPr>
      </w:pPr>
    </w:p>
    <w:p>
      <w:pPr>
        <w:pStyle w:val="BodyText"/>
        <w:tabs>
          <w:tab w:pos="827" w:val="left" w:leader="none"/>
        </w:tabs>
        <w:spacing w:line="360" w:lineRule="auto"/>
        <w:ind w:left="107" w:right="529"/>
      </w:pPr>
      <w:r>
        <w:rPr/>
        <w:t>A40</w:t>
        <w:tab/>
        <w:t>The annual rate </w:t>
      </w:r>
      <w:r>
        <w:rPr>
          <w:spacing w:val="2"/>
        </w:rPr>
        <w:t>of </w:t>
      </w:r>
      <w:r>
        <w:rPr/>
        <w:t>change </w:t>
      </w:r>
      <w:r>
        <w:rPr>
          <w:spacing w:val="2"/>
        </w:rPr>
        <w:t>of </w:t>
      </w:r>
      <w:r>
        <w:rPr/>
        <w:t>the GDP deflator had been 1.8% in Q3, the same as in Q2. Larger rises in the household expenditure and investment </w:t>
      </w:r>
      <w:r>
        <w:rPr>
          <w:spacing w:val="3"/>
        </w:rPr>
        <w:t>deflators </w:t>
      </w:r>
      <w:r>
        <w:rPr/>
        <w:t>had been </w:t>
      </w:r>
      <w:r>
        <w:rPr>
          <w:spacing w:val="5"/>
        </w:rPr>
        <w:t>offset </w:t>
      </w:r>
      <w:r>
        <w:rPr/>
        <w:t>by </w:t>
      </w:r>
      <w:r>
        <w:rPr>
          <w:spacing w:val="4"/>
        </w:rPr>
        <w:t>smaller </w:t>
      </w:r>
      <w:r>
        <w:rPr/>
        <w:t>increases in the government consumption </w:t>
      </w:r>
      <w:r>
        <w:rPr>
          <w:spacing w:val="2"/>
        </w:rPr>
        <w:t>deflator. </w:t>
      </w:r>
      <w:r>
        <w:rPr/>
        <w:t>The </w:t>
      </w:r>
      <w:r>
        <w:rPr>
          <w:spacing w:val="2"/>
        </w:rPr>
        <w:t>retail </w:t>
      </w:r>
      <w:r>
        <w:rPr/>
        <w:t>sales </w:t>
      </w:r>
      <w:r>
        <w:rPr>
          <w:spacing w:val="2"/>
        </w:rPr>
        <w:t>deflator </w:t>
      </w:r>
      <w:r>
        <w:rPr/>
        <w:t>had fallen by 0.9%</w:t>
      </w:r>
      <w:r>
        <w:rPr>
          <w:spacing w:val="-29"/>
        </w:rPr>
        <w:t> </w:t>
      </w:r>
      <w:r>
        <w:rPr/>
        <w:t>in the year to October, the lowest inflation </w:t>
      </w:r>
      <w:r>
        <w:rPr>
          <w:spacing w:val="2"/>
        </w:rPr>
        <w:t>rate </w:t>
      </w:r>
      <w:r>
        <w:rPr/>
        <w:t>in this series </w:t>
      </w:r>
      <w:r>
        <w:rPr>
          <w:spacing w:val="2"/>
        </w:rPr>
        <w:t>on </w:t>
      </w:r>
      <w:r>
        <w:rPr/>
        <w:t>record. The stronger decline in recent months had reflected slower food price</w:t>
      </w:r>
      <w:r>
        <w:rPr>
          <w:spacing w:val="22"/>
        </w:rPr>
        <w:t> </w:t>
      </w:r>
      <w:r>
        <w:rPr/>
        <w:t>inflation.</w:t>
      </w:r>
    </w:p>
    <w:p>
      <w:pPr>
        <w:pStyle w:val="BodyText"/>
        <w:spacing w:before="3"/>
        <w:rPr>
          <w:sz w:val="36"/>
        </w:rPr>
      </w:pPr>
    </w:p>
    <w:p>
      <w:pPr>
        <w:pStyle w:val="BodyText"/>
        <w:tabs>
          <w:tab w:pos="827" w:val="left" w:leader="none"/>
        </w:tabs>
        <w:spacing w:line="360" w:lineRule="auto"/>
        <w:ind w:left="107" w:right="499"/>
      </w:pPr>
      <w:r>
        <w:rPr/>
        <w:t>A41</w:t>
        <w:tab/>
        <w:t>RPIX inflation had </w:t>
      </w:r>
      <w:r>
        <w:rPr>
          <w:spacing w:val="2"/>
        </w:rPr>
        <w:t>risen </w:t>
      </w:r>
      <w:r>
        <w:rPr/>
        <w:t>by 0.1 percentage points to 2.2% in October. The gap between services and goods inflation had widened </w:t>
      </w:r>
      <w:r>
        <w:rPr>
          <w:spacing w:val="3"/>
        </w:rPr>
        <w:t>to </w:t>
      </w:r>
      <w:r>
        <w:rPr/>
        <w:t>its highest level since September 1992.  RPIX service price inflation had </w:t>
      </w:r>
      <w:r>
        <w:rPr>
          <w:spacing w:val="2"/>
        </w:rPr>
        <w:t>risen </w:t>
      </w:r>
      <w:r>
        <w:rPr>
          <w:spacing w:val="3"/>
        </w:rPr>
        <w:t>to </w:t>
      </w:r>
      <w:r>
        <w:rPr/>
        <w:t>3.9%, largely as a </w:t>
      </w:r>
      <w:r>
        <w:rPr>
          <w:spacing w:val="2"/>
        </w:rPr>
        <w:t>result </w:t>
      </w:r>
      <w:r>
        <w:rPr>
          <w:spacing w:val="3"/>
        </w:rPr>
        <w:t>of </w:t>
      </w:r>
      <w:r>
        <w:rPr/>
        <w:t>higher insurance premiums. RPIX goods price inflation had </w:t>
      </w:r>
      <w:r>
        <w:rPr>
          <w:spacing w:val="2"/>
        </w:rPr>
        <w:t>fallen </w:t>
      </w:r>
      <w:r>
        <w:rPr>
          <w:spacing w:val="3"/>
        </w:rPr>
        <w:t>to </w:t>
      </w:r>
      <w:r>
        <w:rPr/>
        <w:t>0.4%, mainly reflecting lower food prices. In the latest CBI Distributive</w:t>
      </w:r>
      <w:r>
        <w:rPr>
          <w:spacing w:val="-8"/>
        </w:rPr>
        <w:t> </w:t>
      </w:r>
      <w:r>
        <w:rPr>
          <w:spacing w:val="2"/>
        </w:rPr>
        <w:t>Trades</w:t>
      </w:r>
      <w:r>
        <w:rPr>
          <w:spacing w:val="-6"/>
        </w:rPr>
        <w:t> </w:t>
      </w:r>
      <w:r>
        <w:rPr/>
        <w:t>survey,</w:t>
      </w:r>
      <w:r>
        <w:rPr>
          <w:spacing w:val="-7"/>
        </w:rPr>
        <w:t> </w:t>
      </w:r>
      <w:r>
        <w:rPr/>
        <w:t>the</w:t>
      </w:r>
      <w:r>
        <w:rPr>
          <w:spacing w:val="-7"/>
        </w:rPr>
        <w:t> </w:t>
      </w:r>
      <w:r>
        <w:rPr/>
        <w:t>balance</w:t>
      </w:r>
      <w:r>
        <w:rPr>
          <w:spacing w:val="-8"/>
        </w:rPr>
        <w:t> </w:t>
      </w:r>
      <w:r>
        <w:rPr>
          <w:spacing w:val="3"/>
        </w:rPr>
        <w:t>of</w:t>
      </w:r>
      <w:r>
        <w:rPr>
          <w:spacing w:val="-3"/>
        </w:rPr>
        <w:t> </w:t>
      </w:r>
      <w:r>
        <w:rPr/>
        <w:t>retailers’</w:t>
      </w:r>
      <w:r>
        <w:rPr>
          <w:spacing w:val="-13"/>
        </w:rPr>
        <w:t> </w:t>
      </w:r>
      <w:r>
        <w:rPr/>
        <w:t>expected</w:t>
      </w:r>
      <w:r>
        <w:rPr>
          <w:spacing w:val="-5"/>
        </w:rPr>
        <w:t> </w:t>
      </w:r>
      <w:r>
        <w:rPr/>
        <w:t>prices</w:t>
      </w:r>
      <w:r>
        <w:rPr>
          <w:spacing w:val="-6"/>
        </w:rPr>
        <w:t> </w:t>
      </w:r>
      <w:r>
        <w:rPr/>
        <w:t>had</w:t>
      </w:r>
      <w:r>
        <w:rPr>
          <w:spacing w:val="-6"/>
        </w:rPr>
        <w:t> </w:t>
      </w:r>
      <w:r>
        <w:rPr/>
        <w:t>fallen</w:t>
      </w:r>
      <w:r>
        <w:rPr>
          <w:spacing w:val="-3"/>
        </w:rPr>
        <w:t> </w:t>
      </w:r>
      <w:r>
        <w:rPr>
          <w:spacing w:val="2"/>
        </w:rPr>
        <w:t>substantially</w:t>
      </w:r>
      <w:r>
        <w:rPr>
          <w:spacing w:val="3"/>
        </w:rPr>
        <w:t> </w:t>
      </w:r>
      <w:r>
        <w:rPr/>
        <w:t>to</w:t>
      </w:r>
      <w:r>
        <w:rPr>
          <w:spacing w:val="-8"/>
        </w:rPr>
        <w:t> </w:t>
      </w:r>
      <w:r>
        <w:rPr>
          <w:spacing w:val="-3"/>
        </w:rPr>
        <w:t>–1, </w:t>
      </w:r>
      <w:r>
        <w:rPr/>
        <w:t>the lowest figure since the survey had begun in</w:t>
      </w:r>
      <w:r>
        <w:rPr>
          <w:spacing w:val="-12"/>
        </w:rPr>
        <w:t> </w:t>
      </w:r>
      <w:r>
        <w:rPr/>
        <w:t>1983.</w:t>
      </w:r>
    </w:p>
    <w:p>
      <w:pPr>
        <w:pStyle w:val="BodyText"/>
        <w:spacing w:before="1"/>
        <w:rPr>
          <w:sz w:val="36"/>
        </w:rPr>
      </w:pPr>
    </w:p>
    <w:p>
      <w:pPr>
        <w:pStyle w:val="Heading1"/>
        <w:numPr>
          <w:ilvl w:val="0"/>
          <w:numId w:val="3"/>
        </w:numPr>
        <w:tabs>
          <w:tab w:pos="828" w:val="left" w:leader="none"/>
        </w:tabs>
        <w:spacing w:line="240" w:lineRule="auto" w:before="0" w:after="0"/>
        <w:ind w:left="828" w:right="0" w:hanging="720"/>
        <w:jc w:val="both"/>
      </w:pPr>
      <w:r>
        <w:rPr/>
        <w:t>Reports by the </w:t>
      </w:r>
      <w:r>
        <w:rPr>
          <w:spacing w:val="-5"/>
        </w:rPr>
        <w:t>Bank’s </w:t>
      </w:r>
      <w:r>
        <w:rPr/>
        <w:t>regional</w:t>
      </w:r>
      <w:r>
        <w:rPr>
          <w:spacing w:val="-8"/>
        </w:rPr>
        <w:t> </w:t>
      </w:r>
      <w:r>
        <w:rPr/>
        <w:t>Agents</w:t>
      </w:r>
    </w:p>
    <w:p>
      <w:pPr>
        <w:pStyle w:val="BodyText"/>
        <w:rPr>
          <w:b/>
          <w:sz w:val="26"/>
        </w:rPr>
      </w:pPr>
    </w:p>
    <w:p>
      <w:pPr>
        <w:pStyle w:val="BodyText"/>
        <w:spacing w:before="9"/>
        <w:rPr>
          <w:b/>
          <w:sz w:val="21"/>
        </w:rPr>
      </w:pPr>
    </w:p>
    <w:p>
      <w:pPr>
        <w:pStyle w:val="BodyText"/>
        <w:tabs>
          <w:tab w:pos="827" w:val="left" w:leader="none"/>
        </w:tabs>
        <w:spacing w:line="360" w:lineRule="auto"/>
        <w:ind w:left="107" w:right="748"/>
      </w:pPr>
      <w:r>
        <w:rPr/>
        <w:t>A42</w:t>
        <w:tab/>
        <w:t>The </w:t>
      </w:r>
      <w:r>
        <w:rPr>
          <w:spacing w:val="-5"/>
        </w:rPr>
        <w:t>Bank’s </w:t>
      </w:r>
      <w:r>
        <w:rPr/>
        <w:t>regional Agents had reported a continued moderate recovery in retail sales, though not as strong as the </w:t>
      </w:r>
      <w:r>
        <w:rPr>
          <w:spacing w:val="4"/>
        </w:rPr>
        <w:t>official </w:t>
      </w:r>
      <w:r>
        <w:rPr/>
        <w:t>data had indicated. Strong demand had continued for computers</w:t>
      </w:r>
      <w:r>
        <w:rPr>
          <w:spacing w:val="-9"/>
        </w:rPr>
        <w:t> </w:t>
      </w:r>
      <w:r>
        <w:rPr/>
        <w:t>and</w:t>
      </w:r>
      <w:r>
        <w:rPr>
          <w:spacing w:val="-8"/>
        </w:rPr>
        <w:t> </w:t>
      </w:r>
      <w:r>
        <w:rPr/>
        <w:t>mobile</w:t>
      </w:r>
      <w:r>
        <w:rPr>
          <w:spacing w:val="-8"/>
        </w:rPr>
        <w:t> </w:t>
      </w:r>
      <w:r>
        <w:rPr/>
        <w:t>phones,</w:t>
      </w:r>
      <w:r>
        <w:rPr>
          <w:spacing w:val="9"/>
        </w:rPr>
        <w:t> </w:t>
      </w:r>
      <w:r>
        <w:rPr/>
        <w:t>and</w:t>
      </w:r>
      <w:r>
        <w:rPr>
          <w:spacing w:val="-9"/>
        </w:rPr>
        <w:t> </w:t>
      </w:r>
      <w:r>
        <w:rPr/>
        <w:t>sales</w:t>
      </w:r>
      <w:r>
        <w:rPr>
          <w:spacing w:val="-9"/>
        </w:rPr>
        <w:t> </w:t>
      </w:r>
      <w:r>
        <w:rPr>
          <w:spacing w:val="3"/>
        </w:rPr>
        <w:t>of</w:t>
      </w:r>
      <w:r>
        <w:rPr>
          <w:spacing w:val="-5"/>
        </w:rPr>
        <w:t> </w:t>
      </w:r>
      <w:r>
        <w:rPr/>
        <w:t>household</w:t>
      </w:r>
      <w:r>
        <w:rPr>
          <w:spacing w:val="-9"/>
        </w:rPr>
        <w:t> </w:t>
      </w:r>
      <w:r>
        <w:rPr/>
        <w:t>and</w:t>
      </w:r>
      <w:r>
        <w:rPr>
          <w:spacing w:val="-9"/>
        </w:rPr>
        <w:t> </w:t>
      </w:r>
      <w:r>
        <w:rPr/>
        <w:t>electrical</w:t>
      </w:r>
      <w:r>
        <w:rPr>
          <w:spacing w:val="-9"/>
        </w:rPr>
        <w:t> </w:t>
      </w:r>
      <w:r>
        <w:rPr>
          <w:spacing w:val="4"/>
        </w:rPr>
        <w:t>goods</w:t>
      </w:r>
      <w:r>
        <w:rPr>
          <w:spacing w:val="-8"/>
        </w:rPr>
        <w:t> </w:t>
      </w:r>
      <w:r>
        <w:rPr/>
        <w:t>had</w:t>
      </w:r>
      <w:r>
        <w:rPr>
          <w:spacing w:val="-9"/>
        </w:rPr>
        <w:t> </w:t>
      </w:r>
      <w:r>
        <w:rPr/>
        <w:t>risen,</w:t>
      </w:r>
      <w:r>
        <w:rPr>
          <w:spacing w:val="-7"/>
        </w:rPr>
        <w:t> </w:t>
      </w:r>
      <w:r>
        <w:rPr>
          <w:spacing w:val="3"/>
        </w:rPr>
        <w:t>reflecting </w:t>
      </w:r>
      <w:r>
        <w:rPr/>
        <w:t>stronger housing activity. But turnover in the clothing </w:t>
      </w:r>
      <w:r>
        <w:rPr>
          <w:spacing w:val="2"/>
        </w:rPr>
        <w:t>sector </w:t>
      </w:r>
      <w:r>
        <w:rPr/>
        <w:t>had remained </w:t>
      </w:r>
      <w:r>
        <w:rPr>
          <w:spacing w:val="3"/>
        </w:rPr>
        <w:t>weak, </w:t>
      </w:r>
      <w:r>
        <w:rPr/>
        <w:t>and demand for new and used car sales had been below expectations. It had been reported that customers </w:t>
      </w:r>
      <w:r>
        <w:rPr>
          <w:spacing w:val="3"/>
        </w:rPr>
        <w:t>might </w:t>
      </w:r>
      <w:r>
        <w:rPr/>
        <w:t>be delaying purchases because </w:t>
      </w:r>
      <w:r>
        <w:rPr>
          <w:spacing w:val="2"/>
        </w:rPr>
        <w:t>of </w:t>
      </w:r>
      <w:r>
        <w:rPr/>
        <w:t>expected price reductions in the New</w:t>
      </w:r>
      <w:r>
        <w:rPr>
          <w:spacing w:val="7"/>
        </w:rPr>
        <w:t> </w:t>
      </w:r>
      <w:r>
        <w:rPr/>
        <w:t>Year.</w:t>
      </w:r>
    </w:p>
    <w:p>
      <w:pPr>
        <w:pStyle w:val="BodyText"/>
        <w:spacing w:line="274" w:lineRule="exact"/>
        <w:ind w:left="108"/>
      </w:pPr>
      <w:r>
        <w:rPr/>
        <w:t>Millennium-related stockbuilding had been only moderate, with the exception of food and drink,</w:t>
      </w:r>
    </w:p>
    <w:p>
      <w:pPr>
        <w:spacing w:after="0" w:line="274" w:lineRule="exact"/>
        <w:sectPr>
          <w:pgSz w:w="11900" w:h="16840"/>
          <w:pgMar w:header="1219" w:footer="0" w:top="1600" w:bottom="280" w:left="1140" w:right="780"/>
        </w:sectPr>
      </w:pPr>
    </w:p>
    <w:p>
      <w:pPr>
        <w:pStyle w:val="BodyText"/>
        <w:spacing w:line="360" w:lineRule="auto" w:before="121"/>
        <w:ind w:left="107" w:right="622"/>
      </w:pPr>
      <w:r>
        <w:rPr/>
        <w:t>and pharmaceutical goods. Consumer demand for Millennium events had also been weaker than had earlier been expected by contacts.</w:t>
      </w:r>
    </w:p>
    <w:p>
      <w:pPr>
        <w:pStyle w:val="BodyText"/>
        <w:spacing w:before="8"/>
        <w:rPr>
          <w:sz w:val="35"/>
        </w:rPr>
      </w:pPr>
    </w:p>
    <w:p>
      <w:pPr>
        <w:pStyle w:val="BodyText"/>
        <w:tabs>
          <w:tab w:pos="827" w:val="left" w:leader="none"/>
        </w:tabs>
        <w:spacing w:line="360" w:lineRule="auto"/>
        <w:ind w:left="107" w:right="535"/>
      </w:pPr>
      <w:r>
        <w:rPr/>
        <w:t>A43</w:t>
        <w:tab/>
        <w:t>Manufacturing</w:t>
      </w:r>
      <w:r>
        <w:rPr>
          <w:spacing w:val="-10"/>
        </w:rPr>
        <w:t> </w:t>
      </w:r>
      <w:r>
        <w:rPr/>
        <w:t>investment</w:t>
      </w:r>
      <w:r>
        <w:rPr>
          <w:spacing w:val="-5"/>
        </w:rPr>
        <w:t> </w:t>
      </w:r>
      <w:r>
        <w:rPr/>
        <w:t>had</w:t>
      </w:r>
      <w:r>
        <w:rPr>
          <w:spacing w:val="-10"/>
        </w:rPr>
        <w:t> </w:t>
      </w:r>
      <w:r>
        <w:rPr/>
        <w:t>continued</w:t>
      </w:r>
      <w:r>
        <w:rPr>
          <w:spacing w:val="-9"/>
        </w:rPr>
        <w:t> </w:t>
      </w:r>
      <w:r>
        <w:rPr>
          <w:spacing w:val="3"/>
        </w:rPr>
        <w:t>to</w:t>
      </w:r>
      <w:r>
        <w:rPr>
          <w:spacing w:val="-6"/>
        </w:rPr>
        <w:t> </w:t>
      </w:r>
      <w:r>
        <w:rPr/>
        <w:t>be</w:t>
      </w:r>
      <w:r>
        <w:rPr>
          <w:spacing w:val="-9"/>
        </w:rPr>
        <w:t> </w:t>
      </w:r>
      <w:r>
        <w:rPr/>
        <w:t>targeted</w:t>
      </w:r>
      <w:r>
        <w:rPr>
          <w:spacing w:val="-9"/>
        </w:rPr>
        <w:t> </w:t>
      </w:r>
      <w:r>
        <w:rPr/>
        <w:t>at</w:t>
      </w:r>
      <w:r>
        <w:rPr>
          <w:spacing w:val="-6"/>
        </w:rPr>
        <w:t> </w:t>
      </w:r>
      <w:r>
        <w:rPr/>
        <w:t>productivity</w:t>
      </w:r>
      <w:r>
        <w:rPr>
          <w:spacing w:val="-9"/>
        </w:rPr>
        <w:t> </w:t>
      </w:r>
      <w:r>
        <w:rPr/>
        <w:t>improvements</w:t>
      </w:r>
      <w:r>
        <w:rPr>
          <w:spacing w:val="21"/>
        </w:rPr>
        <w:t> </w:t>
      </w:r>
      <w:r>
        <w:rPr/>
        <w:t>and </w:t>
      </w:r>
      <w:r>
        <w:rPr>
          <w:spacing w:val="4"/>
        </w:rPr>
        <w:t>opportunities </w:t>
      </w:r>
      <w:r>
        <w:rPr/>
        <w:t>for </w:t>
      </w:r>
      <w:r>
        <w:rPr>
          <w:spacing w:val="4"/>
        </w:rPr>
        <w:t>overseas </w:t>
      </w:r>
      <w:r>
        <w:rPr/>
        <w:t>production. There had been mixed reports regarding IT investment. Some firms had reported a pause ahead </w:t>
      </w:r>
      <w:r>
        <w:rPr>
          <w:spacing w:val="2"/>
        </w:rPr>
        <w:t>of </w:t>
      </w:r>
      <w:r>
        <w:rPr/>
        <w:t>the New Year, but it was widely expected that IT investment would pick-up </w:t>
      </w:r>
      <w:r>
        <w:rPr>
          <w:spacing w:val="2"/>
        </w:rPr>
        <w:t>strongly </w:t>
      </w:r>
      <w:r>
        <w:rPr/>
        <w:t>from January. Reports of increases in input prices had become more widespread, but manufacturers had continued </w:t>
      </w:r>
      <w:r>
        <w:rPr>
          <w:spacing w:val="3"/>
        </w:rPr>
        <w:t>to </w:t>
      </w:r>
      <w:r>
        <w:rPr/>
        <w:t>find it difficult </w:t>
      </w:r>
      <w:r>
        <w:rPr>
          <w:spacing w:val="3"/>
        </w:rPr>
        <w:t>to </w:t>
      </w:r>
      <w:r>
        <w:rPr/>
        <w:t>pass these price increases </w:t>
      </w:r>
      <w:r>
        <w:rPr>
          <w:spacing w:val="2"/>
        </w:rPr>
        <w:t>on, </w:t>
      </w:r>
      <w:r>
        <w:rPr/>
        <w:t>and margins had been squeezed further. </w:t>
      </w:r>
      <w:r>
        <w:rPr>
          <w:spacing w:val="2"/>
        </w:rPr>
        <w:t>This </w:t>
      </w:r>
      <w:r>
        <w:rPr/>
        <w:t>had been particularly true</w:t>
      </w:r>
      <w:r>
        <w:rPr>
          <w:spacing w:val="1"/>
        </w:rPr>
        <w:t> </w:t>
      </w:r>
      <w:r>
        <w:rPr/>
        <w:t>for</w:t>
      </w:r>
    </w:p>
    <w:p>
      <w:pPr>
        <w:pStyle w:val="BodyText"/>
        <w:spacing w:line="360" w:lineRule="auto" w:before="3"/>
        <w:ind w:left="107" w:right="624"/>
      </w:pPr>
      <w:r>
        <w:rPr/>
        <w:t>export-orientated firms. Downward price pressure had continued in most parts of the retail sector.</w:t>
      </w:r>
    </w:p>
    <w:p>
      <w:pPr>
        <w:pStyle w:val="BodyText"/>
        <w:spacing w:before="1"/>
        <w:rPr>
          <w:sz w:val="36"/>
        </w:rPr>
      </w:pPr>
    </w:p>
    <w:p>
      <w:pPr>
        <w:pStyle w:val="BodyText"/>
        <w:tabs>
          <w:tab w:pos="827" w:val="left" w:leader="none"/>
        </w:tabs>
        <w:spacing w:line="360" w:lineRule="auto"/>
        <w:ind w:left="107" w:right="528"/>
      </w:pPr>
      <w:r>
        <w:rPr/>
        <w:t>A44</w:t>
        <w:tab/>
      </w:r>
      <w:r>
        <w:rPr>
          <w:spacing w:val="2"/>
        </w:rPr>
        <w:t>There </w:t>
      </w:r>
      <w:r>
        <w:rPr/>
        <w:t>had been evidence </w:t>
      </w:r>
      <w:r>
        <w:rPr>
          <w:spacing w:val="2"/>
        </w:rPr>
        <w:t>of </w:t>
      </w:r>
      <w:r>
        <w:rPr/>
        <w:t>a further tightening in the labour market. Skill shortages had continued </w:t>
      </w:r>
      <w:r>
        <w:rPr>
          <w:spacing w:val="3"/>
        </w:rPr>
        <w:t>to </w:t>
      </w:r>
      <w:r>
        <w:rPr/>
        <w:t>increase, particularly in the southern regions </w:t>
      </w:r>
      <w:r>
        <w:rPr>
          <w:spacing w:val="2"/>
        </w:rPr>
        <w:t>of </w:t>
      </w:r>
      <w:r>
        <w:rPr/>
        <w:t>England. In many service </w:t>
      </w:r>
      <w:r>
        <w:rPr>
          <w:spacing w:val="2"/>
        </w:rPr>
        <w:t>sector </w:t>
      </w:r>
      <w:r>
        <w:rPr/>
        <w:t>industries, </w:t>
      </w:r>
      <w:r>
        <w:rPr>
          <w:spacing w:val="4"/>
        </w:rPr>
        <w:t>forthcoming </w:t>
      </w:r>
      <w:r>
        <w:rPr/>
        <w:t>settlements and </w:t>
      </w:r>
      <w:r>
        <w:rPr>
          <w:spacing w:val="4"/>
        </w:rPr>
        <w:t>other </w:t>
      </w:r>
      <w:r>
        <w:rPr/>
        <w:t>pay awards were expected </w:t>
      </w:r>
      <w:r>
        <w:rPr>
          <w:spacing w:val="2"/>
        </w:rPr>
        <w:t>to </w:t>
      </w:r>
      <w:r>
        <w:rPr/>
        <w:t>be higher than a year ago, reflecting skill shortages and greater profitability. But in </w:t>
      </w:r>
      <w:r>
        <w:rPr>
          <w:spacing w:val="3"/>
        </w:rPr>
        <w:t>other </w:t>
      </w:r>
      <w:r>
        <w:rPr/>
        <w:t>sectors, such as engineering, where profits had been relatively weak, settlements were expected to be rather lower than in services. It was widely expected that any upward pressures on wages would have </w:t>
      </w:r>
      <w:r>
        <w:rPr>
          <w:spacing w:val="2"/>
        </w:rPr>
        <w:t>to </w:t>
      </w:r>
      <w:r>
        <w:rPr/>
        <w:t>be absorbed by </w:t>
      </w:r>
      <w:r>
        <w:rPr>
          <w:spacing w:val="2"/>
        </w:rPr>
        <w:t>the</w:t>
      </w:r>
      <w:r>
        <w:rPr>
          <w:spacing w:val="7"/>
        </w:rPr>
        <w:t> </w:t>
      </w:r>
      <w:r>
        <w:rPr/>
        <w:t>employer.</w:t>
      </w:r>
    </w:p>
    <w:p>
      <w:pPr>
        <w:pStyle w:val="BodyText"/>
        <w:spacing w:before="5"/>
        <w:rPr>
          <w:sz w:val="36"/>
        </w:rPr>
      </w:pPr>
    </w:p>
    <w:p>
      <w:pPr>
        <w:pStyle w:val="Heading1"/>
        <w:numPr>
          <w:ilvl w:val="0"/>
          <w:numId w:val="3"/>
        </w:numPr>
        <w:tabs>
          <w:tab w:pos="828" w:val="left" w:leader="none"/>
          <w:tab w:pos="829" w:val="left" w:leader="none"/>
        </w:tabs>
        <w:spacing w:line="240" w:lineRule="auto" w:before="0" w:after="0"/>
        <w:ind w:left="828" w:right="0" w:hanging="722"/>
        <w:jc w:val="left"/>
      </w:pPr>
      <w:r>
        <w:rPr/>
        <w:t>Market</w:t>
      </w:r>
      <w:r>
        <w:rPr>
          <w:spacing w:val="1"/>
        </w:rPr>
        <w:t> </w:t>
      </w:r>
      <w:r>
        <w:rPr/>
        <w:t>intelligence</w:t>
      </w:r>
    </w:p>
    <w:p>
      <w:pPr>
        <w:pStyle w:val="BodyText"/>
        <w:rPr>
          <w:b/>
          <w:sz w:val="26"/>
        </w:rPr>
      </w:pPr>
    </w:p>
    <w:p>
      <w:pPr>
        <w:pStyle w:val="BodyText"/>
        <w:spacing w:before="4"/>
        <w:rPr>
          <w:b/>
          <w:sz w:val="21"/>
        </w:rPr>
      </w:pPr>
    </w:p>
    <w:p>
      <w:pPr>
        <w:pStyle w:val="BodyText"/>
        <w:tabs>
          <w:tab w:pos="827" w:val="left" w:leader="none"/>
        </w:tabs>
        <w:spacing w:line="360" w:lineRule="auto" w:before="1"/>
        <w:ind w:left="107" w:right="658"/>
      </w:pPr>
      <w:r>
        <w:rPr/>
        <w:t>A45</w:t>
        <w:tab/>
        <w:t>Market expectations of, and uncertainty over, future interest rates in the UK, the US and the euro area – as measured by the implied </w:t>
      </w:r>
      <w:r>
        <w:rPr>
          <w:spacing w:val="2"/>
        </w:rPr>
        <w:t>rates </w:t>
      </w:r>
      <w:r>
        <w:rPr/>
        <w:t>and implied </w:t>
      </w:r>
      <w:r>
        <w:rPr>
          <w:spacing w:val="3"/>
        </w:rPr>
        <w:t>volatilities </w:t>
      </w:r>
      <w:r>
        <w:rPr>
          <w:spacing w:val="2"/>
        </w:rPr>
        <w:t>on </w:t>
      </w:r>
      <w:r>
        <w:rPr/>
        <w:t>short term interest rate futures </w:t>
      </w:r>
      <w:r>
        <w:rPr>
          <w:spacing w:val="2"/>
        </w:rPr>
        <w:t>respectively </w:t>
      </w:r>
      <w:r>
        <w:rPr/>
        <w:t>– had </w:t>
      </w:r>
      <w:r>
        <w:rPr>
          <w:spacing w:val="3"/>
        </w:rPr>
        <w:t>fallen </w:t>
      </w:r>
      <w:r>
        <w:rPr/>
        <w:t>in early </w:t>
      </w:r>
      <w:r>
        <w:rPr>
          <w:spacing w:val="2"/>
        </w:rPr>
        <w:t>November, </w:t>
      </w:r>
      <w:r>
        <w:rPr/>
        <w:t>following </w:t>
      </w:r>
      <w:r>
        <w:rPr>
          <w:spacing w:val="2"/>
        </w:rPr>
        <w:t>the rises </w:t>
      </w:r>
      <w:r>
        <w:rPr/>
        <w:t>in </w:t>
      </w:r>
      <w:r>
        <w:rPr>
          <w:spacing w:val="6"/>
        </w:rPr>
        <w:t>official </w:t>
      </w:r>
      <w:r>
        <w:rPr/>
        <w:t>interest rates.</w:t>
      </w:r>
      <w:r>
        <w:rPr>
          <w:spacing w:val="33"/>
        </w:rPr>
        <w:t> </w:t>
      </w:r>
      <w:r>
        <w:rPr/>
        <w:t>The</w:t>
      </w:r>
      <w:r>
        <w:rPr>
          <w:spacing w:val="-7"/>
        </w:rPr>
        <w:t> </w:t>
      </w:r>
      <w:r>
        <w:rPr>
          <w:spacing w:val="2"/>
        </w:rPr>
        <w:t>fall</w:t>
      </w:r>
      <w:r>
        <w:rPr>
          <w:spacing w:val="-6"/>
        </w:rPr>
        <w:t> </w:t>
      </w:r>
      <w:r>
        <w:rPr/>
        <w:t>in</w:t>
      </w:r>
      <w:r>
        <w:rPr>
          <w:spacing w:val="-7"/>
        </w:rPr>
        <w:t> </w:t>
      </w:r>
      <w:r>
        <w:rPr>
          <w:spacing w:val="2"/>
        </w:rPr>
        <w:t>implied</w:t>
      </w:r>
      <w:r>
        <w:rPr>
          <w:spacing w:val="-6"/>
        </w:rPr>
        <w:t> </w:t>
      </w:r>
      <w:r>
        <w:rPr>
          <w:spacing w:val="3"/>
        </w:rPr>
        <w:t>volatilities</w:t>
      </w:r>
      <w:r>
        <w:rPr>
          <w:spacing w:val="1"/>
        </w:rPr>
        <w:t> </w:t>
      </w:r>
      <w:r>
        <w:rPr/>
        <w:t>had</w:t>
      </w:r>
      <w:r>
        <w:rPr>
          <w:spacing w:val="-11"/>
        </w:rPr>
        <w:t> </w:t>
      </w:r>
      <w:r>
        <w:rPr/>
        <w:t>been</w:t>
      </w:r>
      <w:r>
        <w:rPr>
          <w:spacing w:val="-12"/>
        </w:rPr>
        <w:t> </w:t>
      </w:r>
      <w:r>
        <w:rPr/>
        <w:t>greater</w:t>
      </w:r>
      <w:r>
        <w:rPr>
          <w:spacing w:val="-13"/>
        </w:rPr>
        <w:t> </w:t>
      </w:r>
      <w:r>
        <w:rPr/>
        <w:t>than</w:t>
      </w:r>
      <w:r>
        <w:rPr>
          <w:spacing w:val="-6"/>
        </w:rPr>
        <w:t> </w:t>
      </w:r>
      <w:r>
        <w:rPr/>
        <w:t>that</w:t>
      </w:r>
      <w:r>
        <w:rPr>
          <w:spacing w:val="-7"/>
        </w:rPr>
        <w:t> </w:t>
      </w:r>
      <w:r>
        <w:rPr/>
        <w:t>usually</w:t>
      </w:r>
      <w:r>
        <w:rPr>
          <w:spacing w:val="-6"/>
        </w:rPr>
        <w:t> </w:t>
      </w:r>
      <w:r>
        <w:rPr/>
        <w:t>seen</w:t>
      </w:r>
      <w:r>
        <w:rPr>
          <w:spacing w:val="-7"/>
        </w:rPr>
        <w:t> </w:t>
      </w:r>
      <w:r>
        <w:rPr/>
        <w:t>following</w:t>
      </w:r>
      <w:r>
        <w:rPr>
          <w:spacing w:val="-6"/>
        </w:rPr>
        <w:t> </w:t>
      </w:r>
      <w:r>
        <w:rPr>
          <w:spacing w:val="2"/>
        </w:rPr>
        <w:t>monetary </w:t>
      </w:r>
      <w:r>
        <w:rPr/>
        <w:t>policy </w:t>
      </w:r>
      <w:r>
        <w:rPr>
          <w:spacing w:val="2"/>
        </w:rPr>
        <w:t>announcements. </w:t>
      </w:r>
      <w:r>
        <w:rPr/>
        <w:t>A number </w:t>
      </w:r>
      <w:r>
        <w:rPr>
          <w:spacing w:val="2"/>
        </w:rPr>
        <w:t>of </w:t>
      </w:r>
      <w:r>
        <w:rPr/>
        <w:t>possible reasons for these </w:t>
      </w:r>
      <w:r>
        <w:rPr>
          <w:spacing w:val="2"/>
        </w:rPr>
        <w:t>declines </w:t>
      </w:r>
      <w:r>
        <w:rPr/>
        <w:t>had been suggested in the markets, including a view that interest rates may not be changed again until the New Year, and improved confidence that liquidity needs across the Millennium would be</w:t>
      </w:r>
      <w:r>
        <w:rPr>
          <w:spacing w:val="14"/>
        </w:rPr>
        <w:t> </w:t>
      </w:r>
      <w:r>
        <w:rPr>
          <w:spacing w:val="2"/>
        </w:rPr>
        <w:t>met.</w:t>
      </w:r>
    </w:p>
    <w:p>
      <w:pPr>
        <w:pStyle w:val="BodyText"/>
        <w:rPr>
          <w:sz w:val="36"/>
        </w:rPr>
      </w:pPr>
    </w:p>
    <w:p>
      <w:pPr>
        <w:pStyle w:val="BodyText"/>
        <w:spacing w:line="360" w:lineRule="auto"/>
        <w:ind w:left="107" w:right="498"/>
        <w:jc w:val="both"/>
      </w:pPr>
      <w:r>
        <w:rPr/>
        <w:t>A46 Interest rates implied by UK short sterling futures had risen again later in the month. This had reflected renewed uncertainty about near-term rate prospects following the publication of the MPC minutes, reported rises in house prices, upward revisions to international growth forecasts,</w:t>
      </w:r>
    </w:p>
    <w:p>
      <w:pPr>
        <w:spacing w:after="0" w:line="360" w:lineRule="auto"/>
        <w:jc w:val="both"/>
        <w:sectPr>
          <w:pgSz w:w="11900" w:h="16840"/>
          <w:pgMar w:header="1219" w:footer="0" w:top="1600" w:bottom="280" w:left="1140" w:right="780"/>
        </w:sectPr>
      </w:pPr>
    </w:p>
    <w:p>
      <w:pPr>
        <w:pStyle w:val="BodyText"/>
        <w:spacing w:line="360" w:lineRule="auto" w:before="121"/>
        <w:ind w:left="107" w:right="533"/>
      </w:pPr>
      <w:r>
        <w:rPr/>
        <w:t>and a growing view that the Millennium date change need not deter the MPC from changing policy in December. Market prices, surveys and anecdote had suggested some expectation of a December rate rise, although it was seen in the market as less than an even chance.</w:t>
      </w:r>
    </w:p>
    <w:p>
      <w:pPr>
        <w:pStyle w:val="BodyText"/>
        <w:rPr>
          <w:sz w:val="36"/>
        </w:rPr>
      </w:pPr>
    </w:p>
    <w:p>
      <w:pPr>
        <w:pStyle w:val="BodyText"/>
        <w:tabs>
          <w:tab w:pos="827" w:val="left" w:leader="none"/>
        </w:tabs>
        <w:spacing w:line="360" w:lineRule="auto"/>
        <w:ind w:left="107" w:right="711"/>
      </w:pPr>
      <w:r>
        <w:rPr/>
        <w:t>A47</w:t>
        <w:tab/>
        <w:t>Merger and acquisition news had been supportive for sterling at some points during the </w:t>
      </w:r>
      <w:r>
        <w:rPr>
          <w:spacing w:val="2"/>
        </w:rPr>
        <w:t>month.</w:t>
      </w:r>
      <w:r>
        <w:rPr>
          <w:spacing w:val="45"/>
        </w:rPr>
        <w:t> </w:t>
      </w:r>
      <w:r>
        <w:rPr/>
        <w:t>Changes</w:t>
      </w:r>
      <w:r>
        <w:rPr>
          <w:spacing w:val="-7"/>
        </w:rPr>
        <w:t> </w:t>
      </w:r>
      <w:r>
        <w:rPr/>
        <w:t>in</w:t>
      </w:r>
      <w:r>
        <w:rPr>
          <w:spacing w:val="-6"/>
        </w:rPr>
        <w:t> </w:t>
      </w:r>
      <w:r>
        <w:rPr>
          <w:spacing w:val="2"/>
        </w:rPr>
        <w:t>risk</w:t>
      </w:r>
      <w:r>
        <w:rPr>
          <w:spacing w:val="-5"/>
        </w:rPr>
        <w:t> </w:t>
      </w:r>
      <w:r>
        <w:rPr>
          <w:spacing w:val="2"/>
        </w:rPr>
        <w:t>reversals</w:t>
      </w:r>
      <w:r>
        <w:rPr>
          <w:spacing w:val="-19"/>
        </w:rPr>
        <w:t> </w:t>
      </w:r>
      <w:r>
        <w:rPr/>
        <w:t>traded</w:t>
      </w:r>
      <w:r>
        <w:rPr>
          <w:spacing w:val="-7"/>
        </w:rPr>
        <w:t> </w:t>
      </w:r>
      <w:r>
        <w:rPr/>
        <w:t>in</w:t>
      </w:r>
      <w:r>
        <w:rPr>
          <w:spacing w:val="-7"/>
        </w:rPr>
        <w:t> </w:t>
      </w:r>
      <w:r>
        <w:rPr/>
        <w:t>the</w:t>
      </w:r>
      <w:r>
        <w:rPr>
          <w:spacing w:val="-7"/>
        </w:rPr>
        <w:t> </w:t>
      </w:r>
      <w:r>
        <w:rPr/>
        <w:t>foreign</w:t>
      </w:r>
      <w:r>
        <w:rPr>
          <w:spacing w:val="-7"/>
        </w:rPr>
        <w:t> </w:t>
      </w:r>
      <w:r>
        <w:rPr/>
        <w:t>exchange</w:t>
      </w:r>
      <w:r>
        <w:rPr>
          <w:spacing w:val="-7"/>
        </w:rPr>
        <w:t> </w:t>
      </w:r>
      <w:r>
        <w:rPr>
          <w:spacing w:val="4"/>
        </w:rPr>
        <w:t>options</w:t>
      </w:r>
      <w:r>
        <w:rPr>
          <w:spacing w:val="-3"/>
        </w:rPr>
        <w:t> </w:t>
      </w:r>
      <w:r>
        <w:rPr/>
        <w:t>market</w:t>
      </w:r>
      <w:r>
        <w:rPr>
          <w:spacing w:val="-8"/>
        </w:rPr>
        <w:t> </w:t>
      </w:r>
      <w:r>
        <w:rPr/>
        <w:t>had</w:t>
      </w:r>
      <w:r>
        <w:rPr>
          <w:spacing w:val="-7"/>
        </w:rPr>
        <w:t> </w:t>
      </w:r>
      <w:r>
        <w:rPr/>
        <w:t>been</w:t>
      </w:r>
      <w:r>
        <w:rPr>
          <w:spacing w:val="-7"/>
        </w:rPr>
        <w:t> </w:t>
      </w:r>
      <w:r>
        <w:rPr/>
        <w:t>small over the month, but had suggested that the markets perceived some risk that sterling would rise further against the euro, but fall against </w:t>
      </w:r>
      <w:r>
        <w:rPr>
          <w:spacing w:val="2"/>
        </w:rPr>
        <w:t>the</w:t>
      </w:r>
      <w:r>
        <w:rPr>
          <w:spacing w:val="35"/>
        </w:rPr>
        <w:t> </w:t>
      </w:r>
      <w:r>
        <w:rPr/>
        <w:t>dollar.</w:t>
      </w:r>
    </w:p>
    <w:sectPr>
      <w:pgSz w:w="11900" w:h="16840"/>
      <w:pgMar w:header="1219" w:footer="0" w:top="1600" w:bottom="280" w:left="114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960022pt;margin-top:60.177578pt;width:16.1pt;height:13.2pt;mso-position-horizontal-relative:page;mso-position-vertical-relative:page;z-index:-252026880" type="#_x0000_t202" filled="false" stroked="false">
          <v:textbox inset="0,0,0,0">
            <w:txbxContent>
              <w:p>
                <w:pPr>
                  <w:spacing w:before="13"/>
                  <w:ind w:left="60" w:right="0" w:firstLine="0"/>
                  <w:jc w:val="left"/>
                  <w:rPr>
                    <w:sz w:val="20"/>
                  </w:rPr>
                </w:pPr>
                <w:r>
                  <w:rPr/>
                  <w:fldChar w:fldCharType="begin"/>
                </w:r>
                <w:r>
                  <w:rPr>
                    <w:sz w:val="20"/>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9.719971pt;margin-top:59.937576pt;width:16.1pt;height:13.2pt;mso-position-horizontal-relative:page;mso-position-vertical-relative:page;z-index:-252025856" type="#_x0000_t202" filled="false" stroked="false">
          <v:textbox inset="0,0,0,0">
            <w:txbxContent>
              <w:p>
                <w:pPr>
                  <w:spacing w:before="13"/>
                  <w:ind w:left="60" w:right="0" w:firstLine="0"/>
                  <w:jc w:val="left"/>
                  <w:rPr>
                    <w:sz w:val="20"/>
                  </w:rPr>
                </w:pPr>
                <w:r>
                  <w:rPr/>
                  <w:fldChar w:fldCharType="begin"/>
                </w:r>
                <w:r>
                  <w:rPr>
                    <w:sz w:val="20"/>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upperRoman"/>
      <w:lvlText w:val="%1"/>
      <w:lvlJc w:val="left"/>
      <w:pPr>
        <w:ind w:left="828" w:hanging="720"/>
        <w:jc w:val="left"/>
      </w:pPr>
      <w:rPr>
        <w:rFonts w:hint="default" w:ascii="Times New Roman" w:hAnsi="Times New Roman" w:eastAsia="Times New Roman" w:cs="Times New Roman"/>
        <w:b/>
        <w:bCs/>
        <w:spacing w:val="-1"/>
        <w:w w:val="98"/>
        <w:sz w:val="24"/>
        <w:szCs w:val="24"/>
      </w:rPr>
    </w:lvl>
    <w:lvl w:ilvl="1">
      <w:start w:val="0"/>
      <w:numFmt w:val="bullet"/>
      <w:lvlText w:val="•"/>
      <w:lvlJc w:val="left"/>
      <w:pPr>
        <w:ind w:left="1736" w:hanging="720"/>
      </w:pPr>
      <w:rPr>
        <w:rFonts w:hint="default"/>
      </w:rPr>
    </w:lvl>
    <w:lvl w:ilvl="2">
      <w:start w:val="0"/>
      <w:numFmt w:val="bullet"/>
      <w:lvlText w:val="•"/>
      <w:lvlJc w:val="left"/>
      <w:pPr>
        <w:ind w:left="2652" w:hanging="720"/>
      </w:pPr>
      <w:rPr>
        <w:rFonts w:hint="default"/>
      </w:rPr>
    </w:lvl>
    <w:lvl w:ilvl="3">
      <w:start w:val="0"/>
      <w:numFmt w:val="bullet"/>
      <w:lvlText w:val="•"/>
      <w:lvlJc w:val="left"/>
      <w:pPr>
        <w:ind w:left="3568" w:hanging="720"/>
      </w:pPr>
      <w:rPr>
        <w:rFonts w:hint="default"/>
      </w:rPr>
    </w:lvl>
    <w:lvl w:ilvl="4">
      <w:start w:val="0"/>
      <w:numFmt w:val="bullet"/>
      <w:lvlText w:val="•"/>
      <w:lvlJc w:val="left"/>
      <w:pPr>
        <w:ind w:left="4484" w:hanging="720"/>
      </w:pPr>
      <w:rPr>
        <w:rFonts w:hint="default"/>
      </w:rPr>
    </w:lvl>
    <w:lvl w:ilvl="5">
      <w:start w:val="0"/>
      <w:numFmt w:val="bullet"/>
      <w:lvlText w:val="•"/>
      <w:lvlJc w:val="left"/>
      <w:pPr>
        <w:ind w:left="5400" w:hanging="720"/>
      </w:pPr>
      <w:rPr>
        <w:rFonts w:hint="default"/>
      </w:rPr>
    </w:lvl>
    <w:lvl w:ilvl="6">
      <w:start w:val="0"/>
      <w:numFmt w:val="bullet"/>
      <w:lvlText w:val="•"/>
      <w:lvlJc w:val="left"/>
      <w:pPr>
        <w:ind w:left="6316" w:hanging="720"/>
      </w:pPr>
      <w:rPr>
        <w:rFonts w:hint="default"/>
      </w:rPr>
    </w:lvl>
    <w:lvl w:ilvl="7">
      <w:start w:val="0"/>
      <w:numFmt w:val="bullet"/>
      <w:lvlText w:val="•"/>
      <w:lvlJc w:val="left"/>
      <w:pPr>
        <w:ind w:left="7232" w:hanging="720"/>
      </w:pPr>
      <w:rPr>
        <w:rFonts w:hint="default"/>
      </w:rPr>
    </w:lvl>
    <w:lvl w:ilvl="8">
      <w:start w:val="0"/>
      <w:numFmt w:val="bullet"/>
      <w:lvlText w:val="•"/>
      <w:lvlJc w:val="left"/>
      <w:pPr>
        <w:ind w:left="8148" w:hanging="720"/>
      </w:pPr>
      <w:rPr>
        <w:rFonts w:hint="default"/>
      </w:rPr>
    </w:lvl>
  </w:abstractNum>
  <w:abstractNum w:abstractNumId="1">
    <w:multiLevelType w:val="hybridMultilevel"/>
    <w:lvl w:ilvl="0">
      <w:start w:val="31"/>
      <w:numFmt w:val="decimal"/>
      <w:lvlText w:val="%1"/>
      <w:lvlJc w:val="left"/>
      <w:pPr>
        <w:ind w:left="136" w:hanging="360"/>
        <w:jc w:val="left"/>
      </w:pPr>
      <w:rPr>
        <w:rFonts w:hint="default" w:ascii="Times New Roman" w:hAnsi="Times New Roman" w:eastAsia="Times New Roman" w:cs="Times New Roman"/>
        <w:spacing w:val="-33"/>
        <w:w w:val="86"/>
        <w:sz w:val="24"/>
        <w:szCs w:val="24"/>
      </w:rPr>
    </w:lvl>
    <w:lvl w:ilvl="1">
      <w:start w:val="0"/>
      <w:numFmt w:val="bullet"/>
      <w:lvlText w:val="•"/>
      <w:lvlJc w:val="left"/>
      <w:pPr>
        <w:ind w:left="1124" w:hanging="360"/>
      </w:pPr>
      <w:rPr>
        <w:rFonts w:hint="default"/>
      </w:rPr>
    </w:lvl>
    <w:lvl w:ilvl="2">
      <w:start w:val="0"/>
      <w:numFmt w:val="bullet"/>
      <w:lvlText w:val="•"/>
      <w:lvlJc w:val="left"/>
      <w:pPr>
        <w:ind w:left="2108" w:hanging="360"/>
      </w:pPr>
      <w:rPr>
        <w:rFonts w:hint="default"/>
      </w:rPr>
    </w:lvl>
    <w:lvl w:ilvl="3">
      <w:start w:val="0"/>
      <w:numFmt w:val="bullet"/>
      <w:lvlText w:val="•"/>
      <w:lvlJc w:val="left"/>
      <w:pPr>
        <w:ind w:left="3092" w:hanging="360"/>
      </w:pPr>
      <w:rPr>
        <w:rFonts w:hint="default"/>
      </w:rPr>
    </w:lvl>
    <w:lvl w:ilvl="4">
      <w:start w:val="0"/>
      <w:numFmt w:val="bullet"/>
      <w:lvlText w:val="•"/>
      <w:lvlJc w:val="left"/>
      <w:pPr>
        <w:ind w:left="4076" w:hanging="360"/>
      </w:pPr>
      <w:rPr>
        <w:rFonts w:hint="default"/>
      </w:rPr>
    </w:lvl>
    <w:lvl w:ilvl="5">
      <w:start w:val="0"/>
      <w:numFmt w:val="bullet"/>
      <w:lvlText w:val="•"/>
      <w:lvlJc w:val="left"/>
      <w:pPr>
        <w:ind w:left="5060" w:hanging="360"/>
      </w:pPr>
      <w:rPr>
        <w:rFonts w:hint="default"/>
      </w:rPr>
    </w:lvl>
    <w:lvl w:ilvl="6">
      <w:start w:val="0"/>
      <w:numFmt w:val="bullet"/>
      <w:lvlText w:val="•"/>
      <w:lvlJc w:val="left"/>
      <w:pPr>
        <w:ind w:left="6044" w:hanging="360"/>
      </w:pPr>
      <w:rPr>
        <w:rFonts w:hint="default"/>
      </w:rPr>
    </w:lvl>
    <w:lvl w:ilvl="7">
      <w:start w:val="0"/>
      <w:numFmt w:val="bullet"/>
      <w:lvlText w:val="•"/>
      <w:lvlJc w:val="left"/>
      <w:pPr>
        <w:ind w:left="7028" w:hanging="360"/>
      </w:pPr>
      <w:rPr>
        <w:rFonts w:hint="default"/>
      </w:rPr>
    </w:lvl>
    <w:lvl w:ilvl="8">
      <w:start w:val="0"/>
      <w:numFmt w:val="bullet"/>
      <w:lvlText w:val="•"/>
      <w:lvlJc w:val="left"/>
      <w:pPr>
        <w:ind w:left="8012" w:hanging="360"/>
      </w:pPr>
      <w:rPr>
        <w:rFonts w:hint="default"/>
      </w:rPr>
    </w:lvl>
  </w:abstractNum>
  <w:abstractNum w:abstractNumId="0">
    <w:multiLevelType w:val="hybridMultilevel"/>
    <w:lvl w:ilvl="0">
      <w:start w:val="1"/>
      <w:numFmt w:val="decimal"/>
      <w:lvlText w:val="%1"/>
      <w:lvlJc w:val="left"/>
      <w:pPr>
        <w:ind w:left="136" w:hanging="360"/>
        <w:jc w:val="left"/>
      </w:pPr>
      <w:rPr>
        <w:rFonts w:hint="default" w:ascii="Times New Roman" w:hAnsi="Times New Roman" w:eastAsia="Times New Roman" w:cs="Times New Roman"/>
        <w:spacing w:val="-21"/>
        <w:w w:val="93"/>
        <w:sz w:val="24"/>
        <w:szCs w:val="24"/>
      </w:rPr>
    </w:lvl>
    <w:lvl w:ilvl="1">
      <w:start w:val="0"/>
      <w:numFmt w:val="bullet"/>
      <w:lvlText w:val="•"/>
      <w:lvlJc w:val="left"/>
      <w:pPr>
        <w:ind w:left="1124" w:hanging="360"/>
      </w:pPr>
      <w:rPr>
        <w:rFonts w:hint="default"/>
      </w:rPr>
    </w:lvl>
    <w:lvl w:ilvl="2">
      <w:start w:val="0"/>
      <w:numFmt w:val="bullet"/>
      <w:lvlText w:val="•"/>
      <w:lvlJc w:val="left"/>
      <w:pPr>
        <w:ind w:left="2108" w:hanging="360"/>
      </w:pPr>
      <w:rPr>
        <w:rFonts w:hint="default"/>
      </w:rPr>
    </w:lvl>
    <w:lvl w:ilvl="3">
      <w:start w:val="0"/>
      <w:numFmt w:val="bullet"/>
      <w:lvlText w:val="•"/>
      <w:lvlJc w:val="left"/>
      <w:pPr>
        <w:ind w:left="3092" w:hanging="360"/>
      </w:pPr>
      <w:rPr>
        <w:rFonts w:hint="default"/>
      </w:rPr>
    </w:lvl>
    <w:lvl w:ilvl="4">
      <w:start w:val="0"/>
      <w:numFmt w:val="bullet"/>
      <w:lvlText w:val="•"/>
      <w:lvlJc w:val="left"/>
      <w:pPr>
        <w:ind w:left="4076" w:hanging="360"/>
      </w:pPr>
      <w:rPr>
        <w:rFonts w:hint="default"/>
      </w:rPr>
    </w:lvl>
    <w:lvl w:ilvl="5">
      <w:start w:val="0"/>
      <w:numFmt w:val="bullet"/>
      <w:lvlText w:val="•"/>
      <w:lvlJc w:val="left"/>
      <w:pPr>
        <w:ind w:left="5060" w:hanging="360"/>
      </w:pPr>
      <w:rPr>
        <w:rFonts w:hint="default"/>
      </w:rPr>
    </w:lvl>
    <w:lvl w:ilvl="6">
      <w:start w:val="0"/>
      <w:numFmt w:val="bullet"/>
      <w:lvlText w:val="•"/>
      <w:lvlJc w:val="left"/>
      <w:pPr>
        <w:ind w:left="6044" w:hanging="360"/>
      </w:pPr>
      <w:rPr>
        <w:rFonts w:hint="default"/>
      </w:rPr>
    </w:lvl>
    <w:lvl w:ilvl="7">
      <w:start w:val="0"/>
      <w:numFmt w:val="bullet"/>
      <w:lvlText w:val="•"/>
      <w:lvlJc w:val="left"/>
      <w:pPr>
        <w:ind w:left="7028" w:hanging="360"/>
      </w:pPr>
      <w:rPr>
        <w:rFonts w:hint="default"/>
      </w:rPr>
    </w:lvl>
    <w:lvl w:ilvl="8">
      <w:start w:val="0"/>
      <w:numFmt w:val="bullet"/>
      <w:lvlText w:val="•"/>
      <w:lvlJc w:val="left"/>
      <w:pPr>
        <w:ind w:left="8012" w:hanging="36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828"/>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36"/>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9912.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MPC</dc:creator>
  <dc:title>MINUTES OF THE MONETARY POLICY COMMITTEE MEETING HELD ON 8–</dc:title>
  <dcterms:created xsi:type="dcterms:W3CDTF">2020-06-02T20:53:02Z</dcterms:created>
  <dcterms:modified xsi:type="dcterms:W3CDTF">2020-06-02T20:53:02Z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1999-12-21T00:00:00Z</vt:filetime>
  </property>
  <property fmtid="{D5CDD505-2E9C-101B-9397-08002B2CF9AE}" pid="3" name="LastSaved">
    <vt:filetime>2020-06-02T00:00:00Z</vt:filetime>
  </property>
</Properties>
</file>