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22 February 2006</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pt" strokecolor="#010101">
              <v:stroke dashstyle="solid"/>
            </v:line>
            <w10:wrap type="topAndBottom"/>
          </v:group>
        </w:pict>
      </w:r>
    </w:p>
    <w:p>
      <w:pPr>
        <w:spacing w:before="87"/>
        <w:ind w:left="2004" w:right="1886" w:firstLine="1"/>
        <w:jc w:val="center"/>
        <w:rPr>
          <w:rFonts w:ascii="Book Antiqua"/>
          <w:b/>
          <w:sz w:val="56"/>
        </w:rPr>
      </w:pPr>
      <w:r>
        <w:rPr>
          <w:rFonts w:ascii="Book Antiqua"/>
          <w:b/>
          <w:sz w:val="48"/>
        </w:rPr>
        <w:t>MINUTES OF </w:t>
      </w:r>
      <w:r>
        <w:rPr>
          <w:rFonts w:ascii="Book Antiqua"/>
          <w:b/>
          <w:sz w:val="56"/>
        </w:rPr>
        <w:t>MONETARY POLICY COMMITTEE MEETING</w:t>
      </w:r>
    </w:p>
    <w:p>
      <w:pPr>
        <w:spacing w:before="100"/>
        <w:ind w:left="2898" w:right="2781" w:firstLine="0"/>
        <w:jc w:val="center"/>
        <w:rPr>
          <w:rFonts w:ascii="Book Antiqua"/>
          <w:b/>
          <w:sz w:val="48"/>
        </w:rPr>
      </w:pPr>
      <w:r>
        <w:rPr>
          <w:rFonts w:ascii="Book Antiqua"/>
          <w:b/>
          <w:sz w:val="48"/>
        </w:rPr>
        <w:t>8 and 9 February 2006</w:t>
      </w:r>
    </w:p>
    <w:p>
      <w:pPr>
        <w:pStyle w:val="BodyText"/>
        <w:spacing w:before="2"/>
        <w:rPr>
          <w:rFonts w:ascii="Book Antiqua"/>
          <w:b/>
          <w:sz w:val="17"/>
        </w:rPr>
      </w:pPr>
      <w:r>
        <w:rPr/>
        <w:pict>
          <v:group style="position:absolute;margin-left:49.02pt;margin-top:12.321094pt;width:495pt;height:4.5pt;mso-position-horizontal-relative:page;mso-position-vertical-relative:paragraph;z-index:-251657216;mso-wrap-distance-left:0;mso-wrap-distance-right:0" coordorigin="980,246" coordsize="9900,90">
            <v:line style="position:absolute" from="980,255" to="10880,255" stroked="true" strokeweight=".9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pStyle w:val="Heading1"/>
        <w:spacing w:line="288" w:lineRule="auto" w:before="415"/>
        <w:ind w:right="1821"/>
      </w:pPr>
      <w:r>
        <w:rPr/>
        <w:t>These are the minutes of the Monetary Policy Committee meeting held on 8 and 9 February 2006.</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http://www.bankofengland.co.uk/publications/minutes/mpc/pdf/2006/mpc0602.pdf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held on 8 and 9 March will be published on</w:t>
      </w:r>
    </w:p>
    <w:p>
      <w:pPr>
        <w:spacing w:before="1"/>
        <w:ind w:left="119" w:right="0" w:firstLine="0"/>
        <w:jc w:val="left"/>
        <w:rPr>
          <w:rFonts w:ascii="Book Antiqua"/>
          <w:sz w:val="26"/>
        </w:rPr>
      </w:pPr>
      <w:r>
        <w:rPr>
          <w:rFonts w:ascii="Book Antiqua"/>
          <w:sz w:val="26"/>
        </w:rPr>
        <w:t>22 March 2006.</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12"/>
        </w:rPr>
      </w:pPr>
      <w:r>
        <w:rPr/>
        <w:drawing>
          <wp:anchor distT="0" distB="0" distL="0" distR="0" allowOverlap="1" layoutInCell="1" locked="0" behindDoc="0" simplePos="0" relativeHeight="2">
            <wp:simplePos x="0" y="0"/>
            <wp:positionH relativeFrom="page">
              <wp:posOffset>5581650</wp:posOffset>
            </wp:positionH>
            <wp:positionV relativeFrom="paragraph">
              <wp:posOffset>119717</wp:posOffset>
            </wp:positionV>
            <wp:extent cx="1428126"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6" cy="1422177"/>
                    </a:xfrm>
                    <a:prstGeom prst="rect">
                      <a:avLst/>
                    </a:prstGeom>
                  </pic:spPr>
                </pic:pic>
              </a:graphicData>
            </a:graphic>
          </wp:anchor>
        </w:drawing>
      </w:r>
    </w:p>
    <w:p>
      <w:pPr>
        <w:spacing w:after="0"/>
        <w:rPr>
          <w:rFonts w:ascii="Book Antiqua"/>
          <w:sz w:val="12"/>
        </w:rPr>
        <w:sectPr>
          <w:type w:val="continuous"/>
          <w:pgSz w:w="11900" w:h="16840"/>
          <w:pgMar w:top="1360" w:bottom="280" w:left="760" w:right="700"/>
        </w:sectPr>
      </w:pPr>
    </w:p>
    <w:p>
      <w:pPr>
        <w:pStyle w:val="BodyText"/>
        <w:spacing w:before="5"/>
        <w:rPr>
          <w:rFonts w:ascii="Book Antiqua"/>
          <w:sz w:val="21"/>
        </w:rPr>
      </w:pPr>
    </w:p>
    <w:p>
      <w:pPr>
        <w:spacing w:line="249" w:lineRule="auto" w:before="94"/>
        <w:ind w:left="368" w:right="543" w:firstLine="0"/>
        <w:jc w:val="left"/>
        <w:rPr>
          <w:b/>
          <w:sz w:val="27"/>
        </w:rPr>
      </w:pPr>
      <w:r>
        <w:rPr>
          <w:b/>
          <w:sz w:val="27"/>
        </w:rPr>
        <w:t>MINUTES OF THE MONETARY POLICY COMMITTEE MEETING HELD ON 8-9 FEBRUARY 2006</w:t>
      </w:r>
    </w:p>
    <w:p>
      <w:pPr>
        <w:pStyle w:val="BodyText"/>
        <w:rPr>
          <w:b/>
          <w:sz w:val="30"/>
        </w:rPr>
      </w:pPr>
    </w:p>
    <w:p>
      <w:pPr>
        <w:pStyle w:val="ListParagraph"/>
        <w:numPr>
          <w:ilvl w:val="0"/>
          <w:numId w:val="1"/>
        </w:numPr>
        <w:tabs>
          <w:tab w:pos="931" w:val="left" w:leader="none"/>
          <w:tab w:pos="932" w:val="left" w:leader="none"/>
        </w:tabs>
        <w:spacing w:line="360" w:lineRule="auto" w:before="201" w:after="0"/>
        <w:ind w:left="367" w:right="361" w:firstLine="0"/>
        <w:jc w:val="left"/>
        <w:rPr>
          <w:sz w:val="24"/>
        </w:rPr>
      </w:pPr>
      <w:r>
        <w:rPr>
          <w:sz w:val="24"/>
        </w:rPr>
        <w:t>Before turning to its immediate policy decision, and against the background of its latest projections for output and inflation, the Committee discussed developments in financial </w:t>
      </w:r>
      <w:r>
        <w:rPr>
          <w:spacing w:val="-3"/>
          <w:sz w:val="24"/>
        </w:rPr>
        <w:t>markets; </w:t>
      </w:r>
      <w:r>
        <w:rPr>
          <w:spacing w:val="-2"/>
          <w:sz w:val="24"/>
        </w:rPr>
        <w:t>the </w:t>
      </w:r>
      <w:r>
        <w:rPr>
          <w:sz w:val="24"/>
        </w:rPr>
        <w:t>international economy; money, </w:t>
      </w:r>
      <w:r>
        <w:rPr>
          <w:spacing w:val="-3"/>
          <w:sz w:val="24"/>
        </w:rPr>
        <w:t>credit, </w:t>
      </w:r>
      <w:r>
        <w:rPr>
          <w:sz w:val="24"/>
        </w:rPr>
        <w:t>demand and output; </w:t>
      </w:r>
      <w:r>
        <w:rPr>
          <w:spacing w:val="-3"/>
          <w:sz w:val="24"/>
        </w:rPr>
        <w:t>and </w:t>
      </w:r>
      <w:r>
        <w:rPr>
          <w:sz w:val="24"/>
        </w:rPr>
        <w:t>costs and</w:t>
      </w:r>
      <w:r>
        <w:rPr>
          <w:spacing w:val="10"/>
          <w:sz w:val="24"/>
        </w:rPr>
        <w:t> </w:t>
      </w:r>
      <w:r>
        <w:rPr>
          <w:sz w:val="24"/>
        </w:rPr>
        <w:t>prices.</w:t>
      </w:r>
    </w:p>
    <w:p>
      <w:pPr>
        <w:pStyle w:val="BodyText"/>
        <w:rPr>
          <w:sz w:val="36"/>
        </w:rPr>
      </w:pPr>
    </w:p>
    <w:p>
      <w:pPr>
        <w:pStyle w:val="Heading2"/>
      </w:pPr>
      <w:r>
        <w:rPr/>
        <w:t>Financial markets</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360" w:lineRule="auto" w:before="0" w:after="0"/>
        <w:ind w:left="367" w:right="208" w:firstLine="0"/>
        <w:jc w:val="left"/>
        <w:rPr>
          <w:sz w:val="24"/>
        </w:rPr>
      </w:pPr>
      <w:r>
        <w:rPr>
          <w:sz w:val="24"/>
        </w:rPr>
        <w:t>Domestic</w:t>
      </w:r>
      <w:r>
        <w:rPr>
          <w:spacing w:val="-6"/>
          <w:sz w:val="24"/>
        </w:rPr>
        <w:t> </w:t>
      </w:r>
      <w:r>
        <w:rPr>
          <w:sz w:val="24"/>
        </w:rPr>
        <w:t>short-term</w:t>
      </w:r>
      <w:r>
        <w:rPr>
          <w:spacing w:val="-7"/>
          <w:sz w:val="24"/>
        </w:rPr>
        <w:t> </w:t>
      </w:r>
      <w:r>
        <w:rPr>
          <w:sz w:val="24"/>
        </w:rPr>
        <w:t>interest</w:t>
      </w:r>
      <w:r>
        <w:rPr>
          <w:spacing w:val="-6"/>
          <w:sz w:val="24"/>
        </w:rPr>
        <w:t> </w:t>
      </w:r>
      <w:r>
        <w:rPr>
          <w:sz w:val="24"/>
        </w:rPr>
        <w:t>rates</w:t>
      </w:r>
      <w:r>
        <w:rPr>
          <w:spacing w:val="-7"/>
          <w:sz w:val="24"/>
        </w:rPr>
        <w:t> </w:t>
      </w:r>
      <w:r>
        <w:rPr>
          <w:sz w:val="24"/>
        </w:rPr>
        <w:t>had</w:t>
      </w:r>
      <w:r>
        <w:rPr>
          <w:spacing w:val="-6"/>
          <w:sz w:val="24"/>
        </w:rPr>
        <w:t> </w:t>
      </w:r>
      <w:r>
        <w:rPr>
          <w:sz w:val="24"/>
        </w:rPr>
        <w:t>ended</w:t>
      </w:r>
      <w:r>
        <w:rPr>
          <w:spacing w:val="-1"/>
          <w:sz w:val="24"/>
        </w:rPr>
        <w:t> </w:t>
      </w:r>
      <w:r>
        <w:rPr>
          <w:sz w:val="24"/>
        </w:rPr>
        <w:t>the</w:t>
      </w:r>
      <w:r>
        <w:rPr>
          <w:spacing w:val="-3"/>
          <w:sz w:val="24"/>
        </w:rPr>
        <w:t> </w:t>
      </w:r>
      <w:r>
        <w:rPr>
          <w:sz w:val="24"/>
        </w:rPr>
        <w:t>month</w:t>
      </w:r>
      <w:r>
        <w:rPr>
          <w:spacing w:val="-3"/>
          <w:sz w:val="24"/>
        </w:rPr>
        <w:t> </w:t>
      </w:r>
      <w:r>
        <w:rPr>
          <w:sz w:val="24"/>
        </w:rPr>
        <w:t>a</w:t>
      </w:r>
      <w:r>
        <w:rPr>
          <w:spacing w:val="-3"/>
          <w:sz w:val="24"/>
        </w:rPr>
        <w:t> </w:t>
      </w:r>
      <w:r>
        <w:rPr>
          <w:sz w:val="24"/>
        </w:rPr>
        <w:t>few</w:t>
      </w:r>
      <w:r>
        <w:rPr>
          <w:spacing w:val="-3"/>
          <w:sz w:val="24"/>
        </w:rPr>
        <w:t> </w:t>
      </w:r>
      <w:r>
        <w:rPr>
          <w:sz w:val="24"/>
        </w:rPr>
        <w:t>basis</w:t>
      </w:r>
      <w:r>
        <w:rPr>
          <w:spacing w:val="-3"/>
          <w:sz w:val="24"/>
        </w:rPr>
        <w:t> </w:t>
      </w:r>
      <w:r>
        <w:rPr>
          <w:sz w:val="24"/>
        </w:rPr>
        <w:t>points</w:t>
      </w:r>
      <w:r>
        <w:rPr>
          <w:spacing w:val="-2"/>
          <w:sz w:val="24"/>
        </w:rPr>
        <w:t> </w:t>
      </w:r>
      <w:r>
        <w:rPr>
          <w:sz w:val="24"/>
        </w:rPr>
        <w:t>higher</w:t>
      </w:r>
      <w:r>
        <w:rPr>
          <w:spacing w:val="-4"/>
          <w:sz w:val="24"/>
        </w:rPr>
        <w:t> </w:t>
      </w:r>
      <w:r>
        <w:rPr>
          <w:sz w:val="24"/>
        </w:rPr>
        <w:t>than</w:t>
      </w:r>
      <w:r>
        <w:rPr>
          <w:spacing w:val="-4"/>
          <w:sz w:val="24"/>
        </w:rPr>
        <w:t> </w:t>
      </w:r>
      <w:r>
        <w:rPr>
          <w:sz w:val="24"/>
        </w:rPr>
        <w:t>at</w:t>
      </w:r>
      <w:r>
        <w:rPr>
          <w:spacing w:val="-4"/>
          <w:sz w:val="24"/>
        </w:rPr>
        <w:t> </w:t>
      </w:r>
      <w:r>
        <w:rPr>
          <w:sz w:val="24"/>
        </w:rPr>
        <w:t>the</w:t>
      </w:r>
      <w:r>
        <w:rPr>
          <w:spacing w:val="-4"/>
          <w:sz w:val="24"/>
        </w:rPr>
        <w:t> </w:t>
      </w:r>
      <w:r>
        <w:rPr>
          <w:sz w:val="24"/>
        </w:rPr>
        <w:t>time of the January </w:t>
      </w:r>
      <w:r>
        <w:rPr>
          <w:spacing w:val="-3"/>
          <w:sz w:val="24"/>
        </w:rPr>
        <w:t>meeting.  Sterling money </w:t>
      </w:r>
      <w:r>
        <w:rPr>
          <w:sz w:val="24"/>
        </w:rPr>
        <w:t>market instruments implied that interest rate expectations  were broadly flat over the next year or so, and were close to where they stood at the time of the November </w:t>
      </w:r>
      <w:r>
        <w:rPr>
          <w:i/>
          <w:sz w:val="24"/>
        </w:rPr>
        <w:t>Inflation Report</w:t>
      </w:r>
      <w:r>
        <w:rPr>
          <w:sz w:val="24"/>
        </w:rPr>
        <w:t>. According to the Reuters </w:t>
      </w:r>
      <w:r>
        <w:rPr>
          <w:spacing w:val="-4"/>
          <w:sz w:val="24"/>
        </w:rPr>
        <w:t>survey, </w:t>
      </w:r>
      <w:r>
        <w:rPr>
          <w:sz w:val="24"/>
        </w:rPr>
        <w:t>the mean expectation of private sector economists had remained for one interest rate reduction this</w:t>
      </w:r>
      <w:r>
        <w:rPr>
          <w:spacing w:val="18"/>
          <w:sz w:val="24"/>
        </w:rPr>
        <w:t> </w:t>
      </w:r>
      <w:r>
        <w:rPr>
          <w:sz w:val="24"/>
        </w:rPr>
        <w:t>year.</w:t>
      </w:r>
    </w:p>
    <w:p>
      <w:pPr>
        <w:pStyle w:val="BodyText"/>
        <w:rPr>
          <w:sz w:val="36"/>
        </w:rPr>
      </w:pPr>
    </w:p>
    <w:p>
      <w:pPr>
        <w:pStyle w:val="ListParagraph"/>
        <w:numPr>
          <w:ilvl w:val="0"/>
          <w:numId w:val="1"/>
        </w:numPr>
        <w:tabs>
          <w:tab w:pos="931" w:val="left" w:leader="none"/>
          <w:tab w:pos="932" w:val="left" w:leader="none"/>
        </w:tabs>
        <w:spacing w:line="362" w:lineRule="auto" w:before="0" w:after="0"/>
        <w:ind w:left="367" w:right="314" w:firstLine="0"/>
        <w:jc w:val="left"/>
        <w:rPr>
          <w:sz w:val="24"/>
        </w:rPr>
      </w:pPr>
      <w:r>
        <w:rPr>
          <w:sz w:val="24"/>
        </w:rPr>
        <w:t>Both UK and US </w:t>
      </w:r>
      <w:r>
        <w:rPr>
          <w:spacing w:val="-3"/>
          <w:sz w:val="24"/>
        </w:rPr>
        <w:t>long-term </w:t>
      </w:r>
      <w:r>
        <w:rPr>
          <w:sz w:val="24"/>
        </w:rPr>
        <w:t>implied forward interest rates had been little changed on the month, though in each case there </w:t>
      </w:r>
      <w:r>
        <w:rPr>
          <w:spacing w:val="-5"/>
          <w:sz w:val="24"/>
        </w:rPr>
        <w:t>had </w:t>
      </w:r>
      <w:r>
        <w:rPr>
          <w:sz w:val="24"/>
        </w:rPr>
        <w:t>been a small fall in forward real interest rates </w:t>
      </w:r>
      <w:r>
        <w:rPr>
          <w:spacing w:val="-3"/>
          <w:sz w:val="24"/>
        </w:rPr>
        <w:t>offset </w:t>
      </w:r>
      <w:r>
        <w:rPr>
          <w:sz w:val="24"/>
        </w:rPr>
        <w:t>by a small rise in inflation expectations. There had been a rise in long-term forward rates in the euro area, the reasons for which were</w:t>
      </w:r>
      <w:r>
        <w:rPr>
          <w:spacing w:val="-13"/>
          <w:sz w:val="24"/>
        </w:rPr>
        <w:t> </w:t>
      </w:r>
      <w:r>
        <w:rPr>
          <w:sz w:val="24"/>
        </w:rPr>
        <w:t>unclear.</w:t>
      </w:r>
    </w:p>
    <w:p>
      <w:pPr>
        <w:pStyle w:val="BodyText"/>
        <w:spacing w:before="7"/>
        <w:rPr>
          <w:sz w:val="35"/>
        </w:rPr>
      </w:pPr>
    </w:p>
    <w:p>
      <w:pPr>
        <w:pStyle w:val="ListParagraph"/>
        <w:numPr>
          <w:ilvl w:val="0"/>
          <w:numId w:val="1"/>
        </w:numPr>
        <w:tabs>
          <w:tab w:pos="931" w:val="left" w:leader="none"/>
          <w:tab w:pos="932" w:val="left" w:leader="none"/>
        </w:tabs>
        <w:spacing w:line="360" w:lineRule="auto" w:before="0" w:after="0"/>
        <w:ind w:left="367" w:right="194" w:firstLine="0"/>
        <w:jc w:val="left"/>
        <w:rPr>
          <w:sz w:val="24"/>
        </w:rPr>
      </w:pPr>
      <w:r>
        <w:rPr>
          <w:sz w:val="24"/>
        </w:rPr>
        <w:t>The</w:t>
      </w:r>
      <w:r>
        <w:rPr>
          <w:spacing w:val="-6"/>
          <w:sz w:val="24"/>
        </w:rPr>
        <w:t> </w:t>
      </w:r>
      <w:r>
        <w:rPr>
          <w:sz w:val="24"/>
        </w:rPr>
        <w:t>sterling</w:t>
      </w:r>
      <w:r>
        <w:rPr>
          <w:spacing w:val="-5"/>
          <w:sz w:val="24"/>
        </w:rPr>
        <w:t> </w:t>
      </w:r>
      <w:r>
        <w:rPr>
          <w:sz w:val="24"/>
        </w:rPr>
        <w:t>effective</w:t>
      </w:r>
      <w:r>
        <w:rPr>
          <w:spacing w:val="-5"/>
          <w:sz w:val="24"/>
        </w:rPr>
        <w:t> </w:t>
      </w:r>
      <w:r>
        <w:rPr>
          <w:sz w:val="24"/>
        </w:rPr>
        <w:t>exchange</w:t>
      </w:r>
      <w:r>
        <w:rPr>
          <w:spacing w:val="-5"/>
          <w:sz w:val="24"/>
        </w:rPr>
        <w:t> </w:t>
      </w:r>
      <w:r>
        <w:rPr>
          <w:sz w:val="24"/>
        </w:rPr>
        <w:t>rate</w:t>
      </w:r>
      <w:r>
        <w:rPr>
          <w:spacing w:val="-6"/>
          <w:sz w:val="24"/>
        </w:rPr>
        <w:t> </w:t>
      </w:r>
      <w:r>
        <w:rPr>
          <w:sz w:val="24"/>
        </w:rPr>
        <w:t>index</w:t>
      </w:r>
      <w:r>
        <w:rPr>
          <w:spacing w:val="-5"/>
          <w:sz w:val="24"/>
        </w:rPr>
        <w:t> </w:t>
      </w:r>
      <w:r>
        <w:rPr>
          <w:sz w:val="24"/>
        </w:rPr>
        <w:t>(ERI)</w:t>
      </w:r>
      <w:r>
        <w:rPr>
          <w:spacing w:val="-5"/>
          <w:sz w:val="24"/>
        </w:rPr>
        <w:t> </w:t>
      </w:r>
      <w:r>
        <w:rPr>
          <w:sz w:val="24"/>
        </w:rPr>
        <w:t>had</w:t>
      </w:r>
      <w:r>
        <w:rPr>
          <w:spacing w:val="-5"/>
          <w:sz w:val="24"/>
        </w:rPr>
        <w:t> </w:t>
      </w:r>
      <w:r>
        <w:rPr>
          <w:sz w:val="24"/>
        </w:rPr>
        <w:t>been</w:t>
      </w:r>
      <w:r>
        <w:rPr>
          <w:spacing w:val="-2"/>
          <w:sz w:val="24"/>
        </w:rPr>
        <w:t> </w:t>
      </w:r>
      <w:r>
        <w:rPr>
          <w:sz w:val="24"/>
        </w:rPr>
        <w:t>flat</w:t>
      </w:r>
      <w:r>
        <w:rPr>
          <w:spacing w:val="-2"/>
          <w:sz w:val="24"/>
        </w:rPr>
        <w:t> </w:t>
      </w:r>
      <w:r>
        <w:rPr>
          <w:sz w:val="24"/>
        </w:rPr>
        <w:t>over</w:t>
      </w:r>
      <w:r>
        <w:rPr>
          <w:spacing w:val="-3"/>
          <w:sz w:val="24"/>
        </w:rPr>
        <w:t> </w:t>
      </w:r>
      <w:r>
        <w:rPr>
          <w:sz w:val="24"/>
        </w:rPr>
        <w:t>the</w:t>
      </w:r>
      <w:r>
        <w:rPr>
          <w:spacing w:val="-1"/>
          <w:sz w:val="24"/>
        </w:rPr>
        <w:t> </w:t>
      </w:r>
      <w:r>
        <w:rPr>
          <w:sz w:val="24"/>
        </w:rPr>
        <w:t>past</w:t>
      </w:r>
      <w:r>
        <w:rPr>
          <w:spacing w:val="-2"/>
          <w:sz w:val="24"/>
        </w:rPr>
        <w:t> </w:t>
      </w:r>
      <w:r>
        <w:rPr>
          <w:sz w:val="24"/>
        </w:rPr>
        <w:t>month,</w:t>
      </w:r>
      <w:r>
        <w:rPr>
          <w:spacing w:val="-2"/>
          <w:sz w:val="24"/>
        </w:rPr>
        <w:t> </w:t>
      </w:r>
      <w:r>
        <w:rPr>
          <w:sz w:val="24"/>
        </w:rPr>
        <w:t>but</w:t>
      </w:r>
      <w:r>
        <w:rPr>
          <w:spacing w:val="6"/>
          <w:sz w:val="24"/>
        </w:rPr>
        <w:t> </w:t>
      </w:r>
      <w:r>
        <w:rPr>
          <w:sz w:val="24"/>
        </w:rPr>
        <w:t>had</w:t>
      </w:r>
      <w:r>
        <w:rPr>
          <w:spacing w:val="-6"/>
          <w:sz w:val="24"/>
        </w:rPr>
        <w:t> </w:t>
      </w:r>
      <w:r>
        <w:rPr>
          <w:spacing w:val="-2"/>
          <w:sz w:val="24"/>
        </w:rPr>
        <w:t>fallen </w:t>
      </w:r>
      <w:r>
        <w:rPr>
          <w:spacing w:val="-3"/>
          <w:sz w:val="24"/>
        </w:rPr>
        <w:t>by </w:t>
      </w:r>
      <w:r>
        <w:rPr>
          <w:sz w:val="24"/>
        </w:rPr>
        <w:t>around 1% since the time of the </w:t>
      </w:r>
      <w:r>
        <w:rPr>
          <w:spacing w:val="-5"/>
          <w:sz w:val="24"/>
        </w:rPr>
        <w:t>November </w:t>
      </w:r>
      <w:r>
        <w:rPr>
          <w:i/>
          <w:sz w:val="24"/>
        </w:rPr>
        <w:t>Inflation Report</w:t>
      </w:r>
      <w:r>
        <w:rPr>
          <w:sz w:val="24"/>
        </w:rPr>
        <w:t>. Looking back over a longer period, sterling had been broadly stable within a fairly narrow range. The dollar had appreciated over the past month against both </w:t>
      </w:r>
      <w:r>
        <w:rPr>
          <w:spacing w:val="-5"/>
          <w:sz w:val="24"/>
        </w:rPr>
        <w:t>the </w:t>
      </w:r>
      <w:r>
        <w:rPr>
          <w:sz w:val="24"/>
        </w:rPr>
        <w:t>euro and yen. The movement in the dollar-euro exchange rate was perhaps a little surprising given the upward shift in longer-term euro-area interest</w:t>
      </w:r>
      <w:r>
        <w:rPr>
          <w:spacing w:val="5"/>
          <w:sz w:val="24"/>
        </w:rPr>
        <w:t> </w:t>
      </w:r>
      <w:r>
        <w:rPr>
          <w:sz w:val="24"/>
        </w:rPr>
        <w:t>rates.</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7" w:right="351" w:firstLine="0"/>
        <w:jc w:val="left"/>
        <w:rPr>
          <w:sz w:val="24"/>
        </w:rPr>
      </w:pPr>
      <w:r>
        <w:rPr>
          <w:sz w:val="24"/>
        </w:rPr>
        <w:t>Equity</w:t>
      </w:r>
      <w:r>
        <w:rPr>
          <w:spacing w:val="-4"/>
          <w:sz w:val="24"/>
        </w:rPr>
        <w:t> </w:t>
      </w:r>
      <w:r>
        <w:rPr>
          <w:sz w:val="24"/>
        </w:rPr>
        <w:t>prices</w:t>
      </w:r>
      <w:r>
        <w:rPr>
          <w:spacing w:val="-3"/>
          <w:sz w:val="24"/>
        </w:rPr>
        <w:t> </w:t>
      </w:r>
      <w:r>
        <w:rPr>
          <w:sz w:val="24"/>
        </w:rPr>
        <w:t>were</w:t>
      </w:r>
      <w:r>
        <w:rPr>
          <w:spacing w:val="-13"/>
          <w:sz w:val="24"/>
        </w:rPr>
        <w:t> </w:t>
      </w:r>
      <w:r>
        <w:rPr>
          <w:sz w:val="24"/>
        </w:rPr>
        <w:t>little</w:t>
      </w:r>
      <w:r>
        <w:rPr>
          <w:spacing w:val="2"/>
          <w:sz w:val="24"/>
        </w:rPr>
        <w:t> </w:t>
      </w:r>
      <w:r>
        <w:rPr>
          <w:sz w:val="24"/>
        </w:rPr>
        <w:t>changed</w:t>
      </w:r>
      <w:r>
        <w:rPr>
          <w:spacing w:val="-1"/>
          <w:sz w:val="24"/>
        </w:rPr>
        <w:t> </w:t>
      </w:r>
      <w:r>
        <w:rPr>
          <w:sz w:val="24"/>
        </w:rPr>
        <w:t>over</w:t>
      </w:r>
      <w:r>
        <w:rPr>
          <w:spacing w:val="-1"/>
          <w:sz w:val="24"/>
        </w:rPr>
        <w:t> </w:t>
      </w:r>
      <w:r>
        <w:rPr>
          <w:sz w:val="24"/>
        </w:rPr>
        <w:t>the</w:t>
      </w:r>
      <w:r>
        <w:rPr>
          <w:spacing w:val="-1"/>
          <w:sz w:val="24"/>
        </w:rPr>
        <w:t> </w:t>
      </w:r>
      <w:r>
        <w:rPr>
          <w:sz w:val="24"/>
        </w:rPr>
        <w:t>past</w:t>
      </w:r>
      <w:r>
        <w:rPr>
          <w:spacing w:val="-2"/>
          <w:sz w:val="24"/>
        </w:rPr>
        <w:t> </w:t>
      </w:r>
      <w:r>
        <w:rPr>
          <w:sz w:val="24"/>
        </w:rPr>
        <w:t>month</w:t>
      </w:r>
      <w:r>
        <w:rPr>
          <w:spacing w:val="-15"/>
          <w:sz w:val="24"/>
        </w:rPr>
        <w:t> </w:t>
      </w:r>
      <w:r>
        <w:rPr>
          <w:sz w:val="24"/>
        </w:rPr>
        <w:t>in the</w:t>
      </w:r>
      <w:r>
        <w:rPr>
          <w:spacing w:val="9"/>
          <w:sz w:val="24"/>
        </w:rPr>
        <w:t> </w:t>
      </w:r>
      <w:r>
        <w:rPr>
          <w:sz w:val="24"/>
        </w:rPr>
        <w:t>United</w:t>
      </w:r>
      <w:r>
        <w:rPr>
          <w:spacing w:val="-2"/>
          <w:sz w:val="24"/>
        </w:rPr>
        <w:t> </w:t>
      </w:r>
      <w:r>
        <w:rPr>
          <w:spacing w:val="2"/>
          <w:sz w:val="24"/>
        </w:rPr>
        <w:t>Kingdom</w:t>
      </w:r>
      <w:r>
        <w:rPr>
          <w:spacing w:val="-32"/>
          <w:sz w:val="24"/>
        </w:rPr>
        <w:t> </w:t>
      </w:r>
      <w:r>
        <w:rPr>
          <w:sz w:val="24"/>
        </w:rPr>
        <w:t>and</w:t>
      </w:r>
      <w:r>
        <w:rPr>
          <w:spacing w:val="2"/>
          <w:sz w:val="24"/>
        </w:rPr>
        <w:t> </w:t>
      </w:r>
      <w:r>
        <w:rPr>
          <w:sz w:val="24"/>
        </w:rPr>
        <w:t>the</w:t>
      </w:r>
      <w:r>
        <w:rPr>
          <w:spacing w:val="3"/>
          <w:sz w:val="24"/>
        </w:rPr>
        <w:t> </w:t>
      </w:r>
      <w:r>
        <w:rPr>
          <w:sz w:val="24"/>
        </w:rPr>
        <w:t>euro</w:t>
      </w:r>
      <w:r>
        <w:rPr>
          <w:spacing w:val="-2"/>
          <w:sz w:val="24"/>
        </w:rPr>
        <w:t> </w:t>
      </w:r>
      <w:r>
        <w:rPr>
          <w:sz w:val="24"/>
        </w:rPr>
        <w:t>area, while </w:t>
      </w:r>
      <w:r>
        <w:rPr>
          <w:spacing w:val="-4"/>
          <w:sz w:val="24"/>
        </w:rPr>
        <w:t>the </w:t>
      </w:r>
      <w:r>
        <w:rPr>
          <w:spacing w:val="-3"/>
          <w:sz w:val="24"/>
        </w:rPr>
        <w:t>US </w:t>
      </w:r>
      <w:r>
        <w:rPr>
          <w:spacing w:val="-4"/>
          <w:sz w:val="24"/>
        </w:rPr>
        <w:t>S&amp;P </w:t>
      </w:r>
      <w:r>
        <w:rPr>
          <w:sz w:val="24"/>
        </w:rPr>
        <w:t>500 index had fallen a little. </w:t>
      </w:r>
      <w:r>
        <w:rPr>
          <w:spacing w:val="-3"/>
          <w:sz w:val="24"/>
        </w:rPr>
        <w:t>Most </w:t>
      </w:r>
      <w:r>
        <w:rPr>
          <w:sz w:val="24"/>
        </w:rPr>
        <w:t>major equity price indices </w:t>
      </w:r>
      <w:r>
        <w:rPr>
          <w:spacing w:val="-3"/>
          <w:sz w:val="24"/>
        </w:rPr>
        <w:t>had </w:t>
      </w:r>
      <w:r>
        <w:rPr>
          <w:sz w:val="24"/>
        </w:rPr>
        <w:t>remained significantly higher than at the time of the November </w:t>
      </w:r>
      <w:r>
        <w:rPr>
          <w:i/>
          <w:sz w:val="24"/>
        </w:rPr>
        <w:t>Inflation</w:t>
      </w:r>
      <w:r>
        <w:rPr>
          <w:i/>
          <w:spacing w:val="9"/>
          <w:sz w:val="24"/>
        </w:rPr>
        <w:t> </w:t>
      </w:r>
      <w:r>
        <w:rPr>
          <w:i/>
          <w:sz w:val="24"/>
        </w:rPr>
        <w:t>Report</w:t>
      </w:r>
      <w:r>
        <w:rPr>
          <w:sz w:val="24"/>
        </w:rPr>
        <w:t>.</w:t>
      </w:r>
    </w:p>
    <w:p>
      <w:pPr>
        <w:pStyle w:val="BodyText"/>
        <w:rPr>
          <w:sz w:val="36"/>
        </w:rPr>
      </w:pPr>
    </w:p>
    <w:p>
      <w:pPr>
        <w:pStyle w:val="Heading2"/>
      </w:pPr>
      <w:r>
        <w:rPr/>
        <w:t>The international economy</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355" w:lineRule="auto" w:before="0" w:after="0"/>
        <w:ind w:left="367" w:right="676" w:firstLine="0"/>
        <w:jc w:val="left"/>
        <w:rPr>
          <w:sz w:val="24"/>
        </w:rPr>
      </w:pPr>
      <w:r>
        <w:rPr>
          <w:sz w:val="24"/>
        </w:rPr>
        <w:t>After</w:t>
      </w:r>
      <w:r>
        <w:rPr>
          <w:spacing w:val="-4"/>
          <w:sz w:val="24"/>
        </w:rPr>
        <w:t> </w:t>
      </w:r>
      <w:r>
        <w:rPr>
          <w:sz w:val="24"/>
        </w:rPr>
        <w:t>several</w:t>
      </w:r>
      <w:r>
        <w:rPr>
          <w:spacing w:val="-4"/>
          <w:sz w:val="24"/>
        </w:rPr>
        <w:t> </w:t>
      </w:r>
      <w:r>
        <w:rPr>
          <w:sz w:val="24"/>
        </w:rPr>
        <w:t>months</w:t>
      </w:r>
      <w:r>
        <w:rPr>
          <w:spacing w:val="-3"/>
          <w:sz w:val="24"/>
        </w:rPr>
        <w:t> </w:t>
      </w:r>
      <w:r>
        <w:rPr>
          <w:sz w:val="24"/>
        </w:rPr>
        <w:t>of</w:t>
      </w:r>
      <w:r>
        <w:rPr>
          <w:spacing w:val="-4"/>
          <w:sz w:val="24"/>
        </w:rPr>
        <w:t> </w:t>
      </w:r>
      <w:r>
        <w:rPr>
          <w:sz w:val="24"/>
        </w:rPr>
        <w:t>generally</w:t>
      </w:r>
      <w:r>
        <w:rPr>
          <w:spacing w:val="-3"/>
          <w:sz w:val="24"/>
        </w:rPr>
        <w:t> </w:t>
      </w:r>
      <w:r>
        <w:rPr>
          <w:sz w:val="24"/>
        </w:rPr>
        <w:t>positive</w:t>
      </w:r>
      <w:r>
        <w:rPr>
          <w:spacing w:val="-4"/>
          <w:sz w:val="24"/>
        </w:rPr>
        <w:t> </w:t>
      </w:r>
      <w:r>
        <w:rPr>
          <w:sz w:val="24"/>
        </w:rPr>
        <w:t>news</w:t>
      </w:r>
      <w:r>
        <w:rPr>
          <w:spacing w:val="-3"/>
          <w:sz w:val="24"/>
        </w:rPr>
        <w:t> </w:t>
      </w:r>
      <w:r>
        <w:rPr>
          <w:sz w:val="24"/>
        </w:rPr>
        <w:t>on</w:t>
      </w:r>
      <w:r>
        <w:rPr>
          <w:spacing w:val="-4"/>
          <w:sz w:val="24"/>
        </w:rPr>
        <w:t> </w:t>
      </w:r>
      <w:r>
        <w:rPr>
          <w:sz w:val="24"/>
        </w:rPr>
        <w:t>activity,</w:t>
      </w:r>
      <w:r>
        <w:rPr>
          <w:spacing w:val="-4"/>
          <w:sz w:val="24"/>
        </w:rPr>
        <w:t> </w:t>
      </w:r>
      <w:r>
        <w:rPr>
          <w:sz w:val="24"/>
        </w:rPr>
        <w:t>the</w:t>
      </w:r>
      <w:r>
        <w:rPr>
          <w:spacing w:val="-3"/>
          <w:sz w:val="24"/>
        </w:rPr>
        <w:t> </w:t>
      </w:r>
      <w:r>
        <w:rPr>
          <w:sz w:val="24"/>
        </w:rPr>
        <w:t>latest</w:t>
      </w:r>
      <w:r>
        <w:rPr>
          <w:spacing w:val="-4"/>
          <w:sz w:val="24"/>
        </w:rPr>
        <w:t> </w:t>
      </w:r>
      <w:r>
        <w:rPr>
          <w:sz w:val="24"/>
        </w:rPr>
        <w:t>indicators</w:t>
      </w:r>
      <w:r>
        <w:rPr>
          <w:spacing w:val="-3"/>
          <w:sz w:val="24"/>
        </w:rPr>
        <w:t> </w:t>
      </w:r>
      <w:r>
        <w:rPr>
          <w:sz w:val="24"/>
        </w:rPr>
        <w:t>for</w:t>
      </w:r>
      <w:r>
        <w:rPr>
          <w:spacing w:val="-4"/>
          <w:sz w:val="24"/>
        </w:rPr>
        <w:t> </w:t>
      </w:r>
      <w:r>
        <w:rPr>
          <w:sz w:val="24"/>
        </w:rPr>
        <w:t>both</w:t>
      </w:r>
      <w:r>
        <w:rPr>
          <w:spacing w:val="-4"/>
          <w:sz w:val="24"/>
        </w:rPr>
        <w:t> </w:t>
      </w:r>
      <w:r>
        <w:rPr>
          <w:sz w:val="24"/>
        </w:rPr>
        <w:t>the United States and the euro area </w:t>
      </w:r>
      <w:r>
        <w:rPr>
          <w:spacing w:val="-3"/>
          <w:sz w:val="24"/>
        </w:rPr>
        <w:t>had </w:t>
      </w:r>
      <w:r>
        <w:rPr>
          <w:sz w:val="24"/>
        </w:rPr>
        <w:t>seemed more</w:t>
      </w:r>
      <w:r>
        <w:rPr>
          <w:spacing w:val="11"/>
          <w:sz w:val="24"/>
        </w:rPr>
        <w:t> </w:t>
      </w:r>
      <w:r>
        <w:rPr>
          <w:sz w:val="24"/>
        </w:rPr>
        <w:t>equivocal.</w:t>
      </w:r>
    </w:p>
    <w:p>
      <w:pPr>
        <w:spacing w:after="0" w:line="355" w:lineRule="auto"/>
        <w:jc w:val="left"/>
        <w:rPr>
          <w:sz w:val="24"/>
        </w:rPr>
        <w:sectPr>
          <w:pgSz w:w="11900" w:h="16840"/>
          <w:pgMar w:top="1600" w:bottom="280" w:left="760" w:right="700"/>
        </w:sectPr>
      </w:pPr>
    </w:p>
    <w:p>
      <w:pPr>
        <w:pStyle w:val="BodyText"/>
        <w:rPr>
          <w:sz w:val="20"/>
        </w:rPr>
      </w:pPr>
    </w:p>
    <w:p>
      <w:pPr>
        <w:pStyle w:val="BodyText"/>
        <w:spacing w:before="2"/>
        <w:rPr>
          <w:sz w:val="20"/>
        </w:rPr>
      </w:pPr>
    </w:p>
    <w:p>
      <w:pPr>
        <w:pStyle w:val="ListParagraph"/>
        <w:numPr>
          <w:ilvl w:val="0"/>
          <w:numId w:val="1"/>
        </w:numPr>
        <w:tabs>
          <w:tab w:pos="931" w:val="left" w:leader="none"/>
          <w:tab w:pos="932" w:val="left" w:leader="none"/>
        </w:tabs>
        <w:spacing w:line="360" w:lineRule="auto" w:before="90" w:after="0"/>
        <w:ind w:left="367" w:right="206" w:firstLine="0"/>
        <w:jc w:val="left"/>
        <w:rPr>
          <w:sz w:val="24"/>
        </w:rPr>
      </w:pPr>
      <w:r>
        <w:rPr>
          <w:sz w:val="24"/>
        </w:rPr>
        <w:t>In </w:t>
      </w:r>
      <w:r>
        <w:rPr>
          <w:spacing w:val="-5"/>
          <w:sz w:val="24"/>
        </w:rPr>
        <w:t>the </w:t>
      </w:r>
      <w:r>
        <w:rPr>
          <w:sz w:val="24"/>
        </w:rPr>
        <w:t>euro area, the retail sales and trade data </w:t>
      </w:r>
      <w:r>
        <w:rPr>
          <w:spacing w:val="-3"/>
          <w:sz w:val="24"/>
        </w:rPr>
        <w:t>had </w:t>
      </w:r>
      <w:r>
        <w:rPr>
          <w:sz w:val="24"/>
        </w:rPr>
        <w:t>pointed to slightly slower growth in 2005 Q4 than thought a month or two ago. However, this slight reassessment of the likely outturn for Q4 did not alter the picture of a steady recovery in growth, with the services Purchasing </w:t>
      </w:r>
      <w:r>
        <w:rPr>
          <w:spacing w:val="-4"/>
          <w:sz w:val="24"/>
        </w:rPr>
        <w:t>Managers </w:t>
      </w:r>
      <w:r>
        <w:rPr>
          <w:sz w:val="24"/>
        </w:rPr>
        <w:t>Index </w:t>
      </w:r>
      <w:r>
        <w:rPr>
          <w:spacing w:val="-3"/>
          <w:sz w:val="24"/>
        </w:rPr>
        <w:t>(PMI) </w:t>
      </w:r>
      <w:r>
        <w:rPr>
          <w:sz w:val="24"/>
        </w:rPr>
        <w:t>and the European Commission industrial </w:t>
      </w:r>
      <w:r>
        <w:rPr>
          <w:spacing w:val="-3"/>
          <w:sz w:val="24"/>
        </w:rPr>
        <w:t>confidence </w:t>
      </w:r>
      <w:r>
        <w:rPr>
          <w:sz w:val="24"/>
        </w:rPr>
        <w:t>balance both strengthening.  A </w:t>
      </w:r>
      <w:r>
        <w:rPr>
          <w:spacing w:val="-2"/>
          <w:sz w:val="24"/>
        </w:rPr>
        <w:t>key </w:t>
      </w:r>
      <w:r>
        <w:rPr>
          <w:sz w:val="24"/>
        </w:rPr>
        <w:t>question remained whether consumption growth would pick up further. </w:t>
      </w:r>
      <w:r>
        <w:rPr>
          <w:spacing w:val="-4"/>
          <w:sz w:val="24"/>
        </w:rPr>
        <w:t>But </w:t>
      </w:r>
      <w:r>
        <w:rPr>
          <w:sz w:val="24"/>
        </w:rPr>
        <w:t>with signs that firms were expecting</w:t>
      </w:r>
      <w:r>
        <w:rPr>
          <w:spacing w:val="-3"/>
          <w:sz w:val="24"/>
        </w:rPr>
        <w:t> </w:t>
      </w:r>
      <w:r>
        <w:rPr>
          <w:sz w:val="24"/>
        </w:rPr>
        <w:t>to</w:t>
      </w:r>
      <w:r>
        <w:rPr>
          <w:spacing w:val="-3"/>
          <w:sz w:val="24"/>
        </w:rPr>
        <w:t> </w:t>
      </w:r>
      <w:r>
        <w:rPr>
          <w:sz w:val="24"/>
        </w:rPr>
        <w:t>employ</w:t>
      </w:r>
      <w:r>
        <w:rPr>
          <w:spacing w:val="-3"/>
          <w:sz w:val="24"/>
        </w:rPr>
        <w:t> </w:t>
      </w:r>
      <w:r>
        <w:rPr>
          <w:sz w:val="24"/>
        </w:rPr>
        <w:t>more</w:t>
      </w:r>
      <w:r>
        <w:rPr>
          <w:spacing w:val="-3"/>
          <w:sz w:val="24"/>
        </w:rPr>
        <w:t> </w:t>
      </w:r>
      <w:r>
        <w:rPr>
          <w:sz w:val="24"/>
        </w:rPr>
        <w:t>labour</w:t>
      </w:r>
      <w:r>
        <w:rPr>
          <w:spacing w:val="-3"/>
          <w:sz w:val="24"/>
        </w:rPr>
        <w:t> </w:t>
      </w:r>
      <w:r>
        <w:rPr>
          <w:sz w:val="24"/>
        </w:rPr>
        <w:t>and</w:t>
      </w:r>
      <w:r>
        <w:rPr>
          <w:spacing w:val="-3"/>
          <w:sz w:val="24"/>
        </w:rPr>
        <w:t> </w:t>
      </w:r>
      <w:r>
        <w:rPr>
          <w:sz w:val="24"/>
        </w:rPr>
        <w:t>household</w:t>
      </w:r>
      <w:r>
        <w:rPr>
          <w:spacing w:val="-4"/>
          <w:sz w:val="24"/>
        </w:rPr>
        <w:t> </w:t>
      </w:r>
      <w:r>
        <w:rPr>
          <w:sz w:val="24"/>
        </w:rPr>
        <w:t>borrowing</w:t>
      </w:r>
      <w:r>
        <w:rPr>
          <w:spacing w:val="-4"/>
          <w:sz w:val="24"/>
        </w:rPr>
        <w:t> </w:t>
      </w:r>
      <w:r>
        <w:rPr>
          <w:sz w:val="24"/>
        </w:rPr>
        <w:t>strong,</w:t>
      </w:r>
      <w:r>
        <w:rPr>
          <w:spacing w:val="-4"/>
          <w:sz w:val="24"/>
        </w:rPr>
        <w:t> </w:t>
      </w:r>
      <w:r>
        <w:rPr>
          <w:sz w:val="24"/>
        </w:rPr>
        <w:t>the</w:t>
      </w:r>
      <w:r>
        <w:rPr>
          <w:spacing w:val="-3"/>
          <w:sz w:val="24"/>
        </w:rPr>
        <w:t> </w:t>
      </w:r>
      <w:r>
        <w:rPr>
          <w:sz w:val="24"/>
        </w:rPr>
        <w:t>outlook</w:t>
      </w:r>
      <w:r>
        <w:rPr>
          <w:spacing w:val="-4"/>
          <w:sz w:val="24"/>
        </w:rPr>
        <w:t> </w:t>
      </w:r>
      <w:r>
        <w:rPr>
          <w:sz w:val="24"/>
        </w:rPr>
        <w:t>seemed</w:t>
      </w:r>
      <w:r>
        <w:rPr>
          <w:spacing w:val="-3"/>
          <w:sz w:val="24"/>
        </w:rPr>
        <w:t> </w:t>
      </w:r>
      <w:r>
        <w:rPr>
          <w:sz w:val="24"/>
        </w:rPr>
        <w:t>fairly</w:t>
      </w:r>
      <w:r>
        <w:rPr>
          <w:spacing w:val="-4"/>
          <w:sz w:val="24"/>
        </w:rPr>
        <w:t> </w:t>
      </w:r>
      <w:r>
        <w:rPr>
          <w:sz w:val="24"/>
        </w:rPr>
        <w:t>positive.</w:t>
      </w:r>
    </w:p>
    <w:p>
      <w:pPr>
        <w:pStyle w:val="BodyText"/>
        <w:spacing w:before="6"/>
        <w:rPr>
          <w:sz w:val="36"/>
        </w:rPr>
      </w:pPr>
    </w:p>
    <w:p>
      <w:pPr>
        <w:pStyle w:val="ListParagraph"/>
        <w:numPr>
          <w:ilvl w:val="0"/>
          <w:numId w:val="1"/>
        </w:numPr>
        <w:tabs>
          <w:tab w:pos="931" w:val="left" w:leader="none"/>
          <w:tab w:pos="932" w:val="left" w:leader="none"/>
        </w:tabs>
        <w:spacing w:line="360" w:lineRule="auto" w:before="0" w:after="0"/>
        <w:ind w:left="368" w:right="242" w:firstLine="0"/>
        <w:jc w:val="left"/>
        <w:rPr>
          <w:b/>
          <w:sz w:val="24"/>
        </w:rPr>
      </w:pPr>
      <w:r>
        <w:rPr>
          <w:sz w:val="24"/>
        </w:rPr>
        <w:t>Growth in the United States had slowed to 0.3% in Q4, the slowest quarterly growth rate since 2002. Although the slowdown </w:t>
      </w:r>
      <w:r>
        <w:rPr>
          <w:spacing w:val="3"/>
          <w:sz w:val="24"/>
        </w:rPr>
        <w:t>was </w:t>
      </w:r>
      <w:r>
        <w:rPr>
          <w:sz w:val="24"/>
        </w:rPr>
        <w:t>broadly based across expenditure categories, there were a number of reasons for discounting the slowdown as erratic. These included: the impact of the hurricanes on both consumption and the production of oil and gas; the unwinding of incentives on </w:t>
      </w:r>
      <w:r>
        <w:rPr>
          <w:spacing w:val="-3"/>
          <w:sz w:val="24"/>
        </w:rPr>
        <w:t>auto </w:t>
      </w:r>
      <w:r>
        <w:rPr>
          <w:sz w:val="24"/>
        </w:rPr>
        <w:t>purchases; the impact of a strike at Boeing on investment; and </w:t>
      </w:r>
      <w:r>
        <w:rPr>
          <w:spacing w:val="6"/>
          <w:sz w:val="24"/>
        </w:rPr>
        <w:t>an </w:t>
      </w:r>
      <w:r>
        <w:rPr>
          <w:sz w:val="24"/>
        </w:rPr>
        <w:t>erratic fall in defence </w:t>
      </w:r>
      <w:r>
        <w:rPr>
          <w:spacing w:val="-3"/>
          <w:sz w:val="24"/>
        </w:rPr>
        <w:t>spending. </w:t>
      </w:r>
      <w:r>
        <w:rPr>
          <w:sz w:val="24"/>
        </w:rPr>
        <w:t>Consequently, GDP growth seemed likely to bounce back in Q1. That being said, some of the January indicators </w:t>
      </w:r>
      <w:r>
        <w:rPr>
          <w:spacing w:val="-4"/>
          <w:sz w:val="24"/>
        </w:rPr>
        <w:t>had </w:t>
      </w:r>
      <w:r>
        <w:rPr>
          <w:sz w:val="24"/>
        </w:rPr>
        <w:t>been a little weaker than expected, for example the latest </w:t>
      </w:r>
      <w:r>
        <w:rPr>
          <w:spacing w:val="-3"/>
          <w:sz w:val="24"/>
        </w:rPr>
        <w:t>non-farm </w:t>
      </w:r>
      <w:r>
        <w:rPr>
          <w:sz w:val="24"/>
        </w:rPr>
        <w:t>payrolls data and the </w:t>
      </w:r>
      <w:r>
        <w:rPr>
          <w:spacing w:val="-6"/>
          <w:sz w:val="24"/>
        </w:rPr>
        <w:t>non- </w:t>
      </w:r>
      <w:r>
        <w:rPr>
          <w:sz w:val="24"/>
        </w:rPr>
        <w:t>manufacturing purchasing managers’</w:t>
      </w:r>
      <w:r>
        <w:rPr>
          <w:spacing w:val="13"/>
          <w:sz w:val="24"/>
        </w:rPr>
        <w:t> </w:t>
      </w:r>
      <w:r>
        <w:rPr>
          <w:spacing w:val="-4"/>
          <w:sz w:val="24"/>
        </w:rPr>
        <w:t>index</w:t>
      </w:r>
      <w:r>
        <w:rPr>
          <w:b/>
          <w:spacing w:val="-4"/>
          <w:sz w:val="24"/>
        </w:rPr>
        <w:t>.</w:t>
      </w:r>
    </w:p>
    <w:p>
      <w:pPr>
        <w:pStyle w:val="BodyText"/>
        <w:spacing w:before="6"/>
        <w:rPr>
          <w:b/>
          <w:sz w:val="35"/>
        </w:rPr>
      </w:pPr>
    </w:p>
    <w:p>
      <w:pPr>
        <w:pStyle w:val="ListParagraph"/>
        <w:numPr>
          <w:ilvl w:val="0"/>
          <w:numId w:val="1"/>
        </w:numPr>
        <w:tabs>
          <w:tab w:pos="931" w:val="left" w:leader="none"/>
          <w:tab w:pos="932" w:val="left" w:leader="none"/>
        </w:tabs>
        <w:spacing w:line="360" w:lineRule="auto" w:before="0" w:after="0"/>
        <w:ind w:left="368" w:right="211" w:firstLine="0"/>
        <w:jc w:val="left"/>
        <w:rPr>
          <w:sz w:val="24"/>
        </w:rPr>
      </w:pPr>
      <w:r>
        <w:rPr>
          <w:sz w:val="24"/>
        </w:rPr>
        <w:t>There was a possibility that there might be a more sustained period of adjustment in the United States, particularly in the housing market, with house sales and housing construction indicators </w:t>
      </w:r>
      <w:r>
        <w:rPr>
          <w:spacing w:val="-3"/>
          <w:sz w:val="24"/>
        </w:rPr>
        <w:t>both </w:t>
      </w:r>
      <w:r>
        <w:rPr>
          <w:sz w:val="24"/>
        </w:rPr>
        <w:t>easing recently. The house price </w:t>
      </w:r>
      <w:r>
        <w:rPr>
          <w:spacing w:val="-3"/>
          <w:sz w:val="24"/>
        </w:rPr>
        <w:t>inflation rate </w:t>
      </w:r>
      <w:r>
        <w:rPr>
          <w:sz w:val="24"/>
        </w:rPr>
        <w:t>had fallen in </w:t>
      </w:r>
      <w:r>
        <w:rPr>
          <w:spacing w:val="-3"/>
          <w:sz w:val="24"/>
        </w:rPr>
        <w:t>November </w:t>
      </w:r>
      <w:r>
        <w:rPr>
          <w:sz w:val="24"/>
        </w:rPr>
        <w:t>and December, while forward- looking indicators of activity had also edged lower in recent months. A slowdown in the US housing market would probably have implications for consumption and private residential investment.</w:t>
      </w:r>
      <w:r>
        <w:rPr>
          <w:spacing w:val="3"/>
          <w:sz w:val="24"/>
        </w:rPr>
        <w:t> </w:t>
      </w:r>
      <w:r>
        <w:rPr>
          <w:sz w:val="24"/>
        </w:rPr>
        <w:t>But just as in the </w:t>
      </w:r>
      <w:r>
        <w:rPr>
          <w:spacing w:val="-5"/>
          <w:sz w:val="24"/>
        </w:rPr>
        <w:t>United </w:t>
      </w:r>
      <w:r>
        <w:rPr>
          <w:sz w:val="24"/>
        </w:rPr>
        <w:t>Kingdom, the correlation between house price inflation and consumption growth had fallen in recent years, and so although some further dampening of consumer spending was possible, it was not clear how far any adjustment in the housing market would affect consumption</w:t>
      </w:r>
      <w:r>
        <w:rPr>
          <w:spacing w:val="-13"/>
          <w:sz w:val="24"/>
        </w:rPr>
        <w:t> </w:t>
      </w:r>
      <w:r>
        <w:rPr>
          <w:sz w:val="24"/>
        </w:rPr>
        <w:t>growth.</w:t>
      </w:r>
    </w:p>
    <w:p>
      <w:pPr>
        <w:pStyle w:val="BodyText"/>
        <w:spacing w:before="6"/>
        <w:rPr>
          <w:sz w:val="36"/>
        </w:rPr>
      </w:pPr>
    </w:p>
    <w:p>
      <w:pPr>
        <w:pStyle w:val="ListParagraph"/>
        <w:numPr>
          <w:ilvl w:val="0"/>
          <w:numId w:val="1"/>
        </w:numPr>
        <w:tabs>
          <w:tab w:pos="931" w:val="left" w:leader="none"/>
          <w:tab w:pos="932" w:val="left" w:leader="none"/>
        </w:tabs>
        <w:spacing w:line="355" w:lineRule="auto" w:before="0" w:after="0"/>
        <w:ind w:left="368" w:right="423" w:firstLine="0"/>
        <w:jc w:val="left"/>
        <w:rPr>
          <w:sz w:val="24"/>
        </w:rPr>
      </w:pPr>
      <w:r>
        <w:rPr>
          <w:sz w:val="24"/>
        </w:rPr>
        <w:t>The</w:t>
      </w:r>
      <w:r>
        <w:rPr>
          <w:spacing w:val="-4"/>
          <w:sz w:val="24"/>
        </w:rPr>
        <w:t> </w:t>
      </w:r>
      <w:r>
        <w:rPr>
          <w:sz w:val="24"/>
        </w:rPr>
        <w:t>latest</w:t>
      </w:r>
      <w:r>
        <w:rPr>
          <w:spacing w:val="-3"/>
          <w:sz w:val="24"/>
        </w:rPr>
        <w:t> </w:t>
      </w:r>
      <w:r>
        <w:rPr>
          <w:sz w:val="24"/>
        </w:rPr>
        <w:t>Japanese</w:t>
      </w:r>
      <w:r>
        <w:rPr>
          <w:spacing w:val="-3"/>
          <w:sz w:val="24"/>
        </w:rPr>
        <w:t> </w:t>
      </w:r>
      <w:r>
        <w:rPr>
          <w:sz w:val="24"/>
        </w:rPr>
        <w:t>indicators</w:t>
      </w:r>
      <w:r>
        <w:rPr>
          <w:spacing w:val="-3"/>
          <w:sz w:val="24"/>
        </w:rPr>
        <w:t> </w:t>
      </w:r>
      <w:r>
        <w:rPr>
          <w:sz w:val="24"/>
        </w:rPr>
        <w:t>appeared</w:t>
      </w:r>
      <w:r>
        <w:rPr>
          <w:spacing w:val="-3"/>
          <w:sz w:val="24"/>
        </w:rPr>
        <w:t> </w:t>
      </w:r>
      <w:r>
        <w:rPr>
          <w:sz w:val="24"/>
        </w:rPr>
        <w:t>to</w:t>
      </w:r>
      <w:r>
        <w:rPr>
          <w:spacing w:val="-3"/>
          <w:sz w:val="24"/>
        </w:rPr>
        <w:t> </w:t>
      </w:r>
      <w:r>
        <w:rPr>
          <w:sz w:val="24"/>
        </w:rPr>
        <w:t>confirm</w:t>
      </w:r>
      <w:r>
        <w:rPr>
          <w:spacing w:val="-3"/>
          <w:sz w:val="24"/>
        </w:rPr>
        <w:t> </w:t>
      </w:r>
      <w:r>
        <w:rPr>
          <w:sz w:val="24"/>
        </w:rPr>
        <w:t>that</w:t>
      </w:r>
      <w:r>
        <w:rPr>
          <w:spacing w:val="-3"/>
          <w:sz w:val="24"/>
        </w:rPr>
        <w:t> </w:t>
      </w:r>
      <w:r>
        <w:rPr>
          <w:sz w:val="24"/>
        </w:rPr>
        <w:t>the</w:t>
      </w:r>
      <w:r>
        <w:rPr>
          <w:spacing w:val="-3"/>
          <w:sz w:val="24"/>
        </w:rPr>
        <w:t> </w:t>
      </w:r>
      <w:r>
        <w:rPr>
          <w:sz w:val="24"/>
        </w:rPr>
        <w:t>weakness</w:t>
      </w:r>
      <w:r>
        <w:rPr>
          <w:spacing w:val="-4"/>
          <w:sz w:val="24"/>
        </w:rPr>
        <w:t> </w:t>
      </w:r>
      <w:r>
        <w:rPr>
          <w:sz w:val="24"/>
        </w:rPr>
        <w:t>in</w:t>
      </w:r>
      <w:r>
        <w:rPr>
          <w:spacing w:val="-3"/>
          <w:sz w:val="24"/>
        </w:rPr>
        <w:t> </w:t>
      </w:r>
      <w:r>
        <w:rPr>
          <w:sz w:val="24"/>
        </w:rPr>
        <w:t>growth</w:t>
      </w:r>
      <w:r>
        <w:rPr>
          <w:spacing w:val="-3"/>
          <w:sz w:val="24"/>
        </w:rPr>
        <w:t> </w:t>
      </w:r>
      <w:r>
        <w:rPr>
          <w:sz w:val="24"/>
        </w:rPr>
        <w:t>in</w:t>
      </w:r>
      <w:r>
        <w:rPr>
          <w:spacing w:val="-3"/>
          <w:sz w:val="24"/>
        </w:rPr>
        <w:t> </w:t>
      </w:r>
      <w:r>
        <w:rPr>
          <w:sz w:val="24"/>
        </w:rPr>
        <w:t>Q3</w:t>
      </w:r>
      <w:r>
        <w:rPr>
          <w:spacing w:val="-3"/>
          <w:sz w:val="24"/>
        </w:rPr>
        <w:t> </w:t>
      </w:r>
      <w:r>
        <w:rPr>
          <w:sz w:val="24"/>
        </w:rPr>
        <w:t>had</w:t>
      </w:r>
      <w:r>
        <w:rPr>
          <w:spacing w:val="-3"/>
          <w:sz w:val="24"/>
        </w:rPr>
        <w:t> </w:t>
      </w:r>
      <w:r>
        <w:rPr>
          <w:sz w:val="24"/>
        </w:rPr>
        <w:t>been temporary, and pointed to a rebound in Q4. The rest of Asia still seemed to be growing</w:t>
      </w:r>
      <w:r>
        <w:rPr>
          <w:spacing w:val="14"/>
          <w:sz w:val="24"/>
        </w:rPr>
        <w:t> </w:t>
      </w:r>
      <w:r>
        <w:rPr>
          <w:sz w:val="24"/>
        </w:rPr>
        <w:t>strongly.</w:t>
      </w:r>
    </w:p>
    <w:p>
      <w:pPr>
        <w:pStyle w:val="BodyText"/>
        <w:spacing w:before="5"/>
        <w:rPr>
          <w:sz w:val="36"/>
        </w:rPr>
      </w:pPr>
    </w:p>
    <w:p>
      <w:pPr>
        <w:pStyle w:val="ListParagraph"/>
        <w:numPr>
          <w:ilvl w:val="0"/>
          <w:numId w:val="1"/>
        </w:numPr>
        <w:tabs>
          <w:tab w:pos="931" w:val="left" w:leader="none"/>
          <w:tab w:pos="932" w:val="left" w:leader="none"/>
        </w:tabs>
        <w:spacing w:line="362" w:lineRule="auto" w:before="0" w:after="0"/>
        <w:ind w:left="367" w:right="283" w:firstLine="0"/>
        <w:jc w:val="left"/>
        <w:rPr>
          <w:sz w:val="24"/>
        </w:rPr>
      </w:pPr>
      <w:r>
        <w:rPr>
          <w:sz w:val="24"/>
        </w:rPr>
        <w:t>Oil prices had risen through most of the month, but had fallen back just before the policy meeting to end the period broadly unchanged. This volatility seemed largely to reflect concerns about the potential for oil supply disruptions in Nigeria and the Middle </w:t>
      </w:r>
      <w:r>
        <w:rPr>
          <w:spacing w:val="-3"/>
          <w:sz w:val="24"/>
        </w:rPr>
        <w:t>East. </w:t>
      </w:r>
      <w:r>
        <w:rPr>
          <w:sz w:val="24"/>
        </w:rPr>
        <w:t>There remained significant uncertainty about the future path of oil and other energy prices. Option contracts suggested</w:t>
      </w:r>
      <w:r>
        <w:rPr>
          <w:spacing w:val="-37"/>
          <w:sz w:val="24"/>
        </w:rPr>
        <w:t> </w:t>
      </w:r>
      <w:r>
        <w:rPr>
          <w:sz w:val="24"/>
        </w:rPr>
        <w:t>that</w:t>
      </w:r>
    </w:p>
    <w:p>
      <w:pPr>
        <w:spacing w:after="0" w:line="362" w:lineRule="auto"/>
        <w:jc w:val="left"/>
        <w:rPr>
          <w:sz w:val="24"/>
        </w:rPr>
        <w:sectPr>
          <w:headerReference w:type="default" r:id="rId7"/>
          <w:pgSz w:w="11900" w:h="16840"/>
          <w:pgMar w:header="1134" w:footer="0" w:top="1380" w:bottom="280" w:left="760" w:right="700"/>
          <w:pgNumType w:start="2"/>
        </w:sectPr>
      </w:pPr>
    </w:p>
    <w:p>
      <w:pPr>
        <w:pStyle w:val="BodyText"/>
        <w:rPr>
          <w:sz w:val="20"/>
        </w:rPr>
      </w:pPr>
    </w:p>
    <w:p>
      <w:pPr>
        <w:pStyle w:val="BodyText"/>
        <w:spacing w:before="2"/>
        <w:rPr>
          <w:sz w:val="20"/>
        </w:rPr>
      </w:pPr>
    </w:p>
    <w:p>
      <w:pPr>
        <w:pStyle w:val="BodyText"/>
        <w:spacing w:line="360" w:lineRule="auto" w:before="90"/>
        <w:ind w:left="367"/>
      </w:pPr>
      <w:r>
        <w:rPr/>
        <w:t>financial market participants thought the risks to future oil prices were skewed to the upside. Non-oil commodity prices had increased strongly in recent months, which seemed likely to reflect the acceleration in world industrial production and expectations of continued growth.</w:t>
      </w:r>
    </w:p>
    <w:p>
      <w:pPr>
        <w:pStyle w:val="BodyText"/>
        <w:rPr>
          <w:sz w:val="36"/>
        </w:rPr>
      </w:pPr>
    </w:p>
    <w:p>
      <w:pPr>
        <w:pStyle w:val="ListParagraph"/>
        <w:numPr>
          <w:ilvl w:val="0"/>
          <w:numId w:val="1"/>
        </w:numPr>
        <w:tabs>
          <w:tab w:pos="931" w:val="left" w:leader="none"/>
          <w:tab w:pos="932" w:val="left" w:leader="none"/>
        </w:tabs>
        <w:spacing w:line="364" w:lineRule="auto" w:before="0" w:after="0"/>
        <w:ind w:left="367" w:right="222" w:firstLine="0"/>
        <w:jc w:val="left"/>
        <w:rPr>
          <w:sz w:val="24"/>
        </w:rPr>
      </w:pPr>
      <w:r>
        <w:rPr>
          <w:sz w:val="24"/>
        </w:rPr>
        <w:t>Core measures of both producer and consumer price inflation in the United States and the euro area</w:t>
      </w:r>
      <w:r>
        <w:rPr>
          <w:spacing w:val="-6"/>
          <w:sz w:val="24"/>
        </w:rPr>
        <w:t> </w:t>
      </w:r>
      <w:r>
        <w:rPr>
          <w:sz w:val="24"/>
        </w:rPr>
        <w:t>had</w:t>
      </w:r>
      <w:r>
        <w:rPr>
          <w:spacing w:val="-6"/>
          <w:sz w:val="24"/>
        </w:rPr>
        <w:t> </w:t>
      </w:r>
      <w:r>
        <w:rPr>
          <w:sz w:val="24"/>
        </w:rPr>
        <w:t>remained</w:t>
      </w:r>
      <w:r>
        <w:rPr>
          <w:spacing w:val="-5"/>
          <w:sz w:val="24"/>
        </w:rPr>
        <w:t> </w:t>
      </w:r>
      <w:r>
        <w:rPr>
          <w:sz w:val="24"/>
        </w:rPr>
        <w:t>subdued,</w:t>
      </w:r>
      <w:r>
        <w:rPr>
          <w:spacing w:val="-1"/>
          <w:sz w:val="24"/>
        </w:rPr>
        <w:t> </w:t>
      </w:r>
      <w:r>
        <w:rPr>
          <w:spacing w:val="2"/>
          <w:sz w:val="24"/>
        </w:rPr>
        <w:t>but</w:t>
      </w:r>
      <w:r>
        <w:rPr>
          <w:spacing w:val="-1"/>
          <w:sz w:val="24"/>
        </w:rPr>
        <w:t> </w:t>
      </w:r>
      <w:r>
        <w:rPr>
          <w:sz w:val="24"/>
        </w:rPr>
        <w:t>headline</w:t>
      </w:r>
      <w:r>
        <w:rPr>
          <w:spacing w:val="-4"/>
          <w:sz w:val="24"/>
        </w:rPr>
        <w:t> </w:t>
      </w:r>
      <w:r>
        <w:rPr>
          <w:sz w:val="24"/>
        </w:rPr>
        <w:t>measures</w:t>
      </w:r>
      <w:r>
        <w:rPr>
          <w:spacing w:val="-4"/>
          <w:sz w:val="24"/>
        </w:rPr>
        <w:t> </w:t>
      </w:r>
      <w:r>
        <w:rPr>
          <w:sz w:val="24"/>
        </w:rPr>
        <w:t>of</w:t>
      </w:r>
      <w:r>
        <w:rPr>
          <w:spacing w:val="-3"/>
          <w:sz w:val="24"/>
        </w:rPr>
        <w:t> </w:t>
      </w:r>
      <w:r>
        <w:rPr>
          <w:sz w:val="24"/>
        </w:rPr>
        <w:t>consumer</w:t>
      </w:r>
      <w:r>
        <w:rPr>
          <w:spacing w:val="-4"/>
          <w:sz w:val="24"/>
        </w:rPr>
        <w:t> </w:t>
      </w:r>
      <w:r>
        <w:rPr>
          <w:sz w:val="24"/>
        </w:rPr>
        <w:t>price</w:t>
      </w:r>
      <w:r>
        <w:rPr>
          <w:spacing w:val="-4"/>
          <w:sz w:val="24"/>
        </w:rPr>
        <w:t> </w:t>
      </w:r>
      <w:r>
        <w:rPr>
          <w:sz w:val="24"/>
        </w:rPr>
        <w:t>inflation</w:t>
      </w:r>
      <w:r>
        <w:rPr>
          <w:spacing w:val="-4"/>
          <w:sz w:val="24"/>
        </w:rPr>
        <w:t> </w:t>
      </w:r>
      <w:r>
        <w:rPr>
          <w:sz w:val="24"/>
        </w:rPr>
        <w:t>had</w:t>
      </w:r>
      <w:r>
        <w:rPr>
          <w:spacing w:val="-3"/>
          <w:sz w:val="24"/>
        </w:rPr>
        <w:t> </w:t>
      </w:r>
      <w:r>
        <w:rPr>
          <w:sz w:val="24"/>
        </w:rPr>
        <w:t>been</w:t>
      </w:r>
      <w:r>
        <w:rPr>
          <w:spacing w:val="-4"/>
          <w:sz w:val="24"/>
        </w:rPr>
        <w:t> </w:t>
      </w:r>
      <w:r>
        <w:rPr>
          <w:sz w:val="24"/>
        </w:rPr>
        <w:t>a</w:t>
      </w:r>
      <w:r>
        <w:rPr>
          <w:spacing w:val="-4"/>
          <w:sz w:val="24"/>
        </w:rPr>
        <w:t> </w:t>
      </w:r>
      <w:r>
        <w:rPr>
          <w:sz w:val="24"/>
        </w:rPr>
        <w:t>little</w:t>
      </w:r>
      <w:r>
        <w:rPr>
          <w:spacing w:val="-4"/>
          <w:sz w:val="24"/>
        </w:rPr>
        <w:t> </w:t>
      </w:r>
      <w:r>
        <w:rPr>
          <w:sz w:val="24"/>
        </w:rPr>
        <w:t>higher.</w:t>
      </w:r>
    </w:p>
    <w:p>
      <w:pPr>
        <w:pStyle w:val="BodyText"/>
        <w:spacing w:before="6"/>
        <w:rPr>
          <w:sz w:val="35"/>
        </w:rPr>
      </w:pPr>
    </w:p>
    <w:p>
      <w:pPr>
        <w:pStyle w:val="Heading2"/>
      </w:pPr>
      <w:r>
        <w:rPr/>
        <w:t>Money, credit, demand and output</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360" w:lineRule="auto" w:before="1" w:after="0"/>
        <w:ind w:left="367" w:right="218" w:firstLine="0"/>
        <w:jc w:val="left"/>
        <w:rPr>
          <w:sz w:val="24"/>
        </w:rPr>
      </w:pPr>
      <w:r>
        <w:rPr>
          <w:sz w:val="24"/>
        </w:rPr>
        <w:t>The preliminary estimate for GDP growth in the United Kingdom was 0.6% in Q4. Service sector growth had picked up significantly. The subsequent industrial production release showed that </w:t>
      </w:r>
      <w:r>
        <w:rPr>
          <w:spacing w:val="-3"/>
          <w:sz w:val="24"/>
        </w:rPr>
        <w:t>manufacturing </w:t>
      </w:r>
      <w:r>
        <w:rPr>
          <w:sz w:val="24"/>
        </w:rPr>
        <w:t>output had fallen by 1% in Q4, which was weaker than had been assumed by the Office for National Statistics </w:t>
      </w:r>
      <w:r>
        <w:rPr>
          <w:spacing w:val="-3"/>
          <w:sz w:val="24"/>
        </w:rPr>
        <w:t>(ONS) </w:t>
      </w:r>
      <w:r>
        <w:rPr>
          <w:sz w:val="24"/>
        </w:rPr>
        <w:t>in the preliminary GDP release. The surveys for manufacturing </w:t>
      </w:r>
      <w:r>
        <w:rPr>
          <w:spacing w:val="-2"/>
          <w:sz w:val="24"/>
        </w:rPr>
        <w:t>had </w:t>
      </w:r>
      <w:r>
        <w:rPr>
          <w:sz w:val="24"/>
        </w:rPr>
        <w:t>remained more upbeat than the official output data. It was difficult to know how </w:t>
      </w:r>
      <w:r>
        <w:rPr>
          <w:spacing w:val="-3"/>
          <w:sz w:val="24"/>
        </w:rPr>
        <w:t>much </w:t>
      </w:r>
      <w:r>
        <w:rPr>
          <w:sz w:val="24"/>
        </w:rPr>
        <w:t>of the recent weakness was due to cyclical developments, and how much was the </w:t>
      </w:r>
      <w:r>
        <w:rPr>
          <w:spacing w:val="-3"/>
          <w:sz w:val="24"/>
        </w:rPr>
        <w:t>continued </w:t>
      </w:r>
      <w:r>
        <w:rPr>
          <w:sz w:val="24"/>
        </w:rPr>
        <w:t>influence of longer- term structural factors, such as increased competition from low-cost producers in emerging </w:t>
      </w:r>
      <w:r>
        <w:rPr>
          <w:spacing w:val="-2"/>
          <w:sz w:val="24"/>
        </w:rPr>
        <w:t>market </w:t>
      </w:r>
      <w:r>
        <w:rPr>
          <w:sz w:val="24"/>
        </w:rPr>
        <w:t>economies. Energy production had risen a little in Q4, rebounding from the very weak level in Q3. Over the longer </w:t>
      </w:r>
      <w:r>
        <w:rPr>
          <w:spacing w:val="-3"/>
          <w:sz w:val="24"/>
        </w:rPr>
        <w:t>term </w:t>
      </w:r>
      <w:r>
        <w:rPr>
          <w:sz w:val="24"/>
        </w:rPr>
        <w:t>it had been </w:t>
      </w:r>
      <w:r>
        <w:rPr>
          <w:spacing w:val="6"/>
          <w:sz w:val="24"/>
        </w:rPr>
        <w:t>on </w:t>
      </w:r>
      <w:r>
        <w:rPr>
          <w:sz w:val="24"/>
        </w:rPr>
        <w:t>a declining</w:t>
      </w:r>
      <w:r>
        <w:rPr>
          <w:spacing w:val="-9"/>
          <w:sz w:val="24"/>
        </w:rPr>
        <w:t> </w:t>
      </w:r>
      <w:r>
        <w:rPr>
          <w:spacing w:val="-2"/>
          <w:sz w:val="24"/>
        </w:rPr>
        <w:t>trend.</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7" w:right="291" w:firstLine="0"/>
        <w:jc w:val="left"/>
        <w:rPr>
          <w:sz w:val="24"/>
        </w:rPr>
      </w:pPr>
      <w:r>
        <w:rPr>
          <w:sz w:val="24"/>
        </w:rPr>
        <w:t>The output indicators for Q1 had remained reasonably strong. The CIPS/RBS services business activity</w:t>
      </w:r>
      <w:r>
        <w:rPr>
          <w:spacing w:val="-6"/>
          <w:sz w:val="24"/>
        </w:rPr>
        <w:t> </w:t>
      </w:r>
      <w:r>
        <w:rPr>
          <w:sz w:val="24"/>
        </w:rPr>
        <w:t>index</w:t>
      </w:r>
      <w:r>
        <w:rPr>
          <w:spacing w:val="-14"/>
          <w:sz w:val="24"/>
        </w:rPr>
        <w:t> </w:t>
      </w:r>
      <w:r>
        <w:rPr>
          <w:sz w:val="24"/>
        </w:rPr>
        <w:t>had</w:t>
      </w:r>
      <w:r>
        <w:rPr>
          <w:spacing w:val="-2"/>
          <w:sz w:val="24"/>
        </w:rPr>
        <w:t> </w:t>
      </w:r>
      <w:r>
        <w:rPr>
          <w:sz w:val="24"/>
        </w:rPr>
        <w:t>fallen</w:t>
      </w:r>
      <w:r>
        <w:rPr>
          <w:spacing w:val="-3"/>
          <w:sz w:val="24"/>
        </w:rPr>
        <w:t> </w:t>
      </w:r>
      <w:r>
        <w:rPr>
          <w:sz w:val="24"/>
        </w:rPr>
        <w:t>slightly</w:t>
      </w:r>
      <w:r>
        <w:rPr>
          <w:spacing w:val="-2"/>
          <w:sz w:val="24"/>
        </w:rPr>
        <w:t> </w:t>
      </w:r>
      <w:r>
        <w:rPr>
          <w:sz w:val="24"/>
        </w:rPr>
        <w:t>following</w:t>
      </w:r>
      <w:r>
        <w:rPr>
          <w:spacing w:val="-3"/>
          <w:sz w:val="24"/>
        </w:rPr>
        <w:t> </w:t>
      </w:r>
      <w:r>
        <w:rPr>
          <w:sz w:val="24"/>
        </w:rPr>
        <w:t>the</w:t>
      </w:r>
      <w:r>
        <w:rPr>
          <w:spacing w:val="-3"/>
          <w:sz w:val="24"/>
        </w:rPr>
        <w:t> </w:t>
      </w:r>
      <w:r>
        <w:rPr>
          <w:sz w:val="24"/>
        </w:rPr>
        <w:t>strong</w:t>
      </w:r>
      <w:r>
        <w:rPr>
          <w:spacing w:val="-2"/>
          <w:sz w:val="24"/>
        </w:rPr>
        <w:t> </w:t>
      </w:r>
      <w:r>
        <w:rPr>
          <w:sz w:val="24"/>
        </w:rPr>
        <w:t>rise</w:t>
      </w:r>
      <w:r>
        <w:rPr>
          <w:spacing w:val="-3"/>
          <w:sz w:val="24"/>
        </w:rPr>
        <w:t> </w:t>
      </w:r>
      <w:r>
        <w:rPr>
          <w:sz w:val="24"/>
        </w:rPr>
        <w:t>in</w:t>
      </w:r>
      <w:r>
        <w:rPr>
          <w:spacing w:val="-2"/>
          <w:sz w:val="24"/>
        </w:rPr>
        <w:t> </w:t>
      </w:r>
      <w:r>
        <w:rPr>
          <w:sz w:val="24"/>
        </w:rPr>
        <w:t>December,</w:t>
      </w:r>
      <w:r>
        <w:rPr>
          <w:spacing w:val="-3"/>
          <w:sz w:val="24"/>
        </w:rPr>
        <w:t> </w:t>
      </w:r>
      <w:r>
        <w:rPr>
          <w:sz w:val="24"/>
        </w:rPr>
        <w:t>but</w:t>
      </w:r>
      <w:r>
        <w:rPr>
          <w:spacing w:val="-3"/>
          <w:sz w:val="24"/>
        </w:rPr>
        <w:t> </w:t>
      </w:r>
      <w:r>
        <w:rPr>
          <w:sz w:val="24"/>
        </w:rPr>
        <w:t>remained</w:t>
      </w:r>
      <w:r>
        <w:rPr>
          <w:spacing w:val="-2"/>
          <w:sz w:val="24"/>
        </w:rPr>
        <w:t> </w:t>
      </w:r>
      <w:r>
        <w:rPr>
          <w:sz w:val="24"/>
        </w:rPr>
        <w:t>above</w:t>
      </w:r>
      <w:r>
        <w:rPr>
          <w:spacing w:val="-3"/>
          <w:sz w:val="24"/>
        </w:rPr>
        <w:t> </w:t>
      </w:r>
      <w:r>
        <w:rPr>
          <w:sz w:val="24"/>
        </w:rPr>
        <w:t>the</w:t>
      </w:r>
      <w:r>
        <w:rPr>
          <w:spacing w:val="-2"/>
          <w:sz w:val="24"/>
        </w:rPr>
        <w:t> </w:t>
      </w:r>
      <w:r>
        <w:rPr>
          <w:sz w:val="24"/>
        </w:rPr>
        <w:t>broad range it had occupied for much of </w:t>
      </w:r>
      <w:r>
        <w:rPr>
          <w:spacing w:val="-5"/>
          <w:sz w:val="24"/>
        </w:rPr>
        <w:t>the </w:t>
      </w:r>
      <w:r>
        <w:rPr>
          <w:sz w:val="24"/>
        </w:rPr>
        <w:t>past two years. The CIPS/RBS manufacturing index </w:t>
      </w:r>
      <w:r>
        <w:rPr>
          <w:spacing w:val="-4"/>
          <w:sz w:val="24"/>
        </w:rPr>
        <w:t>had </w:t>
      </w:r>
      <w:r>
        <w:rPr>
          <w:sz w:val="24"/>
        </w:rPr>
        <w:t>remained unchanged in </w:t>
      </w:r>
      <w:r>
        <w:rPr>
          <w:spacing w:val="-3"/>
          <w:sz w:val="24"/>
        </w:rPr>
        <w:t>January. </w:t>
      </w:r>
      <w:r>
        <w:rPr>
          <w:sz w:val="24"/>
        </w:rPr>
        <w:t>Taken together, the surveys pointed to slightly faster GDP growth in 2006 Q1 </w:t>
      </w:r>
      <w:r>
        <w:rPr>
          <w:spacing w:val="-3"/>
          <w:sz w:val="24"/>
        </w:rPr>
        <w:t>than </w:t>
      </w:r>
      <w:r>
        <w:rPr>
          <w:sz w:val="24"/>
        </w:rPr>
        <w:t>in 2005 Q4. It was important not to place too much weight on small movements in measured GDP growth rates from quarter to quarter, given that the profile might look somewhat different after the ONS had received more information, and the data had gone through the normal cycle of</w:t>
      </w:r>
      <w:r>
        <w:rPr>
          <w:spacing w:val="-3"/>
          <w:sz w:val="24"/>
        </w:rPr>
        <w:t> </w:t>
      </w:r>
      <w:r>
        <w:rPr>
          <w:sz w:val="24"/>
        </w:rPr>
        <w:t>revisions.</w:t>
      </w:r>
    </w:p>
    <w:p>
      <w:pPr>
        <w:pStyle w:val="BodyText"/>
        <w:spacing w:before="6"/>
        <w:rPr>
          <w:sz w:val="35"/>
        </w:rPr>
      </w:pPr>
    </w:p>
    <w:p>
      <w:pPr>
        <w:pStyle w:val="ListParagraph"/>
        <w:numPr>
          <w:ilvl w:val="0"/>
          <w:numId w:val="1"/>
        </w:numPr>
        <w:tabs>
          <w:tab w:pos="931" w:val="left" w:leader="none"/>
          <w:tab w:pos="932" w:val="left" w:leader="none"/>
        </w:tabs>
        <w:spacing w:line="360" w:lineRule="auto" w:before="0" w:after="0"/>
        <w:ind w:left="367" w:right="202" w:firstLine="0"/>
        <w:jc w:val="left"/>
        <w:rPr>
          <w:sz w:val="24"/>
        </w:rPr>
      </w:pPr>
      <w:r>
        <w:rPr>
          <w:sz w:val="24"/>
        </w:rPr>
        <w:t>As</w:t>
      </w:r>
      <w:r>
        <w:rPr>
          <w:spacing w:val="-5"/>
          <w:sz w:val="24"/>
        </w:rPr>
        <w:t> </w:t>
      </w:r>
      <w:r>
        <w:rPr>
          <w:sz w:val="24"/>
        </w:rPr>
        <w:t>far</w:t>
      </w:r>
      <w:r>
        <w:rPr>
          <w:spacing w:val="-5"/>
          <w:sz w:val="24"/>
        </w:rPr>
        <w:t> </w:t>
      </w:r>
      <w:r>
        <w:rPr>
          <w:sz w:val="24"/>
        </w:rPr>
        <w:t>as</w:t>
      </w:r>
      <w:r>
        <w:rPr>
          <w:spacing w:val="-5"/>
          <w:sz w:val="24"/>
        </w:rPr>
        <w:t> </w:t>
      </w:r>
      <w:r>
        <w:rPr>
          <w:sz w:val="24"/>
        </w:rPr>
        <w:t>the</w:t>
      </w:r>
      <w:r>
        <w:rPr>
          <w:spacing w:val="-5"/>
          <w:sz w:val="24"/>
        </w:rPr>
        <w:t> </w:t>
      </w:r>
      <w:r>
        <w:rPr>
          <w:sz w:val="24"/>
        </w:rPr>
        <w:t>expenditure</w:t>
      </w:r>
      <w:r>
        <w:rPr>
          <w:spacing w:val="-5"/>
          <w:sz w:val="24"/>
        </w:rPr>
        <w:t> </w:t>
      </w:r>
      <w:r>
        <w:rPr>
          <w:sz w:val="24"/>
        </w:rPr>
        <w:t>data</w:t>
      </w:r>
      <w:r>
        <w:rPr>
          <w:spacing w:val="-5"/>
          <w:sz w:val="24"/>
        </w:rPr>
        <w:t> </w:t>
      </w:r>
      <w:r>
        <w:rPr>
          <w:sz w:val="24"/>
        </w:rPr>
        <w:t>were</w:t>
      </w:r>
      <w:r>
        <w:rPr>
          <w:spacing w:val="-4"/>
          <w:sz w:val="24"/>
        </w:rPr>
        <w:t> </w:t>
      </w:r>
      <w:r>
        <w:rPr>
          <w:sz w:val="24"/>
        </w:rPr>
        <w:t>concerned,</w:t>
      </w:r>
      <w:r>
        <w:rPr>
          <w:spacing w:val="-5"/>
          <w:sz w:val="24"/>
        </w:rPr>
        <w:t> </w:t>
      </w:r>
      <w:r>
        <w:rPr>
          <w:sz w:val="24"/>
        </w:rPr>
        <w:t>a key</w:t>
      </w:r>
      <w:r>
        <w:rPr>
          <w:spacing w:val="-2"/>
          <w:sz w:val="24"/>
        </w:rPr>
        <w:t> </w:t>
      </w:r>
      <w:r>
        <w:rPr>
          <w:sz w:val="24"/>
        </w:rPr>
        <w:t>question</w:t>
      </w:r>
      <w:r>
        <w:rPr>
          <w:spacing w:val="-1"/>
          <w:sz w:val="24"/>
        </w:rPr>
        <w:t> </w:t>
      </w:r>
      <w:r>
        <w:rPr>
          <w:sz w:val="24"/>
        </w:rPr>
        <w:t>remained</w:t>
      </w:r>
      <w:r>
        <w:rPr>
          <w:spacing w:val="-1"/>
          <w:sz w:val="24"/>
        </w:rPr>
        <w:t> </w:t>
      </w:r>
      <w:r>
        <w:rPr>
          <w:sz w:val="24"/>
        </w:rPr>
        <w:t>the</w:t>
      </w:r>
      <w:r>
        <w:rPr>
          <w:spacing w:val="-1"/>
          <w:sz w:val="24"/>
        </w:rPr>
        <w:t> </w:t>
      </w:r>
      <w:r>
        <w:rPr>
          <w:sz w:val="24"/>
        </w:rPr>
        <w:t>near-term</w:t>
      </w:r>
      <w:r>
        <w:rPr>
          <w:spacing w:val="-8"/>
          <w:sz w:val="24"/>
        </w:rPr>
        <w:t> </w:t>
      </w:r>
      <w:r>
        <w:rPr>
          <w:sz w:val="24"/>
        </w:rPr>
        <w:t>strength</w:t>
      </w:r>
      <w:r>
        <w:rPr>
          <w:spacing w:val="-9"/>
          <w:sz w:val="24"/>
        </w:rPr>
        <w:t> </w:t>
      </w:r>
      <w:r>
        <w:rPr>
          <w:sz w:val="24"/>
        </w:rPr>
        <w:t>of consumption. Retail sales had risen strongly in Q4, and at the fastest rate since 2004 Q2. The BRC- </w:t>
      </w:r>
      <w:r>
        <w:rPr>
          <w:spacing w:val="-3"/>
          <w:sz w:val="24"/>
        </w:rPr>
        <w:t>KPMG </w:t>
      </w:r>
      <w:r>
        <w:rPr>
          <w:i/>
          <w:sz w:val="24"/>
        </w:rPr>
        <w:t>Retail Sales Monitor </w:t>
      </w:r>
      <w:r>
        <w:rPr>
          <w:spacing w:val="-4"/>
          <w:sz w:val="24"/>
        </w:rPr>
        <w:t>and CBI </w:t>
      </w:r>
      <w:r>
        <w:rPr>
          <w:i/>
          <w:sz w:val="24"/>
        </w:rPr>
        <w:t>Distributive Trades Survey </w:t>
      </w:r>
      <w:r>
        <w:rPr>
          <w:spacing w:val="-4"/>
          <w:sz w:val="24"/>
        </w:rPr>
        <w:t>both </w:t>
      </w:r>
      <w:r>
        <w:rPr>
          <w:sz w:val="24"/>
        </w:rPr>
        <w:t>suggested some moderation in the pace of growth in January. Vehicle registrations had rema ined </w:t>
      </w:r>
      <w:r>
        <w:rPr>
          <w:spacing w:val="-3"/>
          <w:sz w:val="24"/>
        </w:rPr>
        <w:t>weak. </w:t>
      </w:r>
      <w:r>
        <w:rPr>
          <w:sz w:val="24"/>
        </w:rPr>
        <w:t>The Bank’s regional Agents suggested that consumer services growth had picked</w:t>
      </w:r>
      <w:r>
        <w:rPr>
          <w:spacing w:val="3"/>
          <w:sz w:val="24"/>
        </w:rPr>
        <w:t> </w:t>
      </w:r>
      <w:r>
        <w:rPr>
          <w:sz w:val="24"/>
        </w:rPr>
        <w:t>up.</w:t>
      </w:r>
    </w:p>
    <w:p>
      <w:pPr>
        <w:spacing w:after="0" w:line="360" w:lineRule="auto"/>
        <w:jc w:val="left"/>
        <w:rPr>
          <w:sz w:val="24"/>
        </w:rPr>
        <w:sectPr>
          <w:pgSz w:w="11900" w:h="16840"/>
          <w:pgMar w:header="1134" w:footer="0" w:top="1380" w:bottom="280" w:left="760" w:right="700"/>
        </w:sectPr>
      </w:pPr>
    </w:p>
    <w:p>
      <w:pPr>
        <w:pStyle w:val="BodyText"/>
        <w:rPr>
          <w:sz w:val="20"/>
        </w:rPr>
      </w:pPr>
    </w:p>
    <w:p>
      <w:pPr>
        <w:pStyle w:val="BodyText"/>
        <w:spacing w:before="2"/>
        <w:rPr>
          <w:sz w:val="20"/>
        </w:rPr>
      </w:pPr>
    </w:p>
    <w:p>
      <w:pPr>
        <w:pStyle w:val="ListParagraph"/>
        <w:numPr>
          <w:ilvl w:val="0"/>
          <w:numId w:val="1"/>
        </w:numPr>
        <w:tabs>
          <w:tab w:pos="931" w:val="left" w:leader="none"/>
          <w:tab w:pos="932" w:val="left" w:leader="none"/>
        </w:tabs>
        <w:spacing w:line="360" w:lineRule="auto" w:before="90" w:after="0"/>
        <w:ind w:left="368" w:right="254" w:firstLine="0"/>
        <w:jc w:val="left"/>
        <w:rPr>
          <w:sz w:val="24"/>
        </w:rPr>
      </w:pPr>
      <w:r>
        <w:rPr>
          <w:spacing w:val="-4"/>
          <w:sz w:val="24"/>
        </w:rPr>
        <w:t>The </w:t>
      </w:r>
      <w:r>
        <w:rPr>
          <w:sz w:val="24"/>
        </w:rPr>
        <w:t>recent slackening of employment growth and the rise in unemployment could weigh on future consumer spending </w:t>
      </w:r>
      <w:r>
        <w:rPr>
          <w:spacing w:val="-3"/>
          <w:sz w:val="24"/>
        </w:rPr>
        <w:t>growth. However, housing </w:t>
      </w:r>
      <w:r>
        <w:rPr>
          <w:sz w:val="24"/>
        </w:rPr>
        <w:t>ma rket activity and prices continued to point to a </w:t>
      </w:r>
      <w:r>
        <w:rPr>
          <w:spacing w:val="-3"/>
          <w:sz w:val="24"/>
        </w:rPr>
        <w:t>pickup </w:t>
      </w:r>
      <w:r>
        <w:rPr>
          <w:sz w:val="24"/>
        </w:rPr>
        <w:t>in the housing </w:t>
      </w:r>
      <w:r>
        <w:rPr>
          <w:spacing w:val="-3"/>
          <w:sz w:val="24"/>
        </w:rPr>
        <w:t>market. </w:t>
      </w:r>
      <w:r>
        <w:rPr>
          <w:sz w:val="24"/>
        </w:rPr>
        <w:t>This could be indicative of strengthening confidence and reduced uncertainty on the part of households. The average of the lenders’ house price indices had risen 1¾% in the three months to January compared with the previous three </w:t>
      </w:r>
      <w:r>
        <w:rPr>
          <w:spacing w:val="-3"/>
          <w:sz w:val="24"/>
        </w:rPr>
        <w:t>months, </w:t>
      </w:r>
      <w:r>
        <w:rPr>
          <w:sz w:val="24"/>
        </w:rPr>
        <w:t>and loan approvals for house purchase</w:t>
      </w:r>
      <w:r>
        <w:rPr>
          <w:spacing w:val="-5"/>
          <w:sz w:val="24"/>
        </w:rPr>
        <w:t> </w:t>
      </w:r>
      <w:r>
        <w:rPr>
          <w:sz w:val="24"/>
        </w:rPr>
        <w:t>had</w:t>
      </w:r>
      <w:r>
        <w:rPr>
          <w:spacing w:val="-3"/>
          <w:sz w:val="24"/>
        </w:rPr>
        <w:t> </w:t>
      </w:r>
      <w:r>
        <w:rPr>
          <w:sz w:val="24"/>
        </w:rPr>
        <w:t>risen</w:t>
      </w:r>
      <w:r>
        <w:rPr>
          <w:spacing w:val="-3"/>
          <w:sz w:val="24"/>
        </w:rPr>
        <w:t> </w:t>
      </w:r>
      <w:r>
        <w:rPr>
          <w:sz w:val="24"/>
        </w:rPr>
        <w:t>back</w:t>
      </w:r>
      <w:r>
        <w:rPr>
          <w:spacing w:val="-3"/>
          <w:sz w:val="24"/>
        </w:rPr>
        <w:t> </w:t>
      </w:r>
      <w:r>
        <w:rPr>
          <w:sz w:val="24"/>
        </w:rPr>
        <w:t>towards</w:t>
      </w:r>
      <w:r>
        <w:rPr>
          <w:spacing w:val="-3"/>
          <w:sz w:val="24"/>
        </w:rPr>
        <w:t> </w:t>
      </w:r>
      <w:r>
        <w:rPr>
          <w:sz w:val="24"/>
        </w:rPr>
        <w:t>the</w:t>
      </w:r>
      <w:r>
        <w:rPr>
          <w:spacing w:val="-3"/>
          <w:sz w:val="24"/>
        </w:rPr>
        <w:t> </w:t>
      </w:r>
      <w:r>
        <w:rPr>
          <w:sz w:val="24"/>
        </w:rPr>
        <w:t>levels</w:t>
      </w:r>
      <w:r>
        <w:rPr>
          <w:spacing w:val="-3"/>
          <w:sz w:val="24"/>
        </w:rPr>
        <w:t> </w:t>
      </w:r>
      <w:r>
        <w:rPr>
          <w:sz w:val="24"/>
        </w:rPr>
        <w:t>recorded</w:t>
      </w:r>
      <w:r>
        <w:rPr>
          <w:spacing w:val="-3"/>
          <w:sz w:val="24"/>
        </w:rPr>
        <w:t> </w:t>
      </w:r>
      <w:r>
        <w:rPr>
          <w:sz w:val="24"/>
        </w:rPr>
        <w:t>in</w:t>
      </w:r>
      <w:r>
        <w:rPr>
          <w:spacing w:val="-4"/>
          <w:sz w:val="24"/>
        </w:rPr>
        <w:t> </w:t>
      </w:r>
      <w:r>
        <w:rPr>
          <w:sz w:val="24"/>
        </w:rPr>
        <w:t>the</w:t>
      </w:r>
      <w:r>
        <w:rPr>
          <w:spacing w:val="-3"/>
          <w:sz w:val="24"/>
        </w:rPr>
        <w:t> </w:t>
      </w:r>
      <w:r>
        <w:rPr>
          <w:sz w:val="24"/>
        </w:rPr>
        <w:t>second</w:t>
      </w:r>
      <w:r>
        <w:rPr>
          <w:spacing w:val="-3"/>
          <w:sz w:val="24"/>
        </w:rPr>
        <w:t> </w:t>
      </w:r>
      <w:r>
        <w:rPr>
          <w:sz w:val="24"/>
        </w:rPr>
        <w:t>half</w:t>
      </w:r>
      <w:r>
        <w:rPr>
          <w:spacing w:val="-3"/>
          <w:sz w:val="24"/>
        </w:rPr>
        <w:t> </w:t>
      </w:r>
      <w:r>
        <w:rPr>
          <w:sz w:val="24"/>
        </w:rPr>
        <w:t>of</w:t>
      </w:r>
      <w:r>
        <w:rPr>
          <w:spacing w:val="-3"/>
          <w:sz w:val="24"/>
        </w:rPr>
        <w:t> </w:t>
      </w:r>
      <w:r>
        <w:rPr>
          <w:sz w:val="24"/>
        </w:rPr>
        <w:t>2003</w:t>
      </w:r>
      <w:r>
        <w:rPr>
          <w:spacing w:val="-3"/>
          <w:sz w:val="24"/>
        </w:rPr>
        <w:t> </w:t>
      </w:r>
      <w:r>
        <w:rPr>
          <w:sz w:val="24"/>
        </w:rPr>
        <w:t>and</w:t>
      </w:r>
      <w:r>
        <w:rPr>
          <w:spacing w:val="-3"/>
          <w:sz w:val="24"/>
        </w:rPr>
        <w:t> </w:t>
      </w:r>
      <w:r>
        <w:rPr>
          <w:sz w:val="24"/>
        </w:rPr>
        <w:t>first</w:t>
      </w:r>
      <w:r>
        <w:rPr>
          <w:spacing w:val="-4"/>
          <w:sz w:val="24"/>
        </w:rPr>
        <w:t> </w:t>
      </w:r>
      <w:r>
        <w:rPr>
          <w:sz w:val="24"/>
        </w:rPr>
        <w:t>half</w:t>
      </w:r>
      <w:r>
        <w:rPr>
          <w:spacing w:val="-3"/>
          <w:sz w:val="24"/>
        </w:rPr>
        <w:t> </w:t>
      </w:r>
      <w:r>
        <w:rPr>
          <w:sz w:val="24"/>
        </w:rPr>
        <w:t>of</w:t>
      </w:r>
      <w:r>
        <w:rPr>
          <w:spacing w:val="-3"/>
          <w:sz w:val="24"/>
        </w:rPr>
        <w:t> </w:t>
      </w:r>
      <w:r>
        <w:rPr>
          <w:sz w:val="24"/>
        </w:rPr>
        <w:t>2004.</w:t>
      </w:r>
    </w:p>
    <w:p>
      <w:pPr>
        <w:pStyle w:val="BodyText"/>
        <w:spacing w:before="6"/>
        <w:rPr>
          <w:sz w:val="36"/>
        </w:rPr>
      </w:pPr>
    </w:p>
    <w:p>
      <w:pPr>
        <w:pStyle w:val="ListParagraph"/>
        <w:numPr>
          <w:ilvl w:val="0"/>
          <w:numId w:val="1"/>
        </w:numPr>
        <w:tabs>
          <w:tab w:pos="931" w:val="left" w:leader="none"/>
          <w:tab w:pos="932" w:val="left" w:leader="none"/>
        </w:tabs>
        <w:spacing w:line="360" w:lineRule="auto" w:before="0" w:after="0"/>
        <w:ind w:left="368" w:right="386" w:firstLine="0"/>
        <w:jc w:val="left"/>
        <w:rPr>
          <w:sz w:val="24"/>
        </w:rPr>
      </w:pPr>
      <w:r>
        <w:rPr>
          <w:sz w:val="24"/>
        </w:rPr>
        <w:t>While secured lending growth </w:t>
      </w:r>
      <w:r>
        <w:rPr>
          <w:spacing w:val="-3"/>
          <w:sz w:val="24"/>
        </w:rPr>
        <w:t>had </w:t>
      </w:r>
      <w:r>
        <w:rPr>
          <w:sz w:val="24"/>
        </w:rPr>
        <w:t>remained above 10% at an annualised rate, which was consistent with the strengthening housing market, the growth rate of unsecured credit had slowed in recent quarters. The average monthly flow of unsecured credit </w:t>
      </w:r>
      <w:r>
        <w:rPr>
          <w:spacing w:val="-3"/>
          <w:sz w:val="24"/>
        </w:rPr>
        <w:t>had </w:t>
      </w:r>
      <w:r>
        <w:rPr>
          <w:sz w:val="24"/>
        </w:rPr>
        <w:t>now </w:t>
      </w:r>
      <w:r>
        <w:rPr>
          <w:spacing w:val="-4"/>
          <w:sz w:val="24"/>
        </w:rPr>
        <w:t>fallen </w:t>
      </w:r>
      <w:r>
        <w:rPr>
          <w:sz w:val="24"/>
        </w:rPr>
        <w:t>to around half </w:t>
      </w:r>
      <w:r>
        <w:rPr>
          <w:spacing w:val="-4"/>
          <w:sz w:val="24"/>
        </w:rPr>
        <w:t>the </w:t>
      </w:r>
      <w:r>
        <w:rPr>
          <w:sz w:val="24"/>
        </w:rPr>
        <w:t>rate of a year ago. Within unsecured credit, the annual rate of growth of credit card lending had also halved over the past year. The annual growth rate of the M4 mone tary aggregate had increased to 12.6% in December, the highest rate since</w:t>
      </w:r>
      <w:r>
        <w:rPr>
          <w:spacing w:val="4"/>
          <w:sz w:val="24"/>
        </w:rPr>
        <w:t> </w:t>
      </w:r>
      <w:r>
        <w:rPr>
          <w:sz w:val="24"/>
        </w:rPr>
        <w:t>1990.</w:t>
      </w:r>
    </w:p>
    <w:p>
      <w:pPr>
        <w:pStyle w:val="BodyText"/>
        <w:spacing w:before="6"/>
        <w:rPr>
          <w:sz w:val="35"/>
        </w:rPr>
      </w:pPr>
    </w:p>
    <w:p>
      <w:pPr>
        <w:pStyle w:val="Heading2"/>
        <w:ind w:left="368"/>
      </w:pPr>
      <w:r>
        <w:rPr/>
        <w:t>Costs and prices</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360" w:lineRule="auto" w:before="0" w:after="0"/>
        <w:ind w:left="368" w:right="241" w:firstLine="0"/>
        <w:jc w:val="left"/>
        <w:rPr>
          <w:sz w:val="24"/>
        </w:rPr>
      </w:pPr>
      <w:r>
        <w:rPr>
          <w:spacing w:val="-6"/>
          <w:sz w:val="24"/>
        </w:rPr>
        <w:t>The </w:t>
      </w:r>
      <w:r>
        <w:rPr>
          <w:sz w:val="24"/>
        </w:rPr>
        <w:t>Labour Force Survey (LFS) measure of the unemployment rate increased to 5.0% in the three months to November, the highest since 2003. That rise in unemployment reflected both an unexpectedly weak employment rate, and an unexpectedly high participation rate. The slackening in the employment rate might have reflected the beginning of an unwind in the labour hoarding that had been a possible explanation for the low productivity growth recorded recently. If that were the explanation,</w:t>
      </w:r>
      <w:r>
        <w:rPr>
          <w:spacing w:val="-5"/>
          <w:sz w:val="24"/>
        </w:rPr>
        <w:t> </w:t>
      </w:r>
      <w:r>
        <w:rPr>
          <w:sz w:val="24"/>
        </w:rPr>
        <w:t>it</w:t>
      </w:r>
      <w:r>
        <w:rPr>
          <w:spacing w:val="-4"/>
          <w:sz w:val="24"/>
        </w:rPr>
        <w:t> </w:t>
      </w:r>
      <w:r>
        <w:rPr>
          <w:sz w:val="24"/>
        </w:rPr>
        <w:t>was</w:t>
      </w:r>
      <w:r>
        <w:rPr>
          <w:spacing w:val="-5"/>
          <w:sz w:val="24"/>
        </w:rPr>
        <w:t> </w:t>
      </w:r>
      <w:r>
        <w:rPr>
          <w:spacing w:val="-3"/>
          <w:sz w:val="24"/>
        </w:rPr>
        <w:t>possible</w:t>
      </w:r>
      <w:r>
        <w:rPr>
          <w:spacing w:val="-6"/>
          <w:sz w:val="24"/>
        </w:rPr>
        <w:t> </w:t>
      </w:r>
      <w:r>
        <w:rPr>
          <w:spacing w:val="-3"/>
          <w:sz w:val="24"/>
        </w:rPr>
        <w:t>that</w:t>
      </w:r>
      <w:r>
        <w:rPr>
          <w:spacing w:val="-6"/>
          <w:sz w:val="24"/>
        </w:rPr>
        <w:t> </w:t>
      </w:r>
      <w:r>
        <w:rPr>
          <w:sz w:val="24"/>
        </w:rPr>
        <w:t>emp</w:t>
      </w:r>
      <w:r>
        <w:rPr>
          <w:spacing w:val="-40"/>
          <w:sz w:val="24"/>
        </w:rPr>
        <w:t> </w:t>
      </w:r>
      <w:r>
        <w:rPr>
          <w:sz w:val="24"/>
        </w:rPr>
        <w:t>loyment</w:t>
      </w:r>
      <w:r>
        <w:rPr>
          <w:spacing w:val="-5"/>
          <w:sz w:val="24"/>
        </w:rPr>
        <w:t> </w:t>
      </w:r>
      <w:r>
        <w:rPr>
          <w:sz w:val="24"/>
        </w:rPr>
        <w:t>growth</w:t>
      </w:r>
      <w:r>
        <w:rPr>
          <w:spacing w:val="-4"/>
          <w:sz w:val="24"/>
        </w:rPr>
        <w:t> </w:t>
      </w:r>
      <w:r>
        <w:rPr>
          <w:sz w:val="24"/>
        </w:rPr>
        <w:t>could</w:t>
      </w:r>
      <w:r>
        <w:rPr>
          <w:spacing w:val="-4"/>
          <w:sz w:val="24"/>
        </w:rPr>
        <w:t> </w:t>
      </w:r>
      <w:r>
        <w:rPr>
          <w:sz w:val="24"/>
        </w:rPr>
        <w:t>remain</w:t>
      </w:r>
      <w:r>
        <w:rPr>
          <w:spacing w:val="7"/>
          <w:sz w:val="24"/>
        </w:rPr>
        <w:t> </w:t>
      </w:r>
      <w:r>
        <w:rPr>
          <w:sz w:val="24"/>
        </w:rPr>
        <w:t>subdued</w:t>
      </w:r>
      <w:r>
        <w:rPr>
          <w:spacing w:val="7"/>
          <w:sz w:val="24"/>
        </w:rPr>
        <w:t> </w:t>
      </w:r>
      <w:r>
        <w:rPr>
          <w:sz w:val="24"/>
        </w:rPr>
        <w:t>for</w:t>
      </w:r>
      <w:r>
        <w:rPr>
          <w:spacing w:val="-4"/>
          <w:sz w:val="24"/>
        </w:rPr>
        <w:t> </w:t>
      </w:r>
      <w:r>
        <w:rPr>
          <w:sz w:val="24"/>
        </w:rPr>
        <w:t>at</w:t>
      </w:r>
      <w:r>
        <w:rPr>
          <w:spacing w:val="-4"/>
          <w:sz w:val="24"/>
        </w:rPr>
        <w:t> </w:t>
      </w:r>
      <w:r>
        <w:rPr>
          <w:sz w:val="24"/>
        </w:rPr>
        <w:t>least</w:t>
      </w:r>
      <w:r>
        <w:rPr>
          <w:spacing w:val="-5"/>
          <w:sz w:val="24"/>
        </w:rPr>
        <w:t> </w:t>
      </w:r>
      <w:r>
        <w:rPr>
          <w:sz w:val="24"/>
        </w:rPr>
        <w:t>another</w:t>
      </w:r>
      <w:r>
        <w:rPr>
          <w:spacing w:val="-4"/>
          <w:sz w:val="24"/>
        </w:rPr>
        <w:t> </w:t>
      </w:r>
      <w:r>
        <w:rPr>
          <w:sz w:val="24"/>
        </w:rPr>
        <w:t>quarter or two. Against that, there were some signs from business surveys that this slowing would prove </w:t>
      </w:r>
      <w:r>
        <w:rPr>
          <w:spacing w:val="-3"/>
          <w:sz w:val="24"/>
        </w:rPr>
        <w:t>temporary. </w:t>
      </w:r>
      <w:r>
        <w:rPr>
          <w:sz w:val="24"/>
        </w:rPr>
        <w:t>The Bank’s regional Agents </w:t>
      </w:r>
      <w:r>
        <w:rPr>
          <w:spacing w:val="-3"/>
          <w:sz w:val="24"/>
        </w:rPr>
        <w:t>had </w:t>
      </w:r>
      <w:r>
        <w:rPr>
          <w:sz w:val="24"/>
        </w:rPr>
        <w:t>reported that companies, on average, were planning to increase employment, particularly in business</w:t>
      </w:r>
      <w:r>
        <w:rPr>
          <w:spacing w:val="-1"/>
          <w:sz w:val="24"/>
        </w:rPr>
        <w:t> </w:t>
      </w:r>
      <w:r>
        <w:rPr>
          <w:sz w:val="24"/>
        </w:rPr>
        <w:t>services.</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8" w:right="171" w:firstLine="0"/>
        <w:jc w:val="left"/>
        <w:rPr>
          <w:sz w:val="24"/>
        </w:rPr>
      </w:pPr>
      <w:r>
        <w:rPr>
          <w:sz w:val="24"/>
        </w:rPr>
        <w:t>There had been little news on pay settlements since the January </w:t>
      </w:r>
      <w:r>
        <w:rPr>
          <w:spacing w:val="-3"/>
          <w:sz w:val="24"/>
        </w:rPr>
        <w:t>meeting. </w:t>
      </w:r>
      <w:r>
        <w:rPr>
          <w:sz w:val="24"/>
        </w:rPr>
        <w:t>The annual rate of regular pay growth ticked down, and overall earnings growth fell sharply in the </w:t>
      </w:r>
      <w:r>
        <w:rPr>
          <w:spacing w:val="-3"/>
          <w:sz w:val="24"/>
        </w:rPr>
        <w:t>three months to </w:t>
      </w:r>
      <w:r>
        <w:rPr>
          <w:sz w:val="24"/>
        </w:rPr>
        <w:t>November. The Bank’s regional Agents had reported the results of an informal survey which indicated that pay settlements and pay growth might edge up a little this year. It was too early to be confident that there would be no second round effects on earnings from the rise in energy</w:t>
      </w:r>
      <w:r>
        <w:rPr>
          <w:spacing w:val="-7"/>
          <w:sz w:val="24"/>
        </w:rPr>
        <w:t> </w:t>
      </w:r>
      <w:r>
        <w:rPr>
          <w:sz w:val="24"/>
        </w:rPr>
        <w:t>prices.</w:t>
      </w:r>
    </w:p>
    <w:p>
      <w:pPr>
        <w:spacing w:after="0" w:line="360" w:lineRule="auto"/>
        <w:jc w:val="left"/>
        <w:rPr>
          <w:sz w:val="24"/>
        </w:rPr>
        <w:sectPr>
          <w:pgSz w:w="11900" w:h="16840"/>
          <w:pgMar w:header="1134" w:footer="0" w:top="1380" w:bottom="280" w:left="760" w:right="700"/>
        </w:sectPr>
      </w:pPr>
    </w:p>
    <w:p>
      <w:pPr>
        <w:pStyle w:val="BodyText"/>
        <w:rPr>
          <w:sz w:val="20"/>
        </w:rPr>
      </w:pPr>
    </w:p>
    <w:p>
      <w:pPr>
        <w:pStyle w:val="BodyText"/>
        <w:spacing w:before="2"/>
        <w:rPr>
          <w:sz w:val="20"/>
        </w:rPr>
      </w:pPr>
    </w:p>
    <w:p>
      <w:pPr>
        <w:pStyle w:val="ListParagraph"/>
        <w:numPr>
          <w:ilvl w:val="0"/>
          <w:numId w:val="1"/>
        </w:numPr>
        <w:tabs>
          <w:tab w:pos="931" w:val="left" w:leader="none"/>
          <w:tab w:pos="932" w:val="left" w:leader="none"/>
        </w:tabs>
        <w:spacing w:line="360" w:lineRule="auto" w:before="90" w:after="0"/>
        <w:ind w:left="367" w:right="233" w:firstLine="0"/>
        <w:jc w:val="left"/>
        <w:rPr>
          <w:sz w:val="24"/>
        </w:rPr>
      </w:pPr>
      <w:r>
        <w:rPr>
          <w:sz w:val="24"/>
        </w:rPr>
        <w:t>The weakness in average earnings growth in recent months had been a little surprising, </w:t>
      </w:r>
      <w:r>
        <w:rPr>
          <w:spacing w:val="-3"/>
          <w:sz w:val="24"/>
        </w:rPr>
        <w:t>given </w:t>
      </w:r>
      <w:r>
        <w:rPr>
          <w:spacing w:val="-4"/>
          <w:sz w:val="24"/>
        </w:rPr>
        <w:t>that </w:t>
      </w:r>
      <w:r>
        <w:rPr>
          <w:spacing w:val="-5"/>
          <w:sz w:val="24"/>
        </w:rPr>
        <w:t>some </w:t>
      </w:r>
      <w:r>
        <w:rPr>
          <w:sz w:val="24"/>
        </w:rPr>
        <w:t>surveys and anecdotal evidence </w:t>
      </w:r>
      <w:r>
        <w:rPr>
          <w:spacing w:val="-3"/>
          <w:sz w:val="24"/>
        </w:rPr>
        <w:t>had </w:t>
      </w:r>
      <w:r>
        <w:rPr>
          <w:sz w:val="24"/>
        </w:rPr>
        <w:t>pointed to stable, or faster, </w:t>
      </w:r>
      <w:r>
        <w:rPr>
          <w:spacing w:val="-4"/>
          <w:sz w:val="24"/>
        </w:rPr>
        <w:t>growth.</w:t>
      </w:r>
      <w:r>
        <w:rPr>
          <w:spacing w:val="52"/>
          <w:sz w:val="24"/>
        </w:rPr>
        <w:t> </w:t>
      </w:r>
      <w:r>
        <w:rPr>
          <w:sz w:val="24"/>
        </w:rPr>
        <w:t>The </w:t>
      </w:r>
      <w:r>
        <w:rPr>
          <w:spacing w:val="-4"/>
          <w:sz w:val="24"/>
        </w:rPr>
        <w:t>ONS </w:t>
      </w:r>
      <w:r>
        <w:rPr>
          <w:sz w:val="24"/>
        </w:rPr>
        <w:t>experimental series for Average Weekly Earnings had recorded a slightly stronger profile </w:t>
      </w:r>
      <w:r>
        <w:rPr>
          <w:spacing w:val="-3"/>
          <w:sz w:val="24"/>
        </w:rPr>
        <w:t>than </w:t>
      </w:r>
      <w:r>
        <w:rPr>
          <w:spacing w:val="-4"/>
          <w:sz w:val="24"/>
        </w:rPr>
        <w:t>the </w:t>
      </w:r>
      <w:r>
        <w:rPr>
          <w:sz w:val="24"/>
        </w:rPr>
        <w:t>Average Earnings </w:t>
      </w:r>
      <w:r>
        <w:rPr>
          <w:spacing w:val="-4"/>
          <w:sz w:val="24"/>
        </w:rPr>
        <w:t>Index. </w:t>
      </w:r>
      <w:r>
        <w:rPr>
          <w:sz w:val="24"/>
        </w:rPr>
        <w:t>It was possible that the recent weakness in the growth of average earnings </w:t>
      </w:r>
      <w:r>
        <w:rPr>
          <w:spacing w:val="-3"/>
          <w:sz w:val="24"/>
        </w:rPr>
        <w:t>had </w:t>
      </w:r>
      <w:r>
        <w:rPr>
          <w:sz w:val="24"/>
        </w:rPr>
        <w:t>reflected </w:t>
      </w:r>
      <w:r>
        <w:rPr>
          <w:spacing w:val="-4"/>
          <w:sz w:val="24"/>
        </w:rPr>
        <w:t>the </w:t>
      </w:r>
      <w:r>
        <w:rPr>
          <w:sz w:val="24"/>
        </w:rPr>
        <w:t>timing of bonuses this year compared to last, and that the bonus contribution would </w:t>
      </w:r>
      <w:r>
        <w:rPr>
          <w:spacing w:val="-3"/>
          <w:sz w:val="24"/>
        </w:rPr>
        <w:t>bounce back. </w:t>
      </w:r>
      <w:r>
        <w:rPr>
          <w:sz w:val="24"/>
        </w:rPr>
        <w:t>It was also possible that the recent fall in earnings growth reflected falls in overtime and other elements of </w:t>
      </w:r>
      <w:r>
        <w:rPr>
          <w:spacing w:val="-3"/>
          <w:sz w:val="24"/>
        </w:rPr>
        <w:t>non-basic </w:t>
      </w:r>
      <w:r>
        <w:rPr>
          <w:sz w:val="24"/>
        </w:rPr>
        <w:t>pay that were related to productivity and profits, and reflected weaker activity in the </w:t>
      </w:r>
      <w:r>
        <w:rPr>
          <w:spacing w:val="-3"/>
          <w:sz w:val="24"/>
        </w:rPr>
        <w:t>first </w:t>
      </w:r>
      <w:r>
        <w:rPr>
          <w:sz w:val="24"/>
        </w:rPr>
        <w:t>half of 2005. If so, earnings growth might pick </w:t>
      </w:r>
      <w:r>
        <w:rPr>
          <w:spacing w:val="-4"/>
          <w:sz w:val="24"/>
        </w:rPr>
        <w:t>up, </w:t>
      </w:r>
      <w:r>
        <w:rPr>
          <w:sz w:val="24"/>
        </w:rPr>
        <w:t>reflecting the strengthening in activity seen in the second half of</w:t>
      </w:r>
      <w:r>
        <w:rPr>
          <w:spacing w:val="5"/>
          <w:sz w:val="24"/>
        </w:rPr>
        <w:t> </w:t>
      </w:r>
      <w:r>
        <w:rPr>
          <w:sz w:val="24"/>
        </w:rPr>
        <w:t>2005.</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7" w:right="290" w:firstLine="0"/>
        <w:jc w:val="left"/>
        <w:rPr>
          <w:sz w:val="24"/>
        </w:rPr>
      </w:pPr>
      <w:r>
        <w:rPr>
          <w:sz w:val="24"/>
        </w:rPr>
        <w:t>As the Committee had previously discussed, the recent rises in energy prices implied the need for an adjustment in real wage growth. The rise in energy prices would require the growth rate of the real</w:t>
      </w:r>
      <w:r>
        <w:rPr>
          <w:spacing w:val="-4"/>
          <w:sz w:val="24"/>
        </w:rPr>
        <w:t> </w:t>
      </w:r>
      <w:r>
        <w:rPr>
          <w:sz w:val="24"/>
        </w:rPr>
        <w:t>consumption</w:t>
      </w:r>
      <w:r>
        <w:rPr>
          <w:spacing w:val="-4"/>
          <w:sz w:val="24"/>
        </w:rPr>
        <w:t> </w:t>
      </w:r>
      <w:r>
        <w:rPr>
          <w:sz w:val="24"/>
        </w:rPr>
        <w:t>wage</w:t>
      </w:r>
      <w:r>
        <w:rPr>
          <w:spacing w:val="-4"/>
          <w:sz w:val="24"/>
        </w:rPr>
        <w:t> </w:t>
      </w:r>
      <w:r>
        <w:rPr>
          <w:sz w:val="24"/>
        </w:rPr>
        <w:t>to</w:t>
      </w:r>
      <w:r>
        <w:rPr>
          <w:spacing w:val="-4"/>
          <w:sz w:val="24"/>
        </w:rPr>
        <w:t> </w:t>
      </w:r>
      <w:r>
        <w:rPr>
          <w:sz w:val="24"/>
        </w:rPr>
        <w:t>be</w:t>
      </w:r>
      <w:r>
        <w:rPr>
          <w:spacing w:val="-4"/>
          <w:sz w:val="24"/>
        </w:rPr>
        <w:t> </w:t>
      </w:r>
      <w:r>
        <w:rPr>
          <w:sz w:val="24"/>
        </w:rPr>
        <w:t>slower</w:t>
      </w:r>
      <w:r>
        <w:rPr>
          <w:spacing w:val="-3"/>
          <w:sz w:val="24"/>
        </w:rPr>
        <w:t> </w:t>
      </w:r>
      <w:r>
        <w:rPr>
          <w:sz w:val="24"/>
        </w:rPr>
        <w:t>than</w:t>
      </w:r>
      <w:r>
        <w:rPr>
          <w:spacing w:val="-4"/>
          <w:sz w:val="24"/>
        </w:rPr>
        <w:t> </w:t>
      </w:r>
      <w:r>
        <w:rPr>
          <w:sz w:val="24"/>
        </w:rPr>
        <w:t>it</w:t>
      </w:r>
      <w:r>
        <w:rPr>
          <w:spacing w:val="-4"/>
          <w:sz w:val="24"/>
        </w:rPr>
        <w:t> </w:t>
      </w:r>
      <w:r>
        <w:rPr>
          <w:sz w:val="24"/>
        </w:rPr>
        <w:t>otherwise</w:t>
      </w:r>
      <w:r>
        <w:rPr>
          <w:spacing w:val="-4"/>
          <w:sz w:val="24"/>
        </w:rPr>
        <w:t> </w:t>
      </w:r>
      <w:r>
        <w:rPr>
          <w:sz w:val="24"/>
        </w:rPr>
        <w:t>would</w:t>
      </w:r>
      <w:r>
        <w:rPr>
          <w:spacing w:val="-4"/>
          <w:sz w:val="24"/>
        </w:rPr>
        <w:t> </w:t>
      </w:r>
      <w:r>
        <w:rPr>
          <w:sz w:val="24"/>
        </w:rPr>
        <w:t>have</w:t>
      </w:r>
      <w:r>
        <w:rPr>
          <w:spacing w:val="-3"/>
          <w:sz w:val="24"/>
        </w:rPr>
        <w:t> </w:t>
      </w:r>
      <w:r>
        <w:rPr>
          <w:sz w:val="24"/>
        </w:rPr>
        <w:t>been</w:t>
      </w:r>
      <w:r>
        <w:rPr>
          <w:spacing w:val="-4"/>
          <w:sz w:val="24"/>
        </w:rPr>
        <w:t> </w:t>
      </w:r>
      <w:r>
        <w:rPr>
          <w:sz w:val="24"/>
        </w:rPr>
        <w:t>if</w:t>
      </w:r>
      <w:r>
        <w:rPr>
          <w:spacing w:val="-4"/>
          <w:sz w:val="24"/>
        </w:rPr>
        <w:t> </w:t>
      </w:r>
      <w:r>
        <w:rPr>
          <w:sz w:val="24"/>
        </w:rPr>
        <w:t>employment</w:t>
      </w:r>
      <w:r>
        <w:rPr>
          <w:spacing w:val="-4"/>
          <w:sz w:val="24"/>
        </w:rPr>
        <w:t> </w:t>
      </w:r>
      <w:r>
        <w:rPr>
          <w:sz w:val="24"/>
        </w:rPr>
        <w:t>growth</w:t>
      </w:r>
      <w:r>
        <w:rPr>
          <w:spacing w:val="-4"/>
          <w:sz w:val="24"/>
        </w:rPr>
        <w:t> </w:t>
      </w:r>
      <w:r>
        <w:rPr>
          <w:sz w:val="24"/>
        </w:rPr>
        <w:t>were</w:t>
      </w:r>
      <w:r>
        <w:rPr>
          <w:spacing w:val="-3"/>
          <w:sz w:val="24"/>
        </w:rPr>
        <w:t> </w:t>
      </w:r>
      <w:r>
        <w:rPr>
          <w:sz w:val="24"/>
        </w:rPr>
        <w:t>to be sustained. This adjustment could come about via higher inflation, lower nominal wage growth, or some combination of the two. It was possible that firms were reacting to increased energy costs by putting additional downward pressure on their other costs – including labour costs. So some of the adjustment might be coming through average </w:t>
      </w:r>
      <w:r>
        <w:rPr>
          <w:spacing w:val="-3"/>
          <w:sz w:val="24"/>
        </w:rPr>
        <w:t>earnings </w:t>
      </w:r>
      <w:r>
        <w:rPr>
          <w:sz w:val="24"/>
        </w:rPr>
        <w:t>as well as in</w:t>
      </w:r>
      <w:r>
        <w:rPr>
          <w:spacing w:val="33"/>
          <w:sz w:val="24"/>
        </w:rPr>
        <w:t> </w:t>
      </w:r>
      <w:r>
        <w:rPr>
          <w:sz w:val="24"/>
        </w:rPr>
        <w:t>prices.</w:t>
      </w:r>
    </w:p>
    <w:p>
      <w:pPr>
        <w:pStyle w:val="BodyText"/>
        <w:rPr>
          <w:sz w:val="36"/>
        </w:rPr>
      </w:pPr>
    </w:p>
    <w:p>
      <w:pPr>
        <w:pStyle w:val="ListParagraph"/>
        <w:numPr>
          <w:ilvl w:val="0"/>
          <w:numId w:val="1"/>
        </w:numPr>
        <w:tabs>
          <w:tab w:pos="931" w:val="left" w:leader="none"/>
          <w:tab w:pos="932" w:val="left" w:leader="none"/>
        </w:tabs>
        <w:spacing w:line="362" w:lineRule="auto" w:before="0" w:after="0"/>
        <w:ind w:left="367" w:right="361" w:firstLine="0"/>
        <w:jc w:val="left"/>
        <w:rPr>
          <w:sz w:val="24"/>
        </w:rPr>
      </w:pPr>
      <w:r>
        <w:rPr>
          <w:sz w:val="24"/>
        </w:rPr>
        <w:t>It was difficult to know </w:t>
      </w:r>
      <w:r>
        <w:rPr>
          <w:spacing w:val="-3"/>
          <w:sz w:val="24"/>
        </w:rPr>
        <w:t>whether </w:t>
      </w:r>
      <w:r>
        <w:rPr>
          <w:sz w:val="24"/>
        </w:rPr>
        <w:t>the rise in energy prices had had any adverse effects on supply thus far, though it was probable that any effects on investment and supply would take some time to feed through. But, equally, it remained difficult to know </w:t>
      </w:r>
      <w:r>
        <w:rPr>
          <w:spacing w:val="-3"/>
          <w:sz w:val="24"/>
        </w:rPr>
        <w:t>by </w:t>
      </w:r>
      <w:r>
        <w:rPr>
          <w:sz w:val="24"/>
        </w:rPr>
        <w:t>how much migration was boosting potential</w:t>
      </w:r>
      <w:r>
        <w:rPr>
          <w:spacing w:val="-2"/>
          <w:sz w:val="24"/>
        </w:rPr>
        <w:t> </w:t>
      </w:r>
      <w:r>
        <w:rPr>
          <w:sz w:val="24"/>
        </w:rPr>
        <w:t>supply.</w:t>
      </w:r>
    </w:p>
    <w:p>
      <w:pPr>
        <w:pStyle w:val="BodyText"/>
        <w:spacing w:before="7"/>
        <w:rPr>
          <w:sz w:val="35"/>
        </w:rPr>
      </w:pPr>
    </w:p>
    <w:p>
      <w:pPr>
        <w:pStyle w:val="ListParagraph"/>
        <w:numPr>
          <w:ilvl w:val="0"/>
          <w:numId w:val="1"/>
        </w:numPr>
        <w:tabs>
          <w:tab w:pos="931" w:val="left" w:leader="none"/>
          <w:tab w:pos="932" w:val="left" w:leader="none"/>
        </w:tabs>
        <w:spacing w:line="360" w:lineRule="auto" w:before="0" w:after="0"/>
        <w:ind w:left="367" w:right="278" w:firstLine="0"/>
        <w:jc w:val="left"/>
        <w:rPr>
          <w:sz w:val="24"/>
        </w:rPr>
      </w:pPr>
      <w:r>
        <w:rPr>
          <w:sz w:val="24"/>
        </w:rPr>
        <w:t>In</w:t>
      </w:r>
      <w:r>
        <w:rPr>
          <w:spacing w:val="-6"/>
          <w:sz w:val="24"/>
        </w:rPr>
        <w:t> </w:t>
      </w:r>
      <w:r>
        <w:rPr>
          <w:sz w:val="24"/>
        </w:rPr>
        <w:t>line</w:t>
      </w:r>
      <w:r>
        <w:rPr>
          <w:spacing w:val="-5"/>
          <w:sz w:val="24"/>
        </w:rPr>
        <w:t> </w:t>
      </w:r>
      <w:r>
        <w:rPr>
          <w:sz w:val="24"/>
        </w:rPr>
        <w:t>with</w:t>
      </w:r>
      <w:r>
        <w:rPr>
          <w:spacing w:val="-5"/>
          <w:sz w:val="24"/>
        </w:rPr>
        <w:t> </w:t>
      </w:r>
      <w:r>
        <w:rPr>
          <w:sz w:val="24"/>
        </w:rPr>
        <w:t>pre-release</w:t>
      </w:r>
      <w:r>
        <w:rPr>
          <w:spacing w:val="-5"/>
          <w:sz w:val="24"/>
        </w:rPr>
        <w:t> </w:t>
      </w:r>
      <w:r>
        <w:rPr>
          <w:sz w:val="24"/>
        </w:rPr>
        <w:t>arrangements,</w:t>
      </w:r>
      <w:r>
        <w:rPr>
          <w:spacing w:val="-4"/>
          <w:sz w:val="24"/>
        </w:rPr>
        <w:t> </w:t>
      </w:r>
      <w:r>
        <w:rPr>
          <w:sz w:val="24"/>
        </w:rPr>
        <w:t>an</w:t>
      </w:r>
      <w:r>
        <w:rPr>
          <w:spacing w:val="-4"/>
          <w:sz w:val="24"/>
        </w:rPr>
        <w:t> </w:t>
      </w:r>
      <w:r>
        <w:rPr>
          <w:sz w:val="24"/>
        </w:rPr>
        <w:t>advance</w:t>
      </w:r>
      <w:r>
        <w:rPr>
          <w:spacing w:val="-4"/>
          <w:sz w:val="24"/>
        </w:rPr>
        <w:t> </w:t>
      </w:r>
      <w:r>
        <w:rPr>
          <w:sz w:val="24"/>
        </w:rPr>
        <w:t>estimate</w:t>
      </w:r>
      <w:r>
        <w:rPr>
          <w:spacing w:val="-5"/>
          <w:sz w:val="24"/>
        </w:rPr>
        <w:t> </w:t>
      </w:r>
      <w:r>
        <w:rPr>
          <w:sz w:val="24"/>
        </w:rPr>
        <w:t>of</w:t>
      </w:r>
      <w:r>
        <w:rPr>
          <w:spacing w:val="-4"/>
          <w:sz w:val="24"/>
        </w:rPr>
        <w:t> </w:t>
      </w:r>
      <w:r>
        <w:rPr>
          <w:sz w:val="24"/>
        </w:rPr>
        <w:t>CPI</w:t>
      </w:r>
      <w:r>
        <w:rPr>
          <w:spacing w:val="-4"/>
          <w:sz w:val="24"/>
        </w:rPr>
        <w:t> </w:t>
      </w:r>
      <w:r>
        <w:rPr>
          <w:sz w:val="24"/>
        </w:rPr>
        <w:t>inflation</w:t>
      </w:r>
      <w:r>
        <w:rPr>
          <w:spacing w:val="-5"/>
          <w:sz w:val="24"/>
        </w:rPr>
        <w:t> </w:t>
      </w:r>
      <w:r>
        <w:rPr>
          <w:sz w:val="24"/>
        </w:rPr>
        <w:t>for</w:t>
      </w:r>
      <w:r>
        <w:rPr>
          <w:spacing w:val="-4"/>
          <w:sz w:val="24"/>
        </w:rPr>
        <w:t> </w:t>
      </w:r>
      <w:r>
        <w:rPr>
          <w:sz w:val="24"/>
        </w:rPr>
        <w:t>January</w:t>
      </w:r>
      <w:r>
        <w:rPr>
          <w:spacing w:val="-4"/>
          <w:sz w:val="24"/>
        </w:rPr>
        <w:t> </w:t>
      </w:r>
      <w:r>
        <w:rPr>
          <w:sz w:val="24"/>
        </w:rPr>
        <w:t>had</w:t>
      </w:r>
      <w:r>
        <w:rPr>
          <w:spacing w:val="-5"/>
          <w:sz w:val="24"/>
        </w:rPr>
        <w:t> </w:t>
      </w:r>
      <w:r>
        <w:rPr>
          <w:sz w:val="24"/>
        </w:rPr>
        <w:t>been provided to the Governor ahead of publication. This had indicated </w:t>
      </w:r>
      <w:r>
        <w:rPr>
          <w:spacing w:val="-3"/>
          <w:sz w:val="24"/>
        </w:rPr>
        <w:t>that </w:t>
      </w:r>
      <w:r>
        <w:rPr>
          <w:sz w:val="24"/>
        </w:rPr>
        <w:t>inflation was 1.9% in January. There were also revisions to the past data. In particular, the December inflation rate had been revised down from 2.0% to 1.9%. Since the November </w:t>
      </w:r>
      <w:r>
        <w:rPr>
          <w:i/>
          <w:sz w:val="24"/>
        </w:rPr>
        <w:t>Inflation Report</w:t>
      </w:r>
      <w:r>
        <w:rPr>
          <w:sz w:val="24"/>
        </w:rPr>
        <w:t>, inflation outturns had </w:t>
      </w:r>
      <w:r>
        <w:rPr>
          <w:spacing w:val="-3"/>
          <w:sz w:val="24"/>
        </w:rPr>
        <w:t>been </w:t>
      </w:r>
      <w:r>
        <w:rPr>
          <w:sz w:val="24"/>
        </w:rPr>
        <w:t>a </w:t>
      </w:r>
      <w:r>
        <w:rPr>
          <w:spacing w:val="2"/>
          <w:sz w:val="24"/>
        </w:rPr>
        <w:t>little </w:t>
      </w:r>
      <w:r>
        <w:rPr>
          <w:sz w:val="24"/>
        </w:rPr>
        <w:t>lower than</w:t>
      </w:r>
      <w:r>
        <w:rPr>
          <w:spacing w:val="-3"/>
          <w:sz w:val="24"/>
        </w:rPr>
        <w:t> </w:t>
      </w:r>
      <w:r>
        <w:rPr>
          <w:sz w:val="24"/>
        </w:rPr>
        <w:t>expected.</w:t>
      </w:r>
    </w:p>
    <w:p>
      <w:pPr>
        <w:pStyle w:val="BodyText"/>
        <w:rPr>
          <w:sz w:val="36"/>
        </w:rPr>
      </w:pPr>
    </w:p>
    <w:p>
      <w:pPr>
        <w:pStyle w:val="Heading2"/>
        <w:ind w:left="368"/>
      </w:pPr>
      <w:r>
        <w:rPr/>
        <w:t>The February GDP growth and inflation projections</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240" w:lineRule="auto" w:before="0" w:after="0"/>
        <w:ind w:left="932" w:right="0" w:hanging="564"/>
        <w:jc w:val="left"/>
        <w:rPr>
          <w:sz w:val="24"/>
        </w:rPr>
      </w:pPr>
      <w:r>
        <w:rPr>
          <w:sz w:val="24"/>
        </w:rPr>
        <w:t>The Committee reached its policy decision in the light of the projections to be published in</w:t>
      </w:r>
      <w:r>
        <w:rPr>
          <w:spacing w:val="-43"/>
          <w:sz w:val="24"/>
        </w:rPr>
        <w:t> </w:t>
      </w:r>
      <w:r>
        <w:rPr>
          <w:sz w:val="24"/>
        </w:rPr>
        <w:t>the</w:t>
      </w:r>
    </w:p>
    <w:p>
      <w:pPr>
        <w:spacing w:before="132"/>
        <w:ind w:left="368" w:right="0" w:firstLine="0"/>
        <w:jc w:val="left"/>
        <w:rPr>
          <w:sz w:val="24"/>
        </w:rPr>
      </w:pPr>
      <w:r>
        <w:rPr>
          <w:i/>
          <w:sz w:val="24"/>
        </w:rPr>
        <w:t>Inflation Report </w:t>
      </w:r>
      <w:r>
        <w:rPr>
          <w:sz w:val="24"/>
        </w:rPr>
        <w:t>on Wednesday 15 February.</w:t>
      </w:r>
    </w:p>
    <w:p>
      <w:pPr>
        <w:spacing w:after="0"/>
        <w:jc w:val="left"/>
        <w:rPr>
          <w:sz w:val="24"/>
        </w:rPr>
        <w:sectPr>
          <w:pgSz w:w="11900" w:h="16840"/>
          <w:pgMar w:header="1134" w:footer="0" w:top="1380" w:bottom="280" w:left="760" w:right="700"/>
        </w:sectPr>
      </w:pPr>
    </w:p>
    <w:p>
      <w:pPr>
        <w:pStyle w:val="BodyText"/>
        <w:rPr>
          <w:sz w:val="20"/>
        </w:rPr>
      </w:pPr>
    </w:p>
    <w:p>
      <w:pPr>
        <w:pStyle w:val="BodyText"/>
        <w:spacing w:before="2"/>
        <w:rPr>
          <w:sz w:val="20"/>
        </w:rPr>
      </w:pPr>
    </w:p>
    <w:p>
      <w:pPr>
        <w:pStyle w:val="ListParagraph"/>
        <w:numPr>
          <w:ilvl w:val="0"/>
          <w:numId w:val="1"/>
        </w:numPr>
        <w:tabs>
          <w:tab w:pos="931" w:val="left" w:leader="none"/>
          <w:tab w:pos="932" w:val="left" w:leader="none"/>
        </w:tabs>
        <w:spacing w:line="360" w:lineRule="auto" w:before="90" w:after="0"/>
        <w:ind w:left="368" w:right="160" w:firstLine="0"/>
        <w:jc w:val="left"/>
        <w:rPr>
          <w:sz w:val="24"/>
        </w:rPr>
      </w:pPr>
      <w:r>
        <w:rPr>
          <w:sz w:val="24"/>
        </w:rPr>
        <w:t>The Committee’s central projection, based on its collective judgement and the assumption that official interest rates followed the path implied by the market yield curve, was for the four-quarter </w:t>
      </w:r>
      <w:r>
        <w:rPr>
          <w:spacing w:val="-3"/>
          <w:sz w:val="24"/>
        </w:rPr>
        <w:t>growth rate </w:t>
      </w:r>
      <w:r>
        <w:rPr>
          <w:sz w:val="24"/>
        </w:rPr>
        <w:t>of GDP to move slightly above its historical average as the quarters of weak growth in 2005 dropped out of </w:t>
      </w:r>
      <w:r>
        <w:rPr>
          <w:spacing w:val="-6"/>
          <w:sz w:val="24"/>
        </w:rPr>
        <w:t>the </w:t>
      </w:r>
      <w:r>
        <w:rPr>
          <w:sz w:val="24"/>
        </w:rPr>
        <w:t>calculation. It then eased back in the second half of the projection as domestic </w:t>
      </w:r>
      <w:r>
        <w:rPr>
          <w:spacing w:val="-3"/>
          <w:sz w:val="24"/>
        </w:rPr>
        <w:t>demand growth </w:t>
      </w:r>
      <w:r>
        <w:rPr>
          <w:sz w:val="24"/>
        </w:rPr>
        <w:t>moderated. Compared with November, the profile was a little stronger in the first part of the projection, but slightly weaker thereafter. The central view implied a steady expansion of consumer spending, but business investment growth was likely to remain soft in the short term. Net trade was assumed to make a broadly neutral contribution to GDP growth during the forecast period with a stronger assumed profile for import penetration, and a weaker assumed profile for UK exporters’ market share, than three months</w:t>
      </w:r>
      <w:r>
        <w:rPr>
          <w:spacing w:val="19"/>
          <w:sz w:val="24"/>
        </w:rPr>
        <w:t> </w:t>
      </w:r>
      <w:r>
        <w:rPr>
          <w:sz w:val="24"/>
        </w:rPr>
        <w:t>ago.</w:t>
      </w:r>
    </w:p>
    <w:p>
      <w:pPr>
        <w:pStyle w:val="BodyText"/>
        <w:spacing w:before="6"/>
        <w:rPr>
          <w:sz w:val="36"/>
        </w:rPr>
      </w:pPr>
    </w:p>
    <w:p>
      <w:pPr>
        <w:pStyle w:val="ListParagraph"/>
        <w:numPr>
          <w:ilvl w:val="0"/>
          <w:numId w:val="1"/>
        </w:numPr>
        <w:tabs>
          <w:tab w:pos="931" w:val="left" w:leader="none"/>
          <w:tab w:pos="932" w:val="left" w:leader="none"/>
        </w:tabs>
        <w:spacing w:line="360" w:lineRule="auto" w:before="0" w:after="0"/>
        <w:ind w:left="368" w:right="220" w:firstLine="0"/>
        <w:jc w:val="left"/>
        <w:rPr>
          <w:sz w:val="24"/>
        </w:rPr>
      </w:pPr>
      <w:r>
        <w:rPr>
          <w:sz w:val="24"/>
        </w:rPr>
        <w:t>The central projection for CPI inflation, on the </w:t>
      </w:r>
      <w:r>
        <w:rPr>
          <w:spacing w:val="-3"/>
          <w:sz w:val="24"/>
        </w:rPr>
        <w:t>market-based </w:t>
      </w:r>
      <w:r>
        <w:rPr>
          <w:sz w:val="24"/>
        </w:rPr>
        <w:t>assumption about the path of official interest rates, was for it to remain close </w:t>
      </w:r>
      <w:r>
        <w:rPr>
          <w:spacing w:val="-6"/>
          <w:sz w:val="24"/>
        </w:rPr>
        <w:t>to </w:t>
      </w:r>
      <w:r>
        <w:rPr>
          <w:sz w:val="24"/>
        </w:rPr>
        <w:t>the 2% target throughout the forecast period, as a declining contribution from the prices of energy and imported consumer goods was offset by a</w:t>
      </w:r>
      <w:r>
        <w:rPr>
          <w:spacing w:val="-38"/>
          <w:sz w:val="24"/>
        </w:rPr>
        <w:t> </w:t>
      </w:r>
      <w:r>
        <w:rPr>
          <w:sz w:val="24"/>
        </w:rPr>
        <w:t>gradual increase in the pressure of demand on capacity. Compared with November, the profile was slightly higher around the end of the first year of the projection, mainly on account of the further increase in energy prices, but similar further</w:t>
      </w:r>
      <w:r>
        <w:rPr>
          <w:spacing w:val="-7"/>
          <w:sz w:val="24"/>
        </w:rPr>
        <w:t> </w:t>
      </w:r>
      <w:r>
        <w:rPr>
          <w:sz w:val="24"/>
        </w:rPr>
        <w:t>out.</w:t>
      </w:r>
    </w:p>
    <w:p>
      <w:pPr>
        <w:pStyle w:val="BodyText"/>
        <w:spacing w:before="6"/>
        <w:rPr>
          <w:sz w:val="35"/>
        </w:rPr>
      </w:pPr>
    </w:p>
    <w:p>
      <w:pPr>
        <w:pStyle w:val="ListParagraph"/>
        <w:numPr>
          <w:ilvl w:val="0"/>
          <w:numId w:val="1"/>
        </w:numPr>
        <w:tabs>
          <w:tab w:pos="931" w:val="left" w:leader="none"/>
          <w:tab w:pos="932" w:val="left" w:leader="none"/>
        </w:tabs>
        <w:spacing w:line="360" w:lineRule="auto" w:before="0" w:after="0"/>
        <w:ind w:left="368" w:right="220" w:firstLine="0"/>
        <w:jc w:val="left"/>
        <w:rPr>
          <w:sz w:val="24"/>
        </w:rPr>
      </w:pPr>
      <w:r>
        <w:rPr>
          <w:sz w:val="24"/>
        </w:rPr>
        <w:t>The Committee’s best collective judgement was that the key risks to the central projection related to: the </w:t>
      </w:r>
      <w:r>
        <w:rPr>
          <w:spacing w:val="-3"/>
          <w:sz w:val="24"/>
        </w:rPr>
        <w:t>outlook </w:t>
      </w:r>
      <w:r>
        <w:rPr>
          <w:sz w:val="24"/>
        </w:rPr>
        <w:t>for consumer spending; the prospects for net exports; the sustainability of low long-term interest rates; the margin of spare capacity; the evolution of energy prices and their impact on inflation. There was a range of views among members, but the Committee judged that, relative to the central projection, the overall risks were to the downside for growth and broadly balanced for </w:t>
      </w:r>
      <w:r>
        <w:rPr>
          <w:spacing w:val="-3"/>
          <w:sz w:val="24"/>
        </w:rPr>
        <w:t>inflation.</w:t>
      </w:r>
    </w:p>
    <w:p>
      <w:pPr>
        <w:pStyle w:val="BodyText"/>
        <w:spacing w:before="6"/>
        <w:rPr>
          <w:sz w:val="36"/>
        </w:rPr>
      </w:pPr>
    </w:p>
    <w:p>
      <w:pPr>
        <w:pStyle w:val="ListParagraph"/>
        <w:numPr>
          <w:ilvl w:val="0"/>
          <w:numId w:val="1"/>
        </w:numPr>
        <w:tabs>
          <w:tab w:pos="931" w:val="left" w:leader="none"/>
          <w:tab w:pos="932" w:val="left" w:leader="none"/>
        </w:tabs>
        <w:spacing w:line="360" w:lineRule="auto" w:before="0" w:after="0"/>
        <w:ind w:left="368" w:right="172" w:firstLine="0"/>
        <w:jc w:val="left"/>
        <w:rPr>
          <w:sz w:val="24"/>
        </w:rPr>
      </w:pPr>
      <w:r>
        <w:rPr>
          <w:sz w:val="24"/>
        </w:rPr>
        <w:t>The Committee’s projections for GDP growth and CPI inflation conditioned on a constant interest</w:t>
      </w:r>
      <w:r>
        <w:rPr>
          <w:spacing w:val="-5"/>
          <w:sz w:val="24"/>
        </w:rPr>
        <w:t> </w:t>
      </w:r>
      <w:r>
        <w:rPr>
          <w:sz w:val="24"/>
        </w:rPr>
        <w:t>rate</w:t>
      </w:r>
      <w:r>
        <w:rPr>
          <w:spacing w:val="-6"/>
          <w:sz w:val="24"/>
        </w:rPr>
        <w:t> </w:t>
      </w:r>
      <w:r>
        <w:rPr>
          <w:sz w:val="24"/>
        </w:rPr>
        <w:t>of</w:t>
      </w:r>
      <w:r>
        <w:rPr>
          <w:spacing w:val="-6"/>
          <w:sz w:val="24"/>
        </w:rPr>
        <w:t> </w:t>
      </w:r>
      <w:r>
        <w:rPr>
          <w:sz w:val="24"/>
        </w:rPr>
        <w:t>4.5%</w:t>
      </w:r>
      <w:r>
        <w:rPr>
          <w:spacing w:val="-6"/>
          <w:sz w:val="24"/>
        </w:rPr>
        <w:t> </w:t>
      </w:r>
      <w:r>
        <w:rPr>
          <w:spacing w:val="3"/>
          <w:sz w:val="24"/>
        </w:rPr>
        <w:t>were</w:t>
      </w:r>
      <w:r>
        <w:rPr>
          <w:spacing w:val="-2"/>
          <w:sz w:val="24"/>
        </w:rPr>
        <w:t> </w:t>
      </w:r>
      <w:r>
        <w:rPr>
          <w:sz w:val="24"/>
        </w:rPr>
        <w:t>similar</w:t>
      </w:r>
      <w:r>
        <w:rPr>
          <w:spacing w:val="-2"/>
          <w:sz w:val="24"/>
        </w:rPr>
        <w:t> </w:t>
      </w:r>
      <w:r>
        <w:rPr>
          <w:sz w:val="24"/>
        </w:rPr>
        <w:t>to</w:t>
      </w:r>
      <w:r>
        <w:rPr>
          <w:spacing w:val="-3"/>
          <w:sz w:val="24"/>
        </w:rPr>
        <w:t> </w:t>
      </w:r>
      <w:r>
        <w:rPr>
          <w:sz w:val="24"/>
        </w:rPr>
        <w:t>those</w:t>
      </w:r>
      <w:r>
        <w:rPr>
          <w:spacing w:val="-3"/>
          <w:sz w:val="24"/>
        </w:rPr>
        <w:t> </w:t>
      </w:r>
      <w:r>
        <w:rPr>
          <w:sz w:val="24"/>
        </w:rPr>
        <w:t>based</w:t>
      </w:r>
      <w:r>
        <w:rPr>
          <w:spacing w:val="-3"/>
          <w:sz w:val="24"/>
        </w:rPr>
        <w:t> </w:t>
      </w:r>
      <w:r>
        <w:rPr>
          <w:sz w:val="24"/>
        </w:rPr>
        <w:t>on</w:t>
      </w:r>
      <w:r>
        <w:rPr>
          <w:spacing w:val="-3"/>
          <w:sz w:val="24"/>
        </w:rPr>
        <w:t> </w:t>
      </w:r>
      <w:r>
        <w:rPr>
          <w:sz w:val="24"/>
        </w:rPr>
        <w:t>market</w:t>
      </w:r>
      <w:r>
        <w:rPr>
          <w:spacing w:val="-3"/>
          <w:sz w:val="24"/>
        </w:rPr>
        <w:t> </w:t>
      </w:r>
      <w:r>
        <w:rPr>
          <w:sz w:val="24"/>
        </w:rPr>
        <w:t>rates,</w:t>
      </w:r>
      <w:r>
        <w:rPr>
          <w:spacing w:val="-3"/>
          <w:sz w:val="24"/>
        </w:rPr>
        <w:t> </w:t>
      </w:r>
      <w:r>
        <w:rPr>
          <w:sz w:val="24"/>
        </w:rPr>
        <w:t>reflecting</w:t>
      </w:r>
      <w:r>
        <w:rPr>
          <w:spacing w:val="-3"/>
          <w:sz w:val="24"/>
        </w:rPr>
        <w:t> </w:t>
      </w:r>
      <w:r>
        <w:rPr>
          <w:sz w:val="24"/>
        </w:rPr>
        <w:t>the</w:t>
      </w:r>
      <w:r>
        <w:rPr>
          <w:spacing w:val="-3"/>
          <w:sz w:val="24"/>
        </w:rPr>
        <w:t> </w:t>
      </w:r>
      <w:r>
        <w:rPr>
          <w:sz w:val="24"/>
        </w:rPr>
        <w:t>broadly</w:t>
      </w:r>
      <w:r>
        <w:rPr>
          <w:spacing w:val="-3"/>
          <w:sz w:val="24"/>
        </w:rPr>
        <w:t> </w:t>
      </w:r>
      <w:r>
        <w:rPr>
          <w:sz w:val="24"/>
        </w:rPr>
        <w:t>flat</w:t>
      </w:r>
      <w:r>
        <w:rPr>
          <w:spacing w:val="-3"/>
          <w:sz w:val="24"/>
        </w:rPr>
        <w:t> </w:t>
      </w:r>
      <w:r>
        <w:rPr>
          <w:sz w:val="24"/>
        </w:rPr>
        <w:t>interest</w:t>
      </w:r>
      <w:r>
        <w:rPr>
          <w:spacing w:val="-3"/>
          <w:sz w:val="24"/>
        </w:rPr>
        <w:t> </w:t>
      </w:r>
      <w:r>
        <w:rPr>
          <w:sz w:val="24"/>
        </w:rPr>
        <w:t>rate profile implied by the market yield curve for the next two</w:t>
      </w:r>
      <w:r>
        <w:rPr>
          <w:spacing w:val="26"/>
          <w:sz w:val="24"/>
        </w:rPr>
        <w:t> </w:t>
      </w:r>
      <w:r>
        <w:rPr>
          <w:sz w:val="24"/>
        </w:rPr>
        <w:t>years.</w:t>
      </w:r>
    </w:p>
    <w:p>
      <w:pPr>
        <w:pStyle w:val="BodyText"/>
        <w:rPr>
          <w:sz w:val="36"/>
        </w:rPr>
      </w:pPr>
    </w:p>
    <w:p>
      <w:pPr>
        <w:pStyle w:val="Heading2"/>
        <w:ind w:left="368"/>
      </w:pPr>
      <w:r>
        <w:rPr/>
        <w:t>The immediate policy decision</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355" w:lineRule="auto" w:before="0" w:after="0"/>
        <w:ind w:left="368" w:right="185" w:firstLine="0"/>
        <w:jc w:val="left"/>
        <w:rPr>
          <w:sz w:val="24"/>
        </w:rPr>
      </w:pPr>
      <w:r>
        <w:rPr>
          <w:sz w:val="24"/>
        </w:rPr>
        <w:t>Against this backdrop, there were a number of arguments in </w:t>
      </w:r>
      <w:r>
        <w:rPr>
          <w:spacing w:val="-3"/>
          <w:sz w:val="24"/>
        </w:rPr>
        <w:t>favour </w:t>
      </w:r>
      <w:r>
        <w:rPr>
          <w:sz w:val="24"/>
        </w:rPr>
        <w:t>of leaving the Bank’s official interest rate unchanged, to which different members attached different</w:t>
      </w:r>
      <w:r>
        <w:rPr>
          <w:spacing w:val="-3"/>
          <w:sz w:val="24"/>
        </w:rPr>
        <w:t> </w:t>
      </w:r>
      <w:r>
        <w:rPr>
          <w:sz w:val="24"/>
        </w:rPr>
        <w:t>weights.</w:t>
      </w:r>
    </w:p>
    <w:p>
      <w:pPr>
        <w:spacing w:after="0" w:line="355" w:lineRule="auto"/>
        <w:jc w:val="left"/>
        <w:rPr>
          <w:sz w:val="24"/>
        </w:rPr>
        <w:sectPr>
          <w:pgSz w:w="11900" w:h="16840"/>
          <w:pgMar w:header="1134" w:footer="0" w:top="1380" w:bottom="280" w:left="760" w:right="700"/>
        </w:sectPr>
      </w:pPr>
    </w:p>
    <w:p>
      <w:pPr>
        <w:pStyle w:val="BodyText"/>
        <w:rPr>
          <w:sz w:val="20"/>
        </w:rPr>
      </w:pPr>
    </w:p>
    <w:p>
      <w:pPr>
        <w:pStyle w:val="BodyText"/>
        <w:spacing w:before="2"/>
        <w:rPr>
          <w:sz w:val="20"/>
        </w:rPr>
      </w:pPr>
    </w:p>
    <w:p>
      <w:pPr>
        <w:pStyle w:val="ListParagraph"/>
        <w:numPr>
          <w:ilvl w:val="0"/>
          <w:numId w:val="1"/>
        </w:numPr>
        <w:tabs>
          <w:tab w:pos="931" w:val="left" w:leader="none"/>
          <w:tab w:pos="932" w:val="left" w:leader="none"/>
        </w:tabs>
        <w:spacing w:line="360" w:lineRule="auto" w:before="90" w:after="0"/>
        <w:ind w:left="368" w:right="219" w:firstLine="0"/>
        <w:jc w:val="left"/>
        <w:rPr>
          <w:sz w:val="24"/>
        </w:rPr>
      </w:pPr>
      <w:r>
        <w:rPr>
          <w:sz w:val="24"/>
        </w:rPr>
        <w:t>There had been relatively little news in financial markets over the past month, though the news over the past quarter should provide some stimulus to </w:t>
      </w:r>
      <w:r>
        <w:rPr>
          <w:spacing w:val="-4"/>
          <w:sz w:val="24"/>
        </w:rPr>
        <w:t>growth. </w:t>
      </w:r>
      <w:r>
        <w:rPr>
          <w:sz w:val="24"/>
        </w:rPr>
        <w:t>Although the central projection was </w:t>
      </w:r>
      <w:r>
        <w:rPr>
          <w:spacing w:val="-2"/>
          <w:sz w:val="24"/>
        </w:rPr>
        <w:t>for </w:t>
      </w:r>
      <w:r>
        <w:rPr>
          <w:sz w:val="24"/>
        </w:rPr>
        <w:t>global growth to be slightly stronger than projected in November, there remained risks in </w:t>
      </w:r>
      <w:r>
        <w:rPr>
          <w:spacing w:val="-3"/>
          <w:sz w:val="24"/>
        </w:rPr>
        <w:t>both </w:t>
      </w:r>
      <w:r>
        <w:rPr>
          <w:sz w:val="24"/>
        </w:rPr>
        <w:t>directions to the prospects for demand growth in the UK’s primary export markets. The preliminary ONS </w:t>
      </w:r>
      <w:r>
        <w:rPr>
          <w:spacing w:val="-4"/>
          <w:sz w:val="24"/>
        </w:rPr>
        <w:t>estimate </w:t>
      </w:r>
      <w:r>
        <w:rPr>
          <w:sz w:val="24"/>
        </w:rPr>
        <w:t>of UK output growth had increased in Q4, largely reflecting the strength of services </w:t>
      </w:r>
      <w:r>
        <w:rPr>
          <w:spacing w:val="-3"/>
          <w:sz w:val="24"/>
        </w:rPr>
        <w:t>output </w:t>
      </w:r>
      <w:r>
        <w:rPr>
          <w:sz w:val="24"/>
        </w:rPr>
        <w:t>and a turnaround in energy production. The </w:t>
      </w:r>
      <w:r>
        <w:rPr>
          <w:spacing w:val="2"/>
          <w:sz w:val="24"/>
        </w:rPr>
        <w:t>earlier </w:t>
      </w:r>
      <w:r>
        <w:rPr>
          <w:sz w:val="24"/>
        </w:rPr>
        <w:t>slowdown in output growth therefore appeared to </w:t>
      </w:r>
      <w:r>
        <w:rPr>
          <w:spacing w:val="-3"/>
          <w:sz w:val="24"/>
        </w:rPr>
        <w:t>have been </w:t>
      </w:r>
      <w:r>
        <w:rPr>
          <w:sz w:val="24"/>
        </w:rPr>
        <w:t>relatively shallow. Growth was now close to its historical average rate. </w:t>
      </w:r>
      <w:r>
        <w:rPr>
          <w:spacing w:val="-5"/>
          <w:sz w:val="24"/>
        </w:rPr>
        <w:t>The </w:t>
      </w:r>
      <w:r>
        <w:rPr>
          <w:sz w:val="24"/>
        </w:rPr>
        <w:t>latest indicators and surveys </w:t>
      </w:r>
      <w:r>
        <w:rPr>
          <w:spacing w:val="-3"/>
          <w:sz w:val="24"/>
        </w:rPr>
        <w:t>had </w:t>
      </w:r>
      <w:r>
        <w:rPr>
          <w:sz w:val="24"/>
        </w:rPr>
        <w:t>pointed to GDP growth strengthening a little in</w:t>
      </w:r>
      <w:r>
        <w:rPr>
          <w:spacing w:val="5"/>
          <w:sz w:val="24"/>
        </w:rPr>
        <w:t> </w:t>
      </w:r>
      <w:r>
        <w:rPr>
          <w:spacing w:val="-3"/>
          <w:sz w:val="24"/>
        </w:rPr>
        <w:t>Q1.</w:t>
      </w:r>
    </w:p>
    <w:p>
      <w:pPr>
        <w:pStyle w:val="BodyText"/>
        <w:spacing w:before="6"/>
        <w:rPr>
          <w:sz w:val="36"/>
        </w:rPr>
      </w:pPr>
    </w:p>
    <w:p>
      <w:pPr>
        <w:pStyle w:val="ListParagraph"/>
        <w:numPr>
          <w:ilvl w:val="0"/>
          <w:numId w:val="1"/>
        </w:numPr>
        <w:tabs>
          <w:tab w:pos="931" w:val="left" w:leader="none"/>
          <w:tab w:pos="932" w:val="left" w:leader="none"/>
        </w:tabs>
        <w:spacing w:line="360" w:lineRule="auto" w:before="0" w:after="0"/>
        <w:ind w:left="368" w:right="170" w:firstLine="0"/>
        <w:jc w:val="left"/>
        <w:rPr>
          <w:sz w:val="24"/>
        </w:rPr>
      </w:pPr>
      <w:r>
        <w:rPr>
          <w:spacing w:val="-3"/>
          <w:sz w:val="24"/>
        </w:rPr>
        <w:t>The </w:t>
      </w:r>
      <w:r>
        <w:rPr>
          <w:sz w:val="24"/>
        </w:rPr>
        <w:t>weakness of consumption growth in the </w:t>
      </w:r>
      <w:r>
        <w:rPr>
          <w:spacing w:val="2"/>
          <w:sz w:val="24"/>
        </w:rPr>
        <w:t>first </w:t>
      </w:r>
      <w:r>
        <w:rPr>
          <w:sz w:val="24"/>
        </w:rPr>
        <w:t>half of 2005 appeared to have abated, but </w:t>
      </w:r>
      <w:r>
        <w:rPr>
          <w:spacing w:val="-2"/>
          <w:sz w:val="24"/>
        </w:rPr>
        <w:t>the </w:t>
      </w:r>
      <w:r>
        <w:rPr>
          <w:sz w:val="24"/>
        </w:rPr>
        <w:t>prospects for consumption were still uncertain. There were signs of weaker growth in some of the more recent indicators, although the </w:t>
      </w:r>
      <w:r>
        <w:rPr>
          <w:spacing w:val="-3"/>
          <w:sz w:val="24"/>
        </w:rPr>
        <w:t>housing </w:t>
      </w:r>
      <w:r>
        <w:rPr>
          <w:sz w:val="24"/>
        </w:rPr>
        <w:t>market had been stronger than expected. Looking further ahead, there was uncertainty about whether post-tax labour income would pick up as quickly as </w:t>
      </w:r>
      <w:r>
        <w:rPr>
          <w:spacing w:val="-3"/>
          <w:sz w:val="24"/>
        </w:rPr>
        <w:t>expected </w:t>
      </w:r>
      <w:r>
        <w:rPr>
          <w:sz w:val="24"/>
        </w:rPr>
        <w:t>in the central case, and about whether households would seek to improve their financial position by increasing their saving rate. Nevertheless, for most members the near-term outlook </w:t>
      </w:r>
      <w:r>
        <w:rPr>
          <w:spacing w:val="-2"/>
          <w:sz w:val="24"/>
        </w:rPr>
        <w:t>for </w:t>
      </w:r>
      <w:r>
        <w:rPr>
          <w:sz w:val="24"/>
        </w:rPr>
        <w:t>consumption growth looked stronger than at the time of the November </w:t>
      </w:r>
      <w:r>
        <w:rPr>
          <w:i/>
          <w:sz w:val="24"/>
        </w:rPr>
        <w:t>Report</w:t>
      </w:r>
      <w:r>
        <w:rPr>
          <w:sz w:val="24"/>
        </w:rPr>
        <w:t>. Overall, </w:t>
      </w:r>
      <w:r>
        <w:rPr>
          <w:spacing w:val="-3"/>
          <w:sz w:val="24"/>
        </w:rPr>
        <w:t>most </w:t>
      </w:r>
      <w:r>
        <w:rPr>
          <w:sz w:val="24"/>
        </w:rPr>
        <w:t>members </w:t>
      </w:r>
      <w:r>
        <w:rPr>
          <w:spacing w:val="-3"/>
          <w:sz w:val="24"/>
        </w:rPr>
        <w:t>thought that </w:t>
      </w:r>
      <w:r>
        <w:rPr>
          <w:sz w:val="24"/>
        </w:rPr>
        <w:t>a gradual strengthening of GDP growth was the most likely central case, </w:t>
      </w:r>
      <w:r>
        <w:rPr>
          <w:spacing w:val="-4"/>
          <w:sz w:val="24"/>
        </w:rPr>
        <w:t>though </w:t>
      </w:r>
      <w:r>
        <w:rPr>
          <w:spacing w:val="3"/>
          <w:sz w:val="24"/>
        </w:rPr>
        <w:t>with </w:t>
      </w:r>
      <w:r>
        <w:rPr>
          <w:spacing w:val="-2"/>
          <w:sz w:val="24"/>
        </w:rPr>
        <w:t>the </w:t>
      </w:r>
      <w:r>
        <w:rPr>
          <w:sz w:val="24"/>
        </w:rPr>
        <w:t>balance of risks on the downside. There was some concern that a reduction in interest rates at this stage would provide further support to the housing market and consumption at a time when GDP growth was already strengthening, and that would increase the probability of inflation rising above the target in the medium</w:t>
      </w:r>
      <w:r>
        <w:rPr>
          <w:spacing w:val="14"/>
          <w:sz w:val="24"/>
        </w:rPr>
        <w:t> </w:t>
      </w:r>
      <w:r>
        <w:rPr>
          <w:sz w:val="24"/>
        </w:rPr>
        <w:t>term.</w:t>
      </w:r>
    </w:p>
    <w:p>
      <w:pPr>
        <w:pStyle w:val="BodyText"/>
        <w:spacing w:before="6"/>
        <w:rPr>
          <w:sz w:val="35"/>
        </w:rPr>
      </w:pPr>
    </w:p>
    <w:p>
      <w:pPr>
        <w:pStyle w:val="ListParagraph"/>
        <w:numPr>
          <w:ilvl w:val="0"/>
          <w:numId w:val="1"/>
        </w:numPr>
        <w:tabs>
          <w:tab w:pos="931" w:val="left" w:leader="none"/>
          <w:tab w:pos="932" w:val="left" w:leader="none"/>
        </w:tabs>
        <w:spacing w:line="360" w:lineRule="auto" w:before="0" w:after="0"/>
        <w:ind w:left="368" w:right="205" w:firstLine="0"/>
        <w:jc w:val="left"/>
        <w:rPr>
          <w:sz w:val="24"/>
        </w:rPr>
      </w:pPr>
      <w:r>
        <w:rPr>
          <w:sz w:val="24"/>
        </w:rPr>
        <w:t>Consumer price inflation remained close to </w:t>
      </w:r>
      <w:r>
        <w:rPr>
          <w:spacing w:val="-3"/>
          <w:sz w:val="24"/>
        </w:rPr>
        <w:t>target, </w:t>
      </w:r>
      <w:r>
        <w:rPr>
          <w:sz w:val="24"/>
        </w:rPr>
        <w:t>and inflation expectations appeared to be well anchored. Gas prices seemed likely to push up on inflation to a greater extent than had been expected in November, and there remained uncertainty about the future path of energy prices more </w:t>
      </w:r>
      <w:r>
        <w:rPr>
          <w:spacing w:val="-3"/>
          <w:sz w:val="24"/>
        </w:rPr>
        <w:t>generally. </w:t>
      </w:r>
      <w:r>
        <w:rPr>
          <w:spacing w:val="-4"/>
          <w:sz w:val="24"/>
        </w:rPr>
        <w:t>The </w:t>
      </w:r>
      <w:r>
        <w:rPr>
          <w:sz w:val="24"/>
        </w:rPr>
        <w:t>central projection was for inflation to remain close to target, as a declining contribution from the prices of energy and imported consumer goods was offset by a gradual increase in the pressure of demand on capacity. Business surveys and evidence from </w:t>
      </w:r>
      <w:r>
        <w:rPr>
          <w:spacing w:val="-5"/>
          <w:sz w:val="24"/>
        </w:rPr>
        <w:t>the </w:t>
      </w:r>
      <w:r>
        <w:rPr>
          <w:sz w:val="24"/>
        </w:rPr>
        <w:t>labour market had been consistent with there being some margin of spare capacity, although there was considerable uncertainty about its size. In particular, it was hard to judge how much supply capacity had been and would be eroded by the increase in </w:t>
      </w:r>
      <w:r>
        <w:rPr>
          <w:spacing w:val="-3"/>
          <w:sz w:val="24"/>
        </w:rPr>
        <w:t>energy </w:t>
      </w:r>
      <w:r>
        <w:rPr>
          <w:sz w:val="24"/>
        </w:rPr>
        <w:t>prices. In the light of these considerations, it seemed appropriate to leave the repo rate</w:t>
      </w:r>
      <w:r>
        <w:rPr>
          <w:spacing w:val="-2"/>
          <w:sz w:val="24"/>
        </w:rPr>
        <w:t> </w:t>
      </w:r>
      <w:r>
        <w:rPr>
          <w:sz w:val="24"/>
        </w:rPr>
        <w:t>unchanged.</w:t>
      </w:r>
    </w:p>
    <w:p>
      <w:pPr>
        <w:spacing w:after="0" w:line="360" w:lineRule="auto"/>
        <w:jc w:val="left"/>
        <w:rPr>
          <w:sz w:val="24"/>
        </w:rPr>
        <w:sectPr>
          <w:pgSz w:w="11900" w:h="16840"/>
          <w:pgMar w:header="1134" w:footer="0" w:top="1380" w:bottom="280" w:left="760" w:right="700"/>
        </w:sectPr>
      </w:pPr>
    </w:p>
    <w:p>
      <w:pPr>
        <w:pStyle w:val="BodyText"/>
        <w:rPr>
          <w:sz w:val="20"/>
        </w:rPr>
      </w:pPr>
    </w:p>
    <w:p>
      <w:pPr>
        <w:pStyle w:val="BodyText"/>
        <w:spacing w:before="2"/>
        <w:rPr>
          <w:sz w:val="20"/>
        </w:rPr>
      </w:pPr>
    </w:p>
    <w:p>
      <w:pPr>
        <w:pStyle w:val="ListParagraph"/>
        <w:numPr>
          <w:ilvl w:val="0"/>
          <w:numId w:val="1"/>
        </w:numPr>
        <w:tabs>
          <w:tab w:pos="931" w:val="left" w:leader="none"/>
          <w:tab w:pos="932" w:val="left" w:leader="none"/>
        </w:tabs>
        <w:spacing w:line="360" w:lineRule="auto" w:before="90" w:after="0"/>
        <w:ind w:left="367" w:right="436" w:firstLine="0"/>
        <w:jc w:val="left"/>
        <w:rPr>
          <w:sz w:val="24"/>
        </w:rPr>
      </w:pPr>
      <w:r>
        <w:rPr>
          <w:sz w:val="24"/>
        </w:rPr>
        <w:t>For one member there was a case for an immediate reduction in the repo rate. The </w:t>
      </w:r>
      <w:r>
        <w:rPr>
          <w:spacing w:val="-3"/>
          <w:sz w:val="24"/>
        </w:rPr>
        <w:t>fall </w:t>
      </w:r>
      <w:r>
        <w:rPr>
          <w:sz w:val="24"/>
        </w:rPr>
        <w:t>in </w:t>
      </w:r>
      <w:r>
        <w:rPr>
          <w:spacing w:val="-3"/>
          <w:sz w:val="24"/>
        </w:rPr>
        <w:t>GDP </w:t>
      </w:r>
      <w:r>
        <w:rPr>
          <w:sz w:val="24"/>
        </w:rPr>
        <w:t>growth below its historical trend for much of the </w:t>
      </w:r>
      <w:r>
        <w:rPr>
          <w:spacing w:val="-3"/>
          <w:sz w:val="24"/>
        </w:rPr>
        <w:t>past </w:t>
      </w:r>
      <w:r>
        <w:rPr>
          <w:sz w:val="24"/>
        </w:rPr>
        <w:t>eighteen months, the recent rise in unemployment and the surveys of capacity utilisation, pointed to the emergence of spare capacity in the economy. While the outlook for consumption had improved over the recent past, the central projection for consumption and investment appeared too optimistic. Consequently, it appeared unlikely that the degree of spare capacity in the economy would diminish as much as had been envisaged in the central projection. And given that pipeline pressures were modest, it </w:t>
      </w:r>
      <w:r>
        <w:rPr>
          <w:spacing w:val="-7"/>
          <w:sz w:val="24"/>
        </w:rPr>
        <w:t>seemed </w:t>
      </w:r>
      <w:r>
        <w:rPr>
          <w:sz w:val="24"/>
        </w:rPr>
        <w:t>likely that inflation would fall below target once the effects of higher energy prices had dropped out of the year-on-year</w:t>
      </w:r>
      <w:r>
        <w:rPr>
          <w:spacing w:val="-2"/>
          <w:sz w:val="24"/>
        </w:rPr>
        <w:t> </w:t>
      </w:r>
      <w:r>
        <w:rPr>
          <w:sz w:val="24"/>
        </w:rPr>
        <w:t>calculations.</w:t>
      </w:r>
    </w:p>
    <w:p>
      <w:pPr>
        <w:pStyle w:val="BodyText"/>
        <w:rPr>
          <w:sz w:val="36"/>
        </w:rPr>
      </w:pPr>
    </w:p>
    <w:p>
      <w:pPr>
        <w:pStyle w:val="ListParagraph"/>
        <w:numPr>
          <w:ilvl w:val="0"/>
          <w:numId w:val="1"/>
        </w:numPr>
        <w:tabs>
          <w:tab w:pos="931" w:val="left" w:leader="none"/>
          <w:tab w:pos="932" w:val="left" w:leader="none"/>
        </w:tabs>
        <w:spacing w:line="362" w:lineRule="auto" w:before="0" w:after="0"/>
        <w:ind w:left="368" w:right="641" w:firstLine="0"/>
        <w:jc w:val="left"/>
        <w:rPr>
          <w:sz w:val="24"/>
        </w:rPr>
      </w:pPr>
      <w:r>
        <w:rPr>
          <w:sz w:val="24"/>
        </w:rPr>
        <w:t>The Governor invited the Committee to vote on the proposition that the repo rate should be maintained at 4.5%. </w:t>
      </w:r>
      <w:r>
        <w:rPr>
          <w:spacing w:val="-3"/>
          <w:sz w:val="24"/>
        </w:rPr>
        <w:t>Eight </w:t>
      </w:r>
      <w:r>
        <w:rPr>
          <w:sz w:val="24"/>
        </w:rPr>
        <w:t>members of the Committee (the Governor, Rachel Lomax, John Gieve, Kate Barker, Charles Bean, Richard Lambert, Paul Tucker and David Walton) voted in favour. Stephen Nickell voted against, preferring a reduction in the repo rate of 25 basis</w:t>
      </w:r>
      <w:r>
        <w:rPr>
          <w:spacing w:val="-14"/>
          <w:sz w:val="24"/>
        </w:rPr>
        <w:t> </w:t>
      </w:r>
      <w:r>
        <w:rPr>
          <w:sz w:val="24"/>
        </w:rPr>
        <w:t>points.</w:t>
      </w:r>
    </w:p>
    <w:p>
      <w:pPr>
        <w:pStyle w:val="ListParagraph"/>
        <w:numPr>
          <w:ilvl w:val="0"/>
          <w:numId w:val="1"/>
        </w:numPr>
        <w:tabs>
          <w:tab w:pos="931" w:val="left" w:leader="none"/>
          <w:tab w:pos="932" w:val="left" w:leader="none"/>
        </w:tabs>
        <w:spacing w:line="670" w:lineRule="atLeast" w:before="15" w:after="0"/>
        <w:ind w:left="368" w:right="4130" w:firstLine="0"/>
        <w:jc w:val="left"/>
        <w:rPr>
          <w:sz w:val="24"/>
        </w:rPr>
      </w:pPr>
      <w:r>
        <w:rPr>
          <w:spacing w:val="-6"/>
          <w:sz w:val="24"/>
        </w:rPr>
        <w:t>The </w:t>
      </w:r>
      <w:r>
        <w:rPr>
          <w:sz w:val="24"/>
        </w:rPr>
        <w:t>following members of the Committee were </w:t>
      </w:r>
      <w:r>
        <w:rPr>
          <w:spacing w:val="-3"/>
          <w:sz w:val="24"/>
        </w:rPr>
        <w:t>present: </w:t>
      </w:r>
      <w:r>
        <w:rPr>
          <w:sz w:val="24"/>
        </w:rPr>
        <w:t>Mervyn King,</w:t>
      </w:r>
      <w:r>
        <w:rPr>
          <w:spacing w:val="18"/>
          <w:sz w:val="24"/>
        </w:rPr>
        <w:t> </w:t>
      </w:r>
      <w:r>
        <w:rPr>
          <w:sz w:val="24"/>
        </w:rPr>
        <w:t>Governor</w:t>
      </w:r>
    </w:p>
    <w:p>
      <w:pPr>
        <w:pStyle w:val="BodyText"/>
        <w:spacing w:before="2"/>
        <w:ind w:left="368" w:right="3520"/>
      </w:pPr>
      <w:r>
        <w:rPr/>
        <w:t>Rachel Lomax, Deputy Governor responsible for monetary policy John Gieve, Deputy Governor responsible for financial stability Kate Barker</w:t>
      </w:r>
    </w:p>
    <w:p>
      <w:pPr>
        <w:pStyle w:val="BodyText"/>
        <w:ind w:left="368" w:right="8419"/>
      </w:pPr>
      <w:r>
        <w:rPr/>
        <w:t>Charles Bean Richard Lambert Stephen Nickell Paul Tucker David Walton</w:t>
      </w:r>
    </w:p>
    <w:p>
      <w:pPr>
        <w:pStyle w:val="BodyText"/>
      </w:pPr>
    </w:p>
    <w:p>
      <w:pPr>
        <w:pStyle w:val="BodyText"/>
        <w:ind w:left="368"/>
      </w:pPr>
      <w:r>
        <w:rPr/>
        <w:t>Jon Cunliffe was present as the Treasury representative.</w:t>
      </w:r>
    </w:p>
    <w:sectPr>
      <w:pgSz w:w="11900" w:h="16840"/>
      <w:pgMar w:header="1134" w:footer="0" w:top="1380" w:bottom="280" w:left="76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599976pt;margin-top:55.706642pt;width:12pt;height:15.3pt;mso-position-horizontal-relative:page;mso-position-vertical-relative:page;z-index:-251847680"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68" w:hanging="564"/>
        <w:jc w:val="left"/>
      </w:pPr>
      <w:rPr>
        <w:rFonts w:hint="default" w:ascii="Times New Roman" w:hAnsi="Times New Roman" w:eastAsia="Times New Roman" w:cs="Times New Roman"/>
        <w:spacing w:val="-13"/>
        <w:w w:val="99"/>
        <w:sz w:val="24"/>
        <w:szCs w:val="24"/>
      </w:rPr>
    </w:lvl>
    <w:lvl w:ilvl="1">
      <w:start w:val="0"/>
      <w:numFmt w:val="bullet"/>
      <w:lvlText w:val="•"/>
      <w:lvlJc w:val="left"/>
      <w:pPr>
        <w:ind w:left="1368" w:hanging="564"/>
      </w:pPr>
      <w:rPr>
        <w:rFonts w:hint="default"/>
      </w:rPr>
    </w:lvl>
    <w:lvl w:ilvl="2">
      <w:start w:val="0"/>
      <w:numFmt w:val="bullet"/>
      <w:lvlText w:val="•"/>
      <w:lvlJc w:val="left"/>
      <w:pPr>
        <w:ind w:left="2376" w:hanging="564"/>
      </w:pPr>
      <w:rPr>
        <w:rFonts w:hint="default"/>
      </w:rPr>
    </w:lvl>
    <w:lvl w:ilvl="3">
      <w:start w:val="0"/>
      <w:numFmt w:val="bullet"/>
      <w:lvlText w:val="•"/>
      <w:lvlJc w:val="left"/>
      <w:pPr>
        <w:ind w:left="3384" w:hanging="564"/>
      </w:pPr>
      <w:rPr>
        <w:rFonts w:hint="default"/>
      </w:rPr>
    </w:lvl>
    <w:lvl w:ilvl="4">
      <w:start w:val="0"/>
      <w:numFmt w:val="bullet"/>
      <w:lvlText w:val="•"/>
      <w:lvlJc w:val="left"/>
      <w:pPr>
        <w:ind w:left="4392" w:hanging="564"/>
      </w:pPr>
      <w:rPr>
        <w:rFonts w:hint="default"/>
      </w:rPr>
    </w:lvl>
    <w:lvl w:ilvl="5">
      <w:start w:val="0"/>
      <w:numFmt w:val="bullet"/>
      <w:lvlText w:val="•"/>
      <w:lvlJc w:val="left"/>
      <w:pPr>
        <w:ind w:left="5400" w:hanging="564"/>
      </w:pPr>
      <w:rPr>
        <w:rFonts w:hint="default"/>
      </w:rPr>
    </w:lvl>
    <w:lvl w:ilvl="6">
      <w:start w:val="0"/>
      <w:numFmt w:val="bullet"/>
      <w:lvlText w:val="•"/>
      <w:lvlJc w:val="left"/>
      <w:pPr>
        <w:ind w:left="6408" w:hanging="564"/>
      </w:pPr>
      <w:rPr>
        <w:rFonts w:hint="default"/>
      </w:rPr>
    </w:lvl>
    <w:lvl w:ilvl="7">
      <w:start w:val="0"/>
      <w:numFmt w:val="bullet"/>
      <w:lvlText w:val="•"/>
      <w:lvlJc w:val="left"/>
      <w:pPr>
        <w:ind w:left="7416" w:hanging="564"/>
      </w:pPr>
      <w:rPr>
        <w:rFonts w:hint="default"/>
      </w:rPr>
    </w:lvl>
    <w:lvl w:ilvl="8">
      <w:start w:val="0"/>
      <w:numFmt w:val="bullet"/>
      <w:lvlText w:val="•"/>
      <w:lvlJc w:val="left"/>
      <w:pPr>
        <w:ind w:left="8424" w:hanging="56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9"/>
      <w:outlineLvl w:val="1"/>
    </w:pPr>
    <w:rPr>
      <w:rFonts w:ascii="Book Antiqua" w:hAnsi="Book Antiqua" w:eastAsia="Book Antiqua" w:cs="Book Antiqua"/>
      <w:sz w:val="26"/>
      <w:szCs w:val="26"/>
    </w:rPr>
  </w:style>
  <w:style w:styleId="Heading2" w:type="paragraph">
    <w:name w:val="Heading 2"/>
    <w:basedOn w:val="Normal"/>
    <w:uiPriority w:val="1"/>
    <w:qFormat/>
    <w:pPr>
      <w:ind w:left="367"/>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367" w:right="22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6/mpc0602.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Monetary Policy Committee Meeting Minutes</dc:subject>
  <dc:title>Minutes of the Monetary Policy Committee Meeting held on 8 and 9 February 2006</dc:title>
  <dcterms:created xsi:type="dcterms:W3CDTF">2020-06-02T20:53:10Z</dcterms:created>
  <dcterms:modified xsi:type="dcterms:W3CDTF">2020-06-02T20:53:10Z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2006-03-23T00:00:00Z</vt:filetime>
  </property>
  <property fmtid="{D5CDD505-2E9C-101B-9397-08002B2CF9AE}" pid="3" name="Creator">
    <vt:lpwstr>FEBRUARY MINUTES TUESDAY FINAL VERSION 210206 - Microsoft Word</vt:lpwstr>
  </property>
  <property fmtid="{D5CDD505-2E9C-101B-9397-08002B2CF9AE}" pid="4" name="LastSaved">
    <vt:filetime>2020-06-02T00:00:00Z</vt:filetime>
  </property>
</Properties>
</file>