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12 November 1997</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1"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806" w:right="2807" w:firstLine="0"/>
        <w:jc w:val="center"/>
        <w:rPr>
          <w:rFonts w:ascii="Palatino Linotype"/>
          <w:b/>
          <w:sz w:val="48"/>
        </w:rPr>
      </w:pPr>
      <w:r>
        <w:rPr>
          <w:rFonts w:ascii="Palatino Linotype"/>
          <w:b/>
          <w:sz w:val="48"/>
        </w:rPr>
        <w:t>8 and 9 October 1997</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464" w:hanging="1"/>
        <w:jc w:val="left"/>
        <w:rPr>
          <w:rFonts w:ascii="Palatino Linotype"/>
          <w:sz w:val="26"/>
        </w:rPr>
      </w:pPr>
      <w:r>
        <w:rPr>
          <w:rFonts w:ascii="Palatino Linotype"/>
          <w:sz w:val="26"/>
        </w:rPr>
        <w:t>These are the minutes of the Monetary Policy Committee meeting held on 8 and 9 October 1997.</w:t>
      </w:r>
    </w:p>
    <w:p>
      <w:pPr>
        <w:spacing w:line="348" w:lineRule="exact" w:before="0"/>
        <w:ind w:left="105"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6" w:right="132" w:firstLine="1"/>
        <w:jc w:val="left"/>
        <w:rPr>
          <w:rFonts w:ascii="Palatino Linotype" w:hAnsi="Palatino Linotype"/>
          <w:sz w:val="26"/>
        </w:rPr>
      </w:pPr>
      <w:r>
        <w:rPr>
          <w:rFonts w:ascii="Palatino Linotype" w:hAnsi="Palatino Linotype"/>
          <w:sz w:val="26"/>
        </w:rPr>
        <w:t>The Chancellor of the Exchequer announced on 6 May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w:t>
      </w:r>
      <w:r>
        <w:rPr>
          <w:rFonts w:ascii="Palatino Linotype" w:hAnsi="Palatino Linotype"/>
          <w:spacing w:val="53"/>
          <w:sz w:val="26"/>
        </w:rPr>
        <w:t> </w:t>
      </w:r>
      <w:r>
        <w:rPr>
          <w:rFonts w:ascii="Palatino Linotype" w:hAnsi="Palatino Linotype"/>
          <w:sz w:val="26"/>
        </w:rPr>
        <w:t>meeting.</w:t>
      </w:r>
    </w:p>
    <w:p>
      <w:pPr>
        <w:spacing w:line="247" w:lineRule="auto" w:before="0"/>
        <w:ind w:left="106" w:right="212" w:firstLine="2"/>
        <w:jc w:val="left"/>
        <w:rPr>
          <w:rFonts w:ascii="Palatino Linotype"/>
          <w:sz w:val="26"/>
        </w:rPr>
      </w:pPr>
      <w:r>
        <w:rPr>
          <w:rFonts w:ascii="Palatino Linotype"/>
          <w:sz w:val="26"/>
        </w:rPr>
        <w:t>Accordingly, the minutes of the Committee meeting held on 5 and 6 November will be published on 10 December.</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spacing w:before="63"/>
        <w:ind w:right="1086"/>
        <w:jc w:val="right"/>
      </w:pPr>
      <w:r>
        <w:rPr/>
        <w:t>12/11/97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1"/>
        <w:spacing w:line="321" w:lineRule="auto" w:before="90"/>
        <w:ind w:right="2575"/>
      </w:pPr>
      <w:r>
        <w:rPr/>
        <w:t>MINUTES OF THE MONETARY POLICY COMMITTEE MEETING ON 8-9 OCTOBER 1997</w:t>
      </w:r>
    </w:p>
    <w:p>
      <w:pPr>
        <w:pStyle w:val="BodyText"/>
        <w:rPr>
          <w:b/>
          <w:sz w:val="26"/>
        </w:rPr>
      </w:pPr>
    </w:p>
    <w:p>
      <w:pPr>
        <w:pStyle w:val="BodyText"/>
        <w:spacing w:before="9"/>
        <w:rPr>
          <w:b/>
          <w:sz w:val="37"/>
        </w:rPr>
      </w:pPr>
    </w:p>
    <w:p>
      <w:pPr>
        <w:pStyle w:val="ListParagraph"/>
        <w:numPr>
          <w:ilvl w:val="0"/>
          <w:numId w:val="1"/>
        </w:numPr>
        <w:tabs>
          <w:tab w:pos="584" w:val="left" w:leader="none"/>
        </w:tabs>
        <w:spacing w:line="321" w:lineRule="auto" w:before="0" w:after="0"/>
        <w:ind w:left="277" w:right="248" w:firstLine="0"/>
        <w:jc w:val="left"/>
        <w:rPr>
          <w:sz w:val="24"/>
        </w:rPr>
      </w:pPr>
      <w:r>
        <w:rPr>
          <w:sz w:val="24"/>
        </w:rPr>
        <w:t>The meeting was preceded by a presentation by Bank staff of the most recent data on monetary and economic conditions. The presentation is summarised in the Annex to these minutes; it has </w:t>
      </w:r>
      <w:r>
        <w:rPr>
          <w:spacing w:val="-5"/>
          <w:sz w:val="24"/>
        </w:rPr>
        <w:t>been </w:t>
      </w:r>
      <w:r>
        <w:rPr>
          <w:sz w:val="24"/>
        </w:rPr>
        <w:t>updated to incorporate data that subsequently became available before the Monetary </w:t>
      </w:r>
      <w:r>
        <w:rPr>
          <w:spacing w:val="-2"/>
          <w:sz w:val="24"/>
        </w:rPr>
        <w:t>Policy </w:t>
      </w:r>
      <w:r>
        <w:rPr>
          <w:sz w:val="24"/>
        </w:rPr>
        <w:t>Committee</w:t>
      </w:r>
      <w:r>
        <w:rPr>
          <w:spacing w:val="-1"/>
          <w:sz w:val="24"/>
        </w:rPr>
        <w:t> </w:t>
      </w:r>
      <w:r>
        <w:rPr>
          <w:sz w:val="24"/>
        </w:rPr>
        <w:t>meeting.</w:t>
      </w:r>
    </w:p>
    <w:p>
      <w:pPr>
        <w:pStyle w:val="BodyText"/>
        <w:spacing w:before="1"/>
        <w:rPr>
          <w:sz w:val="32"/>
        </w:rPr>
      </w:pPr>
    </w:p>
    <w:p>
      <w:pPr>
        <w:pStyle w:val="ListParagraph"/>
        <w:numPr>
          <w:ilvl w:val="0"/>
          <w:numId w:val="1"/>
        </w:numPr>
        <w:tabs>
          <w:tab w:pos="583" w:val="left" w:leader="none"/>
        </w:tabs>
        <w:spacing w:line="321" w:lineRule="auto" w:before="0" w:after="0"/>
        <w:ind w:left="277" w:right="310" w:firstLine="0"/>
        <w:jc w:val="both"/>
        <w:rPr>
          <w:sz w:val="24"/>
        </w:rPr>
      </w:pPr>
      <w:r>
        <w:rPr>
          <w:sz w:val="24"/>
        </w:rPr>
        <w:t>The </w:t>
      </w:r>
      <w:r>
        <w:rPr>
          <w:spacing w:val="-3"/>
          <w:sz w:val="24"/>
        </w:rPr>
        <w:t>Committee began </w:t>
      </w:r>
      <w:r>
        <w:rPr>
          <w:sz w:val="24"/>
        </w:rPr>
        <w:t>by </w:t>
      </w:r>
      <w:r>
        <w:rPr>
          <w:spacing w:val="-3"/>
          <w:sz w:val="24"/>
        </w:rPr>
        <w:t>discussing </w:t>
      </w:r>
      <w:r>
        <w:rPr>
          <w:sz w:val="24"/>
        </w:rPr>
        <w:t>the </w:t>
      </w:r>
      <w:r>
        <w:rPr>
          <w:spacing w:val="-3"/>
          <w:sz w:val="24"/>
        </w:rPr>
        <w:t>issues raised </w:t>
      </w:r>
      <w:r>
        <w:rPr>
          <w:sz w:val="24"/>
        </w:rPr>
        <w:t>by </w:t>
      </w:r>
      <w:r>
        <w:rPr>
          <w:spacing w:val="-3"/>
          <w:sz w:val="24"/>
        </w:rPr>
        <w:t>recent economic developments </w:t>
      </w:r>
      <w:r>
        <w:rPr>
          <w:sz w:val="24"/>
        </w:rPr>
        <w:t>- </w:t>
      </w:r>
      <w:r>
        <w:rPr>
          <w:spacing w:val="-3"/>
          <w:sz w:val="24"/>
        </w:rPr>
        <w:t>demand </w:t>
      </w:r>
      <w:r>
        <w:rPr>
          <w:sz w:val="24"/>
        </w:rPr>
        <w:t>and</w:t>
      </w:r>
      <w:r>
        <w:rPr>
          <w:spacing w:val="-4"/>
          <w:sz w:val="24"/>
        </w:rPr>
        <w:t> </w:t>
      </w:r>
      <w:r>
        <w:rPr>
          <w:sz w:val="24"/>
        </w:rPr>
        <w:t>output</w:t>
      </w:r>
      <w:r>
        <w:rPr>
          <w:spacing w:val="-3"/>
          <w:sz w:val="24"/>
        </w:rPr>
        <w:t> </w:t>
      </w:r>
      <w:r>
        <w:rPr>
          <w:sz w:val="24"/>
        </w:rPr>
        <w:t>(and</w:t>
      </w:r>
      <w:r>
        <w:rPr>
          <w:spacing w:val="-3"/>
          <w:sz w:val="24"/>
        </w:rPr>
        <w:t> </w:t>
      </w:r>
      <w:r>
        <w:rPr>
          <w:sz w:val="24"/>
        </w:rPr>
        <w:t>in</w:t>
      </w:r>
      <w:r>
        <w:rPr>
          <w:spacing w:val="-3"/>
          <w:sz w:val="24"/>
        </w:rPr>
        <w:t> </w:t>
      </w:r>
      <w:r>
        <w:rPr>
          <w:sz w:val="24"/>
        </w:rPr>
        <w:t>particular,</w:t>
      </w:r>
      <w:r>
        <w:rPr>
          <w:spacing w:val="-3"/>
          <w:sz w:val="24"/>
        </w:rPr>
        <w:t> </w:t>
      </w:r>
      <w:r>
        <w:rPr>
          <w:sz w:val="24"/>
        </w:rPr>
        <w:t>the</w:t>
      </w:r>
      <w:r>
        <w:rPr>
          <w:spacing w:val="-3"/>
          <w:sz w:val="24"/>
        </w:rPr>
        <w:t> </w:t>
      </w:r>
      <w:r>
        <w:rPr>
          <w:sz w:val="24"/>
        </w:rPr>
        <w:t>effect</w:t>
      </w:r>
      <w:r>
        <w:rPr>
          <w:spacing w:val="-4"/>
          <w:sz w:val="24"/>
        </w:rPr>
        <w:t> </w:t>
      </w:r>
      <w:r>
        <w:rPr>
          <w:sz w:val="24"/>
        </w:rPr>
        <w:t>of</w:t>
      </w:r>
      <w:r>
        <w:rPr>
          <w:spacing w:val="-3"/>
          <w:sz w:val="24"/>
        </w:rPr>
        <w:t> </w:t>
      </w:r>
      <w:r>
        <w:rPr>
          <w:sz w:val="24"/>
        </w:rPr>
        <w:t>the</w:t>
      </w:r>
      <w:r>
        <w:rPr>
          <w:spacing w:val="-3"/>
          <w:sz w:val="24"/>
        </w:rPr>
        <w:t> </w:t>
      </w:r>
      <w:r>
        <w:rPr>
          <w:sz w:val="24"/>
        </w:rPr>
        <w:t>exchange</w:t>
      </w:r>
      <w:r>
        <w:rPr>
          <w:spacing w:val="-3"/>
          <w:sz w:val="24"/>
        </w:rPr>
        <w:t> </w:t>
      </w:r>
      <w:r>
        <w:rPr>
          <w:sz w:val="24"/>
        </w:rPr>
        <w:t>rate</w:t>
      </w:r>
      <w:r>
        <w:rPr>
          <w:spacing w:val="-3"/>
          <w:sz w:val="24"/>
        </w:rPr>
        <w:t> </w:t>
      </w:r>
      <w:r>
        <w:rPr>
          <w:sz w:val="24"/>
        </w:rPr>
        <w:t>appreciation</w:t>
      </w:r>
      <w:r>
        <w:rPr>
          <w:spacing w:val="-3"/>
          <w:sz w:val="24"/>
        </w:rPr>
        <w:t> </w:t>
      </w:r>
      <w:r>
        <w:rPr>
          <w:sz w:val="24"/>
        </w:rPr>
        <w:t>on</w:t>
      </w:r>
      <w:r>
        <w:rPr>
          <w:spacing w:val="-4"/>
          <w:sz w:val="24"/>
        </w:rPr>
        <w:t> </w:t>
      </w:r>
      <w:r>
        <w:rPr>
          <w:sz w:val="24"/>
        </w:rPr>
        <w:t>net</w:t>
      </w:r>
      <w:r>
        <w:rPr>
          <w:spacing w:val="-3"/>
          <w:sz w:val="24"/>
        </w:rPr>
        <w:t> </w:t>
      </w:r>
      <w:r>
        <w:rPr>
          <w:sz w:val="24"/>
        </w:rPr>
        <w:t>exports</w:t>
      </w:r>
      <w:r>
        <w:rPr>
          <w:spacing w:val="-3"/>
          <w:sz w:val="24"/>
        </w:rPr>
        <w:t> </w:t>
      </w:r>
      <w:r>
        <w:rPr>
          <w:sz w:val="24"/>
        </w:rPr>
        <w:t>and</w:t>
      </w:r>
      <w:r>
        <w:rPr>
          <w:spacing w:val="-3"/>
          <w:sz w:val="24"/>
        </w:rPr>
        <w:t> </w:t>
      </w:r>
      <w:r>
        <w:rPr>
          <w:sz w:val="24"/>
        </w:rPr>
        <w:t>output) the labour market, prices, monetary growth and financial market</w:t>
      </w:r>
      <w:r>
        <w:rPr>
          <w:spacing w:val="-25"/>
          <w:sz w:val="24"/>
        </w:rPr>
        <w:t> </w:t>
      </w:r>
      <w:r>
        <w:rPr>
          <w:sz w:val="24"/>
        </w:rPr>
        <w:t>developments.</w:t>
      </w:r>
    </w:p>
    <w:p>
      <w:pPr>
        <w:pStyle w:val="BodyText"/>
        <w:spacing w:before="6"/>
        <w:rPr>
          <w:sz w:val="32"/>
        </w:rPr>
      </w:pPr>
    </w:p>
    <w:p>
      <w:pPr>
        <w:pStyle w:val="Heading1"/>
      </w:pPr>
      <w:r>
        <w:rPr/>
        <w:t>Demand and output</w:t>
      </w:r>
    </w:p>
    <w:p>
      <w:pPr>
        <w:pStyle w:val="BodyText"/>
        <w:rPr>
          <w:b/>
          <w:sz w:val="26"/>
        </w:rPr>
      </w:pPr>
    </w:p>
    <w:p>
      <w:pPr>
        <w:pStyle w:val="ListParagraph"/>
        <w:numPr>
          <w:ilvl w:val="0"/>
          <w:numId w:val="1"/>
        </w:numPr>
        <w:tabs>
          <w:tab w:pos="584" w:val="left" w:leader="none"/>
        </w:tabs>
        <w:spacing w:line="321" w:lineRule="auto" w:before="159" w:after="0"/>
        <w:ind w:left="277" w:right="315" w:firstLine="0"/>
        <w:jc w:val="left"/>
        <w:rPr>
          <w:i/>
          <w:sz w:val="24"/>
        </w:rPr>
      </w:pPr>
      <w:r>
        <w:rPr>
          <w:sz w:val="24"/>
        </w:rPr>
        <w:t>The Committee reviewed recent developments in demand and output. The appreciation of </w:t>
      </w:r>
      <w:r>
        <w:rPr>
          <w:spacing w:val="-2"/>
          <w:sz w:val="24"/>
        </w:rPr>
        <w:t>the </w:t>
      </w:r>
      <w:r>
        <w:rPr>
          <w:sz w:val="24"/>
        </w:rPr>
        <w:t>exchange</w:t>
      </w:r>
      <w:r>
        <w:rPr>
          <w:spacing w:val="-3"/>
          <w:sz w:val="24"/>
        </w:rPr>
        <w:t> </w:t>
      </w:r>
      <w:r>
        <w:rPr>
          <w:sz w:val="24"/>
        </w:rPr>
        <w:t>rate</w:t>
      </w:r>
      <w:r>
        <w:rPr>
          <w:spacing w:val="-2"/>
          <w:sz w:val="24"/>
        </w:rPr>
        <w:t> </w:t>
      </w:r>
      <w:r>
        <w:rPr>
          <w:sz w:val="24"/>
        </w:rPr>
        <w:t>had</w:t>
      </w:r>
      <w:r>
        <w:rPr>
          <w:spacing w:val="-3"/>
          <w:sz w:val="24"/>
        </w:rPr>
        <w:t> </w:t>
      </w:r>
      <w:r>
        <w:rPr>
          <w:sz w:val="24"/>
        </w:rPr>
        <w:t>had</w:t>
      </w:r>
      <w:r>
        <w:rPr>
          <w:spacing w:val="-2"/>
          <w:sz w:val="24"/>
        </w:rPr>
        <w:t> </w:t>
      </w:r>
      <w:r>
        <w:rPr>
          <w:sz w:val="24"/>
        </w:rPr>
        <w:t>much</w:t>
      </w:r>
      <w:r>
        <w:rPr>
          <w:spacing w:val="-3"/>
          <w:sz w:val="24"/>
        </w:rPr>
        <w:t> </w:t>
      </w:r>
      <w:r>
        <w:rPr>
          <w:sz w:val="24"/>
        </w:rPr>
        <w:t>less</w:t>
      </w:r>
      <w:r>
        <w:rPr>
          <w:spacing w:val="-2"/>
          <w:sz w:val="24"/>
        </w:rPr>
        <w:t> </w:t>
      </w:r>
      <w:r>
        <w:rPr>
          <w:sz w:val="24"/>
        </w:rPr>
        <w:t>effect</w:t>
      </w:r>
      <w:r>
        <w:rPr>
          <w:spacing w:val="-2"/>
          <w:sz w:val="24"/>
        </w:rPr>
        <w:t> </w:t>
      </w:r>
      <w:r>
        <w:rPr>
          <w:sz w:val="24"/>
        </w:rPr>
        <w:t>on</w:t>
      </w:r>
      <w:r>
        <w:rPr>
          <w:spacing w:val="-3"/>
          <w:sz w:val="24"/>
        </w:rPr>
        <w:t> </w:t>
      </w:r>
      <w:r>
        <w:rPr>
          <w:sz w:val="24"/>
        </w:rPr>
        <w:t>the</w:t>
      </w:r>
      <w:r>
        <w:rPr>
          <w:spacing w:val="-2"/>
          <w:sz w:val="24"/>
        </w:rPr>
        <w:t> </w:t>
      </w:r>
      <w:r>
        <w:rPr>
          <w:sz w:val="24"/>
        </w:rPr>
        <w:t>reported</w:t>
      </w:r>
      <w:r>
        <w:rPr>
          <w:spacing w:val="-3"/>
          <w:sz w:val="24"/>
        </w:rPr>
        <w:t> </w:t>
      </w:r>
      <w:r>
        <w:rPr>
          <w:sz w:val="24"/>
        </w:rPr>
        <w:t>data</w:t>
      </w:r>
      <w:r>
        <w:rPr>
          <w:spacing w:val="-2"/>
          <w:sz w:val="24"/>
        </w:rPr>
        <w:t> </w:t>
      </w:r>
      <w:r>
        <w:rPr>
          <w:sz w:val="24"/>
        </w:rPr>
        <w:t>on</w:t>
      </w:r>
      <w:r>
        <w:rPr>
          <w:spacing w:val="-2"/>
          <w:sz w:val="24"/>
        </w:rPr>
        <w:t> </w:t>
      </w:r>
      <w:r>
        <w:rPr>
          <w:sz w:val="24"/>
        </w:rPr>
        <w:t>external</w:t>
      </w:r>
      <w:r>
        <w:rPr>
          <w:spacing w:val="-3"/>
          <w:sz w:val="24"/>
        </w:rPr>
        <w:t> </w:t>
      </w:r>
      <w:r>
        <w:rPr>
          <w:sz w:val="24"/>
        </w:rPr>
        <w:t>trade</w:t>
      </w:r>
      <w:r>
        <w:rPr>
          <w:spacing w:val="-2"/>
          <w:sz w:val="24"/>
        </w:rPr>
        <w:t> </w:t>
      </w:r>
      <w:r>
        <w:rPr>
          <w:sz w:val="24"/>
        </w:rPr>
        <w:t>in</w:t>
      </w:r>
      <w:r>
        <w:rPr>
          <w:spacing w:val="-3"/>
          <w:sz w:val="24"/>
        </w:rPr>
        <w:t> </w:t>
      </w:r>
      <w:r>
        <w:rPr>
          <w:sz w:val="24"/>
        </w:rPr>
        <w:t>goods</w:t>
      </w:r>
      <w:r>
        <w:rPr>
          <w:spacing w:val="-2"/>
          <w:sz w:val="24"/>
        </w:rPr>
        <w:t> </w:t>
      </w:r>
      <w:r>
        <w:rPr>
          <w:sz w:val="24"/>
        </w:rPr>
        <w:t>up</w:t>
      </w:r>
      <w:r>
        <w:rPr>
          <w:spacing w:val="-2"/>
          <w:sz w:val="24"/>
        </w:rPr>
        <w:t> </w:t>
      </w:r>
      <w:r>
        <w:rPr>
          <w:sz w:val="24"/>
        </w:rPr>
        <w:t>to</w:t>
      </w:r>
      <w:r>
        <w:rPr>
          <w:spacing w:val="-3"/>
          <w:sz w:val="24"/>
        </w:rPr>
        <w:t> </w:t>
      </w:r>
      <w:r>
        <w:rPr>
          <w:sz w:val="24"/>
        </w:rPr>
        <w:t>August (non-EU) and July (EU), and in services (up to Q2) than had been expected. Business surveys </w:t>
      </w:r>
      <w:r>
        <w:rPr>
          <w:spacing w:val="-2"/>
          <w:sz w:val="24"/>
        </w:rPr>
        <w:t>and </w:t>
      </w:r>
      <w:r>
        <w:rPr>
          <w:sz w:val="24"/>
        </w:rPr>
        <w:t>reports from the Bank’s Agencies had suggested that there would be a large effect (and most were continuing to do so), but some surveys, eg the September CIPS survey, were now suggesting that the export outlook had become less gloomy. Meanwhile, the indications available to date were that output growth in Q3 had been considerably stronger than the central projection in the </w:t>
      </w:r>
      <w:r>
        <w:rPr>
          <w:spacing w:val="-2"/>
          <w:sz w:val="24"/>
        </w:rPr>
        <w:t>August </w:t>
      </w:r>
      <w:r>
        <w:rPr>
          <w:i/>
          <w:sz w:val="24"/>
        </w:rPr>
        <w:t>Inflation</w:t>
      </w:r>
      <w:r>
        <w:rPr>
          <w:i/>
          <w:spacing w:val="3"/>
          <w:sz w:val="24"/>
        </w:rPr>
        <w:t> </w:t>
      </w:r>
      <w:r>
        <w:rPr>
          <w:i/>
          <w:sz w:val="24"/>
        </w:rPr>
        <w:t>Report.</w:t>
      </w:r>
    </w:p>
    <w:p>
      <w:pPr>
        <w:pStyle w:val="BodyText"/>
        <w:rPr>
          <w:i/>
          <w:sz w:val="32"/>
        </w:rPr>
      </w:pPr>
    </w:p>
    <w:p>
      <w:pPr>
        <w:pStyle w:val="ListParagraph"/>
        <w:numPr>
          <w:ilvl w:val="0"/>
          <w:numId w:val="1"/>
        </w:numPr>
        <w:tabs>
          <w:tab w:pos="583" w:val="left" w:leader="none"/>
        </w:tabs>
        <w:spacing w:line="321" w:lineRule="auto" w:before="0" w:after="0"/>
        <w:ind w:left="277" w:right="315" w:firstLine="0"/>
        <w:jc w:val="left"/>
        <w:rPr>
          <w:sz w:val="24"/>
        </w:rPr>
      </w:pPr>
      <w:r>
        <w:rPr>
          <w:spacing w:val="-3"/>
          <w:sz w:val="24"/>
        </w:rPr>
        <w:t>There </w:t>
      </w:r>
      <w:r>
        <w:rPr>
          <w:sz w:val="24"/>
        </w:rPr>
        <w:t>was </w:t>
      </w:r>
      <w:r>
        <w:rPr>
          <w:spacing w:val="-3"/>
          <w:sz w:val="24"/>
        </w:rPr>
        <w:t>relatively little news </w:t>
      </w:r>
      <w:r>
        <w:rPr>
          <w:sz w:val="24"/>
        </w:rPr>
        <w:t>on </w:t>
      </w:r>
      <w:r>
        <w:rPr>
          <w:spacing w:val="-3"/>
          <w:sz w:val="24"/>
        </w:rPr>
        <w:t>domestic demand.  Consumer spending </w:t>
      </w:r>
      <w:r>
        <w:rPr>
          <w:sz w:val="24"/>
        </w:rPr>
        <w:t>had </w:t>
      </w:r>
      <w:r>
        <w:rPr>
          <w:spacing w:val="-3"/>
          <w:sz w:val="24"/>
        </w:rPr>
        <w:t>been growing </w:t>
      </w:r>
      <w:r>
        <w:rPr>
          <w:sz w:val="24"/>
        </w:rPr>
        <w:t>fairly fast. It was not accelerating, but the CBI distributive trades survey - which might have been depressed as a consequence of public reaction to the death of Diana, Princess of Wales - had shown greater optimism among retailers. Though the GFK index of consumer confidence had been </w:t>
      </w:r>
      <w:r>
        <w:rPr>
          <w:spacing w:val="-2"/>
          <w:sz w:val="24"/>
        </w:rPr>
        <w:t>rising </w:t>
      </w:r>
      <w:r>
        <w:rPr>
          <w:spacing w:val="-3"/>
          <w:sz w:val="24"/>
        </w:rPr>
        <w:t>steadily, </w:t>
      </w:r>
      <w:r>
        <w:rPr>
          <w:sz w:val="24"/>
        </w:rPr>
        <w:t>the </w:t>
      </w:r>
      <w:r>
        <w:rPr>
          <w:spacing w:val="-3"/>
          <w:sz w:val="24"/>
        </w:rPr>
        <w:t>MORI index </w:t>
      </w:r>
      <w:r>
        <w:rPr>
          <w:sz w:val="24"/>
        </w:rPr>
        <w:t>had </w:t>
      </w:r>
      <w:r>
        <w:rPr>
          <w:spacing w:val="-3"/>
          <w:sz w:val="24"/>
        </w:rPr>
        <w:t>fallen back sharply, partly reversing </w:t>
      </w:r>
      <w:r>
        <w:rPr>
          <w:sz w:val="24"/>
        </w:rPr>
        <w:t>a </w:t>
      </w:r>
      <w:r>
        <w:rPr>
          <w:spacing w:val="-3"/>
          <w:sz w:val="24"/>
        </w:rPr>
        <w:t>large rise that </w:t>
      </w:r>
      <w:r>
        <w:rPr>
          <w:sz w:val="24"/>
        </w:rPr>
        <w:t>had </w:t>
      </w:r>
      <w:r>
        <w:rPr>
          <w:spacing w:val="-3"/>
          <w:sz w:val="24"/>
        </w:rPr>
        <w:t>probably been </w:t>
      </w:r>
      <w:r>
        <w:rPr>
          <w:sz w:val="24"/>
        </w:rPr>
        <w:t>the result of demutualisation windfalls. In the housing market, the divergence between </w:t>
      </w:r>
      <w:r>
        <w:rPr>
          <w:spacing w:val="-2"/>
          <w:sz w:val="24"/>
        </w:rPr>
        <w:t>the </w:t>
      </w:r>
      <w:r>
        <w:rPr>
          <w:sz w:val="24"/>
        </w:rPr>
        <w:t>Nationwide and Halifax price indices had widened further, but the other indicators of housing demand</w:t>
      </w:r>
      <w:r>
        <w:rPr>
          <w:spacing w:val="-10"/>
          <w:sz w:val="24"/>
        </w:rPr>
        <w:t> </w:t>
      </w:r>
      <w:r>
        <w:rPr>
          <w:sz w:val="24"/>
        </w:rPr>
        <w:t>did</w:t>
      </w:r>
      <w:r>
        <w:rPr>
          <w:spacing w:val="-9"/>
          <w:sz w:val="24"/>
        </w:rPr>
        <w:t> </w:t>
      </w:r>
      <w:r>
        <w:rPr>
          <w:sz w:val="24"/>
        </w:rPr>
        <w:t>not</w:t>
      </w:r>
      <w:r>
        <w:rPr>
          <w:spacing w:val="-9"/>
          <w:sz w:val="24"/>
        </w:rPr>
        <w:t> </w:t>
      </w:r>
      <w:r>
        <w:rPr>
          <w:sz w:val="24"/>
        </w:rPr>
        <w:t>suggest</w:t>
      </w:r>
      <w:r>
        <w:rPr>
          <w:spacing w:val="-9"/>
          <w:sz w:val="24"/>
        </w:rPr>
        <w:t> </w:t>
      </w:r>
      <w:r>
        <w:rPr>
          <w:sz w:val="24"/>
        </w:rPr>
        <w:t>rapidly</w:t>
      </w:r>
      <w:r>
        <w:rPr>
          <w:spacing w:val="-9"/>
          <w:sz w:val="24"/>
        </w:rPr>
        <w:t> </w:t>
      </w:r>
      <w:r>
        <w:rPr>
          <w:sz w:val="24"/>
        </w:rPr>
        <w:t>growing</w:t>
      </w:r>
      <w:r>
        <w:rPr>
          <w:spacing w:val="-10"/>
          <w:sz w:val="24"/>
        </w:rPr>
        <w:t> </w:t>
      </w:r>
      <w:r>
        <w:rPr>
          <w:sz w:val="24"/>
        </w:rPr>
        <w:t>demand,</w:t>
      </w:r>
      <w:r>
        <w:rPr>
          <w:spacing w:val="-9"/>
          <w:sz w:val="24"/>
        </w:rPr>
        <w:t> </w:t>
      </w:r>
      <w:r>
        <w:rPr>
          <w:sz w:val="24"/>
        </w:rPr>
        <w:t>and</w:t>
      </w:r>
      <w:r>
        <w:rPr>
          <w:spacing w:val="-9"/>
          <w:sz w:val="24"/>
        </w:rPr>
        <w:t> </w:t>
      </w:r>
      <w:r>
        <w:rPr>
          <w:sz w:val="24"/>
        </w:rPr>
        <w:t>therefore</w:t>
      </w:r>
      <w:r>
        <w:rPr>
          <w:spacing w:val="-9"/>
          <w:sz w:val="24"/>
        </w:rPr>
        <w:t> </w:t>
      </w:r>
      <w:r>
        <w:rPr>
          <w:sz w:val="24"/>
        </w:rPr>
        <w:t>seemed</w:t>
      </w:r>
      <w:r>
        <w:rPr>
          <w:spacing w:val="-9"/>
          <w:sz w:val="24"/>
        </w:rPr>
        <w:t> </w:t>
      </w:r>
      <w:r>
        <w:rPr>
          <w:sz w:val="24"/>
        </w:rPr>
        <w:t>more</w:t>
      </w:r>
      <w:r>
        <w:rPr>
          <w:spacing w:val="-9"/>
          <w:sz w:val="24"/>
        </w:rPr>
        <w:t> </w:t>
      </w:r>
      <w:r>
        <w:rPr>
          <w:sz w:val="24"/>
        </w:rPr>
        <w:t>easily</w:t>
      </w:r>
      <w:r>
        <w:rPr>
          <w:spacing w:val="-10"/>
          <w:sz w:val="24"/>
        </w:rPr>
        <w:t> </w:t>
      </w:r>
      <w:r>
        <w:rPr>
          <w:sz w:val="24"/>
        </w:rPr>
        <w:t>reconciled</w:t>
      </w:r>
      <w:r>
        <w:rPr>
          <w:spacing w:val="-9"/>
          <w:sz w:val="24"/>
        </w:rPr>
        <w:t> </w:t>
      </w:r>
      <w:r>
        <w:rPr>
          <w:sz w:val="24"/>
        </w:rPr>
        <w:t>with the</w:t>
      </w:r>
      <w:r>
        <w:rPr>
          <w:spacing w:val="-8"/>
          <w:sz w:val="24"/>
        </w:rPr>
        <w:t> </w:t>
      </w:r>
      <w:r>
        <w:rPr>
          <w:sz w:val="24"/>
        </w:rPr>
        <w:t>Halifax</w:t>
      </w:r>
      <w:r>
        <w:rPr>
          <w:spacing w:val="-7"/>
          <w:sz w:val="24"/>
        </w:rPr>
        <w:t> </w:t>
      </w:r>
      <w:r>
        <w:rPr>
          <w:sz w:val="24"/>
        </w:rPr>
        <w:t>view</w:t>
      </w:r>
      <w:r>
        <w:rPr>
          <w:spacing w:val="-7"/>
          <w:sz w:val="24"/>
        </w:rPr>
        <w:t> </w:t>
      </w:r>
      <w:r>
        <w:rPr>
          <w:sz w:val="24"/>
        </w:rPr>
        <w:t>of</w:t>
      </w:r>
      <w:r>
        <w:rPr>
          <w:spacing w:val="-7"/>
          <w:sz w:val="24"/>
        </w:rPr>
        <w:t> </w:t>
      </w:r>
      <w:r>
        <w:rPr>
          <w:sz w:val="24"/>
        </w:rPr>
        <w:t>more</w:t>
      </w:r>
      <w:r>
        <w:rPr>
          <w:spacing w:val="-7"/>
          <w:sz w:val="24"/>
        </w:rPr>
        <w:t> </w:t>
      </w:r>
      <w:r>
        <w:rPr>
          <w:sz w:val="24"/>
        </w:rPr>
        <w:t>moderate</w:t>
      </w:r>
      <w:r>
        <w:rPr>
          <w:spacing w:val="-7"/>
          <w:sz w:val="24"/>
        </w:rPr>
        <w:t> </w:t>
      </w:r>
      <w:r>
        <w:rPr>
          <w:sz w:val="24"/>
        </w:rPr>
        <w:t>growth.</w:t>
      </w:r>
      <w:r>
        <w:rPr>
          <w:spacing w:val="49"/>
          <w:sz w:val="24"/>
        </w:rPr>
        <w:t> </w:t>
      </w:r>
      <w:r>
        <w:rPr>
          <w:sz w:val="24"/>
        </w:rPr>
        <w:t>There</w:t>
      </w:r>
      <w:r>
        <w:rPr>
          <w:spacing w:val="-7"/>
          <w:sz w:val="24"/>
        </w:rPr>
        <w:t> </w:t>
      </w:r>
      <w:r>
        <w:rPr>
          <w:sz w:val="24"/>
        </w:rPr>
        <w:t>was</w:t>
      </w:r>
      <w:r>
        <w:rPr>
          <w:spacing w:val="-7"/>
          <w:sz w:val="24"/>
        </w:rPr>
        <w:t> </w:t>
      </w:r>
      <w:r>
        <w:rPr>
          <w:sz w:val="24"/>
        </w:rPr>
        <w:t>no</w:t>
      </w:r>
      <w:r>
        <w:rPr>
          <w:spacing w:val="-7"/>
          <w:sz w:val="24"/>
        </w:rPr>
        <w:t> </w:t>
      </w:r>
      <w:r>
        <w:rPr>
          <w:sz w:val="24"/>
        </w:rPr>
        <w:t>evidence</w:t>
      </w:r>
      <w:r>
        <w:rPr>
          <w:spacing w:val="-7"/>
          <w:sz w:val="24"/>
        </w:rPr>
        <w:t> </w:t>
      </w:r>
      <w:r>
        <w:rPr>
          <w:sz w:val="24"/>
        </w:rPr>
        <w:t>that</w:t>
      </w:r>
      <w:r>
        <w:rPr>
          <w:spacing w:val="-7"/>
          <w:sz w:val="24"/>
        </w:rPr>
        <w:t> </w:t>
      </w:r>
      <w:r>
        <w:rPr>
          <w:sz w:val="24"/>
        </w:rPr>
        <w:t>domestic</w:t>
      </w:r>
      <w:r>
        <w:rPr>
          <w:spacing w:val="-7"/>
          <w:sz w:val="24"/>
        </w:rPr>
        <w:t> </w:t>
      </w:r>
      <w:r>
        <w:rPr>
          <w:sz w:val="24"/>
        </w:rPr>
        <w:t>demand</w:t>
      </w:r>
      <w:r>
        <w:rPr>
          <w:spacing w:val="-7"/>
          <w:sz w:val="24"/>
        </w:rPr>
        <w:t> </w:t>
      </w:r>
      <w:r>
        <w:rPr>
          <w:sz w:val="24"/>
        </w:rPr>
        <w:t>had</w:t>
      </w:r>
      <w:r>
        <w:rPr>
          <w:spacing w:val="-7"/>
          <w:sz w:val="24"/>
        </w:rPr>
        <w:t> </w:t>
      </w:r>
      <w:r>
        <w:rPr>
          <w:sz w:val="24"/>
        </w:rPr>
        <w:t>been</w:t>
      </w:r>
    </w:p>
    <w:p>
      <w:pPr>
        <w:spacing w:after="0" w:line="321" w:lineRule="auto"/>
        <w:jc w:val="left"/>
        <w:rPr>
          <w:sz w:val="24"/>
        </w:rPr>
        <w:sectPr>
          <w:pgSz w:w="11900" w:h="16840"/>
          <w:pgMar w:top="1380" w:bottom="280" w:left="860" w:right="880"/>
        </w:sectPr>
      </w:pPr>
    </w:p>
    <w:p>
      <w:pPr>
        <w:pStyle w:val="BodyText"/>
        <w:spacing w:line="321" w:lineRule="auto" w:before="183"/>
        <w:ind w:left="277" w:right="212"/>
      </w:pPr>
      <w:r>
        <w:rPr/>
        <w:t>substantially stronger than expected in Q3, so it seemed likely that the unexpected strength of output reflected net exports.</w:t>
      </w:r>
    </w:p>
    <w:p>
      <w:pPr>
        <w:pStyle w:val="BodyText"/>
        <w:spacing w:before="1"/>
        <w:rPr>
          <w:sz w:val="32"/>
        </w:rPr>
      </w:pPr>
    </w:p>
    <w:p>
      <w:pPr>
        <w:pStyle w:val="ListParagraph"/>
        <w:numPr>
          <w:ilvl w:val="0"/>
          <w:numId w:val="1"/>
        </w:numPr>
        <w:tabs>
          <w:tab w:pos="584" w:val="left" w:leader="none"/>
        </w:tabs>
        <w:spacing w:line="321" w:lineRule="auto" w:before="0" w:after="0"/>
        <w:ind w:left="277" w:right="286" w:firstLine="0"/>
        <w:jc w:val="left"/>
        <w:rPr>
          <w:sz w:val="24"/>
        </w:rPr>
      </w:pPr>
      <w:r>
        <w:rPr>
          <w:sz w:val="24"/>
        </w:rPr>
        <w:t>The</w:t>
      </w:r>
      <w:r>
        <w:rPr>
          <w:spacing w:val="-9"/>
          <w:sz w:val="24"/>
        </w:rPr>
        <w:t> </w:t>
      </w:r>
      <w:r>
        <w:rPr>
          <w:sz w:val="24"/>
        </w:rPr>
        <w:t>Committee</w:t>
      </w:r>
      <w:r>
        <w:rPr>
          <w:spacing w:val="-8"/>
          <w:sz w:val="24"/>
        </w:rPr>
        <w:t> </w:t>
      </w:r>
      <w:r>
        <w:rPr>
          <w:sz w:val="24"/>
        </w:rPr>
        <w:t>discussed</w:t>
      </w:r>
      <w:r>
        <w:rPr>
          <w:spacing w:val="-9"/>
          <w:sz w:val="24"/>
        </w:rPr>
        <w:t> </w:t>
      </w:r>
      <w:r>
        <w:rPr>
          <w:sz w:val="24"/>
        </w:rPr>
        <w:t>the</w:t>
      </w:r>
      <w:r>
        <w:rPr>
          <w:spacing w:val="-8"/>
          <w:sz w:val="24"/>
        </w:rPr>
        <w:t> </w:t>
      </w:r>
      <w:r>
        <w:rPr>
          <w:sz w:val="24"/>
        </w:rPr>
        <w:t>significance</w:t>
      </w:r>
      <w:r>
        <w:rPr>
          <w:spacing w:val="-9"/>
          <w:sz w:val="24"/>
        </w:rPr>
        <w:t> </w:t>
      </w:r>
      <w:r>
        <w:rPr>
          <w:sz w:val="24"/>
        </w:rPr>
        <w:t>of</w:t>
      </w:r>
      <w:r>
        <w:rPr>
          <w:spacing w:val="-8"/>
          <w:sz w:val="24"/>
        </w:rPr>
        <w:t> </w:t>
      </w:r>
      <w:r>
        <w:rPr>
          <w:sz w:val="24"/>
        </w:rPr>
        <w:t>stronger</w:t>
      </w:r>
      <w:r>
        <w:rPr>
          <w:spacing w:val="-9"/>
          <w:sz w:val="24"/>
        </w:rPr>
        <w:t> </w:t>
      </w:r>
      <w:r>
        <w:rPr>
          <w:sz w:val="24"/>
        </w:rPr>
        <w:t>than</w:t>
      </w:r>
      <w:r>
        <w:rPr>
          <w:spacing w:val="-8"/>
          <w:sz w:val="24"/>
        </w:rPr>
        <w:t> </w:t>
      </w:r>
      <w:r>
        <w:rPr>
          <w:sz w:val="24"/>
        </w:rPr>
        <w:t>expected</w:t>
      </w:r>
      <w:r>
        <w:rPr>
          <w:spacing w:val="-8"/>
          <w:sz w:val="24"/>
        </w:rPr>
        <w:t> </w:t>
      </w:r>
      <w:r>
        <w:rPr>
          <w:sz w:val="24"/>
        </w:rPr>
        <w:t>output,</w:t>
      </w:r>
      <w:r>
        <w:rPr>
          <w:spacing w:val="-9"/>
          <w:sz w:val="24"/>
        </w:rPr>
        <w:t> </w:t>
      </w:r>
      <w:r>
        <w:rPr>
          <w:sz w:val="24"/>
        </w:rPr>
        <w:t>and</w:t>
      </w:r>
      <w:r>
        <w:rPr>
          <w:spacing w:val="-8"/>
          <w:sz w:val="24"/>
        </w:rPr>
        <w:t> </w:t>
      </w:r>
      <w:r>
        <w:rPr>
          <w:sz w:val="24"/>
        </w:rPr>
        <w:t>four</w:t>
      </w:r>
      <w:r>
        <w:rPr>
          <w:spacing w:val="-9"/>
          <w:sz w:val="24"/>
        </w:rPr>
        <w:t> </w:t>
      </w:r>
      <w:r>
        <w:rPr>
          <w:sz w:val="24"/>
        </w:rPr>
        <w:t>points</w:t>
      </w:r>
      <w:r>
        <w:rPr>
          <w:spacing w:val="-8"/>
          <w:sz w:val="24"/>
        </w:rPr>
        <w:t> </w:t>
      </w:r>
      <w:r>
        <w:rPr>
          <w:sz w:val="24"/>
        </w:rPr>
        <w:t>were made. First, the manufacturing output figures combined with the newly released Workforce In </w:t>
      </w:r>
      <w:r>
        <w:rPr>
          <w:spacing w:val="-3"/>
          <w:sz w:val="24"/>
        </w:rPr>
        <w:t>Employment survey implied, </w:t>
      </w:r>
      <w:r>
        <w:rPr>
          <w:sz w:val="24"/>
        </w:rPr>
        <w:t>if </w:t>
      </w:r>
      <w:r>
        <w:rPr>
          <w:spacing w:val="-3"/>
          <w:sz w:val="24"/>
        </w:rPr>
        <w:t>taken </w:t>
      </w:r>
      <w:r>
        <w:rPr>
          <w:sz w:val="24"/>
        </w:rPr>
        <w:t>at </w:t>
      </w:r>
      <w:r>
        <w:rPr>
          <w:spacing w:val="-3"/>
          <w:sz w:val="24"/>
        </w:rPr>
        <w:t>face value, that manufacturing productivity </w:t>
      </w:r>
      <w:r>
        <w:rPr>
          <w:sz w:val="24"/>
        </w:rPr>
        <w:t>had </w:t>
      </w:r>
      <w:r>
        <w:rPr>
          <w:spacing w:val="-3"/>
          <w:sz w:val="24"/>
        </w:rPr>
        <w:t>been static in </w:t>
      </w:r>
      <w:r>
        <w:rPr>
          <w:sz w:val="24"/>
        </w:rPr>
        <w:t>the </w:t>
      </w:r>
      <w:r>
        <w:rPr>
          <w:spacing w:val="-3"/>
          <w:sz w:val="24"/>
        </w:rPr>
        <w:t>last </w:t>
      </w:r>
      <w:r>
        <w:rPr>
          <w:sz w:val="24"/>
        </w:rPr>
        <w:t>two </w:t>
      </w:r>
      <w:r>
        <w:rPr>
          <w:spacing w:val="-3"/>
          <w:sz w:val="24"/>
        </w:rPr>
        <w:t>years, during which </w:t>
      </w:r>
      <w:r>
        <w:rPr>
          <w:sz w:val="24"/>
        </w:rPr>
        <w:t>the </w:t>
      </w:r>
      <w:r>
        <w:rPr>
          <w:spacing w:val="-3"/>
          <w:sz w:val="24"/>
        </w:rPr>
        <w:t>economy </w:t>
      </w:r>
      <w:r>
        <w:rPr>
          <w:sz w:val="24"/>
        </w:rPr>
        <w:t>had </w:t>
      </w:r>
      <w:r>
        <w:rPr>
          <w:spacing w:val="-3"/>
          <w:sz w:val="24"/>
        </w:rPr>
        <w:t>been </w:t>
      </w:r>
      <w:r>
        <w:rPr>
          <w:sz w:val="24"/>
        </w:rPr>
        <w:t>in a </w:t>
      </w:r>
      <w:r>
        <w:rPr>
          <w:spacing w:val="-3"/>
          <w:sz w:val="24"/>
        </w:rPr>
        <w:t>cyclical upswing.  Some members </w:t>
      </w:r>
      <w:r>
        <w:rPr>
          <w:sz w:val="24"/>
        </w:rPr>
        <w:t>thought that the manufacturing output figures would be revised upwards. To the extent that higher output</w:t>
      </w:r>
      <w:r>
        <w:rPr>
          <w:spacing w:val="-11"/>
          <w:sz w:val="24"/>
        </w:rPr>
        <w:t> </w:t>
      </w:r>
      <w:r>
        <w:rPr>
          <w:sz w:val="24"/>
        </w:rPr>
        <w:t>reflected</w:t>
      </w:r>
      <w:r>
        <w:rPr>
          <w:spacing w:val="-10"/>
          <w:sz w:val="24"/>
        </w:rPr>
        <w:t> </w:t>
      </w:r>
      <w:r>
        <w:rPr>
          <w:sz w:val="24"/>
        </w:rPr>
        <w:t>higher</w:t>
      </w:r>
      <w:r>
        <w:rPr>
          <w:spacing w:val="-10"/>
          <w:sz w:val="24"/>
        </w:rPr>
        <w:t> </w:t>
      </w:r>
      <w:r>
        <w:rPr>
          <w:sz w:val="24"/>
        </w:rPr>
        <w:t>productivity</w:t>
      </w:r>
      <w:r>
        <w:rPr>
          <w:spacing w:val="-10"/>
          <w:sz w:val="24"/>
        </w:rPr>
        <w:t> </w:t>
      </w:r>
      <w:r>
        <w:rPr>
          <w:sz w:val="24"/>
        </w:rPr>
        <w:t>and</w:t>
      </w:r>
      <w:r>
        <w:rPr>
          <w:spacing w:val="-10"/>
          <w:sz w:val="24"/>
        </w:rPr>
        <w:t> </w:t>
      </w:r>
      <w:r>
        <w:rPr>
          <w:sz w:val="24"/>
        </w:rPr>
        <w:t>higher</w:t>
      </w:r>
      <w:r>
        <w:rPr>
          <w:spacing w:val="-10"/>
          <w:sz w:val="24"/>
        </w:rPr>
        <w:t> </w:t>
      </w:r>
      <w:r>
        <w:rPr>
          <w:sz w:val="24"/>
        </w:rPr>
        <w:t>capacity</w:t>
      </w:r>
      <w:r>
        <w:rPr>
          <w:spacing w:val="-10"/>
          <w:sz w:val="24"/>
        </w:rPr>
        <w:t> </w:t>
      </w:r>
      <w:r>
        <w:rPr>
          <w:sz w:val="24"/>
        </w:rPr>
        <w:t>output</w:t>
      </w:r>
      <w:r>
        <w:rPr>
          <w:spacing w:val="-10"/>
          <w:sz w:val="24"/>
        </w:rPr>
        <w:t> </w:t>
      </w:r>
      <w:r>
        <w:rPr>
          <w:sz w:val="24"/>
        </w:rPr>
        <w:t>this</w:t>
      </w:r>
      <w:r>
        <w:rPr>
          <w:spacing w:val="-10"/>
          <w:sz w:val="24"/>
        </w:rPr>
        <w:t> </w:t>
      </w:r>
      <w:r>
        <w:rPr>
          <w:sz w:val="24"/>
        </w:rPr>
        <w:t>would</w:t>
      </w:r>
      <w:r>
        <w:rPr>
          <w:spacing w:val="-10"/>
          <w:sz w:val="24"/>
        </w:rPr>
        <w:t> </w:t>
      </w:r>
      <w:r>
        <w:rPr>
          <w:sz w:val="24"/>
        </w:rPr>
        <w:t>not</w:t>
      </w:r>
      <w:r>
        <w:rPr>
          <w:spacing w:val="-10"/>
          <w:sz w:val="24"/>
        </w:rPr>
        <w:t> </w:t>
      </w:r>
      <w:r>
        <w:rPr>
          <w:sz w:val="24"/>
        </w:rPr>
        <w:t>necessarily</w:t>
      </w:r>
      <w:r>
        <w:rPr>
          <w:spacing w:val="-10"/>
          <w:sz w:val="24"/>
        </w:rPr>
        <w:t> </w:t>
      </w:r>
      <w:r>
        <w:rPr>
          <w:sz w:val="24"/>
        </w:rPr>
        <w:t>imply</w:t>
      </w:r>
      <w:r>
        <w:rPr>
          <w:spacing w:val="-10"/>
          <w:sz w:val="24"/>
        </w:rPr>
        <w:t> </w:t>
      </w:r>
      <w:r>
        <w:rPr>
          <w:sz w:val="24"/>
        </w:rPr>
        <w:t>that there was more pressure on productive capacity than currently thought.</w:t>
      </w:r>
    </w:p>
    <w:p>
      <w:pPr>
        <w:pStyle w:val="BodyText"/>
        <w:rPr>
          <w:sz w:val="32"/>
        </w:rPr>
      </w:pPr>
    </w:p>
    <w:p>
      <w:pPr>
        <w:pStyle w:val="ListParagraph"/>
        <w:numPr>
          <w:ilvl w:val="0"/>
          <w:numId w:val="1"/>
        </w:numPr>
        <w:tabs>
          <w:tab w:pos="584" w:val="left" w:leader="none"/>
        </w:tabs>
        <w:spacing w:line="321" w:lineRule="auto" w:before="0" w:after="0"/>
        <w:ind w:left="277" w:right="281" w:firstLine="0"/>
        <w:jc w:val="left"/>
        <w:rPr>
          <w:sz w:val="24"/>
        </w:rPr>
      </w:pPr>
      <w:r>
        <w:rPr>
          <w:sz w:val="24"/>
        </w:rPr>
        <w:t>Second, the depreciation of the exchange rate since its peak in late July would have relieved part of the pressure on exporters’ margins. Moreover, it might have encouraged exporters to believe that the earlier appreciation was partly transitory, and thus to persist in selling at unattractive margins to maintain their presence in overseas markets. The Committee considered whether recent reports that the United Kingdom was more likely to join EMU would have encouraged exporters further, by reducing uncertainty about future exchange</w:t>
      </w:r>
      <w:r>
        <w:rPr>
          <w:spacing w:val="2"/>
          <w:sz w:val="24"/>
        </w:rPr>
        <w:t> </w:t>
      </w:r>
      <w:r>
        <w:rPr>
          <w:sz w:val="24"/>
        </w:rPr>
        <w:t>rates.</w:t>
      </w:r>
    </w:p>
    <w:p>
      <w:pPr>
        <w:pStyle w:val="BodyText"/>
        <w:rPr>
          <w:sz w:val="32"/>
        </w:rPr>
      </w:pPr>
    </w:p>
    <w:p>
      <w:pPr>
        <w:pStyle w:val="ListParagraph"/>
        <w:numPr>
          <w:ilvl w:val="0"/>
          <w:numId w:val="1"/>
        </w:numPr>
        <w:tabs>
          <w:tab w:pos="584" w:val="left" w:leader="none"/>
        </w:tabs>
        <w:spacing w:line="321" w:lineRule="auto" w:before="1" w:after="0"/>
        <w:ind w:left="277" w:right="276" w:firstLine="0"/>
        <w:jc w:val="left"/>
        <w:rPr>
          <w:sz w:val="24"/>
        </w:rPr>
      </w:pPr>
      <w:r>
        <w:rPr>
          <w:sz w:val="24"/>
        </w:rPr>
        <w:t>Third, it was possible that the effects of sterling appreciation on net exports had simply been delayed.</w:t>
      </w:r>
      <w:r>
        <w:rPr>
          <w:spacing w:val="47"/>
          <w:sz w:val="24"/>
        </w:rPr>
        <w:t> </w:t>
      </w:r>
      <w:r>
        <w:rPr>
          <w:sz w:val="24"/>
        </w:rPr>
        <w:t>It</w:t>
      </w:r>
      <w:r>
        <w:rPr>
          <w:spacing w:val="-7"/>
          <w:sz w:val="24"/>
        </w:rPr>
        <w:t> </w:t>
      </w:r>
      <w:r>
        <w:rPr>
          <w:sz w:val="24"/>
        </w:rPr>
        <w:t>was</w:t>
      </w:r>
      <w:r>
        <w:rPr>
          <w:spacing w:val="-8"/>
          <w:sz w:val="24"/>
        </w:rPr>
        <w:t> </w:t>
      </w:r>
      <w:r>
        <w:rPr>
          <w:sz w:val="24"/>
        </w:rPr>
        <w:t>notoriously</w:t>
      </w:r>
      <w:r>
        <w:rPr>
          <w:spacing w:val="-7"/>
          <w:sz w:val="24"/>
        </w:rPr>
        <w:t> </w:t>
      </w:r>
      <w:r>
        <w:rPr>
          <w:sz w:val="24"/>
        </w:rPr>
        <w:t>difficult</w:t>
      </w:r>
      <w:r>
        <w:rPr>
          <w:spacing w:val="-7"/>
          <w:sz w:val="24"/>
        </w:rPr>
        <w:t> </w:t>
      </w:r>
      <w:r>
        <w:rPr>
          <w:sz w:val="24"/>
        </w:rPr>
        <w:t>to</w:t>
      </w:r>
      <w:r>
        <w:rPr>
          <w:spacing w:val="-8"/>
          <w:sz w:val="24"/>
        </w:rPr>
        <w:t> </w:t>
      </w:r>
      <w:r>
        <w:rPr>
          <w:sz w:val="24"/>
        </w:rPr>
        <w:t>predict</w:t>
      </w:r>
      <w:r>
        <w:rPr>
          <w:spacing w:val="-7"/>
          <w:sz w:val="24"/>
        </w:rPr>
        <w:t> </w:t>
      </w:r>
      <w:r>
        <w:rPr>
          <w:sz w:val="24"/>
        </w:rPr>
        <w:t>the</w:t>
      </w:r>
      <w:r>
        <w:rPr>
          <w:spacing w:val="-8"/>
          <w:sz w:val="24"/>
        </w:rPr>
        <w:t> </w:t>
      </w:r>
      <w:r>
        <w:rPr>
          <w:sz w:val="24"/>
        </w:rPr>
        <w:t>timing</w:t>
      </w:r>
      <w:r>
        <w:rPr>
          <w:spacing w:val="-7"/>
          <w:sz w:val="24"/>
        </w:rPr>
        <w:t> </w:t>
      </w:r>
      <w:r>
        <w:rPr>
          <w:sz w:val="24"/>
        </w:rPr>
        <w:t>of</w:t>
      </w:r>
      <w:r>
        <w:rPr>
          <w:spacing w:val="-8"/>
          <w:sz w:val="24"/>
        </w:rPr>
        <w:t> </w:t>
      </w:r>
      <w:r>
        <w:rPr>
          <w:sz w:val="24"/>
        </w:rPr>
        <w:t>peaks</w:t>
      </w:r>
      <w:r>
        <w:rPr>
          <w:spacing w:val="-7"/>
          <w:sz w:val="24"/>
        </w:rPr>
        <w:t> </w:t>
      </w:r>
      <w:r>
        <w:rPr>
          <w:sz w:val="24"/>
        </w:rPr>
        <w:t>in</w:t>
      </w:r>
      <w:r>
        <w:rPr>
          <w:spacing w:val="-7"/>
          <w:sz w:val="24"/>
        </w:rPr>
        <w:t> </w:t>
      </w:r>
      <w:r>
        <w:rPr>
          <w:sz w:val="24"/>
        </w:rPr>
        <w:t>economic</w:t>
      </w:r>
      <w:r>
        <w:rPr>
          <w:spacing w:val="-8"/>
          <w:sz w:val="24"/>
        </w:rPr>
        <w:t> </w:t>
      </w:r>
      <w:r>
        <w:rPr>
          <w:sz w:val="24"/>
        </w:rPr>
        <w:t>growth</w:t>
      </w:r>
      <w:r>
        <w:rPr>
          <w:spacing w:val="-7"/>
          <w:sz w:val="24"/>
        </w:rPr>
        <w:t> </w:t>
      </w:r>
      <w:r>
        <w:rPr>
          <w:sz w:val="24"/>
        </w:rPr>
        <w:t>rates,</w:t>
      </w:r>
      <w:r>
        <w:rPr>
          <w:spacing w:val="-8"/>
          <w:sz w:val="24"/>
        </w:rPr>
        <w:t> </w:t>
      </w:r>
      <w:r>
        <w:rPr>
          <w:sz w:val="24"/>
        </w:rPr>
        <w:t>and</w:t>
      </w:r>
      <w:r>
        <w:rPr>
          <w:spacing w:val="-7"/>
          <w:sz w:val="24"/>
        </w:rPr>
        <w:t> </w:t>
      </w:r>
      <w:r>
        <w:rPr>
          <w:spacing w:val="-2"/>
          <w:sz w:val="24"/>
        </w:rPr>
        <w:t>the </w:t>
      </w:r>
      <w:r>
        <w:rPr>
          <w:sz w:val="24"/>
        </w:rPr>
        <w:t>peak might come a little later than had been projected in the August </w:t>
      </w:r>
      <w:r>
        <w:rPr>
          <w:i/>
          <w:sz w:val="24"/>
        </w:rPr>
        <w:t>Inflation Report. </w:t>
      </w:r>
      <w:r>
        <w:rPr>
          <w:sz w:val="24"/>
        </w:rPr>
        <w:t>There were signs</w:t>
      </w:r>
      <w:r>
        <w:rPr>
          <w:spacing w:val="-9"/>
          <w:sz w:val="24"/>
        </w:rPr>
        <w:t> </w:t>
      </w:r>
      <w:r>
        <w:rPr>
          <w:sz w:val="24"/>
        </w:rPr>
        <w:t>in</w:t>
      </w:r>
      <w:r>
        <w:rPr>
          <w:spacing w:val="-8"/>
          <w:sz w:val="24"/>
        </w:rPr>
        <w:t> </w:t>
      </w:r>
      <w:r>
        <w:rPr>
          <w:sz w:val="24"/>
        </w:rPr>
        <w:t>business</w:t>
      </w:r>
      <w:r>
        <w:rPr>
          <w:spacing w:val="-8"/>
          <w:sz w:val="24"/>
        </w:rPr>
        <w:t> </w:t>
      </w:r>
      <w:r>
        <w:rPr>
          <w:sz w:val="24"/>
        </w:rPr>
        <w:t>surveys</w:t>
      </w:r>
      <w:r>
        <w:rPr>
          <w:spacing w:val="-9"/>
          <w:sz w:val="24"/>
        </w:rPr>
        <w:t> </w:t>
      </w:r>
      <w:r>
        <w:rPr>
          <w:sz w:val="24"/>
        </w:rPr>
        <w:t>that</w:t>
      </w:r>
      <w:r>
        <w:rPr>
          <w:spacing w:val="-8"/>
          <w:sz w:val="24"/>
        </w:rPr>
        <w:t> </w:t>
      </w:r>
      <w:r>
        <w:rPr>
          <w:sz w:val="24"/>
        </w:rPr>
        <w:t>growth</w:t>
      </w:r>
      <w:r>
        <w:rPr>
          <w:spacing w:val="-8"/>
          <w:sz w:val="24"/>
        </w:rPr>
        <w:t> </w:t>
      </w:r>
      <w:r>
        <w:rPr>
          <w:sz w:val="24"/>
        </w:rPr>
        <w:t>might</w:t>
      </w:r>
      <w:r>
        <w:rPr>
          <w:spacing w:val="-9"/>
          <w:sz w:val="24"/>
        </w:rPr>
        <w:t> </w:t>
      </w:r>
      <w:r>
        <w:rPr>
          <w:sz w:val="24"/>
        </w:rPr>
        <w:t>now</w:t>
      </w:r>
      <w:r>
        <w:rPr>
          <w:spacing w:val="-8"/>
          <w:sz w:val="24"/>
        </w:rPr>
        <w:t> </w:t>
      </w:r>
      <w:r>
        <w:rPr>
          <w:sz w:val="24"/>
        </w:rPr>
        <w:t>be</w:t>
      </w:r>
      <w:r>
        <w:rPr>
          <w:spacing w:val="-8"/>
          <w:sz w:val="24"/>
        </w:rPr>
        <w:t> </w:t>
      </w:r>
      <w:r>
        <w:rPr>
          <w:sz w:val="24"/>
        </w:rPr>
        <w:t>slowing</w:t>
      </w:r>
      <w:r>
        <w:rPr>
          <w:spacing w:val="-8"/>
          <w:sz w:val="24"/>
        </w:rPr>
        <w:t> </w:t>
      </w:r>
      <w:r>
        <w:rPr>
          <w:sz w:val="24"/>
        </w:rPr>
        <w:t>and</w:t>
      </w:r>
      <w:r>
        <w:rPr>
          <w:spacing w:val="-9"/>
          <w:sz w:val="24"/>
        </w:rPr>
        <w:t> </w:t>
      </w:r>
      <w:r>
        <w:rPr>
          <w:sz w:val="24"/>
        </w:rPr>
        <w:t>important</w:t>
      </w:r>
      <w:r>
        <w:rPr>
          <w:spacing w:val="-8"/>
          <w:sz w:val="24"/>
        </w:rPr>
        <w:t> </w:t>
      </w:r>
      <w:r>
        <w:rPr>
          <w:sz w:val="24"/>
        </w:rPr>
        <w:t>questions</w:t>
      </w:r>
      <w:r>
        <w:rPr>
          <w:spacing w:val="-8"/>
          <w:sz w:val="24"/>
        </w:rPr>
        <w:t> </w:t>
      </w:r>
      <w:r>
        <w:rPr>
          <w:sz w:val="24"/>
        </w:rPr>
        <w:t>for</w:t>
      </w:r>
      <w:r>
        <w:rPr>
          <w:spacing w:val="-9"/>
          <w:sz w:val="24"/>
        </w:rPr>
        <w:t> </w:t>
      </w:r>
      <w:r>
        <w:rPr>
          <w:sz w:val="24"/>
        </w:rPr>
        <w:t>policy</w:t>
      </w:r>
      <w:r>
        <w:rPr>
          <w:spacing w:val="-8"/>
          <w:sz w:val="24"/>
        </w:rPr>
        <w:t> </w:t>
      </w:r>
      <w:r>
        <w:rPr>
          <w:sz w:val="24"/>
        </w:rPr>
        <w:t>were whether</w:t>
      </w:r>
      <w:r>
        <w:rPr>
          <w:spacing w:val="-7"/>
          <w:sz w:val="24"/>
        </w:rPr>
        <w:t> </w:t>
      </w:r>
      <w:r>
        <w:rPr>
          <w:sz w:val="24"/>
        </w:rPr>
        <w:t>the</w:t>
      </w:r>
      <w:r>
        <w:rPr>
          <w:spacing w:val="-6"/>
          <w:sz w:val="24"/>
        </w:rPr>
        <w:t> </w:t>
      </w:r>
      <w:r>
        <w:rPr>
          <w:sz w:val="24"/>
        </w:rPr>
        <w:t>labour</w:t>
      </w:r>
      <w:r>
        <w:rPr>
          <w:spacing w:val="-7"/>
          <w:sz w:val="24"/>
        </w:rPr>
        <w:t> </w:t>
      </w:r>
      <w:r>
        <w:rPr>
          <w:sz w:val="24"/>
        </w:rPr>
        <w:t>market</w:t>
      </w:r>
      <w:r>
        <w:rPr>
          <w:spacing w:val="-6"/>
          <w:sz w:val="24"/>
        </w:rPr>
        <w:t> </w:t>
      </w:r>
      <w:r>
        <w:rPr>
          <w:sz w:val="24"/>
        </w:rPr>
        <w:t>was</w:t>
      </w:r>
      <w:r>
        <w:rPr>
          <w:spacing w:val="-6"/>
          <w:sz w:val="24"/>
        </w:rPr>
        <w:t> </w:t>
      </w:r>
      <w:r>
        <w:rPr>
          <w:sz w:val="24"/>
        </w:rPr>
        <w:t>at</w:t>
      </w:r>
      <w:r>
        <w:rPr>
          <w:spacing w:val="-7"/>
          <w:sz w:val="24"/>
        </w:rPr>
        <w:t> </w:t>
      </w:r>
      <w:r>
        <w:rPr>
          <w:sz w:val="24"/>
        </w:rPr>
        <w:t>the</w:t>
      </w:r>
      <w:r>
        <w:rPr>
          <w:spacing w:val="-6"/>
          <w:sz w:val="24"/>
        </w:rPr>
        <w:t> </w:t>
      </w:r>
      <w:r>
        <w:rPr>
          <w:sz w:val="24"/>
        </w:rPr>
        <w:t>point</w:t>
      </w:r>
      <w:r>
        <w:rPr>
          <w:spacing w:val="-7"/>
          <w:sz w:val="24"/>
        </w:rPr>
        <w:t> </w:t>
      </w:r>
      <w:r>
        <w:rPr>
          <w:sz w:val="24"/>
        </w:rPr>
        <w:t>at</w:t>
      </w:r>
      <w:r>
        <w:rPr>
          <w:spacing w:val="-6"/>
          <w:sz w:val="24"/>
        </w:rPr>
        <w:t> </w:t>
      </w:r>
      <w:r>
        <w:rPr>
          <w:sz w:val="24"/>
        </w:rPr>
        <w:t>which</w:t>
      </w:r>
      <w:r>
        <w:rPr>
          <w:spacing w:val="-6"/>
          <w:sz w:val="24"/>
        </w:rPr>
        <w:t> </w:t>
      </w:r>
      <w:r>
        <w:rPr>
          <w:sz w:val="24"/>
        </w:rPr>
        <w:t>earnings</w:t>
      </w:r>
      <w:r>
        <w:rPr>
          <w:spacing w:val="-7"/>
          <w:sz w:val="24"/>
        </w:rPr>
        <w:t> </w:t>
      </w:r>
      <w:r>
        <w:rPr>
          <w:sz w:val="24"/>
        </w:rPr>
        <w:t>would</w:t>
      </w:r>
      <w:r>
        <w:rPr>
          <w:spacing w:val="-6"/>
          <w:sz w:val="24"/>
        </w:rPr>
        <w:t> </w:t>
      </w:r>
      <w:r>
        <w:rPr>
          <w:sz w:val="24"/>
        </w:rPr>
        <w:t>begin</w:t>
      </w:r>
      <w:r>
        <w:rPr>
          <w:spacing w:val="-7"/>
          <w:sz w:val="24"/>
        </w:rPr>
        <w:t> </w:t>
      </w:r>
      <w:r>
        <w:rPr>
          <w:sz w:val="24"/>
        </w:rPr>
        <w:t>to</w:t>
      </w:r>
      <w:r>
        <w:rPr>
          <w:spacing w:val="-6"/>
          <w:sz w:val="24"/>
        </w:rPr>
        <w:t> </w:t>
      </w:r>
      <w:r>
        <w:rPr>
          <w:sz w:val="24"/>
        </w:rPr>
        <w:t>accelerate</w:t>
      </w:r>
      <w:r>
        <w:rPr>
          <w:spacing w:val="-6"/>
          <w:sz w:val="24"/>
        </w:rPr>
        <w:t> </w:t>
      </w:r>
      <w:r>
        <w:rPr>
          <w:sz w:val="24"/>
        </w:rPr>
        <w:t>and</w:t>
      </w:r>
      <w:r>
        <w:rPr>
          <w:spacing w:val="-7"/>
          <w:sz w:val="24"/>
        </w:rPr>
        <w:t> </w:t>
      </w:r>
      <w:r>
        <w:rPr>
          <w:sz w:val="24"/>
        </w:rPr>
        <w:t>whether the policy tightening that had taken place already would be enough to bring GDP growth back towards trend. If the peak in growth were to be later than in the </w:t>
      </w:r>
      <w:r>
        <w:rPr>
          <w:i/>
          <w:sz w:val="24"/>
        </w:rPr>
        <w:t>Inflation Report </w:t>
      </w:r>
      <w:r>
        <w:rPr>
          <w:sz w:val="24"/>
        </w:rPr>
        <w:t>projection, but the profile of growth after the peak were to be the same as in the projection, the level of output after the peak would be higher than in the projection by a constant amount. Inflation would be higher than in the projection, unless potential output was also higher than</w:t>
      </w:r>
      <w:r>
        <w:rPr>
          <w:spacing w:val="-7"/>
          <w:sz w:val="24"/>
        </w:rPr>
        <w:t> </w:t>
      </w:r>
      <w:r>
        <w:rPr>
          <w:sz w:val="24"/>
        </w:rPr>
        <w:t>assumed.</w:t>
      </w:r>
    </w:p>
    <w:p>
      <w:pPr>
        <w:pStyle w:val="BodyText"/>
        <w:spacing w:before="10"/>
        <w:rPr>
          <w:sz w:val="31"/>
        </w:rPr>
      </w:pPr>
    </w:p>
    <w:p>
      <w:pPr>
        <w:pStyle w:val="ListParagraph"/>
        <w:numPr>
          <w:ilvl w:val="0"/>
          <w:numId w:val="1"/>
        </w:numPr>
        <w:tabs>
          <w:tab w:pos="584" w:val="left" w:leader="none"/>
        </w:tabs>
        <w:spacing w:line="321" w:lineRule="auto" w:before="1" w:after="0"/>
        <w:ind w:left="277" w:right="363" w:firstLine="0"/>
        <w:jc w:val="left"/>
        <w:rPr>
          <w:sz w:val="24"/>
        </w:rPr>
      </w:pPr>
      <w:r>
        <w:rPr>
          <w:sz w:val="24"/>
        </w:rPr>
        <w:t>Fourth, it was possible that there had been a supply-side improvement in the non-price competitiveness</w:t>
      </w:r>
      <w:r>
        <w:rPr>
          <w:spacing w:val="-12"/>
          <w:sz w:val="24"/>
        </w:rPr>
        <w:t> </w:t>
      </w:r>
      <w:r>
        <w:rPr>
          <w:sz w:val="24"/>
        </w:rPr>
        <w:t>of</w:t>
      </w:r>
      <w:r>
        <w:rPr>
          <w:spacing w:val="-12"/>
          <w:sz w:val="24"/>
        </w:rPr>
        <w:t> </w:t>
      </w:r>
      <w:r>
        <w:rPr>
          <w:sz w:val="24"/>
        </w:rPr>
        <w:t>internationally</w:t>
      </w:r>
      <w:r>
        <w:rPr>
          <w:spacing w:val="-12"/>
          <w:sz w:val="24"/>
        </w:rPr>
        <w:t> </w:t>
      </w:r>
      <w:r>
        <w:rPr>
          <w:sz w:val="24"/>
        </w:rPr>
        <w:t>tradeable</w:t>
      </w:r>
      <w:r>
        <w:rPr>
          <w:spacing w:val="-11"/>
          <w:sz w:val="24"/>
        </w:rPr>
        <w:t> </w:t>
      </w:r>
      <w:r>
        <w:rPr>
          <w:sz w:val="24"/>
        </w:rPr>
        <w:t>goods</w:t>
      </w:r>
      <w:r>
        <w:rPr>
          <w:spacing w:val="-12"/>
          <w:sz w:val="24"/>
        </w:rPr>
        <w:t> </w:t>
      </w:r>
      <w:r>
        <w:rPr>
          <w:sz w:val="24"/>
        </w:rPr>
        <w:t>and</w:t>
      </w:r>
      <w:r>
        <w:rPr>
          <w:spacing w:val="-12"/>
          <w:sz w:val="24"/>
        </w:rPr>
        <w:t> </w:t>
      </w:r>
      <w:r>
        <w:rPr>
          <w:sz w:val="24"/>
        </w:rPr>
        <w:t>services</w:t>
      </w:r>
      <w:r>
        <w:rPr>
          <w:spacing w:val="-12"/>
          <w:sz w:val="24"/>
        </w:rPr>
        <w:t> </w:t>
      </w:r>
      <w:r>
        <w:rPr>
          <w:sz w:val="24"/>
        </w:rPr>
        <w:t>produced</w:t>
      </w:r>
      <w:r>
        <w:rPr>
          <w:spacing w:val="-11"/>
          <w:sz w:val="24"/>
        </w:rPr>
        <w:t> </w:t>
      </w:r>
      <w:r>
        <w:rPr>
          <w:sz w:val="24"/>
        </w:rPr>
        <w:t>in</w:t>
      </w:r>
      <w:r>
        <w:rPr>
          <w:spacing w:val="-12"/>
          <w:sz w:val="24"/>
        </w:rPr>
        <w:t> </w:t>
      </w:r>
      <w:r>
        <w:rPr>
          <w:sz w:val="24"/>
        </w:rPr>
        <w:t>the</w:t>
      </w:r>
      <w:r>
        <w:rPr>
          <w:spacing w:val="-12"/>
          <w:sz w:val="24"/>
        </w:rPr>
        <w:t> </w:t>
      </w:r>
      <w:r>
        <w:rPr>
          <w:sz w:val="24"/>
        </w:rPr>
        <w:t>United</w:t>
      </w:r>
      <w:r>
        <w:rPr>
          <w:spacing w:val="-11"/>
          <w:sz w:val="24"/>
        </w:rPr>
        <w:t> </w:t>
      </w:r>
      <w:r>
        <w:rPr>
          <w:sz w:val="24"/>
        </w:rPr>
        <w:t>Kingdom,</w:t>
      </w:r>
      <w:r>
        <w:rPr>
          <w:spacing w:val="-12"/>
          <w:sz w:val="24"/>
        </w:rPr>
        <w:t> </w:t>
      </w:r>
      <w:r>
        <w:rPr>
          <w:sz w:val="24"/>
        </w:rPr>
        <w:t>or that the relevant price elasticities were smaller than had been thought, so that the long-run effect of the appreciation on net exports would be smaller than had been</w:t>
      </w:r>
      <w:r>
        <w:rPr>
          <w:spacing w:val="-11"/>
          <w:sz w:val="24"/>
        </w:rPr>
        <w:t> </w:t>
      </w:r>
      <w:r>
        <w:rPr>
          <w:sz w:val="24"/>
        </w:rPr>
        <w:t>projected.</w:t>
      </w:r>
    </w:p>
    <w:p>
      <w:pPr>
        <w:pStyle w:val="BodyText"/>
        <w:rPr>
          <w:sz w:val="32"/>
        </w:rPr>
      </w:pPr>
    </w:p>
    <w:p>
      <w:pPr>
        <w:pStyle w:val="ListParagraph"/>
        <w:numPr>
          <w:ilvl w:val="0"/>
          <w:numId w:val="1"/>
        </w:numPr>
        <w:tabs>
          <w:tab w:pos="584" w:val="left" w:leader="none"/>
        </w:tabs>
        <w:spacing w:line="321" w:lineRule="auto" w:before="0" w:after="0"/>
        <w:ind w:left="277" w:right="511" w:firstLine="0"/>
        <w:jc w:val="both"/>
        <w:rPr>
          <w:sz w:val="24"/>
        </w:rPr>
      </w:pPr>
      <w:r>
        <w:rPr>
          <w:sz w:val="24"/>
        </w:rPr>
        <w:t>Taken</w:t>
      </w:r>
      <w:r>
        <w:rPr>
          <w:spacing w:val="-4"/>
          <w:sz w:val="24"/>
        </w:rPr>
        <w:t> </w:t>
      </w:r>
      <w:r>
        <w:rPr>
          <w:sz w:val="24"/>
        </w:rPr>
        <w:t>as</w:t>
      </w:r>
      <w:r>
        <w:rPr>
          <w:spacing w:val="-3"/>
          <w:sz w:val="24"/>
        </w:rPr>
        <w:t> </w:t>
      </w:r>
      <w:r>
        <w:rPr>
          <w:sz w:val="24"/>
        </w:rPr>
        <w:t>a</w:t>
      </w:r>
      <w:r>
        <w:rPr>
          <w:spacing w:val="-3"/>
          <w:sz w:val="24"/>
        </w:rPr>
        <w:t> </w:t>
      </w:r>
      <w:r>
        <w:rPr>
          <w:sz w:val="24"/>
        </w:rPr>
        <w:t>whole,</w:t>
      </w:r>
      <w:r>
        <w:rPr>
          <w:spacing w:val="-3"/>
          <w:sz w:val="24"/>
        </w:rPr>
        <w:t> </w:t>
      </w:r>
      <w:r>
        <w:rPr>
          <w:sz w:val="24"/>
        </w:rPr>
        <w:t>the</w:t>
      </w:r>
      <w:r>
        <w:rPr>
          <w:spacing w:val="-3"/>
          <w:sz w:val="24"/>
        </w:rPr>
        <w:t> </w:t>
      </w:r>
      <w:r>
        <w:rPr>
          <w:sz w:val="24"/>
        </w:rPr>
        <w:t>evidence</w:t>
      </w:r>
      <w:r>
        <w:rPr>
          <w:spacing w:val="-3"/>
          <w:sz w:val="24"/>
        </w:rPr>
        <w:t> </w:t>
      </w:r>
      <w:r>
        <w:rPr>
          <w:sz w:val="24"/>
        </w:rPr>
        <w:t>suggested</w:t>
      </w:r>
      <w:r>
        <w:rPr>
          <w:spacing w:val="-4"/>
          <w:sz w:val="24"/>
        </w:rPr>
        <w:t> </w:t>
      </w:r>
      <w:r>
        <w:rPr>
          <w:sz w:val="24"/>
        </w:rPr>
        <w:t>that</w:t>
      </w:r>
      <w:r>
        <w:rPr>
          <w:spacing w:val="-3"/>
          <w:sz w:val="24"/>
        </w:rPr>
        <w:t> </w:t>
      </w:r>
      <w:r>
        <w:rPr>
          <w:sz w:val="24"/>
        </w:rPr>
        <w:t>net</w:t>
      </w:r>
      <w:r>
        <w:rPr>
          <w:spacing w:val="-3"/>
          <w:sz w:val="24"/>
        </w:rPr>
        <w:t> </w:t>
      </w:r>
      <w:r>
        <w:rPr>
          <w:sz w:val="24"/>
        </w:rPr>
        <w:t>exports</w:t>
      </w:r>
      <w:r>
        <w:rPr>
          <w:spacing w:val="-3"/>
          <w:sz w:val="24"/>
        </w:rPr>
        <w:t> </w:t>
      </w:r>
      <w:r>
        <w:rPr>
          <w:sz w:val="24"/>
        </w:rPr>
        <w:t>could</w:t>
      </w:r>
      <w:r>
        <w:rPr>
          <w:spacing w:val="-3"/>
          <w:sz w:val="24"/>
        </w:rPr>
        <w:t> </w:t>
      </w:r>
      <w:r>
        <w:rPr>
          <w:sz w:val="24"/>
        </w:rPr>
        <w:t>remain</w:t>
      </w:r>
      <w:r>
        <w:rPr>
          <w:spacing w:val="-3"/>
          <w:sz w:val="24"/>
        </w:rPr>
        <w:t> </w:t>
      </w:r>
      <w:r>
        <w:rPr>
          <w:sz w:val="24"/>
        </w:rPr>
        <w:t>stronger</w:t>
      </w:r>
      <w:r>
        <w:rPr>
          <w:spacing w:val="-3"/>
          <w:sz w:val="24"/>
        </w:rPr>
        <w:t> </w:t>
      </w:r>
      <w:r>
        <w:rPr>
          <w:sz w:val="24"/>
        </w:rPr>
        <w:t>than</w:t>
      </w:r>
      <w:r>
        <w:rPr>
          <w:spacing w:val="-4"/>
          <w:sz w:val="24"/>
        </w:rPr>
        <w:t> </w:t>
      </w:r>
      <w:r>
        <w:rPr>
          <w:sz w:val="24"/>
        </w:rPr>
        <w:t>had</w:t>
      </w:r>
      <w:r>
        <w:rPr>
          <w:spacing w:val="-3"/>
          <w:sz w:val="24"/>
        </w:rPr>
        <w:t> </w:t>
      </w:r>
      <w:r>
        <w:rPr>
          <w:sz w:val="24"/>
        </w:rPr>
        <w:t>been projected</w:t>
      </w:r>
      <w:r>
        <w:rPr>
          <w:spacing w:val="-6"/>
          <w:sz w:val="24"/>
        </w:rPr>
        <w:t> </w:t>
      </w:r>
      <w:r>
        <w:rPr>
          <w:sz w:val="24"/>
        </w:rPr>
        <w:t>in</w:t>
      </w:r>
      <w:r>
        <w:rPr>
          <w:spacing w:val="-6"/>
          <w:sz w:val="24"/>
        </w:rPr>
        <w:t> </w:t>
      </w:r>
      <w:r>
        <w:rPr>
          <w:sz w:val="24"/>
        </w:rPr>
        <w:t>August,</w:t>
      </w:r>
      <w:r>
        <w:rPr>
          <w:spacing w:val="-6"/>
          <w:sz w:val="24"/>
        </w:rPr>
        <w:t> </w:t>
      </w:r>
      <w:r>
        <w:rPr>
          <w:sz w:val="24"/>
        </w:rPr>
        <w:t>and</w:t>
      </w:r>
      <w:r>
        <w:rPr>
          <w:spacing w:val="-6"/>
          <w:sz w:val="24"/>
        </w:rPr>
        <w:t> </w:t>
      </w:r>
      <w:r>
        <w:rPr>
          <w:sz w:val="24"/>
        </w:rPr>
        <w:t>the</w:t>
      </w:r>
      <w:r>
        <w:rPr>
          <w:spacing w:val="-6"/>
          <w:sz w:val="24"/>
        </w:rPr>
        <w:t> </w:t>
      </w:r>
      <w:r>
        <w:rPr>
          <w:sz w:val="24"/>
        </w:rPr>
        <w:t>net</w:t>
      </w:r>
      <w:r>
        <w:rPr>
          <w:spacing w:val="-6"/>
          <w:sz w:val="24"/>
        </w:rPr>
        <w:t> </w:t>
      </w:r>
      <w:r>
        <w:rPr>
          <w:sz w:val="24"/>
        </w:rPr>
        <w:t>effect</w:t>
      </w:r>
      <w:r>
        <w:rPr>
          <w:spacing w:val="-6"/>
          <w:sz w:val="24"/>
        </w:rPr>
        <w:t> </w:t>
      </w:r>
      <w:r>
        <w:rPr>
          <w:sz w:val="24"/>
        </w:rPr>
        <w:t>of</w:t>
      </w:r>
      <w:r>
        <w:rPr>
          <w:spacing w:val="-5"/>
          <w:sz w:val="24"/>
        </w:rPr>
        <w:t> </w:t>
      </w:r>
      <w:r>
        <w:rPr>
          <w:sz w:val="24"/>
        </w:rPr>
        <w:t>this</w:t>
      </w:r>
      <w:r>
        <w:rPr>
          <w:spacing w:val="-6"/>
          <w:sz w:val="24"/>
        </w:rPr>
        <w:t> </w:t>
      </w:r>
      <w:r>
        <w:rPr>
          <w:sz w:val="24"/>
        </w:rPr>
        <w:t>on</w:t>
      </w:r>
      <w:r>
        <w:rPr>
          <w:spacing w:val="-6"/>
          <w:sz w:val="24"/>
        </w:rPr>
        <w:t> </w:t>
      </w:r>
      <w:r>
        <w:rPr>
          <w:sz w:val="24"/>
        </w:rPr>
        <w:t>total</w:t>
      </w:r>
      <w:r>
        <w:rPr>
          <w:spacing w:val="-6"/>
          <w:sz w:val="24"/>
        </w:rPr>
        <w:t> </w:t>
      </w:r>
      <w:r>
        <w:rPr>
          <w:sz w:val="24"/>
        </w:rPr>
        <w:t>demand</w:t>
      </w:r>
      <w:r>
        <w:rPr>
          <w:spacing w:val="-6"/>
          <w:sz w:val="24"/>
        </w:rPr>
        <w:t> </w:t>
      </w:r>
      <w:r>
        <w:rPr>
          <w:sz w:val="24"/>
        </w:rPr>
        <w:t>and</w:t>
      </w:r>
      <w:r>
        <w:rPr>
          <w:spacing w:val="-6"/>
          <w:sz w:val="24"/>
        </w:rPr>
        <w:t> </w:t>
      </w:r>
      <w:r>
        <w:rPr>
          <w:sz w:val="24"/>
        </w:rPr>
        <w:t>hence</w:t>
      </w:r>
      <w:r>
        <w:rPr>
          <w:spacing w:val="-6"/>
          <w:sz w:val="24"/>
        </w:rPr>
        <w:t> </w:t>
      </w:r>
      <w:r>
        <w:rPr>
          <w:sz w:val="24"/>
        </w:rPr>
        <w:t>on</w:t>
      </w:r>
      <w:r>
        <w:rPr>
          <w:spacing w:val="-5"/>
          <w:sz w:val="24"/>
        </w:rPr>
        <w:t> </w:t>
      </w:r>
      <w:r>
        <w:rPr>
          <w:sz w:val="24"/>
        </w:rPr>
        <w:t>domestic</w:t>
      </w:r>
      <w:r>
        <w:rPr>
          <w:spacing w:val="-6"/>
          <w:sz w:val="24"/>
        </w:rPr>
        <w:t> </w:t>
      </w:r>
      <w:r>
        <w:rPr>
          <w:sz w:val="24"/>
        </w:rPr>
        <w:t>costs</w:t>
      </w:r>
      <w:r>
        <w:rPr>
          <w:spacing w:val="-6"/>
          <w:sz w:val="24"/>
        </w:rPr>
        <w:t> </w:t>
      </w:r>
      <w:r>
        <w:rPr>
          <w:sz w:val="24"/>
        </w:rPr>
        <w:t>would need to be carefully</w:t>
      </w:r>
      <w:r>
        <w:rPr>
          <w:spacing w:val="-2"/>
          <w:sz w:val="24"/>
        </w:rPr>
        <w:t> </w:t>
      </w:r>
      <w:r>
        <w:rPr>
          <w:sz w:val="24"/>
        </w:rPr>
        <w:t>watched.</w:t>
      </w:r>
    </w:p>
    <w:p>
      <w:pPr>
        <w:spacing w:after="0" w:line="321" w:lineRule="auto"/>
        <w:jc w:val="both"/>
        <w:rPr>
          <w:sz w:val="24"/>
        </w:rPr>
        <w:sectPr>
          <w:headerReference w:type="default" r:id="rId6"/>
          <w:pgSz w:w="11900" w:h="16840"/>
          <w:pgMar w:header="719" w:footer="0" w:top="1260" w:bottom="280" w:left="860" w:right="880"/>
          <w:pgNumType w:start="2"/>
        </w:sectPr>
      </w:pPr>
    </w:p>
    <w:p>
      <w:pPr>
        <w:pStyle w:val="BodyText"/>
        <w:rPr>
          <w:sz w:val="20"/>
        </w:rPr>
      </w:pPr>
    </w:p>
    <w:p>
      <w:pPr>
        <w:pStyle w:val="BodyText"/>
        <w:spacing w:before="7"/>
        <w:rPr>
          <w:sz w:val="20"/>
        </w:rPr>
      </w:pPr>
    </w:p>
    <w:p>
      <w:pPr>
        <w:pStyle w:val="Heading1"/>
        <w:spacing w:before="90"/>
      </w:pPr>
      <w:r>
        <w:rPr/>
        <w:t>Labour market</w:t>
      </w:r>
    </w:p>
    <w:p>
      <w:pPr>
        <w:pStyle w:val="BodyText"/>
        <w:rPr>
          <w:b/>
          <w:sz w:val="26"/>
        </w:rPr>
      </w:pPr>
    </w:p>
    <w:p>
      <w:pPr>
        <w:pStyle w:val="ListParagraph"/>
        <w:numPr>
          <w:ilvl w:val="0"/>
          <w:numId w:val="1"/>
        </w:numPr>
        <w:tabs>
          <w:tab w:pos="701" w:val="left" w:leader="none"/>
        </w:tabs>
        <w:spacing w:line="321" w:lineRule="auto" w:before="160" w:after="0"/>
        <w:ind w:left="277" w:right="291" w:firstLine="0"/>
        <w:jc w:val="left"/>
        <w:rPr>
          <w:sz w:val="24"/>
        </w:rPr>
      </w:pPr>
      <w:r>
        <w:rPr>
          <w:sz w:val="24"/>
        </w:rPr>
        <w:t>The </w:t>
      </w:r>
      <w:r>
        <w:rPr>
          <w:spacing w:val="-3"/>
          <w:sz w:val="24"/>
        </w:rPr>
        <w:t>tightening </w:t>
      </w:r>
      <w:r>
        <w:rPr>
          <w:sz w:val="24"/>
        </w:rPr>
        <w:t>of the </w:t>
      </w:r>
      <w:r>
        <w:rPr>
          <w:spacing w:val="-3"/>
          <w:sz w:val="24"/>
        </w:rPr>
        <w:t>labour market </w:t>
      </w:r>
      <w:r>
        <w:rPr>
          <w:sz w:val="24"/>
        </w:rPr>
        <w:t>had </w:t>
      </w:r>
      <w:r>
        <w:rPr>
          <w:spacing w:val="-3"/>
          <w:sz w:val="24"/>
        </w:rPr>
        <w:t>continued, </w:t>
      </w:r>
      <w:r>
        <w:rPr>
          <w:sz w:val="24"/>
        </w:rPr>
        <w:t>and the </w:t>
      </w:r>
      <w:r>
        <w:rPr>
          <w:spacing w:val="-3"/>
          <w:sz w:val="24"/>
        </w:rPr>
        <w:t>fall </w:t>
      </w:r>
      <w:r>
        <w:rPr>
          <w:sz w:val="24"/>
        </w:rPr>
        <w:t>in </w:t>
      </w:r>
      <w:r>
        <w:rPr>
          <w:spacing w:val="-3"/>
          <w:sz w:val="24"/>
        </w:rPr>
        <w:t>claimant unemployment of </w:t>
      </w:r>
      <w:r>
        <w:rPr>
          <w:sz w:val="24"/>
        </w:rPr>
        <w:t>49,000 in August had been higher than the staff estimate of the trend fall of 25,000-30,000 a </w:t>
      </w:r>
      <w:r>
        <w:rPr>
          <w:spacing w:val="-2"/>
          <w:sz w:val="24"/>
        </w:rPr>
        <w:t>month. </w:t>
      </w:r>
      <w:r>
        <w:rPr>
          <w:sz w:val="24"/>
        </w:rPr>
        <w:t>According to the most recent Labour Force Survey, short-term unemployment was at its lowest since the early 1980s. The inactivity rate, however, was not unusually low: the counterpart of </w:t>
      </w:r>
      <w:r>
        <w:rPr>
          <w:spacing w:val="-2"/>
          <w:sz w:val="24"/>
        </w:rPr>
        <w:t>rising </w:t>
      </w:r>
      <w:r>
        <w:rPr>
          <w:spacing w:val="-3"/>
          <w:sz w:val="24"/>
        </w:rPr>
        <w:t>employment during this recovery </w:t>
      </w:r>
      <w:r>
        <w:rPr>
          <w:sz w:val="24"/>
        </w:rPr>
        <w:t>had </w:t>
      </w:r>
      <w:r>
        <w:rPr>
          <w:spacing w:val="-3"/>
          <w:sz w:val="24"/>
        </w:rPr>
        <w:t>been falling unemployment rather than </w:t>
      </w:r>
      <w:r>
        <w:rPr>
          <w:sz w:val="24"/>
        </w:rPr>
        <w:t>a </w:t>
      </w:r>
      <w:r>
        <w:rPr>
          <w:spacing w:val="-3"/>
          <w:sz w:val="24"/>
        </w:rPr>
        <w:t>falling inactivity rate, </w:t>
      </w:r>
      <w:r>
        <w:rPr>
          <w:sz w:val="24"/>
        </w:rPr>
        <w:t>and </w:t>
      </w:r>
      <w:r>
        <w:rPr>
          <w:spacing w:val="-3"/>
          <w:sz w:val="24"/>
        </w:rPr>
        <w:t>total employment </w:t>
      </w:r>
      <w:r>
        <w:rPr>
          <w:sz w:val="24"/>
        </w:rPr>
        <w:t>was </w:t>
      </w:r>
      <w:r>
        <w:rPr>
          <w:spacing w:val="-3"/>
          <w:sz w:val="24"/>
        </w:rPr>
        <w:t>still well below </w:t>
      </w:r>
      <w:r>
        <w:rPr>
          <w:sz w:val="24"/>
        </w:rPr>
        <w:t>its </w:t>
      </w:r>
      <w:r>
        <w:rPr>
          <w:spacing w:val="-3"/>
          <w:sz w:val="24"/>
        </w:rPr>
        <w:t>late-1980s levels. </w:t>
      </w:r>
      <w:r>
        <w:rPr>
          <w:sz w:val="24"/>
        </w:rPr>
        <w:t>The </w:t>
      </w:r>
      <w:r>
        <w:rPr>
          <w:spacing w:val="-3"/>
          <w:sz w:val="24"/>
        </w:rPr>
        <w:t>higher inactivity rate, </w:t>
      </w:r>
      <w:r>
        <w:rPr>
          <w:sz w:val="24"/>
        </w:rPr>
        <w:t>and </w:t>
      </w:r>
      <w:r>
        <w:rPr>
          <w:spacing w:val="-3"/>
          <w:sz w:val="24"/>
        </w:rPr>
        <w:t>its </w:t>
      </w:r>
      <w:r>
        <w:rPr>
          <w:sz w:val="24"/>
        </w:rPr>
        <w:t>persistence, might be a one-off consequence of the expansion of tertiary education. Indications of skill shortages were becoming more widespread. More information on the extent of labour </w:t>
      </w:r>
      <w:r>
        <w:rPr>
          <w:spacing w:val="-2"/>
          <w:sz w:val="24"/>
        </w:rPr>
        <w:t>market </w:t>
      </w:r>
      <w:r>
        <w:rPr>
          <w:sz w:val="24"/>
        </w:rPr>
        <w:t>tightening</w:t>
      </w:r>
      <w:r>
        <w:rPr>
          <w:spacing w:val="-9"/>
          <w:sz w:val="24"/>
        </w:rPr>
        <w:t> </w:t>
      </w:r>
      <w:r>
        <w:rPr>
          <w:sz w:val="24"/>
        </w:rPr>
        <w:t>would</w:t>
      </w:r>
      <w:r>
        <w:rPr>
          <w:spacing w:val="-9"/>
          <w:sz w:val="24"/>
        </w:rPr>
        <w:t> </w:t>
      </w:r>
      <w:r>
        <w:rPr>
          <w:sz w:val="24"/>
        </w:rPr>
        <w:t>be</w:t>
      </w:r>
      <w:r>
        <w:rPr>
          <w:spacing w:val="-9"/>
          <w:sz w:val="24"/>
        </w:rPr>
        <w:t> </w:t>
      </w:r>
      <w:r>
        <w:rPr>
          <w:sz w:val="24"/>
        </w:rPr>
        <w:t>provided</w:t>
      </w:r>
      <w:r>
        <w:rPr>
          <w:spacing w:val="-9"/>
          <w:sz w:val="24"/>
        </w:rPr>
        <w:t> </w:t>
      </w:r>
      <w:r>
        <w:rPr>
          <w:sz w:val="24"/>
        </w:rPr>
        <w:t>in</w:t>
      </w:r>
      <w:r>
        <w:rPr>
          <w:spacing w:val="-9"/>
          <w:sz w:val="24"/>
        </w:rPr>
        <w:t> </w:t>
      </w:r>
      <w:r>
        <w:rPr>
          <w:sz w:val="24"/>
        </w:rPr>
        <w:t>the</w:t>
      </w:r>
      <w:r>
        <w:rPr>
          <w:spacing w:val="-9"/>
          <w:sz w:val="24"/>
        </w:rPr>
        <w:t> </w:t>
      </w:r>
      <w:r>
        <w:rPr>
          <w:sz w:val="24"/>
        </w:rPr>
        <w:t>quarterly</w:t>
      </w:r>
      <w:r>
        <w:rPr>
          <w:spacing w:val="-9"/>
          <w:sz w:val="24"/>
        </w:rPr>
        <w:t> </w:t>
      </w:r>
      <w:r>
        <w:rPr>
          <w:sz w:val="24"/>
        </w:rPr>
        <w:t>Labour</w:t>
      </w:r>
      <w:r>
        <w:rPr>
          <w:spacing w:val="-9"/>
          <w:sz w:val="24"/>
        </w:rPr>
        <w:t> </w:t>
      </w:r>
      <w:r>
        <w:rPr>
          <w:sz w:val="24"/>
        </w:rPr>
        <w:t>Force</w:t>
      </w:r>
      <w:r>
        <w:rPr>
          <w:spacing w:val="-9"/>
          <w:sz w:val="24"/>
        </w:rPr>
        <w:t> </w:t>
      </w:r>
      <w:r>
        <w:rPr>
          <w:sz w:val="24"/>
        </w:rPr>
        <w:t>Survey,</w:t>
      </w:r>
      <w:r>
        <w:rPr>
          <w:spacing w:val="-9"/>
          <w:sz w:val="24"/>
        </w:rPr>
        <w:t> </w:t>
      </w:r>
      <w:r>
        <w:rPr>
          <w:sz w:val="24"/>
        </w:rPr>
        <w:t>which</w:t>
      </w:r>
      <w:r>
        <w:rPr>
          <w:spacing w:val="-9"/>
          <w:sz w:val="24"/>
        </w:rPr>
        <w:t> </w:t>
      </w:r>
      <w:r>
        <w:rPr>
          <w:sz w:val="24"/>
        </w:rPr>
        <w:t>would</w:t>
      </w:r>
      <w:r>
        <w:rPr>
          <w:spacing w:val="-8"/>
          <w:sz w:val="24"/>
        </w:rPr>
        <w:t> </w:t>
      </w:r>
      <w:r>
        <w:rPr>
          <w:sz w:val="24"/>
        </w:rPr>
        <w:t>be</w:t>
      </w:r>
      <w:r>
        <w:rPr>
          <w:spacing w:val="-9"/>
          <w:sz w:val="24"/>
        </w:rPr>
        <w:t> </w:t>
      </w:r>
      <w:r>
        <w:rPr>
          <w:sz w:val="24"/>
        </w:rPr>
        <w:t>available</w:t>
      </w:r>
      <w:r>
        <w:rPr>
          <w:spacing w:val="-9"/>
          <w:sz w:val="24"/>
        </w:rPr>
        <w:t> </w:t>
      </w:r>
      <w:r>
        <w:rPr>
          <w:spacing w:val="-2"/>
          <w:sz w:val="24"/>
        </w:rPr>
        <w:t>before </w:t>
      </w:r>
      <w:r>
        <w:rPr>
          <w:sz w:val="24"/>
        </w:rPr>
        <w:t>the Committee’s next</w:t>
      </w:r>
      <w:r>
        <w:rPr>
          <w:spacing w:val="-2"/>
          <w:sz w:val="24"/>
        </w:rPr>
        <w:t> </w:t>
      </w:r>
      <w:r>
        <w:rPr>
          <w:sz w:val="24"/>
        </w:rPr>
        <w:t>meeting.</w:t>
      </w:r>
    </w:p>
    <w:p>
      <w:pPr>
        <w:pStyle w:val="BodyText"/>
        <w:spacing w:before="11"/>
        <w:rPr>
          <w:sz w:val="31"/>
        </w:rPr>
      </w:pPr>
    </w:p>
    <w:p>
      <w:pPr>
        <w:pStyle w:val="ListParagraph"/>
        <w:numPr>
          <w:ilvl w:val="0"/>
          <w:numId w:val="1"/>
        </w:numPr>
        <w:tabs>
          <w:tab w:pos="703" w:val="left" w:leader="none"/>
        </w:tabs>
        <w:spacing w:line="321" w:lineRule="auto" w:before="0" w:after="0"/>
        <w:ind w:left="277" w:right="285" w:firstLine="0"/>
        <w:jc w:val="left"/>
        <w:rPr>
          <w:sz w:val="24"/>
        </w:rPr>
      </w:pPr>
      <w:r>
        <w:rPr>
          <w:sz w:val="24"/>
        </w:rPr>
        <w:t>Notwithstanding the tightening of the labour market, earnings growth had remained lower than projected in the August </w:t>
      </w:r>
      <w:r>
        <w:rPr>
          <w:i/>
          <w:sz w:val="24"/>
        </w:rPr>
        <w:t>Inflation Report</w:t>
      </w:r>
      <w:r>
        <w:rPr>
          <w:sz w:val="24"/>
        </w:rPr>
        <w:t>. The staff analysis had showed that the reported increase in underlying average earnings growth in July had been the result of bonus payments. Spreading these payments over the full year put underlying average earnings growth in the range 4 ¼ - 4 ½%; these calculations did not show any acceleration in earnings during the last few</w:t>
      </w:r>
      <w:r>
        <w:rPr>
          <w:spacing w:val="-33"/>
          <w:sz w:val="24"/>
        </w:rPr>
        <w:t> </w:t>
      </w:r>
      <w:r>
        <w:rPr>
          <w:sz w:val="24"/>
        </w:rPr>
        <w:t>months.</w:t>
      </w:r>
    </w:p>
    <w:p>
      <w:pPr>
        <w:pStyle w:val="BodyText"/>
        <w:rPr>
          <w:sz w:val="32"/>
        </w:rPr>
      </w:pPr>
    </w:p>
    <w:p>
      <w:pPr>
        <w:pStyle w:val="ListParagraph"/>
        <w:numPr>
          <w:ilvl w:val="0"/>
          <w:numId w:val="1"/>
        </w:numPr>
        <w:tabs>
          <w:tab w:pos="703" w:val="left" w:leader="none"/>
        </w:tabs>
        <w:spacing w:line="321" w:lineRule="auto" w:before="0" w:after="0"/>
        <w:ind w:left="277" w:right="252" w:firstLine="0"/>
        <w:jc w:val="left"/>
        <w:rPr>
          <w:sz w:val="24"/>
        </w:rPr>
      </w:pPr>
      <w:r>
        <w:rPr>
          <w:sz w:val="24"/>
        </w:rPr>
        <w:t>Members discussed the recent three-year pay settlement in the construction industry. It appeared</w:t>
      </w:r>
      <w:r>
        <w:rPr>
          <w:spacing w:val="-9"/>
          <w:sz w:val="24"/>
        </w:rPr>
        <w:t> </w:t>
      </w:r>
      <w:r>
        <w:rPr>
          <w:sz w:val="24"/>
        </w:rPr>
        <w:t>that</w:t>
      </w:r>
      <w:r>
        <w:rPr>
          <w:spacing w:val="-8"/>
          <w:sz w:val="24"/>
        </w:rPr>
        <w:t> </w:t>
      </w:r>
      <w:r>
        <w:rPr>
          <w:sz w:val="24"/>
        </w:rPr>
        <w:t>the</w:t>
      </w:r>
      <w:r>
        <w:rPr>
          <w:spacing w:val="-8"/>
          <w:sz w:val="24"/>
        </w:rPr>
        <w:t> </w:t>
      </w:r>
      <w:r>
        <w:rPr>
          <w:sz w:val="24"/>
        </w:rPr>
        <w:t>first-year</w:t>
      </w:r>
      <w:r>
        <w:rPr>
          <w:spacing w:val="-9"/>
          <w:sz w:val="24"/>
        </w:rPr>
        <w:t> </w:t>
      </w:r>
      <w:r>
        <w:rPr>
          <w:sz w:val="24"/>
        </w:rPr>
        <w:t>award</w:t>
      </w:r>
      <w:r>
        <w:rPr>
          <w:spacing w:val="-8"/>
          <w:sz w:val="24"/>
        </w:rPr>
        <w:t> </w:t>
      </w:r>
      <w:r>
        <w:rPr>
          <w:sz w:val="24"/>
        </w:rPr>
        <w:t>included</w:t>
      </w:r>
      <w:r>
        <w:rPr>
          <w:spacing w:val="-8"/>
          <w:sz w:val="24"/>
        </w:rPr>
        <w:t> </w:t>
      </w:r>
      <w:r>
        <w:rPr>
          <w:sz w:val="24"/>
        </w:rPr>
        <w:t>the</w:t>
      </w:r>
      <w:r>
        <w:rPr>
          <w:spacing w:val="-8"/>
          <w:sz w:val="24"/>
        </w:rPr>
        <w:t> </w:t>
      </w:r>
      <w:r>
        <w:rPr>
          <w:sz w:val="24"/>
        </w:rPr>
        <w:t>consolidation</w:t>
      </w:r>
      <w:r>
        <w:rPr>
          <w:spacing w:val="-9"/>
          <w:sz w:val="24"/>
        </w:rPr>
        <w:t> </w:t>
      </w:r>
      <w:r>
        <w:rPr>
          <w:sz w:val="24"/>
        </w:rPr>
        <w:t>of</w:t>
      </w:r>
      <w:r>
        <w:rPr>
          <w:spacing w:val="-8"/>
          <w:sz w:val="24"/>
        </w:rPr>
        <w:t> </w:t>
      </w:r>
      <w:r>
        <w:rPr>
          <w:sz w:val="24"/>
        </w:rPr>
        <w:t>a</w:t>
      </w:r>
      <w:r>
        <w:rPr>
          <w:spacing w:val="-8"/>
          <w:sz w:val="24"/>
        </w:rPr>
        <w:t> </w:t>
      </w:r>
      <w:r>
        <w:rPr>
          <w:sz w:val="24"/>
        </w:rPr>
        <w:t>number</w:t>
      </w:r>
      <w:r>
        <w:rPr>
          <w:spacing w:val="-9"/>
          <w:sz w:val="24"/>
        </w:rPr>
        <w:t> </w:t>
      </w:r>
      <w:r>
        <w:rPr>
          <w:sz w:val="24"/>
        </w:rPr>
        <w:t>of</w:t>
      </w:r>
      <w:r>
        <w:rPr>
          <w:spacing w:val="-8"/>
          <w:sz w:val="24"/>
        </w:rPr>
        <w:t> </w:t>
      </w:r>
      <w:r>
        <w:rPr>
          <w:sz w:val="24"/>
        </w:rPr>
        <w:t>special</w:t>
      </w:r>
      <w:r>
        <w:rPr>
          <w:spacing w:val="-8"/>
          <w:sz w:val="24"/>
        </w:rPr>
        <w:t> </w:t>
      </w:r>
      <w:r>
        <w:rPr>
          <w:sz w:val="24"/>
        </w:rPr>
        <w:t>payments</w:t>
      </w:r>
      <w:r>
        <w:rPr>
          <w:spacing w:val="-8"/>
          <w:sz w:val="24"/>
        </w:rPr>
        <w:t> </w:t>
      </w:r>
      <w:r>
        <w:rPr>
          <w:sz w:val="24"/>
        </w:rPr>
        <w:t>and</w:t>
      </w:r>
      <w:r>
        <w:rPr>
          <w:spacing w:val="-9"/>
          <w:sz w:val="24"/>
        </w:rPr>
        <w:t> </w:t>
      </w:r>
      <w:r>
        <w:rPr>
          <w:sz w:val="24"/>
        </w:rPr>
        <w:t>in aggregate terms was equivalent to around 3 1/2%. But the larger increases in later years appeared to reflect both shortages of skilled labour and an expectation of rising</w:t>
      </w:r>
      <w:r>
        <w:rPr>
          <w:spacing w:val="-26"/>
          <w:sz w:val="24"/>
        </w:rPr>
        <w:t> </w:t>
      </w:r>
      <w:r>
        <w:rPr>
          <w:sz w:val="24"/>
        </w:rPr>
        <w:t>inflation.</w:t>
      </w:r>
    </w:p>
    <w:p>
      <w:pPr>
        <w:pStyle w:val="BodyText"/>
        <w:spacing w:before="1"/>
        <w:rPr>
          <w:sz w:val="32"/>
        </w:rPr>
      </w:pPr>
    </w:p>
    <w:p>
      <w:pPr>
        <w:pStyle w:val="ListParagraph"/>
        <w:numPr>
          <w:ilvl w:val="0"/>
          <w:numId w:val="1"/>
        </w:numPr>
        <w:tabs>
          <w:tab w:pos="701" w:val="left" w:leader="none"/>
        </w:tabs>
        <w:spacing w:line="321" w:lineRule="auto" w:before="0" w:after="0"/>
        <w:ind w:left="277" w:right="425" w:firstLine="0"/>
        <w:jc w:val="left"/>
        <w:rPr>
          <w:sz w:val="24"/>
        </w:rPr>
      </w:pPr>
      <w:r>
        <w:rPr>
          <w:spacing w:val="-3"/>
          <w:sz w:val="24"/>
        </w:rPr>
        <w:t>Members discussed </w:t>
      </w:r>
      <w:r>
        <w:rPr>
          <w:sz w:val="24"/>
        </w:rPr>
        <w:t>the </w:t>
      </w:r>
      <w:r>
        <w:rPr>
          <w:spacing w:val="-3"/>
          <w:sz w:val="24"/>
        </w:rPr>
        <w:t>current combination </w:t>
      </w:r>
      <w:r>
        <w:rPr>
          <w:sz w:val="24"/>
        </w:rPr>
        <w:t>of </w:t>
      </w:r>
      <w:r>
        <w:rPr>
          <w:spacing w:val="-3"/>
          <w:sz w:val="24"/>
        </w:rPr>
        <w:t>rapid tightening </w:t>
      </w:r>
      <w:r>
        <w:rPr>
          <w:sz w:val="24"/>
        </w:rPr>
        <w:t>and </w:t>
      </w:r>
      <w:r>
        <w:rPr>
          <w:spacing w:val="-3"/>
          <w:sz w:val="24"/>
        </w:rPr>
        <w:t>surprisingly </w:t>
      </w:r>
      <w:r>
        <w:rPr>
          <w:sz w:val="24"/>
        </w:rPr>
        <w:t>low </w:t>
      </w:r>
      <w:r>
        <w:rPr>
          <w:spacing w:val="-3"/>
          <w:sz w:val="24"/>
        </w:rPr>
        <w:t>earnings </w:t>
      </w:r>
      <w:r>
        <w:rPr>
          <w:sz w:val="24"/>
        </w:rPr>
        <w:t>growth, and made a number of points. First, the level of the natural rate of unemployment </w:t>
      </w:r>
      <w:r>
        <w:rPr>
          <w:spacing w:val="-2"/>
          <w:sz w:val="24"/>
        </w:rPr>
        <w:t>was </w:t>
      </w:r>
      <w:r>
        <w:rPr>
          <w:sz w:val="24"/>
        </w:rPr>
        <w:t>uncertain,</w:t>
      </w:r>
      <w:r>
        <w:rPr>
          <w:spacing w:val="-7"/>
          <w:sz w:val="24"/>
        </w:rPr>
        <w:t> </w:t>
      </w:r>
      <w:r>
        <w:rPr>
          <w:sz w:val="24"/>
        </w:rPr>
        <w:t>but</w:t>
      </w:r>
      <w:r>
        <w:rPr>
          <w:spacing w:val="-7"/>
          <w:sz w:val="24"/>
        </w:rPr>
        <w:t> </w:t>
      </w:r>
      <w:r>
        <w:rPr>
          <w:sz w:val="24"/>
        </w:rPr>
        <w:t>it</w:t>
      </w:r>
      <w:r>
        <w:rPr>
          <w:spacing w:val="-6"/>
          <w:sz w:val="24"/>
        </w:rPr>
        <w:t> </w:t>
      </w:r>
      <w:r>
        <w:rPr>
          <w:sz w:val="24"/>
        </w:rPr>
        <w:t>was</w:t>
      </w:r>
      <w:r>
        <w:rPr>
          <w:spacing w:val="-7"/>
          <w:sz w:val="24"/>
        </w:rPr>
        <w:t> </w:t>
      </w:r>
      <w:r>
        <w:rPr>
          <w:sz w:val="24"/>
        </w:rPr>
        <w:t>plausible</w:t>
      </w:r>
      <w:r>
        <w:rPr>
          <w:spacing w:val="-7"/>
          <w:sz w:val="24"/>
        </w:rPr>
        <w:t> </w:t>
      </w:r>
      <w:r>
        <w:rPr>
          <w:sz w:val="24"/>
        </w:rPr>
        <w:t>that</w:t>
      </w:r>
      <w:r>
        <w:rPr>
          <w:spacing w:val="-6"/>
          <w:sz w:val="24"/>
        </w:rPr>
        <w:t> </w:t>
      </w:r>
      <w:r>
        <w:rPr>
          <w:sz w:val="24"/>
        </w:rPr>
        <w:t>it</w:t>
      </w:r>
      <w:r>
        <w:rPr>
          <w:spacing w:val="-7"/>
          <w:sz w:val="24"/>
        </w:rPr>
        <w:t> </w:t>
      </w:r>
      <w:r>
        <w:rPr>
          <w:sz w:val="24"/>
        </w:rPr>
        <w:t>was</w:t>
      </w:r>
      <w:r>
        <w:rPr>
          <w:spacing w:val="-6"/>
          <w:sz w:val="24"/>
        </w:rPr>
        <w:t> </w:t>
      </w:r>
      <w:r>
        <w:rPr>
          <w:sz w:val="24"/>
        </w:rPr>
        <w:t>lower</w:t>
      </w:r>
      <w:r>
        <w:rPr>
          <w:spacing w:val="-7"/>
          <w:sz w:val="24"/>
        </w:rPr>
        <w:t> </w:t>
      </w:r>
      <w:r>
        <w:rPr>
          <w:sz w:val="24"/>
        </w:rPr>
        <w:t>than</w:t>
      </w:r>
      <w:r>
        <w:rPr>
          <w:spacing w:val="-7"/>
          <w:sz w:val="24"/>
        </w:rPr>
        <w:t> </w:t>
      </w:r>
      <w:r>
        <w:rPr>
          <w:sz w:val="24"/>
        </w:rPr>
        <w:t>in</w:t>
      </w:r>
      <w:r>
        <w:rPr>
          <w:spacing w:val="-6"/>
          <w:sz w:val="24"/>
        </w:rPr>
        <w:t> </w:t>
      </w:r>
      <w:r>
        <w:rPr>
          <w:sz w:val="24"/>
        </w:rPr>
        <w:t>the</w:t>
      </w:r>
      <w:r>
        <w:rPr>
          <w:spacing w:val="-7"/>
          <w:sz w:val="24"/>
        </w:rPr>
        <w:t> </w:t>
      </w:r>
      <w:r>
        <w:rPr>
          <w:sz w:val="24"/>
        </w:rPr>
        <w:t>1980s,</w:t>
      </w:r>
      <w:r>
        <w:rPr>
          <w:spacing w:val="-6"/>
          <w:sz w:val="24"/>
        </w:rPr>
        <w:t> </w:t>
      </w:r>
      <w:r>
        <w:rPr>
          <w:sz w:val="24"/>
        </w:rPr>
        <w:t>because</w:t>
      </w:r>
      <w:r>
        <w:rPr>
          <w:spacing w:val="-7"/>
          <w:sz w:val="24"/>
        </w:rPr>
        <w:t> </w:t>
      </w:r>
      <w:r>
        <w:rPr>
          <w:sz w:val="24"/>
        </w:rPr>
        <w:t>of</w:t>
      </w:r>
      <w:r>
        <w:rPr>
          <w:spacing w:val="-7"/>
          <w:sz w:val="24"/>
        </w:rPr>
        <w:t> </w:t>
      </w:r>
      <w:r>
        <w:rPr>
          <w:sz w:val="24"/>
        </w:rPr>
        <w:t>the</w:t>
      </w:r>
      <w:r>
        <w:rPr>
          <w:spacing w:val="-6"/>
          <w:sz w:val="24"/>
        </w:rPr>
        <w:t> </w:t>
      </w:r>
      <w:r>
        <w:rPr>
          <w:sz w:val="24"/>
        </w:rPr>
        <w:t>structural</w:t>
      </w:r>
      <w:r>
        <w:rPr>
          <w:spacing w:val="-7"/>
          <w:sz w:val="24"/>
        </w:rPr>
        <w:t> </w:t>
      </w:r>
      <w:r>
        <w:rPr>
          <w:sz w:val="24"/>
        </w:rPr>
        <w:t>changes that had taken place since then. Second, even if the natural rate of unemployment were below </w:t>
      </w:r>
      <w:r>
        <w:rPr>
          <w:spacing w:val="-2"/>
          <w:sz w:val="24"/>
        </w:rPr>
        <w:t>the </w:t>
      </w:r>
      <w:r>
        <w:rPr>
          <w:spacing w:val="-3"/>
          <w:sz w:val="24"/>
        </w:rPr>
        <w:t>current level, there might </w:t>
      </w:r>
      <w:r>
        <w:rPr>
          <w:sz w:val="24"/>
        </w:rPr>
        <w:t>be a </w:t>
      </w:r>
      <w:r>
        <w:rPr>
          <w:spacing w:val="-3"/>
          <w:sz w:val="24"/>
        </w:rPr>
        <w:t>‘speed limit effect’ </w:t>
      </w:r>
      <w:r>
        <w:rPr>
          <w:sz w:val="24"/>
        </w:rPr>
        <w:t>- ie the </w:t>
      </w:r>
      <w:r>
        <w:rPr>
          <w:spacing w:val="-3"/>
          <w:sz w:val="24"/>
        </w:rPr>
        <w:t>faster unemployment fell towards the </w:t>
      </w:r>
      <w:r>
        <w:rPr>
          <w:sz w:val="24"/>
        </w:rPr>
        <w:t>natural rate, the higher the rate of inflation. Third, some of the payments that were recorded as bonuses</w:t>
      </w:r>
      <w:r>
        <w:rPr>
          <w:spacing w:val="-13"/>
          <w:sz w:val="24"/>
        </w:rPr>
        <w:t> </w:t>
      </w:r>
      <w:r>
        <w:rPr>
          <w:sz w:val="24"/>
        </w:rPr>
        <w:t>represented</w:t>
      </w:r>
      <w:r>
        <w:rPr>
          <w:spacing w:val="-13"/>
          <w:sz w:val="24"/>
        </w:rPr>
        <w:t> </w:t>
      </w:r>
      <w:r>
        <w:rPr>
          <w:sz w:val="24"/>
        </w:rPr>
        <w:t>profit-sharing</w:t>
      </w:r>
      <w:r>
        <w:rPr>
          <w:spacing w:val="-13"/>
          <w:sz w:val="24"/>
        </w:rPr>
        <w:t> </w:t>
      </w:r>
      <w:r>
        <w:rPr>
          <w:sz w:val="24"/>
        </w:rPr>
        <w:t>payments</w:t>
      </w:r>
      <w:r>
        <w:rPr>
          <w:spacing w:val="-12"/>
          <w:sz w:val="24"/>
        </w:rPr>
        <w:t> </w:t>
      </w:r>
      <w:r>
        <w:rPr>
          <w:sz w:val="24"/>
        </w:rPr>
        <w:t>to</w:t>
      </w:r>
      <w:r>
        <w:rPr>
          <w:spacing w:val="-13"/>
          <w:sz w:val="24"/>
        </w:rPr>
        <w:t> </w:t>
      </w:r>
      <w:r>
        <w:rPr>
          <w:sz w:val="24"/>
        </w:rPr>
        <w:t>staff,</w:t>
      </w:r>
      <w:r>
        <w:rPr>
          <w:spacing w:val="-13"/>
          <w:sz w:val="24"/>
        </w:rPr>
        <w:t> </w:t>
      </w:r>
      <w:r>
        <w:rPr>
          <w:sz w:val="24"/>
        </w:rPr>
        <w:t>which</w:t>
      </w:r>
      <w:r>
        <w:rPr>
          <w:spacing w:val="-12"/>
          <w:sz w:val="24"/>
        </w:rPr>
        <w:t> </w:t>
      </w:r>
      <w:r>
        <w:rPr>
          <w:sz w:val="24"/>
        </w:rPr>
        <w:t>would</w:t>
      </w:r>
      <w:r>
        <w:rPr>
          <w:spacing w:val="-13"/>
          <w:sz w:val="24"/>
        </w:rPr>
        <w:t> </w:t>
      </w:r>
      <w:r>
        <w:rPr>
          <w:sz w:val="24"/>
        </w:rPr>
        <w:t>automatically</w:t>
      </w:r>
      <w:r>
        <w:rPr>
          <w:spacing w:val="-13"/>
          <w:sz w:val="24"/>
        </w:rPr>
        <w:t> </w:t>
      </w:r>
      <w:r>
        <w:rPr>
          <w:sz w:val="24"/>
        </w:rPr>
        <w:t>decrease</w:t>
      </w:r>
      <w:r>
        <w:rPr>
          <w:spacing w:val="-12"/>
          <w:sz w:val="24"/>
        </w:rPr>
        <w:t> </w:t>
      </w:r>
      <w:r>
        <w:rPr>
          <w:sz w:val="24"/>
        </w:rPr>
        <w:t>if</w:t>
      </w:r>
      <w:r>
        <w:rPr>
          <w:spacing w:val="-13"/>
          <w:sz w:val="24"/>
        </w:rPr>
        <w:t> </w:t>
      </w:r>
      <w:r>
        <w:rPr>
          <w:sz w:val="24"/>
        </w:rPr>
        <w:t>profits fell. Such payments were akin in some respects to equity</w:t>
      </w:r>
      <w:r>
        <w:rPr>
          <w:spacing w:val="-12"/>
          <w:sz w:val="24"/>
        </w:rPr>
        <w:t> </w:t>
      </w:r>
      <w:r>
        <w:rPr>
          <w:sz w:val="24"/>
        </w:rPr>
        <w:t>returns.</w:t>
      </w:r>
    </w:p>
    <w:p>
      <w:pPr>
        <w:pStyle w:val="BodyText"/>
        <w:spacing w:before="5"/>
        <w:rPr>
          <w:sz w:val="32"/>
        </w:rPr>
      </w:pPr>
    </w:p>
    <w:p>
      <w:pPr>
        <w:pStyle w:val="Heading1"/>
      </w:pPr>
      <w:r>
        <w:rPr/>
        <w:t>Prices</w:t>
      </w:r>
    </w:p>
    <w:p>
      <w:pPr>
        <w:pStyle w:val="BodyText"/>
        <w:rPr>
          <w:b/>
          <w:sz w:val="26"/>
        </w:rPr>
      </w:pPr>
    </w:p>
    <w:p>
      <w:pPr>
        <w:pStyle w:val="ListParagraph"/>
        <w:numPr>
          <w:ilvl w:val="0"/>
          <w:numId w:val="1"/>
        </w:numPr>
        <w:tabs>
          <w:tab w:pos="703" w:val="left" w:leader="none"/>
        </w:tabs>
        <w:spacing w:line="321" w:lineRule="auto" w:before="159" w:after="0"/>
        <w:ind w:left="277" w:right="780" w:firstLine="0"/>
        <w:jc w:val="left"/>
        <w:rPr>
          <w:sz w:val="24"/>
        </w:rPr>
      </w:pPr>
      <w:r>
        <w:rPr>
          <w:sz w:val="24"/>
        </w:rPr>
        <w:t>The Committee discussed recent price data. RPIX inflation was stronger than had been projected</w:t>
      </w:r>
      <w:r>
        <w:rPr>
          <w:spacing w:val="-6"/>
          <w:sz w:val="24"/>
        </w:rPr>
        <w:t> </w:t>
      </w:r>
      <w:r>
        <w:rPr>
          <w:sz w:val="24"/>
        </w:rPr>
        <w:t>in</w:t>
      </w:r>
      <w:r>
        <w:rPr>
          <w:spacing w:val="-5"/>
          <w:sz w:val="24"/>
        </w:rPr>
        <w:t> </w:t>
      </w:r>
      <w:r>
        <w:rPr>
          <w:sz w:val="24"/>
        </w:rPr>
        <w:t>the</w:t>
      </w:r>
      <w:r>
        <w:rPr>
          <w:spacing w:val="-5"/>
          <w:sz w:val="24"/>
        </w:rPr>
        <w:t> </w:t>
      </w:r>
      <w:r>
        <w:rPr>
          <w:sz w:val="24"/>
        </w:rPr>
        <w:t>August</w:t>
      </w:r>
      <w:r>
        <w:rPr>
          <w:spacing w:val="-5"/>
          <w:sz w:val="24"/>
        </w:rPr>
        <w:t> </w:t>
      </w:r>
      <w:r>
        <w:rPr>
          <w:i/>
          <w:sz w:val="24"/>
        </w:rPr>
        <w:t>Inflation</w:t>
      </w:r>
      <w:r>
        <w:rPr>
          <w:i/>
          <w:spacing w:val="-4"/>
          <w:sz w:val="24"/>
        </w:rPr>
        <w:t> </w:t>
      </w:r>
      <w:r>
        <w:rPr>
          <w:i/>
          <w:sz w:val="24"/>
        </w:rPr>
        <w:t>Report</w:t>
      </w:r>
      <w:r>
        <w:rPr>
          <w:sz w:val="24"/>
        </w:rPr>
        <w:t>,</w:t>
      </w:r>
      <w:r>
        <w:rPr>
          <w:spacing w:val="-6"/>
          <w:sz w:val="24"/>
        </w:rPr>
        <w:t> </w:t>
      </w:r>
      <w:r>
        <w:rPr>
          <w:sz w:val="24"/>
        </w:rPr>
        <w:t>and</w:t>
      </w:r>
      <w:r>
        <w:rPr>
          <w:spacing w:val="-6"/>
          <w:sz w:val="24"/>
        </w:rPr>
        <w:t> </w:t>
      </w:r>
      <w:r>
        <w:rPr>
          <w:sz w:val="24"/>
        </w:rPr>
        <w:t>the</w:t>
      </w:r>
      <w:r>
        <w:rPr>
          <w:spacing w:val="-6"/>
          <w:sz w:val="24"/>
        </w:rPr>
        <w:t> </w:t>
      </w:r>
      <w:r>
        <w:rPr>
          <w:sz w:val="24"/>
        </w:rPr>
        <w:t>staff</w:t>
      </w:r>
      <w:r>
        <w:rPr>
          <w:spacing w:val="-6"/>
          <w:sz w:val="24"/>
        </w:rPr>
        <w:t> </w:t>
      </w:r>
      <w:r>
        <w:rPr>
          <w:sz w:val="24"/>
        </w:rPr>
        <w:t>analysis</w:t>
      </w:r>
      <w:r>
        <w:rPr>
          <w:spacing w:val="-6"/>
          <w:sz w:val="24"/>
        </w:rPr>
        <w:t> </w:t>
      </w:r>
      <w:r>
        <w:rPr>
          <w:sz w:val="24"/>
        </w:rPr>
        <w:t>suggested</w:t>
      </w:r>
      <w:r>
        <w:rPr>
          <w:spacing w:val="-6"/>
          <w:sz w:val="24"/>
        </w:rPr>
        <w:t> </w:t>
      </w:r>
      <w:r>
        <w:rPr>
          <w:sz w:val="24"/>
        </w:rPr>
        <w:t>that</w:t>
      </w:r>
      <w:r>
        <w:rPr>
          <w:spacing w:val="-6"/>
          <w:sz w:val="24"/>
        </w:rPr>
        <w:t> </w:t>
      </w:r>
      <w:r>
        <w:rPr>
          <w:sz w:val="24"/>
        </w:rPr>
        <w:t>import</w:t>
      </w:r>
      <w:r>
        <w:rPr>
          <w:spacing w:val="-6"/>
          <w:sz w:val="24"/>
        </w:rPr>
        <w:t> </w:t>
      </w:r>
      <w:r>
        <w:rPr>
          <w:sz w:val="24"/>
        </w:rPr>
        <w:t>prices</w:t>
      </w:r>
      <w:r>
        <w:rPr>
          <w:spacing w:val="-6"/>
          <w:sz w:val="24"/>
        </w:rPr>
        <w:t> </w:t>
      </w:r>
      <w:r>
        <w:rPr>
          <w:spacing w:val="-2"/>
          <w:sz w:val="24"/>
        </w:rPr>
        <w:t>had</w:t>
      </w:r>
    </w:p>
    <w:p>
      <w:pPr>
        <w:spacing w:after="0" w:line="321" w:lineRule="auto"/>
        <w:jc w:val="left"/>
        <w:rPr>
          <w:sz w:val="24"/>
        </w:rPr>
        <w:sectPr>
          <w:pgSz w:w="11900" w:h="16840"/>
          <w:pgMar w:header="719" w:footer="0" w:top="1260" w:bottom="280" w:left="860" w:right="880"/>
        </w:sectPr>
      </w:pPr>
    </w:p>
    <w:p>
      <w:pPr>
        <w:pStyle w:val="BodyText"/>
        <w:spacing w:line="321" w:lineRule="auto" w:before="183"/>
        <w:ind w:left="277" w:right="338"/>
      </w:pPr>
      <w:r>
        <w:rPr>
          <w:spacing w:val="-3"/>
        </w:rPr>
        <w:t>fallen </w:t>
      </w:r>
      <w:r>
        <w:rPr/>
        <w:t>by </w:t>
      </w:r>
      <w:r>
        <w:rPr>
          <w:spacing w:val="-3"/>
        </w:rPr>
        <w:t>less than </w:t>
      </w:r>
      <w:r>
        <w:rPr/>
        <w:t>was </w:t>
      </w:r>
      <w:r>
        <w:rPr>
          <w:spacing w:val="-3"/>
        </w:rPr>
        <w:t>expected given </w:t>
      </w:r>
      <w:r>
        <w:rPr/>
        <w:t>the </w:t>
      </w:r>
      <w:r>
        <w:rPr>
          <w:spacing w:val="-3"/>
        </w:rPr>
        <w:t>rise </w:t>
      </w:r>
      <w:r>
        <w:rPr/>
        <w:t>in the </w:t>
      </w:r>
      <w:r>
        <w:rPr>
          <w:spacing w:val="-3"/>
        </w:rPr>
        <w:t>exchange rate, </w:t>
      </w:r>
      <w:r>
        <w:rPr/>
        <w:t>and </w:t>
      </w:r>
      <w:r>
        <w:rPr>
          <w:spacing w:val="-3"/>
        </w:rPr>
        <w:t>that retail prices </w:t>
      </w:r>
      <w:r>
        <w:rPr/>
        <w:t>had </w:t>
      </w:r>
      <w:r>
        <w:rPr>
          <w:spacing w:val="-3"/>
        </w:rPr>
        <w:t>risen by </w:t>
      </w:r>
      <w:r>
        <w:rPr/>
        <w:t>more than was expected. In other words, the pass-through from exchange rate appreciation had been unexpectedly</w:t>
      </w:r>
      <w:r>
        <w:rPr>
          <w:spacing w:val="-1"/>
        </w:rPr>
        <w:t> </w:t>
      </w:r>
      <w:r>
        <w:rPr/>
        <w:t>weak.</w:t>
      </w:r>
    </w:p>
    <w:p>
      <w:pPr>
        <w:pStyle w:val="BodyText"/>
        <w:spacing w:before="1"/>
        <w:rPr>
          <w:sz w:val="32"/>
        </w:rPr>
      </w:pPr>
    </w:p>
    <w:p>
      <w:pPr>
        <w:pStyle w:val="ListParagraph"/>
        <w:numPr>
          <w:ilvl w:val="0"/>
          <w:numId w:val="1"/>
        </w:numPr>
        <w:tabs>
          <w:tab w:pos="702" w:val="left" w:leader="none"/>
        </w:tabs>
        <w:spacing w:line="321" w:lineRule="auto" w:before="0" w:after="0"/>
        <w:ind w:left="277" w:right="348" w:firstLine="0"/>
        <w:jc w:val="left"/>
        <w:rPr>
          <w:sz w:val="24"/>
        </w:rPr>
      </w:pPr>
      <w:r>
        <w:rPr>
          <w:sz w:val="24"/>
        </w:rPr>
        <w:t>The Committee emphasised that policy decisions had to be based on forecast inflation, </w:t>
      </w:r>
      <w:r>
        <w:rPr>
          <w:spacing w:val="-2"/>
          <w:sz w:val="24"/>
        </w:rPr>
        <w:t>rather </w:t>
      </w:r>
      <w:r>
        <w:rPr>
          <w:sz w:val="24"/>
        </w:rPr>
        <w:t>than on current inflation, because of the lag between an interest rate change and its effect on </w:t>
      </w:r>
      <w:r>
        <w:rPr>
          <w:spacing w:val="-2"/>
          <w:sz w:val="24"/>
        </w:rPr>
        <w:t>output </w:t>
      </w:r>
      <w:r>
        <w:rPr>
          <w:sz w:val="24"/>
        </w:rPr>
        <w:t>and </w:t>
      </w:r>
      <w:r>
        <w:rPr>
          <w:spacing w:val="-3"/>
          <w:sz w:val="24"/>
        </w:rPr>
        <w:t>prices. </w:t>
      </w:r>
      <w:r>
        <w:rPr>
          <w:sz w:val="24"/>
        </w:rPr>
        <w:t>The </w:t>
      </w:r>
      <w:r>
        <w:rPr>
          <w:spacing w:val="-3"/>
          <w:sz w:val="24"/>
        </w:rPr>
        <w:t>unexpectedly small fall </w:t>
      </w:r>
      <w:r>
        <w:rPr>
          <w:sz w:val="24"/>
        </w:rPr>
        <w:t>in </w:t>
      </w:r>
      <w:r>
        <w:rPr>
          <w:spacing w:val="-3"/>
          <w:sz w:val="24"/>
        </w:rPr>
        <w:t>RPIX inflation during </w:t>
      </w:r>
      <w:r>
        <w:rPr>
          <w:sz w:val="24"/>
        </w:rPr>
        <w:t>the </w:t>
      </w:r>
      <w:r>
        <w:rPr>
          <w:spacing w:val="-3"/>
          <w:sz w:val="24"/>
        </w:rPr>
        <w:t>last </w:t>
      </w:r>
      <w:r>
        <w:rPr>
          <w:sz w:val="24"/>
        </w:rPr>
        <w:t>few </w:t>
      </w:r>
      <w:r>
        <w:rPr>
          <w:spacing w:val="-3"/>
          <w:sz w:val="24"/>
        </w:rPr>
        <w:t>months </w:t>
      </w:r>
      <w:r>
        <w:rPr>
          <w:sz w:val="24"/>
        </w:rPr>
        <w:t>had </w:t>
      </w:r>
      <w:r>
        <w:rPr>
          <w:spacing w:val="-3"/>
          <w:sz w:val="24"/>
        </w:rPr>
        <w:t>been accompanied </w:t>
      </w:r>
      <w:r>
        <w:rPr>
          <w:sz w:val="24"/>
        </w:rPr>
        <w:t>by a </w:t>
      </w:r>
      <w:r>
        <w:rPr>
          <w:spacing w:val="-3"/>
          <w:sz w:val="24"/>
        </w:rPr>
        <w:t>widening </w:t>
      </w:r>
      <w:r>
        <w:rPr>
          <w:sz w:val="24"/>
        </w:rPr>
        <w:t>of </w:t>
      </w:r>
      <w:r>
        <w:rPr>
          <w:spacing w:val="-3"/>
          <w:sz w:val="24"/>
        </w:rPr>
        <w:t>retailers’ margins, which members thought reflected </w:t>
      </w:r>
      <w:r>
        <w:rPr>
          <w:sz w:val="24"/>
        </w:rPr>
        <w:t>the </w:t>
      </w:r>
      <w:r>
        <w:rPr>
          <w:spacing w:val="-3"/>
          <w:sz w:val="24"/>
        </w:rPr>
        <w:t>strength of </w:t>
      </w:r>
      <w:r>
        <w:rPr>
          <w:sz w:val="24"/>
        </w:rPr>
        <w:t>domestic</w:t>
      </w:r>
      <w:r>
        <w:rPr>
          <w:spacing w:val="-12"/>
          <w:sz w:val="24"/>
        </w:rPr>
        <w:t> </w:t>
      </w:r>
      <w:r>
        <w:rPr>
          <w:sz w:val="24"/>
        </w:rPr>
        <w:t>demand.</w:t>
      </w:r>
      <w:r>
        <w:rPr>
          <w:spacing w:val="-11"/>
          <w:sz w:val="24"/>
        </w:rPr>
        <w:t> </w:t>
      </w:r>
      <w:r>
        <w:rPr>
          <w:sz w:val="24"/>
        </w:rPr>
        <w:t>Members</w:t>
      </w:r>
      <w:r>
        <w:rPr>
          <w:spacing w:val="-11"/>
          <w:sz w:val="24"/>
        </w:rPr>
        <w:t> </w:t>
      </w:r>
      <w:r>
        <w:rPr>
          <w:sz w:val="24"/>
        </w:rPr>
        <w:t>discussed</w:t>
      </w:r>
      <w:r>
        <w:rPr>
          <w:spacing w:val="-12"/>
          <w:sz w:val="24"/>
        </w:rPr>
        <w:t> </w:t>
      </w:r>
      <w:r>
        <w:rPr>
          <w:sz w:val="24"/>
        </w:rPr>
        <w:t>whether</w:t>
      </w:r>
      <w:r>
        <w:rPr>
          <w:spacing w:val="-11"/>
          <w:sz w:val="24"/>
        </w:rPr>
        <w:t> </w:t>
      </w:r>
      <w:r>
        <w:rPr>
          <w:sz w:val="24"/>
        </w:rPr>
        <w:t>the</w:t>
      </w:r>
      <w:r>
        <w:rPr>
          <w:spacing w:val="-11"/>
          <w:sz w:val="24"/>
        </w:rPr>
        <w:t> </w:t>
      </w:r>
      <w:r>
        <w:rPr>
          <w:sz w:val="24"/>
        </w:rPr>
        <w:t>depreciation</w:t>
      </w:r>
      <w:r>
        <w:rPr>
          <w:spacing w:val="-12"/>
          <w:sz w:val="24"/>
        </w:rPr>
        <w:t> </w:t>
      </w:r>
      <w:r>
        <w:rPr>
          <w:sz w:val="24"/>
        </w:rPr>
        <w:t>of</w:t>
      </w:r>
      <w:r>
        <w:rPr>
          <w:spacing w:val="-11"/>
          <w:sz w:val="24"/>
        </w:rPr>
        <w:t> </w:t>
      </w:r>
      <w:r>
        <w:rPr>
          <w:sz w:val="24"/>
        </w:rPr>
        <w:t>sterling</w:t>
      </w:r>
      <w:r>
        <w:rPr>
          <w:spacing w:val="-11"/>
          <w:sz w:val="24"/>
        </w:rPr>
        <w:t> </w:t>
      </w:r>
      <w:r>
        <w:rPr>
          <w:sz w:val="24"/>
        </w:rPr>
        <w:t>since</w:t>
      </w:r>
      <w:r>
        <w:rPr>
          <w:spacing w:val="-12"/>
          <w:sz w:val="24"/>
        </w:rPr>
        <w:t> </w:t>
      </w:r>
      <w:r>
        <w:rPr>
          <w:sz w:val="24"/>
        </w:rPr>
        <w:t>August</w:t>
      </w:r>
      <w:r>
        <w:rPr>
          <w:spacing w:val="-11"/>
          <w:sz w:val="24"/>
        </w:rPr>
        <w:t> </w:t>
      </w:r>
      <w:r>
        <w:rPr>
          <w:sz w:val="24"/>
        </w:rPr>
        <w:t>would</w:t>
      </w:r>
      <w:r>
        <w:rPr>
          <w:spacing w:val="-11"/>
          <w:sz w:val="24"/>
        </w:rPr>
        <w:t> </w:t>
      </w:r>
      <w:r>
        <w:rPr>
          <w:sz w:val="24"/>
        </w:rPr>
        <w:t>have an upward effect on the domestic price level, but concluded that since the pass-through from </w:t>
      </w:r>
      <w:r>
        <w:rPr>
          <w:spacing w:val="-2"/>
          <w:sz w:val="24"/>
        </w:rPr>
        <w:t>the </w:t>
      </w:r>
      <w:r>
        <w:rPr>
          <w:sz w:val="24"/>
        </w:rPr>
        <w:t>earlier much larger appreciation seemed to be incomplete, there was a good chance that the </w:t>
      </w:r>
      <w:r>
        <w:rPr>
          <w:spacing w:val="-2"/>
          <w:sz w:val="24"/>
        </w:rPr>
        <w:t>recent </w:t>
      </w:r>
      <w:r>
        <w:rPr>
          <w:sz w:val="24"/>
        </w:rPr>
        <w:t>depreciation would have little</w:t>
      </w:r>
      <w:r>
        <w:rPr>
          <w:spacing w:val="-3"/>
          <w:sz w:val="24"/>
        </w:rPr>
        <w:t> </w:t>
      </w:r>
      <w:r>
        <w:rPr>
          <w:sz w:val="24"/>
        </w:rPr>
        <w:t>effect.</w:t>
      </w:r>
    </w:p>
    <w:p>
      <w:pPr>
        <w:pStyle w:val="BodyText"/>
        <w:rPr>
          <w:sz w:val="32"/>
        </w:rPr>
      </w:pPr>
    </w:p>
    <w:p>
      <w:pPr>
        <w:pStyle w:val="ListParagraph"/>
        <w:numPr>
          <w:ilvl w:val="0"/>
          <w:numId w:val="1"/>
        </w:numPr>
        <w:tabs>
          <w:tab w:pos="702" w:val="left" w:leader="none"/>
        </w:tabs>
        <w:spacing w:line="321" w:lineRule="auto" w:before="0" w:after="0"/>
        <w:ind w:left="277" w:right="314" w:firstLine="0"/>
        <w:jc w:val="left"/>
        <w:rPr>
          <w:sz w:val="24"/>
        </w:rPr>
      </w:pPr>
      <w:r>
        <w:rPr>
          <w:sz w:val="24"/>
        </w:rPr>
        <w:t>The dip in the twelve-month rate of inflation that had been expected in the August </w:t>
      </w:r>
      <w:r>
        <w:rPr>
          <w:i/>
          <w:sz w:val="24"/>
        </w:rPr>
        <w:t>Inflation </w:t>
      </w:r>
      <w:r>
        <w:rPr>
          <w:i/>
          <w:sz w:val="24"/>
        </w:rPr>
        <w:t>Report</w:t>
      </w:r>
      <w:r>
        <w:rPr>
          <w:i/>
          <w:spacing w:val="-5"/>
          <w:sz w:val="24"/>
        </w:rPr>
        <w:t> </w:t>
      </w:r>
      <w:r>
        <w:rPr>
          <w:sz w:val="24"/>
        </w:rPr>
        <w:t>now</w:t>
      </w:r>
      <w:r>
        <w:rPr>
          <w:spacing w:val="-5"/>
          <w:sz w:val="24"/>
        </w:rPr>
        <w:t> </w:t>
      </w:r>
      <w:r>
        <w:rPr>
          <w:sz w:val="24"/>
        </w:rPr>
        <w:t>seemed</w:t>
      </w:r>
      <w:r>
        <w:rPr>
          <w:spacing w:val="-6"/>
          <w:sz w:val="24"/>
        </w:rPr>
        <w:t> </w:t>
      </w:r>
      <w:r>
        <w:rPr>
          <w:sz w:val="24"/>
        </w:rPr>
        <w:t>likely</w:t>
      </w:r>
      <w:r>
        <w:rPr>
          <w:spacing w:val="-6"/>
          <w:sz w:val="24"/>
        </w:rPr>
        <w:t> </w:t>
      </w:r>
      <w:r>
        <w:rPr>
          <w:sz w:val="24"/>
        </w:rPr>
        <w:t>to</w:t>
      </w:r>
      <w:r>
        <w:rPr>
          <w:spacing w:val="-6"/>
          <w:sz w:val="24"/>
        </w:rPr>
        <w:t> </w:t>
      </w:r>
      <w:r>
        <w:rPr>
          <w:sz w:val="24"/>
        </w:rPr>
        <w:t>be</w:t>
      </w:r>
      <w:r>
        <w:rPr>
          <w:spacing w:val="-6"/>
          <w:sz w:val="24"/>
        </w:rPr>
        <w:t> </w:t>
      </w:r>
      <w:r>
        <w:rPr>
          <w:sz w:val="24"/>
        </w:rPr>
        <w:t>shallower,</w:t>
      </w:r>
      <w:r>
        <w:rPr>
          <w:spacing w:val="-6"/>
          <w:sz w:val="24"/>
        </w:rPr>
        <w:t> </w:t>
      </w:r>
      <w:r>
        <w:rPr>
          <w:sz w:val="24"/>
        </w:rPr>
        <w:t>so</w:t>
      </w:r>
      <w:r>
        <w:rPr>
          <w:spacing w:val="-6"/>
          <w:sz w:val="24"/>
        </w:rPr>
        <w:t> </w:t>
      </w:r>
      <w:r>
        <w:rPr>
          <w:sz w:val="24"/>
        </w:rPr>
        <w:t>that</w:t>
      </w:r>
      <w:r>
        <w:rPr>
          <w:spacing w:val="-6"/>
          <w:sz w:val="24"/>
        </w:rPr>
        <w:t> </w:t>
      </w:r>
      <w:r>
        <w:rPr>
          <w:sz w:val="24"/>
        </w:rPr>
        <w:t>RPIX</w:t>
      </w:r>
      <w:r>
        <w:rPr>
          <w:spacing w:val="-6"/>
          <w:sz w:val="24"/>
        </w:rPr>
        <w:t> </w:t>
      </w:r>
      <w:r>
        <w:rPr>
          <w:sz w:val="24"/>
        </w:rPr>
        <w:t>inflation</w:t>
      </w:r>
      <w:r>
        <w:rPr>
          <w:spacing w:val="-6"/>
          <w:sz w:val="24"/>
        </w:rPr>
        <w:t> </w:t>
      </w:r>
      <w:r>
        <w:rPr>
          <w:sz w:val="24"/>
        </w:rPr>
        <w:t>might</w:t>
      </w:r>
      <w:r>
        <w:rPr>
          <w:spacing w:val="-6"/>
          <w:sz w:val="24"/>
        </w:rPr>
        <w:t> </w:t>
      </w:r>
      <w:r>
        <w:rPr>
          <w:sz w:val="24"/>
        </w:rPr>
        <w:t>prove</w:t>
      </w:r>
      <w:r>
        <w:rPr>
          <w:spacing w:val="-5"/>
          <w:sz w:val="24"/>
        </w:rPr>
        <w:t> </w:t>
      </w:r>
      <w:r>
        <w:rPr>
          <w:sz w:val="24"/>
        </w:rPr>
        <w:t>to</w:t>
      </w:r>
      <w:r>
        <w:rPr>
          <w:spacing w:val="-6"/>
          <w:sz w:val="24"/>
        </w:rPr>
        <w:t> </w:t>
      </w:r>
      <w:r>
        <w:rPr>
          <w:sz w:val="24"/>
        </w:rPr>
        <w:t>be</w:t>
      </w:r>
      <w:r>
        <w:rPr>
          <w:spacing w:val="-6"/>
          <w:sz w:val="24"/>
        </w:rPr>
        <w:t> </w:t>
      </w:r>
      <w:r>
        <w:rPr>
          <w:sz w:val="24"/>
        </w:rPr>
        <w:t>below</w:t>
      </w:r>
      <w:r>
        <w:rPr>
          <w:spacing w:val="-6"/>
          <w:sz w:val="24"/>
        </w:rPr>
        <w:t> </w:t>
      </w:r>
      <w:r>
        <w:rPr>
          <w:sz w:val="24"/>
        </w:rPr>
        <w:t>2</w:t>
      </w:r>
      <w:r>
        <w:rPr>
          <w:spacing w:val="-6"/>
          <w:sz w:val="24"/>
        </w:rPr>
        <w:t> </w:t>
      </w:r>
      <w:r>
        <w:rPr>
          <w:sz w:val="24"/>
        </w:rPr>
        <w:t>½%</w:t>
      </w:r>
      <w:r>
        <w:rPr>
          <w:spacing w:val="-6"/>
          <w:sz w:val="24"/>
        </w:rPr>
        <w:t> </w:t>
      </w:r>
      <w:r>
        <w:rPr>
          <w:spacing w:val="-2"/>
          <w:sz w:val="24"/>
        </w:rPr>
        <w:t>for </w:t>
      </w:r>
      <w:r>
        <w:rPr>
          <w:sz w:val="24"/>
        </w:rPr>
        <w:t>a shorter period than expected. Members noted that recent experience had been of above-trend growth accompanied by flat or declining inflation, but it was suggested that had it not been for </w:t>
      </w:r>
      <w:r>
        <w:rPr>
          <w:spacing w:val="-2"/>
          <w:sz w:val="24"/>
        </w:rPr>
        <w:t>the </w:t>
      </w:r>
      <w:r>
        <w:rPr>
          <w:spacing w:val="-3"/>
          <w:sz w:val="24"/>
        </w:rPr>
        <w:t>appreciation </w:t>
      </w:r>
      <w:r>
        <w:rPr>
          <w:sz w:val="24"/>
        </w:rPr>
        <w:t>of </w:t>
      </w:r>
      <w:r>
        <w:rPr>
          <w:spacing w:val="-3"/>
          <w:sz w:val="24"/>
        </w:rPr>
        <w:t>sterling, </w:t>
      </w:r>
      <w:r>
        <w:rPr>
          <w:sz w:val="24"/>
        </w:rPr>
        <w:t>the </w:t>
      </w:r>
      <w:r>
        <w:rPr>
          <w:spacing w:val="-3"/>
          <w:sz w:val="24"/>
        </w:rPr>
        <w:t>inflation profile would have been considerably less</w:t>
      </w:r>
      <w:r>
        <w:rPr>
          <w:spacing w:val="30"/>
          <w:sz w:val="24"/>
        </w:rPr>
        <w:t> </w:t>
      </w:r>
      <w:r>
        <w:rPr>
          <w:spacing w:val="-3"/>
          <w:sz w:val="24"/>
        </w:rPr>
        <w:t>reassuring.</w:t>
      </w:r>
    </w:p>
    <w:p>
      <w:pPr>
        <w:pStyle w:val="BodyText"/>
        <w:spacing w:before="5"/>
        <w:rPr>
          <w:sz w:val="32"/>
        </w:rPr>
      </w:pPr>
    </w:p>
    <w:p>
      <w:pPr>
        <w:pStyle w:val="Heading1"/>
      </w:pPr>
      <w:r>
        <w:rPr/>
        <w:t>Monetary growth</w:t>
      </w:r>
    </w:p>
    <w:p>
      <w:pPr>
        <w:pStyle w:val="BodyText"/>
        <w:rPr>
          <w:b/>
          <w:sz w:val="26"/>
        </w:rPr>
      </w:pPr>
    </w:p>
    <w:p>
      <w:pPr>
        <w:pStyle w:val="ListParagraph"/>
        <w:numPr>
          <w:ilvl w:val="0"/>
          <w:numId w:val="1"/>
        </w:numPr>
        <w:tabs>
          <w:tab w:pos="703" w:val="left" w:leader="none"/>
        </w:tabs>
        <w:spacing w:line="321" w:lineRule="auto" w:before="160" w:after="0"/>
        <w:ind w:left="277" w:right="373" w:firstLine="0"/>
        <w:jc w:val="left"/>
        <w:rPr>
          <w:sz w:val="24"/>
        </w:rPr>
      </w:pPr>
      <w:r>
        <w:rPr>
          <w:sz w:val="24"/>
        </w:rPr>
        <w:t>There was little new information. The Committee noted that, on the latest month’s data, monetary growth, both narrow and broad, and M4 lending now seemed a little slower. It </w:t>
      </w:r>
      <w:r>
        <w:rPr>
          <w:spacing w:val="-2"/>
          <w:sz w:val="24"/>
        </w:rPr>
        <w:t>was </w:t>
      </w:r>
      <w:r>
        <w:rPr>
          <w:sz w:val="24"/>
        </w:rPr>
        <w:t>acknowledged that the policy implications of recent monetary growth depended on the comparison with</w:t>
      </w:r>
      <w:r>
        <w:rPr>
          <w:spacing w:val="-9"/>
          <w:sz w:val="24"/>
        </w:rPr>
        <w:t> </w:t>
      </w:r>
      <w:r>
        <w:rPr>
          <w:sz w:val="24"/>
        </w:rPr>
        <w:t>the</w:t>
      </w:r>
      <w:r>
        <w:rPr>
          <w:spacing w:val="-9"/>
          <w:sz w:val="24"/>
        </w:rPr>
        <w:t> </w:t>
      </w:r>
      <w:r>
        <w:rPr>
          <w:sz w:val="24"/>
        </w:rPr>
        <w:t>earlier</w:t>
      </w:r>
      <w:r>
        <w:rPr>
          <w:spacing w:val="-8"/>
          <w:sz w:val="24"/>
        </w:rPr>
        <w:t> </w:t>
      </w:r>
      <w:r>
        <w:rPr>
          <w:sz w:val="24"/>
        </w:rPr>
        <w:t>expectation</w:t>
      </w:r>
      <w:r>
        <w:rPr>
          <w:spacing w:val="-9"/>
          <w:sz w:val="24"/>
        </w:rPr>
        <w:t> </w:t>
      </w:r>
      <w:r>
        <w:rPr>
          <w:sz w:val="24"/>
        </w:rPr>
        <w:t>of</w:t>
      </w:r>
      <w:r>
        <w:rPr>
          <w:spacing w:val="-8"/>
          <w:sz w:val="24"/>
        </w:rPr>
        <w:t> </w:t>
      </w:r>
      <w:r>
        <w:rPr>
          <w:sz w:val="24"/>
        </w:rPr>
        <w:t>a</w:t>
      </w:r>
      <w:r>
        <w:rPr>
          <w:spacing w:val="-9"/>
          <w:sz w:val="24"/>
        </w:rPr>
        <w:t> </w:t>
      </w:r>
      <w:r>
        <w:rPr>
          <w:sz w:val="24"/>
        </w:rPr>
        <w:t>gradual</w:t>
      </w:r>
      <w:r>
        <w:rPr>
          <w:spacing w:val="-9"/>
          <w:sz w:val="24"/>
        </w:rPr>
        <w:t> </w:t>
      </w:r>
      <w:r>
        <w:rPr>
          <w:sz w:val="24"/>
        </w:rPr>
        <w:t>deceleration</w:t>
      </w:r>
      <w:r>
        <w:rPr>
          <w:spacing w:val="-8"/>
          <w:sz w:val="24"/>
        </w:rPr>
        <w:t> </w:t>
      </w:r>
      <w:r>
        <w:rPr>
          <w:sz w:val="24"/>
        </w:rPr>
        <w:t>in</w:t>
      </w:r>
      <w:r>
        <w:rPr>
          <w:spacing w:val="-9"/>
          <w:sz w:val="24"/>
        </w:rPr>
        <w:t> </w:t>
      </w:r>
      <w:r>
        <w:rPr>
          <w:sz w:val="24"/>
        </w:rPr>
        <w:t>the</w:t>
      </w:r>
      <w:r>
        <w:rPr>
          <w:spacing w:val="-8"/>
          <w:sz w:val="24"/>
        </w:rPr>
        <w:t> </w:t>
      </w:r>
      <w:r>
        <w:rPr>
          <w:sz w:val="24"/>
        </w:rPr>
        <w:t>monetary</w:t>
      </w:r>
      <w:r>
        <w:rPr>
          <w:spacing w:val="-9"/>
          <w:sz w:val="24"/>
        </w:rPr>
        <w:t> </w:t>
      </w:r>
      <w:r>
        <w:rPr>
          <w:sz w:val="24"/>
        </w:rPr>
        <w:t>aggregates</w:t>
      </w:r>
      <w:r>
        <w:rPr>
          <w:spacing w:val="-9"/>
          <w:sz w:val="24"/>
        </w:rPr>
        <w:t> </w:t>
      </w:r>
      <w:r>
        <w:rPr>
          <w:sz w:val="24"/>
        </w:rPr>
        <w:t>as</w:t>
      </w:r>
      <w:r>
        <w:rPr>
          <w:spacing w:val="-8"/>
          <w:sz w:val="24"/>
        </w:rPr>
        <w:t> </w:t>
      </w:r>
      <w:r>
        <w:rPr>
          <w:sz w:val="24"/>
        </w:rPr>
        <w:t>demand</w:t>
      </w:r>
      <w:r>
        <w:rPr>
          <w:spacing w:val="-9"/>
          <w:sz w:val="24"/>
        </w:rPr>
        <w:t> </w:t>
      </w:r>
      <w:r>
        <w:rPr>
          <w:sz w:val="24"/>
        </w:rPr>
        <w:t>slowed.</w:t>
      </w:r>
    </w:p>
    <w:p>
      <w:pPr>
        <w:pStyle w:val="BodyText"/>
        <w:spacing w:before="5"/>
        <w:rPr>
          <w:sz w:val="32"/>
        </w:rPr>
      </w:pPr>
    </w:p>
    <w:p>
      <w:pPr>
        <w:pStyle w:val="Heading1"/>
      </w:pPr>
      <w:r>
        <w:rPr/>
        <w:t>Financial market developments</w:t>
      </w:r>
    </w:p>
    <w:p>
      <w:pPr>
        <w:pStyle w:val="BodyText"/>
        <w:rPr>
          <w:b/>
          <w:sz w:val="26"/>
        </w:rPr>
      </w:pPr>
    </w:p>
    <w:p>
      <w:pPr>
        <w:pStyle w:val="ListParagraph"/>
        <w:numPr>
          <w:ilvl w:val="0"/>
          <w:numId w:val="1"/>
        </w:numPr>
        <w:tabs>
          <w:tab w:pos="702" w:val="left" w:leader="none"/>
        </w:tabs>
        <w:spacing w:line="321" w:lineRule="auto" w:before="160" w:after="0"/>
        <w:ind w:left="277" w:right="771" w:firstLine="0"/>
        <w:jc w:val="left"/>
        <w:rPr>
          <w:sz w:val="24"/>
        </w:rPr>
      </w:pPr>
      <w:r>
        <w:rPr>
          <w:sz w:val="24"/>
        </w:rPr>
        <w:t>The Committee discussed the impact of the perceived increased likelihood of the </w:t>
      </w:r>
      <w:r>
        <w:rPr>
          <w:spacing w:val="-2"/>
          <w:sz w:val="24"/>
        </w:rPr>
        <w:t>United </w:t>
      </w:r>
      <w:r>
        <w:rPr>
          <w:sz w:val="24"/>
        </w:rPr>
        <w:t>Kingdom</w:t>
      </w:r>
      <w:r>
        <w:rPr>
          <w:spacing w:val="-10"/>
          <w:sz w:val="24"/>
        </w:rPr>
        <w:t> </w:t>
      </w:r>
      <w:r>
        <w:rPr>
          <w:sz w:val="24"/>
        </w:rPr>
        <w:t>joining</w:t>
      </w:r>
      <w:r>
        <w:rPr>
          <w:spacing w:val="-10"/>
          <w:sz w:val="24"/>
        </w:rPr>
        <w:t> </w:t>
      </w:r>
      <w:r>
        <w:rPr>
          <w:sz w:val="24"/>
        </w:rPr>
        <w:t>EMU</w:t>
      </w:r>
      <w:r>
        <w:rPr>
          <w:spacing w:val="-9"/>
          <w:sz w:val="24"/>
        </w:rPr>
        <w:t> </w:t>
      </w:r>
      <w:r>
        <w:rPr>
          <w:sz w:val="24"/>
        </w:rPr>
        <w:t>on</w:t>
      </w:r>
      <w:r>
        <w:rPr>
          <w:spacing w:val="-10"/>
          <w:sz w:val="24"/>
        </w:rPr>
        <w:t> </w:t>
      </w:r>
      <w:r>
        <w:rPr>
          <w:sz w:val="24"/>
        </w:rPr>
        <w:t>the</w:t>
      </w:r>
      <w:r>
        <w:rPr>
          <w:spacing w:val="-9"/>
          <w:sz w:val="24"/>
        </w:rPr>
        <w:t> </w:t>
      </w:r>
      <w:r>
        <w:rPr>
          <w:sz w:val="24"/>
        </w:rPr>
        <w:t>yield</w:t>
      </w:r>
      <w:r>
        <w:rPr>
          <w:spacing w:val="-10"/>
          <w:sz w:val="24"/>
        </w:rPr>
        <w:t> </w:t>
      </w:r>
      <w:r>
        <w:rPr>
          <w:sz w:val="24"/>
        </w:rPr>
        <w:t>curve.</w:t>
      </w:r>
      <w:r>
        <w:rPr>
          <w:spacing w:val="43"/>
          <w:sz w:val="24"/>
        </w:rPr>
        <w:t> </w:t>
      </w:r>
      <w:r>
        <w:rPr>
          <w:sz w:val="24"/>
        </w:rPr>
        <w:t>Implied</w:t>
      </w:r>
      <w:r>
        <w:rPr>
          <w:spacing w:val="-10"/>
          <w:sz w:val="24"/>
        </w:rPr>
        <w:t> </w:t>
      </w:r>
      <w:r>
        <w:rPr>
          <w:sz w:val="24"/>
        </w:rPr>
        <w:t>future</w:t>
      </w:r>
      <w:r>
        <w:rPr>
          <w:spacing w:val="-9"/>
          <w:sz w:val="24"/>
        </w:rPr>
        <w:t> </w:t>
      </w:r>
      <w:r>
        <w:rPr>
          <w:sz w:val="24"/>
        </w:rPr>
        <w:t>short-term</w:t>
      </w:r>
      <w:r>
        <w:rPr>
          <w:spacing w:val="-10"/>
          <w:sz w:val="24"/>
        </w:rPr>
        <w:t> </w:t>
      </w:r>
      <w:r>
        <w:rPr>
          <w:sz w:val="24"/>
        </w:rPr>
        <w:t>interest</w:t>
      </w:r>
      <w:r>
        <w:rPr>
          <w:spacing w:val="-9"/>
          <w:sz w:val="24"/>
        </w:rPr>
        <w:t> </w:t>
      </w:r>
      <w:r>
        <w:rPr>
          <w:sz w:val="24"/>
        </w:rPr>
        <w:t>rates</w:t>
      </w:r>
      <w:r>
        <w:rPr>
          <w:spacing w:val="-10"/>
          <w:sz w:val="24"/>
        </w:rPr>
        <w:t> </w:t>
      </w:r>
      <w:r>
        <w:rPr>
          <w:sz w:val="24"/>
        </w:rPr>
        <w:t>were</w:t>
      </w:r>
      <w:r>
        <w:rPr>
          <w:spacing w:val="-9"/>
          <w:sz w:val="24"/>
        </w:rPr>
        <w:t> </w:t>
      </w:r>
      <w:r>
        <w:rPr>
          <w:sz w:val="24"/>
        </w:rPr>
        <w:t>slightly higher at the March 1998 maturity but much lower at 1999 and 2000</w:t>
      </w:r>
      <w:r>
        <w:rPr>
          <w:spacing w:val="-22"/>
          <w:sz w:val="24"/>
        </w:rPr>
        <w:t> </w:t>
      </w:r>
      <w:r>
        <w:rPr>
          <w:sz w:val="24"/>
        </w:rPr>
        <w:t>maturities.</w:t>
      </w:r>
    </w:p>
    <w:p>
      <w:pPr>
        <w:pStyle w:val="BodyText"/>
        <w:spacing w:before="1"/>
        <w:rPr>
          <w:sz w:val="32"/>
        </w:rPr>
      </w:pPr>
    </w:p>
    <w:p>
      <w:pPr>
        <w:pStyle w:val="ListParagraph"/>
        <w:numPr>
          <w:ilvl w:val="0"/>
          <w:numId w:val="1"/>
        </w:numPr>
        <w:tabs>
          <w:tab w:pos="704" w:val="left" w:leader="none"/>
        </w:tabs>
        <w:spacing w:line="321" w:lineRule="auto" w:before="0" w:after="0"/>
        <w:ind w:left="277" w:right="267" w:firstLine="0"/>
        <w:jc w:val="left"/>
        <w:rPr>
          <w:sz w:val="24"/>
        </w:rPr>
      </w:pPr>
      <w:r>
        <w:rPr>
          <w:sz w:val="24"/>
        </w:rPr>
        <w:t>The Committee noted that </w:t>
      </w:r>
      <w:r>
        <w:rPr>
          <w:i/>
          <w:sz w:val="24"/>
        </w:rPr>
        <w:t>ex ante </w:t>
      </w:r>
      <w:r>
        <w:rPr>
          <w:sz w:val="24"/>
        </w:rPr>
        <w:t>real interest rates at the two-year maturity appeared to have </w:t>
      </w:r>
      <w:r>
        <w:rPr>
          <w:spacing w:val="-3"/>
          <w:sz w:val="24"/>
        </w:rPr>
        <w:t>fallen sharply </w:t>
      </w:r>
      <w:r>
        <w:rPr>
          <w:sz w:val="24"/>
        </w:rPr>
        <w:t>in the </w:t>
      </w:r>
      <w:r>
        <w:rPr>
          <w:spacing w:val="-3"/>
          <w:sz w:val="24"/>
        </w:rPr>
        <w:t>last month.  Moreover, equity prices </w:t>
      </w:r>
      <w:r>
        <w:rPr>
          <w:sz w:val="24"/>
        </w:rPr>
        <w:t>had </w:t>
      </w:r>
      <w:r>
        <w:rPr>
          <w:spacing w:val="-3"/>
          <w:sz w:val="24"/>
        </w:rPr>
        <w:t>risen </w:t>
      </w:r>
      <w:r>
        <w:rPr>
          <w:sz w:val="24"/>
        </w:rPr>
        <w:t>and </w:t>
      </w:r>
      <w:r>
        <w:rPr>
          <w:spacing w:val="-3"/>
          <w:sz w:val="24"/>
        </w:rPr>
        <w:t>bond yields </w:t>
      </w:r>
      <w:r>
        <w:rPr>
          <w:sz w:val="24"/>
        </w:rPr>
        <w:t>had </w:t>
      </w:r>
      <w:r>
        <w:rPr>
          <w:spacing w:val="-3"/>
          <w:sz w:val="24"/>
        </w:rPr>
        <w:t>fallen, and   </w:t>
      </w:r>
      <w:r>
        <w:rPr>
          <w:sz w:val="24"/>
        </w:rPr>
        <w:t>the exchange rate had depreciated after the </w:t>
      </w:r>
      <w:r>
        <w:rPr>
          <w:i/>
          <w:sz w:val="24"/>
        </w:rPr>
        <w:t>Financial Times </w:t>
      </w:r>
      <w:r>
        <w:rPr>
          <w:sz w:val="24"/>
        </w:rPr>
        <w:t>story suggesting that the United </w:t>
      </w:r>
      <w:r>
        <w:rPr>
          <w:spacing w:val="-3"/>
          <w:sz w:val="24"/>
        </w:rPr>
        <w:t>Kingdom </w:t>
      </w:r>
      <w:r>
        <w:rPr>
          <w:sz w:val="24"/>
        </w:rPr>
        <w:t>was </w:t>
      </w:r>
      <w:r>
        <w:rPr>
          <w:spacing w:val="-3"/>
          <w:sz w:val="24"/>
        </w:rPr>
        <w:t>likely </w:t>
      </w:r>
      <w:r>
        <w:rPr>
          <w:sz w:val="24"/>
        </w:rPr>
        <w:t>to </w:t>
      </w:r>
      <w:r>
        <w:rPr>
          <w:spacing w:val="-3"/>
          <w:sz w:val="24"/>
        </w:rPr>
        <w:t>join </w:t>
      </w:r>
      <w:r>
        <w:rPr>
          <w:sz w:val="24"/>
        </w:rPr>
        <w:t>EMU had </w:t>
      </w:r>
      <w:r>
        <w:rPr>
          <w:spacing w:val="-3"/>
          <w:sz w:val="24"/>
        </w:rPr>
        <w:t>appeared </w:t>
      </w:r>
      <w:r>
        <w:rPr>
          <w:sz w:val="24"/>
        </w:rPr>
        <w:t>on 26 September. While acknowledging that markets</w:t>
      </w:r>
      <w:r>
        <w:rPr>
          <w:spacing w:val="-9"/>
          <w:sz w:val="24"/>
        </w:rPr>
        <w:t> </w:t>
      </w:r>
      <w:r>
        <w:rPr>
          <w:sz w:val="24"/>
        </w:rPr>
        <w:t>were</w:t>
      </w:r>
      <w:r>
        <w:rPr>
          <w:spacing w:val="-9"/>
          <w:sz w:val="24"/>
        </w:rPr>
        <w:t> </w:t>
      </w:r>
      <w:r>
        <w:rPr>
          <w:sz w:val="24"/>
        </w:rPr>
        <w:t>currently</w:t>
      </w:r>
      <w:r>
        <w:rPr>
          <w:spacing w:val="-9"/>
          <w:sz w:val="24"/>
        </w:rPr>
        <w:t> </w:t>
      </w:r>
      <w:r>
        <w:rPr>
          <w:sz w:val="24"/>
        </w:rPr>
        <w:t>more</w:t>
      </w:r>
      <w:r>
        <w:rPr>
          <w:spacing w:val="-9"/>
          <w:sz w:val="24"/>
        </w:rPr>
        <w:t> </w:t>
      </w:r>
      <w:r>
        <w:rPr>
          <w:sz w:val="24"/>
        </w:rPr>
        <w:t>than</w:t>
      </w:r>
      <w:r>
        <w:rPr>
          <w:spacing w:val="-9"/>
          <w:sz w:val="24"/>
        </w:rPr>
        <w:t> </w:t>
      </w:r>
      <w:r>
        <w:rPr>
          <w:sz w:val="24"/>
        </w:rPr>
        <w:t>usually</w:t>
      </w:r>
      <w:r>
        <w:rPr>
          <w:spacing w:val="-9"/>
          <w:sz w:val="24"/>
        </w:rPr>
        <w:t> </w:t>
      </w:r>
      <w:r>
        <w:rPr>
          <w:sz w:val="24"/>
        </w:rPr>
        <w:t>volatile,</w:t>
      </w:r>
      <w:r>
        <w:rPr>
          <w:spacing w:val="-9"/>
          <w:sz w:val="24"/>
        </w:rPr>
        <w:t> </w:t>
      </w:r>
      <w:r>
        <w:rPr>
          <w:sz w:val="24"/>
        </w:rPr>
        <w:t>the</w:t>
      </w:r>
      <w:r>
        <w:rPr>
          <w:spacing w:val="-9"/>
          <w:sz w:val="24"/>
        </w:rPr>
        <w:t> </w:t>
      </w:r>
      <w:r>
        <w:rPr>
          <w:sz w:val="24"/>
        </w:rPr>
        <w:t>Committee</w:t>
      </w:r>
      <w:r>
        <w:rPr>
          <w:spacing w:val="-9"/>
          <w:sz w:val="24"/>
        </w:rPr>
        <w:t> </w:t>
      </w:r>
      <w:r>
        <w:rPr>
          <w:sz w:val="24"/>
        </w:rPr>
        <w:t>felt</w:t>
      </w:r>
      <w:r>
        <w:rPr>
          <w:spacing w:val="-9"/>
          <w:sz w:val="24"/>
        </w:rPr>
        <w:t> </w:t>
      </w:r>
      <w:r>
        <w:rPr>
          <w:sz w:val="24"/>
        </w:rPr>
        <w:t>that</w:t>
      </w:r>
      <w:r>
        <w:rPr>
          <w:spacing w:val="-9"/>
          <w:sz w:val="24"/>
        </w:rPr>
        <w:t> </w:t>
      </w:r>
      <w:r>
        <w:rPr>
          <w:sz w:val="24"/>
        </w:rPr>
        <w:t>the</w:t>
      </w:r>
      <w:r>
        <w:rPr>
          <w:spacing w:val="-9"/>
          <w:sz w:val="24"/>
        </w:rPr>
        <w:t> </w:t>
      </w:r>
      <w:r>
        <w:rPr>
          <w:sz w:val="24"/>
        </w:rPr>
        <w:t>changes</w:t>
      </w:r>
      <w:r>
        <w:rPr>
          <w:spacing w:val="-9"/>
          <w:sz w:val="24"/>
        </w:rPr>
        <w:t> </w:t>
      </w:r>
      <w:r>
        <w:rPr>
          <w:sz w:val="24"/>
        </w:rPr>
        <w:t>that</w:t>
      </w:r>
      <w:r>
        <w:rPr>
          <w:spacing w:val="-8"/>
          <w:sz w:val="24"/>
        </w:rPr>
        <w:t> </w:t>
      </w:r>
      <w:r>
        <w:rPr>
          <w:sz w:val="24"/>
        </w:rPr>
        <w:t>had</w:t>
      </w:r>
      <w:r>
        <w:rPr>
          <w:spacing w:val="-9"/>
          <w:sz w:val="24"/>
        </w:rPr>
        <w:t> </w:t>
      </w:r>
      <w:r>
        <w:rPr>
          <w:sz w:val="24"/>
        </w:rPr>
        <w:t>taken place during the month were likely to have a positive effect on aggregate</w:t>
      </w:r>
      <w:r>
        <w:rPr>
          <w:spacing w:val="-33"/>
          <w:sz w:val="24"/>
        </w:rPr>
        <w:t> </w:t>
      </w:r>
      <w:r>
        <w:rPr>
          <w:sz w:val="24"/>
        </w:rPr>
        <w:t>demand.</w:t>
      </w:r>
    </w:p>
    <w:p>
      <w:pPr>
        <w:spacing w:after="0" w:line="321" w:lineRule="auto"/>
        <w:jc w:val="left"/>
        <w:rPr>
          <w:sz w:val="24"/>
        </w:rPr>
        <w:sectPr>
          <w:pgSz w:w="11900" w:h="16840"/>
          <w:pgMar w:header="719" w:footer="0" w:top="1260" w:bottom="280" w:left="860" w:right="880"/>
        </w:sectPr>
      </w:pPr>
    </w:p>
    <w:p>
      <w:pPr>
        <w:pStyle w:val="BodyText"/>
        <w:rPr>
          <w:sz w:val="20"/>
        </w:rPr>
      </w:pPr>
    </w:p>
    <w:p>
      <w:pPr>
        <w:pStyle w:val="BodyText"/>
        <w:spacing w:before="7"/>
        <w:rPr>
          <w:sz w:val="20"/>
        </w:rPr>
      </w:pPr>
    </w:p>
    <w:p>
      <w:pPr>
        <w:pStyle w:val="Heading1"/>
        <w:spacing w:before="90"/>
      </w:pPr>
      <w:r>
        <w:rPr/>
        <w:t>Summary and policy conclusion</w:t>
      </w:r>
    </w:p>
    <w:p>
      <w:pPr>
        <w:pStyle w:val="BodyText"/>
        <w:rPr>
          <w:b/>
          <w:sz w:val="26"/>
        </w:rPr>
      </w:pPr>
    </w:p>
    <w:p>
      <w:pPr>
        <w:pStyle w:val="ListParagraph"/>
        <w:numPr>
          <w:ilvl w:val="0"/>
          <w:numId w:val="1"/>
        </w:numPr>
        <w:tabs>
          <w:tab w:pos="703" w:val="left" w:leader="none"/>
        </w:tabs>
        <w:spacing w:line="321" w:lineRule="auto" w:before="160" w:after="0"/>
        <w:ind w:left="277" w:right="488" w:firstLine="0"/>
        <w:jc w:val="left"/>
        <w:rPr>
          <w:sz w:val="24"/>
        </w:rPr>
      </w:pPr>
      <w:r>
        <w:rPr>
          <w:sz w:val="24"/>
        </w:rPr>
        <w:t>Though the monetary data now looked a little more encouraging than in previous months </w:t>
      </w:r>
      <w:r>
        <w:rPr>
          <w:spacing w:val="-2"/>
          <w:sz w:val="24"/>
        </w:rPr>
        <w:t>and </w:t>
      </w:r>
      <w:r>
        <w:rPr>
          <w:sz w:val="24"/>
        </w:rPr>
        <w:t>earnings growth had not accelerated, a number of the developments that the Committee </w:t>
      </w:r>
      <w:r>
        <w:rPr>
          <w:spacing w:val="-2"/>
          <w:sz w:val="24"/>
        </w:rPr>
        <w:t>had </w:t>
      </w:r>
      <w:r>
        <w:rPr>
          <w:sz w:val="24"/>
        </w:rPr>
        <w:t>surveyed pointed to somewhat faster output growth than had been expected. It remained probable that economic growth was about to slow down, although one or two quarters later than</w:t>
      </w:r>
      <w:r>
        <w:rPr>
          <w:spacing w:val="30"/>
          <w:sz w:val="24"/>
        </w:rPr>
        <w:t> </w:t>
      </w:r>
      <w:r>
        <w:rPr>
          <w:sz w:val="24"/>
        </w:rPr>
        <w:t>expected.</w:t>
      </w:r>
    </w:p>
    <w:p>
      <w:pPr>
        <w:pStyle w:val="BodyText"/>
        <w:rPr>
          <w:sz w:val="32"/>
        </w:rPr>
      </w:pPr>
    </w:p>
    <w:p>
      <w:pPr>
        <w:pStyle w:val="ListParagraph"/>
        <w:numPr>
          <w:ilvl w:val="0"/>
          <w:numId w:val="1"/>
        </w:numPr>
        <w:tabs>
          <w:tab w:pos="703" w:val="left" w:leader="none"/>
        </w:tabs>
        <w:spacing w:line="321" w:lineRule="auto" w:before="1" w:after="0"/>
        <w:ind w:left="277" w:right="300" w:firstLine="0"/>
        <w:jc w:val="left"/>
        <w:rPr>
          <w:sz w:val="24"/>
        </w:rPr>
      </w:pPr>
      <w:r>
        <w:rPr>
          <w:sz w:val="24"/>
        </w:rPr>
        <w:t>Members discussed how recent developments affected the inflation outlook. Output </w:t>
      </w:r>
      <w:r>
        <w:rPr>
          <w:spacing w:val="-2"/>
          <w:sz w:val="24"/>
        </w:rPr>
        <w:t>and </w:t>
      </w:r>
      <w:r>
        <w:rPr>
          <w:sz w:val="24"/>
        </w:rPr>
        <w:t>demand were stronger in Q3 than had been expected, and it was possible that net exports would remain stronger than projected. Taken together with the effects of changes in asset prices and </w:t>
      </w:r>
      <w:r>
        <w:rPr>
          <w:spacing w:val="-2"/>
          <w:sz w:val="24"/>
        </w:rPr>
        <w:t>the </w:t>
      </w:r>
      <w:r>
        <w:rPr>
          <w:sz w:val="24"/>
        </w:rPr>
        <w:t>exchange</w:t>
      </w:r>
      <w:r>
        <w:rPr>
          <w:spacing w:val="-7"/>
          <w:sz w:val="24"/>
        </w:rPr>
        <w:t> </w:t>
      </w:r>
      <w:r>
        <w:rPr>
          <w:sz w:val="24"/>
        </w:rPr>
        <w:t>rate,</w:t>
      </w:r>
      <w:r>
        <w:rPr>
          <w:spacing w:val="-6"/>
          <w:sz w:val="24"/>
        </w:rPr>
        <w:t> </w:t>
      </w:r>
      <w:r>
        <w:rPr>
          <w:sz w:val="24"/>
        </w:rPr>
        <w:t>this</w:t>
      </w:r>
      <w:r>
        <w:rPr>
          <w:spacing w:val="-6"/>
          <w:sz w:val="24"/>
        </w:rPr>
        <w:t> </w:t>
      </w:r>
      <w:r>
        <w:rPr>
          <w:sz w:val="24"/>
        </w:rPr>
        <w:t>suggested</w:t>
      </w:r>
      <w:r>
        <w:rPr>
          <w:spacing w:val="-7"/>
          <w:sz w:val="24"/>
        </w:rPr>
        <w:t> </w:t>
      </w:r>
      <w:r>
        <w:rPr>
          <w:sz w:val="24"/>
        </w:rPr>
        <w:t>that</w:t>
      </w:r>
      <w:r>
        <w:rPr>
          <w:spacing w:val="-6"/>
          <w:sz w:val="24"/>
        </w:rPr>
        <w:t> </w:t>
      </w:r>
      <w:r>
        <w:rPr>
          <w:sz w:val="24"/>
        </w:rPr>
        <w:t>the</w:t>
      </w:r>
      <w:r>
        <w:rPr>
          <w:spacing w:val="-6"/>
          <w:sz w:val="24"/>
        </w:rPr>
        <w:t> </w:t>
      </w:r>
      <w:r>
        <w:rPr>
          <w:sz w:val="24"/>
        </w:rPr>
        <w:t>level</w:t>
      </w:r>
      <w:r>
        <w:rPr>
          <w:spacing w:val="-7"/>
          <w:sz w:val="24"/>
        </w:rPr>
        <w:t> </w:t>
      </w:r>
      <w:r>
        <w:rPr>
          <w:sz w:val="24"/>
        </w:rPr>
        <w:t>of</w:t>
      </w:r>
      <w:r>
        <w:rPr>
          <w:spacing w:val="-6"/>
          <w:sz w:val="24"/>
        </w:rPr>
        <w:t> </w:t>
      </w:r>
      <w:r>
        <w:rPr>
          <w:sz w:val="24"/>
        </w:rPr>
        <w:t>output</w:t>
      </w:r>
      <w:r>
        <w:rPr>
          <w:spacing w:val="-6"/>
          <w:sz w:val="24"/>
        </w:rPr>
        <w:t> </w:t>
      </w:r>
      <w:r>
        <w:rPr>
          <w:sz w:val="24"/>
        </w:rPr>
        <w:t>might</w:t>
      </w:r>
      <w:r>
        <w:rPr>
          <w:spacing w:val="-6"/>
          <w:sz w:val="24"/>
        </w:rPr>
        <w:t> </w:t>
      </w:r>
      <w:r>
        <w:rPr>
          <w:sz w:val="24"/>
        </w:rPr>
        <w:t>be</w:t>
      </w:r>
      <w:r>
        <w:rPr>
          <w:spacing w:val="-7"/>
          <w:sz w:val="24"/>
        </w:rPr>
        <w:t> </w:t>
      </w:r>
      <w:r>
        <w:rPr>
          <w:sz w:val="24"/>
        </w:rPr>
        <w:t>higher</w:t>
      </w:r>
      <w:r>
        <w:rPr>
          <w:spacing w:val="-6"/>
          <w:sz w:val="24"/>
        </w:rPr>
        <w:t> </w:t>
      </w:r>
      <w:r>
        <w:rPr>
          <w:sz w:val="24"/>
        </w:rPr>
        <w:t>than</w:t>
      </w:r>
      <w:r>
        <w:rPr>
          <w:spacing w:val="-6"/>
          <w:sz w:val="24"/>
        </w:rPr>
        <w:t> </w:t>
      </w:r>
      <w:r>
        <w:rPr>
          <w:sz w:val="24"/>
        </w:rPr>
        <w:t>expected</w:t>
      </w:r>
      <w:r>
        <w:rPr>
          <w:spacing w:val="-7"/>
          <w:sz w:val="24"/>
        </w:rPr>
        <w:t> </w:t>
      </w:r>
      <w:r>
        <w:rPr>
          <w:sz w:val="24"/>
        </w:rPr>
        <w:t>in</w:t>
      </w:r>
      <w:r>
        <w:rPr>
          <w:spacing w:val="-6"/>
          <w:sz w:val="24"/>
        </w:rPr>
        <w:t> </w:t>
      </w:r>
      <w:r>
        <w:rPr>
          <w:sz w:val="24"/>
        </w:rPr>
        <w:t>relation</w:t>
      </w:r>
      <w:r>
        <w:rPr>
          <w:spacing w:val="-6"/>
          <w:sz w:val="24"/>
        </w:rPr>
        <w:t> </w:t>
      </w:r>
      <w:r>
        <w:rPr>
          <w:sz w:val="24"/>
        </w:rPr>
        <w:t>to</w:t>
      </w:r>
      <w:r>
        <w:rPr>
          <w:spacing w:val="-6"/>
          <w:sz w:val="24"/>
        </w:rPr>
        <w:t> </w:t>
      </w:r>
      <w:r>
        <w:rPr>
          <w:spacing w:val="-2"/>
          <w:sz w:val="24"/>
        </w:rPr>
        <w:t>the </w:t>
      </w:r>
      <w:r>
        <w:rPr>
          <w:sz w:val="24"/>
        </w:rPr>
        <w:t>productive capacity of the economy, so that inflation might be higher than the August projection. The</w:t>
      </w:r>
      <w:r>
        <w:rPr>
          <w:spacing w:val="-8"/>
          <w:sz w:val="24"/>
        </w:rPr>
        <w:t> </w:t>
      </w:r>
      <w:r>
        <w:rPr>
          <w:sz w:val="24"/>
        </w:rPr>
        <w:t>absence</w:t>
      </w:r>
      <w:r>
        <w:rPr>
          <w:spacing w:val="-8"/>
          <w:sz w:val="24"/>
        </w:rPr>
        <w:t> </w:t>
      </w:r>
      <w:r>
        <w:rPr>
          <w:sz w:val="24"/>
        </w:rPr>
        <w:t>of</w:t>
      </w:r>
      <w:r>
        <w:rPr>
          <w:spacing w:val="-8"/>
          <w:sz w:val="24"/>
        </w:rPr>
        <w:t> </w:t>
      </w:r>
      <w:r>
        <w:rPr>
          <w:sz w:val="24"/>
        </w:rPr>
        <w:t>much</w:t>
      </w:r>
      <w:r>
        <w:rPr>
          <w:spacing w:val="-8"/>
          <w:sz w:val="24"/>
        </w:rPr>
        <w:t> </w:t>
      </w:r>
      <w:r>
        <w:rPr>
          <w:sz w:val="24"/>
        </w:rPr>
        <w:t>reduction</w:t>
      </w:r>
      <w:r>
        <w:rPr>
          <w:spacing w:val="-8"/>
          <w:sz w:val="24"/>
        </w:rPr>
        <w:t> </w:t>
      </w:r>
      <w:r>
        <w:rPr>
          <w:sz w:val="24"/>
        </w:rPr>
        <w:t>in</w:t>
      </w:r>
      <w:r>
        <w:rPr>
          <w:spacing w:val="-7"/>
          <w:sz w:val="24"/>
        </w:rPr>
        <w:t> </w:t>
      </w:r>
      <w:r>
        <w:rPr>
          <w:sz w:val="24"/>
        </w:rPr>
        <w:t>RPIX</w:t>
      </w:r>
      <w:r>
        <w:rPr>
          <w:spacing w:val="-8"/>
          <w:sz w:val="24"/>
        </w:rPr>
        <w:t> </w:t>
      </w:r>
      <w:r>
        <w:rPr>
          <w:sz w:val="24"/>
        </w:rPr>
        <w:t>inflation</w:t>
      </w:r>
      <w:r>
        <w:rPr>
          <w:spacing w:val="-8"/>
          <w:sz w:val="24"/>
        </w:rPr>
        <w:t> </w:t>
      </w:r>
      <w:r>
        <w:rPr>
          <w:sz w:val="24"/>
        </w:rPr>
        <w:t>in</w:t>
      </w:r>
      <w:r>
        <w:rPr>
          <w:spacing w:val="-8"/>
          <w:sz w:val="24"/>
        </w:rPr>
        <w:t> </w:t>
      </w:r>
      <w:r>
        <w:rPr>
          <w:sz w:val="24"/>
        </w:rPr>
        <w:t>the</w:t>
      </w:r>
      <w:r>
        <w:rPr>
          <w:spacing w:val="-8"/>
          <w:sz w:val="24"/>
        </w:rPr>
        <w:t> </w:t>
      </w:r>
      <w:r>
        <w:rPr>
          <w:sz w:val="24"/>
        </w:rPr>
        <w:t>past</w:t>
      </w:r>
      <w:r>
        <w:rPr>
          <w:spacing w:val="-8"/>
          <w:sz w:val="24"/>
        </w:rPr>
        <w:t> </w:t>
      </w:r>
      <w:r>
        <w:rPr>
          <w:sz w:val="24"/>
        </w:rPr>
        <w:t>few</w:t>
      </w:r>
      <w:r>
        <w:rPr>
          <w:spacing w:val="-8"/>
          <w:sz w:val="24"/>
        </w:rPr>
        <w:t> </w:t>
      </w:r>
      <w:r>
        <w:rPr>
          <w:sz w:val="24"/>
        </w:rPr>
        <w:t>months</w:t>
      </w:r>
      <w:r>
        <w:rPr>
          <w:spacing w:val="-7"/>
          <w:sz w:val="24"/>
        </w:rPr>
        <w:t> </w:t>
      </w:r>
      <w:r>
        <w:rPr>
          <w:sz w:val="24"/>
        </w:rPr>
        <w:t>suggested</w:t>
      </w:r>
      <w:r>
        <w:rPr>
          <w:spacing w:val="-8"/>
          <w:sz w:val="24"/>
        </w:rPr>
        <w:t> </w:t>
      </w:r>
      <w:r>
        <w:rPr>
          <w:sz w:val="24"/>
        </w:rPr>
        <w:t>that</w:t>
      </w:r>
      <w:r>
        <w:rPr>
          <w:spacing w:val="-8"/>
          <w:sz w:val="24"/>
        </w:rPr>
        <w:t> </w:t>
      </w:r>
      <w:r>
        <w:rPr>
          <w:sz w:val="24"/>
        </w:rPr>
        <w:t>the</w:t>
      </w:r>
      <w:r>
        <w:rPr>
          <w:spacing w:val="-8"/>
          <w:sz w:val="24"/>
        </w:rPr>
        <w:t> </w:t>
      </w:r>
      <w:r>
        <w:rPr>
          <w:sz w:val="24"/>
        </w:rPr>
        <w:t>expected dip in the twelve-month rate of inflation might be shallower than previously thought, and that when inflation began to increase it would do so from a higher starting</w:t>
      </w:r>
      <w:r>
        <w:rPr>
          <w:spacing w:val="-18"/>
          <w:sz w:val="24"/>
        </w:rPr>
        <w:t> </w:t>
      </w:r>
      <w:r>
        <w:rPr>
          <w:sz w:val="24"/>
        </w:rPr>
        <w:t>rate.</w:t>
      </w:r>
    </w:p>
    <w:p>
      <w:pPr>
        <w:pStyle w:val="BodyText"/>
        <w:spacing w:before="11"/>
        <w:rPr>
          <w:sz w:val="31"/>
        </w:rPr>
      </w:pPr>
    </w:p>
    <w:p>
      <w:pPr>
        <w:pStyle w:val="ListParagraph"/>
        <w:numPr>
          <w:ilvl w:val="0"/>
          <w:numId w:val="1"/>
        </w:numPr>
        <w:tabs>
          <w:tab w:pos="702" w:val="left" w:leader="none"/>
        </w:tabs>
        <w:spacing w:line="321" w:lineRule="auto" w:before="0" w:after="0"/>
        <w:ind w:left="277" w:right="300" w:firstLine="0"/>
        <w:jc w:val="left"/>
        <w:rPr>
          <w:sz w:val="24"/>
        </w:rPr>
      </w:pPr>
      <w:r>
        <w:rPr>
          <w:sz w:val="24"/>
        </w:rPr>
        <w:t>Members discussed how policy should react to this situation, bearing in mind the statement in the</w:t>
      </w:r>
      <w:r>
        <w:rPr>
          <w:spacing w:val="-6"/>
          <w:sz w:val="24"/>
        </w:rPr>
        <w:t> </w:t>
      </w:r>
      <w:r>
        <w:rPr>
          <w:sz w:val="24"/>
        </w:rPr>
        <w:t>August</w:t>
      </w:r>
      <w:r>
        <w:rPr>
          <w:spacing w:val="-5"/>
          <w:sz w:val="24"/>
        </w:rPr>
        <w:t> </w:t>
      </w:r>
      <w:r>
        <w:rPr>
          <w:i/>
          <w:sz w:val="24"/>
        </w:rPr>
        <w:t>Inflation</w:t>
      </w:r>
      <w:r>
        <w:rPr>
          <w:i/>
          <w:spacing w:val="-5"/>
          <w:sz w:val="24"/>
        </w:rPr>
        <w:t> </w:t>
      </w:r>
      <w:r>
        <w:rPr>
          <w:i/>
          <w:sz w:val="24"/>
        </w:rPr>
        <w:t>Report</w:t>
      </w:r>
      <w:r>
        <w:rPr>
          <w:i/>
          <w:spacing w:val="-5"/>
          <w:sz w:val="24"/>
        </w:rPr>
        <w:t> </w:t>
      </w:r>
      <w:r>
        <w:rPr>
          <w:sz w:val="24"/>
        </w:rPr>
        <w:t>that</w:t>
      </w:r>
      <w:r>
        <w:rPr>
          <w:spacing w:val="-6"/>
          <w:sz w:val="24"/>
        </w:rPr>
        <w:t> </w:t>
      </w:r>
      <w:r>
        <w:rPr>
          <w:sz w:val="24"/>
        </w:rPr>
        <w:t>‘...</w:t>
      </w:r>
      <w:r>
        <w:rPr>
          <w:spacing w:val="-6"/>
          <w:sz w:val="24"/>
        </w:rPr>
        <w:t> </w:t>
      </w:r>
      <w:r>
        <w:rPr>
          <w:sz w:val="24"/>
        </w:rPr>
        <w:t>the</w:t>
      </w:r>
      <w:r>
        <w:rPr>
          <w:spacing w:val="-6"/>
          <w:sz w:val="24"/>
        </w:rPr>
        <w:t> </w:t>
      </w:r>
      <w:r>
        <w:rPr>
          <w:sz w:val="24"/>
        </w:rPr>
        <w:t>Monetary</w:t>
      </w:r>
      <w:r>
        <w:rPr>
          <w:spacing w:val="-6"/>
          <w:sz w:val="24"/>
        </w:rPr>
        <w:t> </w:t>
      </w:r>
      <w:r>
        <w:rPr>
          <w:sz w:val="24"/>
        </w:rPr>
        <w:t>Policy</w:t>
      </w:r>
      <w:r>
        <w:rPr>
          <w:spacing w:val="-6"/>
          <w:sz w:val="24"/>
        </w:rPr>
        <w:t> </w:t>
      </w:r>
      <w:r>
        <w:rPr>
          <w:sz w:val="24"/>
        </w:rPr>
        <w:t>Committee</w:t>
      </w:r>
      <w:r>
        <w:rPr>
          <w:spacing w:val="-6"/>
          <w:sz w:val="24"/>
        </w:rPr>
        <w:t> </w:t>
      </w:r>
      <w:r>
        <w:rPr>
          <w:sz w:val="24"/>
        </w:rPr>
        <w:t>concluded</w:t>
      </w:r>
      <w:r>
        <w:rPr>
          <w:spacing w:val="-6"/>
          <w:sz w:val="24"/>
        </w:rPr>
        <w:t> </w:t>
      </w:r>
      <w:r>
        <w:rPr>
          <w:sz w:val="24"/>
        </w:rPr>
        <w:t>that</w:t>
      </w:r>
      <w:r>
        <w:rPr>
          <w:spacing w:val="-6"/>
          <w:sz w:val="24"/>
        </w:rPr>
        <w:t> </w:t>
      </w:r>
      <w:r>
        <w:rPr>
          <w:sz w:val="24"/>
        </w:rPr>
        <w:t>monetary</w:t>
      </w:r>
      <w:r>
        <w:rPr>
          <w:spacing w:val="-7"/>
          <w:sz w:val="24"/>
        </w:rPr>
        <w:t> </w:t>
      </w:r>
      <w:r>
        <w:rPr>
          <w:spacing w:val="-2"/>
          <w:sz w:val="24"/>
        </w:rPr>
        <w:t>policy </w:t>
      </w:r>
      <w:r>
        <w:rPr>
          <w:sz w:val="24"/>
        </w:rPr>
        <w:t>has now reached a position at which it should be possible to pause in order to assess the direction in </w:t>
      </w:r>
      <w:r>
        <w:rPr>
          <w:spacing w:val="-3"/>
          <w:sz w:val="24"/>
        </w:rPr>
        <w:t>which </w:t>
      </w:r>
      <w:r>
        <w:rPr>
          <w:sz w:val="24"/>
        </w:rPr>
        <w:t>the </w:t>
      </w:r>
      <w:r>
        <w:rPr>
          <w:spacing w:val="-3"/>
          <w:sz w:val="24"/>
        </w:rPr>
        <w:t>risks </w:t>
      </w:r>
      <w:r>
        <w:rPr>
          <w:sz w:val="24"/>
        </w:rPr>
        <w:t>are </w:t>
      </w:r>
      <w:r>
        <w:rPr>
          <w:spacing w:val="-3"/>
          <w:sz w:val="24"/>
        </w:rPr>
        <w:t>likely </w:t>
      </w:r>
      <w:r>
        <w:rPr>
          <w:sz w:val="24"/>
        </w:rPr>
        <w:t>to</w:t>
      </w:r>
      <w:r>
        <w:rPr>
          <w:spacing w:val="2"/>
          <w:sz w:val="24"/>
        </w:rPr>
        <w:t> </w:t>
      </w:r>
      <w:r>
        <w:rPr>
          <w:spacing w:val="-3"/>
          <w:sz w:val="24"/>
        </w:rPr>
        <w:t>materialise’.</w:t>
      </w:r>
    </w:p>
    <w:p>
      <w:pPr>
        <w:pStyle w:val="BodyText"/>
        <w:spacing w:before="1"/>
        <w:rPr>
          <w:sz w:val="32"/>
        </w:rPr>
      </w:pPr>
    </w:p>
    <w:p>
      <w:pPr>
        <w:pStyle w:val="ListParagraph"/>
        <w:numPr>
          <w:ilvl w:val="0"/>
          <w:numId w:val="1"/>
        </w:numPr>
        <w:tabs>
          <w:tab w:pos="640" w:val="left" w:leader="none"/>
        </w:tabs>
        <w:spacing w:line="321" w:lineRule="auto" w:before="0" w:after="0"/>
        <w:ind w:left="277" w:right="281" w:firstLine="0"/>
        <w:jc w:val="left"/>
        <w:rPr>
          <w:sz w:val="24"/>
        </w:rPr>
      </w:pPr>
      <w:r>
        <w:rPr>
          <w:sz w:val="24"/>
        </w:rPr>
        <w:t>Members considered whether a rise in interest rates was needed in order to meet the inflation target. The prospects for weaker net trade - supported by survey evidence of lower exports in the near term - suggested that output growth was likely to fall. Two possible interpretations of this outlook were discussed. The first was that the impact on domestic demand of the monetary </w:t>
      </w:r>
      <w:r>
        <w:rPr>
          <w:spacing w:val="-2"/>
          <w:sz w:val="24"/>
        </w:rPr>
        <w:t>and </w:t>
      </w:r>
      <w:r>
        <w:rPr>
          <w:sz w:val="24"/>
        </w:rPr>
        <w:t>fiscal</w:t>
      </w:r>
      <w:r>
        <w:rPr>
          <w:spacing w:val="-7"/>
          <w:sz w:val="24"/>
        </w:rPr>
        <w:t> </w:t>
      </w:r>
      <w:r>
        <w:rPr>
          <w:sz w:val="24"/>
        </w:rPr>
        <w:t>tightening</w:t>
      </w:r>
      <w:r>
        <w:rPr>
          <w:spacing w:val="-6"/>
          <w:sz w:val="24"/>
        </w:rPr>
        <w:t> </w:t>
      </w:r>
      <w:r>
        <w:rPr>
          <w:sz w:val="24"/>
        </w:rPr>
        <w:t>earlier</w:t>
      </w:r>
      <w:r>
        <w:rPr>
          <w:spacing w:val="-7"/>
          <w:sz w:val="24"/>
        </w:rPr>
        <w:t> </w:t>
      </w:r>
      <w:r>
        <w:rPr>
          <w:sz w:val="24"/>
        </w:rPr>
        <w:t>this</w:t>
      </w:r>
      <w:r>
        <w:rPr>
          <w:spacing w:val="-6"/>
          <w:sz w:val="24"/>
        </w:rPr>
        <w:t> </w:t>
      </w:r>
      <w:r>
        <w:rPr>
          <w:sz w:val="24"/>
        </w:rPr>
        <w:t>year</w:t>
      </w:r>
      <w:r>
        <w:rPr>
          <w:spacing w:val="-7"/>
          <w:sz w:val="24"/>
        </w:rPr>
        <w:t> </w:t>
      </w:r>
      <w:r>
        <w:rPr>
          <w:sz w:val="24"/>
        </w:rPr>
        <w:t>would</w:t>
      </w:r>
      <w:r>
        <w:rPr>
          <w:spacing w:val="-6"/>
          <w:sz w:val="24"/>
        </w:rPr>
        <w:t> </w:t>
      </w:r>
      <w:r>
        <w:rPr>
          <w:sz w:val="24"/>
        </w:rPr>
        <w:t>be</w:t>
      </w:r>
      <w:r>
        <w:rPr>
          <w:spacing w:val="-6"/>
          <w:sz w:val="24"/>
        </w:rPr>
        <w:t> </w:t>
      </w:r>
      <w:r>
        <w:rPr>
          <w:sz w:val="24"/>
        </w:rPr>
        <w:t>sufficient</w:t>
      </w:r>
      <w:r>
        <w:rPr>
          <w:spacing w:val="-7"/>
          <w:sz w:val="24"/>
        </w:rPr>
        <w:t> </w:t>
      </w:r>
      <w:r>
        <w:rPr>
          <w:sz w:val="24"/>
        </w:rPr>
        <w:t>to</w:t>
      </w:r>
      <w:r>
        <w:rPr>
          <w:spacing w:val="-6"/>
          <w:sz w:val="24"/>
        </w:rPr>
        <w:t> </w:t>
      </w:r>
      <w:r>
        <w:rPr>
          <w:sz w:val="24"/>
        </w:rPr>
        <w:t>slow</w:t>
      </w:r>
      <w:r>
        <w:rPr>
          <w:spacing w:val="-7"/>
          <w:sz w:val="24"/>
        </w:rPr>
        <w:t> </w:t>
      </w:r>
      <w:r>
        <w:rPr>
          <w:sz w:val="24"/>
        </w:rPr>
        <w:t>down</w:t>
      </w:r>
      <w:r>
        <w:rPr>
          <w:spacing w:val="-6"/>
          <w:sz w:val="24"/>
        </w:rPr>
        <w:t> </w:t>
      </w:r>
      <w:r>
        <w:rPr>
          <w:sz w:val="24"/>
        </w:rPr>
        <w:t>the</w:t>
      </w:r>
      <w:r>
        <w:rPr>
          <w:spacing w:val="-7"/>
          <w:sz w:val="24"/>
        </w:rPr>
        <w:t> </w:t>
      </w:r>
      <w:r>
        <w:rPr>
          <w:sz w:val="24"/>
        </w:rPr>
        <w:t>economy,</w:t>
      </w:r>
      <w:r>
        <w:rPr>
          <w:spacing w:val="-6"/>
          <w:sz w:val="24"/>
        </w:rPr>
        <w:t> </w:t>
      </w:r>
      <w:r>
        <w:rPr>
          <w:sz w:val="24"/>
        </w:rPr>
        <w:t>and</w:t>
      </w:r>
      <w:r>
        <w:rPr>
          <w:spacing w:val="-6"/>
          <w:sz w:val="24"/>
        </w:rPr>
        <w:t> </w:t>
      </w:r>
      <w:r>
        <w:rPr>
          <w:sz w:val="24"/>
        </w:rPr>
        <w:t>so</w:t>
      </w:r>
      <w:r>
        <w:rPr>
          <w:spacing w:val="-7"/>
          <w:sz w:val="24"/>
        </w:rPr>
        <w:t> </w:t>
      </w:r>
      <w:r>
        <w:rPr>
          <w:sz w:val="24"/>
        </w:rPr>
        <w:t>the</w:t>
      </w:r>
      <w:r>
        <w:rPr>
          <w:spacing w:val="-6"/>
          <w:sz w:val="24"/>
        </w:rPr>
        <w:t> </w:t>
      </w:r>
      <w:r>
        <w:rPr>
          <w:sz w:val="24"/>
        </w:rPr>
        <w:t>need</w:t>
      </w:r>
      <w:r>
        <w:rPr>
          <w:spacing w:val="-7"/>
          <w:sz w:val="24"/>
        </w:rPr>
        <w:t> </w:t>
      </w:r>
      <w:r>
        <w:rPr>
          <w:spacing w:val="-2"/>
          <w:sz w:val="24"/>
        </w:rPr>
        <w:t>for </w:t>
      </w:r>
      <w:r>
        <w:rPr>
          <w:sz w:val="24"/>
        </w:rPr>
        <w:t>a further rise in interest rates was not yet clear.</w:t>
      </w:r>
      <w:r>
        <w:rPr>
          <w:spacing w:val="14"/>
          <w:sz w:val="24"/>
        </w:rPr>
        <w:t> </w:t>
      </w:r>
      <w:r>
        <w:rPr>
          <w:sz w:val="24"/>
        </w:rPr>
        <w:t>One argument in support of that proposition was the failure of earnings growth, adjusting for the timing of bonuses, to rise this year. The </w:t>
      </w:r>
      <w:r>
        <w:rPr>
          <w:spacing w:val="-2"/>
          <w:sz w:val="24"/>
        </w:rPr>
        <w:t>second </w:t>
      </w:r>
      <w:r>
        <w:rPr>
          <w:sz w:val="24"/>
        </w:rPr>
        <w:t>interpretation was that the early indications of strong growth in the third quarter meant that the slowdown had at least been deferred, and so the risks to the inflation outlook were clearly on </w:t>
      </w:r>
      <w:r>
        <w:rPr>
          <w:spacing w:val="-2"/>
          <w:sz w:val="24"/>
        </w:rPr>
        <w:t>the </w:t>
      </w:r>
      <w:r>
        <w:rPr>
          <w:sz w:val="24"/>
        </w:rPr>
        <w:t>upside. On that interpretation, there would need to be a further significant rise in interest rates in order to meet the inflation target. The Committee agreed that it did not, as yet, have sufficient information to feel confident in choosing between these two</w:t>
      </w:r>
      <w:r>
        <w:rPr>
          <w:spacing w:val="-13"/>
          <w:sz w:val="24"/>
        </w:rPr>
        <w:t> </w:t>
      </w:r>
      <w:r>
        <w:rPr>
          <w:sz w:val="24"/>
        </w:rPr>
        <w:t>interpretations.</w:t>
      </w:r>
    </w:p>
    <w:p>
      <w:pPr>
        <w:pStyle w:val="BodyText"/>
        <w:spacing w:before="10"/>
        <w:rPr>
          <w:sz w:val="31"/>
        </w:rPr>
      </w:pPr>
    </w:p>
    <w:p>
      <w:pPr>
        <w:pStyle w:val="ListParagraph"/>
        <w:numPr>
          <w:ilvl w:val="0"/>
          <w:numId w:val="1"/>
        </w:numPr>
        <w:tabs>
          <w:tab w:pos="641" w:val="left" w:leader="none"/>
        </w:tabs>
        <w:spacing w:line="321" w:lineRule="auto" w:before="0" w:after="0"/>
        <w:ind w:left="277" w:right="430" w:firstLine="0"/>
        <w:jc w:val="both"/>
        <w:rPr>
          <w:sz w:val="24"/>
        </w:rPr>
      </w:pPr>
      <w:r>
        <w:rPr>
          <w:sz w:val="24"/>
        </w:rPr>
        <w:t>The</w:t>
      </w:r>
      <w:r>
        <w:rPr>
          <w:spacing w:val="-7"/>
          <w:sz w:val="24"/>
        </w:rPr>
        <w:t> </w:t>
      </w:r>
      <w:r>
        <w:rPr>
          <w:sz w:val="24"/>
        </w:rPr>
        <w:t>Committee</w:t>
      </w:r>
      <w:r>
        <w:rPr>
          <w:spacing w:val="-6"/>
          <w:sz w:val="24"/>
        </w:rPr>
        <w:t> </w:t>
      </w:r>
      <w:r>
        <w:rPr>
          <w:sz w:val="24"/>
        </w:rPr>
        <w:t>considered</w:t>
      </w:r>
      <w:r>
        <w:rPr>
          <w:spacing w:val="-7"/>
          <w:sz w:val="24"/>
        </w:rPr>
        <w:t> </w:t>
      </w:r>
      <w:r>
        <w:rPr>
          <w:sz w:val="24"/>
        </w:rPr>
        <w:t>whether,</w:t>
      </w:r>
      <w:r>
        <w:rPr>
          <w:spacing w:val="-6"/>
          <w:sz w:val="24"/>
        </w:rPr>
        <w:t> </w:t>
      </w:r>
      <w:r>
        <w:rPr>
          <w:sz w:val="24"/>
        </w:rPr>
        <w:t>if</w:t>
      </w:r>
      <w:r>
        <w:rPr>
          <w:spacing w:val="-6"/>
          <w:sz w:val="24"/>
        </w:rPr>
        <w:t> </w:t>
      </w:r>
      <w:r>
        <w:rPr>
          <w:sz w:val="24"/>
        </w:rPr>
        <w:t>a</w:t>
      </w:r>
      <w:r>
        <w:rPr>
          <w:spacing w:val="-7"/>
          <w:sz w:val="24"/>
        </w:rPr>
        <w:t> </w:t>
      </w:r>
      <w:r>
        <w:rPr>
          <w:sz w:val="24"/>
        </w:rPr>
        <w:t>rise</w:t>
      </w:r>
      <w:r>
        <w:rPr>
          <w:spacing w:val="-6"/>
          <w:sz w:val="24"/>
        </w:rPr>
        <w:t> </w:t>
      </w:r>
      <w:r>
        <w:rPr>
          <w:sz w:val="24"/>
        </w:rPr>
        <w:t>in</w:t>
      </w:r>
      <w:r>
        <w:rPr>
          <w:spacing w:val="-6"/>
          <w:sz w:val="24"/>
        </w:rPr>
        <w:t> </w:t>
      </w:r>
      <w:r>
        <w:rPr>
          <w:sz w:val="24"/>
        </w:rPr>
        <w:t>interest</w:t>
      </w:r>
      <w:r>
        <w:rPr>
          <w:spacing w:val="-7"/>
          <w:sz w:val="24"/>
        </w:rPr>
        <w:t> </w:t>
      </w:r>
      <w:r>
        <w:rPr>
          <w:sz w:val="24"/>
        </w:rPr>
        <w:t>rates</w:t>
      </w:r>
      <w:r>
        <w:rPr>
          <w:spacing w:val="-6"/>
          <w:sz w:val="24"/>
        </w:rPr>
        <w:t> </w:t>
      </w:r>
      <w:r>
        <w:rPr>
          <w:sz w:val="24"/>
        </w:rPr>
        <w:t>were</w:t>
      </w:r>
      <w:r>
        <w:rPr>
          <w:spacing w:val="-6"/>
          <w:sz w:val="24"/>
        </w:rPr>
        <w:t> </w:t>
      </w:r>
      <w:r>
        <w:rPr>
          <w:sz w:val="24"/>
        </w:rPr>
        <w:t>needed,</w:t>
      </w:r>
      <w:r>
        <w:rPr>
          <w:spacing w:val="-7"/>
          <w:sz w:val="24"/>
        </w:rPr>
        <w:t> </w:t>
      </w:r>
      <w:r>
        <w:rPr>
          <w:sz w:val="24"/>
        </w:rPr>
        <w:t>it</w:t>
      </w:r>
      <w:r>
        <w:rPr>
          <w:spacing w:val="-6"/>
          <w:sz w:val="24"/>
        </w:rPr>
        <w:t> </w:t>
      </w:r>
      <w:r>
        <w:rPr>
          <w:sz w:val="24"/>
        </w:rPr>
        <w:t>would</w:t>
      </w:r>
      <w:r>
        <w:rPr>
          <w:spacing w:val="-6"/>
          <w:sz w:val="24"/>
        </w:rPr>
        <w:t> </w:t>
      </w:r>
      <w:r>
        <w:rPr>
          <w:sz w:val="24"/>
        </w:rPr>
        <w:t>be</w:t>
      </w:r>
      <w:r>
        <w:rPr>
          <w:spacing w:val="-7"/>
          <w:sz w:val="24"/>
        </w:rPr>
        <w:t> </w:t>
      </w:r>
      <w:r>
        <w:rPr>
          <w:sz w:val="24"/>
        </w:rPr>
        <w:t>better</w:t>
      </w:r>
      <w:r>
        <w:rPr>
          <w:spacing w:val="-6"/>
          <w:sz w:val="24"/>
        </w:rPr>
        <w:t> </w:t>
      </w:r>
      <w:r>
        <w:rPr>
          <w:sz w:val="24"/>
        </w:rPr>
        <w:t>to implement</w:t>
      </w:r>
      <w:r>
        <w:rPr>
          <w:spacing w:val="-8"/>
          <w:sz w:val="24"/>
        </w:rPr>
        <w:t> </w:t>
      </w:r>
      <w:r>
        <w:rPr>
          <w:sz w:val="24"/>
        </w:rPr>
        <w:t>it</w:t>
      </w:r>
      <w:r>
        <w:rPr>
          <w:spacing w:val="47"/>
          <w:sz w:val="24"/>
        </w:rPr>
        <w:t> </w:t>
      </w:r>
      <w:r>
        <w:rPr>
          <w:sz w:val="24"/>
        </w:rPr>
        <w:t>immediately,</w:t>
      </w:r>
      <w:r>
        <w:rPr>
          <w:spacing w:val="-8"/>
          <w:sz w:val="24"/>
        </w:rPr>
        <w:t> </w:t>
      </w:r>
      <w:r>
        <w:rPr>
          <w:sz w:val="24"/>
        </w:rPr>
        <w:t>or</w:t>
      </w:r>
      <w:r>
        <w:rPr>
          <w:spacing w:val="-8"/>
          <w:sz w:val="24"/>
        </w:rPr>
        <w:t> </w:t>
      </w:r>
      <w:r>
        <w:rPr>
          <w:sz w:val="24"/>
        </w:rPr>
        <w:t>to</w:t>
      </w:r>
      <w:r>
        <w:rPr>
          <w:spacing w:val="-7"/>
          <w:sz w:val="24"/>
        </w:rPr>
        <w:t> </w:t>
      </w:r>
      <w:r>
        <w:rPr>
          <w:sz w:val="24"/>
        </w:rPr>
        <w:t>make</w:t>
      </w:r>
      <w:r>
        <w:rPr>
          <w:spacing w:val="-8"/>
          <w:sz w:val="24"/>
        </w:rPr>
        <w:t> </w:t>
      </w:r>
      <w:r>
        <w:rPr>
          <w:sz w:val="24"/>
        </w:rPr>
        <w:t>no</w:t>
      </w:r>
      <w:r>
        <w:rPr>
          <w:spacing w:val="-7"/>
          <w:sz w:val="24"/>
        </w:rPr>
        <w:t> </w:t>
      </w:r>
      <w:r>
        <w:rPr>
          <w:sz w:val="24"/>
        </w:rPr>
        <w:t>change</w:t>
      </w:r>
      <w:r>
        <w:rPr>
          <w:spacing w:val="-8"/>
          <w:sz w:val="24"/>
        </w:rPr>
        <w:t> </w:t>
      </w:r>
      <w:r>
        <w:rPr>
          <w:sz w:val="24"/>
        </w:rPr>
        <w:t>this</w:t>
      </w:r>
      <w:r>
        <w:rPr>
          <w:spacing w:val="-7"/>
          <w:sz w:val="24"/>
        </w:rPr>
        <w:t> </w:t>
      </w:r>
      <w:r>
        <w:rPr>
          <w:sz w:val="24"/>
        </w:rPr>
        <w:t>month</w:t>
      </w:r>
      <w:r>
        <w:rPr>
          <w:spacing w:val="-8"/>
          <w:sz w:val="24"/>
        </w:rPr>
        <w:t> </w:t>
      </w:r>
      <w:r>
        <w:rPr>
          <w:sz w:val="24"/>
        </w:rPr>
        <w:t>but</w:t>
      </w:r>
      <w:r>
        <w:rPr>
          <w:spacing w:val="-7"/>
          <w:sz w:val="24"/>
        </w:rPr>
        <w:t> </w:t>
      </w:r>
      <w:r>
        <w:rPr>
          <w:sz w:val="24"/>
        </w:rPr>
        <w:t>with</w:t>
      </w:r>
      <w:r>
        <w:rPr>
          <w:spacing w:val="-8"/>
          <w:sz w:val="24"/>
        </w:rPr>
        <w:t> </w:t>
      </w:r>
      <w:r>
        <w:rPr>
          <w:sz w:val="24"/>
        </w:rPr>
        <w:t>the</w:t>
      </w:r>
      <w:r>
        <w:rPr>
          <w:spacing w:val="-8"/>
          <w:sz w:val="24"/>
        </w:rPr>
        <w:t> </w:t>
      </w:r>
      <w:r>
        <w:rPr>
          <w:sz w:val="24"/>
        </w:rPr>
        <w:t>expectation</w:t>
      </w:r>
      <w:r>
        <w:rPr>
          <w:spacing w:val="-7"/>
          <w:sz w:val="24"/>
        </w:rPr>
        <w:t> </w:t>
      </w:r>
      <w:r>
        <w:rPr>
          <w:sz w:val="24"/>
        </w:rPr>
        <w:t>of</w:t>
      </w:r>
      <w:r>
        <w:rPr>
          <w:spacing w:val="-8"/>
          <w:sz w:val="24"/>
        </w:rPr>
        <w:t> </w:t>
      </w:r>
      <w:r>
        <w:rPr>
          <w:sz w:val="24"/>
        </w:rPr>
        <w:t>an</w:t>
      </w:r>
      <w:r>
        <w:rPr>
          <w:spacing w:val="-7"/>
          <w:sz w:val="24"/>
        </w:rPr>
        <w:t> </w:t>
      </w:r>
      <w:r>
        <w:rPr>
          <w:sz w:val="24"/>
        </w:rPr>
        <w:t>increase in</w:t>
      </w:r>
      <w:r>
        <w:rPr>
          <w:spacing w:val="-7"/>
          <w:sz w:val="24"/>
        </w:rPr>
        <w:t> </w:t>
      </w:r>
      <w:r>
        <w:rPr>
          <w:sz w:val="24"/>
        </w:rPr>
        <w:t>November.</w:t>
      </w:r>
      <w:r>
        <w:rPr>
          <w:spacing w:val="48"/>
          <w:sz w:val="24"/>
        </w:rPr>
        <w:t> </w:t>
      </w:r>
      <w:r>
        <w:rPr>
          <w:sz w:val="24"/>
        </w:rPr>
        <w:t>The</w:t>
      </w:r>
      <w:r>
        <w:rPr>
          <w:spacing w:val="-7"/>
          <w:sz w:val="24"/>
        </w:rPr>
        <w:t> </w:t>
      </w:r>
      <w:r>
        <w:rPr>
          <w:sz w:val="24"/>
        </w:rPr>
        <w:t>arguments</w:t>
      </w:r>
      <w:r>
        <w:rPr>
          <w:spacing w:val="-7"/>
          <w:sz w:val="24"/>
        </w:rPr>
        <w:t> </w:t>
      </w:r>
      <w:r>
        <w:rPr>
          <w:sz w:val="24"/>
        </w:rPr>
        <w:t>for</w:t>
      </w:r>
      <w:r>
        <w:rPr>
          <w:spacing w:val="-7"/>
          <w:sz w:val="24"/>
        </w:rPr>
        <w:t> </w:t>
      </w:r>
      <w:r>
        <w:rPr>
          <w:sz w:val="24"/>
        </w:rPr>
        <w:t>an</w:t>
      </w:r>
      <w:r>
        <w:rPr>
          <w:spacing w:val="-6"/>
          <w:sz w:val="24"/>
        </w:rPr>
        <w:t> </w:t>
      </w:r>
      <w:r>
        <w:rPr>
          <w:sz w:val="24"/>
        </w:rPr>
        <w:t>immediate</w:t>
      </w:r>
      <w:r>
        <w:rPr>
          <w:spacing w:val="-7"/>
          <w:sz w:val="24"/>
        </w:rPr>
        <w:t> </w:t>
      </w:r>
      <w:r>
        <w:rPr>
          <w:sz w:val="24"/>
        </w:rPr>
        <w:t>move</w:t>
      </w:r>
      <w:r>
        <w:rPr>
          <w:spacing w:val="-7"/>
          <w:sz w:val="24"/>
        </w:rPr>
        <w:t> </w:t>
      </w:r>
      <w:r>
        <w:rPr>
          <w:sz w:val="24"/>
        </w:rPr>
        <w:t>were</w:t>
      </w:r>
      <w:r>
        <w:rPr>
          <w:spacing w:val="-7"/>
          <w:sz w:val="24"/>
        </w:rPr>
        <w:t> </w:t>
      </w:r>
      <w:r>
        <w:rPr>
          <w:sz w:val="24"/>
        </w:rPr>
        <w:t>that</w:t>
      </w:r>
      <w:r>
        <w:rPr>
          <w:spacing w:val="-7"/>
          <w:sz w:val="24"/>
        </w:rPr>
        <w:t> </w:t>
      </w:r>
      <w:r>
        <w:rPr>
          <w:sz w:val="24"/>
        </w:rPr>
        <w:t>any</w:t>
      </w:r>
      <w:r>
        <w:rPr>
          <w:spacing w:val="-6"/>
          <w:sz w:val="24"/>
        </w:rPr>
        <w:t> </w:t>
      </w:r>
      <w:r>
        <w:rPr>
          <w:sz w:val="24"/>
        </w:rPr>
        <w:t>delay</w:t>
      </w:r>
      <w:r>
        <w:rPr>
          <w:spacing w:val="-7"/>
          <w:sz w:val="24"/>
        </w:rPr>
        <w:t> </w:t>
      </w:r>
      <w:r>
        <w:rPr>
          <w:sz w:val="24"/>
        </w:rPr>
        <w:t>would</w:t>
      </w:r>
      <w:r>
        <w:rPr>
          <w:spacing w:val="-7"/>
          <w:sz w:val="24"/>
        </w:rPr>
        <w:t> </w:t>
      </w:r>
      <w:r>
        <w:rPr>
          <w:sz w:val="24"/>
        </w:rPr>
        <w:t>carry</w:t>
      </w:r>
      <w:r>
        <w:rPr>
          <w:spacing w:val="-7"/>
          <w:sz w:val="24"/>
        </w:rPr>
        <w:t> </w:t>
      </w:r>
      <w:r>
        <w:rPr>
          <w:sz w:val="24"/>
        </w:rPr>
        <w:t>the</w:t>
      </w:r>
      <w:r>
        <w:rPr>
          <w:spacing w:val="-7"/>
          <w:sz w:val="24"/>
        </w:rPr>
        <w:t> </w:t>
      </w:r>
      <w:r>
        <w:rPr>
          <w:sz w:val="24"/>
        </w:rPr>
        <w:t>risk</w:t>
      </w:r>
      <w:r>
        <w:rPr>
          <w:spacing w:val="-6"/>
          <w:sz w:val="24"/>
        </w:rPr>
        <w:t> </w:t>
      </w:r>
      <w:r>
        <w:rPr>
          <w:sz w:val="24"/>
        </w:rPr>
        <w:t>that</w:t>
      </w:r>
    </w:p>
    <w:p>
      <w:pPr>
        <w:spacing w:after="0" w:line="321" w:lineRule="auto"/>
        <w:jc w:val="both"/>
        <w:rPr>
          <w:sz w:val="24"/>
        </w:rPr>
        <w:sectPr>
          <w:pgSz w:w="11900" w:h="16840"/>
          <w:pgMar w:header="719" w:footer="0" w:top="1260" w:bottom="280" w:left="860" w:right="880"/>
        </w:sectPr>
      </w:pPr>
    </w:p>
    <w:p>
      <w:pPr>
        <w:pStyle w:val="BodyText"/>
        <w:spacing w:line="321" w:lineRule="auto" w:before="183"/>
        <w:ind w:left="277" w:right="304"/>
      </w:pPr>
      <w:r>
        <w:rPr/>
        <w:t>the</w:t>
      </w:r>
      <w:r>
        <w:rPr>
          <w:spacing w:val="-7"/>
        </w:rPr>
        <w:t> </w:t>
      </w:r>
      <w:r>
        <w:rPr/>
        <w:t>eventual</w:t>
      </w:r>
      <w:r>
        <w:rPr>
          <w:spacing w:val="-7"/>
        </w:rPr>
        <w:t> </w:t>
      </w:r>
      <w:r>
        <w:rPr/>
        <w:t>increase</w:t>
      </w:r>
      <w:r>
        <w:rPr>
          <w:spacing w:val="-6"/>
        </w:rPr>
        <w:t> </w:t>
      </w:r>
      <w:r>
        <w:rPr/>
        <w:t>might</w:t>
      </w:r>
      <w:r>
        <w:rPr>
          <w:spacing w:val="-7"/>
        </w:rPr>
        <w:t> </w:t>
      </w:r>
      <w:r>
        <w:rPr/>
        <w:t>need</w:t>
      </w:r>
      <w:r>
        <w:rPr>
          <w:spacing w:val="-6"/>
        </w:rPr>
        <w:t> </w:t>
      </w:r>
      <w:r>
        <w:rPr/>
        <w:t>to</w:t>
      </w:r>
      <w:r>
        <w:rPr>
          <w:spacing w:val="-7"/>
        </w:rPr>
        <w:t> </w:t>
      </w:r>
      <w:r>
        <w:rPr/>
        <w:t>be</w:t>
      </w:r>
      <w:r>
        <w:rPr>
          <w:spacing w:val="-6"/>
        </w:rPr>
        <w:t> </w:t>
      </w:r>
      <w:r>
        <w:rPr/>
        <w:t>larger</w:t>
      </w:r>
      <w:r>
        <w:rPr>
          <w:spacing w:val="-7"/>
        </w:rPr>
        <w:t> </w:t>
      </w:r>
      <w:r>
        <w:rPr/>
        <w:t>than</w:t>
      </w:r>
      <w:r>
        <w:rPr>
          <w:spacing w:val="-7"/>
        </w:rPr>
        <w:t> </w:t>
      </w:r>
      <w:r>
        <w:rPr/>
        <w:t>would</w:t>
      </w:r>
      <w:r>
        <w:rPr>
          <w:spacing w:val="-6"/>
        </w:rPr>
        <w:t> </w:t>
      </w:r>
      <w:r>
        <w:rPr/>
        <w:t>otherwise</w:t>
      </w:r>
      <w:r>
        <w:rPr>
          <w:spacing w:val="-7"/>
        </w:rPr>
        <w:t> </w:t>
      </w:r>
      <w:r>
        <w:rPr/>
        <w:t>have</w:t>
      </w:r>
      <w:r>
        <w:rPr>
          <w:spacing w:val="-6"/>
        </w:rPr>
        <w:t> </w:t>
      </w:r>
      <w:r>
        <w:rPr/>
        <w:t>been</w:t>
      </w:r>
      <w:r>
        <w:rPr>
          <w:spacing w:val="-7"/>
        </w:rPr>
        <w:t> </w:t>
      </w:r>
      <w:r>
        <w:rPr/>
        <w:t>the</w:t>
      </w:r>
      <w:r>
        <w:rPr>
          <w:spacing w:val="-6"/>
        </w:rPr>
        <w:t> </w:t>
      </w:r>
      <w:r>
        <w:rPr/>
        <w:t>case.</w:t>
      </w:r>
      <w:r>
        <w:rPr>
          <w:spacing w:val="47"/>
        </w:rPr>
        <w:t> </w:t>
      </w:r>
      <w:r>
        <w:rPr/>
        <w:t>Moreover,</w:t>
      </w:r>
      <w:r>
        <w:rPr>
          <w:spacing w:val="-6"/>
        </w:rPr>
        <w:t> </w:t>
      </w:r>
      <w:r>
        <w:rPr/>
        <w:t>if there was an inhibition about moving other than in steps of ¼%, and the necessary increase </w:t>
      </w:r>
      <w:r>
        <w:rPr>
          <w:spacing w:val="-2"/>
        </w:rPr>
        <w:t>was </w:t>
      </w:r>
      <w:r>
        <w:rPr/>
        <w:t>more than ¼%, then it would be better to start the process of increasing rates immediately. </w:t>
      </w:r>
      <w:r>
        <w:rPr>
          <w:spacing w:val="-2"/>
        </w:rPr>
        <w:t>The </w:t>
      </w:r>
      <w:r>
        <w:rPr/>
        <w:t>arguments for waiting a month before raising interest rates were as follows. First, in practice it </w:t>
      </w:r>
      <w:r>
        <w:rPr>
          <w:spacing w:val="-2"/>
        </w:rPr>
        <w:t>was </w:t>
      </w:r>
      <w:r>
        <w:rPr>
          <w:spacing w:val="-3"/>
        </w:rPr>
        <w:t>unlikely that </w:t>
      </w:r>
      <w:r>
        <w:rPr/>
        <w:t>a </w:t>
      </w:r>
      <w:r>
        <w:rPr>
          <w:spacing w:val="-3"/>
        </w:rPr>
        <w:t>delay </w:t>
      </w:r>
      <w:r>
        <w:rPr/>
        <w:t>of a </w:t>
      </w:r>
      <w:r>
        <w:rPr>
          <w:spacing w:val="-3"/>
        </w:rPr>
        <w:t>month would make </w:t>
      </w:r>
      <w:r>
        <w:rPr/>
        <w:t>a </w:t>
      </w:r>
      <w:r>
        <w:rPr>
          <w:spacing w:val="-3"/>
        </w:rPr>
        <w:t>significant difference </w:t>
      </w:r>
      <w:r>
        <w:rPr/>
        <w:t>to the </w:t>
      </w:r>
      <w:r>
        <w:rPr>
          <w:spacing w:val="-3"/>
        </w:rPr>
        <w:t>economic impact </w:t>
      </w:r>
      <w:r>
        <w:rPr/>
        <w:t>of a </w:t>
      </w:r>
      <w:r>
        <w:rPr>
          <w:spacing w:val="-3"/>
        </w:rPr>
        <w:t>rise </w:t>
      </w:r>
      <w:r>
        <w:rPr/>
        <w:t>in interest rates, should a rise prove necessary. Second, there was no reason why interest rates should not move in steps of more than ¼%, or indeed less, if circumstances warranted it. Third, a large amount of quarterly information would become available before the next meeting - the </w:t>
      </w:r>
      <w:r>
        <w:rPr>
          <w:spacing w:val="-2"/>
        </w:rPr>
        <w:t>CBI </w:t>
      </w:r>
      <w:r>
        <w:rPr/>
        <w:t>quarterly survey, the preliminary estimate of GDP in Q3, the Labour Force Survey, the money </w:t>
      </w:r>
      <w:r>
        <w:rPr>
          <w:spacing w:val="-3"/>
        </w:rPr>
        <w:t>figures </w:t>
      </w:r>
      <w:r>
        <w:rPr/>
        <w:t>for Q3, </w:t>
      </w:r>
      <w:r>
        <w:rPr>
          <w:spacing w:val="-3"/>
        </w:rPr>
        <w:t>including sectoral money holdings </w:t>
      </w:r>
      <w:r>
        <w:rPr/>
        <w:t>and </w:t>
      </w:r>
      <w:r>
        <w:rPr>
          <w:spacing w:val="-3"/>
        </w:rPr>
        <w:t>estimates </w:t>
      </w:r>
      <w:r>
        <w:rPr/>
        <w:t>of </w:t>
      </w:r>
      <w:r>
        <w:rPr>
          <w:spacing w:val="-3"/>
        </w:rPr>
        <w:t>Divisia money. Moreover, work </w:t>
      </w:r>
      <w:r>
        <w:rPr/>
        <w:t>on the November </w:t>
      </w:r>
      <w:r>
        <w:rPr>
          <w:i/>
        </w:rPr>
        <w:t>Inflation Report, </w:t>
      </w:r>
      <w:r>
        <w:rPr/>
        <w:t>which would take place before the next meeting, would </w:t>
      </w:r>
      <w:r>
        <w:rPr>
          <w:spacing w:val="-2"/>
        </w:rPr>
        <w:t>enable </w:t>
      </w:r>
      <w:r>
        <w:rPr/>
        <w:t>the Committee to make a new inflation forecast. Members preferred to wait another month to </w:t>
      </w:r>
      <w:r>
        <w:rPr>
          <w:spacing w:val="-2"/>
        </w:rPr>
        <w:t>see </w:t>
      </w:r>
      <w:r>
        <w:rPr/>
        <w:t>how the evidence on the balance of risks</w:t>
      </w:r>
      <w:r>
        <w:rPr>
          <w:spacing w:val="-5"/>
        </w:rPr>
        <w:t> </w:t>
      </w:r>
      <w:r>
        <w:rPr>
          <w:spacing w:val="-2"/>
        </w:rPr>
        <w:t>accumulated.</w:t>
      </w:r>
    </w:p>
    <w:p>
      <w:pPr>
        <w:pStyle w:val="BodyText"/>
        <w:spacing w:before="10"/>
        <w:rPr>
          <w:sz w:val="31"/>
        </w:rPr>
      </w:pPr>
    </w:p>
    <w:p>
      <w:pPr>
        <w:pStyle w:val="ListParagraph"/>
        <w:numPr>
          <w:ilvl w:val="0"/>
          <w:numId w:val="1"/>
        </w:numPr>
        <w:tabs>
          <w:tab w:pos="702" w:val="left" w:leader="none"/>
        </w:tabs>
        <w:spacing w:line="321" w:lineRule="auto" w:before="0" w:after="0"/>
        <w:ind w:left="277" w:right="1284" w:firstLine="0"/>
        <w:jc w:val="left"/>
        <w:rPr>
          <w:sz w:val="24"/>
        </w:rPr>
      </w:pPr>
      <w:r>
        <w:rPr>
          <w:sz w:val="24"/>
        </w:rPr>
        <w:t>In</w:t>
      </w:r>
      <w:r>
        <w:rPr>
          <w:spacing w:val="-9"/>
          <w:sz w:val="24"/>
        </w:rPr>
        <w:t> </w:t>
      </w:r>
      <w:r>
        <w:rPr>
          <w:sz w:val="24"/>
        </w:rPr>
        <w:t>the</w:t>
      </w:r>
      <w:r>
        <w:rPr>
          <w:spacing w:val="-9"/>
          <w:sz w:val="24"/>
        </w:rPr>
        <w:t> </w:t>
      </w:r>
      <w:r>
        <w:rPr>
          <w:sz w:val="24"/>
        </w:rPr>
        <w:t>light</w:t>
      </w:r>
      <w:r>
        <w:rPr>
          <w:spacing w:val="-9"/>
          <w:sz w:val="24"/>
        </w:rPr>
        <w:t> </w:t>
      </w:r>
      <w:r>
        <w:rPr>
          <w:sz w:val="24"/>
        </w:rPr>
        <w:t>of</w:t>
      </w:r>
      <w:r>
        <w:rPr>
          <w:spacing w:val="-9"/>
          <w:sz w:val="24"/>
        </w:rPr>
        <w:t> </w:t>
      </w:r>
      <w:r>
        <w:rPr>
          <w:sz w:val="24"/>
        </w:rPr>
        <w:t>the</w:t>
      </w:r>
      <w:r>
        <w:rPr>
          <w:spacing w:val="-9"/>
          <w:sz w:val="24"/>
        </w:rPr>
        <w:t> </w:t>
      </w:r>
      <w:r>
        <w:rPr>
          <w:sz w:val="24"/>
        </w:rPr>
        <w:t>discussion,</w:t>
      </w:r>
      <w:r>
        <w:rPr>
          <w:spacing w:val="-9"/>
          <w:sz w:val="24"/>
        </w:rPr>
        <w:t> </w:t>
      </w:r>
      <w:r>
        <w:rPr>
          <w:sz w:val="24"/>
        </w:rPr>
        <w:t>the</w:t>
      </w:r>
      <w:r>
        <w:rPr>
          <w:spacing w:val="-9"/>
          <w:sz w:val="24"/>
        </w:rPr>
        <w:t> </w:t>
      </w:r>
      <w:r>
        <w:rPr>
          <w:sz w:val="24"/>
        </w:rPr>
        <w:t>Committee</w:t>
      </w:r>
      <w:r>
        <w:rPr>
          <w:spacing w:val="-8"/>
          <w:sz w:val="24"/>
        </w:rPr>
        <w:t> </w:t>
      </w:r>
      <w:r>
        <w:rPr>
          <w:sz w:val="24"/>
        </w:rPr>
        <w:t>voted</w:t>
      </w:r>
      <w:r>
        <w:rPr>
          <w:spacing w:val="-9"/>
          <w:sz w:val="24"/>
        </w:rPr>
        <w:t> </w:t>
      </w:r>
      <w:r>
        <w:rPr>
          <w:sz w:val="24"/>
        </w:rPr>
        <w:t>unanimously</w:t>
      </w:r>
      <w:r>
        <w:rPr>
          <w:spacing w:val="-9"/>
          <w:sz w:val="24"/>
        </w:rPr>
        <w:t> </w:t>
      </w:r>
      <w:r>
        <w:rPr>
          <w:sz w:val="24"/>
        </w:rPr>
        <w:t>to</w:t>
      </w:r>
      <w:r>
        <w:rPr>
          <w:spacing w:val="-9"/>
          <w:sz w:val="24"/>
        </w:rPr>
        <w:t> </w:t>
      </w:r>
      <w:r>
        <w:rPr>
          <w:sz w:val="24"/>
        </w:rPr>
        <w:t>leave</w:t>
      </w:r>
      <w:r>
        <w:rPr>
          <w:spacing w:val="-9"/>
          <w:sz w:val="24"/>
        </w:rPr>
        <w:t> </w:t>
      </w:r>
      <w:r>
        <w:rPr>
          <w:sz w:val="24"/>
        </w:rPr>
        <w:t>interest</w:t>
      </w:r>
      <w:r>
        <w:rPr>
          <w:spacing w:val="-9"/>
          <w:sz w:val="24"/>
        </w:rPr>
        <w:t> </w:t>
      </w:r>
      <w:r>
        <w:rPr>
          <w:sz w:val="24"/>
        </w:rPr>
        <w:t>rates unchanged this</w:t>
      </w:r>
      <w:r>
        <w:rPr>
          <w:spacing w:val="-1"/>
          <w:sz w:val="24"/>
        </w:rPr>
        <w:t> </w:t>
      </w:r>
      <w:r>
        <w:rPr>
          <w:spacing w:val="-2"/>
          <w:sz w:val="24"/>
        </w:rPr>
        <w:t>month.</w:t>
      </w:r>
    </w:p>
    <w:p>
      <w:pPr>
        <w:pStyle w:val="ListParagraph"/>
        <w:numPr>
          <w:ilvl w:val="0"/>
          <w:numId w:val="1"/>
        </w:numPr>
        <w:tabs>
          <w:tab w:pos="702" w:val="left" w:leader="none"/>
        </w:tabs>
        <w:spacing w:line="740" w:lineRule="exact" w:before="2" w:after="0"/>
        <w:ind w:left="277" w:right="4126" w:firstLine="0"/>
        <w:jc w:val="left"/>
        <w:rPr>
          <w:sz w:val="24"/>
        </w:rPr>
      </w:pPr>
      <w:r>
        <w:rPr>
          <w:sz w:val="24"/>
        </w:rPr>
        <w:t>The</w:t>
      </w:r>
      <w:r>
        <w:rPr>
          <w:spacing w:val="-11"/>
          <w:sz w:val="24"/>
        </w:rPr>
        <w:t> </w:t>
      </w:r>
      <w:r>
        <w:rPr>
          <w:sz w:val="24"/>
        </w:rPr>
        <w:t>following</w:t>
      </w:r>
      <w:r>
        <w:rPr>
          <w:spacing w:val="-10"/>
          <w:sz w:val="24"/>
        </w:rPr>
        <w:t> </w:t>
      </w:r>
      <w:r>
        <w:rPr>
          <w:sz w:val="24"/>
        </w:rPr>
        <w:t>members</w:t>
      </w:r>
      <w:r>
        <w:rPr>
          <w:spacing w:val="-11"/>
          <w:sz w:val="24"/>
        </w:rPr>
        <w:t> </w:t>
      </w:r>
      <w:r>
        <w:rPr>
          <w:sz w:val="24"/>
        </w:rPr>
        <w:t>of</w:t>
      </w:r>
      <w:r>
        <w:rPr>
          <w:spacing w:val="-10"/>
          <w:sz w:val="24"/>
        </w:rPr>
        <w:t> </w:t>
      </w:r>
      <w:r>
        <w:rPr>
          <w:sz w:val="24"/>
        </w:rPr>
        <w:t>the</w:t>
      </w:r>
      <w:r>
        <w:rPr>
          <w:spacing w:val="-11"/>
          <w:sz w:val="24"/>
        </w:rPr>
        <w:t> </w:t>
      </w:r>
      <w:r>
        <w:rPr>
          <w:sz w:val="24"/>
        </w:rPr>
        <w:t>Committee</w:t>
      </w:r>
      <w:r>
        <w:rPr>
          <w:spacing w:val="-10"/>
          <w:sz w:val="24"/>
        </w:rPr>
        <w:t> </w:t>
      </w:r>
      <w:r>
        <w:rPr>
          <w:sz w:val="24"/>
        </w:rPr>
        <w:t>were</w:t>
      </w:r>
      <w:r>
        <w:rPr>
          <w:spacing w:val="-10"/>
          <w:sz w:val="24"/>
        </w:rPr>
        <w:t> </w:t>
      </w:r>
      <w:r>
        <w:rPr>
          <w:sz w:val="24"/>
        </w:rPr>
        <w:t>present: Eddie George</w:t>
      </w:r>
      <w:r>
        <w:rPr>
          <w:spacing w:val="4"/>
          <w:sz w:val="24"/>
        </w:rPr>
        <w:t> </w:t>
      </w:r>
      <w:r>
        <w:rPr>
          <w:sz w:val="24"/>
        </w:rPr>
        <w:t>(Governor)</w:t>
      </w:r>
    </w:p>
    <w:p>
      <w:pPr>
        <w:pStyle w:val="BodyText"/>
        <w:spacing w:line="321" w:lineRule="auto"/>
        <w:ind w:left="277" w:right="5750"/>
      </w:pPr>
      <w:r>
        <w:rPr/>
        <w:t>David Clementi (Deputy Governor) Willem Buiter</w:t>
      </w:r>
    </w:p>
    <w:p>
      <w:pPr>
        <w:pStyle w:val="BodyText"/>
        <w:spacing w:line="321" w:lineRule="auto"/>
        <w:ind w:left="277" w:right="7723"/>
      </w:pPr>
      <w:r>
        <w:rPr/>
        <w:t>Charles Goodhart DeAnne Julius Mervyn King</w:t>
      </w:r>
    </w:p>
    <w:p>
      <w:pPr>
        <w:pStyle w:val="BodyText"/>
        <w:spacing w:line="275" w:lineRule="exact"/>
        <w:ind w:left="277"/>
      </w:pPr>
      <w:r>
        <w:rPr/>
        <w:t>Ian Plenderleith</w:t>
      </w:r>
    </w:p>
    <w:p>
      <w:pPr>
        <w:pStyle w:val="BodyText"/>
        <w:rPr>
          <w:sz w:val="26"/>
        </w:rPr>
      </w:pPr>
    </w:p>
    <w:p>
      <w:pPr>
        <w:pStyle w:val="ListParagraph"/>
        <w:numPr>
          <w:ilvl w:val="0"/>
          <w:numId w:val="1"/>
        </w:numPr>
        <w:tabs>
          <w:tab w:pos="703" w:val="left" w:leader="none"/>
        </w:tabs>
        <w:spacing w:line="240" w:lineRule="auto" w:before="160" w:after="0"/>
        <w:ind w:left="702" w:right="0" w:hanging="426"/>
        <w:jc w:val="left"/>
        <w:rPr>
          <w:sz w:val="24"/>
        </w:rPr>
      </w:pPr>
      <w:r>
        <w:rPr>
          <w:sz w:val="24"/>
        </w:rPr>
        <w:t>The Treasury representative, Sir Alan Budd, was also</w:t>
      </w:r>
      <w:r>
        <w:rPr>
          <w:spacing w:val="-3"/>
          <w:sz w:val="24"/>
        </w:rPr>
        <w:t> </w:t>
      </w:r>
      <w:r>
        <w:rPr>
          <w:sz w:val="24"/>
        </w:rPr>
        <w:t>present.</w:t>
      </w:r>
    </w:p>
    <w:p>
      <w:pPr>
        <w:spacing w:after="0" w:line="240" w:lineRule="auto"/>
        <w:jc w:val="left"/>
        <w:rPr>
          <w:sz w:val="24"/>
        </w:rPr>
        <w:sectPr>
          <w:pgSz w:w="11900" w:h="16840"/>
          <w:pgMar w:header="719" w:footer="0" w:top="1260" w:bottom="280" w:left="860" w:right="880"/>
        </w:sectPr>
      </w:pPr>
    </w:p>
    <w:p>
      <w:pPr>
        <w:pStyle w:val="BodyText"/>
        <w:spacing w:before="63"/>
        <w:ind w:right="381"/>
        <w:jc w:val="right"/>
      </w:pPr>
      <w:r>
        <w:rPr/>
        <w:t>12.11.97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1"/>
        <w:spacing w:line="247" w:lineRule="auto" w:before="90"/>
      </w:pPr>
      <w:r>
        <w:rPr/>
        <w:t>ANNEX: SUMMARY OF DATA PRESENTED TO THE MONETARY POLICY COMMITTEE BY BANK STAFF</w:t>
      </w:r>
    </w:p>
    <w:p>
      <w:pPr>
        <w:pStyle w:val="BodyText"/>
        <w:spacing w:before="6"/>
        <w:rPr>
          <w:b/>
          <w:sz w:val="31"/>
        </w:rPr>
      </w:pPr>
    </w:p>
    <w:p>
      <w:pPr>
        <w:pStyle w:val="BodyText"/>
        <w:spacing w:line="321" w:lineRule="auto"/>
        <w:ind w:left="277" w:right="280"/>
      </w:pPr>
      <w:r>
        <w:rPr/>
        <w:t>A1  </w:t>
      </w:r>
      <w:r>
        <w:rPr>
          <w:spacing w:val="-3"/>
        </w:rPr>
        <w:t>This annex summarises </w:t>
      </w:r>
      <w:r>
        <w:rPr/>
        <w:t>the </w:t>
      </w:r>
      <w:r>
        <w:rPr>
          <w:spacing w:val="-3"/>
        </w:rPr>
        <w:t>analysis presented </w:t>
      </w:r>
      <w:r>
        <w:rPr/>
        <w:t>by </w:t>
      </w:r>
      <w:r>
        <w:rPr>
          <w:spacing w:val="-3"/>
        </w:rPr>
        <w:t>Bank staff </w:t>
      </w:r>
      <w:r>
        <w:rPr/>
        <w:t>to the </w:t>
      </w:r>
      <w:r>
        <w:rPr>
          <w:spacing w:val="-3"/>
        </w:rPr>
        <w:t>Monetary Policy Committee </w:t>
      </w:r>
      <w:r>
        <w:rPr/>
        <w:t>on</w:t>
      </w:r>
      <w:r>
        <w:rPr>
          <w:spacing w:val="-7"/>
        </w:rPr>
        <w:t> </w:t>
      </w:r>
      <w:r>
        <w:rPr/>
        <w:t>3</w:t>
      </w:r>
      <w:r>
        <w:rPr>
          <w:spacing w:val="-7"/>
        </w:rPr>
        <w:t> </w:t>
      </w:r>
      <w:r>
        <w:rPr/>
        <w:t>October</w:t>
      </w:r>
      <w:r>
        <w:rPr>
          <w:spacing w:val="-7"/>
        </w:rPr>
        <w:t> </w:t>
      </w:r>
      <w:r>
        <w:rPr/>
        <w:t>1997,</w:t>
      </w:r>
      <w:r>
        <w:rPr>
          <w:spacing w:val="-7"/>
        </w:rPr>
        <w:t> </w:t>
      </w:r>
      <w:r>
        <w:rPr/>
        <w:t>in</w:t>
      </w:r>
      <w:r>
        <w:rPr>
          <w:spacing w:val="-7"/>
        </w:rPr>
        <w:t> </w:t>
      </w:r>
      <w:r>
        <w:rPr/>
        <w:t>advance</w:t>
      </w:r>
      <w:r>
        <w:rPr>
          <w:spacing w:val="-7"/>
        </w:rPr>
        <w:t> </w:t>
      </w:r>
      <w:r>
        <w:rPr/>
        <w:t>of</w:t>
      </w:r>
      <w:r>
        <w:rPr>
          <w:spacing w:val="-7"/>
        </w:rPr>
        <w:t> </w:t>
      </w:r>
      <w:r>
        <w:rPr/>
        <w:t>its</w:t>
      </w:r>
      <w:r>
        <w:rPr>
          <w:spacing w:val="-7"/>
        </w:rPr>
        <w:t> </w:t>
      </w:r>
      <w:r>
        <w:rPr/>
        <w:t>meeting.</w:t>
      </w:r>
      <w:r>
        <w:rPr>
          <w:spacing w:val="49"/>
        </w:rPr>
        <w:t> </w:t>
      </w:r>
      <w:r>
        <w:rPr/>
        <w:t>At</w:t>
      </w:r>
      <w:r>
        <w:rPr>
          <w:spacing w:val="-7"/>
        </w:rPr>
        <w:t> </w:t>
      </w:r>
      <w:r>
        <w:rPr/>
        <w:t>the</w:t>
      </w:r>
      <w:r>
        <w:rPr>
          <w:spacing w:val="-7"/>
        </w:rPr>
        <w:t> </w:t>
      </w:r>
      <w:r>
        <w:rPr/>
        <w:t>start</w:t>
      </w:r>
      <w:r>
        <w:rPr>
          <w:spacing w:val="-6"/>
        </w:rPr>
        <w:t> </w:t>
      </w:r>
      <w:r>
        <w:rPr/>
        <w:t>of</w:t>
      </w:r>
      <w:r>
        <w:rPr>
          <w:spacing w:val="-7"/>
        </w:rPr>
        <w:t> </w:t>
      </w:r>
      <w:r>
        <w:rPr/>
        <w:t>the</w:t>
      </w:r>
      <w:r>
        <w:rPr>
          <w:spacing w:val="-7"/>
        </w:rPr>
        <w:t> </w:t>
      </w:r>
      <w:r>
        <w:rPr/>
        <w:t>Committee</w:t>
      </w:r>
      <w:r>
        <w:rPr>
          <w:spacing w:val="-7"/>
        </w:rPr>
        <w:t> </w:t>
      </w:r>
      <w:r>
        <w:rPr/>
        <w:t>meeting</w:t>
      </w:r>
      <w:r>
        <w:rPr>
          <w:spacing w:val="-7"/>
        </w:rPr>
        <w:t> </w:t>
      </w:r>
      <w:r>
        <w:rPr/>
        <w:t>itself,</w:t>
      </w:r>
      <w:r>
        <w:rPr>
          <w:spacing w:val="-7"/>
        </w:rPr>
        <w:t> </w:t>
      </w:r>
      <w:r>
        <w:rPr/>
        <w:t>members </w:t>
      </w:r>
      <w:r>
        <w:rPr>
          <w:spacing w:val="-3"/>
        </w:rPr>
        <w:t>were made aware </w:t>
      </w:r>
      <w:r>
        <w:rPr/>
        <w:t>of </w:t>
      </w:r>
      <w:r>
        <w:rPr>
          <w:spacing w:val="-3"/>
        </w:rPr>
        <w:t>information that </w:t>
      </w:r>
      <w:r>
        <w:rPr/>
        <w:t>had </w:t>
      </w:r>
      <w:r>
        <w:rPr>
          <w:spacing w:val="-3"/>
        </w:rPr>
        <w:t>subsequently become available, </w:t>
      </w:r>
      <w:r>
        <w:rPr/>
        <w:t>and </w:t>
      </w:r>
      <w:r>
        <w:rPr>
          <w:spacing w:val="-3"/>
        </w:rPr>
        <w:t>that information is </w:t>
      </w:r>
      <w:r>
        <w:rPr>
          <w:spacing w:val="-4"/>
        </w:rPr>
        <w:t>included </w:t>
      </w:r>
      <w:r>
        <w:rPr/>
        <w:t>in </w:t>
      </w:r>
      <w:r>
        <w:rPr>
          <w:spacing w:val="-3"/>
        </w:rPr>
        <w:t>the</w:t>
      </w:r>
      <w:r>
        <w:rPr>
          <w:spacing w:val="1"/>
        </w:rPr>
        <w:t> </w:t>
      </w:r>
      <w:r>
        <w:rPr>
          <w:spacing w:val="-4"/>
        </w:rPr>
        <w:t>Annex.</w:t>
      </w:r>
    </w:p>
    <w:p>
      <w:pPr>
        <w:pStyle w:val="BodyText"/>
        <w:spacing w:before="1"/>
        <w:rPr>
          <w:sz w:val="32"/>
        </w:rPr>
      </w:pPr>
    </w:p>
    <w:p>
      <w:pPr>
        <w:pStyle w:val="ListParagraph"/>
        <w:numPr>
          <w:ilvl w:val="0"/>
          <w:numId w:val="2"/>
        </w:numPr>
        <w:tabs>
          <w:tab w:pos="544" w:val="left" w:leader="none"/>
        </w:tabs>
        <w:spacing w:line="240" w:lineRule="auto" w:before="0" w:after="0"/>
        <w:ind w:left="543" w:right="0" w:hanging="267"/>
        <w:jc w:val="left"/>
        <w:rPr>
          <w:sz w:val="24"/>
        </w:rPr>
      </w:pPr>
      <w:r>
        <w:rPr>
          <w:sz w:val="24"/>
          <w:u w:val="single"/>
        </w:rPr>
        <w:t>  </w:t>
      </w:r>
      <w:r>
        <w:rPr>
          <w:spacing w:val="6"/>
          <w:sz w:val="24"/>
          <w:u w:val="single"/>
        </w:rPr>
        <w:t> </w:t>
      </w:r>
      <w:r>
        <w:rPr>
          <w:sz w:val="24"/>
          <w:u w:val="single"/>
        </w:rPr>
        <w:t>Monetary conditions</w:t>
      </w:r>
    </w:p>
    <w:p>
      <w:pPr>
        <w:pStyle w:val="BodyText"/>
        <w:rPr>
          <w:sz w:val="20"/>
        </w:rPr>
      </w:pPr>
    </w:p>
    <w:p>
      <w:pPr>
        <w:pStyle w:val="BodyText"/>
        <w:spacing w:line="321" w:lineRule="auto" w:before="233"/>
        <w:ind w:left="277" w:right="252"/>
      </w:pPr>
      <w:r>
        <w:rPr/>
        <w:t>A2 Notes and coin had decelerated during the summer and their twelve-month growth rate had fallen from 6.1% in June to 5.1% in August. There had been bounce-back in September, when notes and coin had risen by 1.0% and the twelve-month growth rate had gone back up to 5.9%. It seemed likely, however, that the September outturn had been affected by the introduction of the new 50p coin on 1 September. The amount issued during the month was equivalent to 0.4% of notes and coin. The banks were not yet able to surrender all of their old 50p coins, but would be able to do so during the remainder of this financial year. It therefore seemed likely that the introduction of the new coin had inflated both the month-to-month and the twelve-month growth rate of notes and coin by about 0.4% in September, and that the effect on the level of notes and coin would unwind by the end of the financial year, though the statistical effect on the twelve-month growth rate would last longer. Abstracting from the 50p coin effect, it was not clear whether the deceleration in notes and coin during recent months reflected the re-establishment of a rising trend in velocity, or whether it indicated a slowing-down in demand.</w:t>
      </w:r>
    </w:p>
    <w:p>
      <w:pPr>
        <w:pStyle w:val="BodyText"/>
        <w:spacing w:before="10"/>
        <w:rPr>
          <w:sz w:val="31"/>
        </w:rPr>
      </w:pPr>
    </w:p>
    <w:p>
      <w:pPr>
        <w:pStyle w:val="BodyText"/>
        <w:spacing w:line="321" w:lineRule="auto"/>
        <w:ind w:left="277" w:right="371"/>
      </w:pPr>
      <w:r>
        <w:rPr/>
        <w:t>A3 The estimated increase in M4 in July had been revised downwards from 1.0% to 0.9%, and the estimated August increase was 0.8%. In August, the annualised three and six-month growth rates (10.4% and 11.0% respectively) were lower than the twelve-month rate (11.6%). Real M4 (ie M4 deflated by RPIX) grew by around 8½% in the twelve months to August, but its annualised growth rate in the latest three months was around 6½%. Since the trough of the recession in 1992 Q1, M4 had risen by 44%; two thirds of this increase had occurred since 1995 Q1. It was not easy to explain the fall in the velocity of M4 since 1995 Q1 by reference to structural changes of the kind that had led to falling velocity throughout the 1980s.</w:t>
      </w:r>
    </w:p>
    <w:p>
      <w:pPr>
        <w:spacing w:after="0" w:line="321" w:lineRule="auto"/>
        <w:sectPr>
          <w:headerReference w:type="default" r:id="rId7"/>
          <w:pgSz w:w="11900" w:h="16840"/>
          <w:pgMar w:header="0" w:footer="0" w:top="1380" w:bottom="280" w:left="860" w:right="880"/>
        </w:sectPr>
      </w:pPr>
    </w:p>
    <w:p>
      <w:pPr>
        <w:pStyle w:val="BodyText"/>
        <w:spacing w:line="321" w:lineRule="auto" w:before="183"/>
        <w:ind w:left="277" w:right="338"/>
      </w:pPr>
      <w:r>
        <w:rPr/>
        <w:t>A4 Retail M4 went up by 0.4% in August, and its twelve-month growth rate fell to 7.0%. There </w:t>
      </w:r>
      <w:r>
        <w:rPr>
          <w:spacing w:val="-3"/>
        </w:rPr>
        <w:t>were strong indications </w:t>
      </w:r>
      <w:r>
        <w:rPr/>
        <w:t>of </w:t>
      </w:r>
      <w:r>
        <w:rPr>
          <w:spacing w:val="-3"/>
        </w:rPr>
        <w:t>speculative flows into </w:t>
      </w:r>
      <w:r>
        <w:rPr/>
        <w:t>the </w:t>
      </w:r>
      <w:r>
        <w:rPr>
          <w:spacing w:val="-3"/>
        </w:rPr>
        <w:t>remaining building societies: </w:t>
      </w:r>
      <w:r>
        <w:rPr/>
        <w:t>in </w:t>
      </w:r>
      <w:r>
        <w:rPr>
          <w:spacing w:val="-3"/>
        </w:rPr>
        <w:t>July </w:t>
      </w:r>
      <w:r>
        <w:rPr/>
        <w:t>and </w:t>
      </w:r>
      <w:r>
        <w:rPr>
          <w:spacing w:val="-3"/>
        </w:rPr>
        <w:t>August retail flows into societies </w:t>
      </w:r>
      <w:r>
        <w:rPr/>
        <w:t>had </w:t>
      </w:r>
      <w:r>
        <w:rPr>
          <w:spacing w:val="-3"/>
        </w:rPr>
        <w:t>been unusually large, while there </w:t>
      </w:r>
      <w:r>
        <w:rPr/>
        <w:t>had </w:t>
      </w:r>
      <w:r>
        <w:rPr>
          <w:spacing w:val="-3"/>
        </w:rPr>
        <w:t>been only </w:t>
      </w:r>
      <w:r>
        <w:rPr/>
        <w:t>a </w:t>
      </w:r>
      <w:r>
        <w:rPr>
          <w:spacing w:val="-3"/>
        </w:rPr>
        <w:t>very small rise in  retail bank deposits, even though </w:t>
      </w:r>
      <w:r>
        <w:rPr/>
        <w:t>the </w:t>
      </w:r>
      <w:r>
        <w:rPr>
          <w:spacing w:val="-3"/>
        </w:rPr>
        <w:t>rates offered </w:t>
      </w:r>
      <w:r>
        <w:rPr/>
        <w:t>by </w:t>
      </w:r>
      <w:r>
        <w:rPr>
          <w:spacing w:val="-3"/>
        </w:rPr>
        <w:t>building societies were generally materially </w:t>
      </w:r>
      <w:r>
        <w:rPr/>
        <w:t>lower than deposit rates offered by</w:t>
      </w:r>
      <w:r>
        <w:rPr>
          <w:spacing w:val="3"/>
        </w:rPr>
        <w:t> </w:t>
      </w:r>
      <w:r>
        <w:rPr>
          <w:spacing w:val="-2"/>
        </w:rPr>
        <w:t>banks.</w:t>
      </w:r>
    </w:p>
    <w:p>
      <w:pPr>
        <w:pStyle w:val="BodyText"/>
        <w:rPr>
          <w:sz w:val="32"/>
        </w:rPr>
      </w:pPr>
    </w:p>
    <w:p>
      <w:pPr>
        <w:pStyle w:val="BodyText"/>
        <w:spacing w:line="321" w:lineRule="auto"/>
        <w:ind w:left="277" w:right="1464"/>
      </w:pPr>
      <w:r>
        <w:rPr/>
        <w:t>A5 Wholesale M4 had risen by 1.4% in August. There had been a strong public sector contribution, including a gilt redemption, but no gilt auction.</w:t>
      </w:r>
    </w:p>
    <w:p>
      <w:pPr>
        <w:pStyle w:val="BodyText"/>
        <w:spacing w:before="1"/>
        <w:rPr>
          <w:sz w:val="32"/>
        </w:rPr>
      </w:pPr>
    </w:p>
    <w:p>
      <w:pPr>
        <w:pStyle w:val="BodyText"/>
        <w:spacing w:line="321" w:lineRule="auto" w:before="1"/>
        <w:ind w:left="277" w:right="338"/>
      </w:pPr>
      <w:r>
        <w:rPr/>
        <w:t>A6 The </w:t>
      </w:r>
      <w:r>
        <w:rPr>
          <w:spacing w:val="-3"/>
        </w:rPr>
        <w:t>signs </w:t>
      </w:r>
      <w:r>
        <w:rPr/>
        <w:t>of a </w:t>
      </w:r>
      <w:r>
        <w:rPr>
          <w:spacing w:val="-3"/>
        </w:rPr>
        <w:t>slowdown since </w:t>
      </w:r>
      <w:r>
        <w:rPr/>
        <w:t>the </w:t>
      </w:r>
      <w:r>
        <w:rPr>
          <w:spacing w:val="-3"/>
        </w:rPr>
        <w:t>spring were clearer </w:t>
      </w:r>
      <w:r>
        <w:rPr/>
        <w:t>in M4 </w:t>
      </w:r>
      <w:r>
        <w:rPr>
          <w:spacing w:val="-3"/>
        </w:rPr>
        <w:t>lending than </w:t>
      </w:r>
      <w:r>
        <w:rPr/>
        <w:t>in M4.  </w:t>
      </w:r>
      <w:r>
        <w:rPr>
          <w:spacing w:val="-3"/>
        </w:rPr>
        <w:t>The </w:t>
      </w:r>
      <w:r>
        <w:rPr/>
        <w:t>annualised three, six and twelve-month growth rates were 6.5%, 8.0% and 8.7% respectively. In August, steady growth in net secured lending to individuals continued (up 6.4% on a year earlier). Net </w:t>
      </w:r>
      <w:r>
        <w:rPr>
          <w:spacing w:val="-3"/>
        </w:rPr>
        <w:t>unsecured lending </w:t>
      </w:r>
      <w:r>
        <w:rPr/>
        <w:t>to </w:t>
      </w:r>
      <w:r>
        <w:rPr>
          <w:spacing w:val="-3"/>
        </w:rPr>
        <w:t>individuals </w:t>
      </w:r>
      <w:r>
        <w:rPr/>
        <w:t>by </w:t>
      </w:r>
      <w:r>
        <w:rPr>
          <w:spacing w:val="-3"/>
        </w:rPr>
        <w:t>banks </w:t>
      </w:r>
      <w:r>
        <w:rPr/>
        <w:t>and </w:t>
      </w:r>
      <w:r>
        <w:rPr>
          <w:spacing w:val="-3"/>
        </w:rPr>
        <w:t>building societies </w:t>
      </w:r>
      <w:r>
        <w:rPr/>
        <w:t>had </w:t>
      </w:r>
      <w:r>
        <w:rPr>
          <w:spacing w:val="-3"/>
        </w:rPr>
        <w:t>been unusually </w:t>
      </w:r>
      <w:r>
        <w:rPr/>
        <w:t>low in </w:t>
      </w:r>
      <w:r>
        <w:rPr>
          <w:spacing w:val="-3"/>
        </w:rPr>
        <w:t>July, </w:t>
      </w:r>
      <w:r>
        <w:rPr/>
        <w:t>probably because people had made extra repayments out of windfalls from demutualisations, but it had rebounded in August and its twelve-month growth rate was 17.6%. Its continued growth might reflect the narrowing of interest rate spreads since the end of</w:t>
      </w:r>
      <w:r>
        <w:rPr>
          <w:spacing w:val="-6"/>
        </w:rPr>
        <w:t> </w:t>
      </w:r>
      <w:r>
        <w:rPr/>
        <w:t>1995.</w:t>
      </w:r>
    </w:p>
    <w:p>
      <w:pPr>
        <w:pStyle w:val="BodyText"/>
        <w:rPr>
          <w:sz w:val="32"/>
        </w:rPr>
      </w:pPr>
    </w:p>
    <w:p>
      <w:pPr>
        <w:pStyle w:val="BodyText"/>
        <w:spacing w:line="321" w:lineRule="auto"/>
        <w:ind w:left="277" w:right="423"/>
      </w:pPr>
      <w:r>
        <w:rPr/>
        <w:t>A7  The </w:t>
      </w:r>
      <w:r>
        <w:rPr>
          <w:spacing w:val="-3"/>
        </w:rPr>
        <w:t>preliminary estimate </w:t>
      </w:r>
      <w:r>
        <w:rPr/>
        <w:t>of </w:t>
      </w:r>
      <w:r>
        <w:rPr>
          <w:spacing w:val="-3"/>
        </w:rPr>
        <w:t>lending </w:t>
      </w:r>
      <w:r>
        <w:rPr/>
        <w:t>to </w:t>
      </w:r>
      <w:r>
        <w:rPr>
          <w:spacing w:val="-3"/>
        </w:rPr>
        <w:t>OFIs </w:t>
      </w:r>
      <w:r>
        <w:rPr/>
        <w:t>was </w:t>
      </w:r>
      <w:r>
        <w:rPr>
          <w:spacing w:val="-3"/>
        </w:rPr>
        <w:t>unusually </w:t>
      </w:r>
      <w:r>
        <w:rPr/>
        <w:t>low in </w:t>
      </w:r>
      <w:r>
        <w:rPr>
          <w:spacing w:val="-3"/>
        </w:rPr>
        <w:t>August (only £0.2 billion); </w:t>
      </w:r>
      <w:r>
        <w:rPr/>
        <w:t>the </w:t>
      </w:r>
      <w:r>
        <w:rPr>
          <w:spacing w:val="-3"/>
        </w:rPr>
        <w:t>slowdown </w:t>
      </w:r>
      <w:r>
        <w:rPr/>
        <w:t>was </w:t>
      </w:r>
      <w:r>
        <w:rPr>
          <w:spacing w:val="-3"/>
        </w:rPr>
        <w:t>entirely accounted </w:t>
      </w:r>
      <w:r>
        <w:rPr/>
        <w:t>for by a </w:t>
      </w:r>
      <w:r>
        <w:rPr>
          <w:spacing w:val="-3"/>
        </w:rPr>
        <w:t>fall </w:t>
      </w:r>
      <w:r>
        <w:rPr/>
        <w:t>in </w:t>
      </w:r>
      <w:r>
        <w:rPr>
          <w:spacing w:val="-3"/>
        </w:rPr>
        <w:t>reverse repos included </w:t>
      </w:r>
      <w:r>
        <w:rPr/>
        <w:t>in M4 </w:t>
      </w:r>
      <w:r>
        <w:rPr>
          <w:spacing w:val="-3"/>
        </w:rPr>
        <w:t>lending. But </w:t>
      </w:r>
      <w:r>
        <w:rPr/>
        <w:t>lending to leasing companies (which represented about one third of the stock of bank lending to OFIs) had grown. Though it appeared to have picked up somewhat in August, lending to ICCs</w:t>
      </w:r>
      <w:r>
        <w:rPr>
          <w:spacing w:val="-37"/>
        </w:rPr>
        <w:t> </w:t>
      </w:r>
      <w:r>
        <w:rPr>
          <w:spacing w:val="-5"/>
        </w:rPr>
        <w:t>had </w:t>
      </w:r>
      <w:r>
        <w:rPr/>
        <w:t>slowed down over a longer period. Its twelve-month growth rate had fallen from 13.1% at the end of 1996 to 7.2% at the end of 1997</w:t>
      </w:r>
      <w:r>
        <w:rPr>
          <w:spacing w:val="18"/>
        </w:rPr>
        <w:t> </w:t>
      </w:r>
      <w:r>
        <w:rPr/>
        <w:t>Q2.</w:t>
      </w:r>
    </w:p>
    <w:p>
      <w:pPr>
        <w:pStyle w:val="BodyText"/>
        <w:rPr>
          <w:sz w:val="32"/>
        </w:rPr>
      </w:pPr>
    </w:p>
    <w:p>
      <w:pPr>
        <w:pStyle w:val="BodyText"/>
        <w:spacing w:line="321" w:lineRule="auto"/>
        <w:ind w:left="277" w:right="435"/>
      </w:pPr>
      <w:r>
        <w:rPr/>
        <w:t>A8 Estimates of </w:t>
      </w:r>
      <w:r>
        <w:rPr>
          <w:i/>
        </w:rPr>
        <w:t>ex ante </w:t>
      </w:r>
      <w:r>
        <w:rPr/>
        <w:t>real interest rates at the two-year maturity can be derived either from the short end of the index-linked zero-coupon gilt yield curve or from the nominal yield curve and a survey-based estimate of inflationary expectations. Both techniques indicated a rise in </w:t>
      </w:r>
      <w:r>
        <w:rPr>
          <w:i/>
        </w:rPr>
        <w:t>ex ante </w:t>
      </w:r>
      <w:r>
        <w:rPr/>
        <w:t>real interest rates between early June and early September: the indexed yield curve showed a rise from 3.7% to 4.2% and the survey-based method from 4.1% to 4.4%. At the same time, the ten-year forward real yield (ie the short-term real yield implicit in the yield curve for a date ten years in the future), which might give some indication of equilibrium, had fallen from 3.7% to 3.5%. In other words, monetary conditions on this measure had become tighter. Between early September and</w:t>
      </w:r>
    </w:p>
    <w:p>
      <w:pPr>
        <w:pStyle w:val="BodyText"/>
        <w:spacing w:line="321" w:lineRule="auto"/>
        <w:ind w:left="277" w:right="266"/>
      </w:pPr>
      <w:r>
        <w:rPr/>
        <w:t>1 </w:t>
      </w:r>
      <w:r>
        <w:rPr>
          <w:spacing w:val="-3"/>
        </w:rPr>
        <w:t>October, however, index-linked yields </w:t>
      </w:r>
      <w:r>
        <w:rPr/>
        <w:t>in the </w:t>
      </w:r>
      <w:r>
        <w:rPr>
          <w:spacing w:val="-3"/>
        </w:rPr>
        <w:t>United Kingdom </w:t>
      </w:r>
      <w:r>
        <w:rPr/>
        <w:t>had </w:t>
      </w:r>
      <w:r>
        <w:rPr>
          <w:spacing w:val="-3"/>
        </w:rPr>
        <w:t>fallen sharply, </w:t>
      </w:r>
      <w:r>
        <w:rPr/>
        <w:t>and the </w:t>
      </w:r>
      <w:r>
        <w:rPr>
          <w:spacing w:val="-3"/>
        </w:rPr>
        <w:t>estimated </w:t>
      </w:r>
      <w:r>
        <w:rPr/>
        <w:t>two-year zero coupon real yield had fallen from 4.2% to 3.3%, while the ten-year forward real yield had fallen more modestly, from 3.5% to 3.3%. These latest moves in both short and long-term real interest rates seemed likely to have a positive effect on aggregate demand.</w:t>
      </w:r>
    </w:p>
    <w:p>
      <w:pPr>
        <w:spacing w:after="0" w:line="321" w:lineRule="auto"/>
        <w:sectPr>
          <w:headerReference w:type="default" r:id="rId8"/>
          <w:pgSz w:w="11900" w:h="16840"/>
          <w:pgMar w:header="719" w:footer="0" w:top="1260" w:bottom="280" w:left="860" w:right="880"/>
          <w:pgNumType w:start="8"/>
        </w:sectPr>
      </w:pPr>
    </w:p>
    <w:p>
      <w:pPr>
        <w:pStyle w:val="ListParagraph"/>
        <w:numPr>
          <w:ilvl w:val="0"/>
          <w:numId w:val="2"/>
        </w:numPr>
        <w:tabs>
          <w:tab w:pos="625" w:val="left" w:leader="none"/>
        </w:tabs>
        <w:spacing w:line="240" w:lineRule="auto" w:before="183" w:after="0"/>
        <w:ind w:left="624" w:right="0" w:hanging="348"/>
        <w:jc w:val="left"/>
        <w:rPr>
          <w:sz w:val="24"/>
        </w:rPr>
      </w:pPr>
      <w:r>
        <w:rPr>
          <w:sz w:val="24"/>
          <w:u w:val="single"/>
        </w:rPr>
        <w:t>Demand and</w:t>
      </w:r>
      <w:r>
        <w:rPr>
          <w:spacing w:val="3"/>
          <w:sz w:val="24"/>
          <w:u w:val="single"/>
        </w:rPr>
        <w:t> </w:t>
      </w:r>
      <w:r>
        <w:rPr>
          <w:sz w:val="24"/>
          <w:u w:val="single"/>
        </w:rPr>
        <w:t>output</w:t>
      </w:r>
    </w:p>
    <w:p>
      <w:pPr>
        <w:pStyle w:val="BodyText"/>
        <w:rPr>
          <w:sz w:val="20"/>
        </w:rPr>
      </w:pPr>
    </w:p>
    <w:p>
      <w:pPr>
        <w:pStyle w:val="BodyText"/>
        <w:spacing w:line="321" w:lineRule="auto" w:before="233"/>
        <w:ind w:left="277" w:right="277"/>
      </w:pPr>
      <w:r>
        <w:rPr/>
        <w:t>A9 The full national accounts for Q2 incorporated a downward revision of estimated GDP </w:t>
      </w:r>
      <w:r>
        <w:rPr>
          <w:spacing w:val="-2"/>
        </w:rPr>
        <w:t>growth </w:t>
      </w:r>
      <w:r>
        <w:rPr/>
        <w:t>in</w:t>
      </w:r>
      <w:r>
        <w:rPr>
          <w:spacing w:val="-6"/>
        </w:rPr>
        <w:t> </w:t>
      </w:r>
      <w:r>
        <w:rPr/>
        <w:t>Q1</w:t>
      </w:r>
      <w:r>
        <w:rPr>
          <w:spacing w:val="-6"/>
        </w:rPr>
        <w:t> </w:t>
      </w:r>
      <w:r>
        <w:rPr/>
        <w:t>from</w:t>
      </w:r>
      <w:r>
        <w:rPr>
          <w:spacing w:val="-6"/>
        </w:rPr>
        <w:t> </w:t>
      </w:r>
      <w:r>
        <w:rPr/>
        <w:t>0.9%</w:t>
      </w:r>
      <w:r>
        <w:rPr>
          <w:spacing w:val="-5"/>
        </w:rPr>
        <w:t> </w:t>
      </w:r>
      <w:r>
        <w:rPr/>
        <w:t>to</w:t>
      </w:r>
      <w:r>
        <w:rPr>
          <w:spacing w:val="-6"/>
        </w:rPr>
        <w:t> </w:t>
      </w:r>
      <w:r>
        <w:rPr/>
        <w:t>0.8%,</w:t>
      </w:r>
      <w:r>
        <w:rPr>
          <w:spacing w:val="-6"/>
        </w:rPr>
        <w:t> </w:t>
      </w:r>
      <w:r>
        <w:rPr/>
        <w:t>compensated</w:t>
      </w:r>
      <w:r>
        <w:rPr>
          <w:spacing w:val="-5"/>
        </w:rPr>
        <w:t> </w:t>
      </w:r>
      <w:r>
        <w:rPr/>
        <w:t>by</w:t>
      </w:r>
      <w:r>
        <w:rPr>
          <w:spacing w:val="-6"/>
        </w:rPr>
        <w:t> </w:t>
      </w:r>
      <w:r>
        <w:rPr/>
        <w:t>an</w:t>
      </w:r>
      <w:r>
        <w:rPr>
          <w:spacing w:val="-6"/>
        </w:rPr>
        <w:t> </w:t>
      </w:r>
      <w:r>
        <w:rPr/>
        <w:t>upward</w:t>
      </w:r>
      <w:r>
        <w:rPr>
          <w:spacing w:val="-5"/>
        </w:rPr>
        <w:t> </w:t>
      </w:r>
      <w:r>
        <w:rPr/>
        <w:t>revision</w:t>
      </w:r>
      <w:r>
        <w:rPr>
          <w:spacing w:val="-6"/>
        </w:rPr>
        <w:t> </w:t>
      </w:r>
      <w:r>
        <w:rPr/>
        <w:t>of</w:t>
      </w:r>
      <w:r>
        <w:rPr>
          <w:spacing w:val="-6"/>
        </w:rPr>
        <w:t> </w:t>
      </w:r>
      <w:r>
        <w:rPr/>
        <w:t>estimated</w:t>
      </w:r>
      <w:r>
        <w:rPr>
          <w:spacing w:val="-5"/>
        </w:rPr>
        <w:t> </w:t>
      </w:r>
      <w:r>
        <w:rPr/>
        <w:t>growth</w:t>
      </w:r>
      <w:r>
        <w:rPr>
          <w:spacing w:val="-6"/>
        </w:rPr>
        <w:t> </w:t>
      </w:r>
      <w:r>
        <w:rPr/>
        <w:t>in</w:t>
      </w:r>
      <w:r>
        <w:rPr>
          <w:spacing w:val="-6"/>
        </w:rPr>
        <w:t> </w:t>
      </w:r>
      <w:r>
        <w:rPr/>
        <w:t>Q2</w:t>
      </w:r>
      <w:r>
        <w:rPr>
          <w:spacing w:val="-5"/>
        </w:rPr>
        <w:t> </w:t>
      </w:r>
      <w:r>
        <w:rPr/>
        <w:t>from</w:t>
      </w:r>
      <w:r>
        <w:rPr>
          <w:spacing w:val="-6"/>
        </w:rPr>
        <w:t> </w:t>
      </w:r>
      <w:r>
        <w:rPr/>
        <w:t>0.9% to 1.0%. The estimated fall in net exports in Q2 was revised from 0.4% to 0.5% of GDP, and estimated growth in investment was revised upwards from 0.1% to 2.0%. The estimated increase in consumption of 1.5% was</w:t>
      </w:r>
      <w:r>
        <w:rPr>
          <w:spacing w:val="1"/>
        </w:rPr>
        <w:t> </w:t>
      </w:r>
      <w:r>
        <w:rPr/>
        <w:t>unchanged.</w:t>
      </w:r>
    </w:p>
    <w:p>
      <w:pPr>
        <w:pStyle w:val="BodyText"/>
        <w:rPr>
          <w:sz w:val="32"/>
        </w:rPr>
      </w:pPr>
    </w:p>
    <w:p>
      <w:pPr>
        <w:pStyle w:val="BodyText"/>
        <w:spacing w:line="321" w:lineRule="auto" w:before="1"/>
        <w:ind w:left="277" w:right="212"/>
      </w:pPr>
      <w:r>
        <w:rPr/>
        <w:t>A10 The estimated savings ratio increased to 11.7% in Q2. This might partly have reflected unusually large corporate dividend payments ahead of the Budget.</w:t>
      </w:r>
    </w:p>
    <w:p>
      <w:pPr>
        <w:pStyle w:val="BodyText"/>
        <w:spacing w:before="1"/>
        <w:rPr>
          <w:sz w:val="32"/>
        </w:rPr>
      </w:pPr>
    </w:p>
    <w:p>
      <w:pPr>
        <w:pStyle w:val="BodyText"/>
        <w:spacing w:line="321" w:lineRule="auto"/>
        <w:ind w:left="277" w:right="248"/>
      </w:pPr>
      <w:r>
        <w:rPr/>
        <w:t>A11 Retail sales volumes increased by a further 0.4% in August, when they were up by 5-6% on a year earlier. The picture of accelerating retail sales in the ONS data was not consistent with </w:t>
      </w:r>
      <w:r>
        <w:rPr>
          <w:spacing w:val="-2"/>
        </w:rPr>
        <w:t>the </w:t>
      </w:r>
      <w:r>
        <w:rPr/>
        <w:t>survey data from the CBI and the BRC, which was more subdued. The survey data fitted more closely with the ONS retail sales values data, which had accelerated by less than the volume data as goods price inflation had slowed. Moreover, the surveys were mainly of large retailers, which </w:t>
      </w:r>
      <w:r>
        <w:rPr>
          <w:spacing w:val="-2"/>
        </w:rPr>
        <w:t>had </w:t>
      </w:r>
      <w:r>
        <w:rPr>
          <w:spacing w:val="-3"/>
        </w:rPr>
        <w:t>been gaining market share particularly fast </w:t>
      </w:r>
      <w:r>
        <w:rPr/>
        <w:t>in </w:t>
      </w:r>
      <w:r>
        <w:rPr>
          <w:spacing w:val="-3"/>
        </w:rPr>
        <w:t>1995/96.   This </w:t>
      </w:r>
      <w:r>
        <w:rPr/>
        <w:t>had </w:t>
      </w:r>
      <w:r>
        <w:rPr>
          <w:spacing w:val="-3"/>
        </w:rPr>
        <w:t>affected </w:t>
      </w:r>
      <w:r>
        <w:rPr/>
        <w:t>the </w:t>
      </w:r>
      <w:r>
        <w:rPr>
          <w:spacing w:val="-3"/>
        </w:rPr>
        <w:t>relationship between  </w:t>
      </w:r>
      <w:r>
        <w:rPr/>
        <w:t>the surveys and the comprehensive ONS data. Large retailers were now gaining share at a somewhat slower rate than in 1995/96; this could help explain the apparent relative strength of </w:t>
      </w:r>
      <w:r>
        <w:rPr>
          <w:spacing w:val="-2"/>
        </w:rPr>
        <w:t>the </w:t>
      </w:r>
      <w:r>
        <w:rPr/>
        <w:t>ONS data. The BRC survey showed ‘like-for-like’ percentage increases in sales, but these figures did</w:t>
      </w:r>
      <w:r>
        <w:rPr>
          <w:spacing w:val="-9"/>
        </w:rPr>
        <w:t> </w:t>
      </w:r>
      <w:r>
        <w:rPr/>
        <w:t>not</w:t>
      </w:r>
      <w:r>
        <w:rPr>
          <w:spacing w:val="-9"/>
        </w:rPr>
        <w:t> </w:t>
      </w:r>
      <w:r>
        <w:rPr/>
        <w:t>allow</w:t>
      </w:r>
      <w:r>
        <w:rPr>
          <w:spacing w:val="-9"/>
        </w:rPr>
        <w:t> </w:t>
      </w:r>
      <w:r>
        <w:rPr/>
        <w:t>for</w:t>
      </w:r>
      <w:r>
        <w:rPr>
          <w:spacing w:val="-9"/>
        </w:rPr>
        <w:t> </w:t>
      </w:r>
      <w:r>
        <w:rPr/>
        <w:t>the</w:t>
      </w:r>
      <w:r>
        <w:rPr>
          <w:spacing w:val="-9"/>
        </w:rPr>
        <w:t> </w:t>
      </w:r>
      <w:r>
        <w:rPr/>
        <w:t>effect</w:t>
      </w:r>
      <w:r>
        <w:rPr>
          <w:spacing w:val="-9"/>
        </w:rPr>
        <w:t> </w:t>
      </w:r>
      <w:r>
        <w:rPr/>
        <w:t>of</w:t>
      </w:r>
      <w:r>
        <w:rPr>
          <w:spacing w:val="-8"/>
        </w:rPr>
        <w:t> </w:t>
      </w:r>
      <w:r>
        <w:rPr/>
        <w:t>increasing</w:t>
      </w:r>
      <w:r>
        <w:rPr>
          <w:spacing w:val="-9"/>
        </w:rPr>
        <w:t> </w:t>
      </w:r>
      <w:r>
        <w:rPr/>
        <w:t>floorspace,</w:t>
      </w:r>
      <w:r>
        <w:rPr>
          <w:spacing w:val="-9"/>
        </w:rPr>
        <w:t> </w:t>
      </w:r>
      <w:r>
        <w:rPr/>
        <w:t>and</w:t>
      </w:r>
      <w:r>
        <w:rPr>
          <w:spacing w:val="-9"/>
        </w:rPr>
        <w:t> </w:t>
      </w:r>
      <w:r>
        <w:rPr/>
        <w:t>typically</w:t>
      </w:r>
      <w:r>
        <w:rPr>
          <w:spacing w:val="-9"/>
        </w:rPr>
        <w:t> </w:t>
      </w:r>
      <w:r>
        <w:rPr/>
        <w:t>showed</w:t>
      </w:r>
      <w:r>
        <w:rPr>
          <w:spacing w:val="-9"/>
        </w:rPr>
        <w:t> </w:t>
      </w:r>
      <w:r>
        <w:rPr/>
        <w:t>lower</w:t>
      </w:r>
      <w:r>
        <w:rPr>
          <w:spacing w:val="-9"/>
        </w:rPr>
        <w:t> </w:t>
      </w:r>
      <w:r>
        <w:rPr/>
        <w:t>growth</w:t>
      </w:r>
      <w:r>
        <w:rPr>
          <w:spacing w:val="-8"/>
        </w:rPr>
        <w:t> </w:t>
      </w:r>
      <w:r>
        <w:rPr/>
        <w:t>in</w:t>
      </w:r>
      <w:r>
        <w:rPr>
          <w:spacing w:val="-9"/>
        </w:rPr>
        <w:t> </w:t>
      </w:r>
      <w:r>
        <w:rPr/>
        <w:t>retail</w:t>
      </w:r>
      <w:r>
        <w:rPr>
          <w:spacing w:val="-9"/>
        </w:rPr>
        <w:t> </w:t>
      </w:r>
      <w:r>
        <w:rPr/>
        <w:t>sales values than the ONS</w:t>
      </w:r>
      <w:r>
        <w:rPr>
          <w:spacing w:val="3"/>
        </w:rPr>
        <w:t> </w:t>
      </w:r>
      <w:r>
        <w:rPr/>
        <w:t>data.</w:t>
      </w:r>
    </w:p>
    <w:p>
      <w:pPr>
        <w:pStyle w:val="BodyText"/>
        <w:spacing w:before="11"/>
        <w:rPr>
          <w:sz w:val="31"/>
        </w:rPr>
      </w:pPr>
    </w:p>
    <w:p>
      <w:pPr>
        <w:pStyle w:val="BodyText"/>
        <w:spacing w:line="321" w:lineRule="auto"/>
        <w:ind w:left="277" w:right="252"/>
      </w:pPr>
      <w:r>
        <w:rPr/>
        <w:t>A12 How </w:t>
      </w:r>
      <w:r>
        <w:rPr>
          <w:spacing w:val="-3"/>
        </w:rPr>
        <w:t>much </w:t>
      </w:r>
      <w:r>
        <w:rPr/>
        <w:t>of </w:t>
      </w:r>
      <w:r>
        <w:rPr>
          <w:spacing w:val="-3"/>
        </w:rPr>
        <w:t>recent spending </w:t>
      </w:r>
      <w:r>
        <w:rPr/>
        <w:t>had </w:t>
      </w:r>
      <w:r>
        <w:rPr>
          <w:spacing w:val="-3"/>
        </w:rPr>
        <w:t>been windfall-related? </w:t>
      </w:r>
      <w:r>
        <w:rPr/>
        <w:t>The </w:t>
      </w:r>
      <w:r>
        <w:rPr>
          <w:spacing w:val="-3"/>
        </w:rPr>
        <w:t>ONS, using </w:t>
      </w:r>
      <w:r>
        <w:rPr/>
        <w:t>a </w:t>
      </w:r>
      <w:r>
        <w:rPr>
          <w:spacing w:val="-3"/>
        </w:rPr>
        <w:t>simple technique </w:t>
      </w:r>
      <w:r>
        <w:rPr/>
        <w:t>based</w:t>
      </w:r>
      <w:r>
        <w:rPr>
          <w:spacing w:val="-11"/>
        </w:rPr>
        <w:t> </w:t>
      </w:r>
      <w:r>
        <w:rPr/>
        <w:t>on</w:t>
      </w:r>
      <w:r>
        <w:rPr>
          <w:spacing w:val="-11"/>
        </w:rPr>
        <w:t> </w:t>
      </w:r>
      <w:r>
        <w:rPr/>
        <w:t>comparison</w:t>
      </w:r>
      <w:r>
        <w:rPr>
          <w:spacing w:val="-10"/>
        </w:rPr>
        <w:t> </w:t>
      </w:r>
      <w:r>
        <w:rPr/>
        <w:t>of</w:t>
      </w:r>
      <w:r>
        <w:rPr>
          <w:spacing w:val="-11"/>
        </w:rPr>
        <w:t> </w:t>
      </w:r>
      <w:r>
        <w:rPr/>
        <w:t>outturns</w:t>
      </w:r>
      <w:r>
        <w:rPr>
          <w:spacing w:val="-11"/>
        </w:rPr>
        <w:t> </w:t>
      </w:r>
      <w:r>
        <w:rPr/>
        <w:t>with</w:t>
      </w:r>
      <w:r>
        <w:rPr>
          <w:spacing w:val="-10"/>
        </w:rPr>
        <w:t> </w:t>
      </w:r>
      <w:r>
        <w:rPr/>
        <w:t>an</w:t>
      </w:r>
      <w:r>
        <w:rPr>
          <w:spacing w:val="-11"/>
        </w:rPr>
        <w:t> </w:t>
      </w:r>
      <w:r>
        <w:rPr/>
        <w:t>extrapolated</w:t>
      </w:r>
      <w:r>
        <w:rPr>
          <w:spacing w:val="-10"/>
        </w:rPr>
        <w:t> </w:t>
      </w:r>
      <w:r>
        <w:rPr/>
        <w:t>trend,</w:t>
      </w:r>
      <w:r>
        <w:rPr>
          <w:spacing w:val="-11"/>
        </w:rPr>
        <w:t> </w:t>
      </w:r>
      <w:r>
        <w:rPr/>
        <w:t>estimated</w:t>
      </w:r>
      <w:r>
        <w:rPr>
          <w:spacing w:val="-11"/>
        </w:rPr>
        <w:t> </w:t>
      </w:r>
      <w:r>
        <w:rPr/>
        <w:t>that</w:t>
      </w:r>
      <w:r>
        <w:rPr>
          <w:spacing w:val="-10"/>
        </w:rPr>
        <w:t> </w:t>
      </w:r>
      <w:r>
        <w:rPr/>
        <w:t>windfall-related</w:t>
      </w:r>
      <w:r>
        <w:rPr>
          <w:spacing w:val="-11"/>
        </w:rPr>
        <w:t> </w:t>
      </w:r>
      <w:r>
        <w:rPr/>
        <w:t>spending on household and other goods had been around £500 million between May and August. On this </w:t>
      </w:r>
      <w:r>
        <w:rPr>
          <w:spacing w:val="-3"/>
        </w:rPr>
        <w:t>basis, retail sales volumes excluding windfall effects </w:t>
      </w:r>
      <w:r>
        <w:rPr/>
        <w:t>had </w:t>
      </w:r>
      <w:r>
        <w:rPr>
          <w:spacing w:val="-3"/>
        </w:rPr>
        <w:t>been growing </w:t>
      </w:r>
      <w:r>
        <w:rPr/>
        <w:t>at </w:t>
      </w:r>
      <w:r>
        <w:rPr>
          <w:spacing w:val="-3"/>
        </w:rPr>
        <w:t>around </w:t>
      </w:r>
      <w:r>
        <w:rPr/>
        <w:t>5% </w:t>
      </w:r>
      <w:r>
        <w:rPr>
          <w:spacing w:val="-3"/>
        </w:rPr>
        <w:t>during </w:t>
      </w:r>
      <w:r>
        <w:rPr/>
        <w:t>the </w:t>
      </w:r>
      <w:r>
        <w:rPr>
          <w:spacing w:val="-3"/>
        </w:rPr>
        <w:t>last </w:t>
      </w:r>
      <w:r>
        <w:rPr/>
        <w:t>year, but were not accelerating</w:t>
      </w:r>
      <w:r>
        <w:rPr>
          <w:spacing w:val="2"/>
        </w:rPr>
        <w:t> </w:t>
      </w:r>
      <w:r>
        <w:rPr/>
        <w:t>rapidly.</w:t>
      </w:r>
    </w:p>
    <w:p>
      <w:pPr>
        <w:pStyle w:val="BodyText"/>
        <w:rPr>
          <w:sz w:val="32"/>
        </w:rPr>
      </w:pPr>
    </w:p>
    <w:p>
      <w:pPr>
        <w:pStyle w:val="BodyText"/>
        <w:spacing w:line="321" w:lineRule="auto"/>
        <w:ind w:left="277" w:right="362"/>
      </w:pPr>
      <w:r>
        <w:rPr/>
        <w:t>A13</w:t>
      </w:r>
      <w:r>
        <w:rPr>
          <w:spacing w:val="9"/>
        </w:rPr>
        <w:t> </w:t>
      </w:r>
      <w:r>
        <w:rPr/>
        <w:t>Spending on consumer durables had been unusually strong in Q2 - up by 6.8% on the quarter. Although spending on durables was normally volatile, the Q2 increase was consistent with other </w:t>
      </w:r>
      <w:r>
        <w:rPr>
          <w:spacing w:val="-3"/>
        </w:rPr>
        <w:t>evidence </w:t>
      </w:r>
      <w:r>
        <w:rPr/>
        <w:t>of </w:t>
      </w:r>
      <w:r>
        <w:rPr>
          <w:spacing w:val="-3"/>
        </w:rPr>
        <w:t>spending </w:t>
      </w:r>
      <w:r>
        <w:rPr/>
        <w:t>of </w:t>
      </w:r>
      <w:r>
        <w:rPr>
          <w:spacing w:val="-3"/>
        </w:rPr>
        <w:t>windfalls from demutualisations. </w:t>
      </w:r>
      <w:r>
        <w:rPr/>
        <w:t>Car </w:t>
      </w:r>
      <w:r>
        <w:rPr>
          <w:spacing w:val="-3"/>
        </w:rPr>
        <w:t>registrations </w:t>
      </w:r>
      <w:r>
        <w:rPr/>
        <w:t>in </w:t>
      </w:r>
      <w:r>
        <w:rPr>
          <w:spacing w:val="-3"/>
        </w:rPr>
        <w:t>August were the </w:t>
      </w:r>
      <w:r>
        <w:rPr/>
        <w:t>highest for 16 years, and there was no solid evidence that pre-registrations had been higher than in August 1996; registrations in September had been the highest since</w:t>
      </w:r>
      <w:r>
        <w:rPr>
          <w:spacing w:val="-19"/>
        </w:rPr>
        <w:t> </w:t>
      </w:r>
      <w:r>
        <w:rPr/>
        <w:t>1989.</w:t>
      </w:r>
    </w:p>
    <w:p>
      <w:pPr>
        <w:pStyle w:val="BodyText"/>
        <w:spacing w:before="1"/>
        <w:rPr>
          <w:sz w:val="32"/>
        </w:rPr>
      </w:pPr>
    </w:p>
    <w:p>
      <w:pPr>
        <w:pStyle w:val="BodyText"/>
        <w:spacing w:line="321" w:lineRule="auto"/>
        <w:ind w:left="277" w:right="132"/>
      </w:pPr>
      <w:r>
        <w:rPr/>
        <w:t>A14 The </w:t>
      </w:r>
      <w:r>
        <w:rPr>
          <w:spacing w:val="-3"/>
        </w:rPr>
        <w:t>divergence between </w:t>
      </w:r>
      <w:r>
        <w:rPr/>
        <w:t>the </w:t>
      </w:r>
      <w:r>
        <w:rPr>
          <w:spacing w:val="-3"/>
        </w:rPr>
        <w:t>Nationwide </w:t>
      </w:r>
      <w:r>
        <w:rPr/>
        <w:t>and </w:t>
      </w:r>
      <w:r>
        <w:rPr>
          <w:spacing w:val="-3"/>
        </w:rPr>
        <w:t>Halifax estimates </w:t>
      </w:r>
      <w:r>
        <w:rPr/>
        <w:t>of </w:t>
      </w:r>
      <w:r>
        <w:rPr>
          <w:spacing w:val="-3"/>
        </w:rPr>
        <w:t>house price inflation had </w:t>
      </w:r>
      <w:r>
        <w:rPr/>
        <w:t>widened further: their estimates for the year to September were 12.9% and 6.9% respectively. Housing</w:t>
      </w:r>
      <w:r>
        <w:rPr>
          <w:spacing w:val="-9"/>
        </w:rPr>
        <w:t> </w:t>
      </w:r>
      <w:r>
        <w:rPr/>
        <w:t>market</w:t>
      </w:r>
      <w:r>
        <w:rPr>
          <w:spacing w:val="-9"/>
        </w:rPr>
        <w:t> </w:t>
      </w:r>
      <w:r>
        <w:rPr/>
        <w:t>turnover,</w:t>
      </w:r>
      <w:r>
        <w:rPr>
          <w:spacing w:val="-9"/>
        </w:rPr>
        <w:t> </w:t>
      </w:r>
      <w:r>
        <w:rPr/>
        <w:t>as</w:t>
      </w:r>
      <w:r>
        <w:rPr>
          <w:spacing w:val="-9"/>
        </w:rPr>
        <w:t> </w:t>
      </w:r>
      <w:r>
        <w:rPr/>
        <w:t>measured</w:t>
      </w:r>
      <w:r>
        <w:rPr>
          <w:spacing w:val="-9"/>
        </w:rPr>
        <w:t> </w:t>
      </w:r>
      <w:r>
        <w:rPr/>
        <w:t>by</w:t>
      </w:r>
      <w:r>
        <w:rPr>
          <w:spacing w:val="-9"/>
        </w:rPr>
        <w:t> </w:t>
      </w:r>
      <w:r>
        <w:rPr/>
        <w:t>particulars</w:t>
      </w:r>
      <w:r>
        <w:rPr>
          <w:spacing w:val="-9"/>
        </w:rPr>
        <w:t> </w:t>
      </w:r>
      <w:r>
        <w:rPr/>
        <w:t>delivered,</w:t>
      </w:r>
      <w:r>
        <w:rPr>
          <w:spacing w:val="-9"/>
        </w:rPr>
        <w:t> </w:t>
      </w:r>
      <w:r>
        <w:rPr/>
        <w:t>fell</w:t>
      </w:r>
      <w:r>
        <w:rPr>
          <w:spacing w:val="-9"/>
        </w:rPr>
        <w:t> </w:t>
      </w:r>
      <w:r>
        <w:rPr/>
        <w:t>in</w:t>
      </w:r>
      <w:r>
        <w:rPr>
          <w:spacing w:val="-9"/>
        </w:rPr>
        <w:t> </w:t>
      </w:r>
      <w:r>
        <w:rPr/>
        <w:t>August,</w:t>
      </w:r>
      <w:r>
        <w:rPr>
          <w:spacing w:val="-9"/>
        </w:rPr>
        <w:t> </w:t>
      </w:r>
      <w:r>
        <w:rPr/>
        <w:t>but</w:t>
      </w:r>
      <w:r>
        <w:rPr>
          <w:spacing w:val="-9"/>
        </w:rPr>
        <w:t> </w:t>
      </w:r>
      <w:r>
        <w:rPr/>
        <w:t>there</w:t>
      </w:r>
      <w:r>
        <w:rPr>
          <w:spacing w:val="-9"/>
        </w:rPr>
        <w:t> </w:t>
      </w:r>
      <w:r>
        <w:rPr/>
        <w:t>had</w:t>
      </w:r>
      <w:r>
        <w:rPr>
          <w:spacing w:val="-9"/>
        </w:rPr>
        <w:t> </w:t>
      </w:r>
      <w:r>
        <w:rPr/>
        <w:t>been</w:t>
      </w:r>
      <w:r>
        <w:rPr>
          <w:spacing w:val="-9"/>
        </w:rPr>
        <w:t> </w:t>
      </w:r>
      <w:r>
        <w:rPr/>
        <w:t>an increase in housing</w:t>
      </w:r>
      <w:r>
        <w:rPr>
          <w:spacing w:val="-2"/>
        </w:rPr>
        <w:t> </w:t>
      </w:r>
      <w:r>
        <w:rPr/>
        <w:t>starts.</w:t>
      </w:r>
    </w:p>
    <w:p>
      <w:pPr>
        <w:spacing w:after="0" w:line="321" w:lineRule="auto"/>
        <w:sectPr>
          <w:pgSz w:w="11900" w:h="16840"/>
          <w:pgMar w:header="719" w:footer="0" w:top="1260" w:bottom="280" w:left="860" w:right="880"/>
        </w:sectPr>
      </w:pPr>
    </w:p>
    <w:p>
      <w:pPr>
        <w:pStyle w:val="BodyText"/>
        <w:rPr>
          <w:sz w:val="20"/>
        </w:rPr>
      </w:pPr>
    </w:p>
    <w:p>
      <w:pPr>
        <w:pStyle w:val="BodyText"/>
        <w:spacing w:before="2"/>
        <w:rPr>
          <w:sz w:val="20"/>
        </w:rPr>
      </w:pPr>
    </w:p>
    <w:p>
      <w:pPr>
        <w:pStyle w:val="BodyText"/>
        <w:spacing w:line="321" w:lineRule="auto" w:before="90"/>
        <w:ind w:left="277" w:right="212"/>
      </w:pPr>
      <w:r>
        <w:rPr/>
        <w:t>A15 Manufacturing investment had grown strongly in Q2, and the ONS data were now more </w:t>
      </w:r>
      <w:r>
        <w:rPr>
          <w:spacing w:val="-3"/>
        </w:rPr>
        <w:t>consistent with indications from business surveys. Investment </w:t>
      </w:r>
      <w:r>
        <w:rPr/>
        <w:t>in </w:t>
      </w:r>
      <w:r>
        <w:rPr>
          <w:spacing w:val="-3"/>
        </w:rPr>
        <w:t>service industries </w:t>
      </w:r>
      <w:r>
        <w:rPr/>
        <w:t>as </w:t>
      </w:r>
      <w:r>
        <w:rPr>
          <w:spacing w:val="-3"/>
        </w:rPr>
        <w:t>recorded </w:t>
      </w:r>
      <w:r>
        <w:rPr/>
        <w:t>in </w:t>
      </w:r>
      <w:r>
        <w:rPr>
          <w:spacing w:val="-3"/>
        </w:rPr>
        <w:t>the </w:t>
      </w:r>
      <w:r>
        <w:rPr/>
        <w:t>national accounts had fallen: the ONS had adjusted the results of the capital expenditure </w:t>
      </w:r>
      <w:r>
        <w:rPr>
          <w:spacing w:val="-2"/>
        </w:rPr>
        <w:t>survey </w:t>
      </w:r>
      <w:r>
        <w:rPr/>
        <w:t>(which had shown a large increase) in order to achieve consistency with other parts of the national accounts. The adjustments in Q1 and Q2 had been large and in opposite directions. Surveys continued to indicate quite strong investment intentions in service industries.</w:t>
      </w:r>
    </w:p>
    <w:p>
      <w:pPr>
        <w:pStyle w:val="BodyText"/>
        <w:spacing w:before="1"/>
        <w:rPr>
          <w:sz w:val="32"/>
        </w:rPr>
      </w:pPr>
    </w:p>
    <w:p>
      <w:pPr>
        <w:pStyle w:val="BodyText"/>
        <w:ind w:left="277"/>
      </w:pPr>
      <w:r>
        <w:rPr/>
        <w:t>A16 Stockbuilding had made a small positive contribution to GDP growth in Q2.</w:t>
      </w:r>
    </w:p>
    <w:p>
      <w:pPr>
        <w:pStyle w:val="BodyText"/>
        <w:rPr>
          <w:sz w:val="26"/>
        </w:rPr>
      </w:pPr>
    </w:p>
    <w:p>
      <w:pPr>
        <w:pStyle w:val="BodyText"/>
        <w:spacing w:line="321" w:lineRule="auto" w:before="164"/>
        <w:ind w:left="277" w:right="439"/>
      </w:pPr>
      <w:r>
        <w:rPr/>
        <w:t>A17 The external current account had recorded its third consecutive quarterly surplus in Q2. Though net exports of goods and services had fallen in Q2 by the equivalent of 0.5% of GDP, the fall was entirely accounted for by oil and erratic items, and net exports of goods other than oil and erratic items had increased. The CIPS survey showed only a small decrease in orders for manufactured exports in September. There were reports from the Agencies that demand in Europe was recovering and that there had been some switching of exports to markets where demand was stronger.</w:t>
      </w:r>
    </w:p>
    <w:p>
      <w:pPr>
        <w:pStyle w:val="BodyText"/>
        <w:rPr>
          <w:sz w:val="32"/>
        </w:rPr>
      </w:pPr>
    </w:p>
    <w:p>
      <w:pPr>
        <w:pStyle w:val="BodyText"/>
        <w:spacing w:line="321" w:lineRule="auto"/>
        <w:ind w:left="277" w:right="319"/>
      </w:pPr>
      <w:r>
        <w:rPr/>
        <w:t>A18 Notwithstanding recent ONS data revisions, output was growing much faster in services </w:t>
      </w:r>
      <w:r>
        <w:rPr>
          <w:spacing w:val="-2"/>
        </w:rPr>
        <w:t>(up </w:t>
      </w:r>
      <w:r>
        <w:rPr/>
        <w:t>by</w:t>
      </w:r>
      <w:r>
        <w:rPr>
          <w:spacing w:val="-7"/>
        </w:rPr>
        <w:t> </w:t>
      </w:r>
      <w:r>
        <w:rPr/>
        <w:t>1.2%</w:t>
      </w:r>
      <w:r>
        <w:rPr>
          <w:spacing w:val="-7"/>
        </w:rPr>
        <w:t> </w:t>
      </w:r>
      <w:r>
        <w:rPr/>
        <w:t>in</w:t>
      </w:r>
      <w:r>
        <w:rPr>
          <w:spacing w:val="-7"/>
        </w:rPr>
        <w:t> </w:t>
      </w:r>
      <w:r>
        <w:rPr/>
        <w:t>Q2)</w:t>
      </w:r>
      <w:r>
        <w:rPr>
          <w:spacing w:val="-6"/>
        </w:rPr>
        <w:t> </w:t>
      </w:r>
      <w:r>
        <w:rPr/>
        <w:t>than</w:t>
      </w:r>
      <w:r>
        <w:rPr>
          <w:spacing w:val="-7"/>
        </w:rPr>
        <w:t> </w:t>
      </w:r>
      <w:r>
        <w:rPr/>
        <w:t>in</w:t>
      </w:r>
      <w:r>
        <w:rPr>
          <w:spacing w:val="-7"/>
        </w:rPr>
        <w:t> </w:t>
      </w:r>
      <w:r>
        <w:rPr/>
        <w:t>manufacturing</w:t>
      </w:r>
      <w:r>
        <w:rPr>
          <w:spacing w:val="-6"/>
        </w:rPr>
        <w:t> </w:t>
      </w:r>
      <w:r>
        <w:rPr/>
        <w:t>(up</w:t>
      </w:r>
      <w:r>
        <w:rPr>
          <w:spacing w:val="-7"/>
        </w:rPr>
        <w:t> </w:t>
      </w:r>
      <w:r>
        <w:rPr/>
        <w:t>by</w:t>
      </w:r>
      <w:r>
        <w:rPr>
          <w:spacing w:val="-7"/>
        </w:rPr>
        <w:t> </w:t>
      </w:r>
      <w:r>
        <w:rPr/>
        <w:t>0.3%</w:t>
      </w:r>
      <w:r>
        <w:rPr>
          <w:spacing w:val="-7"/>
        </w:rPr>
        <w:t> </w:t>
      </w:r>
      <w:r>
        <w:rPr/>
        <w:t>in</w:t>
      </w:r>
      <w:r>
        <w:rPr>
          <w:spacing w:val="-6"/>
        </w:rPr>
        <w:t> </w:t>
      </w:r>
      <w:r>
        <w:rPr/>
        <w:t>Q2).</w:t>
      </w:r>
      <w:r>
        <w:rPr>
          <w:spacing w:val="49"/>
        </w:rPr>
        <w:t> </w:t>
      </w:r>
      <w:r>
        <w:rPr/>
        <w:t>But</w:t>
      </w:r>
      <w:r>
        <w:rPr>
          <w:spacing w:val="-7"/>
        </w:rPr>
        <w:t> </w:t>
      </w:r>
      <w:r>
        <w:rPr/>
        <w:t>recent</w:t>
      </w:r>
      <w:r>
        <w:rPr>
          <w:spacing w:val="-6"/>
        </w:rPr>
        <w:t> </w:t>
      </w:r>
      <w:r>
        <w:rPr/>
        <w:t>CIPS</w:t>
      </w:r>
      <w:r>
        <w:rPr>
          <w:spacing w:val="-7"/>
        </w:rPr>
        <w:t> </w:t>
      </w:r>
      <w:r>
        <w:rPr/>
        <w:t>surveys</w:t>
      </w:r>
      <w:r>
        <w:rPr>
          <w:spacing w:val="-7"/>
        </w:rPr>
        <w:t> </w:t>
      </w:r>
      <w:r>
        <w:rPr/>
        <w:t>were</w:t>
      </w:r>
      <w:r>
        <w:rPr>
          <w:spacing w:val="-6"/>
        </w:rPr>
        <w:t> </w:t>
      </w:r>
      <w:r>
        <w:rPr/>
        <w:t>indicating a slowdown in services output and perhaps some acceleration in manufacturing, and ONS data suggested that manufacturing output has strengthened in July and August. Moreover, CBI surveys suggested consistently that manufacturing output was stronger than the ONS data indicated, and there was a wide gap between the growth rate of retail sales of manufactured goods and output of manufactured consumer goods, which was much </w:t>
      </w:r>
      <w:r>
        <w:rPr>
          <w:spacing w:val="-2"/>
        </w:rPr>
        <w:t>lower.</w:t>
      </w:r>
    </w:p>
    <w:p>
      <w:pPr>
        <w:pStyle w:val="BodyText"/>
        <w:rPr>
          <w:sz w:val="32"/>
        </w:rPr>
      </w:pPr>
    </w:p>
    <w:p>
      <w:pPr>
        <w:pStyle w:val="BodyText"/>
        <w:spacing w:line="321" w:lineRule="auto"/>
        <w:ind w:left="277" w:right="212"/>
      </w:pPr>
      <w:r>
        <w:rPr/>
        <w:t>A19 Bank research showed that the construction industry was very sensitive to interest rates. Construction output had increased by 1.0% in Q2 and had been up by 3.5% on 1996 Q2. Indicators of capacity utilisation from BEC surveys had risen during the last year or so. The recent building industry wage settlement increased basic pay by 5.5% from August this year, with larger increases agreed for 1998 and 1999. Tender price inflation had increased. There had been an upward trend in orders.</w:t>
      </w:r>
    </w:p>
    <w:p>
      <w:pPr>
        <w:pStyle w:val="BodyText"/>
        <w:spacing w:before="1"/>
        <w:rPr>
          <w:sz w:val="32"/>
        </w:rPr>
      </w:pPr>
    </w:p>
    <w:p>
      <w:pPr>
        <w:pStyle w:val="BodyText"/>
        <w:spacing w:line="321" w:lineRule="auto"/>
        <w:ind w:left="277" w:right="612"/>
      </w:pPr>
      <w:r>
        <w:rPr/>
        <w:t>A20 The unexpectedly low PSBR in the first five months of the financial year (April-August) appeared to be mainly the result of unexpectedly low outlays. The shortfall in outlays was larger than could be accounted for by the fact that unemployment was lower than had been assumed in making the projecton.</w:t>
      </w:r>
    </w:p>
    <w:p>
      <w:pPr>
        <w:spacing w:after="0" w:line="321" w:lineRule="auto"/>
        <w:sectPr>
          <w:pgSz w:w="11900" w:h="16840"/>
          <w:pgMar w:header="719" w:footer="0" w:top="1260" w:bottom="280" w:left="860" w:right="880"/>
        </w:sectPr>
      </w:pPr>
    </w:p>
    <w:p>
      <w:pPr>
        <w:pStyle w:val="BodyText"/>
        <w:spacing w:line="321" w:lineRule="auto" w:before="183"/>
        <w:ind w:left="277" w:right="299"/>
      </w:pPr>
      <w:r>
        <w:rPr/>
        <w:t>A21 The Bank’s regional agencies had conducted a survey of 144 contacts on the recent behaviour of imports. Of those surveyed, 90 were manufacturers, 25 retailers and 15 service providers. 39 were large (turnover of £100 million), 42 were medium-sized (turnover £25-100 million) and 63 were small. Most respondents (55%, including 72% of retailers) thought that the market share of imports of goods and services had increased during the last twelve months, and 57% expected it to increase during the next twelve months. The impact of imports had been greatest in homogenous products; niche markets were easier to defend but even there, profitability had been affected. Long- standing</w:t>
      </w:r>
      <w:r>
        <w:rPr>
          <w:spacing w:val="-11"/>
        </w:rPr>
        <w:t> </w:t>
      </w:r>
      <w:r>
        <w:rPr/>
        <w:t>partnership</w:t>
      </w:r>
      <w:r>
        <w:rPr>
          <w:spacing w:val="-11"/>
        </w:rPr>
        <w:t> </w:t>
      </w:r>
      <w:r>
        <w:rPr/>
        <w:t>arrangements</w:t>
      </w:r>
      <w:r>
        <w:rPr>
          <w:spacing w:val="-10"/>
        </w:rPr>
        <w:t> </w:t>
      </w:r>
      <w:r>
        <w:rPr/>
        <w:t>between</w:t>
      </w:r>
      <w:r>
        <w:rPr>
          <w:spacing w:val="-11"/>
        </w:rPr>
        <w:t> </w:t>
      </w:r>
      <w:r>
        <w:rPr/>
        <w:t>suppliers</w:t>
      </w:r>
      <w:r>
        <w:rPr>
          <w:spacing w:val="-11"/>
        </w:rPr>
        <w:t> </w:t>
      </w:r>
      <w:r>
        <w:rPr/>
        <w:t>and</w:t>
      </w:r>
      <w:r>
        <w:rPr>
          <w:spacing w:val="-10"/>
        </w:rPr>
        <w:t> </w:t>
      </w:r>
      <w:r>
        <w:rPr/>
        <w:t>customers</w:t>
      </w:r>
      <w:r>
        <w:rPr>
          <w:spacing w:val="-11"/>
        </w:rPr>
        <w:t> </w:t>
      </w:r>
      <w:r>
        <w:rPr/>
        <w:t>had</w:t>
      </w:r>
      <w:r>
        <w:rPr>
          <w:spacing w:val="-10"/>
        </w:rPr>
        <w:t> </w:t>
      </w:r>
      <w:r>
        <w:rPr/>
        <w:t>helped</w:t>
      </w:r>
      <w:r>
        <w:rPr>
          <w:spacing w:val="-11"/>
        </w:rPr>
        <w:t> </w:t>
      </w:r>
      <w:r>
        <w:rPr/>
        <w:t>to</w:t>
      </w:r>
      <w:r>
        <w:rPr>
          <w:spacing w:val="-11"/>
        </w:rPr>
        <w:t> </w:t>
      </w:r>
      <w:r>
        <w:rPr/>
        <w:t>delay</w:t>
      </w:r>
      <w:r>
        <w:rPr>
          <w:spacing w:val="-10"/>
        </w:rPr>
        <w:t> </w:t>
      </w:r>
      <w:r>
        <w:rPr/>
        <w:t>the</w:t>
      </w:r>
      <w:r>
        <w:rPr>
          <w:spacing w:val="-11"/>
        </w:rPr>
        <w:t> </w:t>
      </w:r>
      <w:r>
        <w:rPr/>
        <w:t>effect</w:t>
      </w:r>
      <w:r>
        <w:rPr>
          <w:spacing w:val="-10"/>
        </w:rPr>
        <w:t> </w:t>
      </w:r>
      <w:r>
        <w:rPr/>
        <w:t>of the exchange rate appreciation on sourcing. There was some limited evidence of a reduction in foreign visitors to the United Kingdom and a rise in holidays</w:t>
      </w:r>
      <w:r>
        <w:rPr>
          <w:spacing w:val="-17"/>
        </w:rPr>
        <w:t> </w:t>
      </w:r>
      <w:r>
        <w:rPr/>
        <w:t>abroad.</w:t>
      </w:r>
    </w:p>
    <w:p>
      <w:pPr>
        <w:pStyle w:val="BodyText"/>
        <w:spacing w:before="11"/>
        <w:rPr>
          <w:sz w:val="31"/>
        </w:rPr>
      </w:pPr>
    </w:p>
    <w:p>
      <w:pPr>
        <w:pStyle w:val="BodyText"/>
        <w:spacing w:line="321" w:lineRule="auto"/>
        <w:ind w:left="277" w:right="338"/>
      </w:pPr>
      <w:r>
        <w:rPr/>
        <w:t>A22 The fall in the cost of imports was much smaller than the appreciation of the exchange rate. 17% of respondents said that the cost of imports to them had not fallen at all during the past twelve months; 45% said it had fallen by less than 5%, and only 38% said it had fallen by more than 5%. Only 13% of respondents said they had cut their own prices by more than 5% because of cheaper imported imports in relation to a year ago; 27% said they had cut prices by less than 5%; and 60% said they had not cut prices.</w:t>
      </w:r>
    </w:p>
    <w:p>
      <w:pPr>
        <w:pStyle w:val="BodyText"/>
        <w:rPr>
          <w:sz w:val="32"/>
        </w:rPr>
      </w:pPr>
    </w:p>
    <w:p>
      <w:pPr>
        <w:pStyle w:val="BodyText"/>
        <w:spacing w:line="321" w:lineRule="auto"/>
        <w:ind w:left="277" w:right="299"/>
      </w:pPr>
      <w:r>
        <w:rPr/>
        <w:t>A23 There had been somewhat more price-cutting to maintain market share against cheaper imports. 23% of respondents (including 29% of manufacturers) had cut prices by more than 5% for that reason, 34% had cut prices by less than 5%, and 42% had not cut at all. Some respondents said that foreign cars were gaining market share: their prices had not been cut, but more extras were being offered.</w:t>
      </w:r>
    </w:p>
    <w:p>
      <w:pPr>
        <w:pStyle w:val="BodyText"/>
        <w:spacing w:before="1"/>
        <w:rPr>
          <w:sz w:val="32"/>
        </w:rPr>
      </w:pPr>
    </w:p>
    <w:p>
      <w:pPr>
        <w:pStyle w:val="BodyText"/>
        <w:spacing w:line="321" w:lineRule="auto"/>
        <w:ind w:left="277" w:right="531"/>
      </w:pPr>
      <w:r>
        <w:rPr/>
        <w:t>A24 51% of </w:t>
      </w:r>
      <w:r>
        <w:rPr>
          <w:spacing w:val="-3"/>
        </w:rPr>
        <w:t>respondents said </w:t>
      </w:r>
      <w:r>
        <w:rPr/>
        <w:t>the </w:t>
      </w:r>
      <w:r>
        <w:rPr>
          <w:spacing w:val="-3"/>
        </w:rPr>
        <w:t>appreciation </w:t>
      </w:r>
      <w:r>
        <w:rPr/>
        <w:t>of </w:t>
      </w:r>
      <w:r>
        <w:rPr>
          <w:spacing w:val="-3"/>
        </w:rPr>
        <w:t>sterling </w:t>
      </w:r>
      <w:r>
        <w:rPr/>
        <w:t>had </w:t>
      </w:r>
      <w:r>
        <w:rPr>
          <w:spacing w:val="-3"/>
        </w:rPr>
        <w:t>damaged their profitability </w:t>
      </w:r>
      <w:r>
        <w:rPr/>
        <w:t>- </w:t>
      </w:r>
      <w:r>
        <w:rPr>
          <w:spacing w:val="-3"/>
        </w:rPr>
        <w:t>chiefly </w:t>
      </w:r>
      <w:r>
        <w:rPr/>
        <w:t>on account of exports, but also partly because of competition from imports. 28% reported no change</w:t>
      </w:r>
      <w:r>
        <w:rPr>
          <w:spacing w:val="-11"/>
        </w:rPr>
        <w:t> </w:t>
      </w:r>
      <w:r>
        <w:rPr/>
        <w:t>in</w:t>
      </w:r>
      <w:r>
        <w:rPr>
          <w:spacing w:val="-10"/>
        </w:rPr>
        <w:t> </w:t>
      </w:r>
      <w:r>
        <w:rPr/>
        <w:t>profitability,</w:t>
      </w:r>
      <w:r>
        <w:rPr>
          <w:spacing w:val="-11"/>
        </w:rPr>
        <w:t> </w:t>
      </w:r>
      <w:r>
        <w:rPr/>
        <w:t>and</w:t>
      </w:r>
      <w:r>
        <w:rPr>
          <w:spacing w:val="-10"/>
        </w:rPr>
        <w:t> </w:t>
      </w:r>
      <w:r>
        <w:rPr/>
        <w:t>20%</w:t>
      </w:r>
      <w:r>
        <w:rPr>
          <w:spacing w:val="-11"/>
        </w:rPr>
        <w:t> </w:t>
      </w:r>
      <w:r>
        <w:rPr/>
        <w:t>(notably</w:t>
      </w:r>
      <w:r>
        <w:rPr>
          <w:spacing w:val="-10"/>
        </w:rPr>
        <w:t> </w:t>
      </w:r>
      <w:r>
        <w:rPr/>
        <w:t>retailers)</w:t>
      </w:r>
      <w:r>
        <w:rPr>
          <w:spacing w:val="-11"/>
        </w:rPr>
        <w:t> </w:t>
      </w:r>
      <w:r>
        <w:rPr/>
        <w:t>reported</w:t>
      </w:r>
      <w:r>
        <w:rPr>
          <w:spacing w:val="-10"/>
        </w:rPr>
        <w:t> </w:t>
      </w:r>
      <w:r>
        <w:rPr/>
        <w:t>an</w:t>
      </w:r>
      <w:r>
        <w:rPr>
          <w:spacing w:val="-11"/>
        </w:rPr>
        <w:t> </w:t>
      </w:r>
      <w:r>
        <w:rPr/>
        <w:t>improvement</w:t>
      </w:r>
      <w:r>
        <w:rPr>
          <w:spacing w:val="-10"/>
        </w:rPr>
        <w:t> </w:t>
      </w:r>
      <w:r>
        <w:rPr/>
        <w:t>resulting</w:t>
      </w:r>
      <w:r>
        <w:rPr>
          <w:spacing w:val="-11"/>
        </w:rPr>
        <w:t> </w:t>
      </w:r>
      <w:r>
        <w:rPr/>
        <w:t>from</w:t>
      </w:r>
      <w:r>
        <w:rPr>
          <w:spacing w:val="-10"/>
        </w:rPr>
        <w:t> </w:t>
      </w:r>
      <w:r>
        <w:rPr/>
        <w:t>lower input</w:t>
      </w:r>
      <w:r>
        <w:rPr>
          <w:spacing w:val="1"/>
        </w:rPr>
        <w:t> </w:t>
      </w:r>
      <w:r>
        <w:rPr/>
        <w:t>costs.</w:t>
      </w:r>
    </w:p>
    <w:p>
      <w:pPr>
        <w:pStyle w:val="BodyText"/>
        <w:rPr>
          <w:sz w:val="32"/>
        </w:rPr>
      </w:pPr>
    </w:p>
    <w:p>
      <w:pPr>
        <w:pStyle w:val="BodyText"/>
        <w:spacing w:line="321" w:lineRule="auto" w:before="1"/>
        <w:ind w:left="277" w:right="299"/>
      </w:pPr>
      <w:r>
        <w:rPr/>
        <w:t>A25 Asked whether the exchange rate appreciation had led to a transfer of production overseas, 55%</w:t>
      </w:r>
      <w:r>
        <w:rPr>
          <w:spacing w:val="-8"/>
        </w:rPr>
        <w:t> </w:t>
      </w:r>
      <w:r>
        <w:rPr/>
        <w:t>of</w:t>
      </w:r>
      <w:r>
        <w:rPr>
          <w:spacing w:val="-7"/>
        </w:rPr>
        <w:t> </w:t>
      </w:r>
      <w:r>
        <w:rPr/>
        <w:t>respondents</w:t>
      </w:r>
      <w:r>
        <w:rPr>
          <w:spacing w:val="-8"/>
        </w:rPr>
        <w:t> </w:t>
      </w:r>
      <w:r>
        <w:rPr/>
        <w:t>(notably</w:t>
      </w:r>
      <w:r>
        <w:rPr>
          <w:spacing w:val="-7"/>
        </w:rPr>
        <w:t> </w:t>
      </w:r>
      <w:r>
        <w:rPr/>
        <w:t>small</w:t>
      </w:r>
      <w:r>
        <w:rPr>
          <w:spacing w:val="-8"/>
        </w:rPr>
        <w:t> </w:t>
      </w:r>
      <w:r>
        <w:rPr/>
        <w:t>companies)</w:t>
      </w:r>
      <w:r>
        <w:rPr>
          <w:spacing w:val="-7"/>
        </w:rPr>
        <w:t> </w:t>
      </w:r>
      <w:r>
        <w:rPr/>
        <w:t>said</w:t>
      </w:r>
      <w:r>
        <w:rPr>
          <w:spacing w:val="-8"/>
        </w:rPr>
        <w:t> </w:t>
      </w:r>
      <w:r>
        <w:rPr/>
        <w:t>‘no’.</w:t>
      </w:r>
      <w:r>
        <w:rPr>
          <w:spacing w:val="48"/>
        </w:rPr>
        <w:t> </w:t>
      </w:r>
      <w:r>
        <w:rPr/>
        <w:t>13%</w:t>
      </w:r>
      <w:r>
        <w:rPr>
          <w:spacing w:val="-8"/>
        </w:rPr>
        <w:t> </w:t>
      </w:r>
      <w:r>
        <w:rPr/>
        <w:t>said</w:t>
      </w:r>
      <w:r>
        <w:rPr>
          <w:spacing w:val="-7"/>
        </w:rPr>
        <w:t> </w:t>
      </w:r>
      <w:r>
        <w:rPr/>
        <w:t>‘yes’</w:t>
      </w:r>
      <w:r>
        <w:rPr>
          <w:spacing w:val="-8"/>
        </w:rPr>
        <w:t> </w:t>
      </w:r>
      <w:r>
        <w:rPr/>
        <w:t>and</w:t>
      </w:r>
      <w:r>
        <w:rPr>
          <w:spacing w:val="-7"/>
        </w:rPr>
        <w:t> </w:t>
      </w:r>
      <w:r>
        <w:rPr/>
        <w:t>a</w:t>
      </w:r>
      <w:r>
        <w:rPr>
          <w:spacing w:val="-8"/>
        </w:rPr>
        <w:t> </w:t>
      </w:r>
      <w:r>
        <w:rPr/>
        <w:t>further</w:t>
      </w:r>
      <w:r>
        <w:rPr>
          <w:spacing w:val="-7"/>
        </w:rPr>
        <w:t> </w:t>
      </w:r>
      <w:r>
        <w:rPr/>
        <w:t>14%</w:t>
      </w:r>
      <w:r>
        <w:rPr>
          <w:spacing w:val="-8"/>
        </w:rPr>
        <w:t> </w:t>
      </w:r>
      <w:r>
        <w:rPr/>
        <w:t>said</w:t>
      </w:r>
      <w:r>
        <w:rPr>
          <w:spacing w:val="-7"/>
        </w:rPr>
        <w:t> </w:t>
      </w:r>
      <w:r>
        <w:rPr/>
        <w:t>that it was likely to do so in the</w:t>
      </w:r>
      <w:r>
        <w:rPr>
          <w:spacing w:val="-3"/>
        </w:rPr>
        <w:t> </w:t>
      </w:r>
      <w:r>
        <w:rPr/>
        <w:t>future.</w:t>
      </w:r>
    </w:p>
    <w:p>
      <w:pPr>
        <w:pStyle w:val="BodyText"/>
        <w:rPr>
          <w:sz w:val="26"/>
        </w:rPr>
      </w:pPr>
    </w:p>
    <w:p>
      <w:pPr>
        <w:pStyle w:val="BodyText"/>
        <w:rPr>
          <w:sz w:val="26"/>
        </w:rPr>
      </w:pPr>
    </w:p>
    <w:p>
      <w:pPr>
        <w:pStyle w:val="BodyText"/>
        <w:rPr>
          <w:sz w:val="26"/>
        </w:rPr>
      </w:pPr>
    </w:p>
    <w:p>
      <w:pPr>
        <w:pStyle w:val="ListParagraph"/>
        <w:numPr>
          <w:ilvl w:val="0"/>
          <w:numId w:val="2"/>
        </w:numPr>
        <w:tabs>
          <w:tab w:pos="705" w:val="left" w:leader="none"/>
        </w:tabs>
        <w:spacing w:line="240" w:lineRule="auto" w:before="211" w:after="0"/>
        <w:ind w:left="704" w:right="0" w:hanging="428"/>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3"/>
        <w:ind w:left="277" w:right="132"/>
      </w:pPr>
      <w:r>
        <w:rPr/>
        <w:t>A26 Claimant unemployment fell by 49,000 in August to a rate of 5.3%, the lowest since </w:t>
      </w:r>
      <w:r>
        <w:rPr>
          <w:spacing w:val="-2"/>
        </w:rPr>
        <w:t>August </w:t>
      </w:r>
      <w:r>
        <w:rPr>
          <w:spacing w:val="-3"/>
        </w:rPr>
        <w:t>1980. This </w:t>
      </w:r>
      <w:r>
        <w:rPr/>
        <w:t>was a </w:t>
      </w:r>
      <w:r>
        <w:rPr>
          <w:spacing w:val="-3"/>
        </w:rPr>
        <w:t>larger fall than Bank staff </w:t>
      </w:r>
      <w:r>
        <w:rPr/>
        <w:t>had </w:t>
      </w:r>
      <w:r>
        <w:rPr>
          <w:spacing w:val="-3"/>
        </w:rPr>
        <w:t>expected </w:t>
      </w:r>
      <w:r>
        <w:rPr/>
        <w:t>and </w:t>
      </w:r>
      <w:r>
        <w:rPr>
          <w:spacing w:val="-3"/>
        </w:rPr>
        <w:t>followed </w:t>
      </w:r>
      <w:r>
        <w:rPr/>
        <w:t>a </w:t>
      </w:r>
      <w:r>
        <w:rPr>
          <w:spacing w:val="-3"/>
        </w:rPr>
        <w:t>large fall </w:t>
      </w:r>
      <w:r>
        <w:rPr/>
        <w:t>in </w:t>
      </w:r>
      <w:r>
        <w:rPr>
          <w:spacing w:val="-3"/>
        </w:rPr>
        <w:t>July</w:t>
      </w:r>
      <w:r>
        <w:rPr>
          <w:spacing w:val="49"/>
        </w:rPr>
        <w:t> </w:t>
      </w:r>
      <w:r>
        <w:rPr>
          <w:spacing w:val="-3"/>
        </w:rPr>
        <w:t>(now</w:t>
      </w:r>
    </w:p>
    <w:p>
      <w:pPr>
        <w:spacing w:after="0" w:line="321" w:lineRule="auto"/>
        <w:sectPr>
          <w:pgSz w:w="11900" w:h="16840"/>
          <w:pgMar w:header="719" w:footer="0" w:top="1260" w:bottom="280" w:left="860" w:right="880"/>
        </w:sectPr>
      </w:pPr>
    </w:p>
    <w:p>
      <w:pPr>
        <w:pStyle w:val="BodyText"/>
        <w:spacing w:line="321" w:lineRule="auto" w:before="183"/>
        <w:ind w:left="277" w:right="252"/>
      </w:pPr>
      <w:r>
        <w:rPr/>
        <w:t>revised up to 55,000), which was thought to reflect a lower-than-usual flow of students into the claimant count. There were three possible explanations for the surprising August figure - continuing adjustment to the Jobseekers’ Allowance, month-to-month volatility, and a faster rate of labour market tightening than previously thought. The next Labour Force Survey should help distinguish among these explanations. The stock of vacancies rose by 7,000 in August.</w:t>
      </w:r>
    </w:p>
    <w:p>
      <w:pPr>
        <w:pStyle w:val="BodyText"/>
        <w:rPr>
          <w:sz w:val="32"/>
        </w:rPr>
      </w:pPr>
    </w:p>
    <w:p>
      <w:pPr>
        <w:pStyle w:val="BodyText"/>
        <w:spacing w:line="321" w:lineRule="auto"/>
        <w:ind w:left="277" w:right="339"/>
      </w:pPr>
      <w:r>
        <w:rPr/>
        <w:t>A27 The Workforce In Employment survey showed a rise in employment of 64,000 in 1997 </w:t>
      </w:r>
      <w:r>
        <w:rPr>
          <w:spacing w:val="-2"/>
        </w:rPr>
        <w:t>Q2; </w:t>
      </w:r>
      <w:r>
        <w:rPr/>
        <w:t>the </w:t>
      </w:r>
      <w:r>
        <w:rPr>
          <w:spacing w:val="-3"/>
        </w:rPr>
        <w:t>number </w:t>
      </w:r>
      <w:r>
        <w:rPr/>
        <w:t>of </w:t>
      </w:r>
      <w:r>
        <w:rPr>
          <w:spacing w:val="-3"/>
        </w:rPr>
        <w:t>employees </w:t>
      </w:r>
      <w:r>
        <w:rPr/>
        <w:t>had </w:t>
      </w:r>
      <w:r>
        <w:rPr>
          <w:spacing w:val="-3"/>
        </w:rPr>
        <w:t>risen </w:t>
      </w:r>
      <w:r>
        <w:rPr/>
        <w:t>by </w:t>
      </w:r>
      <w:r>
        <w:rPr>
          <w:spacing w:val="-3"/>
        </w:rPr>
        <w:t>95,000. There </w:t>
      </w:r>
      <w:r>
        <w:rPr/>
        <w:t>had </w:t>
      </w:r>
      <w:r>
        <w:rPr>
          <w:spacing w:val="-3"/>
        </w:rPr>
        <w:t>been </w:t>
      </w:r>
      <w:r>
        <w:rPr/>
        <w:t>a </w:t>
      </w:r>
      <w:r>
        <w:rPr>
          <w:spacing w:val="-3"/>
        </w:rPr>
        <w:t>strong rise </w:t>
      </w:r>
      <w:r>
        <w:rPr/>
        <w:t>in </w:t>
      </w:r>
      <w:r>
        <w:rPr>
          <w:spacing w:val="-3"/>
        </w:rPr>
        <w:t>employment </w:t>
      </w:r>
      <w:r>
        <w:rPr/>
        <w:t>in </w:t>
      </w:r>
      <w:r>
        <w:rPr>
          <w:spacing w:val="-3"/>
        </w:rPr>
        <w:t>‘other </w:t>
      </w:r>
      <w:r>
        <w:rPr/>
        <w:t>industries’</w:t>
      </w:r>
      <w:r>
        <w:rPr>
          <w:spacing w:val="-9"/>
        </w:rPr>
        <w:t> </w:t>
      </w:r>
      <w:r>
        <w:rPr/>
        <w:t>-</w:t>
      </w:r>
      <w:r>
        <w:rPr>
          <w:spacing w:val="-8"/>
        </w:rPr>
        <w:t> </w:t>
      </w:r>
      <w:r>
        <w:rPr/>
        <w:t>largely</w:t>
      </w:r>
      <w:r>
        <w:rPr>
          <w:spacing w:val="-8"/>
        </w:rPr>
        <w:t> </w:t>
      </w:r>
      <w:r>
        <w:rPr/>
        <w:t>construction</w:t>
      </w:r>
      <w:r>
        <w:rPr>
          <w:spacing w:val="-8"/>
        </w:rPr>
        <w:t> </w:t>
      </w:r>
      <w:r>
        <w:rPr/>
        <w:t>(45,000</w:t>
      </w:r>
      <w:r>
        <w:rPr>
          <w:spacing w:val="-9"/>
        </w:rPr>
        <w:t> </w:t>
      </w:r>
      <w:r>
        <w:rPr/>
        <w:t>in</w:t>
      </w:r>
      <w:r>
        <w:rPr>
          <w:spacing w:val="-8"/>
        </w:rPr>
        <w:t> </w:t>
      </w:r>
      <w:r>
        <w:rPr/>
        <w:t>Q2),</w:t>
      </w:r>
      <w:r>
        <w:rPr>
          <w:spacing w:val="-8"/>
        </w:rPr>
        <w:t> </w:t>
      </w:r>
      <w:r>
        <w:rPr/>
        <w:t>but</w:t>
      </w:r>
      <w:r>
        <w:rPr>
          <w:spacing w:val="-8"/>
        </w:rPr>
        <w:t> </w:t>
      </w:r>
      <w:r>
        <w:rPr/>
        <w:t>overall</w:t>
      </w:r>
      <w:r>
        <w:rPr>
          <w:spacing w:val="-9"/>
        </w:rPr>
        <w:t> </w:t>
      </w:r>
      <w:r>
        <w:rPr/>
        <w:t>the</w:t>
      </w:r>
      <w:r>
        <w:rPr>
          <w:spacing w:val="-8"/>
        </w:rPr>
        <w:t> </w:t>
      </w:r>
      <w:r>
        <w:rPr/>
        <w:t>number</w:t>
      </w:r>
      <w:r>
        <w:rPr>
          <w:spacing w:val="-8"/>
        </w:rPr>
        <w:t> </w:t>
      </w:r>
      <w:r>
        <w:rPr/>
        <w:t>of</w:t>
      </w:r>
      <w:r>
        <w:rPr>
          <w:spacing w:val="-8"/>
        </w:rPr>
        <w:t> </w:t>
      </w:r>
      <w:r>
        <w:rPr/>
        <w:t>employees</w:t>
      </w:r>
      <w:r>
        <w:rPr>
          <w:spacing w:val="-9"/>
        </w:rPr>
        <w:t> </w:t>
      </w:r>
      <w:r>
        <w:rPr/>
        <w:t>had</w:t>
      </w:r>
      <w:r>
        <w:rPr>
          <w:spacing w:val="-8"/>
        </w:rPr>
        <w:t> </w:t>
      </w:r>
      <w:r>
        <w:rPr/>
        <w:t>risen</w:t>
      </w:r>
      <w:r>
        <w:rPr>
          <w:spacing w:val="-8"/>
        </w:rPr>
        <w:t> </w:t>
      </w:r>
      <w:r>
        <w:rPr/>
        <w:t>by</w:t>
      </w:r>
      <w:r>
        <w:rPr>
          <w:spacing w:val="-8"/>
        </w:rPr>
        <w:t> </w:t>
      </w:r>
      <w:r>
        <w:rPr/>
        <w:t>a </w:t>
      </w:r>
      <w:r>
        <w:rPr>
          <w:spacing w:val="-3"/>
        </w:rPr>
        <w:t>little less than earlier surveys </w:t>
      </w:r>
      <w:r>
        <w:rPr/>
        <w:t>of </w:t>
      </w:r>
      <w:r>
        <w:rPr>
          <w:spacing w:val="-3"/>
        </w:rPr>
        <w:t>employment intentions </w:t>
      </w:r>
      <w:r>
        <w:rPr/>
        <w:t>had</w:t>
      </w:r>
      <w:r>
        <w:rPr>
          <w:spacing w:val="22"/>
        </w:rPr>
        <w:t> </w:t>
      </w:r>
      <w:r>
        <w:rPr>
          <w:spacing w:val="-3"/>
        </w:rPr>
        <w:t>suggested.</w:t>
      </w:r>
    </w:p>
    <w:p>
      <w:pPr>
        <w:pStyle w:val="BodyText"/>
        <w:spacing w:before="1"/>
        <w:rPr>
          <w:sz w:val="32"/>
        </w:rPr>
      </w:pPr>
    </w:p>
    <w:p>
      <w:pPr>
        <w:pStyle w:val="BodyText"/>
        <w:spacing w:line="321" w:lineRule="auto"/>
        <w:ind w:left="277" w:right="338"/>
      </w:pPr>
      <w:r>
        <w:rPr/>
        <w:t>A28 The annual benchmarking survey led to large upward revisions to earlier estimates of </w:t>
      </w:r>
      <w:r>
        <w:rPr>
          <w:spacing w:val="-2"/>
        </w:rPr>
        <w:t>the </w:t>
      </w:r>
      <w:r>
        <w:rPr/>
        <w:t>workforce in employment. The estimated total in September 1996 had been revised upwards by some 200,000, or 0.8%. The revisions brought the changes in employment during the last year estimated by the Workforce in Employment and the Labour Force Surveys closer together. </w:t>
      </w:r>
      <w:r>
        <w:rPr>
          <w:spacing w:val="-2"/>
        </w:rPr>
        <w:t>The </w:t>
      </w:r>
      <w:r>
        <w:rPr/>
        <w:t>revision</w:t>
      </w:r>
      <w:r>
        <w:rPr>
          <w:spacing w:val="-13"/>
        </w:rPr>
        <w:t> </w:t>
      </w:r>
      <w:r>
        <w:rPr/>
        <w:t>implied</w:t>
      </w:r>
      <w:r>
        <w:rPr>
          <w:spacing w:val="-13"/>
        </w:rPr>
        <w:t> </w:t>
      </w:r>
      <w:r>
        <w:rPr/>
        <w:t>a</w:t>
      </w:r>
      <w:r>
        <w:rPr>
          <w:spacing w:val="-12"/>
        </w:rPr>
        <w:t> </w:t>
      </w:r>
      <w:r>
        <w:rPr/>
        <w:t>downward</w:t>
      </w:r>
      <w:r>
        <w:rPr>
          <w:spacing w:val="-13"/>
        </w:rPr>
        <w:t> </w:t>
      </w:r>
      <w:r>
        <w:rPr/>
        <w:t>revision</w:t>
      </w:r>
      <w:r>
        <w:rPr>
          <w:spacing w:val="-12"/>
        </w:rPr>
        <w:t> </w:t>
      </w:r>
      <w:r>
        <w:rPr/>
        <w:t>to</w:t>
      </w:r>
      <w:r>
        <w:rPr>
          <w:spacing w:val="-13"/>
        </w:rPr>
        <w:t> </w:t>
      </w:r>
      <w:r>
        <w:rPr/>
        <w:t>whole-economy</w:t>
      </w:r>
      <w:r>
        <w:rPr>
          <w:spacing w:val="-12"/>
        </w:rPr>
        <w:t> </w:t>
      </w:r>
      <w:r>
        <w:rPr/>
        <w:t>productivity</w:t>
      </w:r>
      <w:r>
        <w:rPr>
          <w:spacing w:val="-13"/>
        </w:rPr>
        <w:t> </w:t>
      </w:r>
      <w:r>
        <w:rPr/>
        <w:t>growth,</w:t>
      </w:r>
      <w:r>
        <w:rPr>
          <w:spacing w:val="-13"/>
        </w:rPr>
        <w:t> </w:t>
      </w:r>
      <w:r>
        <w:rPr/>
        <w:t>which</w:t>
      </w:r>
      <w:r>
        <w:rPr>
          <w:spacing w:val="-12"/>
        </w:rPr>
        <w:t> </w:t>
      </w:r>
      <w:r>
        <w:rPr/>
        <w:t>was</w:t>
      </w:r>
      <w:r>
        <w:rPr>
          <w:spacing w:val="-13"/>
        </w:rPr>
        <w:t> </w:t>
      </w:r>
      <w:r>
        <w:rPr/>
        <w:t>estimated at 1.6% in the year to Q2; unit wage costs rose by 2.7% in the same</w:t>
      </w:r>
      <w:r>
        <w:rPr>
          <w:spacing w:val="4"/>
        </w:rPr>
        <w:t> </w:t>
      </w:r>
      <w:r>
        <w:rPr/>
        <w:t>period.</w:t>
      </w:r>
    </w:p>
    <w:p>
      <w:pPr>
        <w:pStyle w:val="BodyText"/>
        <w:rPr>
          <w:sz w:val="32"/>
        </w:rPr>
      </w:pPr>
    </w:p>
    <w:p>
      <w:pPr>
        <w:pStyle w:val="BodyText"/>
        <w:spacing w:line="321" w:lineRule="auto" w:before="1"/>
        <w:ind w:left="277" w:right="132"/>
      </w:pPr>
      <w:r>
        <w:rPr/>
        <w:t>A29 The Manpower survey conducted in September indicated the highest recruitment intentions for the next three months since 1988. The Bank’s Agencies reported continuing strength in employment in manufacturing and services, and the CIPS surveys reported that employment in manufacturing a services had increased modestly in September.</w:t>
      </w:r>
    </w:p>
    <w:p>
      <w:pPr>
        <w:pStyle w:val="BodyText"/>
        <w:rPr>
          <w:sz w:val="32"/>
        </w:rPr>
      </w:pPr>
    </w:p>
    <w:p>
      <w:pPr>
        <w:pStyle w:val="BodyText"/>
        <w:spacing w:line="321" w:lineRule="auto"/>
        <w:ind w:left="277" w:right="303"/>
      </w:pPr>
      <w:r>
        <w:rPr/>
        <w:t>A30 Reported underlying average earnings growth increased from 4 ¼% in June to 4 ½% in July. The</w:t>
      </w:r>
      <w:r>
        <w:rPr>
          <w:spacing w:val="-8"/>
        </w:rPr>
        <w:t> </w:t>
      </w:r>
      <w:r>
        <w:rPr/>
        <w:t>figures</w:t>
      </w:r>
      <w:r>
        <w:rPr>
          <w:spacing w:val="-7"/>
        </w:rPr>
        <w:t> </w:t>
      </w:r>
      <w:r>
        <w:rPr/>
        <w:t>for</w:t>
      </w:r>
      <w:r>
        <w:rPr>
          <w:spacing w:val="-8"/>
        </w:rPr>
        <w:t> </w:t>
      </w:r>
      <w:r>
        <w:rPr/>
        <w:t>manufacturing</w:t>
      </w:r>
      <w:r>
        <w:rPr>
          <w:spacing w:val="-7"/>
        </w:rPr>
        <w:t> </w:t>
      </w:r>
      <w:r>
        <w:rPr/>
        <w:t>and</w:t>
      </w:r>
      <w:r>
        <w:rPr>
          <w:spacing w:val="-7"/>
        </w:rPr>
        <w:t> </w:t>
      </w:r>
      <w:r>
        <w:rPr/>
        <w:t>services</w:t>
      </w:r>
      <w:r>
        <w:rPr>
          <w:spacing w:val="-8"/>
        </w:rPr>
        <w:t> </w:t>
      </w:r>
      <w:r>
        <w:rPr/>
        <w:t>had</w:t>
      </w:r>
      <w:r>
        <w:rPr>
          <w:spacing w:val="-7"/>
        </w:rPr>
        <w:t> </w:t>
      </w:r>
      <w:r>
        <w:rPr/>
        <w:t>been</w:t>
      </w:r>
      <w:r>
        <w:rPr>
          <w:spacing w:val="-7"/>
        </w:rPr>
        <w:t> </w:t>
      </w:r>
      <w:r>
        <w:rPr/>
        <w:t>unchanged</w:t>
      </w:r>
      <w:r>
        <w:rPr>
          <w:spacing w:val="-8"/>
        </w:rPr>
        <w:t> </w:t>
      </w:r>
      <w:r>
        <w:rPr/>
        <w:t>at</w:t>
      </w:r>
      <w:r>
        <w:rPr>
          <w:spacing w:val="-7"/>
        </w:rPr>
        <w:t> </w:t>
      </w:r>
      <w:r>
        <w:rPr/>
        <w:t>4</w:t>
      </w:r>
      <w:r>
        <w:rPr>
          <w:spacing w:val="-8"/>
        </w:rPr>
        <w:t> </w:t>
      </w:r>
      <w:r>
        <w:rPr/>
        <w:t>¼%</w:t>
      </w:r>
      <w:r>
        <w:rPr>
          <w:spacing w:val="-7"/>
        </w:rPr>
        <w:t> </w:t>
      </w:r>
      <w:r>
        <w:rPr/>
        <w:t>and</w:t>
      </w:r>
      <w:r>
        <w:rPr>
          <w:spacing w:val="-7"/>
        </w:rPr>
        <w:t> </w:t>
      </w:r>
      <w:r>
        <w:rPr/>
        <w:t>4</w:t>
      </w:r>
      <w:r>
        <w:rPr>
          <w:spacing w:val="-8"/>
        </w:rPr>
        <w:t> </w:t>
      </w:r>
      <w:r>
        <w:rPr/>
        <w:t>½%</w:t>
      </w:r>
      <w:r>
        <w:rPr>
          <w:spacing w:val="-7"/>
        </w:rPr>
        <w:t> </w:t>
      </w:r>
      <w:r>
        <w:rPr/>
        <w:t>respectively,</w:t>
      </w:r>
      <w:r>
        <w:rPr>
          <w:spacing w:val="-7"/>
        </w:rPr>
        <w:t> </w:t>
      </w:r>
      <w:r>
        <w:rPr>
          <w:spacing w:val="-2"/>
        </w:rPr>
        <w:t>but </w:t>
      </w:r>
      <w:r>
        <w:rPr/>
        <w:t>the </w:t>
      </w:r>
      <w:r>
        <w:rPr>
          <w:spacing w:val="-3"/>
        </w:rPr>
        <w:t>unrounded rate </w:t>
      </w:r>
      <w:r>
        <w:rPr/>
        <w:t>had </w:t>
      </w:r>
      <w:r>
        <w:rPr>
          <w:spacing w:val="-3"/>
        </w:rPr>
        <w:t>fallen slightly </w:t>
      </w:r>
      <w:r>
        <w:rPr/>
        <w:t>in </w:t>
      </w:r>
      <w:r>
        <w:rPr>
          <w:spacing w:val="-3"/>
        </w:rPr>
        <w:t>manufacturing </w:t>
      </w:r>
      <w:r>
        <w:rPr/>
        <w:t>and </w:t>
      </w:r>
      <w:r>
        <w:rPr>
          <w:spacing w:val="-3"/>
        </w:rPr>
        <w:t>risen slightly </w:t>
      </w:r>
      <w:r>
        <w:rPr/>
        <w:t>in </w:t>
      </w:r>
      <w:r>
        <w:rPr>
          <w:spacing w:val="-3"/>
        </w:rPr>
        <w:t>services.  Moreover,  there </w:t>
      </w:r>
      <w:r>
        <w:rPr/>
        <w:t>had </w:t>
      </w:r>
      <w:r>
        <w:rPr>
          <w:spacing w:val="-3"/>
        </w:rPr>
        <w:t>been </w:t>
      </w:r>
      <w:r>
        <w:rPr/>
        <w:t>a </w:t>
      </w:r>
      <w:r>
        <w:rPr>
          <w:spacing w:val="-3"/>
        </w:rPr>
        <w:t>significant increase </w:t>
      </w:r>
      <w:r>
        <w:rPr/>
        <w:t>in </w:t>
      </w:r>
      <w:r>
        <w:rPr>
          <w:spacing w:val="-3"/>
        </w:rPr>
        <w:t>construction</w:t>
      </w:r>
      <w:r>
        <w:rPr>
          <w:spacing w:val="12"/>
        </w:rPr>
        <w:t> </w:t>
      </w:r>
      <w:r>
        <w:rPr>
          <w:spacing w:val="-3"/>
        </w:rPr>
        <w:t>earnings.</w:t>
      </w:r>
    </w:p>
    <w:p>
      <w:pPr>
        <w:pStyle w:val="BodyText"/>
        <w:spacing w:before="1"/>
        <w:rPr>
          <w:sz w:val="32"/>
        </w:rPr>
      </w:pPr>
    </w:p>
    <w:p>
      <w:pPr>
        <w:pStyle w:val="BodyText"/>
        <w:spacing w:line="321" w:lineRule="auto"/>
        <w:ind w:left="277" w:right="299"/>
      </w:pPr>
      <w:r>
        <w:rPr/>
        <w:t>A31 The underlying average earnings growth figure for July had been affected by large bonus payments in the transport and communication sector, where earnings growth rose from 4% in June to 9% in July. After adjustment to smooth out bonus payments using the technique described in the August </w:t>
      </w:r>
      <w:r>
        <w:rPr>
          <w:i/>
        </w:rPr>
        <w:t>Inflation Report</w:t>
      </w:r>
      <w:r>
        <w:rPr/>
        <w:t>, average earnings growth appeared either unchanged or even slightly lower in July than in June.</w:t>
      </w:r>
    </w:p>
    <w:p>
      <w:pPr>
        <w:pStyle w:val="BodyText"/>
        <w:spacing w:before="1"/>
        <w:rPr>
          <w:sz w:val="32"/>
        </w:rPr>
      </w:pPr>
    </w:p>
    <w:p>
      <w:pPr>
        <w:pStyle w:val="BodyText"/>
        <w:spacing w:line="321" w:lineRule="auto"/>
        <w:ind w:left="277" w:right="352"/>
      </w:pPr>
      <w:r>
        <w:rPr/>
        <w:t>A32 The twelve month employment-weighted mean of pay settlements rose from 3.1% in July to 3.3% in August. The private sector component rose from 3.4% to 3.7%, while the public sector component was unchanged at 2.8%. The major influence was the construction workers’ settlement, covering 600,000 people. It provides for a pay increase of 5.5% this year; craft workers receive a further 13.9% next year and 10% in 1999; labourers receive 5.7% next year and 7.6% in 1999.</w:t>
      </w:r>
    </w:p>
    <w:p>
      <w:pPr>
        <w:spacing w:after="0" w:line="321" w:lineRule="auto"/>
        <w:sectPr>
          <w:pgSz w:w="11900" w:h="16840"/>
          <w:pgMar w:header="719" w:footer="0" w:top="1260" w:bottom="280" w:left="860" w:right="880"/>
        </w:sectPr>
      </w:pPr>
    </w:p>
    <w:p>
      <w:pPr>
        <w:pStyle w:val="BodyText"/>
        <w:rPr>
          <w:sz w:val="20"/>
        </w:rPr>
      </w:pPr>
    </w:p>
    <w:p>
      <w:pPr>
        <w:pStyle w:val="BodyText"/>
        <w:spacing w:before="2"/>
        <w:rPr>
          <w:sz w:val="20"/>
        </w:rPr>
      </w:pPr>
    </w:p>
    <w:p>
      <w:pPr>
        <w:pStyle w:val="BodyText"/>
        <w:spacing w:line="321" w:lineRule="auto" w:before="90"/>
        <w:ind w:left="277" w:right="193"/>
      </w:pPr>
      <w:r>
        <w:rPr/>
        <w:t>A33 Reports from the Bank’s Agencies and business surveys indicate growing skill shortages, particularly of IT staff but also of engineering and construction workers, lawyers and accountants. A recent survey by Reed personnel suggested that 76% of firms were experiencing shortages of skilled applicants for jobs - 8% up from six months earlier. Perhaps surprisingly, the shortages were most acute in manufacturing. The CBI reported that 13% of manufacturers were citing a shortage of skilled labour as a constraint on future output, compared with 10% at the beginning of this year.</w:t>
      </w:r>
    </w:p>
    <w:p>
      <w:pPr>
        <w:pStyle w:val="BodyText"/>
        <w:spacing w:line="321" w:lineRule="auto"/>
        <w:ind w:left="277"/>
      </w:pPr>
      <w:r>
        <w:rPr/>
        <w:t>The BCC reported that 60-70% of firms in both manufacturing and services were </w:t>
      </w:r>
      <w:r>
        <w:rPr>
          <w:spacing w:val="-2"/>
        </w:rPr>
        <w:t>experiencing </w:t>
      </w:r>
      <w:r>
        <w:rPr/>
        <w:t>recruitment difficulties. The BEC reported a rise in the number of construction firms reporting </w:t>
      </w:r>
      <w:r>
        <w:rPr>
          <w:spacing w:val="-3"/>
        </w:rPr>
        <w:t>difficulties </w:t>
      </w:r>
      <w:r>
        <w:rPr/>
        <w:t>in </w:t>
      </w:r>
      <w:r>
        <w:rPr>
          <w:spacing w:val="-3"/>
        </w:rPr>
        <w:t>recruiting specialised skills. </w:t>
      </w:r>
      <w:r>
        <w:rPr/>
        <w:t>And </w:t>
      </w:r>
      <w:r>
        <w:rPr>
          <w:spacing w:val="-3"/>
        </w:rPr>
        <w:t>though </w:t>
      </w:r>
      <w:r>
        <w:rPr/>
        <w:t>the </w:t>
      </w:r>
      <w:r>
        <w:rPr>
          <w:spacing w:val="-3"/>
        </w:rPr>
        <w:t>data </w:t>
      </w:r>
      <w:r>
        <w:rPr/>
        <w:t>are </w:t>
      </w:r>
      <w:r>
        <w:rPr>
          <w:spacing w:val="-3"/>
        </w:rPr>
        <w:t>suspect, </w:t>
      </w:r>
      <w:r>
        <w:rPr/>
        <w:t>the </w:t>
      </w:r>
      <w:r>
        <w:rPr>
          <w:spacing w:val="-3"/>
        </w:rPr>
        <w:t>stock </w:t>
      </w:r>
      <w:r>
        <w:rPr/>
        <w:t>of </w:t>
      </w:r>
      <w:r>
        <w:rPr>
          <w:spacing w:val="-3"/>
        </w:rPr>
        <w:t>unskilled </w:t>
      </w:r>
      <w:r>
        <w:rPr/>
        <w:t>vacancies at Jobcentres has continued to increase.</w:t>
      </w:r>
    </w:p>
    <w:p>
      <w:pPr>
        <w:pStyle w:val="BodyText"/>
        <w:rPr>
          <w:sz w:val="32"/>
        </w:rPr>
      </w:pPr>
    </w:p>
    <w:p>
      <w:pPr>
        <w:pStyle w:val="BodyText"/>
        <w:spacing w:line="321" w:lineRule="auto"/>
        <w:ind w:left="277" w:right="257"/>
      </w:pPr>
      <w:r>
        <w:rPr/>
        <w:t>A34 The CBI indicator - the percentage of manufacturing firms citing shortage of skilled labour as a constraint on future output - has risen since 1992, but at 13% remains well below its late-1980s peak of more than 25%. If skills were portable across industrial sectors, this could indicate that skill shortages across the whole economy remained much less serious than in the late 1980s. But other indicators</w:t>
      </w:r>
      <w:r>
        <w:rPr>
          <w:spacing w:val="-11"/>
        </w:rPr>
        <w:t> </w:t>
      </w:r>
      <w:r>
        <w:rPr/>
        <w:t>suggested</w:t>
      </w:r>
      <w:r>
        <w:rPr>
          <w:spacing w:val="-11"/>
        </w:rPr>
        <w:t> </w:t>
      </w:r>
      <w:r>
        <w:rPr/>
        <w:t>a</w:t>
      </w:r>
      <w:r>
        <w:rPr>
          <w:spacing w:val="-11"/>
        </w:rPr>
        <w:t> </w:t>
      </w:r>
      <w:r>
        <w:rPr/>
        <w:t>different</w:t>
      </w:r>
      <w:r>
        <w:rPr>
          <w:spacing w:val="-11"/>
        </w:rPr>
        <w:t> </w:t>
      </w:r>
      <w:r>
        <w:rPr/>
        <w:t>conclusion</w:t>
      </w:r>
      <w:r>
        <w:rPr>
          <w:spacing w:val="-10"/>
        </w:rPr>
        <w:t> </w:t>
      </w:r>
      <w:r>
        <w:rPr/>
        <w:t>-</w:t>
      </w:r>
      <w:r>
        <w:rPr>
          <w:spacing w:val="-11"/>
        </w:rPr>
        <w:t> </w:t>
      </w:r>
      <w:r>
        <w:rPr/>
        <w:t>the</w:t>
      </w:r>
      <w:r>
        <w:rPr>
          <w:spacing w:val="-11"/>
        </w:rPr>
        <w:t> </w:t>
      </w:r>
      <w:r>
        <w:rPr/>
        <w:t>BCC</w:t>
      </w:r>
      <w:r>
        <w:rPr>
          <w:spacing w:val="-11"/>
        </w:rPr>
        <w:t> </w:t>
      </w:r>
      <w:r>
        <w:rPr/>
        <w:t>indicators</w:t>
      </w:r>
      <w:r>
        <w:rPr>
          <w:spacing w:val="-10"/>
        </w:rPr>
        <w:t> </w:t>
      </w:r>
      <w:r>
        <w:rPr/>
        <w:t>of</w:t>
      </w:r>
      <w:r>
        <w:rPr>
          <w:spacing w:val="-11"/>
        </w:rPr>
        <w:t> </w:t>
      </w:r>
      <w:r>
        <w:rPr/>
        <w:t>recruitment</w:t>
      </w:r>
      <w:r>
        <w:rPr>
          <w:spacing w:val="-11"/>
        </w:rPr>
        <w:t> </w:t>
      </w:r>
      <w:r>
        <w:rPr/>
        <w:t>difficulties</w:t>
      </w:r>
      <w:r>
        <w:rPr>
          <w:spacing w:val="-11"/>
        </w:rPr>
        <w:t> </w:t>
      </w:r>
      <w:r>
        <w:rPr/>
        <w:t>were</w:t>
      </w:r>
      <w:r>
        <w:rPr>
          <w:spacing w:val="-10"/>
        </w:rPr>
        <w:t> </w:t>
      </w:r>
      <w:r>
        <w:rPr/>
        <w:t>back to their late-1980s levels, and the ratio of vacancies reported to Jobcentres (corrected as far as possible</w:t>
      </w:r>
      <w:r>
        <w:rPr>
          <w:spacing w:val="-9"/>
        </w:rPr>
        <w:t> </w:t>
      </w:r>
      <w:r>
        <w:rPr/>
        <w:t>to</w:t>
      </w:r>
      <w:r>
        <w:rPr>
          <w:spacing w:val="-9"/>
        </w:rPr>
        <w:t> </w:t>
      </w:r>
      <w:r>
        <w:rPr/>
        <w:t>remove</w:t>
      </w:r>
      <w:r>
        <w:rPr>
          <w:spacing w:val="-9"/>
        </w:rPr>
        <w:t> </w:t>
      </w:r>
      <w:r>
        <w:rPr/>
        <w:t>known</w:t>
      </w:r>
      <w:r>
        <w:rPr>
          <w:spacing w:val="-9"/>
        </w:rPr>
        <w:t> </w:t>
      </w:r>
      <w:r>
        <w:rPr/>
        <w:t>errors)</w:t>
      </w:r>
      <w:r>
        <w:rPr>
          <w:spacing w:val="-9"/>
        </w:rPr>
        <w:t> </w:t>
      </w:r>
      <w:r>
        <w:rPr/>
        <w:t>to</w:t>
      </w:r>
      <w:r>
        <w:rPr>
          <w:spacing w:val="-8"/>
        </w:rPr>
        <w:t> </w:t>
      </w:r>
      <w:r>
        <w:rPr/>
        <w:t>short-term</w:t>
      </w:r>
      <w:r>
        <w:rPr>
          <w:spacing w:val="-9"/>
        </w:rPr>
        <w:t> </w:t>
      </w:r>
      <w:r>
        <w:rPr/>
        <w:t>unemployment</w:t>
      </w:r>
      <w:r>
        <w:rPr>
          <w:spacing w:val="-9"/>
        </w:rPr>
        <w:t> </w:t>
      </w:r>
      <w:r>
        <w:rPr/>
        <w:t>was</w:t>
      </w:r>
      <w:r>
        <w:rPr>
          <w:spacing w:val="-9"/>
        </w:rPr>
        <w:t> </w:t>
      </w:r>
      <w:r>
        <w:rPr/>
        <w:t>if</w:t>
      </w:r>
      <w:r>
        <w:rPr>
          <w:spacing w:val="-9"/>
        </w:rPr>
        <w:t> </w:t>
      </w:r>
      <w:r>
        <w:rPr/>
        <w:t>anything</w:t>
      </w:r>
      <w:r>
        <w:rPr>
          <w:spacing w:val="-8"/>
        </w:rPr>
        <w:t> </w:t>
      </w:r>
      <w:r>
        <w:rPr/>
        <w:t>higher</w:t>
      </w:r>
      <w:r>
        <w:rPr>
          <w:spacing w:val="-9"/>
        </w:rPr>
        <w:t> </w:t>
      </w:r>
      <w:r>
        <w:rPr/>
        <w:t>than</w:t>
      </w:r>
      <w:r>
        <w:rPr>
          <w:spacing w:val="-9"/>
        </w:rPr>
        <w:t> </w:t>
      </w:r>
      <w:r>
        <w:rPr/>
        <w:t>in</w:t>
      </w:r>
      <w:r>
        <w:rPr>
          <w:spacing w:val="-9"/>
        </w:rPr>
        <w:t> </w:t>
      </w:r>
      <w:r>
        <w:rPr/>
        <w:t>the</w:t>
      </w:r>
      <w:r>
        <w:rPr>
          <w:spacing w:val="-9"/>
        </w:rPr>
        <w:t> </w:t>
      </w:r>
      <w:r>
        <w:rPr/>
        <w:t>late 1980s.</w:t>
      </w:r>
    </w:p>
    <w:p>
      <w:pPr>
        <w:pStyle w:val="BodyText"/>
        <w:rPr>
          <w:sz w:val="32"/>
        </w:rPr>
      </w:pPr>
    </w:p>
    <w:p>
      <w:pPr>
        <w:pStyle w:val="ListParagraph"/>
        <w:numPr>
          <w:ilvl w:val="0"/>
          <w:numId w:val="2"/>
        </w:numPr>
        <w:tabs>
          <w:tab w:pos="716" w:val="left" w:leader="none"/>
        </w:tabs>
        <w:spacing w:line="240" w:lineRule="auto" w:before="0" w:after="0"/>
        <w:ind w:left="715" w:right="0" w:hanging="439"/>
        <w:jc w:val="left"/>
        <w:rPr>
          <w:sz w:val="24"/>
        </w:rPr>
      </w:pPr>
      <w:r>
        <w:rPr>
          <w:spacing w:val="-2"/>
          <w:sz w:val="24"/>
          <w:u w:val="single"/>
        </w:rPr>
        <w:t>Prices</w:t>
      </w:r>
    </w:p>
    <w:p>
      <w:pPr>
        <w:pStyle w:val="BodyText"/>
        <w:rPr>
          <w:sz w:val="20"/>
        </w:rPr>
      </w:pPr>
    </w:p>
    <w:p>
      <w:pPr>
        <w:pStyle w:val="BodyText"/>
        <w:spacing w:line="321" w:lineRule="auto" w:before="233"/>
        <w:ind w:left="277" w:right="711"/>
      </w:pPr>
      <w:r>
        <w:rPr/>
        <w:t>A35 The Bank’s commodity price index (weighted by UK usage) rose by 1.7% (provisional) in August, to a level 6.0% lower than in August 1996. The index excluding oil rose by 0.5% in August, mainly reflecting higher prices of zinc and rubber. The price of oil, which had risen in August, fell back modestly in September.</w:t>
      </w:r>
    </w:p>
    <w:p>
      <w:pPr>
        <w:pStyle w:val="BodyText"/>
        <w:spacing w:before="1"/>
        <w:rPr>
          <w:sz w:val="32"/>
        </w:rPr>
      </w:pPr>
    </w:p>
    <w:p>
      <w:pPr>
        <w:pStyle w:val="BodyText"/>
        <w:spacing w:line="321" w:lineRule="auto"/>
        <w:ind w:left="277"/>
      </w:pPr>
      <w:r>
        <w:rPr/>
        <w:t>A36 Producer input prices rose by 0.6% in August to a level 7.9% lower than in August 1996. The CIPS survey suggested that input prices were continuing to fall sharply. Producer output prices had risen very slightly since April. The Bank’s Agencies reported that manufacturers might try to secure price increases next January, but such attempts had generally not succeeded in recent years.</w:t>
      </w:r>
    </w:p>
    <w:p>
      <w:pPr>
        <w:pStyle w:val="BodyText"/>
        <w:spacing w:before="1"/>
        <w:rPr>
          <w:sz w:val="32"/>
        </w:rPr>
      </w:pPr>
    </w:p>
    <w:p>
      <w:pPr>
        <w:pStyle w:val="BodyText"/>
        <w:spacing w:line="321" w:lineRule="auto"/>
        <w:ind w:left="277" w:right="353"/>
      </w:pPr>
      <w:r>
        <w:rPr/>
        <w:t>A37 Consistent with the Agencies’ survey reported in paragraph A22 above, ONS data continued to show that import prices had fallen by much less than the exchange rate had appreciated: in July they were down by 6.9% compared with a year earlier; the corresponding fall for export prices was 5.9%. Prices of exports of services were little changed in the year to Q2, whilst imports of services had fallen a little more in price than imports of goods.</w:t>
      </w:r>
    </w:p>
    <w:p>
      <w:pPr>
        <w:spacing w:after="0" w:line="321" w:lineRule="auto"/>
        <w:sectPr>
          <w:pgSz w:w="11900" w:h="16840"/>
          <w:pgMar w:header="719" w:footer="0" w:top="1260" w:bottom="280" w:left="860" w:right="880"/>
        </w:sectPr>
      </w:pPr>
    </w:p>
    <w:p>
      <w:pPr>
        <w:pStyle w:val="BodyText"/>
        <w:rPr>
          <w:sz w:val="20"/>
        </w:rPr>
      </w:pPr>
    </w:p>
    <w:p>
      <w:pPr>
        <w:pStyle w:val="BodyText"/>
        <w:spacing w:before="2"/>
        <w:rPr>
          <w:sz w:val="20"/>
        </w:rPr>
      </w:pPr>
    </w:p>
    <w:p>
      <w:pPr>
        <w:pStyle w:val="BodyText"/>
        <w:spacing w:line="321" w:lineRule="auto" w:before="90"/>
        <w:ind w:left="277" w:right="276"/>
      </w:pPr>
      <w:r>
        <w:rPr/>
        <w:t>A38  </w:t>
      </w:r>
      <w:r>
        <w:rPr>
          <w:spacing w:val="-3"/>
        </w:rPr>
        <w:t>RPIX inflation fell from 2.8% </w:t>
      </w:r>
      <w:r>
        <w:rPr/>
        <w:t>in </w:t>
      </w:r>
      <w:r>
        <w:rPr>
          <w:spacing w:val="-3"/>
        </w:rPr>
        <w:t>August </w:t>
      </w:r>
      <w:r>
        <w:rPr/>
        <w:t>to </w:t>
      </w:r>
      <w:r>
        <w:rPr>
          <w:spacing w:val="-3"/>
        </w:rPr>
        <w:t>2.7% </w:t>
      </w:r>
      <w:r>
        <w:rPr/>
        <w:t>in </w:t>
      </w:r>
      <w:r>
        <w:rPr>
          <w:spacing w:val="-3"/>
        </w:rPr>
        <w:t>September.  </w:t>
      </w:r>
      <w:r>
        <w:rPr/>
        <w:t>The </w:t>
      </w:r>
      <w:r>
        <w:rPr>
          <w:spacing w:val="-3"/>
        </w:rPr>
        <w:t>fall, which could be </w:t>
      </w:r>
      <w:r>
        <w:rPr/>
        <w:t>entirely</w:t>
      </w:r>
      <w:r>
        <w:rPr>
          <w:spacing w:val="-8"/>
        </w:rPr>
        <w:t> </w:t>
      </w:r>
      <w:r>
        <w:rPr/>
        <w:t>accounted</w:t>
      </w:r>
      <w:r>
        <w:rPr>
          <w:spacing w:val="-7"/>
        </w:rPr>
        <w:t> </w:t>
      </w:r>
      <w:r>
        <w:rPr/>
        <w:t>for</w:t>
      </w:r>
      <w:r>
        <w:rPr>
          <w:spacing w:val="-7"/>
        </w:rPr>
        <w:t> </w:t>
      </w:r>
      <w:r>
        <w:rPr/>
        <w:t>by</w:t>
      </w:r>
      <w:r>
        <w:rPr>
          <w:spacing w:val="-8"/>
        </w:rPr>
        <w:t> </w:t>
      </w:r>
      <w:r>
        <w:rPr/>
        <w:t>the</w:t>
      </w:r>
      <w:r>
        <w:rPr>
          <w:spacing w:val="-7"/>
        </w:rPr>
        <w:t> </w:t>
      </w:r>
      <w:r>
        <w:rPr/>
        <w:t>reduction</w:t>
      </w:r>
      <w:r>
        <w:rPr>
          <w:spacing w:val="-7"/>
        </w:rPr>
        <w:t> </w:t>
      </w:r>
      <w:r>
        <w:rPr/>
        <w:t>in</w:t>
      </w:r>
      <w:r>
        <w:rPr>
          <w:spacing w:val="-7"/>
        </w:rPr>
        <w:t> </w:t>
      </w:r>
      <w:r>
        <w:rPr/>
        <w:t>VAT</w:t>
      </w:r>
      <w:r>
        <w:rPr>
          <w:spacing w:val="-8"/>
        </w:rPr>
        <w:t> </w:t>
      </w:r>
      <w:r>
        <w:rPr/>
        <w:t>on</w:t>
      </w:r>
      <w:r>
        <w:rPr>
          <w:spacing w:val="-7"/>
        </w:rPr>
        <w:t> </w:t>
      </w:r>
      <w:r>
        <w:rPr/>
        <w:t>fuel,</w:t>
      </w:r>
      <w:r>
        <w:rPr>
          <w:spacing w:val="-7"/>
        </w:rPr>
        <w:t> </w:t>
      </w:r>
      <w:r>
        <w:rPr/>
        <w:t>was</w:t>
      </w:r>
      <w:r>
        <w:rPr>
          <w:spacing w:val="-7"/>
        </w:rPr>
        <w:t> </w:t>
      </w:r>
      <w:r>
        <w:rPr/>
        <w:t>smaller</w:t>
      </w:r>
      <w:r>
        <w:rPr>
          <w:spacing w:val="-8"/>
        </w:rPr>
        <w:t> </w:t>
      </w:r>
      <w:r>
        <w:rPr/>
        <w:t>than</w:t>
      </w:r>
      <w:r>
        <w:rPr>
          <w:spacing w:val="-7"/>
        </w:rPr>
        <w:t> </w:t>
      </w:r>
      <w:r>
        <w:rPr/>
        <w:t>might</w:t>
      </w:r>
      <w:r>
        <w:rPr>
          <w:spacing w:val="-7"/>
        </w:rPr>
        <w:t> </w:t>
      </w:r>
      <w:r>
        <w:rPr/>
        <w:t>have</w:t>
      </w:r>
      <w:r>
        <w:rPr>
          <w:spacing w:val="-8"/>
        </w:rPr>
        <w:t> </w:t>
      </w:r>
      <w:r>
        <w:rPr/>
        <w:t>been</w:t>
      </w:r>
      <w:r>
        <w:rPr>
          <w:spacing w:val="-7"/>
        </w:rPr>
        <w:t> </w:t>
      </w:r>
      <w:r>
        <w:rPr/>
        <w:t>expected, reflecting</w:t>
      </w:r>
      <w:r>
        <w:rPr>
          <w:spacing w:val="-9"/>
        </w:rPr>
        <w:t> </w:t>
      </w:r>
      <w:r>
        <w:rPr/>
        <w:t>wider</w:t>
      </w:r>
      <w:r>
        <w:rPr>
          <w:spacing w:val="-9"/>
        </w:rPr>
        <w:t> </w:t>
      </w:r>
      <w:r>
        <w:rPr/>
        <w:t>domestic</w:t>
      </w:r>
      <w:r>
        <w:rPr>
          <w:spacing w:val="-9"/>
        </w:rPr>
        <w:t> </w:t>
      </w:r>
      <w:r>
        <w:rPr/>
        <w:t>profit</w:t>
      </w:r>
      <w:r>
        <w:rPr>
          <w:spacing w:val="-9"/>
        </w:rPr>
        <w:t> </w:t>
      </w:r>
      <w:r>
        <w:rPr/>
        <w:t>margins.</w:t>
      </w:r>
      <w:r>
        <w:rPr>
          <w:spacing w:val="44"/>
        </w:rPr>
        <w:t> </w:t>
      </w:r>
      <w:r>
        <w:rPr/>
        <w:t>For</w:t>
      </w:r>
      <w:r>
        <w:rPr>
          <w:spacing w:val="-9"/>
        </w:rPr>
        <w:t> </w:t>
      </w:r>
      <w:r>
        <w:rPr/>
        <w:t>example,</w:t>
      </w:r>
      <w:r>
        <w:rPr>
          <w:spacing w:val="-8"/>
        </w:rPr>
        <w:t> </w:t>
      </w:r>
      <w:r>
        <w:rPr/>
        <w:t>margins</w:t>
      </w:r>
      <w:r>
        <w:rPr>
          <w:spacing w:val="-9"/>
        </w:rPr>
        <w:t> </w:t>
      </w:r>
      <w:r>
        <w:rPr/>
        <w:t>on</w:t>
      </w:r>
      <w:r>
        <w:rPr>
          <w:spacing w:val="-9"/>
        </w:rPr>
        <w:t> </w:t>
      </w:r>
      <w:r>
        <w:rPr/>
        <w:t>petrol</w:t>
      </w:r>
      <w:r>
        <w:rPr>
          <w:spacing w:val="-9"/>
        </w:rPr>
        <w:t> </w:t>
      </w:r>
      <w:r>
        <w:rPr/>
        <w:t>had</w:t>
      </w:r>
      <w:r>
        <w:rPr>
          <w:spacing w:val="-9"/>
        </w:rPr>
        <w:t> </w:t>
      </w:r>
      <w:r>
        <w:rPr/>
        <w:t>been</w:t>
      </w:r>
      <w:r>
        <w:rPr>
          <w:spacing w:val="-8"/>
        </w:rPr>
        <w:t> </w:t>
      </w:r>
      <w:r>
        <w:rPr/>
        <w:t>widened</w:t>
      </w:r>
      <w:r>
        <w:rPr>
          <w:spacing w:val="-9"/>
        </w:rPr>
        <w:t> </w:t>
      </w:r>
      <w:r>
        <w:rPr/>
        <w:t>after</w:t>
      </w:r>
      <w:r>
        <w:rPr>
          <w:spacing w:val="-9"/>
        </w:rPr>
        <w:t> </w:t>
      </w:r>
      <w:r>
        <w:rPr>
          <w:spacing w:val="-2"/>
        </w:rPr>
        <w:t>the </w:t>
      </w:r>
      <w:r>
        <w:rPr/>
        <w:t>Budget tax increase, and there had been less pass-through from lower import prices to clothing, footwear and durables than might have been expected.</w:t>
      </w:r>
    </w:p>
    <w:p>
      <w:pPr>
        <w:pStyle w:val="BodyText"/>
        <w:spacing w:before="1"/>
        <w:rPr>
          <w:sz w:val="32"/>
        </w:rPr>
      </w:pPr>
    </w:p>
    <w:p>
      <w:pPr>
        <w:pStyle w:val="BodyText"/>
        <w:spacing w:line="321" w:lineRule="auto"/>
        <w:ind w:left="277" w:right="253"/>
      </w:pPr>
      <w:r>
        <w:rPr/>
        <w:t>A39  Consumer price inflation in Germany rose to 2.1% in August, an increase of more than 0.5% in </w:t>
      </w:r>
      <w:r>
        <w:rPr>
          <w:spacing w:val="-3"/>
        </w:rPr>
        <w:t>four months, though there were signs </w:t>
      </w:r>
      <w:r>
        <w:rPr/>
        <w:t>of a </w:t>
      </w:r>
      <w:r>
        <w:rPr>
          <w:spacing w:val="-3"/>
        </w:rPr>
        <w:t>possible fall </w:t>
      </w:r>
      <w:r>
        <w:rPr/>
        <w:t>in </w:t>
      </w:r>
      <w:r>
        <w:rPr>
          <w:spacing w:val="-3"/>
        </w:rPr>
        <w:t>inflation </w:t>
      </w:r>
      <w:r>
        <w:rPr/>
        <w:t>in </w:t>
      </w:r>
      <w:r>
        <w:rPr>
          <w:spacing w:val="-3"/>
        </w:rPr>
        <w:t>September.  Most </w:t>
      </w:r>
      <w:r>
        <w:rPr/>
        <w:t>of </w:t>
      </w:r>
      <w:r>
        <w:rPr>
          <w:spacing w:val="-3"/>
        </w:rPr>
        <w:t>the</w:t>
      </w:r>
      <w:r>
        <w:rPr>
          <w:spacing w:val="54"/>
        </w:rPr>
        <w:t> </w:t>
      </w:r>
      <w:r>
        <w:rPr/>
        <w:t>recent</w:t>
      </w:r>
      <w:r>
        <w:rPr>
          <w:spacing w:val="-10"/>
        </w:rPr>
        <w:t> </w:t>
      </w:r>
      <w:r>
        <w:rPr/>
        <w:t>increase</w:t>
      </w:r>
      <w:r>
        <w:rPr>
          <w:spacing w:val="-9"/>
        </w:rPr>
        <w:t> </w:t>
      </w:r>
      <w:r>
        <w:rPr/>
        <w:t>appeared</w:t>
      </w:r>
      <w:r>
        <w:rPr>
          <w:spacing w:val="-9"/>
        </w:rPr>
        <w:t> </w:t>
      </w:r>
      <w:r>
        <w:rPr/>
        <w:t>to</w:t>
      </w:r>
      <w:r>
        <w:rPr>
          <w:spacing w:val="-9"/>
        </w:rPr>
        <w:t> </w:t>
      </w:r>
      <w:r>
        <w:rPr/>
        <w:t>reflect</w:t>
      </w:r>
      <w:r>
        <w:rPr>
          <w:spacing w:val="-10"/>
        </w:rPr>
        <w:t> </w:t>
      </w:r>
      <w:r>
        <w:rPr/>
        <w:t>external</w:t>
      </w:r>
      <w:r>
        <w:rPr>
          <w:spacing w:val="-9"/>
        </w:rPr>
        <w:t> </w:t>
      </w:r>
      <w:r>
        <w:rPr/>
        <w:t>or</w:t>
      </w:r>
      <w:r>
        <w:rPr>
          <w:spacing w:val="-9"/>
        </w:rPr>
        <w:t> </w:t>
      </w:r>
      <w:r>
        <w:rPr/>
        <w:t>temporary</w:t>
      </w:r>
      <w:r>
        <w:rPr>
          <w:spacing w:val="-9"/>
        </w:rPr>
        <w:t> </w:t>
      </w:r>
      <w:r>
        <w:rPr/>
        <w:t>factors</w:t>
      </w:r>
      <w:r>
        <w:rPr>
          <w:spacing w:val="-10"/>
        </w:rPr>
        <w:t> </w:t>
      </w:r>
      <w:r>
        <w:rPr/>
        <w:t>-</w:t>
      </w:r>
      <w:r>
        <w:rPr>
          <w:spacing w:val="-9"/>
        </w:rPr>
        <w:t> </w:t>
      </w:r>
      <w:r>
        <w:rPr/>
        <w:t>higher</w:t>
      </w:r>
      <w:r>
        <w:rPr>
          <w:spacing w:val="-9"/>
        </w:rPr>
        <w:t> </w:t>
      </w:r>
      <w:r>
        <w:rPr/>
        <w:t>import</w:t>
      </w:r>
      <w:r>
        <w:rPr>
          <w:spacing w:val="-9"/>
        </w:rPr>
        <w:t> </w:t>
      </w:r>
      <w:r>
        <w:rPr/>
        <w:t>prices</w:t>
      </w:r>
      <w:r>
        <w:rPr>
          <w:spacing w:val="-9"/>
        </w:rPr>
        <w:t> </w:t>
      </w:r>
      <w:r>
        <w:rPr/>
        <w:t>(including</w:t>
      </w:r>
      <w:r>
        <w:rPr>
          <w:spacing w:val="-10"/>
        </w:rPr>
        <w:t> </w:t>
      </w:r>
      <w:r>
        <w:rPr/>
        <w:t>oil) and administered prices (in some cases a consequence of fiscal consolidation). Measures of domestically-generated inflation were lower - for example, the increase in the GDP deflator in </w:t>
      </w:r>
      <w:r>
        <w:rPr>
          <w:spacing w:val="-2"/>
        </w:rPr>
        <w:t>the </w:t>
      </w:r>
      <w:r>
        <w:rPr/>
        <w:t>year to Q2 was 0.8% - and with wage settlements remaining low and broad money growth </w:t>
      </w:r>
      <w:r>
        <w:rPr>
          <w:spacing w:val="-2"/>
        </w:rPr>
        <w:t>having </w:t>
      </w:r>
      <w:r>
        <w:rPr/>
        <w:t>fallen back to within the target range, the scope for second-round inflationary effects from </w:t>
      </w:r>
      <w:r>
        <w:rPr>
          <w:spacing w:val="-2"/>
        </w:rPr>
        <w:t>higher </w:t>
      </w:r>
      <w:r>
        <w:rPr>
          <w:spacing w:val="-3"/>
        </w:rPr>
        <w:t>import </w:t>
      </w:r>
      <w:r>
        <w:rPr/>
        <w:t>and </w:t>
      </w:r>
      <w:r>
        <w:rPr>
          <w:spacing w:val="-3"/>
        </w:rPr>
        <w:t>administered prices seemed</w:t>
      </w:r>
      <w:r>
        <w:rPr>
          <w:spacing w:val="9"/>
        </w:rPr>
        <w:t> </w:t>
      </w:r>
      <w:r>
        <w:rPr>
          <w:spacing w:val="-3"/>
        </w:rPr>
        <w:t>limited.</w:t>
      </w:r>
    </w:p>
    <w:p>
      <w:pPr>
        <w:pStyle w:val="BodyText"/>
        <w:rPr>
          <w:sz w:val="32"/>
        </w:rPr>
      </w:pPr>
    </w:p>
    <w:p>
      <w:pPr>
        <w:pStyle w:val="BodyText"/>
        <w:spacing w:line="321" w:lineRule="auto"/>
        <w:ind w:left="277" w:right="132"/>
      </w:pPr>
      <w:r>
        <w:rPr/>
        <w:t>A40 The IMF forecast of an acceleration of world output growth - and of a convergence of growth rates - suggested that there might be a risk of a rise in commodity prices. And the El Nino weather system might put upward pressure on food prices. The IMF themselves expected prices to remain weak on account of good supply conditions, but commodity prices were inherently volatile and any changes could be sharp, though the effect on retail prices would be heavily damped.</w:t>
      </w:r>
    </w:p>
    <w:p>
      <w:pPr>
        <w:pStyle w:val="BodyText"/>
        <w:rPr>
          <w:sz w:val="32"/>
        </w:rPr>
      </w:pPr>
    </w:p>
    <w:p>
      <w:pPr>
        <w:pStyle w:val="ListParagraph"/>
        <w:numPr>
          <w:ilvl w:val="0"/>
          <w:numId w:val="2"/>
        </w:numPr>
        <w:tabs>
          <w:tab w:pos="636" w:val="left" w:leader="none"/>
        </w:tabs>
        <w:spacing w:line="240" w:lineRule="auto" w:before="1" w:after="0"/>
        <w:ind w:left="635" w:right="0" w:hanging="359"/>
        <w:jc w:val="left"/>
        <w:rPr>
          <w:sz w:val="24"/>
        </w:rPr>
      </w:pPr>
      <w:r>
        <w:rPr>
          <w:sz w:val="24"/>
          <w:u w:val="single"/>
        </w:rPr>
        <w:t>  </w:t>
      </w:r>
      <w:r>
        <w:rPr>
          <w:spacing w:val="4"/>
          <w:sz w:val="24"/>
          <w:u w:val="single"/>
        </w:rPr>
        <w:t> </w:t>
      </w:r>
      <w:r>
        <w:rPr>
          <w:spacing w:val="-3"/>
          <w:sz w:val="24"/>
          <w:u w:val="single"/>
        </w:rPr>
        <w:t>Financial</w:t>
      </w:r>
      <w:r>
        <w:rPr>
          <w:spacing w:val="-1"/>
          <w:sz w:val="24"/>
          <w:u w:val="single"/>
        </w:rPr>
        <w:t> </w:t>
      </w:r>
      <w:r>
        <w:rPr>
          <w:spacing w:val="-3"/>
          <w:sz w:val="24"/>
          <w:u w:val="single"/>
        </w:rPr>
        <w:t>markets</w:t>
      </w:r>
    </w:p>
    <w:p>
      <w:pPr>
        <w:pStyle w:val="BodyText"/>
        <w:rPr>
          <w:sz w:val="20"/>
        </w:rPr>
      </w:pPr>
    </w:p>
    <w:p>
      <w:pPr>
        <w:pStyle w:val="BodyText"/>
        <w:spacing w:line="321" w:lineRule="auto" w:before="233"/>
        <w:ind w:left="277" w:right="391"/>
        <w:jc w:val="both"/>
      </w:pPr>
      <w:r>
        <w:rPr/>
        <w:t>A41 The sterling ERI stood at 100.4 (1990 average = 100) at the close of business on 8 October, 0.5% higher than on 10 September, on the eve of the final part of the September meeting. Since </w:t>
      </w:r>
      <w:r>
        <w:rPr>
          <w:spacing w:val="-2"/>
        </w:rPr>
        <w:t>its </w:t>
      </w:r>
      <w:r>
        <w:rPr/>
        <w:t>peak</w:t>
      </w:r>
      <w:r>
        <w:rPr>
          <w:spacing w:val="-6"/>
        </w:rPr>
        <w:t> </w:t>
      </w:r>
      <w:r>
        <w:rPr/>
        <w:t>on</w:t>
      </w:r>
      <w:r>
        <w:rPr>
          <w:spacing w:val="-5"/>
        </w:rPr>
        <w:t> </w:t>
      </w:r>
      <w:r>
        <w:rPr/>
        <w:t>23</w:t>
      </w:r>
      <w:r>
        <w:rPr>
          <w:spacing w:val="-5"/>
        </w:rPr>
        <w:t> </w:t>
      </w:r>
      <w:r>
        <w:rPr/>
        <w:t>July,</w:t>
      </w:r>
      <w:r>
        <w:rPr>
          <w:spacing w:val="-5"/>
        </w:rPr>
        <w:t> </w:t>
      </w:r>
      <w:r>
        <w:rPr/>
        <w:t>sterling</w:t>
      </w:r>
      <w:r>
        <w:rPr>
          <w:spacing w:val="-5"/>
        </w:rPr>
        <w:t> </w:t>
      </w:r>
      <w:r>
        <w:rPr/>
        <w:t>had</w:t>
      </w:r>
      <w:r>
        <w:rPr>
          <w:spacing w:val="-5"/>
        </w:rPr>
        <w:t> </w:t>
      </w:r>
      <w:r>
        <w:rPr/>
        <w:t>fallen</w:t>
      </w:r>
      <w:r>
        <w:rPr>
          <w:spacing w:val="-5"/>
        </w:rPr>
        <w:t> </w:t>
      </w:r>
      <w:r>
        <w:rPr/>
        <w:t>by</w:t>
      </w:r>
      <w:r>
        <w:rPr>
          <w:spacing w:val="-6"/>
        </w:rPr>
        <w:t> </w:t>
      </w:r>
      <w:r>
        <w:rPr/>
        <w:t>5.8%</w:t>
      </w:r>
      <w:r>
        <w:rPr>
          <w:spacing w:val="-5"/>
        </w:rPr>
        <w:t> </w:t>
      </w:r>
      <w:r>
        <w:rPr/>
        <w:t>on</w:t>
      </w:r>
      <w:r>
        <w:rPr>
          <w:spacing w:val="-5"/>
        </w:rPr>
        <w:t> </w:t>
      </w:r>
      <w:r>
        <w:rPr/>
        <w:t>the</w:t>
      </w:r>
      <w:r>
        <w:rPr>
          <w:spacing w:val="-5"/>
        </w:rPr>
        <w:t> </w:t>
      </w:r>
      <w:r>
        <w:rPr/>
        <w:t>ERI,</w:t>
      </w:r>
      <w:r>
        <w:rPr>
          <w:spacing w:val="-5"/>
        </w:rPr>
        <w:t> </w:t>
      </w:r>
      <w:r>
        <w:rPr/>
        <w:t>and</w:t>
      </w:r>
      <w:r>
        <w:rPr>
          <w:spacing w:val="-5"/>
        </w:rPr>
        <w:t> </w:t>
      </w:r>
      <w:r>
        <w:rPr/>
        <w:t>by</w:t>
      </w:r>
      <w:r>
        <w:rPr>
          <w:spacing w:val="-5"/>
        </w:rPr>
        <w:t> </w:t>
      </w:r>
      <w:r>
        <w:rPr/>
        <w:t>7.4%</w:t>
      </w:r>
      <w:r>
        <w:rPr>
          <w:spacing w:val="-5"/>
        </w:rPr>
        <w:t> </w:t>
      </w:r>
      <w:r>
        <w:rPr/>
        <w:t>and</w:t>
      </w:r>
      <w:r>
        <w:rPr>
          <w:spacing w:val="-6"/>
        </w:rPr>
        <w:t> </w:t>
      </w:r>
      <w:r>
        <w:rPr/>
        <w:t>3.5%</w:t>
      </w:r>
      <w:r>
        <w:rPr>
          <w:spacing w:val="-5"/>
        </w:rPr>
        <w:t> </w:t>
      </w:r>
      <w:r>
        <w:rPr/>
        <w:t>against</w:t>
      </w:r>
      <w:r>
        <w:rPr>
          <w:spacing w:val="-5"/>
        </w:rPr>
        <w:t> </w:t>
      </w:r>
      <w:r>
        <w:rPr/>
        <w:t>the</w:t>
      </w:r>
      <w:r>
        <w:rPr>
          <w:spacing w:val="-5"/>
        </w:rPr>
        <w:t> </w:t>
      </w:r>
      <w:r>
        <w:rPr/>
        <w:t>DM</w:t>
      </w:r>
      <w:r>
        <w:rPr>
          <w:spacing w:val="-5"/>
        </w:rPr>
        <w:t> </w:t>
      </w:r>
      <w:r>
        <w:rPr>
          <w:spacing w:val="-2"/>
        </w:rPr>
        <w:t>and </w:t>
      </w:r>
      <w:r>
        <w:rPr/>
        <w:t>the dollar</w:t>
      </w:r>
      <w:r>
        <w:rPr>
          <w:spacing w:val="-1"/>
        </w:rPr>
        <w:t> </w:t>
      </w:r>
      <w:r>
        <w:rPr/>
        <w:t>respectively.</w:t>
      </w:r>
    </w:p>
    <w:p>
      <w:pPr>
        <w:pStyle w:val="BodyText"/>
        <w:rPr>
          <w:sz w:val="32"/>
        </w:rPr>
      </w:pPr>
    </w:p>
    <w:p>
      <w:pPr>
        <w:pStyle w:val="BodyText"/>
        <w:spacing w:line="321" w:lineRule="auto" w:before="1"/>
        <w:ind w:left="277" w:right="349"/>
      </w:pPr>
      <w:r>
        <w:rPr/>
        <w:t>A42 During the course of the month, sterling had strengthened after the release of strong </w:t>
      </w:r>
      <w:r>
        <w:rPr>
          <w:spacing w:val="-2"/>
        </w:rPr>
        <w:t>retail </w:t>
      </w:r>
      <w:r>
        <w:rPr/>
        <w:t>sales and labour market data on 17 September, but it had fallen sharply on 26 September, when a </w:t>
      </w:r>
      <w:r>
        <w:rPr>
          <w:i/>
        </w:rPr>
        <w:t>Financial Times </w:t>
      </w:r>
      <w:r>
        <w:rPr/>
        <w:t>article suggested that the Government was planning to join European Monetary Union.</w:t>
      </w:r>
      <w:r>
        <w:rPr>
          <w:spacing w:val="46"/>
        </w:rPr>
        <w:t> </w:t>
      </w:r>
      <w:r>
        <w:rPr/>
        <w:t>Although</w:t>
      </w:r>
      <w:r>
        <w:rPr>
          <w:spacing w:val="-9"/>
        </w:rPr>
        <w:t> </w:t>
      </w:r>
      <w:r>
        <w:rPr/>
        <w:t>the</w:t>
      </w:r>
      <w:r>
        <w:rPr>
          <w:spacing w:val="-8"/>
        </w:rPr>
        <w:t> </w:t>
      </w:r>
      <w:r>
        <w:rPr/>
        <w:t>spot</w:t>
      </w:r>
      <w:r>
        <w:rPr>
          <w:spacing w:val="-8"/>
        </w:rPr>
        <w:t> </w:t>
      </w:r>
      <w:r>
        <w:rPr/>
        <w:t>£/DM</w:t>
      </w:r>
      <w:r>
        <w:rPr>
          <w:spacing w:val="-8"/>
        </w:rPr>
        <w:t> </w:t>
      </w:r>
      <w:r>
        <w:rPr/>
        <w:t>rate</w:t>
      </w:r>
      <w:r>
        <w:rPr>
          <w:spacing w:val="-8"/>
        </w:rPr>
        <w:t> </w:t>
      </w:r>
      <w:r>
        <w:rPr/>
        <w:t>had</w:t>
      </w:r>
      <w:r>
        <w:rPr>
          <w:spacing w:val="-9"/>
        </w:rPr>
        <w:t> </w:t>
      </w:r>
      <w:r>
        <w:rPr/>
        <w:t>fallen</w:t>
      </w:r>
      <w:r>
        <w:rPr>
          <w:spacing w:val="-8"/>
        </w:rPr>
        <w:t> </w:t>
      </w:r>
      <w:r>
        <w:rPr/>
        <w:t>after</w:t>
      </w:r>
      <w:r>
        <w:rPr>
          <w:spacing w:val="-8"/>
        </w:rPr>
        <w:t> </w:t>
      </w:r>
      <w:r>
        <w:rPr/>
        <w:t>this</w:t>
      </w:r>
      <w:r>
        <w:rPr>
          <w:spacing w:val="-8"/>
        </w:rPr>
        <w:t> </w:t>
      </w:r>
      <w:r>
        <w:rPr/>
        <w:t>article</w:t>
      </w:r>
      <w:r>
        <w:rPr>
          <w:spacing w:val="-9"/>
        </w:rPr>
        <w:t> </w:t>
      </w:r>
      <w:r>
        <w:rPr/>
        <w:t>had</w:t>
      </w:r>
      <w:r>
        <w:rPr>
          <w:spacing w:val="-8"/>
        </w:rPr>
        <w:t> </w:t>
      </w:r>
      <w:r>
        <w:rPr/>
        <w:t>appeared,</w:t>
      </w:r>
      <w:r>
        <w:rPr>
          <w:spacing w:val="-8"/>
        </w:rPr>
        <w:t> </w:t>
      </w:r>
      <w:r>
        <w:rPr/>
        <w:t>the</w:t>
      </w:r>
      <w:r>
        <w:rPr>
          <w:spacing w:val="-8"/>
        </w:rPr>
        <w:t> </w:t>
      </w:r>
      <w:r>
        <w:rPr/>
        <w:t>five-year</w:t>
      </w:r>
      <w:r>
        <w:rPr>
          <w:spacing w:val="-9"/>
        </w:rPr>
        <w:t> </w:t>
      </w:r>
      <w:r>
        <w:rPr/>
        <w:t>forward </w:t>
      </w:r>
      <w:r>
        <w:rPr>
          <w:spacing w:val="-3"/>
        </w:rPr>
        <w:t>rate </w:t>
      </w:r>
      <w:r>
        <w:rPr/>
        <w:t>had </w:t>
      </w:r>
      <w:r>
        <w:rPr>
          <w:spacing w:val="-3"/>
        </w:rPr>
        <w:t>risen slightly, reflecting </w:t>
      </w:r>
      <w:r>
        <w:rPr/>
        <w:t>the </w:t>
      </w:r>
      <w:r>
        <w:rPr>
          <w:spacing w:val="-3"/>
        </w:rPr>
        <w:t>fall </w:t>
      </w:r>
      <w:r>
        <w:rPr/>
        <w:t>in the UK </w:t>
      </w:r>
      <w:r>
        <w:rPr>
          <w:spacing w:val="-3"/>
        </w:rPr>
        <w:t>yield curve. Chart analysis suggested </w:t>
      </w:r>
      <w:r>
        <w:rPr/>
        <w:t>no </w:t>
      </w:r>
      <w:r>
        <w:rPr>
          <w:spacing w:val="-3"/>
        </w:rPr>
        <w:t>near- </w:t>
      </w:r>
      <w:r>
        <w:rPr/>
        <w:t>term trend in sterling, but it was vulnerable to further EMU-related</w:t>
      </w:r>
      <w:r>
        <w:rPr>
          <w:spacing w:val="-22"/>
        </w:rPr>
        <w:t> </w:t>
      </w:r>
      <w:r>
        <w:rPr/>
        <w:t>developments.</w:t>
      </w:r>
    </w:p>
    <w:p>
      <w:pPr>
        <w:pStyle w:val="BodyText"/>
        <w:rPr>
          <w:sz w:val="32"/>
        </w:rPr>
      </w:pPr>
    </w:p>
    <w:p>
      <w:pPr>
        <w:pStyle w:val="BodyText"/>
        <w:spacing w:line="321" w:lineRule="auto"/>
        <w:ind w:left="277" w:right="132"/>
      </w:pPr>
      <w:r>
        <w:rPr/>
        <w:t>A43 The </w:t>
      </w:r>
      <w:r>
        <w:rPr>
          <w:spacing w:val="-3"/>
        </w:rPr>
        <w:t>implied </w:t>
      </w:r>
      <w:r>
        <w:rPr/>
        <w:t>one and </w:t>
      </w:r>
      <w:r>
        <w:rPr>
          <w:spacing w:val="-3"/>
        </w:rPr>
        <w:t>twelve-month volatility </w:t>
      </w:r>
      <w:r>
        <w:rPr/>
        <w:t>in </w:t>
      </w:r>
      <w:r>
        <w:rPr>
          <w:spacing w:val="-3"/>
        </w:rPr>
        <w:t>£/DM options prices </w:t>
      </w:r>
      <w:r>
        <w:rPr/>
        <w:t>had </w:t>
      </w:r>
      <w:r>
        <w:rPr>
          <w:spacing w:val="-3"/>
        </w:rPr>
        <w:t>fallen sharply </w:t>
      </w:r>
      <w:r>
        <w:rPr/>
        <w:t>in </w:t>
      </w:r>
      <w:r>
        <w:rPr>
          <w:spacing w:val="-3"/>
        </w:rPr>
        <w:t>the </w:t>
      </w:r>
      <w:r>
        <w:rPr/>
        <w:t>month</w:t>
      </w:r>
      <w:r>
        <w:rPr>
          <w:spacing w:val="-11"/>
        </w:rPr>
        <w:t> </w:t>
      </w:r>
      <w:r>
        <w:rPr/>
        <w:t>since</w:t>
      </w:r>
      <w:r>
        <w:rPr>
          <w:spacing w:val="-10"/>
        </w:rPr>
        <w:t> </w:t>
      </w:r>
      <w:r>
        <w:rPr/>
        <w:t>the</w:t>
      </w:r>
      <w:r>
        <w:rPr>
          <w:spacing w:val="-10"/>
        </w:rPr>
        <w:t> </w:t>
      </w:r>
      <w:r>
        <w:rPr/>
        <w:t>previous</w:t>
      </w:r>
      <w:r>
        <w:rPr>
          <w:spacing w:val="-10"/>
        </w:rPr>
        <w:t> </w:t>
      </w:r>
      <w:r>
        <w:rPr/>
        <w:t>MPC</w:t>
      </w:r>
      <w:r>
        <w:rPr>
          <w:spacing w:val="-11"/>
        </w:rPr>
        <w:t> </w:t>
      </w:r>
      <w:r>
        <w:rPr/>
        <w:t>meeting,</w:t>
      </w:r>
      <w:r>
        <w:rPr>
          <w:spacing w:val="-10"/>
        </w:rPr>
        <w:t> </w:t>
      </w:r>
      <w:r>
        <w:rPr/>
        <w:t>and</w:t>
      </w:r>
      <w:r>
        <w:rPr>
          <w:spacing w:val="-10"/>
        </w:rPr>
        <w:t> </w:t>
      </w:r>
      <w:r>
        <w:rPr/>
        <w:t>the</w:t>
      </w:r>
      <w:r>
        <w:rPr>
          <w:spacing w:val="-10"/>
        </w:rPr>
        <w:t> </w:t>
      </w:r>
      <w:r>
        <w:rPr/>
        <w:t>implied</w:t>
      </w:r>
      <w:r>
        <w:rPr>
          <w:spacing w:val="-11"/>
        </w:rPr>
        <w:t> </w:t>
      </w:r>
      <w:r>
        <w:rPr/>
        <w:t>one</w:t>
      </w:r>
      <w:r>
        <w:rPr>
          <w:spacing w:val="-10"/>
        </w:rPr>
        <w:t> </w:t>
      </w:r>
      <w:r>
        <w:rPr/>
        <w:t>and</w:t>
      </w:r>
      <w:r>
        <w:rPr>
          <w:spacing w:val="-10"/>
        </w:rPr>
        <w:t> </w:t>
      </w:r>
      <w:r>
        <w:rPr/>
        <w:t>twelve-month</w:t>
      </w:r>
      <w:r>
        <w:rPr>
          <w:spacing w:val="-10"/>
        </w:rPr>
        <w:t> </w:t>
      </w:r>
      <w:r>
        <w:rPr/>
        <w:t>correlations</w:t>
      </w:r>
      <w:r>
        <w:rPr>
          <w:spacing w:val="-11"/>
        </w:rPr>
        <w:t> </w:t>
      </w:r>
      <w:r>
        <w:rPr/>
        <w:t>between</w:t>
      </w:r>
    </w:p>
    <w:p>
      <w:pPr>
        <w:pStyle w:val="BodyText"/>
        <w:spacing w:line="276" w:lineRule="exact"/>
        <w:ind w:left="277"/>
      </w:pPr>
      <w:r>
        <w:rPr/>
        <w:t>£/$ and $/DM spot rates had increased. Part of the change took place in mid-September, and part</w:t>
      </w:r>
    </w:p>
    <w:p>
      <w:pPr>
        <w:spacing w:after="0" w:line="276" w:lineRule="exact"/>
        <w:sectPr>
          <w:pgSz w:w="11900" w:h="16840"/>
          <w:pgMar w:header="719" w:footer="0" w:top="1260" w:bottom="280" w:left="860" w:right="880"/>
        </w:sectPr>
      </w:pPr>
    </w:p>
    <w:p>
      <w:pPr>
        <w:pStyle w:val="BodyText"/>
        <w:spacing w:line="321" w:lineRule="auto" w:before="183"/>
        <w:ind w:left="277" w:right="277"/>
        <w:jc w:val="both"/>
      </w:pPr>
      <w:r>
        <w:rPr/>
        <w:t>after the publication of the </w:t>
      </w:r>
      <w:r>
        <w:rPr>
          <w:i/>
        </w:rPr>
        <w:t>Financial Times </w:t>
      </w:r>
      <w:r>
        <w:rPr/>
        <w:t>article on 26 September. These changes were consistent with</w:t>
      </w:r>
      <w:r>
        <w:rPr>
          <w:spacing w:val="-9"/>
        </w:rPr>
        <w:t> </w:t>
      </w:r>
      <w:r>
        <w:rPr/>
        <w:t>a</w:t>
      </w:r>
      <w:r>
        <w:rPr>
          <w:spacing w:val="-8"/>
        </w:rPr>
        <w:t> </w:t>
      </w:r>
      <w:r>
        <w:rPr/>
        <w:t>higher</w:t>
      </w:r>
      <w:r>
        <w:rPr>
          <w:spacing w:val="-8"/>
        </w:rPr>
        <w:t> </w:t>
      </w:r>
      <w:r>
        <w:rPr/>
        <w:t>probability</w:t>
      </w:r>
      <w:r>
        <w:rPr>
          <w:spacing w:val="-9"/>
        </w:rPr>
        <w:t> </w:t>
      </w:r>
      <w:r>
        <w:rPr/>
        <w:t>being</w:t>
      </w:r>
      <w:r>
        <w:rPr>
          <w:spacing w:val="-8"/>
        </w:rPr>
        <w:t> </w:t>
      </w:r>
      <w:r>
        <w:rPr/>
        <w:t>attached</w:t>
      </w:r>
      <w:r>
        <w:rPr>
          <w:spacing w:val="-8"/>
        </w:rPr>
        <w:t> </w:t>
      </w:r>
      <w:r>
        <w:rPr/>
        <w:t>by</w:t>
      </w:r>
      <w:r>
        <w:rPr>
          <w:spacing w:val="-9"/>
        </w:rPr>
        <w:t> </w:t>
      </w:r>
      <w:r>
        <w:rPr/>
        <w:t>the</w:t>
      </w:r>
      <w:r>
        <w:rPr>
          <w:spacing w:val="-8"/>
        </w:rPr>
        <w:t> </w:t>
      </w:r>
      <w:r>
        <w:rPr/>
        <w:t>market</w:t>
      </w:r>
      <w:r>
        <w:rPr>
          <w:spacing w:val="-8"/>
        </w:rPr>
        <w:t> </w:t>
      </w:r>
      <w:r>
        <w:rPr/>
        <w:t>to</w:t>
      </w:r>
      <w:r>
        <w:rPr>
          <w:spacing w:val="-8"/>
        </w:rPr>
        <w:t> </w:t>
      </w:r>
      <w:r>
        <w:rPr/>
        <w:t>the</w:t>
      </w:r>
      <w:r>
        <w:rPr>
          <w:spacing w:val="-9"/>
        </w:rPr>
        <w:t> </w:t>
      </w:r>
      <w:r>
        <w:rPr/>
        <w:t>prospect</w:t>
      </w:r>
      <w:r>
        <w:rPr>
          <w:spacing w:val="-8"/>
        </w:rPr>
        <w:t> </w:t>
      </w:r>
      <w:r>
        <w:rPr/>
        <w:t>of</w:t>
      </w:r>
      <w:r>
        <w:rPr>
          <w:spacing w:val="-8"/>
        </w:rPr>
        <w:t> </w:t>
      </w:r>
      <w:r>
        <w:rPr/>
        <w:t>the</w:t>
      </w:r>
      <w:r>
        <w:rPr>
          <w:spacing w:val="-9"/>
        </w:rPr>
        <w:t> </w:t>
      </w:r>
      <w:r>
        <w:rPr/>
        <w:t>United</w:t>
      </w:r>
      <w:r>
        <w:rPr>
          <w:spacing w:val="-8"/>
        </w:rPr>
        <w:t> </w:t>
      </w:r>
      <w:r>
        <w:rPr/>
        <w:t>Kingdom</w:t>
      </w:r>
      <w:r>
        <w:rPr>
          <w:spacing w:val="-8"/>
        </w:rPr>
        <w:t> </w:t>
      </w:r>
      <w:r>
        <w:rPr/>
        <w:t>joining EMU.</w:t>
      </w:r>
    </w:p>
    <w:p>
      <w:pPr>
        <w:pStyle w:val="BodyText"/>
        <w:spacing w:before="1"/>
        <w:rPr>
          <w:sz w:val="32"/>
        </w:rPr>
      </w:pPr>
    </w:p>
    <w:p>
      <w:pPr>
        <w:pStyle w:val="BodyText"/>
        <w:spacing w:line="321" w:lineRule="auto"/>
        <w:ind w:left="277"/>
      </w:pPr>
      <w:r>
        <w:rPr/>
        <w:t>A44 In the domestic money markets, with the Bank’s repo rate at 7%, on 8 October three-month LIBOR had been 7.28%, compared with 7.22% on 10 September; the three-month LIBOR for December 1997, March 1998 and March 1999 implied by futures prices were 7.46%, 7.50% and</w:t>
      </w:r>
    </w:p>
    <w:p>
      <w:pPr>
        <w:pStyle w:val="BodyText"/>
        <w:spacing w:line="321" w:lineRule="auto"/>
        <w:ind w:left="277" w:right="272"/>
        <w:jc w:val="both"/>
      </w:pPr>
      <w:r>
        <w:rPr/>
        <w:t>7.07%</w:t>
      </w:r>
      <w:r>
        <w:rPr>
          <w:spacing w:val="-9"/>
        </w:rPr>
        <w:t> </w:t>
      </w:r>
      <w:r>
        <w:rPr/>
        <w:t>respectively,</w:t>
      </w:r>
      <w:r>
        <w:rPr>
          <w:spacing w:val="-8"/>
        </w:rPr>
        <w:t> </w:t>
      </w:r>
      <w:r>
        <w:rPr/>
        <w:t>compared</w:t>
      </w:r>
      <w:r>
        <w:rPr>
          <w:spacing w:val="-8"/>
        </w:rPr>
        <w:t> </w:t>
      </w:r>
      <w:r>
        <w:rPr/>
        <w:t>with</w:t>
      </w:r>
      <w:r>
        <w:rPr>
          <w:spacing w:val="-9"/>
        </w:rPr>
        <w:t> </w:t>
      </w:r>
      <w:r>
        <w:rPr/>
        <w:t>7.37%,</w:t>
      </w:r>
      <w:r>
        <w:rPr>
          <w:spacing w:val="-8"/>
        </w:rPr>
        <w:t> </w:t>
      </w:r>
      <w:r>
        <w:rPr/>
        <w:t>7.38%</w:t>
      </w:r>
      <w:r>
        <w:rPr>
          <w:spacing w:val="-8"/>
        </w:rPr>
        <w:t> </w:t>
      </w:r>
      <w:r>
        <w:rPr/>
        <w:t>and</w:t>
      </w:r>
      <w:r>
        <w:rPr>
          <w:spacing w:val="-9"/>
        </w:rPr>
        <w:t> </w:t>
      </w:r>
      <w:r>
        <w:rPr/>
        <w:t>7.15%</w:t>
      </w:r>
      <w:r>
        <w:rPr>
          <w:spacing w:val="-8"/>
        </w:rPr>
        <w:t> </w:t>
      </w:r>
      <w:r>
        <w:rPr/>
        <w:t>on</w:t>
      </w:r>
      <w:r>
        <w:rPr>
          <w:spacing w:val="-8"/>
        </w:rPr>
        <w:t> </w:t>
      </w:r>
      <w:r>
        <w:rPr/>
        <w:t>10</w:t>
      </w:r>
      <w:r>
        <w:rPr>
          <w:spacing w:val="-9"/>
        </w:rPr>
        <w:t> </w:t>
      </w:r>
      <w:r>
        <w:rPr/>
        <w:t>September.</w:t>
      </w:r>
      <w:r>
        <w:rPr>
          <w:spacing w:val="45"/>
        </w:rPr>
        <w:t> </w:t>
      </w:r>
      <w:r>
        <w:rPr/>
        <w:t>Implied</w:t>
      </w:r>
      <w:r>
        <w:rPr>
          <w:spacing w:val="-9"/>
        </w:rPr>
        <w:t> </w:t>
      </w:r>
      <w:r>
        <w:rPr/>
        <w:t>volatility</w:t>
      </w:r>
      <w:r>
        <w:rPr>
          <w:spacing w:val="-8"/>
        </w:rPr>
        <w:t> </w:t>
      </w:r>
      <w:r>
        <w:rPr/>
        <w:t>in option</w:t>
      </w:r>
      <w:r>
        <w:rPr>
          <w:spacing w:val="-8"/>
        </w:rPr>
        <w:t> </w:t>
      </w:r>
      <w:r>
        <w:rPr/>
        <w:t>contracts</w:t>
      </w:r>
      <w:r>
        <w:rPr>
          <w:spacing w:val="-8"/>
        </w:rPr>
        <w:t> </w:t>
      </w:r>
      <w:r>
        <w:rPr/>
        <w:t>on</w:t>
      </w:r>
      <w:r>
        <w:rPr>
          <w:spacing w:val="-8"/>
        </w:rPr>
        <w:t> </w:t>
      </w:r>
      <w:r>
        <w:rPr/>
        <w:t>three-month</w:t>
      </w:r>
      <w:r>
        <w:rPr>
          <w:spacing w:val="-7"/>
        </w:rPr>
        <w:t> </w:t>
      </w:r>
      <w:r>
        <w:rPr/>
        <w:t>sterling</w:t>
      </w:r>
      <w:r>
        <w:rPr>
          <w:spacing w:val="-8"/>
        </w:rPr>
        <w:t> </w:t>
      </w:r>
      <w:r>
        <w:rPr/>
        <w:t>interest</w:t>
      </w:r>
      <w:r>
        <w:rPr>
          <w:spacing w:val="-8"/>
        </w:rPr>
        <w:t> </w:t>
      </w:r>
      <w:r>
        <w:rPr/>
        <w:t>rates</w:t>
      </w:r>
      <w:r>
        <w:rPr>
          <w:spacing w:val="-7"/>
        </w:rPr>
        <w:t> </w:t>
      </w:r>
      <w:r>
        <w:rPr/>
        <w:t>in</w:t>
      </w:r>
      <w:r>
        <w:rPr>
          <w:spacing w:val="-8"/>
        </w:rPr>
        <w:t> </w:t>
      </w:r>
      <w:r>
        <w:rPr/>
        <w:t>the</w:t>
      </w:r>
      <w:r>
        <w:rPr>
          <w:spacing w:val="-8"/>
        </w:rPr>
        <w:t> </w:t>
      </w:r>
      <w:r>
        <w:rPr/>
        <w:t>next</w:t>
      </w:r>
      <w:r>
        <w:rPr>
          <w:spacing w:val="-8"/>
        </w:rPr>
        <w:t> </w:t>
      </w:r>
      <w:r>
        <w:rPr/>
        <w:t>nine</w:t>
      </w:r>
      <w:r>
        <w:rPr>
          <w:spacing w:val="-7"/>
        </w:rPr>
        <w:t> </w:t>
      </w:r>
      <w:r>
        <w:rPr/>
        <w:t>months</w:t>
      </w:r>
      <w:r>
        <w:rPr>
          <w:spacing w:val="-8"/>
        </w:rPr>
        <w:t> </w:t>
      </w:r>
      <w:r>
        <w:rPr/>
        <w:t>had</w:t>
      </w:r>
      <w:r>
        <w:rPr>
          <w:spacing w:val="-8"/>
        </w:rPr>
        <w:t> </w:t>
      </w:r>
      <w:r>
        <w:rPr/>
        <w:t>not</w:t>
      </w:r>
      <w:r>
        <w:rPr>
          <w:spacing w:val="-7"/>
        </w:rPr>
        <w:t> </w:t>
      </w:r>
      <w:r>
        <w:rPr/>
        <w:t>changed</w:t>
      </w:r>
      <w:r>
        <w:rPr>
          <w:spacing w:val="-8"/>
        </w:rPr>
        <w:t> </w:t>
      </w:r>
      <w:r>
        <w:rPr/>
        <w:t>much during the last</w:t>
      </w:r>
      <w:r>
        <w:rPr>
          <w:spacing w:val="2"/>
        </w:rPr>
        <w:t> </w:t>
      </w:r>
      <w:r>
        <w:rPr>
          <w:spacing w:val="-2"/>
        </w:rPr>
        <w:t>month.</w:t>
      </w:r>
    </w:p>
    <w:p>
      <w:pPr>
        <w:pStyle w:val="BodyText"/>
        <w:rPr>
          <w:sz w:val="32"/>
        </w:rPr>
      </w:pPr>
    </w:p>
    <w:p>
      <w:pPr>
        <w:pStyle w:val="BodyText"/>
        <w:spacing w:line="321" w:lineRule="auto"/>
        <w:ind w:left="277" w:right="338"/>
      </w:pPr>
      <w:r>
        <w:rPr/>
        <w:t>A45 A number of factors had influenced the market in a turbulent month: some UK data (notably on the labour market and retail sales) had been stronger than expected, but US data (the CPI, the NAPM survey and the labour market figures) had been generally reassuring about inflation; the PSBR figures and market comments on them had led to expectations of a reduced supply of gilts; and the perceived probability of UK entry into EMU had increased.</w:t>
      </w:r>
    </w:p>
    <w:p>
      <w:pPr>
        <w:pStyle w:val="BodyText"/>
        <w:spacing w:before="1"/>
        <w:rPr>
          <w:sz w:val="32"/>
        </w:rPr>
      </w:pPr>
    </w:p>
    <w:p>
      <w:pPr>
        <w:pStyle w:val="BodyText"/>
        <w:spacing w:line="321" w:lineRule="auto"/>
        <w:ind w:left="277" w:right="212"/>
      </w:pPr>
      <w:r>
        <w:rPr/>
        <w:t>A46 Market rates suggested that during the last month, there had been a slight increase in interest rate expectations for early 1998, but a large fall in expectations for 1999 and 2000. Three-month rates were now expected to peak early in 1998 at about 7 ½% and to fall by more than 1% in the following two years.</w:t>
      </w:r>
    </w:p>
    <w:p>
      <w:pPr>
        <w:pStyle w:val="BodyText"/>
        <w:rPr>
          <w:sz w:val="32"/>
        </w:rPr>
      </w:pPr>
    </w:p>
    <w:p>
      <w:pPr>
        <w:pStyle w:val="BodyText"/>
        <w:spacing w:line="321" w:lineRule="auto" w:before="1"/>
        <w:ind w:left="277" w:right="531"/>
      </w:pPr>
      <w:r>
        <w:rPr/>
        <w:t>A47 On 16 September, the release of the smaller-than-expected PSBR for August and the unexpectedly low US CPI figure had led to falls of 10-15 basis points in futures rates, with larger falls in longer-dated futures. On 17 September, the strong UK labour market and retail sales data caused futures rates to rise modestly.</w:t>
      </w:r>
    </w:p>
    <w:p>
      <w:pPr>
        <w:pStyle w:val="BodyText"/>
        <w:rPr>
          <w:sz w:val="32"/>
        </w:rPr>
      </w:pPr>
    </w:p>
    <w:p>
      <w:pPr>
        <w:pStyle w:val="BodyText"/>
        <w:spacing w:line="321" w:lineRule="auto"/>
        <w:ind w:left="277" w:right="338"/>
      </w:pPr>
      <w:r>
        <w:rPr/>
        <w:t>A48 The </w:t>
      </w:r>
      <w:r>
        <w:rPr>
          <w:i/>
        </w:rPr>
        <w:t>Financial Times </w:t>
      </w:r>
      <w:r>
        <w:rPr/>
        <w:t>article on 26 September led to heavy falls in futures rates for 1999 and 2000, though there was little change in the March 1998 rate. These developments were likely to have reflected an increased probability attached to the prospect of UK and German interest rates converging.</w:t>
      </w:r>
    </w:p>
    <w:p>
      <w:pPr>
        <w:pStyle w:val="BodyText"/>
        <w:spacing w:before="1"/>
        <w:rPr>
          <w:sz w:val="32"/>
        </w:rPr>
      </w:pPr>
    </w:p>
    <w:p>
      <w:pPr>
        <w:pStyle w:val="BodyText"/>
        <w:spacing w:line="321" w:lineRule="auto"/>
        <w:ind w:left="277" w:right="132"/>
        <w:rPr>
          <w:i/>
        </w:rPr>
      </w:pPr>
      <w:r>
        <w:rPr/>
        <w:t>A49 The implied two-week repo rate for two weeks forward was very close to where it had been a month ago, and there was no real market expectation that the Bank’s repo rate would be increased in October. This reflected the market reaction to the pause in monetary policy mentioned in the August </w:t>
      </w:r>
      <w:r>
        <w:rPr>
          <w:i/>
        </w:rPr>
        <w:t>Inflation Report</w:t>
      </w:r>
      <w:r>
        <w:rPr/>
        <w:t>, and the belief that US and German interest rates were ‘on hold’. Rates implied for November were about 1/8% above their current level: a substantial probability was attached to a rise in November, reflecting strong recent UK data, the upside risks mentioned in the August </w:t>
      </w:r>
      <w:r>
        <w:rPr>
          <w:i/>
        </w:rPr>
        <w:t>Inflation</w:t>
      </w:r>
    </w:p>
    <w:p>
      <w:pPr>
        <w:spacing w:after="0" w:line="321" w:lineRule="auto"/>
        <w:sectPr>
          <w:pgSz w:w="11900" w:h="16840"/>
          <w:pgMar w:header="719" w:footer="0" w:top="1260" w:bottom="280" w:left="860" w:right="880"/>
        </w:sectPr>
      </w:pPr>
    </w:p>
    <w:p>
      <w:pPr>
        <w:spacing w:line="321" w:lineRule="auto" w:before="183"/>
        <w:ind w:left="277" w:right="338" w:firstLine="0"/>
        <w:jc w:val="left"/>
        <w:rPr>
          <w:sz w:val="24"/>
        </w:rPr>
      </w:pPr>
      <w:r>
        <w:rPr>
          <w:i/>
          <w:sz w:val="24"/>
        </w:rPr>
        <w:t>Report</w:t>
      </w:r>
      <w:r>
        <w:rPr>
          <w:sz w:val="24"/>
        </w:rPr>
        <w:t>, and the belief that a new </w:t>
      </w:r>
      <w:r>
        <w:rPr>
          <w:i/>
          <w:sz w:val="24"/>
        </w:rPr>
        <w:t>Inflation Report </w:t>
      </w:r>
      <w:r>
        <w:rPr>
          <w:sz w:val="24"/>
        </w:rPr>
        <w:t>could provide an opportunity to raise interest rates.</w:t>
      </w:r>
    </w:p>
    <w:p>
      <w:pPr>
        <w:pStyle w:val="BodyText"/>
        <w:spacing w:before="1"/>
        <w:rPr>
          <w:sz w:val="32"/>
        </w:rPr>
      </w:pPr>
    </w:p>
    <w:p>
      <w:pPr>
        <w:pStyle w:val="BodyText"/>
        <w:spacing w:line="321" w:lineRule="auto"/>
        <w:ind w:left="277" w:right="352"/>
      </w:pPr>
      <w:r>
        <w:rPr/>
        <w:t>A50 In the gilt market, yields had fallen at all maturities during the last month, particularly in the five-ten year area. The main change had come after the </w:t>
      </w:r>
      <w:r>
        <w:rPr>
          <w:i/>
        </w:rPr>
        <w:t>Financial Times </w:t>
      </w:r>
      <w:r>
        <w:rPr/>
        <w:t>article. It was curious that though implied future nominal short-term interest rates had generally fallen, at long maturities of</w:t>
      </w:r>
    </w:p>
    <w:p>
      <w:pPr>
        <w:pStyle w:val="BodyText"/>
        <w:spacing w:line="321" w:lineRule="auto"/>
        <w:ind w:left="277" w:right="271"/>
      </w:pPr>
      <w:r>
        <w:rPr/>
        <w:t>20 </w:t>
      </w:r>
      <w:r>
        <w:rPr>
          <w:spacing w:val="-3"/>
        </w:rPr>
        <w:t>years </w:t>
      </w:r>
      <w:r>
        <w:rPr/>
        <w:t>or so </w:t>
      </w:r>
      <w:r>
        <w:rPr>
          <w:spacing w:val="-3"/>
        </w:rPr>
        <w:t>they </w:t>
      </w:r>
      <w:r>
        <w:rPr/>
        <w:t>had </w:t>
      </w:r>
      <w:r>
        <w:rPr>
          <w:spacing w:val="-3"/>
        </w:rPr>
        <w:t>risen, this pattern </w:t>
      </w:r>
      <w:r>
        <w:rPr/>
        <w:t>was </w:t>
      </w:r>
      <w:r>
        <w:rPr>
          <w:spacing w:val="-3"/>
        </w:rPr>
        <w:t>also seen </w:t>
      </w:r>
      <w:r>
        <w:rPr/>
        <w:t>in </w:t>
      </w:r>
      <w:r>
        <w:rPr>
          <w:spacing w:val="-3"/>
        </w:rPr>
        <w:t>implied inflationary expectations. </w:t>
      </w:r>
      <w:r>
        <w:rPr/>
        <w:t>A </w:t>
      </w:r>
      <w:r>
        <w:rPr>
          <w:spacing w:val="-3"/>
        </w:rPr>
        <w:t>possible technical explanation </w:t>
      </w:r>
      <w:r>
        <w:rPr/>
        <w:t>was </w:t>
      </w:r>
      <w:r>
        <w:rPr>
          <w:spacing w:val="-3"/>
        </w:rPr>
        <w:t>that yield curve movements </w:t>
      </w:r>
      <w:r>
        <w:rPr/>
        <w:t>had </w:t>
      </w:r>
      <w:r>
        <w:rPr>
          <w:spacing w:val="-3"/>
        </w:rPr>
        <w:t>been temporarily distorted </w:t>
      </w:r>
      <w:r>
        <w:rPr/>
        <w:t>by </w:t>
      </w:r>
      <w:r>
        <w:rPr>
          <w:spacing w:val="-3"/>
        </w:rPr>
        <w:t>the </w:t>
      </w:r>
      <w:r>
        <w:rPr/>
        <w:t>need of the gilt-edged market-makers to adjust the positions they had taken in the auction held earlier that week, after the appearance of the </w:t>
      </w:r>
      <w:r>
        <w:rPr>
          <w:i/>
        </w:rPr>
        <w:t>Financial Times </w:t>
      </w:r>
      <w:r>
        <w:rPr/>
        <w:t>article. If this had been the case, </w:t>
      </w:r>
      <w:r>
        <w:rPr>
          <w:spacing w:val="-2"/>
        </w:rPr>
        <w:t>the </w:t>
      </w:r>
      <w:r>
        <w:rPr/>
        <w:t>surprising</w:t>
      </w:r>
      <w:r>
        <w:rPr>
          <w:spacing w:val="-10"/>
        </w:rPr>
        <w:t> </w:t>
      </w:r>
      <w:r>
        <w:rPr/>
        <w:t>pattern</w:t>
      </w:r>
      <w:r>
        <w:rPr>
          <w:spacing w:val="-10"/>
        </w:rPr>
        <w:t> </w:t>
      </w:r>
      <w:r>
        <w:rPr/>
        <w:t>of</w:t>
      </w:r>
      <w:r>
        <w:rPr>
          <w:spacing w:val="-9"/>
        </w:rPr>
        <w:t> </w:t>
      </w:r>
      <w:r>
        <w:rPr/>
        <w:t>forward</w:t>
      </w:r>
      <w:r>
        <w:rPr>
          <w:spacing w:val="-10"/>
        </w:rPr>
        <w:t> </w:t>
      </w:r>
      <w:r>
        <w:rPr/>
        <w:t>yields</w:t>
      </w:r>
      <w:r>
        <w:rPr>
          <w:spacing w:val="-10"/>
        </w:rPr>
        <w:t> </w:t>
      </w:r>
      <w:r>
        <w:rPr/>
        <w:t>might</w:t>
      </w:r>
      <w:r>
        <w:rPr>
          <w:spacing w:val="-9"/>
        </w:rPr>
        <w:t> </w:t>
      </w:r>
      <w:r>
        <w:rPr/>
        <w:t>prove</w:t>
      </w:r>
      <w:r>
        <w:rPr>
          <w:spacing w:val="-10"/>
        </w:rPr>
        <w:t> </w:t>
      </w:r>
      <w:r>
        <w:rPr/>
        <w:t>temporary.</w:t>
      </w:r>
      <w:r>
        <w:rPr>
          <w:spacing w:val="43"/>
        </w:rPr>
        <w:t> </w:t>
      </w:r>
      <w:r>
        <w:rPr/>
        <w:t>There</w:t>
      </w:r>
      <w:r>
        <w:rPr>
          <w:spacing w:val="-9"/>
        </w:rPr>
        <w:t> </w:t>
      </w:r>
      <w:r>
        <w:rPr/>
        <w:t>had</w:t>
      </w:r>
      <w:r>
        <w:rPr>
          <w:spacing w:val="-10"/>
        </w:rPr>
        <w:t> </w:t>
      </w:r>
      <w:r>
        <w:rPr/>
        <w:t>indeed</w:t>
      </w:r>
      <w:r>
        <w:rPr>
          <w:spacing w:val="-10"/>
        </w:rPr>
        <w:t> </w:t>
      </w:r>
      <w:r>
        <w:rPr/>
        <w:t>been</w:t>
      </w:r>
      <w:r>
        <w:rPr>
          <w:spacing w:val="-9"/>
        </w:rPr>
        <w:t> </w:t>
      </w:r>
      <w:r>
        <w:rPr/>
        <w:t>some</w:t>
      </w:r>
      <w:r>
        <w:rPr>
          <w:spacing w:val="-10"/>
        </w:rPr>
        <w:t> </w:t>
      </w:r>
      <w:r>
        <w:rPr/>
        <w:t>adjustment the </w:t>
      </w:r>
      <w:r>
        <w:rPr>
          <w:spacing w:val="-3"/>
        </w:rPr>
        <w:t>following week, </w:t>
      </w:r>
      <w:r>
        <w:rPr/>
        <w:t>but it </w:t>
      </w:r>
      <w:r>
        <w:rPr>
          <w:spacing w:val="-3"/>
        </w:rPr>
        <w:t>could also have reflected official denials </w:t>
      </w:r>
      <w:r>
        <w:rPr/>
        <w:t>of the </w:t>
      </w:r>
      <w:r>
        <w:rPr>
          <w:i/>
        </w:rPr>
        <w:t>Financial Times </w:t>
      </w:r>
      <w:r>
        <w:rPr/>
        <w:t>story, as well as domestic and foreign data releases favourable to long</w:t>
      </w:r>
      <w:r>
        <w:rPr>
          <w:spacing w:val="-13"/>
        </w:rPr>
        <w:t> </w:t>
      </w:r>
      <w:r>
        <w:rPr>
          <w:spacing w:val="-2"/>
        </w:rPr>
        <w:t>gilts.</w:t>
      </w:r>
    </w:p>
    <w:p>
      <w:pPr>
        <w:pStyle w:val="BodyText"/>
        <w:spacing w:before="11"/>
        <w:rPr>
          <w:sz w:val="31"/>
        </w:rPr>
      </w:pPr>
    </w:p>
    <w:p>
      <w:pPr>
        <w:pStyle w:val="BodyText"/>
        <w:spacing w:line="321" w:lineRule="auto"/>
        <w:ind w:left="277" w:right="132"/>
      </w:pPr>
      <w:r>
        <w:rPr/>
        <w:t>A51 The implied volatility of gilts rose during the past month, in contrast to that of Bunds, which continued to fall. One possible explanation was that greater uncertainty over UK membership of EMU had led to greater uncertainty about future UK interest rates.</w:t>
      </w:r>
    </w:p>
    <w:p>
      <w:pPr>
        <w:pStyle w:val="BodyText"/>
        <w:spacing w:before="1"/>
        <w:rPr>
          <w:sz w:val="32"/>
        </w:rPr>
      </w:pPr>
    </w:p>
    <w:p>
      <w:pPr>
        <w:pStyle w:val="BodyText"/>
        <w:spacing w:line="321" w:lineRule="auto"/>
        <w:ind w:left="277" w:right="371"/>
      </w:pPr>
      <w:r>
        <w:rPr/>
        <w:t>A52 Equity prices rose since the September MPC meeting: the FT-SE 100 index rose from 4,905 on 10 September to 5,262 on 8 October, the FT-SE 250 index from 4,665 to 4,882 and the FT-SE</w:t>
      </w:r>
    </w:p>
    <w:p>
      <w:pPr>
        <w:pStyle w:val="BodyText"/>
        <w:spacing w:line="276" w:lineRule="exact"/>
        <w:ind w:left="277"/>
      </w:pPr>
      <w:r>
        <w:rPr/>
        <w:t>Small Cap from 2,281 to 2,380.</w:t>
      </w:r>
    </w:p>
    <w:sectPr>
      <w:pgSz w:w="11900" w:h="16840"/>
      <w:pgMar w:header="719" w:footer="0" w:top="12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59998pt;margin-top:34.94664pt;width:12pt;height:15.3pt;mso-position-horizontal-relative:page;mso-position-vertical-relative:page;z-index:-2519900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880005pt;margin-top:34.94664pt;width:18pt;height:15.3pt;mso-position-horizontal-relative:page;mso-position-vertical-relative:page;z-index:-2519889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43" w:hanging="266"/>
        <w:jc w:val="left"/>
      </w:pPr>
      <w:rPr>
        <w:rFonts w:hint="default" w:ascii="Times New Roman" w:hAnsi="Times New Roman" w:eastAsia="Times New Roman" w:cs="Times New Roman"/>
        <w:spacing w:val="-2"/>
        <w:w w:val="100"/>
        <w:sz w:val="24"/>
        <w:szCs w:val="24"/>
        <w:u w:val="single" w:color="000000"/>
      </w:rPr>
    </w:lvl>
    <w:lvl w:ilvl="1">
      <w:start w:val="0"/>
      <w:numFmt w:val="bullet"/>
      <w:lvlText w:val="•"/>
      <w:lvlJc w:val="left"/>
      <w:pPr>
        <w:ind w:left="1502" w:hanging="266"/>
      </w:pPr>
      <w:rPr>
        <w:rFonts w:hint="default"/>
      </w:rPr>
    </w:lvl>
    <w:lvl w:ilvl="2">
      <w:start w:val="0"/>
      <w:numFmt w:val="bullet"/>
      <w:lvlText w:val="•"/>
      <w:lvlJc w:val="left"/>
      <w:pPr>
        <w:ind w:left="2464" w:hanging="266"/>
      </w:pPr>
      <w:rPr>
        <w:rFonts w:hint="default"/>
      </w:rPr>
    </w:lvl>
    <w:lvl w:ilvl="3">
      <w:start w:val="0"/>
      <w:numFmt w:val="bullet"/>
      <w:lvlText w:val="•"/>
      <w:lvlJc w:val="left"/>
      <w:pPr>
        <w:ind w:left="3426" w:hanging="266"/>
      </w:pPr>
      <w:rPr>
        <w:rFonts w:hint="default"/>
      </w:rPr>
    </w:lvl>
    <w:lvl w:ilvl="4">
      <w:start w:val="0"/>
      <w:numFmt w:val="bullet"/>
      <w:lvlText w:val="•"/>
      <w:lvlJc w:val="left"/>
      <w:pPr>
        <w:ind w:left="4388" w:hanging="266"/>
      </w:pPr>
      <w:rPr>
        <w:rFonts w:hint="default"/>
      </w:rPr>
    </w:lvl>
    <w:lvl w:ilvl="5">
      <w:start w:val="0"/>
      <w:numFmt w:val="bullet"/>
      <w:lvlText w:val="•"/>
      <w:lvlJc w:val="left"/>
      <w:pPr>
        <w:ind w:left="5350" w:hanging="266"/>
      </w:pPr>
      <w:rPr>
        <w:rFonts w:hint="default"/>
      </w:rPr>
    </w:lvl>
    <w:lvl w:ilvl="6">
      <w:start w:val="0"/>
      <w:numFmt w:val="bullet"/>
      <w:lvlText w:val="•"/>
      <w:lvlJc w:val="left"/>
      <w:pPr>
        <w:ind w:left="6312" w:hanging="266"/>
      </w:pPr>
      <w:rPr>
        <w:rFonts w:hint="default"/>
      </w:rPr>
    </w:lvl>
    <w:lvl w:ilvl="7">
      <w:start w:val="0"/>
      <w:numFmt w:val="bullet"/>
      <w:lvlText w:val="•"/>
      <w:lvlJc w:val="left"/>
      <w:pPr>
        <w:ind w:left="7274" w:hanging="266"/>
      </w:pPr>
      <w:rPr>
        <w:rFonts w:hint="default"/>
      </w:rPr>
    </w:lvl>
    <w:lvl w:ilvl="8">
      <w:start w:val="0"/>
      <w:numFmt w:val="bullet"/>
      <w:lvlText w:val="•"/>
      <w:lvlJc w:val="left"/>
      <w:pPr>
        <w:ind w:left="8236" w:hanging="266"/>
      </w:pPr>
      <w:rPr>
        <w:rFonts w:hint="default"/>
      </w:rPr>
    </w:lvl>
  </w:abstractNum>
  <w:abstractNum w:abstractNumId="0">
    <w:multiLevelType w:val="hybridMultilevel"/>
    <w:lvl w:ilvl="0">
      <w:start w:val="1"/>
      <w:numFmt w:val="decimal"/>
      <w:lvlText w:val="%1"/>
      <w:lvlJc w:val="left"/>
      <w:pPr>
        <w:ind w:left="277" w:hanging="306"/>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268" w:hanging="306"/>
      </w:pPr>
      <w:rPr>
        <w:rFonts w:hint="default"/>
      </w:rPr>
    </w:lvl>
    <w:lvl w:ilvl="2">
      <w:start w:val="0"/>
      <w:numFmt w:val="bullet"/>
      <w:lvlText w:val="•"/>
      <w:lvlJc w:val="left"/>
      <w:pPr>
        <w:ind w:left="2256" w:hanging="306"/>
      </w:pPr>
      <w:rPr>
        <w:rFonts w:hint="default"/>
      </w:rPr>
    </w:lvl>
    <w:lvl w:ilvl="3">
      <w:start w:val="0"/>
      <w:numFmt w:val="bullet"/>
      <w:lvlText w:val="•"/>
      <w:lvlJc w:val="left"/>
      <w:pPr>
        <w:ind w:left="3244" w:hanging="306"/>
      </w:pPr>
      <w:rPr>
        <w:rFonts w:hint="default"/>
      </w:rPr>
    </w:lvl>
    <w:lvl w:ilvl="4">
      <w:start w:val="0"/>
      <w:numFmt w:val="bullet"/>
      <w:lvlText w:val="•"/>
      <w:lvlJc w:val="left"/>
      <w:pPr>
        <w:ind w:left="4232" w:hanging="306"/>
      </w:pPr>
      <w:rPr>
        <w:rFonts w:hint="default"/>
      </w:rPr>
    </w:lvl>
    <w:lvl w:ilvl="5">
      <w:start w:val="0"/>
      <w:numFmt w:val="bullet"/>
      <w:lvlText w:val="•"/>
      <w:lvlJc w:val="left"/>
      <w:pPr>
        <w:ind w:left="5220" w:hanging="306"/>
      </w:pPr>
      <w:rPr>
        <w:rFonts w:hint="default"/>
      </w:rPr>
    </w:lvl>
    <w:lvl w:ilvl="6">
      <w:start w:val="0"/>
      <w:numFmt w:val="bullet"/>
      <w:lvlText w:val="•"/>
      <w:lvlJc w:val="left"/>
      <w:pPr>
        <w:ind w:left="6208" w:hanging="306"/>
      </w:pPr>
      <w:rPr>
        <w:rFonts w:hint="default"/>
      </w:rPr>
    </w:lvl>
    <w:lvl w:ilvl="7">
      <w:start w:val="0"/>
      <w:numFmt w:val="bullet"/>
      <w:lvlText w:val="•"/>
      <w:lvlJc w:val="left"/>
      <w:pPr>
        <w:ind w:left="7196" w:hanging="306"/>
      </w:pPr>
      <w:rPr>
        <w:rFonts w:hint="default"/>
      </w:rPr>
    </w:lvl>
    <w:lvl w:ilvl="8">
      <w:start w:val="0"/>
      <w:numFmt w:val="bullet"/>
      <w:lvlText w:val="•"/>
      <w:lvlJc w:val="left"/>
      <w:pPr>
        <w:ind w:left="8184" w:hanging="30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Barker</dc:creator>
  <dc:title>12NOV.PDF</dc:title>
  <dcterms:created xsi:type="dcterms:W3CDTF">2020-06-02T20:54:11Z</dcterms:created>
  <dcterms:modified xsi:type="dcterms:W3CDTF">2020-06-02T20:54:11Z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