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23 November 2005</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605" w:right="2487" w:firstLine="0"/>
        <w:jc w:val="center"/>
        <w:rPr>
          <w:rFonts w:ascii="Book Antiqua"/>
          <w:b/>
          <w:sz w:val="48"/>
        </w:rPr>
      </w:pPr>
      <w:r>
        <w:rPr>
          <w:rFonts w:ascii="Book Antiqua"/>
          <w:b/>
          <w:sz w:val="48"/>
        </w:rPr>
        <w:t>9 and 10 November 2005</w:t>
      </w:r>
    </w:p>
    <w:p>
      <w:pPr>
        <w:pStyle w:val="BodyText"/>
        <w:spacing w:before="2"/>
        <w:rPr>
          <w:rFonts w:ascii="Book Antiqua"/>
          <w:b/>
          <w:sz w:val="17"/>
        </w:rPr>
      </w:pPr>
      <w:r>
        <w:rPr/>
        <w:pict>
          <v:group style="position:absolute;margin-left:49.02pt;margin-top:12.321094pt;width:495pt;height:4.5pt;mso-position-horizontal-relative:page;mso-position-vertical-relative:paragraph;z-index:-251657216;mso-wrap-distance-left:0;mso-wrap-distance-right:0" coordorigin="980,246" coordsize="9900,90">
            <v:line style="position:absolute" from="980,255" to="10880,255" stroked="true" strokeweight=".9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9 and 10 November 2005.</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http://www.bankofengland.co.uk/publications/minutes/mpc/pdf/2005/mpc0511.pdf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7 and 8 December will be published on</w:t>
      </w:r>
    </w:p>
    <w:p>
      <w:pPr>
        <w:spacing w:before="1"/>
        <w:ind w:left="119" w:right="0" w:firstLine="0"/>
        <w:jc w:val="left"/>
        <w:rPr>
          <w:rFonts w:ascii="Book Antiqua"/>
          <w:sz w:val="26"/>
        </w:rPr>
      </w:pPr>
      <w:r>
        <w:rPr>
          <w:rFonts w:ascii="Book Antiqua"/>
          <w:sz w:val="26"/>
        </w:rPr>
        <w:t>21 December 2005.</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12"/>
        </w:rPr>
      </w:pPr>
      <w:r>
        <w:rPr/>
        <w:drawing>
          <wp:anchor distT="0" distB="0" distL="0" distR="0" allowOverlap="1" layoutInCell="1" locked="0" behindDoc="0" simplePos="0" relativeHeight="2">
            <wp:simplePos x="0" y="0"/>
            <wp:positionH relativeFrom="page">
              <wp:posOffset>5581650</wp:posOffset>
            </wp:positionH>
            <wp:positionV relativeFrom="paragraph">
              <wp:posOffset>119717</wp:posOffset>
            </wp:positionV>
            <wp:extent cx="1428126"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6" cy="1422177"/>
                    </a:xfrm>
                    <a:prstGeom prst="rect">
                      <a:avLst/>
                    </a:prstGeom>
                  </pic:spPr>
                </pic:pic>
              </a:graphicData>
            </a:graphic>
          </wp:anchor>
        </w:drawing>
      </w:r>
    </w:p>
    <w:p>
      <w:pPr>
        <w:spacing w:after="0"/>
        <w:rPr>
          <w:rFonts w:ascii="Book Antiqua"/>
          <w:sz w:val="12"/>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spacing w:before="10"/>
        <w:rPr>
          <w:rFonts w:ascii="Book Antiqua"/>
          <w:sz w:val="25"/>
        </w:rPr>
      </w:pPr>
    </w:p>
    <w:p>
      <w:pPr>
        <w:spacing w:line="249" w:lineRule="auto" w:before="94"/>
        <w:ind w:left="367" w:right="544" w:firstLine="0"/>
        <w:jc w:val="left"/>
        <w:rPr>
          <w:b/>
          <w:sz w:val="27"/>
        </w:rPr>
      </w:pPr>
      <w:r>
        <w:rPr>
          <w:b/>
          <w:sz w:val="27"/>
        </w:rPr>
        <w:t>MINUTES OF THE MONETARY POLICY COMMITTEE MEETING HELD ON 9-10 NOVEMBER 2005</w:t>
      </w:r>
    </w:p>
    <w:p>
      <w:pPr>
        <w:pStyle w:val="BodyText"/>
        <w:rPr>
          <w:b/>
          <w:sz w:val="30"/>
        </w:rPr>
      </w:pPr>
    </w:p>
    <w:p>
      <w:pPr>
        <w:pStyle w:val="ListParagraph"/>
        <w:numPr>
          <w:ilvl w:val="0"/>
          <w:numId w:val="1"/>
        </w:numPr>
        <w:tabs>
          <w:tab w:pos="931" w:val="left" w:leader="none"/>
          <w:tab w:pos="932" w:val="left" w:leader="none"/>
        </w:tabs>
        <w:spacing w:line="360" w:lineRule="auto" w:before="201" w:after="0"/>
        <w:ind w:left="367" w:right="361" w:firstLine="0"/>
        <w:jc w:val="left"/>
        <w:rPr>
          <w:sz w:val="24"/>
        </w:rPr>
      </w:pPr>
      <w:r>
        <w:rPr>
          <w:sz w:val="24"/>
        </w:rPr>
        <w:t>Before turning to its immediate policy decision, and against the background of its latest projections for output and inflation, the Committee discussed developments in financial markets;</w:t>
      </w:r>
      <w:r>
        <w:rPr>
          <w:spacing w:val="11"/>
          <w:sz w:val="24"/>
        </w:rPr>
        <w:t> </w:t>
      </w:r>
      <w:r>
        <w:rPr>
          <w:spacing w:val="-2"/>
          <w:sz w:val="24"/>
        </w:rPr>
        <w:t>the </w:t>
      </w:r>
      <w:r>
        <w:rPr>
          <w:sz w:val="24"/>
        </w:rPr>
        <w:t>international economy; money, </w:t>
      </w:r>
      <w:r>
        <w:rPr>
          <w:spacing w:val="-3"/>
          <w:sz w:val="24"/>
        </w:rPr>
        <w:t>credit, </w:t>
      </w:r>
      <w:r>
        <w:rPr>
          <w:sz w:val="24"/>
        </w:rPr>
        <w:t>demand and output; </w:t>
      </w:r>
      <w:r>
        <w:rPr>
          <w:spacing w:val="-6"/>
          <w:sz w:val="24"/>
        </w:rPr>
        <w:t>and </w:t>
      </w:r>
      <w:r>
        <w:rPr>
          <w:sz w:val="24"/>
        </w:rPr>
        <w:t>costs </w:t>
      </w:r>
      <w:r>
        <w:rPr>
          <w:spacing w:val="-3"/>
          <w:sz w:val="24"/>
        </w:rPr>
        <w:t>and</w:t>
      </w:r>
      <w:r>
        <w:rPr>
          <w:spacing w:val="21"/>
          <w:sz w:val="24"/>
        </w:rPr>
        <w:t> </w:t>
      </w:r>
      <w:r>
        <w:rPr>
          <w:sz w:val="24"/>
        </w:rPr>
        <w:t>prices.</w:t>
      </w:r>
    </w:p>
    <w:p>
      <w:pPr>
        <w:pStyle w:val="BodyText"/>
        <w:rPr>
          <w:sz w:val="36"/>
        </w:rPr>
      </w:pPr>
    </w:p>
    <w:p>
      <w:pPr>
        <w:pStyle w:val="Heading1"/>
      </w:pPr>
      <w:r>
        <w:rPr/>
        <w:t>Financial markets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181" w:firstLine="0"/>
        <w:jc w:val="left"/>
        <w:rPr>
          <w:sz w:val="24"/>
        </w:rPr>
      </w:pPr>
      <w:r>
        <w:rPr>
          <w:spacing w:val="-3"/>
          <w:sz w:val="24"/>
        </w:rPr>
        <w:t>There </w:t>
      </w:r>
      <w:r>
        <w:rPr>
          <w:sz w:val="24"/>
        </w:rPr>
        <w:t>had </w:t>
      </w:r>
      <w:r>
        <w:rPr>
          <w:spacing w:val="-3"/>
          <w:sz w:val="24"/>
        </w:rPr>
        <w:t>been </w:t>
      </w:r>
      <w:r>
        <w:rPr>
          <w:sz w:val="24"/>
        </w:rPr>
        <w:t>a significant upward movement in short-term market interest rate </w:t>
      </w:r>
      <w:r>
        <w:rPr>
          <w:spacing w:val="-2"/>
          <w:sz w:val="24"/>
        </w:rPr>
        <w:t>expectations </w:t>
      </w:r>
      <w:r>
        <w:rPr>
          <w:sz w:val="24"/>
        </w:rPr>
        <w:t>over the past </w:t>
      </w:r>
      <w:r>
        <w:rPr>
          <w:spacing w:val="-3"/>
          <w:sz w:val="24"/>
        </w:rPr>
        <w:t>month, </w:t>
      </w:r>
      <w:r>
        <w:rPr>
          <w:sz w:val="24"/>
        </w:rPr>
        <w:t>both in the United Kingdom and internationally. Official interest rates were now expected</w:t>
      </w:r>
      <w:r>
        <w:rPr>
          <w:spacing w:val="-2"/>
          <w:sz w:val="24"/>
        </w:rPr>
        <w:t> </w:t>
      </w:r>
      <w:r>
        <w:rPr>
          <w:sz w:val="24"/>
        </w:rPr>
        <w:t>to</w:t>
      </w:r>
      <w:r>
        <w:rPr>
          <w:spacing w:val="-1"/>
          <w:sz w:val="24"/>
        </w:rPr>
        <w:t> </w:t>
      </w:r>
      <w:r>
        <w:rPr>
          <w:sz w:val="24"/>
        </w:rPr>
        <w:t>rise</w:t>
      </w:r>
      <w:r>
        <w:rPr>
          <w:spacing w:val="-2"/>
          <w:sz w:val="24"/>
        </w:rPr>
        <w:t> </w:t>
      </w:r>
      <w:r>
        <w:rPr>
          <w:sz w:val="24"/>
        </w:rPr>
        <w:t>to</w:t>
      </w:r>
      <w:r>
        <w:rPr>
          <w:spacing w:val="-1"/>
          <w:sz w:val="24"/>
        </w:rPr>
        <w:t> </w:t>
      </w:r>
      <w:r>
        <w:rPr>
          <w:sz w:val="24"/>
        </w:rPr>
        <w:t>4.75%</w:t>
      </w:r>
      <w:r>
        <w:rPr>
          <w:spacing w:val="-3"/>
          <w:sz w:val="24"/>
        </w:rPr>
        <w:t> </w:t>
      </w:r>
      <w:r>
        <w:rPr>
          <w:sz w:val="24"/>
        </w:rPr>
        <w:t>or</w:t>
      </w:r>
      <w:r>
        <w:rPr>
          <w:spacing w:val="-2"/>
          <w:sz w:val="24"/>
        </w:rPr>
        <w:t> </w:t>
      </w:r>
      <w:r>
        <w:rPr>
          <w:sz w:val="24"/>
        </w:rPr>
        <w:t>above</w:t>
      </w:r>
      <w:r>
        <w:rPr>
          <w:spacing w:val="-3"/>
          <w:sz w:val="24"/>
        </w:rPr>
        <w:t> </w:t>
      </w:r>
      <w:r>
        <w:rPr>
          <w:sz w:val="24"/>
        </w:rPr>
        <w:t>in</w:t>
      </w:r>
      <w:r>
        <w:rPr>
          <w:spacing w:val="-2"/>
          <w:sz w:val="24"/>
        </w:rPr>
        <w:t> </w:t>
      </w:r>
      <w:r>
        <w:rPr>
          <w:sz w:val="24"/>
        </w:rPr>
        <w:t>the</w:t>
      </w:r>
      <w:r>
        <w:rPr>
          <w:spacing w:val="-2"/>
          <w:sz w:val="24"/>
        </w:rPr>
        <w:t> </w:t>
      </w:r>
      <w:r>
        <w:rPr>
          <w:sz w:val="24"/>
        </w:rPr>
        <w:t>United</w:t>
      </w:r>
      <w:r>
        <w:rPr>
          <w:spacing w:val="-3"/>
          <w:sz w:val="24"/>
        </w:rPr>
        <w:t> </w:t>
      </w:r>
      <w:r>
        <w:rPr>
          <w:sz w:val="24"/>
        </w:rPr>
        <w:t>States</w:t>
      </w:r>
      <w:r>
        <w:rPr>
          <w:spacing w:val="-2"/>
          <w:sz w:val="24"/>
        </w:rPr>
        <w:t> </w:t>
      </w:r>
      <w:r>
        <w:rPr>
          <w:sz w:val="24"/>
        </w:rPr>
        <w:t>by</w:t>
      </w:r>
      <w:r>
        <w:rPr>
          <w:spacing w:val="-4"/>
          <w:sz w:val="24"/>
        </w:rPr>
        <w:t> </w:t>
      </w:r>
      <w:r>
        <w:rPr>
          <w:sz w:val="24"/>
        </w:rPr>
        <w:t>around</w:t>
      </w:r>
      <w:r>
        <w:rPr>
          <w:spacing w:val="-3"/>
          <w:sz w:val="24"/>
        </w:rPr>
        <w:t> </w:t>
      </w:r>
      <w:r>
        <w:rPr>
          <w:sz w:val="24"/>
        </w:rPr>
        <w:t>the</w:t>
      </w:r>
      <w:r>
        <w:rPr>
          <w:spacing w:val="-3"/>
          <w:sz w:val="24"/>
        </w:rPr>
        <w:t> </w:t>
      </w:r>
      <w:r>
        <w:rPr>
          <w:sz w:val="24"/>
        </w:rPr>
        <w:t>middle</w:t>
      </w:r>
      <w:r>
        <w:rPr>
          <w:spacing w:val="-4"/>
          <w:sz w:val="24"/>
        </w:rPr>
        <w:t> </w:t>
      </w:r>
      <w:r>
        <w:rPr>
          <w:sz w:val="24"/>
        </w:rPr>
        <w:t>of</w:t>
      </w:r>
      <w:r>
        <w:rPr>
          <w:spacing w:val="-3"/>
          <w:sz w:val="24"/>
        </w:rPr>
        <w:t> </w:t>
      </w:r>
      <w:r>
        <w:rPr>
          <w:sz w:val="24"/>
        </w:rPr>
        <w:t>2006,</w:t>
      </w:r>
      <w:r>
        <w:rPr>
          <w:spacing w:val="-3"/>
          <w:sz w:val="24"/>
        </w:rPr>
        <w:t> </w:t>
      </w:r>
      <w:r>
        <w:rPr>
          <w:sz w:val="24"/>
        </w:rPr>
        <w:t>and</w:t>
      </w:r>
      <w:r>
        <w:rPr>
          <w:spacing w:val="-4"/>
          <w:sz w:val="24"/>
        </w:rPr>
        <w:t> </w:t>
      </w:r>
      <w:r>
        <w:rPr>
          <w:sz w:val="24"/>
        </w:rPr>
        <w:t>expectations of a near-term rise in the official policy rate in the euro area had also </w:t>
      </w:r>
      <w:r>
        <w:rPr>
          <w:spacing w:val="-3"/>
          <w:sz w:val="24"/>
        </w:rPr>
        <w:t>firmed. </w:t>
      </w:r>
      <w:r>
        <w:rPr>
          <w:sz w:val="24"/>
        </w:rPr>
        <w:t>The 0.25 percentage point interest rate reduction formerly priced into the UK yield curve had all but disappeared, leaving interest rate expectations broadly flat. Nonetheless, many economists in the latest Reuters poll still expected a reduction in UK interest rates in</w:t>
      </w:r>
      <w:r>
        <w:rPr>
          <w:spacing w:val="-7"/>
          <w:sz w:val="24"/>
        </w:rPr>
        <w:t> </w:t>
      </w:r>
      <w:r>
        <w:rPr>
          <w:sz w:val="24"/>
        </w:rPr>
        <w:t>2006.</w:t>
      </w:r>
    </w:p>
    <w:p>
      <w:pPr>
        <w:pStyle w:val="BodyText"/>
        <w:rPr>
          <w:sz w:val="36"/>
        </w:rPr>
      </w:pPr>
    </w:p>
    <w:p>
      <w:pPr>
        <w:pStyle w:val="ListParagraph"/>
        <w:numPr>
          <w:ilvl w:val="0"/>
          <w:numId w:val="1"/>
        </w:numPr>
        <w:tabs>
          <w:tab w:pos="931" w:val="left" w:leader="none"/>
          <w:tab w:pos="932" w:val="left" w:leader="none"/>
        </w:tabs>
        <w:spacing w:line="360" w:lineRule="auto" w:before="1" w:after="0"/>
        <w:ind w:left="368" w:right="279" w:firstLine="0"/>
        <w:jc w:val="left"/>
        <w:rPr>
          <w:sz w:val="24"/>
        </w:rPr>
      </w:pPr>
      <w:r>
        <w:rPr>
          <w:sz w:val="24"/>
        </w:rPr>
        <w:t>It was possible that the movements in international short-term interest rates reflected </w:t>
      </w:r>
      <w:r>
        <w:rPr>
          <w:spacing w:val="-2"/>
          <w:sz w:val="24"/>
        </w:rPr>
        <w:t>the </w:t>
      </w:r>
      <w:r>
        <w:rPr>
          <w:sz w:val="24"/>
        </w:rPr>
        <w:t>response of market participants to economic news, in particular </w:t>
      </w:r>
      <w:r>
        <w:rPr>
          <w:spacing w:val="-4"/>
          <w:sz w:val="24"/>
        </w:rPr>
        <w:t>the </w:t>
      </w:r>
      <w:r>
        <w:rPr>
          <w:sz w:val="24"/>
        </w:rPr>
        <w:t>increases in inflation stemming from higher oil prices. However, the </w:t>
      </w:r>
      <w:r>
        <w:rPr>
          <w:spacing w:val="-3"/>
          <w:sz w:val="24"/>
        </w:rPr>
        <w:t>movement </w:t>
      </w:r>
      <w:r>
        <w:rPr>
          <w:sz w:val="24"/>
        </w:rPr>
        <w:t>in interest rate expectations might also </w:t>
      </w:r>
      <w:r>
        <w:rPr>
          <w:spacing w:val="-3"/>
          <w:sz w:val="24"/>
        </w:rPr>
        <w:t>have </w:t>
      </w:r>
      <w:r>
        <w:rPr>
          <w:sz w:val="24"/>
        </w:rPr>
        <w:t>reflected reactions to public comments by monetary policy makers around the world. These </w:t>
      </w:r>
      <w:r>
        <w:rPr>
          <w:spacing w:val="-3"/>
          <w:sz w:val="24"/>
        </w:rPr>
        <w:t>comments </w:t>
      </w:r>
      <w:r>
        <w:rPr>
          <w:spacing w:val="-6"/>
          <w:sz w:val="24"/>
        </w:rPr>
        <w:t>may </w:t>
      </w:r>
      <w:r>
        <w:rPr>
          <w:sz w:val="24"/>
        </w:rPr>
        <w:t>have led to a change in perceptions about the likely response of central banks to higher energy prices, with perhaps a greater emphasis on the risks of second-round effects. At the long end of the yield curve, UK real interest rates had fallen to the lowest recorded level since </w:t>
      </w:r>
      <w:r>
        <w:rPr>
          <w:spacing w:val="-3"/>
          <w:sz w:val="24"/>
        </w:rPr>
        <w:t>index-linked </w:t>
      </w:r>
      <w:r>
        <w:rPr>
          <w:sz w:val="24"/>
        </w:rPr>
        <w:t>gilts were first issued in the early</w:t>
      </w:r>
      <w:r>
        <w:rPr>
          <w:spacing w:val="-5"/>
          <w:sz w:val="24"/>
        </w:rPr>
        <w:t> </w:t>
      </w:r>
      <w:r>
        <w:rPr>
          <w:sz w:val="24"/>
        </w:rPr>
        <w:t>1980s.</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8" w:right="296" w:firstLine="0"/>
        <w:jc w:val="left"/>
        <w:rPr>
          <w:sz w:val="24"/>
        </w:rPr>
      </w:pPr>
      <w:r>
        <w:rPr>
          <w:sz w:val="24"/>
        </w:rPr>
        <w:t>The sterling effective exchange rate index (ERI) had been broadly unchanged on the month, leaving it 1½% higher than at </w:t>
      </w:r>
      <w:r>
        <w:rPr>
          <w:spacing w:val="-5"/>
          <w:sz w:val="24"/>
        </w:rPr>
        <w:t>the </w:t>
      </w:r>
      <w:r>
        <w:rPr>
          <w:sz w:val="24"/>
        </w:rPr>
        <w:t>time of the August </w:t>
      </w:r>
      <w:r>
        <w:rPr>
          <w:i/>
          <w:sz w:val="24"/>
        </w:rPr>
        <w:t>Inflation Report</w:t>
      </w:r>
      <w:r>
        <w:rPr>
          <w:sz w:val="24"/>
        </w:rPr>
        <w:t>. </w:t>
      </w:r>
      <w:r>
        <w:rPr>
          <w:spacing w:val="-3"/>
          <w:sz w:val="24"/>
        </w:rPr>
        <w:t>The most </w:t>
      </w:r>
      <w:r>
        <w:rPr>
          <w:sz w:val="24"/>
        </w:rPr>
        <w:t>notable development in foreign exchange markets </w:t>
      </w:r>
      <w:r>
        <w:rPr>
          <w:spacing w:val="-3"/>
          <w:sz w:val="24"/>
        </w:rPr>
        <w:t>had </w:t>
      </w:r>
      <w:r>
        <w:rPr>
          <w:sz w:val="24"/>
        </w:rPr>
        <w:t>continued to be the strength of the dollar, which had appreciated by around 7% since the start of the year despite the continued focus by financial markets on the </w:t>
      </w:r>
      <w:r>
        <w:rPr>
          <w:spacing w:val="-3"/>
          <w:sz w:val="24"/>
        </w:rPr>
        <w:t>US </w:t>
      </w:r>
      <w:r>
        <w:rPr>
          <w:sz w:val="24"/>
        </w:rPr>
        <w:t>current account</w:t>
      </w:r>
      <w:r>
        <w:rPr>
          <w:spacing w:val="-3"/>
          <w:sz w:val="24"/>
        </w:rPr>
        <w:t> </w:t>
      </w:r>
      <w:r>
        <w:rPr>
          <w:sz w:val="24"/>
        </w:rPr>
        <w:t>deficit.</w:t>
      </w:r>
    </w:p>
    <w:p>
      <w:pPr>
        <w:spacing w:after="0" w:line="360" w:lineRule="auto"/>
        <w:jc w:val="left"/>
        <w:rPr>
          <w:sz w:val="24"/>
        </w:rPr>
        <w:sectPr>
          <w:pgSz w:w="11900" w:h="16840"/>
          <w:pgMar w:top="160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0" w:lineRule="auto" w:before="90" w:after="0"/>
        <w:ind w:left="367" w:right="637" w:firstLine="0"/>
        <w:jc w:val="left"/>
        <w:rPr>
          <w:sz w:val="24"/>
        </w:rPr>
      </w:pPr>
      <w:r>
        <w:rPr>
          <w:sz w:val="24"/>
        </w:rPr>
        <w:t>United Kingdom equity prices had fallen in the first part of the month before subsequently recovering to end the month marginally higher. The recovery had been accompanied by a spate of actual and rumoured </w:t>
      </w:r>
      <w:r>
        <w:rPr>
          <w:spacing w:val="-4"/>
          <w:sz w:val="24"/>
        </w:rPr>
        <w:t>mergers </w:t>
      </w:r>
      <w:r>
        <w:rPr>
          <w:sz w:val="24"/>
        </w:rPr>
        <w:t>and acquisitions activity. In the United States, equity prices had underperformed relative to other advanced economies over the </w:t>
      </w:r>
      <w:r>
        <w:rPr>
          <w:spacing w:val="-3"/>
          <w:sz w:val="24"/>
        </w:rPr>
        <w:t>past year, </w:t>
      </w:r>
      <w:r>
        <w:rPr>
          <w:spacing w:val="3"/>
          <w:sz w:val="24"/>
        </w:rPr>
        <w:t>which </w:t>
      </w:r>
      <w:r>
        <w:rPr>
          <w:sz w:val="24"/>
        </w:rPr>
        <w:t>seemed surprising given the continued robust performance of the US</w:t>
      </w:r>
      <w:r>
        <w:rPr>
          <w:spacing w:val="19"/>
          <w:sz w:val="24"/>
        </w:rPr>
        <w:t> </w:t>
      </w:r>
      <w:r>
        <w:rPr>
          <w:sz w:val="24"/>
        </w:rPr>
        <w:t>economy.</w:t>
      </w:r>
    </w:p>
    <w:p>
      <w:pPr>
        <w:pStyle w:val="BodyText"/>
        <w:rPr>
          <w:sz w:val="36"/>
        </w:rPr>
      </w:pPr>
    </w:p>
    <w:p>
      <w:pPr>
        <w:pStyle w:val="Heading1"/>
      </w:pPr>
      <w:r>
        <w:rPr/>
        <w:t>The international economy</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185" w:firstLine="0"/>
        <w:jc w:val="left"/>
        <w:rPr>
          <w:sz w:val="24"/>
        </w:rPr>
      </w:pPr>
      <w:r>
        <w:rPr>
          <w:sz w:val="24"/>
        </w:rPr>
        <w:t>In the </w:t>
      </w:r>
      <w:r>
        <w:rPr>
          <w:spacing w:val="2"/>
          <w:sz w:val="24"/>
        </w:rPr>
        <w:t>euro </w:t>
      </w:r>
      <w:r>
        <w:rPr>
          <w:sz w:val="24"/>
        </w:rPr>
        <w:t>area, </w:t>
      </w:r>
      <w:r>
        <w:rPr>
          <w:spacing w:val="-3"/>
          <w:sz w:val="24"/>
        </w:rPr>
        <w:t>GDP </w:t>
      </w:r>
      <w:r>
        <w:rPr>
          <w:spacing w:val="-4"/>
          <w:sz w:val="24"/>
        </w:rPr>
        <w:t>growth </w:t>
      </w:r>
      <w:r>
        <w:rPr>
          <w:sz w:val="24"/>
        </w:rPr>
        <w:t>had been unrevised at 0.3% in 2005 Q2. </w:t>
      </w:r>
      <w:r>
        <w:rPr>
          <w:spacing w:val="-3"/>
          <w:sz w:val="24"/>
        </w:rPr>
        <w:t>Within that, </w:t>
      </w:r>
      <w:r>
        <w:rPr>
          <w:sz w:val="24"/>
        </w:rPr>
        <w:t>domestic </w:t>
      </w:r>
      <w:r>
        <w:rPr>
          <w:spacing w:val="-3"/>
          <w:sz w:val="24"/>
        </w:rPr>
        <w:t>demand </w:t>
      </w:r>
      <w:r>
        <w:rPr>
          <w:sz w:val="24"/>
        </w:rPr>
        <w:t>had been revised </w:t>
      </w:r>
      <w:r>
        <w:rPr>
          <w:spacing w:val="2"/>
          <w:sz w:val="24"/>
        </w:rPr>
        <w:t>upwards </w:t>
      </w:r>
      <w:r>
        <w:rPr>
          <w:spacing w:val="-3"/>
          <w:sz w:val="24"/>
        </w:rPr>
        <w:t>and </w:t>
      </w:r>
      <w:r>
        <w:rPr>
          <w:sz w:val="24"/>
        </w:rPr>
        <w:t>the contribution from net trade revised downwards. This provided further evidence that a modest recovery in domestic demand might be underway. Overall, euro-area activity </w:t>
      </w:r>
      <w:r>
        <w:rPr>
          <w:spacing w:val="-3"/>
          <w:sz w:val="24"/>
        </w:rPr>
        <w:t>had </w:t>
      </w:r>
      <w:r>
        <w:rPr>
          <w:sz w:val="24"/>
        </w:rPr>
        <w:t>evolved much as expected at the time of the August </w:t>
      </w:r>
      <w:r>
        <w:rPr>
          <w:i/>
          <w:sz w:val="24"/>
        </w:rPr>
        <w:t>Inflation Report</w:t>
      </w:r>
      <w:r>
        <w:rPr>
          <w:sz w:val="24"/>
        </w:rPr>
        <w:t>. </w:t>
      </w:r>
      <w:r>
        <w:rPr>
          <w:spacing w:val="-5"/>
          <w:sz w:val="24"/>
        </w:rPr>
        <w:t>The </w:t>
      </w:r>
      <w:r>
        <w:rPr>
          <w:sz w:val="24"/>
        </w:rPr>
        <w:t>purchasing</w:t>
      </w:r>
      <w:r>
        <w:rPr>
          <w:spacing w:val="3"/>
          <w:sz w:val="24"/>
        </w:rPr>
        <w:t> </w:t>
      </w:r>
      <w:r>
        <w:rPr>
          <w:sz w:val="24"/>
        </w:rPr>
        <w:t>managers’</w:t>
      </w:r>
      <w:r>
        <w:rPr>
          <w:spacing w:val="-2"/>
          <w:sz w:val="24"/>
        </w:rPr>
        <w:t> </w:t>
      </w:r>
      <w:r>
        <w:rPr>
          <w:sz w:val="24"/>
        </w:rPr>
        <w:t>indices</w:t>
      </w:r>
      <w:r>
        <w:rPr>
          <w:spacing w:val="-5"/>
          <w:sz w:val="24"/>
        </w:rPr>
        <w:t> </w:t>
      </w:r>
      <w:r>
        <w:rPr>
          <w:sz w:val="24"/>
        </w:rPr>
        <w:t>pointed</w:t>
      </w:r>
      <w:r>
        <w:rPr>
          <w:spacing w:val="-8"/>
          <w:sz w:val="24"/>
        </w:rPr>
        <w:t> </w:t>
      </w:r>
      <w:r>
        <w:rPr>
          <w:sz w:val="24"/>
        </w:rPr>
        <w:t>to</w:t>
      </w:r>
      <w:r>
        <w:rPr>
          <w:spacing w:val="-7"/>
          <w:sz w:val="24"/>
        </w:rPr>
        <w:t> </w:t>
      </w:r>
      <w:r>
        <w:rPr>
          <w:sz w:val="24"/>
        </w:rPr>
        <w:t>a</w:t>
      </w:r>
      <w:r>
        <w:rPr>
          <w:spacing w:val="2"/>
          <w:sz w:val="24"/>
        </w:rPr>
        <w:t> </w:t>
      </w:r>
      <w:r>
        <w:rPr>
          <w:sz w:val="24"/>
        </w:rPr>
        <w:t>gradual</w:t>
      </w:r>
      <w:r>
        <w:rPr>
          <w:spacing w:val="-10"/>
          <w:sz w:val="24"/>
        </w:rPr>
        <w:t> </w:t>
      </w:r>
      <w:r>
        <w:rPr>
          <w:sz w:val="24"/>
        </w:rPr>
        <w:t>strengthening</w:t>
      </w:r>
      <w:r>
        <w:rPr>
          <w:spacing w:val="-11"/>
          <w:sz w:val="24"/>
        </w:rPr>
        <w:t> </w:t>
      </w:r>
      <w:r>
        <w:rPr>
          <w:sz w:val="24"/>
        </w:rPr>
        <w:t>in</w:t>
      </w:r>
      <w:r>
        <w:rPr>
          <w:spacing w:val="11"/>
          <w:sz w:val="24"/>
        </w:rPr>
        <w:t> </w:t>
      </w:r>
      <w:r>
        <w:rPr>
          <w:spacing w:val="-3"/>
          <w:sz w:val="24"/>
        </w:rPr>
        <w:t>GDP</w:t>
      </w:r>
      <w:r>
        <w:rPr>
          <w:spacing w:val="1"/>
          <w:sz w:val="24"/>
        </w:rPr>
        <w:t> </w:t>
      </w:r>
      <w:r>
        <w:rPr>
          <w:sz w:val="24"/>
        </w:rPr>
        <w:t>growth</w:t>
      </w:r>
      <w:r>
        <w:rPr>
          <w:spacing w:val="-8"/>
          <w:sz w:val="24"/>
        </w:rPr>
        <w:t> </w:t>
      </w:r>
      <w:r>
        <w:rPr>
          <w:sz w:val="24"/>
        </w:rPr>
        <w:t>during</w:t>
      </w:r>
      <w:r>
        <w:rPr>
          <w:spacing w:val="-5"/>
          <w:sz w:val="24"/>
        </w:rPr>
        <w:t> </w:t>
      </w:r>
      <w:r>
        <w:rPr>
          <w:sz w:val="24"/>
        </w:rPr>
        <w:t>the</w:t>
      </w:r>
      <w:r>
        <w:rPr>
          <w:spacing w:val="-5"/>
          <w:sz w:val="24"/>
        </w:rPr>
        <w:t> </w:t>
      </w:r>
      <w:r>
        <w:rPr>
          <w:sz w:val="24"/>
        </w:rPr>
        <w:t>second</w:t>
      </w:r>
      <w:r>
        <w:rPr>
          <w:spacing w:val="-5"/>
          <w:sz w:val="24"/>
        </w:rPr>
        <w:t> </w:t>
      </w:r>
      <w:r>
        <w:rPr>
          <w:sz w:val="24"/>
        </w:rPr>
        <w:t>half of the</w:t>
      </w:r>
      <w:r>
        <w:rPr>
          <w:spacing w:val="7"/>
          <w:sz w:val="24"/>
        </w:rPr>
        <w:t> </w:t>
      </w:r>
      <w:r>
        <w:rPr>
          <w:sz w:val="24"/>
        </w:rPr>
        <w:t>year.</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8" w:right="194" w:firstLine="0"/>
        <w:jc w:val="left"/>
        <w:rPr>
          <w:sz w:val="24"/>
        </w:rPr>
      </w:pPr>
      <w:r>
        <w:rPr>
          <w:sz w:val="24"/>
        </w:rPr>
        <w:t>The advance estimate of Q3 </w:t>
      </w:r>
      <w:r>
        <w:rPr>
          <w:spacing w:val="-3"/>
          <w:sz w:val="24"/>
        </w:rPr>
        <w:t>GDP </w:t>
      </w:r>
      <w:r>
        <w:rPr>
          <w:sz w:val="24"/>
        </w:rPr>
        <w:t>growth in the United States had been 0.9%. This was slightly stronger than growth in Q2, despite the negative output effects from Hurricane Katrina. The latest surveys suggested output growth of broadly the same rate in </w:t>
      </w:r>
      <w:r>
        <w:rPr>
          <w:spacing w:val="-3"/>
          <w:sz w:val="24"/>
        </w:rPr>
        <w:t>Q4. </w:t>
      </w:r>
      <w:r>
        <w:rPr>
          <w:sz w:val="24"/>
        </w:rPr>
        <w:t>However, some of the household sector data had been a little softer, possibly linked to the rise in petrol prices at the </w:t>
      </w:r>
      <w:r>
        <w:rPr>
          <w:spacing w:val="-3"/>
          <w:sz w:val="24"/>
        </w:rPr>
        <w:t>time </w:t>
      </w:r>
      <w:r>
        <w:rPr>
          <w:sz w:val="24"/>
        </w:rPr>
        <w:t>of </w:t>
      </w:r>
      <w:r>
        <w:rPr>
          <w:spacing w:val="-3"/>
          <w:sz w:val="24"/>
        </w:rPr>
        <w:t>the </w:t>
      </w:r>
      <w:r>
        <w:rPr>
          <w:sz w:val="24"/>
        </w:rPr>
        <w:t>hurricanes. Given that petrol prices had subsequently fallen back to pre-hurricane levels, the weakness of consumption might prove</w:t>
      </w:r>
      <w:r>
        <w:rPr>
          <w:spacing w:val="7"/>
          <w:sz w:val="24"/>
        </w:rPr>
        <w:t> </w:t>
      </w:r>
      <w:r>
        <w:rPr>
          <w:spacing w:val="-3"/>
          <w:sz w:val="24"/>
        </w:rPr>
        <w:t>temporary.</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8" w:right="195" w:firstLine="0"/>
        <w:jc w:val="left"/>
        <w:rPr>
          <w:sz w:val="24"/>
        </w:rPr>
      </w:pPr>
      <w:r>
        <w:rPr>
          <w:sz w:val="24"/>
        </w:rPr>
        <w:t>The annual rate of Chinese GDP growth </w:t>
      </w:r>
      <w:r>
        <w:rPr>
          <w:spacing w:val="-3"/>
          <w:sz w:val="24"/>
        </w:rPr>
        <w:t>had </w:t>
      </w:r>
      <w:r>
        <w:rPr>
          <w:sz w:val="24"/>
        </w:rPr>
        <w:t>remained </w:t>
      </w:r>
      <w:r>
        <w:rPr>
          <w:spacing w:val="-4"/>
          <w:sz w:val="24"/>
        </w:rPr>
        <w:t>strong </w:t>
      </w:r>
      <w:r>
        <w:rPr>
          <w:sz w:val="24"/>
        </w:rPr>
        <w:t>and stable at just below 9½% </w:t>
      </w:r>
      <w:r>
        <w:rPr>
          <w:spacing w:val="-4"/>
          <w:sz w:val="24"/>
        </w:rPr>
        <w:t>in </w:t>
      </w:r>
      <w:r>
        <w:rPr>
          <w:sz w:val="24"/>
        </w:rPr>
        <w:t>Q3. However, some other indicators of activity </w:t>
      </w:r>
      <w:r>
        <w:rPr>
          <w:spacing w:val="-3"/>
          <w:sz w:val="24"/>
        </w:rPr>
        <w:t>had </w:t>
      </w:r>
      <w:r>
        <w:rPr>
          <w:sz w:val="24"/>
        </w:rPr>
        <w:t>suggested that </w:t>
      </w:r>
      <w:r>
        <w:rPr>
          <w:spacing w:val="-5"/>
          <w:sz w:val="24"/>
        </w:rPr>
        <w:t>growth </w:t>
      </w:r>
      <w:r>
        <w:rPr>
          <w:sz w:val="24"/>
        </w:rPr>
        <w:t>may have slowed </w:t>
      </w:r>
      <w:r>
        <w:rPr>
          <w:spacing w:val="-3"/>
          <w:sz w:val="24"/>
        </w:rPr>
        <w:t>through </w:t>
      </w:r>
      <w:r>
        <w:rPr>
          <w:sz w:val="24"/>
        </w:rPr>
        <w:t>2004 and </w:t>
      </w:r>
      <w:r>
        <w:rPr>
          <w:spacing w:val="-3"/>
          <w:sz w:val="24"/>
        </w:rPr>
        <w:t>then </w:t>
      </w:r>
      <w:r>
        <w:rPr>
          <w:sz w:val="24"/>
        </w:rPr>
        <w:t>picked </w:t>
      </w:r>
      <w:r>
        <w:rPr>
          <w:spacing w:val="-6"/>
          <w:sz w:val="24"/>
        </w:rPr>
        <w:t>up </w:t>
      </w:r>
      <w:r>
        <w:rPr>
          <w:sz w:val="24"/>
        </w:rPr>
        <w:t>in 2005. There had been little news in the latest Japanese activity data, where indicators had been consistent with the anticipated slowing of growth from the rapid pace in the first half of the</w:t>
      </w:r>
      <w:r>
        <w:rPr>
          <w:spacing w:val="5"/>
          <w:sz w:val="24"/>
        </w:rPr>
        <w:t> </w:t>
      </w:r>
      <w:r>
        <w:rPr>
          <w:sz w:val="24"/>
        </w:rPr>
        <w:t>year.</w:t>
      </w:r>
    </w:p>
    <w:p>
      <w:pPr>
        <w:pStyle w:val="BodyText"/>
        <w:rPr>
          <w:sz w:val="36"/>
        </w:rPr>
      </w:pPr>
    </w:p>
    <w:p>
      <w:pPr>
        <w:pStyle w:val="ListParagraph"/>
        <w:numPr>
          <w:ilvl w:val="0"/>
          <w:numId w:val="1"/>
        </w:numPr>
        <w:tabs>
          <w:tab w:pos="931" w:val="left" w:leader="none"/>
          <w:tab w:pos="932" w:val="left" w:leader="none"/>
        </w:tabs>
        <w:spacing w:line="362" w:lineRule="auto" w:before="0" w:after="0"/>
        <w:ind w:left="368" w:right="327" w:firstLine="0"/>
        <w:jc w:val="left"/>
        <w:rPr>
          <w:sz w:val="24"/>
        </w:rPr>
      </w:pPr>
      <w:r>
        <w:rPr>
          <w:sz w:val="24"/>
        </w:rPr>
        <w:t>The oil price had fallen back a little over the past month, possibly reflecting lower than </w:t>
      </w:r>
      <w:r>
        <w:rPr>
          <w:spacing w:val="-2"/>
          <w:sz w:val="24"/>
        </w:rPr>
        <w:t>normal </w:t>
      </w:r>
      <w:r>
        <w:rPr>
          <w:sz w:val="24"/>
        </w:rPr>
        <w:t>oil usage because of </w:t>
      </w:r>
      <w:r>
        <w:rPr>
          <w:spacing w:val="-3"/>
          <w:sz w:val="24"/>
        </w:rPr>
        <w:t>unusually </w:t>
      </w:r>
      <w:r>
        <w:rPr>
          <w:sz w:val="24"/>
        </w:rPr>
        <w:t>warm conditions in the United States. But conditions in the oil market seemed set to remain tight in the near </w:t>
      </w:r>
      <w:r>
        <w:rPr>
          <w:spacing w:val="-8"/>
          <w:sz w:val="24"/>
        </w:rPr>
        <w:t>term, </w:t>
      </w:r>
      <w:r>
        <w:rPr>
          <w:sz w:val="24"/>
        </w:rPr>
        <w:t>with demand likely to remain high relative to supply capacity.</w:t>
      </w:r>
    </w:p>
    <w:p>
      <w:pPr>
        <w:spacing w:after="0" w:line="362" w:lineRule="auto"/>
        <w:jc w:val="left"/>
        <w:rPr>
          <w:sz w:val="24"/>
        </w:rPr>
        <w:sectPr>
          <w:headerReference w:type="default" r:id="rId7"/>
          <w:pgSz w:w="11900" w:h="16840"/>
          <w:pgMar w:header="1134" w:footer="0" w:top="1380" w:bottom="280" w:left="760" w:right="700"/>
          <w:pgNumType w:start="2"/>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0" w:lineRule="auto" w:before="90" w:after="0"/>
        <w:ind w:left="368" w:right="278" w:firstLine="0"/>
        <w:jc w:val="left"/>
        <w:rPr>
          <w:sz w:val="24"/>
        </w:rPr>
      </w:pPr>
      <w:r>
        <w:rPr>
          <w:sz w:val="24"/>
        </w:rPr>
        <w:t>In the United States, consumer and producer price inflation </w:t>
      </w:r>
      <w:r>
        <w:rPr>
          <w:spacing w:val="-3"/>
          <w:sz w:val="24"/>
        </w:rPr>
        <w:t>had </w:t>
      </w:r>
      <w:r>
        <w:rPr>
          <w:sz w:val="24"/>
        </w:rPr>
        <w:t>both increased in September, although measures which excluded energy and food had remained broadly stable. Nominal wage growth </w:t>
      </w:r>
      <w:r>
        <w:rPr>
          <w:spacing w:val="-3"/>
          <w:sz w:val="24"/>
        </w:rPr>
        <w:t>had </w:t>
      </w:r>
      <w:r>
        <w:rPr>
          <w:sz w:val="24"/>
        </w:rPr>
        <w:t>shown some signs of picking up over the past year, which might be consistent with some second-round effects from the energy price increases, or it could reflect a normal cyclical response to above-trend GDP growth and a tightening of the labour market. In financial markets, there had been little upward movement in medium to </w:t>
      </w:r>
      <w:r>
        <w:rPr>
          <w:spacing w:val="-3"/>
          <w:sz w:val="24"/>
        </w:rPr>
        <w:t>long-term </w:t>
      </w:r>
      <w:r>
        <w:rPr>
          <w:sz w:val="24"/>
        </w:rPr>
        <w:t>US inflation expectations. In the euro area, producer price inflation and the harmonised measure of consumer price inflation had also increased</w:t>
      </w:r>
      <w:r>
        <w:rPr>
          <w:spacing w:val="-42"/>
          <w:sz w:val="24"/>
        </w:rPr>
        <w:t> </w:t>
      </w:r>
      <w:r>
        <w:rPr>
          <w:sz w:val="24"/>
        </w:rPr>
        <w:t>recently.</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245" w:firstLine="0"/>
        <w:jc w:val="left"/>
        <w:rPr>
          <w:sz w:val="24"/>
        </w:rPr>
      </w:pPr>
      <w:r>
        <w:rPr>
          <w:sz w:val="24"/>
        </w:rPr>
        <w:t>The Committee discussed whether the greater flexibility of the US economy suggested that an increase in wages in response to the energy price rises was less likely than in the euro area. However, the relative cyclical position of the two economic areas suggested that a dislodging of inflation expectations was perhaps more likely in the United States than in the euro area. So far, the responses of activity and inflation in the United States and euro area to the doubling of oil prices had been very different from previous episodes. That </w:t>
      </w:r>
      <w:r>
        <w:rPr>
          <w:spacing w:val="-4"/>
          <w:sz w:val="24"/>
        </w:rPr>
        <w:t>might </w:t>
      </w:r>
      <w:r>
        <w:rPr>
          <w:sz w:val="24"/>
        </w:rPr>
        <w:t>reflect the different causes of the oil price increase; </w:t>
      </w:r>
      <w:r>
        <w:rPr>
          <w:spacing w:val="-6"/>
          <w:sz w:val="24"/>
        </w:rPr>
        <w:t>the </w:t>
      </w:r>
      <w:r>
        <w:rPr>
          <w:sz w:val="24"/>
        </w:rPr>
        <w:t>trend decline seen in the oil intensity of production; and perceptions </w:t>
      </w:r>
      <w:r>
        <w:rPr>
          <w:spacing w:val="-4"/>
          <w:sz w:val="24"/>
        </w:rPr>
        <w:t>that </w:t>
      </w:r>
      <w:r>
        <w:rPr>
          <w:sz w:val="24"/>
        </w:rPr>
        <w:t>monetary policy frameworks were more directly focused on keeping inflation low and stable than </w:t>
      </w:r>
      <w:r>
        <w:rPr>
          <w:spacing w:val="2"/>
          <w:sz w:val="24"/>
        </w:rPr>
        <w:t>they </w:t>
      </w:r>
      <w:r>
        <w:rPr>
          <w:sz w:val="24"/>
        </w:rPr>
        <w:t>were in previous</w:t>
      </w:r>
      <w:r>
        <w:rPr>
          <w:spacing w:val="-18"/>
          <w:sz w:val="24"/>
        </w:rPr>
        <w:t> </w:t>
      </w:r>
      <w:r>
        <w:rPr>
          <w:sz w:val="24"/>
        </w:rPr>
        <w:t>decades.</w:t>
      </w:r>
    </w:p>
    <w:p>
      <w:pPr>
        <w:pStyle w:val="BodyText"/>
        <w:spacing w:before="6"/>
        <w:rPr>
          <w:sz w:val="36"/>
        </w:rPr>
      </w:pPr>
    </w:p>
    <w:p>
      <w:pPr>
        <w:pStyle w:val="Heading1"/>
        <w:ind w:left="368"/>
      </w:pPr>
      <w:r>
        <w:rPr/>
        <w:t>Money, credit, demand and output</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57" w:lineRule="auto" w:before="0" w:after="0"/>
        <w:ind w:left="368" w:right="206" w:firstLine="0"/>
        <w:jc w:val="left"/>
        <w:rPr>
          <w:sz w:val="24"/>
        </w:rPr>
      </w:pPr>
      <w:r>
        <w:rPr>
          <w:sz w:val="24"/>
        </w:rPr>
        <w:t>There were contrasting signals from the monetary data. The annual growth rate of aggregate M4 had risen, by 1.2 percentage points, to 11.2% in September. The annual growth rate of aggregate </w:t>
      </w:r>
      <w:r>
        <w:rPr>
          <w:spacing w:val="-5"/>
          <w:sz w:val="24"/>
        </w:rPr>
        <w:t>M4 </w:t>
      </w:r>
      <w:r>
        <w:rPr>
          <w:sz w:val="24"/>
        </w:rPr>
        <w:t>lending (excluding the effects of securitisations) had also risen, to 11.5% in September from 11.4% in August.</w:t>
      </w:r>
      <w:r>
        <w:rPr>
          <w:spacing w:val="5"/>
          <w:sz w:val="24"/>
        </w:rPr>
        <w:t> </w:t>
      </w:r>
      <w:r>
        <w:rPr>
          <w:sz w:val="24"/>
        </w:rPr>
        <w:t>But the twelve-month growth rate of notes and coin, adjusted for special factors, had eased by</w:t>
      </w:r>
    </w:p>
    <w:p>
      <w:pPr>
        <w:pStyle w:val="BodyText"/>
        <w:spacing w:before="12"/>
        <w:ind w:left="368"/>
      </w:pPr>
      <w:r>
        <w:rPr/>
        <w:t>0.2 percentage points, to 3.6% in October.</w:t>
      </w:r>
    </w:p>
    <w:p>
      <w:pPr>
        <w:pStyle w:val="BodyText"/>
        <w:rPr>
          <w:sz w:val="26"/>
        </w:rPr>
      </w:pPr>
    </w:p>
    <w:p>
      <w:pPr>
        <w:pStyle w:val="BodyText"/>
        <w:rPr>
          <w:sz w:val="22"/>
        </w:rPr>
      </w:pPr>
    </w:p>
    <w:p>
      <w:pPr>
        <w:pStyle w:val="ListParagraph"/>
        <w:numPr>
          <w:ilvl w:val="0"/>
          <w:numId w:val="1"/>
        </w:numPr>
        <w:tabs>
          <w:tab w:pos="931" w:val="left" w:leader="none"/>
          <w:tab w:pos="932" w:val="left" w:leader="none"/>
        </w:tabs>
        <w:spacing w:line="360" w:lineRule="auto" w:before="0" w:after="0"/>
        <w:ind w:left="367" w:right="198" w:firstLine="0"/>
        <w:jc w:val="left"/>
        <w:rPr>
          <w:sz w:val="24"/>
        </w:rPr>
      </w:pPr>
      <w:r>
        <w:rPr>
          <w:sz w:val="24"/>
        </w:rPr>
        <w:t>The preliminary estimate for GDP growth in the United Kingdom was 0.4% in </w:t>
      </w:r>
      <w:r>
        <w:rPr>
          <w:spacing w:val="-3"/>
          <w:sz w:val="24"/>
        </w:rPr>
        <w:t>Q3. </w:t>
      </w:r>
      <w:r>
        <w:rPr>
          <w:sz w:val="24"/>
        </w:rPr>
        <w:t>This </w:t>
      </w:r>
      <w:r>
        <w:rPr>
          <w:spacing w:val="-4"/>
          <w:sz w:val="24"/>
        </w:rPr>
        <w:t>had </w:t>
      </w:r>
      <w:r>
        <w:rPr>
          <w:sz w:val="24"/>
        </w:rPr>
        <w:t>been a little weaker than expected at the time of the August </w:t>
      </w:r>
      <w:r>
        <w:rPr>
          <w:i/>
          <w:sz w:val="24"/>
        </w:rPr>
        <w:t>Inflation Report</w:t>
      </w:r>
      <w:r>
        <w:rPr>
          <w:sz w:val="24"/>
        </w:rPr>
        <w:t>. Looking through </w:t>
      </w:r>
      <w:r>
        <w:rPr>
          <w:spacing w:val="-2"/>
          <w:sz w:val="24"/>
        </w:rPr>
        <w:t>the </w:t>
      </w:r>
      <w:r>
        <w:rPr>
          <w:sz w:val="24"/>
        </w:rPr>
        <w:t>short-term volatility in </w:t>
      </w:r>
      <w:r>
        <w:rPr>
          <w:spacing w:val="-3"/>
          <w:sz w:val="24"/>
        </w:rPr>
        <w:t>UK </w:t>
      </w:r>
      <w:r>
        <w:rPr>
          <w:sz w:val="24"/>
        </w:rPr>
        <w:t>energy output, non-oil GDP growth seemed likely to have </w:t>
      </w:r>
      <w:r>
        <w:rPr>
          <w:spacing w:val="-3"/>
          <w:sz w:val="24"/>
        </w:rPr>
        <w:t>been </w:t>
      </w:r>
      <w:r>
        <w:rPr>
          <w:sz w:val="24"/>
        </w:rPr>
        <w:t>around 0.5- 0.6% in </w:t>
      </w:r>
      <w:r>
        <w:rPr>
          <w:spacing w:val="-3"/>
          <w:sz w:val="24"/>
        </w:rPr>
        <w:t>Q3. </w:t>
      </w:r>
      <w:r>
        <w:rPr>
          <w:sz w:val="24"/>
        </w:rPr>
        <w:t>The latest indicators </w:t>
      </w:r>
      <w:r>
        <w:rPr>
          <w:spacing w:val="-3"/>
          <w:sz w:val="24"/>
        </w:rPr>
        <w:t>had </w:t>
      </w:r>
      <w:r>
        <w:rPr>
          <w:sz w:val="24"/>
        </w:rPr>
        <w:t>seemed consistent with stronger growth in the second half of the year than in the</w:t>
      </w:r>
      <w:r>
        <w:rPr>
          <w:spacing w:val="3"/>
          <w:sz w:val="24"/>
        </w:rPr>
        <w:t> </w:t>
      </w:r>
      <w:r>
        <w:rPr>
          <w:spacing w:val="-2"/>
          <w:sz w:val="24"/>
        </w:rPr>
        <w:t>first.</w:t>
      </w:r>
    </w:p>
    <w:p>
      <w:pPr>
        <w:pStyle w:val="BodyText"/>
        <w:rPr>
          <w:sz w:val="36"/>
        </w:rPr>
      </w:pPr>
    </w:p>
    <w:p>
      <w:pPr>
        <w:pStyle w:val="ListParagraph"/>
        <w:numPr>
          <w:ilvl w:val="0"/>
          <w:numId w:val="1"/>
        </w:numPr>
        <w:tabs>
          <w:tab w:pos="931" w:val="left" w:leader="none"/>
          <w:tab w:pos="932" w:val="left" w:leader="none"/>
        </w:tabs>
        <w:spacing w:line="355" w:lineRule="auto" w:before="0" w:after="0"/>
        <w:ind w:left="367" w:right="308" w:firstLine="0"/>
        <w:jc w:val="left"/>
        <w:rPr>
          <w:sz w:val="24"/>
        </w:rPr>
      </w:pPr>
      <w:r>
        <w:rPr>
          <w:sz w:val="24"/>
        </w:rPr>
        <w:t>Differences remained between </w:t>
      </w:r>
      <w:r>
        <w:rPr>
          <w:spacing w:val="2"/>
          <w:sz w:val="24"/>
        </w:rPr>
        <w:t>official </w:t>
      </w:r>
      <w:r>
        <w:rPr>
          <w:sz w:val="24"/>
        </w:rPr>
        <w:t>figures on output growth and other gauges of economic activity. In particular, </w:t>
      </w:r>
      <w:r>
        <w:rPr>
          <w:spacing w:val="-3"/>
          <w:sz w:val="24"/>
        </w:rPr>
        <w:t>most </w:t>
      </w:r>
      <w:r>
        <w:rPr>
          <w:sz w:val="24"/>
        </w:rPr>
        <w:t>service sector surveys </w:t>
      </w:r>
      <w:r>
        <w:rPr>
          <w:spacing w:val="-3"/>
          <w:sz w:val="24"/>
        </w:rPr>
        <w:t>had </w:t>
      </w:r>
      <w:r>
        <w:rPr>
          <w:sz w:val="24"/>
        </w:rPr>
        <w:t>continued to indicate somewhat firmer</w:t>
      </w:r>
      <w:r>
        <w:rPr>
          <w:spacing w:val="-42"/>
          <w:sz w:val="24"/>
        </w:rPr>
        <w:t> </w:t>
      </w:r>
      <w:r>
        <w:rPr>
          <w:sz w:val="24"/>
        </w:rPr>
        <w:t>activity</w:t>
      </w:r>
    </w:p>
    <w:p>
      <w:pPr>
        <w:spacing w:after="0" w:line="355"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0" w:lineRule="auto" w:before="90"/>
        <w:ind w:left="367" w:right="242"/>
      </w:pPr>
      <w:r>
        <w:rPr/>
        <w:t>than implied by the current estimates from the Office for National Statistics (ONS). The size of that discrepancy had not been historically large, but the degree of persistence of that discrepancy had been a little more unusual. The Chartered Institute of Purchasing and Supply (CIPS) services survey estimate had remained broadly stable for the past 18 months or so, while recorded output growth had dipped. Past experience had suggested that the official growth data might eventually be revised upwards to some degree as further information became available to the ONS. The Committee members placed some weight on all these different sources of information.</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305" w:firstLine="0"/>
        <w:jc w:val="left"/>
        <w:rPr>
          <w:sz w:val="24"/>
        </w:rPr>
      </w:pPr>
      <w:r>
        <w:rPr>
          <w:sz w:val="24"/>
        </w:rPr>
        <w:t>Manufacturing output </w:t>
      </w:r>
      <w:r>
        <w:rPr>
          <w:spacing w:val="-3"/>
          <w:sz w:val="24"/>
        </w:rPr>
        <w:t>growth </w:t>
      </w:r>
      <w:r>
        <w:rPr>
          <w:sz w:val="24"/>
        </w:rPr>
        <w:t>had increased by 0.4% in </w:t>
      </w:r>
      <w:r>
        <w:rPr>
          <w:spacing w:val="-3"/>
          <w:sz w:val="24"/>
        </w:rPr>
        <w:t>Q3. </w:t>
      </w:r>
      <w:r>
        <w:rPr>
          <w:sz w:val="24"/>
        </w:rPr>
        <w:t>The CIPS manufacturing </w:t>
      </w:r>
      <w:r>
        <w:rPr>
          <w:spacing w:val="-2"/>
          <w:sz w:val="24"/>
        </w:rPr>
        <w:t>output </w:t>
      </w:r>
      <w:r>
        <w:rPr>
          <w:sz w:val="24"/>
        </w:rPr>
        <w:t>index</w:t>
      </w:r>
      <w:r>
        <w:rPr>
          <w:spacing w:val="-5"/>
          <w:sz w:val="24"/>
        </w:rPr>
        <w:t> </w:t>
      </w:r>
      <w:r>
        <w:rPr>
          <w:sz w:val="24"/>
        </w:rPr>
        <w:t>remained</w:t>
      </w:r>
      <w:r>
        <w:rPr>
          <w:spacing w:val="-4"/>
          <w:sz w:val="24"/>
        </w:rPr>
        <w:t> </w:t>
      </w:r>
      <w:r>
        <w:rPr>
          <w:sz w:val="24"/>
        </w:rPr>
        <w:t>above</w:t>
      </w:r>
      <w:r>
        <w:rPr>
          <w:spacing w:val="-4"/>
          <w:sz w:val="24"/>
        </w:rPr>
        <w:t> </w:t>
      </w:r>
      <w:r>
        <w:rPr>
          <w:sz w:val="24"/>
        </w:rPr>
        <w:t>the</w:t>
      </w:r>
      <w:r>
        <w:rPr>
          <w:spacing w:val="-4"/>
          <w:sz w:val="24"/>
        </w:rPr>
        <w:t> </w:t>
      </w:r>
      <w:r>
        <w:rPr>
          <w:sz w:val="24"/>
        </w:rPr>
        <w:t>neutral</w:t>
      </w:r>
      <w:r>
        <w:rPr>
          <w:spacing w:val="-5"/>
          <w:sz w:val="24"/>
        </w:rPr>
        <w:t> </w:t>
      </w:r>
      <w:r>
        <w:rPr>
          <w:sz w:val="24"/>
        </w:rPr>
        <w:t>50</w:t>
      </w:r>
      <w:r>
        <w:rPr>
          <w:spacing w:val="-4"/>
          <w:sz w:val="24"/>
        </w:rPr>
        <w:t> </w:t>
      </w:r>
      <w:r>
        <w:rPr>
          <w:sz w:val="24"/>
        </w:rPr>
        <w:t>level</w:t>
      </w:r>
      <w:r>
        <w:rPr>
          <w:spacing w:val="-4"/>
          <w:sz w:val="24"/>
        </w:rPr>
        <w:t> </w:t>
      </w:r>
      <w:r>
        <w:rPr>
          <w:sz w:val="24"/>
        </w:rPr>
        <w:t>in</w:t>
      </w:r>
      <w:r>
        <w:rPr>
          <w:spacing w:val="-4"/>
          <w:sz w:val="24"/>
        </w:rPr>
        <w:t> </w:t>
      </w:r>
      <w:r>
        <w:rPr>
          <w:sz w:val="24"/>
        </w:rPr>
        <w:t>October,</w:t>
      </w:r>
      <w:r>
        <w:rPr>
          <w:spacing w:val="-4"/>
          <w:sz w:val="24"/>
        </w:rPr>
        <w:t> </w:t>
      </w:r>
      <w:r>
        <w:rPr>
          <w:sz w:val="24"/>
        </w:rPr>
        <w:t>though</w:t>
      </w:r>
      <w:r>
        <w:rPr>
          <w:spacing w:val="-3"/>
          <w:sz w:val="24"/>
        </w:rPr>
        <w:t> </w:t>
      </w:r>
      <w:r>
        <w:rPr>
          <w:sz w:val="24"/>
        </w:rPr>
        <w:t>the</w:t>
      </w:r>
      <w:r>
        <w:rPr>
          <w:spacing w:val="-3"/>
          <w:sz w:val="24"/>
        </w:rPr>
        <w:t> </w:t>
      </w:r>
      <w:r>
        <w:rPr>
          <w:sz w:val="24"/>
        </w:rPr>
        <w:t>CBI</w:t>
      </w:r>
      <w:r>
        <w:rPr>
          <w:spacing w:val="-4"/>
          <w:sz w:val="24"/>
        </w:rPr>
        <w:t> </w:t>
      </w:r>
      <w:r>
        <w:rPr>
          <w:sz w:val="24"/>
        </w:rPr>
        <w:t>and</w:t>
      </w:r>
      <w:r>
        <w:rPr>
          <w:spacing w:val="-3"/>
          <w:sz w:val="24"/>
        </w:rPr>
        <w:t> </w:t>
      </w:r>
      <w:r>
        <w:rPr>
          <w:sz w:val="24"/>
        </w:rPr>
        <w:t>BCC</w:t>
      </w:r>
      <w:r>
        <w:rPr>
          <w:spacing w:val="-4"/>
          <w:sz w:val="24"/>
        </w:rPr>
        <w:t> </w:t>
      </w:r>
      <w:r>
        <w:rPr>
          <w:sz w:val="24"/>
        </w:rPr>
        <w:t>quarterly</w:t>
      </w:r>
      <w:r>
        <w:rPr>
          <w:spacing w:val="-3"/>
          <w:sz w:val="24"/>
        </w:rPr>
        <w:t> </w:t>
      </w:r>
      <w:r>
        <w:rPr>
          <w:sz w:val="24"/>
        </w:rPr>
        <w:t>surveys</w:t>
      </w:r>
      <w:r>
        <w:rPr>
          <w:spacing w:val="-3"/>
          <w:sz w:val="24"/>
        </w:rPr>
        <w:t> </w:t>
      </w:r>
      <w:r>
        <w:rPr>
          <w:spacing w:val="-2"/>
          <w:sz w:val="24"/>
        </w:rPr>
        <w:t>had </w:t>
      </w:r>
      <w:r>
        <w:rPr>
          <w:sz w:val="24"/>
        </w:rPr>
        <w:t>both pointed to weaker orders.</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179" w:firstLine="0"/>
        <w:jc w:val="left"/>
        <w:rPr>
          <w:sz w:val="24"/>
        </w:rPr>
      </w:pPr>
      <w:r>
        <w:rPr>
          <w:sz w:val="24"/>
        </w:rPr>
        <w:t>The latest indicators of domestic </w:t>
      </w:r>
      <w:r>
        <w:rPr>
          <w:spacing w:val="-3"/>
          <w:sz w:val="24"/>
        </w:rPr>
        <w:t>demand </w:t>
      </w:r>
      <w:r>
        <w:rPr>
          <w:sz w:val="24"/>
        </w:rPr>
        <w:t>had been mixed. Retail sales had bounced back </w:t>
      </w:r>
      <w:r>
        <w:rPr>
          <w:spacing w:val="-4"/>
          <w:sz w:val="24"/>
        </w:rPr>
        <w:t>in </w:t>
      </w:r>
      <w:r>
        <w:rPr>
          <w:sz w:val="24"/>
        </w:rPr>
        <w:t>September, and the housing market </w:t>
      </w:r>
      <w:r>
        <w:rPr>
          <w:spacing w:val="-3"/>
          <w:sz w:val="24"/>
        </w:rPr>
        <w:t>had </w:t>
      </w:r>
      <w:r>
        <w:rPr>
          <w:sz w:val="24"/>
        </w:rPr>
        <w:t>continued to show some signs of a mild recovery. An average of the mortgage lenders’ house price indices had increased by 0.7% in October, following small monthly </w:t>
      </w:r>
      <w:r>
        <w:rPr>
          <w:spacing w:val="2"/>
          <w:sz w:val="24"/>
        </w:rPr>
        <w:t>rises </w:t>
      </w:r>
      <w:r>
        <w:rPr>
          <w:spacing w:val="-3"/>
          <w:sz w:val="24"/>
        </w:rPr>
        <w:t>through </w:t>
      </w:r>
      <w:r>
        <w:rPr>
          <w:sz w:val="24"/>
        </w:rPr>
        <w:t>Q3. Both house prices and the various activity indicators </w:t>
      </w:r>
      <w:r>
        <w:rPr>
          <w:spacing w:val="-3"/>
          <w:sz w:val="24"/>
        </w:rPr>
        <w:t>had </w:t>
      </w:r>
      <w:r>
        <w:rPr>
          <w:spacing w:val="3"/>
          <w:sz w:val="24"/>
        </w:rPr>
        <w:t>been </w:t>
      </w:r>
      <w:r>
        <w:rPr>
          <w:sz w:val="24"/>
        </w:rPr>
        <w:t>stronger than </w:t>
      </w:r>
      <w:r>
        <w:rPr>
          <w:spacing w:val="-3"/>
          <w:sz w:val="24"/>
        </w:rPr>
        <w:t>had </w:t>
      </w:r>
      <w:r>
        <w:rPr>
          <w:sz w:val="24"/>
        </w:rPr>
        <w:t>been expected at the time of the August </w:t>
      </w:r>
      <w:r>
        <w:rPr>
          <w:i/>
          <w:sz w:val="24"/>
        </w:rPr>
        <w:t>Inflation Report</w:t>
      </w:r>
      <w:r>
        <w:rPr>
          <w:sz w:val="24"/>
        </w:rPr>
        <w:t>. </w:t>
      </w:r>
      <w:r>
        <w:rPr>
          <w:spacing w:val="-5"/>
          <w:sz w:val="24"/>
        </w:rPr>
        <w:t>But </w:t>
      </w:r>
      <w:r>
        <w:rPr>
          <w:sz w:val="24"/>
        </w:rPr>
        <w:t>some other household sector indicators remained weak. Private car sales had fallen sharply </w:t>
      </w:r>
      <w:r>
        <w:rPr>
          <w:spacing w:val="7"/>
          <w:sz w:val="24"/>
        </w:rPr>
        <w:t>in </w:t>
      </w:r>
      <w:r>
        <w:rPr>
          <w:sz w:val="24"/>
        </w:rPr>
        <w:t>October while the GfK </w:t>
      </w:r>
      <w:r>
        <w:rPr>
          <w:spacing w:val="-3"/>
          <w:sz w:val="24"/>
        </w:rPr>
        <w:t>measure of </w:t>
      </w:r>
      <w:r>
        <w:rPr>
          <w:sz w:val="24"/>
        </w:rPr>
        <w:t>consumer confidence </w:t>
      </w:r>
      <w:r>
        <w:rPr>
          <w:spacing w:val="-3"/>
          <w:sz w:val="24"/>
        </w:rPr>
        <w:t>had </w:t>
      </w:r>
      <w:r>
        <w:rPr>
          <w:sz w:val="24"/>
        </w:rPr>
        <w:t>declined further in October. The BRC-KPMG </w:t>
      </w:r>
      <w:r>
        <w:rPr>
          <w:i/>
          <w:sz w:val="24"/>
        </w:rPr>
        <w:t>Retail Sales Monitor </w:t>
      </w:r>
      <w:r>
        <w:rPr>
          <w:spacing w:val="-3"/>
          <w:sz w:val="24"/>
        </w:rPr>
        <w:t>and </w:t>
      </w:r>
      <w:r>
        <w:rPr>
          <w:spacing w:val="-2"/>
          <w:sz w:val="24"/>
        </w:rPr>
        <w:t>the </w:t>
      </w:r>
      <w:r>
        <w:rPr>
          <w:spacing w:val="-4"/>
          <w:sz w:val="24"/>
        </w:rPr>
        <w:t>CBI </w:t>
      </w:r>
      <w:r>
        <w:rPr>
          <w:i/>
          <w:sz w:val="24"/>
        </w:rPr>
        <w:t>Distributive Trades Survey </w:t>
      </w:r>
      <w:r>
        <w:rPr>
          <w:sz w:val="24"/>
        </w:rPr>
        <w:t>had </w:t>
      </w:r>
      <w:r>
        <w:rPr>
          <w:spacing w:val="-3"/>
          <w:sz w:val="24"/>
        </w:rPr>
        <w:t>pointed </w:t>
      </w:r>
      <w:r>
        <w:rPr>
          <w:sz w:val="24"/>
        </w:rPr>
        <w:t>to a slight improvement, but remained very weak. The annual growth rate of total lending to individuals had fallen slightly in September, while the growth of households’ M4 </w:t>
      </w:r>
      <w:r>
        <w:rPr>
          <w:spacing w:val="-3"/>
          <w:sz w:val="24"/>
        </w:rPr>
        <w:t>had </w:t>
      </w:r>
      <w:r>
        <w:rPr>
          <w:spacing w:val="-4"/>
          <w:sz w:val="24"/>
        </w:rPr>
        <w:t>edged </w:t>
      </w:r>
      <w:r>
        <w:rPr>
          <w:sz w:val="24"/>
        </w:rPr>
        <w:t>upwards. Overall, there seemed little evidence of a pickup in the growth of consumption in Q3; equally there seemed little evidence that growth had</w:t>
      </w:r>
      <w:r>
        <w:rPr>
          <w:spacing w:val="-6"/>
          <w:sz w:val="24"/>
        </w:rPr>
        <w:t> </w:t>
      </w:r>
      <w:r>
        <w:rPr>
          <w:sz w:val="24"/>
        </w:rPr>
        <w:t>weakened.</w:t>
      </w:r>
    </w:p>
    <w:p>
      <w:pPr>
        <w:pStyle w:val="BodyText"/>
        <w:rPr>
          <w:sz w:val="36"/>
        </w:rPr>
      </w:pPr>
    </w:p>
    <w:p>
      <w:pPr>
        <w:pStyle w:val="ListParagraph"/>
        <w:numPr>
          <w:ilvl w:val="0"/>
          <w:numId w:val="1"/>
        </w:numPr>
        <w:tabs>
          <w:tab w:pos="931" w:val="left" w:leader="none"/>
          <w:tab w:pos="932" w:val="left" w:leader="none"/>
        </w:tabs>
        <w:spacing w:line="360" w:lineRule="auto" w:before="1" w:after="0"/>
        <w:ind w:left="367" w:right="183" w:firstLine="0"/>
        <w:jc w:val="left"/>
        <w:rPr>
          <w:sz w:val="24"/>
        </w:rPr>
      </w:pPr>
      <w:r>
        <w:rPr>
          <w:sz w:val="24"/>
        </w:rPr>
        <w:t>The </w:t>
      </w:r>
      <w:r>
        <w:rPr>
          <w:spacing w:val="-3"/>
          <w:sz w:val="24"/>
        </w:rPr>
        <w:t>monthly </w:t>
      </w:r>
      <w:r>
        <w:rPr>
          <w:sz w:val="24"/>
        </w:rPr>
        <w:t>trade in </w:t>
      </w:r>
      <w:r>
        <w:rPr>
          <w:spacing w:val="-3"/>
          <w:sz w:val="24"/>
        </w:rPr>
        <w:t>goods </w:t>
      </w:r>
      <w:r>
        <w:rPr>
          <w:sz w:val="24"/>
        </w:rPr>
        <w:t>data </w:t>
      </w:r>
      <w:r>
        <w:rPr>
          <w:spacing w:val="-3"/>
          <w:sz w:val="24"/>
        </w:rPr>
        <w:t>had </w:t>
      </w:r>
      <w:r>
        <w:rPr>
          <w:sz w:val="24"/>
        </w:rPr>
        <w:t>suggested a slightly weaker contribution to Q3 GDP </w:t>
      </w:r>
      <w:r>
        <w:rPr>
          <w:spacing w:val="-3"/>
          <w:sz w:val="24"/>
        </w:rPr>
        <w:t>growth from </w:t>
      </w:r>
      <w:r>
        <w:rPr>
          <w:sz w:val="24"/>
        </w:rPr>
        <w:t>net </w:t>
      </w:r>
      <w:r>
        <w:rPr>
          <w:spacing w:val="-3"/>
          <w:sz w:val="24"/>
        </w:rPr>
        <w:t>trade </w:t>
      </w:r>
      <w:r>
        <w:rPr>
          <w:sz w:val="24"/>
        </w:rPr>
        <w:t>than had </w:t>
      </w:r>
      <w:r>
        <w:rPr>
          <w:spacing w:val="-3"/>
          <w:sz w:val="24"/>
        </w:rPr>
        <w:t>been </w:t>
      </w:r>
      <w:r>
        <w:rPr>
          <w:sz w:val="24"/>
        </w:rPr>
        <w:t>expected a month ago. This related primarily to stronger imports. It was difficult to know whether the recent strength </w:t>
      </w:r>
      <w:r>
        <w:rPr>
          <w:spacing w:val="5"/>
          <w:sz w:val="24"/>
        </w:rPr>
        <w:t>of </w:t>
      </w:r>
      <w:r>
        <w:rPr>
          <w:sz w:val="24"/>
        </w:rPr>
        <w:t>imports reflected volatility, or was evidence of a strengthening of domestic demand and/or a further rise in import penetration. But given </w:t>
      </w:r>
      <w:r>
        <w:rPr>
          <w:spacing w:val="-2"/>
          <w:sz w:val="24"/>
        </w:rPr>
        <w:t>the </w:t>
      </w:r>
      <w:r>
        <w:rPr>
          <w:sz w:val="24"/>
        </w:rPr>
        <w:t>preliminary</w:t>
      </w:r>
      <w:r>
        <w:rPr>
          <w:spacing w:val="-5"/>
          <w:sz w:val="24"/>
        </w:rPr>
        <w:t> </w:t>
      </w:r>
      <w:r>
        <w:rPr>
          <w:sz w:val="24"/>
        </w:rPr>
        <w:t>output</w:t>
      </w:r>
      <w:r>
        <w:rPr>
          <w:spacing w:val="-4"/>
          <w:sz w:val="24"/>
        </w:rPr>
        <w:t> </w:t>
      </w:r>
      <w:r>
        <w:rPr>
          <w:sz w:val="24"/>
        </w:rPr>
        <w:t>estimate,</w:t>
      </w:r>
      <w:r>
        <w:rPr>
          <w:spacing w:val="-5"/>
          <w:sz w:val="24"/>
        </w:rPr>
        <w:t> </w:t>
      </w:r>
      <w:r>
        <w:rPr>
          <w:sz w:val="24"/>
        </w:rPr>
        <w:t>it</w:t>
      </w:r>
      <w:r>
        <w:rPr>
          <w:spacing w:val="-4"/>
          <w:sz w:val="24"/>
        </w:rPr>
        <w:t> </w:t>
      </w:r>
      <w:r>
        <w:rPr>
          <w:sz w:val="24"/>
        </w:rPr>
        <w:t>was</w:t>
      </w:r>
      <w:r>
        <w:rPr>
          <w:spacing w:val="-5"/>
          <w:sz w:val="24"/>
        </w:rPr>
        <w:t> </w:t>
      </w:r>
      <w:r>
        <w:rPr>
          <w:sz w:val="24"/>
        </w:rPr>
        <w:t>likely</w:t>
      </w:r>
      <w:r>
        <w:rPr>
          <w:spacing w:val="-4"/>
          <w:sz w:val="24"/>
        </w:rPr>
        <w:t> </w:t>
      </w:r>
      <w:r>
        <w:rPr>
          <w:sz w:val="24"/>
        </w:rPr>
        <w:t>that</w:t>
      </w:r>
      <w:r>
        <w:rPr>
          <w:spacing w:val="-4"/>
          <w:sz w:val="24"/>
        </w:rPr>
        <w:t> </w:t>
      </w:r>
      <w:r>
        <w:rPr>
          <w:sz w:val="24"/>
        </w:rPr>
        <w:t>there</w:t>
      </w:r>
      <w:r>
        <w:rPr>
          <w:spacing w:val="-5"/>
          <w:sz w:val="24"/>
        </w:rPr>
        <w:t> </w:t>
      </w:r>
      <w:r>
        <w:rPr>
          <w:sz w:val="24"/>
        </w:rPr>
        <w:t>would</w:t>
      </w:r>
      <w:r>
        <w:rPr>
          <w:spacing w:val="-4"/>
          <w:sz w:val="24"/>
        </w:rPr>
        <w:t> </w:t>
      </w:r>
      <w:r>
        <w:rPr>
          <w:sz w:val="24"/>
        </w:rPr>
        <w:t>be</w:t>
      </w:r>
      <w:r>
        <w:rPr>
          <w:spacing w:val="-5"/>
          <w:sz w:val="24"/>
        </w:rPr>
        <w:t> </w:t>
      </w:r>
      <w:r>
        <w:rPr>
          <w:sz w:val="24"/>
        </w:rPr>
        <w:t>an</w:t>
      </w:r>
      <w:r>
        <w:rPr>
          <w:spacing w:val="-4"/>
          <w:sz w:val="24"/>
        </w:rPr>
        <w:t> </w:t>
      </w:r>
      <w:r>
        <w:rPr>
          <w:sz w:val="24"/>
        </w:rPr>
        <w:t>offset</w:t>
      </w:r>
      <w:r>
        <w:rPr>
          <w:spacing w:val="-4"/>
          <w:sz w:val="24"/>
        </w:rPr>
        <w:t> </w:t>
      </w:r>
      <w:r>
        <w:rPr>
          <w:sz w:val="24"/>
        </w:rPr>
        <w:t>in</w:t>
      </w:r>
      <w:r>
        <w:rPr>
          <w:spacing w:val="-5"/>
          <w:sz w:val="24"/>
        </w:rPr>
        <w:t> </w:t>
      </w:r>
      <w:r>
        <w:rPr>
          <w:sz w:val="24"/>
        </w:rPr>
        <w:t>other</w:t>
      </w:r>
      <w:r>
        <w:rPr>
          <w:spacing w:val="-4"/>
          <w:sz w:val="24"/>
        </w:rPr>
        <w:t> </w:t>
      </w:r>
      <w:r>
        <w:rPr>
          <w:sz w:val="24"/>
        </w:rPr>
        <w:t>components</w:t>
      </w:r>
      <w:r>
        <w:rPr>
          <w:spacing w:val="-5"/>
          <w:sz w:val="24"/>
        </w:rPr>
        <w:t> </w:t>
      </w:r>
      <w:r>
        <w:rPr>
          <w:sz w:val="24"/>
        </w:rPr>
        <w:t>of</w:t>
      </w:r>
      <w:r>
        <w:rPr>
          <w:spacing w:val="-4"/>
          <w:sz w:val="24"/>
        </w:rPr>
        <w:t> </w:t>
      </w:r>
      <w:r>
        <w:rPr>
          <w:sz w:val="24"/>
        </w:rPr>
        <w:t>demand. Economic exports (which exclude ONS estimates of VAT missing trader intra-community fraud) </w:t>
      </w:r>
      <w:r>
        <w:rPr>
          <w:spacing w:val="-4"/>
          <w:sz w:val="24"/>
        </w:rPr>
        <w:t>had </w:t>
      </w:r>
      <w:r>
        <w:rPr>
          <w:sz w:val="24"/>
        </w:rPr>
        <w:t>increased quite rapidly over the first three quarters of the year, and for goods at the fastest rate for five years. The latest survey evidence on export orders and reports from the Bank’s regional Agents seemed consistent with further modest increases in</w:t>
      </w:r>
      <w:r>
        <w:rPr>
          <w:spacing w:val="12"/>
          <w:sz w:val="24"/>
        </w:rPr>
        <w:t> </w:t>
      </w:r>
      <w:r>
        <w:rPr>
          <w:spacing w:val="-3"/>
          <w:sz w:val="24"/>
        </w:rPr>
        <w:t>Q4.</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ListParagraph"/>
        <w:numPr>
          <w:ilvl w:val="0"/>
          <w:numId w:val="1"/>
        </w:numPr>
        <w:tabs>
          <w:tab w:pos="932" w:val="left" w:leader="none"/>
        </w:tabs>
        <w:spacing w:line="360" w:lineRule="auto" w:before="90" w:after="0"/>
        <w:ind w:left="368" w:right="170" w:firstLine="0"/>
        <w:jc w:val="both"/>
        <w:rPr>
          <w:sz w:val="24"/>
        </w:rPr>
      </w:pPr>
      <w:r>
        <w:rPr>
          <w:sz w:val="24"/>
        </w:rPr>
        <w:t>The Bank’s regional Agents had conducted a special survey on investment this </w:t>
      </w:r>
      <w:r>
        <w:rPr>
          <w:spacing w:val="-4"/>
          <w:sz w:val="24"/>
        </w:rPr>
        <w:t>month, </w:t>
      </w:r>
      <w:r>
        <w:rPr>
          <w:sz w:val="24"/>
        </w:rPr>
        <w:t>which </w:t>
      </w:r>
      <w:r>
        <w:rPr>
          <w:spacing w:val="-4"/>
          <w:sz w:val="24"/>
        </w:rPr>
        <w:t>had </w:t>
      </w:r>
      <w:r>
        <w:rPr>
          <w:sz w:val="24"/>
        </w:rPr>
        <w:t>suggested a slight deceleration of investment next year compared to this. Other recent survey evidence had also pointed to a weakening in investment intentions this</w:t>
      </w:r>
      <w:r>
        <w:rPr>
          <w:spacing w:val="2"/>
          <w:sz w:val="24"/>
        </w:rPr>
        <w:t> </w:t>
      </w:r>
      <w:r>
        <w:rPr>
          <w:sz w:val="24"/>
        </w:rPr>
        <w:t>year.</w:t>
      </w:r>
    </w:p>
    <w:p>
      <w:pPr>
        <w:pStyle w:val="BodyText"/>
        <w:rPr>
          <w:sz w:val="36"/>
        </w:rPr>
      </w:pPr>
    </w:p>
    <w:p>
      <w:pPr>
        <w:pStyle w:val="Heading1"/>
        <w:ind w:left="368"/>
      </w:pPr>
      <w:r>
        <w:rPr/>
        <w:t>Costs and prices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339" w:firstLine="0"/>
        <w:jc w:val="left"/>
        <w:rPr>
          <w:sz w:val="24"/>
        </w:rPr>
      </w:pPr>
      <w:r>
        <w:rPr>
          <w:sz w:val="24"/>
        </w:rPr>
        <w:t>The </w:t>
      </w:r>
      <w:r>
        <w:rPr>
          <w:spacing w:val="-4"/>
          <w:sz w:val="24"/>
        </w:rPr>
        <w:t>Labour </w:t>
      </w:r>
      <w:r>
        <w:rPr>
          <w:sz w:val="24"/>
        </w:rPr>
        <w:t>Force Survey (LFS) </w:t>
      </w:r>
      <w:r>
        <w:rPr>
          <w:spacing w:val="-3"/>
          <w:sz w:val="24"/>
        </w:rPr>
        <w:t>had </w:t>
      </w:r>
      <w:r>
        <w:rPr>
          <w:sz w:val="24"/>
        </w:rPr>
        <w:t>shown an increase in employment of just over 100,000 </w:t>
      </w:r>
      <w:r>
        <w:rPr>
          <w:spacing w:val="-4"/>
          <w:sz w:val="24"/>
        </w:rPr>
        <w:t>in </w:t>
      </w:r>
      <w:r>
        <w:rPr>
          <w:sz w:val="24"/>
        </w:rPr>
        <w:t>the three months to August compared with the </w:t>
      </w:r>
      <w:r>
        <w:rPr>
          <w:spacing w:val="-3"/>
          <w:sz w:val="24"/>
        </w:rPr>
        <w:t>previous three </w:t>
      </w:r>
      <w:r>
        <w:rPr>
          <w:sz w:val="24"/>
        </w:rPr>
        <w:t>months. The employment and unemployment rates had been broadly unchanged over the same period. The latest surveys continued to point to softer hiring intentions than at the beginning of the year, and that was consistent with </w:t>
      </w:r>
      <w:r>
        <w:rPr>
          <w:spacing w:val="-2"/>
          <w:sz w:val="24"/>
        </w:rPr>
        <w:t>the </w:t>
      </w:r>
      <w:r>
        <w:rPr>
          <w:sz w:val="24"/>
        </w:rPr>
        <w:t>reports from the Bank’s regional Agents. Although most of the evidence pointed to a softening of labour market conditions, there were some contrary indicators. For example, </w:t>
      </w:r>
      <w:r>
        <w:rPr>
          <w:spacing w:val="-3"/>
          <w:sz w:val="24"/>
        </w:rPr>
        <w:t>the </w:t>
      </w:r>
      <w:r>
        <w:rPr>
          <w:sz w:val="24"/>
        </w:rPr>
        <w:t>CBI </w:t>
      </w:r>
      <w:r>
        <w:rPr>
          <w:i/>
          <w:sz w:val="24"/>
        </w:rPr>
        <w:t>Quarterly </w:t>
      </w:r>
      <w:r>
        <w:rPr>
          <w:i/>
          <w:sz w:val="24"/>
        </w:rPr>
        <w:t>Industrial Trends Survey </w:t>
      </w:r>
      <w:r>
        <w:rPr>
          <w:spacing w:val="-3"/>
          <w:sz w:val="24"/>
        </w:rPr>
        <w:t>had </w:t>
      </w:r>
      <w:r>
        <w:rPr>
          <w:sz w:val="24"/>
        </w:rPr>
        <w:t>pointed to a pickup in the balance of firms reporting skilled labour shortages, while the </w:t>
      </w:r>
      <w:r>
        <w:rPr>
          <w:spacing w:val="-3"/>
          <w:sz w:val="24"/>
        </w:rPr>
        <w:t>REC </w:t>
      </w:r>
      <w:r>
        <w:rPr>
          <w:i/>
          <w:sz w:val="24"/>
        </w:rPr>
        <w:t>Report on Jobs </w:t>
      </w:r>
      <w:r>
        <w:rPr>
          <w:sz w:val="24"/>
        </w:rPr>
        <w:t>had pointed to a stabilisation in the labour</w:t>
      </w:r>
      <w:r>
        <w:rPr>
          <w:spacing w:val="5"/>
          <w:sz w:val="24"/>
        </w:rPr>
        <w:t> </w:t>
      </w:r>
      <w:r>
        <w:rPr>
          <w:spacing w:val="-5"/>
          <w:sz w:val="24"/>
        </w:rPr>
        <w:t>market.</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220" w:firstLine="0"/>
        <w:jc w:val="left"/>
        <w:rPr>
          <w:sz w:val="24"/>
        </w:rPr>
      </w:pPr>
      <w:r>
        <w:rPr>
          <w:sz w:val="24"/>
        </w:rPr>
        <w:t>The output and labour market data taken together had continued to </w:t>
      </w:r>
      <w:r>
        <w:rPr>
          <w:spacing w:val="2"/>
          <w:sz w:val="24"/>
        </w:rPr>
        <w:t>imply </w:t>
      </w:r>
      <w:r>
        <w:rPr>
          <w:sz w:val="24"/>
        </w:rPr>
        <w:t>surprisingly weak productivity growth.</w:t>
      </w:r>
      <w:r>
        <w:rPr>
          <w:spacing w:val="9"/>
          <w:sz w:val="24"/>
        </w:rPr>
        <w:t> </w:t>
      </w:r>
      <w:r>
        <w:rPr>
          <w:sz w:val="24"/>
        </w:rPr>
        <w:t>As discussed at the October meeting, it was possible that output growth had been under-recorded, or that employment growth could have been over-recorded, or </w:t>
      </w:r>
      <w:r>
        <w:rPr>
          <w:spacing w:val="-5"/>
          <w:sz w:val="24"/>
        </w:rPr>
        <w:t>that </w:t>
      </w:r>
      <w:r>
        <w:rPr>
          <w:sz w:val="24"/>
        </w:rPr>
        <w:t>this could be a normal cyclical response with companies hoarding labour in the belief that the slowdown in </w:t>
      </w:r>
      <w:r>
        <w:rPr>
          <w:spacing w:val="-5"/>
          <w:sz w:val="24"/>
        </w:rPr>
        <w:t>output </w:t>
      </w:r>
      <w:r>
        <w:rPr>
          <w:sz w:val="24"/>
        </w:rPr>
        <w:t>growth would prove temporary. However, if companies had been hoarding labour it was surprising that there </w:t>
      </w:r>
      <w:r>
        <w:rPr>
          <w:spacing w:val="-3"/>
          <w:sz w:val="24"/>
        </w:rPr>
        <w:t>had </w:t>
      </w:r>
      <w:r>
        <w:rPr>
          <w:sz w:val="24"/>
        </w:rPr>
        <w:t>been no fall in measured average hours. One possibility was that compositional changes, reflecting the fall in part-time employment over </w:t>
      </w:r>
      <w:r>
        <w:rPr>
          <w:spacing w:val="-4"/>
          <w:sz w:val="24"/>
        </w:rPr>
        <w:t>the </w:t>
      </w:r>
      <w:r>
        <w:rPr>
          <w:sz w:val="24"/>
        </w:rPr>
        <w:t>past year, were masking falling average hours worked by particular</w:t>
      </w:r>
      <w:r>
        <w:rPr>
          <w:spacing w:val="-15"/>
          <w:sz w:val="24"/>
        </w:rPr>
        <w:t> </w:t>
      </w:r>
      <w:r>
        <w:rPr>
          <w:sz w:val="24"/>
        </w:rPr>
        <w:t>groups.</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7" w:right="219" w:firstLine="0"/>
        <w:jc w:val="left"/>
        <w:rPr>
          <w:sz w:val="24"/>
        </w:rPr>
      </w:pPr>
      <w:r>
        <w:rPr>
          <w:sz w:val="24"/>
        </w:rPr>
        <w:t>Turning to pay developments, as the Committee had previously discussed, one of the most quantitatively important impacts of higher oil prices on potential supply could come indirectly if workers resisted the necessary adjustment in real wage growth. The rise in energy prices would require</w:t>
      </w:r>
      <w:r>
        <w:rPr>
          <w:spacing w:val="-4"/>
          <w:sz w:val="24"/>
        </w:rPr>
        <w:t> </w:t>
      </w:r>
      <w:r>
        <w:rPr>
          <w:sz w:val="24"/>
        </w:rPr>
        <w:t>the</w:t>
      </w:r>
      <w:r>
        <w:rPr>
          <w:spacing w:val="-4"/>
          <w:sz w:val="24"/>
        </w:rPr>
        <w:t> </w:t>
      </w:r>
      <w:r>
        <w:rPr>
          <w:sz w:val="24"/>
        </w:rPr>
        <w:t>growth</w:t>
      </w:r>
      <w:r>
        <w:rPr>
          <w:spacing w:val="-3"/>
          <w:sz w:val="24"/>
        </w:rPr>
        <w:t> </w:t>
      </w:r>
      <w:r>
        <w:rPr>
          <w:sz w:val="24"/>
        </w:rPr>
        <w:t>rate</w:t>
      </w:r>
      <w:r>
        <w:rPr>
          <w:spacing w:val="-4"/>
          <w:sz w:val="24"/>
        </w:rPr>
        <w:t> </w:t>
      </w:r>
      <w:r>
        <w:rPr>
          <w:sz w:val="24"/>
        </w:rPr>
        <w:t>of</w:t>
      </w:r>
      <w:r>
        <w:rPr>
          <w:spacing w:val="-3"/>
          <w:sz w:val="24"/>
        </w:rPr>
        <w:t> </w:t>
      </w:r>
      <w:r>
        <w:rPr>
          <w:sz w:val="24"/>
        </w:rPr>
        <w:t>the</w:t>
      </w:r>
      <w:r>
        <w:rPr>
          <w:spacing w:val="-4"/>
          <w:sz w:val="24"/>
        </w:rPr>
        <w:t> </w:t>
      </w:r>
      <w:r>
        <w:rPr>
          <w:sz w:val="24"/>
        </w:rPr>
        <w:t>real</w:t>
      </w:r>
      <w:r>
        <w:rPr>
          <w:spacing w:val="-3"/>
          <w:sz w:val="24"/>
        </w:rPr>
        <w:t> </w:t>
      </w:r>
      <w:r>
        <w:rPr>
          <w:sz w:val="24"/>
        </w:rPr>
        <w:t>consumption</w:t>
      </w:r>
      <w:r>
        <w:rPr>
          <w:spacing w:val="-4"/>
          <w:sz w:val="24"/>
        </w:rPr>
        <w:t> </w:t>
      </w:r>
      <w:r>
        <w:rPr>
          <w:sz w:val="24"/>
        </w:rPr>
        <w:t>wage</w:t>
      </w:r>
      <w:r>
        <w:rPr>
          <w:spacing w:val="-3"/>
          <w:sz w:val="24"/>
        </w:rPr>
        <w:t> </w:t>
      </w:r>
      <w:r>
        <w:rPr>
          <w:sz w:val="24"/>
        </w:rPr>
        <w:t>to</w:t>
      </w:r>
      <w:r>
        <w:rPr>
          <w:spacing w:val="-4"/>
          <w:sz w:val="24"/>
        </w:rPr>
        <w:t> </w:t>
      </w:r>
      <w:r>
        <w:rPr>
          <w:sz w:val="24"/>
        </w:rPr>
        <w:t>be</w:t>
      </w:r>
      <w:r>
        <w:rPr>
          <w:spacing w:val="-3"/>
          <w:sz w:val="24"/>
        </w:rPr>
        <w:t> </w:t>
      </w:r>
      <w:r>
        <w:rPr>
          <w:sz w:val="24"/>
        </w:rPr>
        <w:t>slower</w:t>
      </w:r>
      <w:r>
        <w:rPr>
          <w:spacing w:val="-4"/>
          <w:sz w:val="24"/>
        </w:rPr>
        <w:t> </w:t>
      </w:r>
      <w:r>
        <w:rPr>
          <w:sz w:val="24"/>
        </w:rPr>
        <w:t>than</w:t>
      </w:r>
      <w:r>
        <w:rPr>
          <w:spacing w:val="-3"/>
          <w:sz w:val="24"/>
        </w:rPr>
        <w:t> </w:t>
      </w:r>
      <w:r>
        <w:rPr>
          <w:sz w:val="24"/>
        </w:rPr>
        <w:t>it</w:t>
      </w:r>
      <w:r>
        <w:rPr>
          <w:spacing w:val="-4"/>
          <w:sz w:val="24"/>
        </w:rPr>
        <w:t> </w:t>
      </w:r>
      <w:r>
        <w:rPr>
          <w:sz w:val="24"/>
        </w:rPr>
        <w:t>otherwise</w:t>
      </w:r>
      <w:r>
        <w:rPr>
          <w:spacing w:val="-3"/>
          <w:sz w:val="24"/>
        </w:rPr>
        <w:t> </w:t>
      </w:r>
      <w:r>
        <w:rPr>
          <w:sz w:val="24"/>
        </w:rPr>
        <w:t>would</w:t>
      </w:r>
      <w:r>
        <w:rPr>
          <w:spacing w:val="-4"/>
          <w:sz w:val="24"/>
        </w:rPr>
        <w:t> </w:t>
      </w:r>
      <w:r>
        <w:rPr>
          <w:sz w:val="24"/>
        </w:rPr>
        <w:t>have</w:t>
      </w:r>
      <w:r>
        <w:rPr>
          <w:spacing w:val="-3"/>
          <w:sz w:val="24"/>
        </w:rPr>
        <w:t> </w:t>
      </w:r>
      <w:r>
        <w:rPr>
          <w:sz w:val="24"/>
        </w:rPr>
        <w:t>been</w:t>
      </w:r>
      <w:r>
        <w:rPr>
          <w:spacing w:val="-4"/>
          <w:sz w:val="24"/>
        </w:rPr>
        <w:t> </w:t>
      </w:r>
      <w:r>
        <w:rPr>
          <w:sz w:val="24"/>
        </w:rPr>
        <w:t>if employment growth were to be sustained.  </w:t>
      </w:r>
      <w:r>
        <w:rPr>
          <w:spacing w:val="-3"/>
          <w:sz w:val="24"/>
        </w:rPr>
        <w:t>So </w:t>
      </w:r>
      <w:r>
        <w:rPr>
          <w:sz w:val="24"/>
        </w:rPr>
        <w:t>far, there had been </w:t>
      </w:r>
      <w:r>
        <w:rPr>
          <w:spacing w:val="-6"/>
          <w:sz w:val="24"/>
        </w:rPr>
        <w:t>no </w:t>
      </w:r>
      <w:r>
        <w:rPr>
          <w:sz w:val="24"/>
        </w:rPr>
        <w:t>significant evidence of a change in pay settlements, and regular pay growth </w:t>
      </w:r>
      <w:r>
        <w:rPr>
          <w:spacing w:val="-3"/>
          <w:sz w:val="24"/>
        </w:rPr>
        <w:t>had </w:t>
      </w:r>
      <w:r>
        <w:rPr>
          <w:sz w:val="24"/>
        </w:rPr>
        <w:t>remained subdued in the year to August. However, it was a quiet part of the </w:t>
      </w:r>
      <w:r>
        <w:rPr>
          <w:spacing w:val="-3"/>
          <w:sz w:val="24"/>
        </w:rPr>
        <w:t>year </w:t>
      </w:r>
      <w:r>
        <w:rPr>
          <w:sz w:val="24"/>
        </w:rPr>
        <w:t>in terms of the number of pay settlements; more evidence about wage developments would become available in the first quarter of 2006, as </w:t>
      </w:r>
      <w:r>
        <w:rPr>
          <w:spacing w:val="2"/>
          <w:sz w:val="24"/>
        </w:rPr>
        <w:t>January was </w:t>
      </w:r>
      <w:r>
        <w:rPr>
          <w:sz w:val="24"/>
        </w:rPr>
        <w:t>a</w:t>
      </w:r>
      <w:r>
        <w:rPr>
          <w:spacing w:val="-41"/>
          <w:sz w:val="24"/>
        </w:rPr>
        <w:t> </w:t>
      </w:r>
      <w:r>
        <w:rPr>
          <w:sz w:val="24"/>
        </w:rPr>
        <w:t>particularly</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0" w:lineRule="auto" w:before="90"/>
        <w:ind w:left="368" w:right="242"/>
      </w:pPr>
      <w:r>
        <w:rPr/>
        <w:t>important month for private sector pay settlements. There were also no signs, as yet, of medium-run inflation expectations being dislodged by the rise in oil prices. The fall in measured pay drift over the past year (the gap between earnings and settlements) had been correlated with the increase in the labour force. It was possible that this had been related to the increase in net inward migration, but it might simply reflect the normal cyclical response of both drift and labour supply growth.</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245" w:firstLine="0"/>
        <w:jc w:val="left"/>
        <w:rPr>
          <w:sz w:val="24"/>
        </w:rPr>
      </w:pPr>
      <w:r>
        <w:rPr>
          <w:sz w:val="24"/>
        </w:rPr>
        <w:t>Excluding oil, goods import prices had risen at annual rate of 1¾% so far this year, the fastest rate of increase for some time . There had </w:t>
      </w:r>
      <w:r>
        <w:rPr>
          <w:spacing w:val="-3"/>
          <w:sz w:val="24"/>
        </w:rPr>
        <w:t>been </w:t>
      </w:r>
      <w:r>
        <w:rPr>
          <w:sz w:val="24"/>
        </w:rPr>
        <w:t>some signs of a moderation in producer input price inflation in September, partly related to oil price effects. In contrast, the CIPS survey index of manufacturing input prices had risen further in October. The moderation in measured input prices had yet to be seen in output price inflation to a significant</w:t>
      </w:r>
      <w:r>
        <w:rPr>
          <w:spacing w:val="-6"/>
          <w:sz w:val="24"/>
        </w:rPr>
        <w:t> </w:t>
      </w:r>
      <w:r>
        <w:rPr>
          <w:sz w:val="24"/>
        </w:rPr>
        <w:t>degree.</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302" w:firstLine="0"/>
        <w:jc w:val="left"/>
        <w:rPr>
          <w:sz w:val="24"/>
        </w:rPr>
      </w:pPr>
      <w:r>
        <w:rPr>
          <w:sz w:val="24"/>
        </w:rPr>
        <w:t>CPI inflation had risen further above target in September, to 2.5%. In line with pre-release arrangements, an advance estimate of CPI inflation in October had been provided to the Governor ahead of publication. This indicated that inflation had fallen to 2.3%. The increase in inflation over the</w:t>
      </w:r>
      <w:r>
        <w:rPr>
          <w:spacing w:val="-3"/>
          <w:sz w:val="24"/>
        </w:rPr>
        <w:t> </w:t>
      </w:r>
      <w:r>
        <w:rPr>
          <w:sz w:val="24"/>
        </w:rPr>
        <w:t>past</w:t>
      </w:r>
      <w:r>
        <w:rPr>
          <w:spacing w:val="-3"/>
          <w:sz w:val="24"/>
        </w:rPr>
        <w:t> </w:t>
      </w:r>
      <w:r>
        <w:rPr>
          <w:sz w:val="24"/>
        </w:rPr>
        <w:t>year</w:t>
      </w:r>
      <w:r>
        <w:rPr>
          <w:spacing w:val="-3"/>
          <w:sz w:val="24"/>
        </w:rPr>
        <w:t> </w:t>
      </w:r>
      <w:r>
        <w:rPr>
          <w:sz w:val="24"/>
        </w:rPr>
        <w:t>had</w:t>
      </w:r>
      <w:r>
        <w:rPr>
          <w:spacing w:val="-2"/>
          <w:sz w:val="24"/>
        </w:rPr>
        <w:t> </w:t>
      </w:r>
      <w:r>
        <w:rPr>
          <w:sz w:val="24"/>
        </w:rPr>
        <w:t>reflected</w:t>
      </w:r>
      <w:r>
        <w:rPr>
          <w:spacing w:val="-3"/>
          <w:sz w:val="24"/>
        </w:rPr>
        <w:t> </w:t>
      </w:r>
      <w:r>
        <w:rPr>
          <w:sz w:val="24"/>
        </w:rPr>
        <w:t>the</w:t>
      </w:r>
      <w:r>
        <w:rPr>
          <w:spacing w:val="-4"/>
          <w:sz w:val="24"/>
        </w:rPr>
        <w:t> </w:t>
      </w:r>
      <w:r>
        <w:rPr>
          <w:sz w:val="24"/>
        </w:rPr>
        <w:t>increase</w:t>
      </w:r>
      <w:r>
        <w:rPr>
          <w:spacing w:val="-3"/>
          <w:sz w:val="24"/>
        </w:rPr>
        <w:t> </w:t>
      </w:r>
      <w:r>
        <w:rPr>
          <w:sz w:val="24"/>
        </w:rPr>
        <w:t>in</w:t>
      </w:r>
      <w:r>
        <w:rPr>
          <w:spacing w:val="-4"/>
          <w:sz w:val="24"/>
        </w:rPr>
        <w:t> </w:t>
      </w:r>
      <w:r>
        <w:rPr>
          <w:sz w:val="24"/>
        </w:rPr>
        <w:t>the</w:t>
      </w:r>
      <w:r>
        <w:rPr>
          <w:spacing w:val="-4"/>
          <w:sz w:val="24"/>
        </w:rPr>
        <w:t> </w:t>
      </w:r>
      <w:r>
        <w:rPr>
          <w:sz w:val="24"/>
        </w:rPr>
        <w:t>price</w:t>
      </w:r>
      <w:r>
        <w:rPr>
          <w:spacing w:val="-3"/>
          <w:sz w:val="24"/>
        </w:rPr>
        <w:t> </w:t>
      </w:r>
      <w:r>
        <w:rPr>
          <w:sz w:val="24"/>
        </w:rPr>
        <w:t>of</w:t>
      </w:r>
      <w:r>
        <w:rPr>
          <w:spacing w:val="-4"/>
          <w:sz w:val="24"/>
        </w:rPr>
        <w:t> </w:t>
      </w:r>
      <w:r>
        <w:rPr>
          <w:sz w:val="24"/>
        </w:rPr>
        <w:t>energy,</w:t>
      </w:r>
      <w:r>
        <w:rPr>
          <w:spacing w:val="-4"/>
          <w:sz w:val="24"/>
        </w:rPr>
        <w:t> </w:t>
      </w:r>
      <w:r>
        <w:rPr>
          <w:sz w:val="24"/>
        </w:rPr>
        <w:t>the</w:t>
      </w:r>
      <w:r>
        <w:rPr>
          <w:spacing w:val="-3"/>
          <w:sz w:val="24"/>
        </w:rPr>
        <w:t> </w:t>
      </w:r>
      <w:r>
        <w:rPr>
          <w:sz w:val="24"/>
        </w:rPr>
        <w:t>pressure</w:t>
      </w:r>
      <w:r>
        <w:rPr>
          <w:spacing w:val="-4"/>
          <w:sz w:val="24"/>
        </w:rPr>
        <w:t> </w:t>
      </w:r>
      <w:r>
        <w:rPr>
          <w:sz w:val="24"/>
        </w:rPr>
        <w:t>of</w:t>
      </w:r>
      <w:r>
        <w:rPr>
          <w:spacing w:val="-4"/>
          <w:sz w:val="24"/>
        </w:rPr>
        <w:t> </w:t>
      </w:r>
      <w:r>
        <w:rPr>
          <w:sz w:val="24"/>
        </w:rPr>
        <w:t>demand</w:t>
      </w:r>
      <w:r>
        <w:rPr>
          <w:spacing w:val="-3"/>
          <w:sz w:val="24"/>
        </w:rPr>
        <w:t> </w:t>
      </w:r>
      <w:r>
        <w:rPr>
          <w:sz w:val="24"/>
        </w:rPr>
        <w:t>on</w:t>
      </w:r>
      <w:r>
        <w:rPr>
          <w:spacing w:val="-4"/>
          <w:sz w:val="24"/>
        </w:rPr>
        <w:t> </w:t>
      </w:r>
      <w:r>
        <w:rPr>
          <w:sz w:val="24"/>
        </w:rPr>
        <w:t>supply</w:t>
      </w:r>
      <w:r>
        <w:rPr>
          <w:spacing w:val="-3"/>
          <w:sz w:val="24"/>
        </w:rPr>
        <w:t> </w:t>
      </w:r>
      <w:r>
        <w:rPr>
          <w:sz w:val="24"/>
        </w:rPr>
        <w:t>in</w:t>
      </w:r>
      <w:r>
        <w:rPr>
          <w:spacing w:val="-4"/>
          <w:sz w:val="24"/>
        </w:rPr>
        <w:t> </w:t>
      </w:r>
      <w:r>
        <w:rPr>
          <w:sz w:val="24"/>
        </w:rPr>
        <w:t>the first half of 2004, and the unwinding of one-off factors. There remained considerable uncertainty </w:t>
      </w:r>
      <w:r>
        <w:rPr>
          <w:spacing w:val="-3"/>
          <w:sz w:val="24"/>
        </w:rPr>
        <w:t>about </w:t>
      </w:r>
      <w:r>
        <w:rPr>
          <w:sz w:val="24"/>
        </w:rPr>
        <w:t>the speed and degree of pass-through from the oil price to CPI </w:t>
      </w:r>
      <w:r>
        <w:rPr>
          <w:spacing w:val="-3"/>
          <w:sz w:val="24"/>
        </w:rPr>
        <w:t>inflation, </w:t>
      </w:r>
      <w:r>
        <w:rPr>
          <w:sz w:val="24"/>
        </w:rPr>
        <w:t>as well as about the impact of pressures of demand and one-off factors on the inflation</w:t>
      </w:r>
      <w:r>
        <w:rPr>
          <w:spacing w:val="1"/>
          <w:sz w:val="24"/>
        </w:rPr>
        <w:t> </w:t>
      </w:r>
      <w:r>
        <w:rPr>
          <w:sz w:val="24"/>
        </w:rPr>
        <w:t>rate.</w:t>
      </w:r>
    </w:p>
    <w:p>
      <w:pPr>
        <w:pStyle w:val="BodyText"/>
        <w:rPr>
          <w:sz w:val="36"/>
        </w:rPr>
      </w:pPr>
    </w:p>
    <w:p>
      <w:pPr>
        <w:pStyle w:val="Heading1"/>
      </w:pPr>
      <w:r>
        <w:rPr/>
        <w:t>The November GDP growth and inflation projections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240" w:lineRule="auto" w:before="1" w:after="0"/>
        <w:ind w:left="932" w:right="0" w:hanging="565"/>
        <w:jc w:val="left"/>
        <w:rPr>
          <w:sz w:val="24"/>
        </w:rPr>
      </w:pPr>
      <w:r>
        <w:rPr>
          <w:sz w:val="24"/>
        </w:rPr>
        <w:t>The Committee reached its policy decision in the light of the projections to be published in</w:t>
      </w:r>
      <w:r>
        <w:rPr>
          <w:spacing w:val="-43"/>
          <w:sz w:val="24"/>
        </w:rPr>
        <w:t> </w:t>
      </w:r>
      <w:r>
        <w:rPr>
          <w:sz w:val="24"/>
        </w:rPr>
        <w:t>the</w:t>
      </w:r>
    </w:p>
    <w:p>
      <w:pPr>
        <w:spacing w:before="144"/>
        <w:ind w:left="367" w:right="0" w:firstLine="0"/>
        <w:jc w:val="left"/>
        <w:rPr>
          <w:sz w:val="24"/>
        </w:rPr>
      </w:pPr>
      <w:r>
        <w:rPr>
          <w:i/>
          <w:sz w:val="24"/>
        </w:rPr>
        <w:t>Inflation Report </w:t>
      </w:r>
      <w:r>
        <w:rPr>
          <w:sz w:val="24"/>
        </w:rPr>
        <w:t>on Wednesday 16 November.</w:t>
      </w:r>
    </w:p>
    <w:p>
      <w:pPr>
        <w:pStyle w:val="BodyText"/>
        <w:rPr>
          <w:sz w:val="26"/>
        </w:rPr>
      </w:pPr>
    </w:p>
    <w:p>
      <w:pPr>
        <w:pStyle w:val="BodyText"/>
        <w:spacing w:before="11"/>
        <w:rPr>
          <w:sz w:val="21"/>
        </w:rPr>
      </w:pPr>
    </w:p>
    <w:p>
      <w:pPr>
        <w:pStyle w:val="ListParagraph"/>
        <w:numPr>
          <w:ilvl w:val="0"/>
          <w:numId w:val="1"/>
        </w:numPr>
        <w:tabs>
          <w:tab w:pos="931" w:val="left" w:leader="none"/>
          <w:tab w:pos="932" w:val="left" w:leader="none"/>
        </w:tabs>
        <w:spacing w:line="360" w:lineRule="auto" w:before="0" w:after="0"/>
        <w:ind w:left="367" w:right="219" w:firstLine="0"/>
        <w:jc w:val="left"/>
        <w:rPr>
          <w:sz w:val="24"/>
        </w:rPr>
      </w:pPr>
      <w:r>
        <w:rPr>
          <w:sz w:val="24"/>
        </w:rPr>
        <w:t>The Committee’s central projection, based on its collective judgement and the assumption that official interest rates followed the path implied by the market yield curve, was for the four-quarter growth </w:t>
      </w:r>
      <w:r>
        <w:rPr>
          <w:spacing w:val="-3"/>
          <w:sz w:val="24"/>
        </w:rPr>
        <w:t>rate </w:t>
      </w:r>
      <w:r>
        <w:rPr>
          <w:sz w:val="24"/>
        </w:rPr>
        <w:t>of GDP to </w:t>
      </w:r>
      <w:r>
        <w:rPr>
          <w:spacing w:val="-3"/>
          <w:sz w:val="24"/>
        </w:rPr>
        <w:t>pick </w:t>
      </w:r>
      <w:r>
        <w:rPr>
          <w:sz w:val="24"/>
        </w:rPr>
        <w:t>up gradually. In part, that reflected weak quarterly growth rates towards the end of 2004 and in the first quarter of 2005 dropping out of the annual comparison. It reflected also</w:t>
      </w:r>
      <w:r>
        <w:rPr>
          <w:spacing w:val="-6"/>
          <w:sz w:val="24"/>
        </w:rPr>
        <w:t> </w:t>
      </w:r>
      <w:r>
        <w:rPr>
          <w:sz w:val="24"/>
        </w:rPr>
        <w:t>contributions</w:t>
      </w:r>
      <w:r>
        <w:rPr>
          <w:spacing w:val="-5"/>
          <w:sz w:val="24"/>
        </w:rPr>
        <w:t> </w:t>
      </w:r>
      <w:r>
        <w:rPr>
          <w:sz w:val="24"/>
        </w:rPr>
        <w:t>to</w:t>
      </w:r>
      <w:r>
        <w:rPr>
          <w:spacing w:val="-5"/>
          <w:sz w:val="24"/>
        </w:rPr>
        <w:t> </w:t>
      </w:r>
      <w:r>
        <w:rPr>
          <w:sz w:val="24"/>
        </w:rPr>
        <w:t>growth</w:t>
      </w:r>
      <w:r>
        <w:rPr>
          <w:spacing w:val="-6"/>
          <w:sz w:val="24"/>
        </w:rPr>
        <w:t> </w:t>
      </w:r>
      <w:r>
        <w:rPr>
          <w:sz w:val="24"/>
        </w:rPr>
        <w:t>from</w:t>
      </w:r>
      <w:r>
        <w:rPr>
          <w:spacing w:val="-5"/>
          <w:sz w:val="24"/>
        </w:rPr>
        <w:t> </w:t>
      </w:r>
      <w:r>
        <w:rPr>
          <w:sz w:val="24"/>
        </w:rPr>
        <w:t>a</w:t>
      </w:r>
      <w:r>
        <w:rPr>
          <w:spacing w:val="1"/>
          <w:sz w:val="24"/>
        </w:rPr>
        <w:t> </w:t>
      </w:r>
      <w:r>
        <w:rPr>
          <w:sz w:val="24"/>
        </w:rPr>
        <w:t>modest</w:t>
      </w:r>
      <w:r>
        <w:rPr>
          <w:spacing w:val="-18"/>
          <w:sz w:val="24"/>
        </w:rPr>
        <w:t> </w:t>
      </w:r>
      <w:r>
        <w:rPr>
          <w:sz w:val="24"/>
        </w:rPr>
        <w:t>acceleration</w:t>
      </w:r>
      <w:r>
        <w:rPr>
          <w:spacing w:val="-7"/>
          <w:sz w:val="24"/>
        </w:rPr>
        <w:t> </w:t>
      </w:r>
      <w:r>
        <w:rPr>
          <w:sz w:val="24"/>
        </w:rPr>
        <w:t>in</w:t>
      </w:r>
      <w:r>
        <w:rPr>
          <w:spacing w:val="-7"/>
          <w:sz w:val="24"/>
        </w:rPr>
        <w:t> </w:t>
      </w:r>
      <w:r>
        <w:rPr>
          <w:sz w:val="24"/>
        </w:rPr>
        <w:t>household</w:t>
      </w:r>
      <w:r>
        <w:rPr>
          <w:spacing w:val="-7"/>
          <w:sz w:val="24"/>
        </w:rPr>
        <w:t> </w:t>
      </w:r>
      <w:r>
        <w:rPr>
          <w:sz w:val="24"/>
        </w:rPr>
        <w:t>consumption,</w:t>
      </w:r>
      <w:r>
        <w:rPr>
          <w:spacing w:val="-7"/>
          <w:sz w:val="24"/>
        </w:rPr>
        <w:t> </w:t>
      </w:r>
      <w:r>
        <w:rPr>
          <w:sz w:val="24"/>
        </w:rPr>
        <w:t>strong</w:t>
      </w:r>
      <w:r>
        <w:rPr>
          <w:spacing w:val="-7"/>
          <w:sz w:val="24"/>
        </w:rPr>
        <w:t> </w:t>
      </w:r>
      <w:r>
        <w:rPr>
          <w:sz w:val="24"/>
        </w:rPr>
        <w:t>government spending, a revival in stockbuilding and </w:t>
      </w:r>
      <w:r>
        <w:rPr>
          <w:spacing w:val="5"/>
          <w:sz w:val="24"/>
        </w:rPr>
        <w:t>an </w:t>
      </w:r>
      <w:r>
        <w:rPr>
          <w:sz w:val="24"/>
        </w:rPr>
        <w:t>improvement in net trade. Growth then slowed a little, as the impetus from public spending waned and consumption growth eased. The profile in the first part of the projection was a little weaker than in the August</w:t>
      </w:r>
      <w:r>
        <w:rPr>
          <w:spacing w:val="-4"/>
          <w:sz w:val="24"/>
        </w:rPr>
        <w:t> </w:t>
      </w:r>
      <w:r>
        <w:rPr>
          <w:i/>
          <w:sz w:val="24"/>
        </w:rPr>
        <w:t>Report</w:t>
      </w:r>
      <w:r>
        <w:rPr>
          <w:sz w:val="24"/>
        </w:rPr>
        <w:t>.</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ListParagraph"/>
        <w:numPr>
          <w:ilvl w:val="0"/>
          <w:numId w:val="1"/>
        </w:numPr>
        <w:tabs>
          <w:tab w:pos="931" w:val="left" w:leader="none"/>
          <w:tab w:pos="932" w:val="left" w:leader="none"/>
        </w:tabs>
        <w:spacing w:line="360" w:lineRule="auto" w:before="90" w:after="0"/>
        <w:ind w:left="367" w:right="217" w:firstLine="0"/>
        <w:jc w:val="left"/>
        <w:rPr>
          <w:sz w:val="24"/>
        </w:rPr>
      </w:pPr>
      <w:r>
        <w:rPr>
          <w:sz w:val="24"/>
        </w:rPr>
        <w:t>The central projection for CPI inflation, on the </w:t>
      </w:r>
      <w:r>
        <w:rPr>
          <w:spacing w:val="-3"/>
          <w:sz w:val="24"/>
        </w:rPr>
        <w:t>market-based </w:t>
      </w:r>
      <w:r>
        <w:rPr>
          <w:sz w:val="24"/>
        </w:rPr>
        <w:t>assumption about the path of official interest rates, was for it to remain above the 2% target in the near term. It then dipped below target, as the consequences of past oil price increases dropped out of the annual comparison and </w:t>
      </w:r>
      <w:r>
        <w:rPr>
          <w:spacing w:val="-2"/>
          <w:sz w:val="24"/>
        </w:rPr>
        <w:t>the </w:t>
      </w:r>
      <w:r>
        <w:rPr>
          <w:sz w:val="24"/>
        </w:rPr>
        <w:t>reduced pressure of demand on supply in the first part of the projection bore down on inflation. But as </w:t>
      </w:r>
      <w:r>
        <w:rPr>
          <w:spacing w:val="-3"/>
          <w:sz w:val="24"/>
        </w:rPr>
        <w:t>output </w:t>
      </w:r>
      <w:r>
        <w:rPr>
          <w:sz w:val="24"/>
        </w:rPr>
        <w:t>growth recovered and spare capacity was eroded, inflation moved back up to meet the </w:t>
      </w:r>
      <w:r>
        <w:rPr>
          <w:spacing w:val="-2"/>
          <w:sz w:val="24"/>
        </w:rPr>
        <w:t>target </w:t>
      </w:r>
      <w:r>
        <w:rPr>
          <w:sz w:val="24"/>
        </w:rPr>
        <w:t>around </w:t>
      </w:r>
      <w:r>
        <w:rPr>
          <w:spacing w:val="-5"/>
          <w:sz w:val="24"/>
        </w:rPr>
        <w:t>the </w:t>
      </w:r>
      <w:r>
        <w:rPr>
          <w:sz w:val="24"/>
        </w:rPr>
        <w:t>two-year point. The profile was slightly weaker than in</w:t>
      </w:r>
      <w:r>
        <w:rPr>
          <w:spacing w:val="-7"/>
          <w:sz w:val="24"/>
        </w:rPr>
        <w:t> </w:t>
      </w:r>
      <w:r>
        <w:rPr>
          <w:sz w:val="24"/>
        </w:rPr>
        <w:t>August.</w:t>
      </w:r>
    </w:p>
    <w:p>
      <w:pPr>
        <w:pStyle w:val="BodyText"/>
        <w:spacing w:before="5"/>
        <w:rPr>
          <w:sz w:val="35"/>
        </w:rPr>
      </w:pPr>
    </w:p>
    <w:p>
      <w:pPr>
        <w:pStyle w:val="ListParagraph"/>
        <w:numPr>
          <w:ilvl w:val="0"/>
          <w:numId w:val="1"/>
        </w:numPr>
        <w:tabs>
          <w:tab w:pos="931" w:val="left" w:leader="none"/>
          <w:tab w:pos="932" w:val="left" w:leader="none"/>
        </w:tabs>
        <w:spacing w:line="360" w:lineRule="auto" w:before="1" w:after="0"/>
        <w:ind w:left="367" w:right="242" w:firstLine="0"/>
        <w:jc w:val="left"/>
        <w:rPr>
          <w:sz w:val="24"/>
        </w:rPr>
      </w:pPr>
      <w:r>
        <w:rPr>
          <w:sz w:val="24"/>
        </w:rPr>
        <w:t>The Committee’s best collective judgement was that the key risks to the central projection related to: the prospects for demand; the impact of higher energy prices and migration on the prospects for supply; the outlook for energy prices and their impact on inflation expectations; and the sources of the recent pickup in inflation. There was a range of views among members, but the Committee judged that the overall </w:t>
      </w:r>
      <w:r>
        <w:rPr>
          <w:spacing w:val="-3"/>
          <w:sz w:val="24"/>
        </w:rPr>
        <w:t>risks </w:t>
      </w:r>
      <w:r>
        <w:rPr>
          <w:sz w:val="24"/>
        </w:rPr>
        <w:t>to the central projection for growth and inflation were broadly balanced. The short-term outlook for CPI inflation was particularly </w:t>
      </w:r>
      <w:r>
        <w:rPr>
          <w:spacing w:val="-3"/>
          <w:sz w:val="24"/>
        </w:rPr>
        <w:t>uncertain: </w:t>
      </w:r>
      <w:r>
        <w:rPr>
          <w:spacing w:val="2"/>
          <w:sz w:val="24"/>
        </w:rPr>
        <w:t>it </w:t>
      </w:r>
      <w:r>
        <w:rPr>
          <w:sz w:val="24"/>
        </w:rPr>
        <w:t>was unclear how </w:t>
      </w:r>
      <w:r>
        <w:rPr>
          <w:spacing w:val="-3"/>
          <w:sz w:val="24"/>
        </w:rPr>
        <w:t>much </w:t>
      </w:r>
      <w:r>
        <w:rPr>
          <w:sz w:val="24"/>
        </w:rPr>
        <w:t>of the recent rise in energy prices had yet to pass through the supply </w:t>
      </w:r>
      <w:r>
        <w:rPr>
          <w:spacing w:val="-4"/>
          <w:sz w:val="24"/>
        </w:rPr>
        <w:t>chain, </w:t>
      </w:r>
      <w:r>
        <w:rPr>
          <w:sz w:val="24"/>
        </w:rPr>
        <w:t>and the prospects for energy prices were also hard to judge. The fan chart for inflation had been widened to reflect these considerations.</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326" w:firstLine="0"/>
        <w:jc w:val="left"/>
        <w:rPr>
          <w:sz w:val="24"/>
        </w:rPr>
      </w:pPr>
      <w:r>
        <w:rPr>
          <w:sz w:val="24"/>
        </w:rPr>
        <w:t>The Committee’s projections for GDP growth and CPI inflation conditioned on a constant interest</w:t>
      </w:r>
      <w:r>
        <w:rPr>
          <w:spacing w:val="-5"/>
          <w:sz w:val="24"/>
        </w:rPr>
        <w:t> </w:t>
      </w:r>
      <w:r>
        <w:rPr>
          <w:sz w:val="24"/>
        </w:rPr>
        <w:t>rate</w:t>
      </w:r>
      <w:r>
        <w:rPr>
          <w:spacing w:val="-5"/>
          <w:sz w:val="24"/>
        </w:rPr>
        <w:t> </w:t>
      </w:r>
      <w:r>
        <w:rPr>
          <w:sz w:val="24"/>
        </w:rPr>
        <w:t>of</w:t>
      </w:r>
      <w:r>
        <w:rPr>
          <w:spacing w:val="-4"/>
          <w:sz w:val="24"/>
        </w:rPr>
        <w:t> </w:t>
      </w:r>
      <w:r>
        <w:rPr>
          <w:sz w:val="24"/>
        </w:rPr>
        <w:t>4.5%</w:t>
      </w:r>
      <w:r>
        <w:rPr>
          <w:spacing w:val="-5"/>
          <w:sz w:val="24"/>
        </w:rPr>
        <w:t> </w:t>
      </w:r>
      <w:r>
        <w:rPr>
          <w:sz w:val="24"/>
        </w:rPr>
        <w:t>were</w:t>
      </w:r>
      <w:r>
        <w:rPr>
          <w:spacing w:val="-4"/>
          <w:sz w:val="24"/>
        </w:rPr>
        <w:t> </w:t>
      </w:r>
      <w:r>
        <w:rPr>
          <w:sz w:val="24"/>
        </w:rPr>
        <w:t>virtually</w:t>
      </w:r>
      <w:r>
        <w:rPr>
          <w:spacing w:val="-5"/>
          <w:sz w:val="24"/>
        </w:rPr>
        <w:t> </w:t>
      </w:r>
      <w:r>
        <w:rPr>
          <w:sz w:val="24"/>
        </w:rPr>
        <w:t>identical</w:t>
      </w:r>
      <w:r>
        <w:rPr>
          <w:spacing w:val="-4"/>
          <w:sz w:val="24"/>
        </w:rPr>
        <w:t> </w:t>
      </w:r>
      <w:r>
        <w:rPr>
          <w:sz w:val="24"/>
        </w:rPr>
        <w:t>to</w:t>
      </w:r>
      <w:r>
        <w:rPr>
          <w:spacing w:val="-5"/>
          <w:sz w:val="24"/>
        </w:rPr>
        <w:t> </w:t>
      </w:r>
      <w:r>
        <w:rPr>
          <w:sz w:val="24"/>
        </w:rPr>
        <w:t>those</w:t>
      </w:r>
      <w:r>
        <w:rPr>
          <w:spacing w:val="-4"/>
          <w:sz w:val="24"/>
        </w:rPr>
        <w:t> </w:t>
      </w:r>
      <w:r>
        <w:rPr>
          <w:sz w:val="24"/>
        </w:rPr>
        <w:t>based</w:t>
      </w:r>
      <w:r>
        <w:rPr>
          <w:spacing w:val="-5"/>
          <w:sz w:val="24"/>
        </w:rPr>
        <w:t> </w:t>
      </w:r>
      <w:r>
        <w:rPr>
          <w:sz w:val="24"/>
        </w:rPr>
        <w:t>on</w:t>
      </w:r>
      <w:r>
        <w:rPr>
          <w:spacing w:val="-5"/>
          <w:sz w:val="24"/>
        </w:rPr>
        <w:t> </w:t>
      </w:r>
      <w:r>
        <w:rPr>
          <w:sz w:val="24"/>
        </w:rPr>
        <w:t>market</w:t>
      </w:r>
      <w:r>
        <w:rPr>
          <w:spacing w:val="-4"/>
          <w:sz w:val="24"/>
        </w:rPr>
        <w:t> </w:t>
      </w:r>
      <w:r>
        <w:rPr>
          <w:sz w:val="24"/>
        </w:rPr>
        <w:t>rates,</w:t>
      </w:r>
      <w:r>
        <w:rPr>
          <w:spacing w:val="-5"/>
          <w:sz w:val="24"/>
        </w:rPr>
        <w:t> </w:t>
      </w:r>
      <w:r>
        <w:rPr>
          <w:sz w:val="24"/>
        </w:rPr>
        <w:t>reflecting</w:t>
      </w:r>
      <w:r>
        <w:rPr>
          <w:spacing w:val="-4"/>
          <w:sz w:val="24"/>
        </w:rPr>
        <w:t> </w:t>
      </w:r>
      <w:r>
        <w:rPr>
          <w:sz w:val="24"/>
        </w:rPr>
        <w:t>the</w:t>
      </w:r>
      <w:r>
        <w:rPr>
          <w:spacing w:val="-5"/>
          <w:sz w:val="24"/>
        </w:rPr>
        <w:t> </w:t>
      </w:r>
      <w:r>
        <w:rPr>
          <w:sz w:val="24"/>
        </w:rPr>
        <w:t>broadly</w:t>
      </w:r>
      <w:r>
        <w:rPr>
          <w:spacing w:val="6"/>
          <w:sz w:val="24"/>
        </w:rPr>
        <w:t> </w:t>
      </w:r>
      <w:r>
        <w:rPr>
          <w:sz w:val="24"/>
        </w:rPr>
        <w:t>flat interest rate profile implied by the market yield</w:t>
      </w:r>
      <w:r>
        <w:rPr>
          <w:spacing w:val="20"/>
          <w:sz w:val="24"/>
        </w:rPr>
        <w:t> </w:t>
      </w:r>
      <w:r>
        <w:rPr>
          <w:sz w:val="24"/>
        </w:rPr>
        <w:t>curve.</w:t>
      </w:r>
    </w:p>
    <w:p>
      <w:pPr>
        <w:pStyle w:val="BodyText"/>
        <w:rPr>
          <w:sz w:val="36"/>
        </w:rPr>
      </w:pPr>
    </w:p>
    <w:p>
      <w:pPr>
        <w:pStyle w:val="Heading1"/>
      </w:pPr>
      <w:r>
        <w:rPr/>
        <w:t>The immediate policy decision</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314" w:firstLine="0"/>
        <w:jc w:val="left"/>
        <w:rPr>
          <w:sz w:val="24"/>
        </w:rPr>
      </w:pPr>
      <w:r>
        <w:rPr>
          <w:spacing w:val="-3"/>
          <w:sz w:val="24"/>
        </w:rPr>
        <w:t>The main </w:t>
      </w:r>
      <w:r>
        <w:rPr>
          <w:sz w:val="24"/>
        </w:rPr>
        <w:t>news in financial markets over the past month had been the firming in </w:t>
      </w:r>
      <w:r>
        <w:rPr>
          <w:spacing w:val="-3"/>
          <w:sz w:val="24"/>
        </w:rPr>
        <w:t>short-term </w:t>
      </w:r>
      <w:r>
        <w:rPr>
          <w:sz w:val="24"/>
        </w:rPr>
        <w:t>interest rate expectations in the </w:t>
      </w:r>
      <w:r>
        <w:rPr>
          <w:spacing w:val="-5"/>
          <w:sz w:val="24"/>
        </w:rPr>
        <w:t>United </w:t>
      </w:r>
      <w:r>
        <w:rPr>
          <w:sz w:val="24"/>
        </w:rPr>
        <w:t>Kingdom </w:t>
      </w:r>
      <w:r>
        <w:rPr>
          <w:spacing w:val="-3"/>
          <w:sz w:val="24"/>
        </w:rPr>
        <w:t>and </w:t>
      </w:r>
      <w:r>
        <w:rPr>
          <w:sz w:val="24"/>
        </w:rPr>
        <w:t>internationally. Domestically, the markets </w:t>
      </w:r>
      <w:r>
        <w:rPr>
          <w:spacing w:val="3"/>
          <w:sz w:val="24"/>
        </w:rPr>
        <w:t>were </w:t>
      </w:r>
      <w:r>
        <w:rPr>
          <w:spacing w:val="-6"/>
          <w:sz w:val="24"/>
        </w:rPr>
        <w:t>no </w:t>
      </w:r>
      <w:r>
        <w:rPr>
          <w:sz w:val="24"/>
        </w:rPr>
        <w:t>longer pricing in a further reduction in interest rates as their central expectation. There had been little change in sterling or equity prices over the month, although the sterling effective exchange rate index had risen 1½% since the </w:t>
      </w:r>
      <w:r>
        <w:rPr>
          <w:spacing w:val="-3"/>
          <w:sz w:val="24"/>
        </w:rPr>
        <w:t>August </w:t>
      </w:r>
      <w:r>
        <w:rPr>
          <w:i/>
          <w:sz w:val="24"/>
        </w:rPr>
        <w:t>Inflation</w:t>
      </w:r>
      <w:r>
        <w:rPr>
          <w:i/>
          <w:spacing w:val="6"/>
          <w:sz w:val="24"/>
        </w:rPr>
        <w:t> </w:t>
      </w:r>
      <w:r>
        <w:rPr>
          <w:i/>
          <w:sz w:val="24"/>
        </w:rPr>
        <w:t>Report</w:t>
      </w:r>
      <w:r>
        <w:rPr>
          <w:sz w:val="24"/>
        </w:rPr>
        <w:t>.</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484" w:firstLine="0"/>
        <w:jc w:val="left"/>
        <w:rPr>
          <w:sz w:val="24"/>
        </w:rPr>
      </w:pPr>
      <w:r>
        <w:rPr>
          <w:sz w:val="24"/>
        </w:rPr>
        <w:t>The </w:t>
      </w:r>
      <w:r>
        <w:rPr>
          <w:spacing w:val="-3"/>
          <w:sz w:val="24"/>
        </w:rPr>
        <w:t>latest </w:t>
      </w:r>
      <w:r>
        <w:rPr>
          <w:sz w:val="24"/>
        </w:rPr>
        <w:t>international activity data seemed to have been at least as strong as expected. In particular, there were signs of firmer euro-area activity – albeit broadly consistent with the Committee’s August </w:t>
      </w:r>
      <w:r>
        <w:rPr>
          <w:i/>
          <w:sz w:val="24"/>
        </w:rPr>
        <w:t>Inflation Report </w:t>
      </w:r>
      <w:r>
        <w:rPr>
          <w:sz w:val="24"/>
        </w:rPr>
        <w:t>projections. The latest data </w:t>
      </w:r>
      <w:r>
        <w:rPr>
          <w:spacing w:val="-3"/>
          <w:sz w:val="24"/>
        </w:rPr>
        <w:t>suggested </w:t>
      </w:r>
      <w:r>
        <w:rPr>
          <w:spacing w:val="3"/>
          <w:sz w:val="24"/>
        </w:rPr>
        <w:t>that </w:t>
      </w:r>
      <w:r>
        <w:rPr>
          <w:sz w:val="24"/>
        </w:rPr>
        <w:t>GDP growth in</w:t>
      </w:r>
      <w:r>
        <w:rPr>
          <w:spacing w:val="15"/>
          <w:sz w:val="24"/>
        </w:rPr>
        <w:t> </w:t>
      </w:r>
      <w:r>
        <w:rPr>
          <w:spacing w:val="-2"/>
          <w:sz w:val="24"/>
        </w:rPr>
        <w:t>the</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0" w:lineRule="auto" w:before="90"/>
        <w:ind w:left="367" w:right="222"/>
      </w:pPr>
      <w:r>
        <w:rPr/>
        <w:t>United States remained robust. Although the oil price had fallen back a little, past rises in energy prices were still feeding through to headline producer and consumer price measures in both the United States and the euro area.</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169" w:firstLine="0"/>
        <w:jc w:val="left"/>
        <w:rPr>
          <w:sz w:val="24"/>
        </w:rPr>
      </w:pPr>
      <w:r>
        <w:rPr>
          <w:spacing w:val="-3"/>
          <w:sz w:val="24"/>
        </w:rPr>
        <w:t>The </w:t>
      </w:r>
      <w:r>
        <w:rPr>
          <w:sz w:val="24"/>
        </w:rPr>
        <w:t>official measure of output growth in the </w:t>
      </w:r>
      <w:r>
        <w:rPr>
          <w:spacing w:val="-5"/>
          <w:sz w:val="24"/>
        </w:rPr>
        <w:t>United </w:t>
      </w:r>
      <w:r>
        <w:rPr>
          <w:sz w:val="24"/>
        </w:rPr>
        <w:t>Kingdom had turned out a little weaker in Q3 than embodied in the Committee’s August central projection, suggesting that some of the</w:t>
      </w:r>
      <w:r>
        <w:rPr>
          <w:spacing w:val="-38"/>
          <w:sz w:val="24"/>
        </w:rPr>
        <w:t> </w:t>
      </w:r>
      <w:r>
        <w:rPr>
          <w:sz w:val="24"/>
        </w:rPr>
        <w:t>near-term downside risks identified then may </w:t>
      </w:r>
      <w:r>
        <w:rPr>
          <w:spacing w:val="-3"/>
          <w:sz w:val="24"/>
        </w:rPr>
        <w:t>have </w:t>
      </w:r>
      <w:r>
        <w:rPr>
          <w:sz w:val="24"/>
        </w:rPr>
        <w:t>materialised.  Nonetheless, there were signs that output growth in the second half of the year would be a little stronger than in the first half, and that Q1 might prove to </w:t>
      </w:r>
      <w:r>
        <w:rPr>
          <w:spacing w:val="-3"/>
          <w:sz w:val="24"/>
        </w:rPr>
        <w:t>have </w:t>
      </w:r>
      <w:r>
        <w:rPr>
          <w:spacing w:val="3"/>
          <w:sz w:val="24"/>
        </w:rPr>
        <w:t>been </w:t>
      </w:r>
      <w:r>
        <w:rPr>
          <w:sz w:val="24"/>
        </w:rPr>
        <w:t>the trough in GDP </w:t>
      </w:r>
      <w:r>
        <w:rPr>
          <w:spacing w:val="-5"/>
          <w:sz w:val="24"/>
        </w:rPr>
        <w:t>growth. </w:t>
      </w:r>
      <w:r>
        <w:rPr>
          <w:sz w:val="24"/>
        </w:rPr>
        <w:t>There remained a discrepancy between the official data and survey-based estimates of service sector growth. There was also a puzzle in the labour market: employment data seemed strong relative to output. Consequently, it was unclear how far capacity pressures had eased through</w:t>
      </w:r>
      <w:r>
        <w:rPr>
          <w:spacing w:val="-3"/>
          <w:sz w:val="24"/>
        </w:rPr>
        <w:t> </w:t>
      </w:r>
      <w:r>
        <w:rPr>
          <w:sz w:val="24"/>
        </w:rPr>
        <w:t>2005.</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8" w:right="206" w:firstLine="0"/>
        <w:jc w:val="left"/>
        <w:rPr>
          <w:sz w:val="24"/>
        </w:rPr>
      </w:pPr>
      <w:r>
        <w:rPr>
          <w:sz w:val="24"/>
        </w:rPr>
        <w:t>There remained uncertainty about the prospects for demand, particularly the near-term path of consumption. Household spending indicators were mixed: somewhat stronger retail sales and housing market indicators contrasted with weaker car sales and consumer confidence data. </w:t>
      </w:r>
      <w:r>
        <w:rPr>
          <w:spacing w:val="2"/>
          <w:sz w:val="24"/>
        </w:rPr>
        <w:t>The </w:t>
      </w:r>
      <w:r>
        <w:rPr>
          <w:sz w:val="24"/>
        </w:rPr>
        <w:t>latest surveys and the Bank’s regional Agents’ survey suggested that investment intentions remained subdued, despite the strength of corporate profits and the low level of long-term interest rates. Public demand growth was expected to remain robust. There was a </w:t>
      </w:r>
      <w:r>
        <w:rPr>
          <w:spacing w:val="-3"/>
          <w:sz w:val="24"/>
        </w:rPr>
        <w:t>range </w:t>
      </w:r>
      <w:r>
        <w:rPr>
          <w:sz w:val="24"/>
        </w:rPr>
        <w:t>of views among individual members </w:t>
      </w:r>
      <w:r>
        <w:rPr>
          <w:spacing w:val="-3"/>
          <w:sz w:val="24"/>
        </w:rPr>
        <w:t>concerning </w:t>
      </w:r>
      <w:r>
        <w:rPr>
          <w:sz w:val="24"/>
        </w:rPr>
        <w:t>the </w:t>
      </w:r>
      <w:r>
        <w:rPr>
          <w:spacing w:val="3"/>
          <w:sz w:val="24"/>
        </w:rPr>
        <w:t>likely </w:t>
      </w:r>
      <w:r>
        <w:rPr>
          <w:sz w:val="24"/>
        </w:rPr>
        <w:t>pace of demand growth over the forecast period. Some members believed </w:t>
      </w:r>
      <w:r>
        <w:rPr>
          <w:spacing w:val="-6"/>
          <w:sz w:val="24"/>
        </w:rPr>
        <w:t>that </w:t>
      </w:r>
      <w:r>
        <w:rPr>
          <w:sz w:val="24"/>
        </w:rPr>
        <w:t>the balance of risks to GDP growth was weighted slightly more on the downside in the second half of the forecast period.</w:t>
      </w:r>
    </w:p>
    <w:p>
      <w:pPr>
        <w:pStyle w:val="BodyText"/>
        <w:rPr>
          <w:sz w:val="36"/>
        </w:rPr>
      </w:pPr>
    </w:p>
    <w:p>
      <w:pPr>
        <w:pStyle w:val="ListParagraph"/>
        <w:numPr>
          <w:ilvl w:val="0"/>
          <w:numId w:val="1"/>
        </w:numPr>
        <w:tabs>
          <w:tab w:pos="931" w:val="left" w:leader="none"/>
          <w:tab w:pos="932" w:val="left" w:leader="none"/>
        </w:tabs>
        <w:spacing w:line="360" w:lineRule="auto" w:before="1" w:after="0"/>
        <w:ind w:left="368" w:right="214" w:firstLine="0"/>
        <w:jc w:val="left"/>
        <w:rPr>
          <w:sz w:val="24"/>
        </w:rPr>
      </w:pPr>
      <w:r>
        <w:rPr>
          <w:sz w:val="24"/>
        </w:rPr>
        <w:t>There was also considerable uncertainty about the impact of higher energy prices on inflation, both in the recent past and in the immediate future, and about the future path of energy prices. </w:t>
      </w:r>
      <w:r>
        <w:rPr>
          <w:spacing w:val="-3"/>
          <w:sz w:val="24"/>
        </w:rPr>
        <w:t>There </w:t>
      </w:r>
      <w:r>
        <w:rPr>
          <w:spacing w:val="2"/>
          <w:sz w:val="24"/>
        </w:rPr>
        <w:t>were,</w:t>
      </w:r>
      <w:r>
        <w:rPr>
          <w:spacing w:val="-10"/>
          <w:sz w:val="24"/>
        </w:rPr>
        <w:t> </w:t>
      </w:r>
      <w:r>
        <w:rPr>
          <w:spacing w:val="-3"/>
          <w:sz w:val="24"/>
        </w:rPr>
        <w:t>as</w:t>
      </w:r>
      <w:r>
        <w:rPr>
          <w:spacing w:val="-10"/>
          <w:sz w:val="24"/>
        </w:rPr>
        <w:t> </w:t>
      </w:r>
      <w:r>
        <w:rPr>
          <w:spacing w:val="-5"/>
          <w:sz w:val="24"/>
        </w:rPr>
        <w:t>yet,</w:t>
      </w:r>
      <w:r>
        <w:rPr>
          <w:spacing w:val="4"/>
          <w:sz w:val="24"/>
        </w:rPr>
        <w:t> </w:t>
      </w:r>
      <w:r>
        <w:rPr>
          <w:sz w:val="24"/>
        </w:rPr>
        <w:t>no</w:t>
      </w:r>
      <w:r>
        <w:rPr>
          <w:spacing w:val="-2"/>
          <w:sz w:val="24"/>
        </w:rPr>
        <w:t> </w:t>
      </w:r>
      <w:r>
        <w:rPr>
          <w:sz w:val="24"/>
        </w:rPr>
        <w:t>signs</w:t>
      </w:r>
      <w:r>
        <w:rPr>
          <w:spacing w:val="-3"/>
          <w:sz w:val="24"/>
        </w:rPr>
        <w:t> </w:t>
      </w:r>
      <w:r>
        <w:rPr>
          <w:sz w:val="24"/>
        </w:rPr>
        <w:t>of</w:t>
      </w:r>
      <w:r>
        <w:rPr>
          <w:spacing w:val="-2"/>
          <w:sz w:val="24"/>
        </w:rPr>
        <w:t> </w:t>
      </w:r>
      <w:r>
        <w:rPr>
          <w:sz w:val="24"/>
        </w:rPr>
        <w:t>second-round</w:t>
      </w:r>
      <w:r>
        <w:rPr>
          <w:spacing w:val="-4"/>
          <w:sz w:val="24"/>
        </w:rPr>
        <w:t> </w:t>
      </w:r>
      <w:r>
        <w:rPr>
          <w:sz w:val="24"/>
        </w:rPr>
        <w:t>effects</w:t>
      </w:r>
      <w:r>
        <w:rPr>
          <w:spacing w:val="-3"/>
          <w:sz w:val="24"/>
        </w:rPr>
        <w:t> </w:t>
      </w:r>
      <w:r>
        <w:rPr>
          <w:sz w:val="24"/>
        </w:rPr>
        <w:t>on</w:t>
      </w:r>
      <w:r>
        <w:rPr>
          <w:spacing w:val="-3"/>
          <w:sz w:val="24"/>
        </w:rPr>
        <w:t> </w:t>
      </w:r>
      <w:r>
        <w:rPr>
          <w:sz w:val="24"/>
        </w:rPr>
        <w:t>pay,</w:t>
      </w:r>
      <w:r>
        <w:rPr>
          <w:spacing w:val="-4"/>
          <w:sz w:val="24"/>
        </w:rPr>
        <w:t> </w:t>
      </w:r>
      <w:r>
        <w:rPr>
          <w:spacing w:val="2"/>
          <w:sz w:val="24"/>
        </w:rPr>
        <w:t>nor</w:t>
      </w:r>
      <w:r>
        <w:rPr>
          <w:spacing w:val="-2"/>
          <w:sz w:val="24"/>
        </w:rPr>
        <w:t> </w:t>
      </w:r>
      <w:r>
        <w:rPr>
          <w:sz w:val="24"/>
        </w:rPr>
        <w:t>of</w:t>
      </w:r>
      <w:r>
        <w:rPr>
          <w:spacing w:val="-2"/>
          <w:sz w:val="24"/>
        </w:rPr>
        <w:t> </w:t>
      </w:r>
      <w:r>
        <w:rPr>
          <w:sz w:val="24"/>
        </w:rPr>
        <w:t>medium-term</w:t>
      </w:r>
      <w:r>
        <w:rPr>
          <w:spacing w:val="-8"/>
          <w:sz w:val="24"/>
        </w:rPr>
        <w:t> </w:t>
      </w:r>
      <w:r>
        <w:rPr>
          <w:sz w:val="24"/>
        </w:rPr>
        <w:t>inflation</w:t>
      </w:r>
      <w:r>
        <w:rPr>
          <w:spacing w:val="-8"/>
          <w:sz w:val="24"/>
        </w:rPr>
        <w:t> </w:t>
      </w:r>
      <w:r>
        <w:rPr>
          <w:sz w:val="24"/>
        </w:rPr>
        <w:t>expectations</w:t>
      </w:r>
      <w:r>
        <w:rPr>
          <w:spacing w:val="-8"/>
          <w:sz w:val="24"/>
        </w:rPr>
        <w:t> </w:t>
      </w:r>
      <w:r>
        <w:rPr>
          <w:sz w:val="24"/>
        </w:rPr>
        <w:t>being dislodged. But the Committee would monitor </w:t>
      </w:r>
      <w:r>
        <w:rPr>
          <w:spacing w:val="-3"/>
          <w:sz w:val="24"/>
        </w:rPr>
        <w:t>those </w:t>
      </w:r>
      <w:r>
        <w:rPr>
          <w:sz w:val="24"/>
        </w:rPr>
        <w:t>effects carefully, and noted that January was an important month for private sector</w:t>
      </w:r>
      <w:r>
        <w:rPr>
          <w:spacing w:val="5"/>
          <w:sz w:val="24"/>
        </w:rPr>
        <w:t> </w:t>
      </w:r>
      <w:r>
        <w:rPr>
          <w:sz w:val="24"/>
        </w:rPr>
        <w:t>settlements.</w:t>
      </w:r>
    </w:p>
    <w:p>
      <w:pPr>
        <w:pStyle w:val="BodyText"/>
        <w:rPr>
          <w:sz w:val="36"/>
        </w:rPr>
      </w:pPr>
    </w:p>
    <w:p>
      <w:pPr>
        <w:pStyle w:val="ListParagraph"/>
        <w:numPr>
          <w:ilvl w:val="0"/>
          <w:numId w:val="1"/>
        </w:numPr>
        <w:tabs>
          <w:tab w:pos="931" w:val="left" w:leader="none"/>
          <w:tab w:pos="932" w:val="left" w:leader="none"/>
        </w:tabs>
        <w:spacing w:line="357" w:lineRule="auto" w:before="0" w:after="0"/>
        <w:ind w:left="368" w:right="495" w:firstLine="0"/>
        <w:jc w:val="left"/>
        <w:rPr>
          <w:sz w:val="24"/>
        </w:rPr>
      </w:pPr>
      <w:r>
        <w:rPr>
          <w:sz w:val="24"/>
        </w:rPr>
        <w:t>Looking ahead, output growth strengthened gradually under </w:t>
      </w:r>
      <w:r>
        <w:rPr>
          <w:spacing w:val="-5"/>
          <w:sz w:val="24"/>
        </w:rPr>
        <w:t>the </w:t>
      </w:r>
      <w:r>
        <w:rPr>
          <w:sz w:val="24"/>
        </w:rPr>
        <w:t>central projection, while inflation was close to target two years or so ahead. The risks around those central projections were evenly balanced, but there was </w:t>
      </w:r>
      <w:r>
        <w:rPr>
          <w:spacing w:val="-3"/>
          <w:sz w:val="24"/>
        </w:rPr>
        <w:t>more </w:t>
      </w:r>
      <w:r>
        <w:rPr>
          <w:sz w:val="24"/>
        </w:rPr>
        <w:t>uncertainty than usual about the near-term profile for </w:t>
      </w:r>
      <w:r>
        <w:rPr>
          <w:spacing w:val="-3"/>
          <w:sz w:val="24"/>
        </w:rPr>
        <w:t>inflation. </w:t>
      </w:r>
      <w:r>
        <w:rPr>
          <w:sz w:val="24"/>
        </w:rPr>
        <w:t>Against </w:t>
      </w:r>
      <w:r>
        <w:rPr>
          <w:spacing w:val="-3"/>
          <w:sz w:val="24"/>
        </w:rPr>
        <w:t>that </w:t>
      </w:r>
      <w:r>
        <w:rPr>
          <w:sz w:val="24"/>
        </w:rPr>
        <w:t>backdrop, the Committee agreed to maintain the repo rate at</w:t>
      </w:r>
      <w:r>
        <w:rPr>
          <w:spacing w:val="-1"/>
          <w:sz w:val="24"/>
        </w:rPr>
        <w:t> </w:t>
      </w:r>
      <w:r>
        <w:rPr>
          <w:sz w:val="24"/>
        </w:rPr>
        <w:t>4.5%.</w:t>
      </w:r>
    </w:p>
    <w:p>
      <w:pPr>
        <w:spacing w:after="0" w:line="357"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ListParagraph"/>
        <w:numPr>
          <w:ilvl w:val="0"/>
          <w:numId w:val="1"/>
        </w:numPr>
        <w:tabs>
          <w:tab w:pos="931" w:val="left" w:leader="none"/>
          <w:tab w:pos="932" w:val="left" w:leader="none"/>
        </w:tabs>
        <w:spacing w:line="355" w:lineRule="auto" w:before="90" w:after="0"/>
        <w:ind w:left="368" w:right="760" w:firstLine="0"/>
        <w:jc w:val="left"/>
        <w:rPr>
          <w:sz w:val="24"/>
        </w:rPr>
      </w:pPr>
      <w:r>
        <w:rPr>
          <w:sz w:val="24"/>
        </w:rPr>
        <w:t>The Governor invited the Committee to vote on the proposition that the repo rate should</w:t>
      </w:r>
      <w:r>
        <w:rPr>
          <w:spacing w:val="-43"/>
          <w:sz w:val="24"/>
        </w:rPr>
        <w:t> </w:t>
      </w:r>
      <w:r>
        <w:rPr>
          <w:sz w:val="24"/>
        </w:rPr>
        <w:t>be maintained at 4.5%. The Committee voted unanimously in favour of the</w:t>
      </w:r>
      <w:r>
        <w:rPr>
          <w:spacing w:val="-10"/>
          <w:sz w:val="24"/>
        </w:rPr>
        <w:t> </w:t>
      </w:r>
      <w:r>
        <w:rPr>
          <w:sz w:val="24"/>
        </w:rPr>
        <w:t>proposition.</w:t>
      </w:r>
    </w:p>
    <w:p>
      <w:pPr>
        <w:pStyle w:val="ListParagraph"/>
        <w:numPr>
          <w:ilvl w:val="0"/>
          <w:numId w:val="1"/>
        </w:numPr>
        <w:tabs>
          <w:tab w:pos="931" w:val="left" w:leader="none"/>
          <w:tab w:pos="932" w:val="left" w:leader="none"/>
        </w:tabs>
        <w:spacing w:line="550" w:lineRule="atLeast" w:before="133" w:after="0"/>
        <w:ind w:left="367" w:right="4130" w:firstLine="0"/>
        <w:jc w:val="left"/>
        <w:rPr>
          <w:sz w:val="24"/>
        </w:rPr>
      </w:pPr>
      <w:r>
        <w:rPr>
          <w:sz w:val="24"/>
        </w:rPr>
        <w:t>The following members of the Committee were</w:t>
      </w:r>
      <w:r>
        <w:rPr>
          <w:spacing w:val="-27"/>
          <w:sz w:val="24"/>
        </w:rPr>
        <w:t> </w:t>
      </w:r>
      <w:r>
        <w:rPr>
          <w:sz w:val="24"/>
        </w:rPr>
        <w:t>present: Mervyn King,</w:t>
      </w:r>
      <w:r>
        <w:rPr>
          <w:spacing w:val="18"/>
          <w:sz w:val="24"/>
        </w:rPr>
        <w:t> </w:t>
      </w:r>
      <w:r>
        <w:rPr>
          <w:sz w:val="24"/>
        </w:rPr>
        <w:t>Governor</w:t>
      </w:r>
    </w:p>
    <w:p>
      <w:pPr>
        <w:pStyle w:val="BodyText"/>
        <w:spacing w:before="2"/>
        <w:ind w:left="367" w:right="3215"/>
      </w:pPr>
      <w:r>
        <w:rPr/>
        <w:t>Rachel Lomax, Deputy Governor responsible for monetary policy Andrew Large, Deputy Governor responsible for financial stability Kate Barker</w:t>
      </w:r>
    </w:p>
    <w:p>
      <w:pPr>
        <w:pStyle w:val="BodyText"/>
        <w:ind w:left="367" w:right="8420"/>
      </w:pPr>
      <w:r>
        <w:rPr/>
        <w:t>Charles Bean Richard Lambert Stephen Nickell Paul Tucker David Walton</w:t>
      </w:r>
    </w:p>
    <w:p>
      <w:pPr>
        <w:pStyle w:val="BodyText"/>
      </w:pPr>
    </w:p>
    <w:p>
      <w:pPr>
        <w:pStyle w:val="BodyText"/>
        <w:ind w:left="367"/>
      </w:pPr>
      <w:r>
        <w:rPr/>
        <w:t>Nicholas Macpherson was present as the Treasury representative.</w:t>
      </w:r>
    </w:p>
    <w:sectPr>
      <w:pgSz w:w="11900" w:h="16840"/>
      <w:pgMar w:header="1134" w:footer="0" w:top="1380" w:bottom="280" w:left="7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187532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68" w:hanging="564"/>
        <w:jc w:val="left"/>
      </w:pPr>
      <w:rPr>
        <w:rFonts w:hint="default" w:ascii="Times New Roman" w:hAnsi="Times New Roman" w:eastAsia="Times New Roman" w:cs="Times New Roman"/>
        <w:spacing w:val="-13"/>
        <w:w w:val="99"/>
        <w:sz w:val="24"/>
        <w:szCs w:val="24"/>
      </w:rPr>
    </w:lvl>
    <w:lvl w:ilvl="1">
      <w:start w:val="0"/>
      <w:numFmt w:val="bullet"/>
      <w:lvlText w:val="•"/>
      <w:lvlJc w:val="left"/>
      <w:pPr>
        <w:ind w:left="1368" w:hanging="564"/>
      </w:pPr>
      <w:rPr>
        <w:rFonts w:hint="default"/>
      </w:rPr>
    </w:lvl>
    <w:lvl w:ilvl="2">
      <w:start w:val="0"/>
      <w:numFmt w:val="bullet"/>
      <w:lvlText w:val="•"/>
      <w:lvlJc w:val="left"/>
      <w:pPr>
        <w:ind w:left="2376" w:hanging="564"/>
      </w:pPr>
      <w:rPr>
        <w:rFonts w:hint="default"/>
      </w:rPr>
    </w:lvl>
    <w:lvl w:ilvl="3">
      <w:start w:val="0"/>
      <w:numFmt w:val="bullet"/>
      <w:lvlText w:val="•"/>
      <w:lvlJc w:val="left"/>
      <w:pPr>
        <w:ind w:left="3384" w:hanging="564"/>
      </w:pPr>
      <w:rPr>
        <w:rFonts w:hint="default"/>
      </w:rPr>
    </w:lvl>
    <w:lvl w:ilvl="4">
      <w:start w:val="0"/>
      <w:numFmt w:val="bullet"/>
      <w:lvlText w:val="•"/>
      <w:lvlJc w:val="left"/>
      <w:pPr>
        <w:ind w:left="4392" w:hanging="564"/>
      </w:pPr>
      <w:rPr>
        <w:rFonts w:hint="default"/>
      </w:rPr>
    </w:lvl>
    <w:lvl w:ilvl="5">
      <w:start w:val="0"/>
      <w:numFmt w:val="bullet"/>
      <w:lvlText w:val="•"/>
      <w:lvlJc w:val="left"/>
      <w:pPr>
        <w:ind w:left="5400" w:hanging="564"/>
      </w:pPr>
      <w:rPr>
        <w:rFonts w:hint="default"/>
      </w:rPr>
    </w:lvl>
    <w:lvl w:ilvl="6">
      <w:start w:val="0"/>
      <w:numFmt w:val="bullet"/>
      <w:lvlText w:val="•"/>
      <w:lvlJc w:val="left"/>
      <w:pPr>
        <w:ind w:left="6408" w:hanging="564"/>
      </w:pPr>
      <w:rPr>
        <w:rFonts w:hint="default"/>
      </w:rPr>
    </w:lvl>
    <w:lvl w:ilvl="7">
      <w:start w:val="0"/>
      <w:numFmt w:val="bullet"/>
      <w:lvlText w:val="•"/>
      <w:lvlJc w:val="left"/>
      <w:pPr>
        <w:ind w:left="7416" w:hanging="564"/>
      </w:pPr>
      <w:rPr>
        <w:rFonts w:hint="default"/>
      </w:rPr>
    </w:lvl>
    <w:lvl w:ilvl="8">
      <w:start w:val="0"/>
      <w:numFmt w:val="bullet"/>
      <w:lvlText w:val="•"/>
      <w:lvlJc w:val="left"/>
      <w:pPr>
        <w:ind w:left="8424" w:hanging="56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6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67" w:right="206"/>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5/mpc051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Meetings Minutes</dc:subject>
  <dc:title>Minutes of the Monetary Policy Committee Meeting held on 9 and 10 November 2005</dc:title>
  <dcterms:created xsi:type="dcterms:W3CDTF">2020-06-02T20:56:57Z</dcterms:created>
  <dcterms:modified xsi:type="dcterms:W3CDTF">2020-06-02T20:56:57Z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2005-12-22T00:00:00Z</vt:filetime>
  </property>
  <property fmtid="{D5CDD505-2E9C-101B-9397-08002B2CF9AE}" pid="3" name="Creator">
    <vt:lpwstr>November minutes - FINAL version - tuesady 221105 - Microsoft Word</vt:lpwstr>
  </property>
  <property fmtid="{D5CDD505-2E9C-101B-9397-08002B2CF9AE}" pid="4" name="LastSaved">
    <vt:filetime>2020-06-02T00:00:00Z</vt:filetime>
  </property>
</Properties>
</file>