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11910" w:h="16840"/>
          <w:pgMar w:top="1120" w:bottom="280" w:left="900" w:right="1180"/>
        </w:sect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spacing w:before="0"/>
        <w:ind w:left="234" w:right="0" w:firstLine="0"/>
        <w:jc w:val="left"/>
        <w:rPr>
          <w:sz w:val="24"/>
        </w:rPr>
      </w:pPr>
      <w:r>
        <w:rPr/>
        <w:pict>
          <v:shape style="position:absolute;margin-left:50.580002pt;margin-top:-28.013823pt;width:488.35pt;height:.1pt;mso-position-horizontal-relative:page;mso-position-vertical-relative:paragraph;z-index:251658240" coordorigin="1012,-560" coordsize="9767,0" path="m1012,-560l8228,-560m8214,-560l10778,-560e" filled="false" stroked="true" strokeweight="1.5pt" strokecolor="#00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-1563926</wp:posOffset>
            </wp:positionV>
            <wp:extent cx="2395283" cy="113385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283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A709F"/>
          <w:sz w:val="24"/>
        </w:rPr>
        <w:t>19 September 2019</w:t>
      </w:r>
    </w:p>
    <w:p>
      <w:pPr>
        <w:pStyle w:val="BodyText"/>
        <w:spacing w:before="3"/>
        <w:rPr>
          <w:sz w:val="31"/>
        </w:rPr>
      </w:pPr>
    </w:p>
    <w:p>
      <w:pPr>
        <w:spacing w:before="0"/>
        <w:ind w:left="234" w:right="0" w:firstLine="0"/>
        <w:jc w:val="left"/>
        <w:rPr>
          <w:b/>
          <w:sz w:val="24"/>
        </w:rPr>
      </w:pPr>
      <w:r>
        <w:rPr>
          <w:b/>
          <w:sz w:val="24"/>
        </w:rPr>
        <w:t>Monetary Policy Committee dates for 2020</w:t>
      </w:r>
    </w:p>
    <w:p>
      <w:pPr>
        <w:pStyle w:val="BodyText"/>
        <w:rPr>
          <w:b/>
          <w:sz w:val="26"/>
        </w:rPr>
      </w:pPr>
    </w:p>
    <w:p>
      <w:pPr>
        <w:pStyle w:val="Heading1"/>
        <w:spacing w:before="161"/>
        <w:ind w:left="234"/>
        <w:rPr>
          <w:u w:val="none"/>
        </w:rPr>
      </w:pPr>
      <w:r>
        <w:rPr>
          <w:u w:val="thick"/>
        </w:rPr>
        <w:t>2020 confirmed dates</w:t>
      </w:r>
    </w:p>
    <w:p>
      <w:pPr>
        <w:spacing w:line="276" w:lineRule="auto" w:before="95"/>
        <w:ind w:left="156" w:right="746" w:firstLine="0"/>
        <w:jc w:val="left"/>
        <w:rPr>
          <w:sz w:val="18"/>
        </w:rPr>
      </w:pPr>
      <w:r>
        <w:rPr/>
        <w:br w:type="column"/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020 3461</w:t>
      </w:r>
      <w:r>
        <w:rPr>
          <w:spacing w:val="-5"/>
          <w:sz w:val="18"/>
        </w:rPr>
        <w:t> </w:t>
      </w:r>
      <w:r>
        <w:rPr>
          <w:sz w:val="18"/>
        </w:rPr>
        <w:t>4411</w:t>
      </w:r>
    </w:p>
    <w:p>
      <w:pPr>
        <w:spacing w:line="276" w:lineRule="auto" w:before="2"/>
        <w:ind w:left="156" w:right="89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spacing w:after="0" w:line="276" w:lineRule="auto"/>
        <w:jc w:val="left"/>
        <w:rPr>
          <w:sz w:val="18"/>
        </w:rPr>
        <w:sectPr>
          <w:type w:val="continuous"/>
          <w:pgSz w:w="11910" w:h="16840"/>
          <w:pgMar w:top="1120" w:bottom="280" w:left="900" w:right="1180"/>
          <w:cols w:num="2" w:equalWidth="0">
            <w:col w:w="5102" w:space="2178"/>
            <w:col w:w="2550"/>
          </w:cols>
        </w:sectPr>
      </w:pPr>
    </w:p>
    <w:p>
      <w:pPr>
        <w:pStyle w:val="BodyText"/>
      </w:pPr>
    </w:p>
    <w:p>
      <w:pPr>
        <w:pStyle w:val="BodyText"/>
        <w:spacing w:before="1"/>
      </w:pPr>
    </w:p>
    <w:tbl>
      <w:tblPr>
        <w:tblW w:w="0" w:type="auto"/>
        <w:jc w:val="left"/>
        <w:tblInd w:w="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6"/>
        <w:gridCol w:w="4252"/>
      </w:tblGrid>
      <w:tr>
        <w:trPr>
          <w:trHeight w:val="350" w:hRule="atLeast"/>
        </w:trPr>
        <w:tc>
          <w:tcPr>
            <w:tcW w:w="5006" w:type="dxa"/>
          </w:tcPr>
          <w:p>
            <w:pPr>
              <w:pStyle w:val="TableParagraph"/>
              <w:spacing w:before="59"/>
              <w:rPr>
                <w:b/>
                <w:sz w:val="20"/>
              </w:rPr>
            </w:pPr>
            <w:r>
              <w:rPr>
                <w:b/>
                <w:sz w:val="20"/>
              </w:rPr>
              <w:t>MPC Announcement and Minutes Publication</w:t>
            </w:r>
          </w:p>
        </w:tc>
        <w:tc>
          <w:tcPr>
            <w:tcW w:w="4252" w:type="dxa"/>
          </w:tcPr>
          <w:p>
            <w:pPr>
              <w:pStyle w:val="TableParagraph"/>
              <w:spacing w:before="59"/>
              <w:ind w:left="423" w:right="411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Monetary Policy Report </w:t>
            </w:r>
            <w:r>
              <w:rPr>
                <w:b/>
                <w:sz w:val="20"/>
              </w:rPr>
              <w:t>Publication</w:t>
            </w:r>
          </w:p>
        </w:tc>
      </w:tr>
      <w:tr>
        <w:trPr>
          <w:trHeight w:val="350" w:hRule="atLeast"/>
        </w:trPr>
        <w:tc>
          <w:tcPr>
            <w:tcW w:w="50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Thursday 30 January</w:t>
            </w:r>
          </w:p>
        </w:tc>
        <w:tc>
          <w:tcPr>
            <w:tcW w:w="4252" w:type="dxa"/>
          </w:tcPr>
          <w:p>
            <w:pPr>
              <w:pStyle w:val="TableParagraph"/>
              <w:ind w:left="423" w:right="410"/>
              <w:rPr>
                <w:sz w:val="20"/>
              </w:rPr>
            </w:pPr>
            <w:r>
              <w:rPr>
                <w:sz w:val="20"/>
              </w:rPr>
              <w:t>Thursday 30 January</w:t>
            </w:r>
          </w:p>
        </w:tc>
      </w:tr>
      <w:tr>
        <w:trPr>
          <w:trHeight w:val="349" w:hRule="atLeast"/>
        </w:trPr>
        <w:tc>
          <w:tcPr>
            <w:tcW w:w="50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Thursday 26 March</w:t>
            </w:r>
          </w:p>
        </w:tc>
        <w:tc>
          <w:tcPr>
            <w:tcW w:w="4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50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Thursday 7 May</w:t>
            </w:r>
          </w:p>
        </w:tc>
        <w:tc>
          <w:tcPr>
            <w:tcW w:w="4252" w:type="dxa"/>
          </w:tcPr>
          <w:p>
            <w:pPr>
              <w:pStyle w:val="TableParagraph"/>
              <w:ind w:left="422" w:right="411"/>
              <w:rPr>
                <w:sz w:val="20"/>
              </w:rPr>
            </w:pPr>
            <w:r>
              <w:rPr>
                <w:sz w:val="20"/>
              </w:rPr>
              <w:t>Thursday 7 May</w:t>
            </w:r>
          </w:p>
        </w:tc>
      </w:tr>
      <w:tr>
        <w:trPr>
          <w:trHeight w:val="350" w:hRule="atLeast"/>
        </w:trPr>
        <w:tc>
          <w:tcPr>
            <w:tcW w:w="50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Thursday 18 June</w:t>
            </w:r>
          </w:p>
        </w:tc>
        <w:tc>
          <w:tcPr>
            <w:tcW w:w="4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50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Thursday 6 August</w:t>
            </w:r>
          </w:p>
        </w:tc>
        <w:tc>
          <w:tcPr>
            <w:tcW w:w="4252" w:type="dxa"/>
          </w:tcPr>
          <w:p>
            <w:pPr>
              <w:pStyle w:val="TableParagraph"/>
              <w:ind w:left="422" w:right="411"/>
              <w:rPr>
                <w:sz w:val="20"/>
              </w:rPr>
            </w:pPr>
            <w:r>
              <w:rPr>
                <w:sz w:val="20"/>
              </w:rPr>
              <w:t>Thursday 6 August</w:t>
            </w:r>
          </w:p>
        </w:tc>
      </w:tr>
      <w:tr>
        <w:trPr>
          <w:trHeight w:val="350" w:hRule="atLeast"/>
        </w:trPr>
        <w:tc>
          <w:tcPr>
            <w:tcW w:w="5006" w:type="dxa"/>
          </w:tcPr>
          <w:p>
            <w:pPr>
              <w:pStyle w:val="TableParagraph"/>
              <w:ind w:left="324"/>
              <w:rPr>
                <w:sz w:val="20"/>
              </w:rPr>
            </w:pPr>
            <w:r>
              <w:rPr>
                <w:sz w:val="20"/>
              </w:rPr>
              <w:t>Thursday 17 September</w:t>
            </w:r>
          </w:p>
        </w:tc>
        <w:tc>
          <w:tcPr>
            <w:tcW w:w="4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5006" w:type="dxa"/>
          </w:tcPr>
          <w:p>
            <w:pPr>
              <w:pStyle w:val="TableParagraph"/>
              <w:ind w:left="325"/>
              <w:rPr>
                <w:sz w:val="20"/>
              </w:rPr>
            </w:pPr>
            <w:r>
              <w:rPr>
                <w:sz w:val="20"/>
              </w:rPr>
              <w:t>Thursday 5 November</w:t>
            </w:r>
          </w:p>
        </w:tc>
        <w:tc>
          <w:tcPr>
            <w:tcW w:w="4252" w:type="dxa"/>
          </w:tcPr>
          <w:p>
            <w:pPr>
              <w:pStyle w:val="TableParagraph"/>
              <w:ind w:left="422" w:right="411"/>
              <w:rPr>
                <w:sz w:val="20"/>
              </w:rPr>
            </w:pPr>
            <w:r>
              <w:rPr>
                <w:sz w:val="20"/>
              </w:rPr>
              <w:t>Thursday 5 November</w:t>
            </w:r>
          </w:p>
        </w:tc>
      </w:tr>
      <w:tr>
        <w:trPr>
          <w:trHeight w:val="350" w:hRule="atLeast"/>
        </w:trPr>
        <w:tc>
          <w:tcPr>
            <w:tcW w:w="5006" w:type="dxa"/>
          </w:tcPr>
          <w:p>
            <w:pPr>
              <w:pStyle w:val="TableParagraph"/>
              <w:ind w:left="325"/>
              <w:rPr>
                <w:sz w:val="20"/>
              </w:rPr>
            </w:pPr>
            <w:r>
              <w:rPr>
                <w:sz w:val="20"/>
              </w:rPr>
              <w:t>Thursday 17 December</w:t>
            </w:r>
          </w:p>
        </w:tc>
        <w:tc>
          <w:tcPr>
            <w:tcW w:w="4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34"/>
      </w:pPr>
      <w:r>
        <w:rPr/>
        <w:t>Provisional dates for 2021 will be published alongside the MPC Announcement on 19 December 2019.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1"/>
        <w:ind w:left="233"/>
      </w:pPr>
      <w:r>
        <w:rPr/>
        <w:t>ENDS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rPr>
          <w:u w:val="none"/>
        </w:rPr>
      </w:pPr>
      <w:r>
        <w:rPr>
          <w:u w:val="none"/>
        </w:rPr>
        <w:t>Note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360" w:lineRule="auto" w:before="1"/>
        <w:ind w:left="233" w:right="606"/>
      </w:pPr>
      <w:r>
        <w:rPr/>
        <w:t>Further information about the Monetary Policy Committee (MPC) is available on the Bank’s website at </w:t>
      </w:r>
      <w:hyperlink r:id="rId8">
        <w:r>
          <w:rPr>
            <w:color w:val="0000FF"/>
            <w:u w:val="single" w:color="0000FF"/>
          </w:rPr>
          <w:t>https://www.bankofengl</w:t>
        </w:r>
      </w:hyperlink>
      <w:r>
        <w:rPr>
          <w:color w:val="0000FF"/>
          <w:u w:val="single" w:color="0000FF"/>
        </w:rPr>
        <w:t>and</w:t>
      </w:r>
      <w:hyperlink r:id="rId8">
        <w:r>
          <w:rPr>
            <w:color w:val="0000FF"/>
            <w:u w:val="single" w:color="0000FF"/>
          </w:rPr>
          <w:t>.co.uk/m</w:t>
        </w:r>
      </w:hyperlink>
      <w:r>
        <w:rPr>
          <w:color w:val="0000FF"/>
          <w:u w:val="single" w:color="0000FF"/>
        </w:rPr>
        <w:t>onet</w:t>
      </w:r>
      <w:hyperlink r:id="rId8">
        <w:r>
          <w:rPr>
            <w:color w:val="0000FF"/>
            <w:u w:val="single" w:color="0000FF"/>
          </w:rPr>
          <w:t>ary-policy</w:t>
        </w:r>
      </w:hyperlink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94"/>
        <w:ind w:left="234"/>
      </w:pPr>
      <w:r>
        <w:rPr/>
        <w:t>Enquiries to Bank of England Press Office, telephone 020 3461 4411.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340"/>
      </w:pPr>
      <w:r>
        <w:rPr/>
        <w:pict>
          <v:line style="position:absolute;mso-position-horizontal-relative:page;mso-position-vertical-relative:paragraph;z-index:251659264" from="56.639999pt,-11.559828pt" to="538.619999pt,-11.559828pt" stroked="true" strokeweight=".23999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20" w:bottom="280" w:left="9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233"/>
      <w:outlineLvl w:val="1"/>
    </w:pPr>
    <w:rPr>
      <w:rFonts w:ascii="Arial" w:hAnsi="Arial" w:eastAsia="Arial" w:cs="Arial"/>
      <w:b/>
      <w:bCs/>
      <w:sz w:val="20"/>
      <w:szCs w:val="20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58"/>
      <w:ind w:left="326" w:right="317"/>
      <w:jc w:val="center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-policy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News release - Monetary Policy Dates for 2020 confirmed</dc:subject>
  <dc:title>News release - Monetary Policy Dates for 2020 confirmed</dc:title>
  <dcterms:created xsi:type="dcterms:W3CDTF">2020-06-02T20:57:28Z</dcterms:created>
  <dcterms:modified xsi:type="dcterms:W3CDTF">2020-06-02T20:57:28Z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