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322"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 Matter of No Small Interest: Real Short-term Interest Rates and Inflation since the 1990s</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Marian Bell,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720"/>
        <w:rPr>
          <w:rFonts w:ascii="Arial"/>
        </w:rPr>
      </w:pPr>
      <w:r>
        <w:rPr>
          <w:rFonts w:ascii="Arial"/>
        </w:rPr>
        <w:t>To the Institute of Directors and Milton Keynes Chamber of Commerce at Cranfield University</w:t>
      </w:r>
    </w:p>
    <w:p>
      <w:pPr>
        <w:pStyle w:val="BodyText"/>
        <w:ind w:left="352"/>
        <w:rPr>
          <w:rFonts w:ascii="Arial"/>
        </w:rPr>
      </w:pPr>
      <w:r>
        <w:rPr>
          <w:rFonts w:ascii="Arial"/>
        </w:rPr>
        <w:t>2 March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0"/>
        </w:rPr>
      </w:pPr>
    </w:p>
    <w:p>
      <w:pPr>
        <w:spacing w:before="0"/>
        <w:ind w:left="352" w:right="504" w:firstLine="0"/>
        <w:jc w:val="left"/>
        <w:rPr>
          <w:rFonts w:ascii="Arial"/>
          <w:sz w:val="20"/>
        </w:rPr>
      </w:pPr>
      <w:r>
        <w:rPr>
          <w:rFonts w:ascii="Arial"/>
          <w:sz w:val="20"/>
        </w:rPr>
        <w:t>I would like to thank Lavan Mahadeva, Alex Muscatelli and Jonathan Marrow for their invaluable research assistance in preparing this speech; also Peter Andrews, Ryan Banerjee, Kate Barker, Charles Bean, Rebecca Driver, Mike Joyce, Mervyn King, Peter Lildholdt, Ben May, Michael Sawicki and Tony Yates for comments on an earlier draft. The cross-country analysis of real interest rates and inflation over the cycle presented here builds on earlier empirical work by Jenny Greenslade, Stuart Lee and Neil Parker. Luca Benati estimated the time series of conditional volatilities of UK interest rates and inflation. I am grateful to them all. The views expressed are my own and do not necessarily reflect those of either the Monetary Policy Committee or the Bank of England</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ListParagraph"/>
        <w:numPr>
          <w:ilvl w:val="0"/>
          <w:numId w:val="1"/>
        </w:numPr>
        <w:tabs>
          <w:tab w:pos="849" w:val="left" w:leader="none"/>
          <w:tab w:pos="850" w:val="left" w:leader="none"/>
        </w:tabs>
        <w:spacing w:line="312" w:lineRule="auto" w:before="76" w:after="0"/>
        <w:ind w:left="115" w:right="137" w:firstLine="0"/>
        <w:jc w:val="left"/>
        <w:rPr>
          <w:sz w:val="24"/>
        </w:rPr>
      </w:pPr>
      <w:r>
        <w:rPr>
          <w:sz w:val="24"/>
        </w:rPr>
        <w:t>UK inflation as measured by the Consumer Price </w:t>
      </w:r>
      <w:r>
        <w:rPr>
          <w:spacing w:val="-3"/>
          <w:sz w:val="24"/>
        </w:rPr>
        <w:t>Index </w:t>
      </w:r>
      <w:r>
        <w:rPr>
          <w:sz w:val="24"/>
        </w:rPr>
        <w:t>has </w:t>
      </w:r>
      <w:r>
        <w:rPr>
          <w:spacing w:val="-3"/>
          <w:sz w:val="24"/>
        </w:rPr>
        <w:t>fluctuated </w:t>
      </w:r>
      <w:r>
        <w:rPr>
          <w:sz w:val="24"/>
        </w:rPr>
        <w:t>in a </w:t>
      </w:r>
      <w:r>
        <w:rPr>
          <w:spacing w:val="-3"/>
          <w:sz w:val="24"/>
        </w:rPr>
        <w:t>relatively narrow band </w:t>
      </w:r>
      <w:r>
        <w:rPr>
          <w:sz w:val="24"/>
        </w:rPr>
        <w:t>of </w:t>
      </w:r>
      <w:r>
        <w:rPr>
          <w:spacing w:val="-3"/>
          <w:sz w:val="24"/>
        </w:rPr>
        <w:t>around </w:t>
      </w:r>
      <w:r>
        <w:rPr>
          <w:sz w:val="24"/>
        </w:rPr>
        <w:t>1/2 to 2% for eight </w:t>
      </w:r>
      <w:r>
        <w:rPr>
          <w:spacing w:val="-4"/>
          <w:sz w:val="24"/>
        </w:rPr>
        <w:t>years</w:t>
      </w:r>
      <w:r>
        <w:rPr>
          <w:i/>
          <w:spacing w:val="-4"/>
          <w:sz w:val="24"/>
        </w:rPr>
        <w:t>. </w:t>
      </w:r>
      <w:r>
        <w:rPr>
          <w:sz w:val="24"/>
        </w:rPr>
        <w:t>Much attention has recently been focused on why inflation has been so subdued and whether it will continue; two of my colleagues on the MPC, Richard</w:t>
      </w:r>
      <w:r>
        <w:rPr>
          <w:spacing w:val="-43"/>
          <w:sz w:val="24"/>
        </w:rPr>
        <w:t> </w:t>
      </w:r>
      <w:r>
        <w:rPr>
          <w:sz w:val="24"/>
        </w:rPr>
        <w:t>Lambert and Steve Nickell, </w:t>
      </w:r>
      <w:r>
        <w:rPr>
          <w:spacing w:val="-3"/>
          <w:sz w:val="24"/>
        </w:rPr>
        <w:t>have given speeches </w:t>
      </w:r>
      <w:r>
        <w:rPr>
          <w:sz w:val="24"/>
        </w:rPr>
        <w:t>on the</w:t>
      </w:r>
      <w:r>
        <w:rPr>
          <w:spacing w:val="36"/>
          <w:sz w:val="24"/>
        </w:rPr>
        <w:t> </w:t>
      </w:r>
      <w:r>
        <w:rPr>
          <w:sz w:val="24"/>
        </w:rPr>
        <w:t>subject</w:t>
      </w:r>
      <w:r>
        <w:rPr>
          <w:sz w:val="24"/>
          <w:vertAlign w:val="superscript"/>
        </w:rPr>
        <w:t>1</w:t>
      </w:r>
      <w:r>
        <w:rPr>
          <w:sz w:val="24"/>
          <w:vertAlign w:val="baseline"/>
        </w:rPr>
        <w:t>.</w:t>
      </w:r>
    </w:p>
    <w:p>
      <w:pPr>
        <w:pStyle w:val="BodyText"/>
        <w:spacing w:before="4"/>
        <w:rPr>
          <w:sz w:val="30"/>
        </w:rPr>
      </w:pPr>
    </w:p>
    <w:p>
      <w:pPr>
        <w:pStyle w:val="ListParagraph"/>
        <w:numPr>
          <w:ilvl w:val="0"/>
          <w:numId w:val="1"/>
        </w:numPr>
        <w:tabs>
          <w:tab w:pos="849" w:val="left" w:leader="none"/>
          <w:tab w:pos="850" w:val="left" w:leader="none"/>
        </w:tabs>
        <w:spacing w:line="312" w:lineRule="auto" w:before="1" w:after="0"/>
        <w:ind w:left="115" w:right="108" w:firstLine="0"/>
        <w:jc w:val="left"/>
        <w:rPr>
          <w:sz w:val="24"/>
        </w:rPr>
      </w:pPr>
      <w:r>
        <w:rPr>
          <w:sz w:val="24"/>
        </w:rPr>
        <w:t>One aspect that has surprised has been the combination of sustained low inflation and real rates of economic expansion that have by historical standards been relatively rapid. In a series of publications the MPC have pondered the reasons for the apparent change in the relationship between wage growth and unemployment in particular, and between demand pressure and price inflation more generally. The Committee concluded that a combination of increased potential </w:t>
      </w:r>
      <w:r>
        <w:rPr>
          <w:spacing w:val="-4"/>
          <w:sz w:val="24"/>
        </w:rPr>
        <w:t>supply </w:t>
      </w:r>
      <w:r>
        <w:rPr>
          <w:sz w:val="24"/>
        </w:rPr>
        <w:t>in </w:t>
      </w:r>
      <w:r>
        <w:rPr>
          <w:spacing w:val="-3"/>
          <w:sz w:val="24"/>
        </w:rPr>
        <w:t>the </w:t>
      </w:r>
      <w:r>
        <w:rPr>
          <w:spacing w:val="-4"/>
          <w:sz w:val="24"/>
        </w:rPr>
        <w:t>British </w:t>
      </w:r>
      <w:r>
        <w:rPr>
          <w:sz w:val="24"/>
        </w:rPr>
        <w:t>economy and a more favourable short-run trade-off between excess demand and inflation may have been responsible.</w:t>
      </w:r>
      <w:r>
        <w:rPr>
          <w:sz w:val="24"/>
          <w:vertAlign w:val="superscript"/>
        </w:rPr>
        <w:t>2</w:t>
      </w:r>
      <w:r>
        <w:rPr>
          <w:spacing w:val="16"/>
          <w:sz w:val="24"/>
          <w:vertAlign w:val="baseline"/>
        </w:rPr>
        <w:t> </w:t>
      </w:r>
      <w:r>
        <w:rPr>
          <w:sz w:val="24"/>
          <w:vertAlign w:val="baseline"/>
        </w:rPr>
        <w:t>In its central projections the Committee has assumed that this will continue to some </w:t>
      </w:r>
      <w:r>
        <w:rPr>
          <w:spacing w:val="-3"/>
          <w:sz w:val="24"/>
          <w:vertAlign w:val="baseline"/>
        </w:rPr>
        <w:t>degree, </w:t>
      </w:r>
      <w:r>
        <w:rPr>
          <w:sz w:val="24"/>
          <w:vertAlign w:val="baseline"/>
        </w:rPr>
        <w:t>at </w:t>
      </w:r>
      <w:r>
        <w:rPr>
          <w:spacing w:val="-3"/>
          <w:sz w:val="24"/>
          <w:vertAlign w:val="baseline"/>
        </w:rPr>
        <w:t>least </w:t>
      </w:r>
      <w:r>
        <w:rPr>
          <w:sz w:val="24"/>
          <w:vertAlign w:val="baseline"/>
        </w:rPr>
        <w:t>in the </w:t>
      </w:r>
      <w:r>
        <w:rPr>
          <w:spacing w:val="-3"/>
          <w:sz w:val="24"/>
          <w:vertAlign w:val="baseline"/>
        </w:rPr>
        <w:t>near</w:t>
      </w:r>
      <w:r>
        <w:rPr>
          <w:spacing w:val="48"/>
          <w:sz w:val="24"/>
          <w:vertAlign w:val="baseline"/>
        </w:rPr>
        <w:t> </w:t>
      </w:r>
      <w:r>
        <w:rPr>
          <w:spacing w:val="-7"/>
          <w:sz w:val="24"/>
          <w:vertAlign w:val="baseline"/>
        </w:rPr>
        <w:t>term.</w:t>
      </w:r>
    </w:p>
    <w:p>
      <w:pPr>
        <w:pStyle w:val="BodyText"/>
        <w:spacing w:before="1"/>
        <w:rPr>
          <w:sz w:val="32"/>
        </w:rPr>
      </w:pPr>
    </w:p>
    <w:p>
      <w:pPr>
        <w:pStyle w:val="ListParagraph"/>
        <w:numPr>
          <w:ilvl w:val="0"/>
          <w:numId w:val="1"/>
        </w:numPr>
        <w:tabs>
          <w:tab w:pos="849" w:val="left" w:leader="none"/>
          <w:tab w:pos="850" w:val="left" w:leader="none"/>
        </w:tabs>
        <w:spacing w:line="312" w:lineRule="auto" w:before="0" w:after="0"/>
        <w:ind w:left="115" w:right="203" w:firstLine="0"/>
        <w:jc w:val="left"/>
        <w:rPr>
          <w:sz w:val="24"/>
        </w:rPr>
      </w:pPr>
      <w:r>
        <w:rPr>
          <w:sz w:val="24"/>
        </w:rPr>
        <w:t>This evening I want to concentrate on another aspect to this apparent improvement in </w:t>
      </w:r>
      <w:r>
        <w:rPr>
          <w:spacing w:val="-2"/>
          <w:sz w:val="24"/>
        </w:rPr>
        <w:t>the </w:t>
      </w:r>
      <w:r>
        <w:rPr>
          <w:sz w:val="24"/>
        </w:rPr>
        <w:t>inflation-output trade-off: how is it </w:t>
      </w:r>
      <w:r>
        <w:rPr>
          <w:spacing w:val="-3"/>
          <w:sz w:val="24"/>
        </w:rPr>
        <w:t>that persistently </w:t>
      </w:r>
      <w:r>
        <w:rPr>
          <w:sz w:val="24"/>
        </w:rPr>
        <w:t>low </w:t>
      </w:r>
      <w:r>
        <w:rPr>
          <w:spacing w:val="-3"/>
          <w:sz w:val="24"/>
        </w:rPr>
        <w:t>inflation </w:t>
      </w:r>
      <w:r>
        <w:rPr>
          <w:sz w:val="24"/>
        </w:rPr>
        <w:t>and </w:t>
      </w:r>
      <w:r>
        <w:rPr>
          <w:spacing w:val="-3"/>
          <w:sz w:val="24"/>
        </w:rPr>
        <w:t>steady growth </w:t>
      </w:r>
      <w:r>
        <w:rPr>
          <w:sz w:val="24"/>
        </w:rPr>
        <w:t>in </w:t>
      </w:r>
      <w:r>
        <w:rPr>
          <w:spacing w:val="-3"/>
          <w:sz w:val="24"/>
        </w:rPr>
        <w:t>nominal </w:t>
      </w:r>
      <w:r>
        <w:rPr>
          <w:sz w:val="24"/>
        </w:rPr>
        <w:t>demand has been accompanied by such low short-term interest rates?</w:t>
      </w:r>
      <w:r>
        <w:rPr>
          <w:sz w:val="24"/>
          <w:vertAlign w:val="superscript"/>
        </w:rPr>
        <w:t>3</w:t>
      </w:r>
      <w:r>
        <w:rPr>
          <w:sz w:val="24"/>
          <w:vertAlign w:val="baseline"/>
        </w:rPr>
        <w:t> UK official </w:t>
      </w:r>
      <w:r>
        <w:rPr>
          <w:spacing w:val="-3"/>
          <w:sz w:val="24"/>
          <w:vertAlign w:val="baseline"/>
        </w:rPr>
        <w:t>interest rates have </w:t>
      </w:r>
      <w:r>
        <w:rPr>
          <w:sz w:val="24"/>
          <w:vertAlign w:val="baseline"/>
        </w:rPr>
        <w:t>peaked at successively lower levels: 15% in 1989, 7½% in 1998 and 6% in 2000. Rates troughed at 3½% in </w:t>
      </w:r>
      <w:r>
        <w:rPr>
          <w:spacing w:val="-3"/>
          <w:sz w:val="24"/>
          <w:vertAlign w:val="baseline"/>
        </w:rPr>
        <w:t>2003. </w:t>
      </w:r>
      <w:r>
        <w:rPr>
          <w:sz w:val="24"/>
          <w:vertAlign w:val="baseline"/>
        </w:rPr>
        <w:t>And </w:t>
      </w:r>
      <w:r>
        <w:rPr>
          <w:spacing w:val="-3"/>
          <w:sz w:val="24"/>
          <w:vertAlign w:val="baseline"/>
        </w:rPr>
        <w:t>this phenomenon </w:t>
      </w:r>
      <w:r>
        <w:rPr>
          <w:sz w:val="24"/>
          <w:vertAlign w:val="baseline"/>
        </w:rPr>
        <w:t>is not </w:t>
      </w:r>
      <w:r>
        <w:rPr>
          <w:spacing w:val="-3"/>
          <w:sz w:val="24"/>
          <w:vertAlign w:val="baseline"/>
        </w:rPr>
        <w:t>just confined </w:t>
      </w:r>
      <w:r>
        <w:rPr>
          <w:sz w:val="24"/>
          <w:vertAlign w:val="baseline"/>
        </w:rPr>
        <w:t>to the UK. </w:t>
      </w:r>
      <w:r>
        <w:rPr>
          <w:spacing w:val="-3"/>
          <w:sz w:val="24"/>
          <w:vertAlign w:val="baseline"/>
        </w:rPr>
        <w:t>Across </w:t>
      </w:r>
      <w:r>
        <w:rPr>
          <w:sz w:val="24"/>
          <w:vertAlign w:val="baseline"/>
        </w:rPr>
        <w:t>a </w:t>
      </w:r>
      <w:r>
        <w:rPr>
          <w:spacing w:val="-3"/>
          <w:sz w:val="24"/>
          <w:vertAlign w:val="baseline"/>
        </w:rPr>
        <w:t>wide range </w:t>
      </w:r>
      <w:r>
        <w:rPr>
          <w:sz w:val="24"/>
          <w:vertAlign w:val="baseline"/>
        </w:rPr>
        <w:t>of </w:t>
      </w:r>
      <w:r>
        <w:rPr>
          <w:spacing w:val="-3"/>
          <w:sz w:val="24"/>
          <w:vertAlign w:val="baseline"/>
        </w:rPr>
        <w:t>major </w:t>
      </w:r>
      <w:r>
        <w:rPr>
          <w:sz w:val="24"/>
          <w:vertAlign w:val="baseline"/>
        </w:rPr>
        <w:t>industrialised economies </w:t>
      </w:r>
      <w:r>
        <w:rPr>
          <w:spacing w:val="2"/>
          <w:sz w:val="24"/>
          <w:vertAlign w:val="baseline"/>
        </w:rPr>
        <w:t>both </w:t>
      </w:r>
      <w:r>
        <w:rPr>
          <w:sz w:val="24"/>
          <w:vertAlign w:val="baseline"/>
        </w:rPr>
        <w:t>inflation and </w:t>
      </w:r>
      <w:r>
        <w:rPr>
          <w:spacing w:val="-3"/>
          <w:sz w:val="24"/>
          <w:vertAlign w:val="baseline"/>
        </w:rPr>
        <w:t>short-term interest rates have been unusually </w:t>
      </w:r>
      <w:r>
        <w:rPr>
          <w:sz w:val="24"/>
          <w:vertAlign w:val="baseline"/>
        </w:rPr>
        <w:t>low in </w:t>
      </w:r>
      <w:r>
        <w:rPr>
          <w:spacing w:val="-3"/>
          <w:sz w:val="24"/>
          <w:vertAlign w:val="baseline"/>
        </w:rPr>
        <w:t>recent </w:t>
      </w:r>
      <w:r>
        <w:rPr>
          <w:spacing w:val="-2"/>
          <w:sz w:val="24"/>
          <w:vertAlign w:val="baseline"/>
        </w:rPr>
        <w:t>years.</w:t>
      </w:r>
    </w:p>
    <w:p>
      <w:pPr>
        <w:pStyle w:val="BodyText"/>
        <w:spacing w:before="9"/>
        <w:rPr>
          <w:sz w:val="30"/>
        </w:rPr>
      </w:pPr>
    </w:p>
    <w:p>
      <w:pPr>
        <w:pStyle w:val="ListParagraph"/>
        <w:numPr>
          <w:ilvl w:val="0"/>
          <w:numId w:val="1"/>
        </w:numPr>
        <w:tabs>
          <w:tab w:pos="849" w:val="left" w:leader="none"/>
          <w:tab w:pos="850" w:val="left" w:leader="none"/>
        </w:tabs>
        <w:spacing w:line="312" w:lineRule="auto" w:before="0" w:after="0"/>
        <w:ind w:left="115" w:right="238" w:firstLine="0"/>
        <w:jc w:val="left"/>
        <w:rPr>
          <w:sz w:val="24"/>
        </w:rPr>
      </w:pPr>
      <w:r>
        <w:rPr>
          <w:sz w:val="24"/>
        </w:rPr>
        <w:t>One explanation for persistently low short-term interest </w:t>
      </w:r>
      <w:r>
        <w:rPr>
          <w:spacing w:val="-3"/>
          <w:sz w:val="24"/>
        </w:rPr>
        <w:t>rates </w:t>
      </w:r>
      <w:r>
        <w:rPr>
          <w:sz w:val="24"/>
        </w:rPr>
        <w:t>in the major economies is </w:t>
      </w:r>
      <w:r>
        <w:rPr>
          <w:spacing w:val="-3"/>
          <w:sz w:val="24"/>
        </w:rPr>
        <w:t>of course </w:t>
      </w:r>
      <w:r>
        <w:rPr>
          <w:sz w:val="24"/>
        </w:rPr>
        <w:t>low </w:t>
      </w:r>
      <w:r>
        <w:rPr>
          <w:spacing w:val="-3"/>
          <w:sz w:val="24"/>
        </w:rPr>
        <w:t>inflation itself. </w:t>
      </w:r>
      <w:r>
        <w:rPr>
          <w:sz w:val="24"/>
        </w:rPr>
        <w:t>The </w:t>
      </w:r>
      <w:r>
        <w:rPr>
          <w:spacing w:val="-3"/>
          <w:sz w:val="24"/>
        </w:rPr>
        <w:t>lower inflation, </w:t>
      </w:r>
      <w:r>
        <w:rPr>
          <w:sz w:val="24"/>
        </w:rPr>
        <w:t>the </w:t>
      </w:r>
      <w:r>
        <w:rPr>
          <w:spacing w:val="-3"/>
          <w:sz w:val="24"/>
        </w:rPr>
        <w:t>lower nominal interest rates </w:t>
      </w:r>
      <w:r>
        <w:rPr>
          <w:sz w:val="24"/>
        </w:rPr>
        <w:t>can be </w:t>
      </w:r>
      <w:r>
        <w:rPr>
          <w:spacing w:val="-3"/>
          <w:sz w:val="24"/>
        </w:rPr>
        <w:t>for </w:t>
      </w:r>
      <w:r>
        <w:rPr>
          <w:sz w:val="24"/>
        </w:rPr>
        <w:t>a </w:t>
      </w:r>
      <w:r>
        <w:rPr>
          <w:spacing w:val="-4"/>
          <w:sz w:val="24"/>
        </w:rPr>
        <w:t>given real </w:t>
      </w:r>
      <w:r>
        <w:rPr>
          <w:sz w:val="24"/>
        </w:rPr>
        <w:t>return. But that isn’t the whole story. Even adjusting for inflation, short-term real interest rates have been low. The average </w:t>
      </w:r>
      <w:r>
        <w:rPr>
          <w:spacing w:val="-4"/>
          <w:sz w:val="24"/>
        </w:rPr>
        <w:t>ex-post </w:t>
      </w:r>
      <w:r>
        <w:rPr>
          <w:sz w:val="24"/>
        </w:rPr>
        <w:t>real rate </w:t>
      </w:r>
      <w:r>
        <w:rPr>
          <w:spacing w:val="-3"/>
          <w:sz w:val="24"/>
        </w:rPr>
        <w:t>in </w:t>
      </w:r>
      <w:r>
        <w:rPr>
          <w:spacing w:val="-4"/>
          <w:sz w:val="24"/>
        </w:rPr>
        <w:t>the </w:t>
      </w:r>
      <w:r>
        <w:rPr>
          <w:spacing w:val="-3"/>
          <w:sz w:val="24"/>
        </w:rPr>
        <w:t>UK </w:t>
      </w:r>
      <w:r>
        <w:rPr>
          <w:sz w:val="24"/>
        </w:rPr>
        <w:t>rose to over 2% </w:t>
      </w:r>
      <w:r>
        <w:rPr>
          <w:spacing w:val="-6"/>
          <w:sz w:val="24"/>
        </w:rPr>
        <w:t>in </w:t>
      </w:r>
      <w:r>
        <w:rPr>
          <w:spacing w:val="-3"/>
          <w:sz w:val="24"/>
        </w:rPr>
        <w:t>2004, </w:t>
      </w:r>
      <w:r>
        <w:rPr>
          <w:sz w:val="24"/>
        </w:rPr>
        <w:t>up </w:t>
      </w:r>
      <w:r>
        <w:rPr>
          <w:spacing w:val="-3"/>
          <w:sz w:val="24"/>
        </w:rPr>
        <w:t>from </w:t>
      </w:r>
      <w:r>
        <w:rPr>
          <w:sz w:val="24"/>
        </w:rPr>
        <w:t>a low in </w:t>
      </w:r>
      <w:r>
        <w:rPr>
          <w:spacing w:val="-3"/>
          <w:sz w:val="24"/>
        </w:rPr>
        <w:t>2003 </w:t>
      </w:r>
      <w:r>
        <w:rPr>
          <w:spacing w:val="2"/>
          <w:sz w:val="24"/>
        </w:rPr>
        <w:t>but </w:t>
      </w:r>
      <w:r>
        <w:rPr>
          <w:spacing w:val="-3"/>
          <w:sz w:val="24"/>
        </w:rPr>
        <w:t>still short </w:t>
      </w:r>
      <w:r>
        <w:rPr>
          <w:sz w:val="24"/>
        </w:rPr>
        <w:t>of the </w:t>
      </w:r>
      <w:r>
        <w:rPr>
          <w:spacing w:val="-3"/>
          <w:sz w:val="24"/>
        </w:rPr>
        <w:t>near </w:t>
      </w:r>
      <w:r>
        <w:rPr>
          <w:sz w:val="24"/>
        </w:rPr>
        <w:t>7% level it reached in 1990.</w:t>
      </w:r>
      <w:r>
        <w:rPr>
          <w:sz w:val="24"/>
          <w:vertAlign w:val="superscript"/>
        </w:rPr>
        <w:t>4</w:t>
      </w:r>
      <w:r>
        <w:rPr>
          <w:sz w:val="24"/>
          <w:vertAlign w:val="baseline"/>
        </w:rPr>
        <w:t> </w:t>
      </w:r>
      <w:r>
        <w:rPr>
          <w:spacing w:val="-3"/>
          <w:sz w:val="24"/>
          <w:vertAlign w:val="baseline"/>
        </w:rPr>
        <w:t>Using </w:t>
      </w:r>
      <w:r>
        <w:rPr>
          <w:sz w:val="24"/>
          <w:vertAlign w:val="baseline"/>
        </w:rPr>
        <w:t>an </w:t>
      </w:r>
      <w:r>
        <w:rPr>
          <w:spacing w:val="-3"/>
          <w:sz w:val="24"/>
          <w:vertAlign w:val="baseline"/>
        </w:rPr>
        <w:t>eclectic </w:t>
      </w:r>
      <w:r>
        <w:rPr>
          <w:sz w:val="24"/>
          <w:vertAlign w:val="baseline"/>
        </w:rPr>
        <w:t>mix of </w:t>
      </w:r>
      <w:r>
        <w:rPr>
          <w:spacing w:val="-3"/>
          <w:sz w:val="24"/>
          <w:vertAlign w:val="baseline"/>
        </w:rPr>
        <w:t>methodologies for </w:t>
      </w:r>
      <w:r>
        <w:rPr>
          <w:sz w:val="24"/>
          <w:vertAlign w:val="baseline"/>
        </w:rPr>
        <w:t>estimating real interest rates, Larsen, May and Talbot (2003), find a step down in 1- </w:t>
      </w:r>
      <w:r>
        <w:rPr>
          <w:spacing w:val="-3"/>
          <w:sz w:val="24"/>
          <w:vertAlign w:val="baseline"/>
        </w:rPr>
        <w:t>year real interest </w:t>
      </w:r>
      <w:r>
        <w:rPr>
          <w:sz w:val="24"/>
          <w:vertAlign w:val="baseline"/>
        </w:rPr>
        <w:t>rates in the UK at around the time of the introduction of inflation targeting </w:t>
      </w:r>
      <w:r>
        <w:rPr>
          <w:spacing w:val="-3"/>
          <w:sz w:val="24"/>
          <w:vertAlign w:val="baseline"/>
        </w:rPr>
        <w:t>in</w:t>
      </w:r>
      <w:r>
        <w:rPr>
          <w:spacing w:val="34"/>
          <w:sz w:val="24"/>
          <w:vertAlign w:val="baseline"/>
        </w:rPr>
        <w:t> </w:t>
      </w:r>
      <w:r>
        <w:rPr>
          <w:spacing w:val="-5"/>
          <w:sz w:val="24"/>
          <w:vertAlign w:val="baseline"/>
        </w:rPr>
        <w:t>1992.</w:t>
      </w:r>
    </w:p>
    <w:p>
      <w:pPr>
        <w:pStyle w:val="BodyText"/>
        <w:spacing w:before="1"/>
        <w:rPr>
          <w:sz w:val="32"/>
        </w:rPr>
      </w:pPr>
    </w:p>
    <w:p>
      <w:pPr>
        <w:pStyle w:val="ListParagraph"/>
        <w:numPr>
          <w:ilvl w:val="0"/>
          <w:numId w:val="1"/>
        </w:numPr>
        <w:tabs>
          <w:tab w:pos="849" w:val="left" w:leader="none"/>
          <w:tab w:pos="850" w:val="left" w:leader="none"/>
        </w:tabs>
        <w:spacing w:line="312" w:lineRule="auto" w:before="0" w:after="0"/>
        <w:ind w:left="115" w:right="353" w:firstLine="0"/>
        <w:jc w:val="left"/>
        <w:rPr>
          <w:sz w:val="24"/>
        </w:rPr>
      </w:pPr>
      <w:r>
        <w:rPr>
          <w:sz w:val="24"/>
        </w:rPr>
        <w:t>Indeed, </w:t>
      </w:r>
      <w:r>
        <w:rPr>
          <w:spacing w:val="-3"/>
          <w:sz w:val="24"/>
        </w:rPr>
        <w:t>it </w:t>
      </w:r>
      <w:r>
        <w:rPr>
          <w:spacing w:val="-5"/>
          <w:sz w:val="24"/>
        </w:rPr>
        <w:t>appears </w:t>
      </w:r>
      <w:r>
        <w:rPr>
          <w:spacing w:val="-3"/>
          <w:sz w:val="24"/>
        </w:rPr>
        <w:t>that </w:t>
      </w:r>
      <w:r>
        <w:rPr>
          <w:sz w:val="24"/>
        </w:rPr>
        <w:t>the </w:t>
      </w:r>
      <w:r>
        <w:rPr>
          <w:spacing w:val="-3"/>
          <w:sz w:val="24"/>
        </w:rPr>
        <w:t>lower </w:t>
      </w:r>
      <w:r>
        <w:rPr>
          <w:sz w:val="24"/>
        </w:rPr>
        <w:t>the </w:t>
      </w:r>
      <w:r>
        <w:rPr>
          <w:spacing w:val="-3"/>
          <w:sz w:val="24"/>
        </w:rPr>
        <w:t>inflation rate, </w:t>
      </w:r>
      <w:r>
        <w:rPr>
          <w:sz w:val="24"/>
        </w:rPr>
        <w:t>the </w:t>
      </w:r>
      <w:r>
        <w:rPr>
          <w:spacing w:val="-3"/>
          <w:sz w:val="24"/>
        </w:rPr>
        <w:t>lower </w:t>
      </w:r>
      <w:r>
        <w:rPr>
          <w:sz w:val="24"/>
        </w:rPr>
        <w:t>the </w:t>
      </w:r>
      <w:r>
        <w:rPr>
          <w:spacing w:val="-3"/>
          <w:sz w:val="24"/>
        </w:rPr>
        <w:t>real, inflation adjusted short- </w:t>
      </w:r>
      <w:r>
        <w:rPr>
          <w:sz w:val="24"/>
        </w:rPr>
        <w:t>term interest rate over the economic</w:t>
      </w:r>
      <w:r>
        <w:rPr>
          <w:spacing w:val="14"/>
          <w:sz w:val="24"/>
        </w:rPr>
        <w:t> </w:t>
      </w:r>
      <w:r>
        <w:rPr>
          <w:spacing w:val="-2"/>
          <w:sz w:val="24"/>
        </w:rPr>
        <w:t>cycle.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0"/>
        </w:rPr>
      </w:pPr>
    </w:p>
    <w:p>
      <w:pPr>
        <w:spacing w:line="205" w:lineRule="exact" w:before="0"/>
        <w:ind w:left="115" w:right="0" w:firstLine="0"/>
        <w:jc w:val="left"/>
        <w:rPr>
          <w:sz w:val="19"/>
        </w:rPr>
      </w:pPr>
      <w:r>
        <w:rPr>
          <w:w w:val="105"/>
          <w:sz w:val="19"/>
        </w:rPr>
        <w:t>___________________________________________________________________________________________________</w:t>
      </w:r>
    </w:p>
    <w:p>
      <w:pPr>
        <w:spacing w:line="233" w:lineRule="exact" w:before="0"/>
        <w:ind w:left="115" w:right="0" w:firstLine="0"/>
        <w:jc w:val="left"/>
        <w:rPr>
          <w:sz w:val="19"/>
        </w:rPr>
      </w:pPr>
      <w:r>
        <w:rPr>
          <w:w w:val="105"/>
          <w:position w:val="9"/>
          <w:sz w:val="13"/>
        </w:rPr>
        <w:t>1 </w:t>
      </w:r>
      <w:r>
        <w:rPr>
          <w:w w:val="105"/>
          <w:sz w:val="19"/>
        </w:rPr>
        <w:t>Lambert (2004), Nickell (2005).</w:t>
      </w:r>
    </w:p>
    <w:p>
      <w:pPr>
        <w:spacing w:line="233" w:lineRule="exact" w:before="0"/>
        <w:ind w:left="115" w:right="0" w:firstLine="0"/>
        <w:jc w:val="left"/>
        <w:rPr>
          <w:sz w:val="19"/>
        </w:rPr>
      </w:pPr>
      <w:r>
        <w:rPr>
          <w:w w:val="105"/>
          <w:position w:val="9"/>
          <w:sz w:val="13"/>
        </w:rPr>
        <w:t>2 </w:t>
      </w:r>
      <w:r>
        <w:rPr>
          <w:w w:val="105"/>
          <w:sz w:val="19"/>
        </w:rPr>
        <w:t>See for instance MPC Minutes February 2004 and November 2004, </w:t>
      </w:r>
      <w:r>
        <w:rPr>
          <w:i/>
          <w:w w:val="105"/>
          <w:sz w:val="19"/>
        </w:rPr>
        <w:t>Inflation Report </w:t>
      </w:r>
      <w:r>
        <w:rPr>
          <w:w w:val="105"/>
          <w:sz w:val="19"/>
        </w:rPr>
        <w:t>February 2004, February 2005.</w:t>
      </w:r>
    </w:p>
    <w:p>
      <w:pPr>
        <w:spacing w:line="226" w:lineRule="exact" w:before="17"/>
        <w:ind w:left="115" w:right="86" w:firstLine="0"/>
        <w:jc w:val="left"/>
        <w:rPr>
          <w:sz w:val="19"/>
        </w:rPr>
      </w:pPr>
      <w:r>
        <w:rPr>
          <w:w w:val="105"/>
          <w:position w:val="9"/>
          <w:sz w:val="13"/>
        </w:rPr>
        <w:t>3 </w:t>
      </w:r>
      <w:r>
        <w:rPr>
          <w:w w:val="105"/>
          <w:sz w:val="19"/>
        </w:rPr>
        <w:t>This is a separate but related issue to that of low long-term interest rates and the low expected future short-term rates that are embodied in them.</w:t>
      </w:r>
    </w:p>
    <w:p>
      <w:pPr>
        <w:spacing w:line="235" w:lineRule="exact" w:before="0"/>
        <w:ind w:left="115" w:right="0" w:firstLine="0"/>
        <w:jc w:val="left"/>
        <w:rPr>
          <w:sz w:val="19"/>
        </w:rPr>
      </w:pPr>
      <w:r>
        <w:rPr>
          <w:w w:val="105"/>
          <w:position w:val="9"/>
          <w:sz w:val="13"/>
        </w:rPr>
        <w:t>4 </w:t>
      </w:r>
      <w:r>
        <w:rPr>
          <w:w w:val="105"/>
          <w:sz w:val="19"/>
        </w:rPr>
        <w:t>Calculated by subtracting average annual RPIX inflation from the annual average base rate.</w:t>
      </w:r>
    </w:p>
    <w:p>
      <w:pPr>
        <w:spacing w:after="0" w:line="235" w:lineRule="exact"/>
        <w:jc w:val="left"/>
        <w:rPr>
          <w:sz w:val="19"/>
        </w:rPr>
        <w:sectPr>
          <w:footerReference w:type="default" r:id="rId7"/>
          <w:pgSz w:w="11920" w:h="16840"/>
          <w:pgMar w:footer="713" w:header="0" w:top="1180" w:bottom="900" w:left="1040" w:right="760"/>
          <w:pgNumType w:start="2"/>
        </w:sectPr>
      </w:pPr>
    </w:p>
    <w:p>
      <w:pPr>
        <w:pStyle w:val="ListParagraph"/>
        <w:numPr>
          <w:ilvl w:val="0"/>
          <w:numId w:val="1"/>
        </w:numPr>
        <w:tabs>
          <w:tab w:pos="849" w:val="left" w:leader="none"/>
          <w:tab w:pos="850" w:val="left" w:leader="none"/>
        </w:tabs>
        <w:spacing w:line="312" w:lineRule="auto" w:before="116" w:after="0"/>
        <w:ind w:left="115" w:right="110" w:firstLine="0"/>
        <w:jc w:val="left"/>
        <w:rPr>
          <w:sz w:val="24"/>
        </w:rPr>
      </w:pPr>
      <w:r>
        <w:rPr>
          <w:sz w:val="24"/>
        </w:rPr>
        <w:t>Chart 1 shows an empirical observation I became aware of some </w:t>
      </w:r>
      <w:r>
        <w:rPr>
          <w:spacing w:val="-4"/>
          <w:sz w:val="24"/>
        </w:rPr>
        <w:t>years </w:t>
      </w:r>
      <w:r>
        <w:rPr>
          <w:spacing w:val="-3"/>
          <w:sz w:val="24"/>
        </w:rPr>
        <w:t>ago </w:t>
      </w:r>
      <w:r>
        <w:rPr>
          <w:spacing w:val="3"/>
          <w:sz w:val="24"/>
          <w:vertAlign w:val="superscript"/>
        </w:rPr>
        <w:t>5</w:t>
      </w:r>
      <w:r>
        <w:rPr>
          <w:spacing w:val="3"/>
          <w:sz w:val="24"/>
          <w:vertAlign w:val="baseline"/>
        </w:rPr>
        <w:t>. </w:t>
      </w:r>
      <w:r>
        <w:rPr>
          <w:sz w:val="24"/>
          <w:vertAlign w:val="baseline"/>
        </w:rPr>
        <w:t>It plots average inflation over an economic cycle against the average inflation adjusted short-term </w:t>
      </w:r>
      <w:r>
        <w:rPr>
          <w:spacing w:val="-3"/>
          <w:sz w:val="24"/>
          <w:vertAlign w:val="baseline"/>
        </w:rPr>
        <w:t>interest rate </w:t>
      </w:r>
      <w:r>
        <w:rPr>
          <w:sz w:val="24"/>
          <w:vertAlign w:val="baseline"/>
        </w:rPr>
        <w:t>for up </w:t>
      </w:r>
      <w:r>
        <w:rPr>
          <w:spacing w:val="-3"/>
          <w:sz w:val="24"/>
          <w:vertAlign w:val="baseline"/>
        </w:rPr>
        <w:t>to </w:t>
      </w:r>
      <w:r>
        <w:rPr>
          <w:sz w:val="24"/>
          <w:vertAlign w:val="baseline"/>
        </w:rPr>
        <w:t>2 economic cycles in 11 economies, a total of 15 observations in</w:t>
      </w:r>
      <w:r>
        <w:rPr>
          <w:spacing w:val="17"/>
          <w:sz w:val="24"/>
          <w:vertAlign w:val="baseline"/>
        </w:rPr>
        <w:t> </w:t>
      </w:r>
      <w:r>
        <w:rPr>
          <w:sz w:val="24"/>
          <w:vertAlign w:val="baseline"/>
        </w:rPr>
        <w:t>all.</w:t>
      </w:r>
    </w:p>
    <w:p>
      <w:pPr>
        <w:pStyle w:val="BodyText"/>
        <w:spacing w:before="7"/>
        <w:rPr>
          <w:sz w:val="31"/>
        </w:rPr>
      </w:pPr>
    </w:p>
    <w:p>
      <w:pPr>
        <w:pStyle w:val="ListParagraph"/>
        <w:numPr>
          <w:ilvl w:val="0"/>
          <w:numId w:val="1"/>
        </w:numPr>
        <w:tabs>
          <w:tab w:pos="849" w:val="left" w:leader="none"/>
          <w:tab w:pos="850" w:val="left" w:leader="none"/>
        </w:tabs>
        <w:spacing w:line="312" w:lineRule="auto" w:before="0" w:after="0"/>
        <w:ind w:left="115" w:right="129" w:firstLine="0"/>
        <w:jc w:val="left"/>
        <w:rPr>
          <w:sz w:val="24"/>
        </w:rPr>
      </w:pPr>
      <w:r>
        <w:rPr>
          <w:sz w:val="24"/>
        </w:rPr>
        <w:t>By focusing on average over the cycle data, </w:t>
      </w:r>
      <w:r>
        <w:rPr>
          <w:spacing w:val="3"/>
          <w:sz w:val="24"/>
        </w:rPr>
        <w:t>one </w:t>
      </w:r>
      <w:r>
        <w:rPr>
          <w:sz w:val="24"/>
        </w:rPr>
        <w:t>might think that the average </w:t>
      </w:r>
      <w:r>
        <w:rPr>
          <w:spacing w:val="-3"/>
          <w:sz w:val="24"/>
        </w:rPr>
        <w:t>real </w:t>
      </w:r>
      <w:r>
        <w:rPr>
          <w:sz w:val="24"/>
        </w:rPr>
        <w:t>interest </w:t>
      </w:r>
      <w:r>
        <w:rPr>
          <w:spacing w:val="-3"/>
          <w:sz w:val="24"/>
        </w:rPr>
        <w:t>rate </w:t>
      </w:r>
      <w:r>
        <w:rPr>
          <w:sz w:val="24"/>
        </w:rPr>
        <w:t>used comes close to an estimate of the natural real rate, defined as the real interest rate that is consistent with stable inflation and an economy growing in line with its </w:t>
      </w:r>
      <w:r>
        <w:rPr>
          <w:spacing w:val="-5"/>
          <w:sz w:val="24"/>
        </w:rPr>
        <w:t>potential. </w:t>
      </w:r>
      <w:r>
        <w:rPr>
          <w:sz w:val="24"/>
        </w:rPr>
        <w:t>Conceptually the natural real rate of interest is the rate that would prevail were all prices fully flexible so that aggregate demand always equalled aggregate supply</w:t>
      </w:r>
      <w:r>
        <w:rPr>
          <w:sz w:val="24"/>
          <w:vertAlign w:val="superscript"/>
        </w:rPr>
        <w:t>6</w:t>
      </w:r>
      <w:r>
        <w:rPr>
          <w:sz w:val="24"/>
          <w:vertAlign w:val="baseline"/>
        </w:rPr>
        <w:t>. However, just as with other conceptually appealing </w:t>
      </w:r>
      <w:r>
        <w:rPr>
          <w:spacing w:val="-4"/>
          <w:sz w:val="24"/>
          <w:vertAlign w:val="baseline"/>
        </w:rPr>
        <w:t>ideas, </w:t>
      </w:r>
      <w:r>
        <w:rPr>
          <w:sz w:val="24"/>
          <w:vertAlign w:val="baseline"/>
        </w:rPr>
        <w:t>such as the natural rate of unemployment or the output gap, in practice the natural rate </w:t>
      </w:r>
      <w:r>
        <w:rPr>
          <w:spacing w:val="7"/>
          <w:sz w:val="24"/>
          <w:vertAlign w:val="baseline"/>
        </w:rPr>
        <w:t>of </w:t>
      </w:r>
      <w:r>
        <w:rPr>
          <w:spacing w:val="-4"/>
          <w:sz w:val="24"/>
          <w:vertAlign w:val="baseline"/>
        </w:rPr>
        <w:t>interest </w:t>
      </w:r>
      <w:r>
        <w:rPr>
          <w:sz w:val="24"/>
          <w:vertAlign w:val="baseline"/>
        </w:rPr>
        <w:t>is </w:t>
      </w:r>
      <w:r>
        <w:rPr>
          <w:spacing w:val="-4"/>
          <w:sz w:val="24"/>
          <w:vertAlign w:val="baseline"/>
        </w:rPr>
        <w:t>not </w:t>
      </w:r>
      <w:r>
        <w:rPr>
          <w:sz w:val="24"/>
          <w:vertAlign w:val="baseline"/>
        </w:rPr>
        <w:t>observable and must be inferred from the behaviour of output and inflation. Estimates are very uncertain.</w:t>
      </w:r>
    </w:p>
    <w:p>
      <w:pPr>
        <w:pStyle w:val="BodyText"/>
        <w:spacing w:before="10"/>
        <w:rPr>
          <w:sz w:val="30"/>
        </w:rPr>
      </w:pPr>
    </w:p>
    <w:p>
      <w:pPr>
        <w:pStyle w:val="ListParagraph"/>
        <w:numPr>
          <w:ilvl w:val="0"/>
          <w:numId w:val="1"/>
        </w:numPr>
        <w:tabs>
          <w:tab w:pos="849" w:val="left" w:leader="none"/>
          <w:tab w:pos="850" w:val="left" w:leader="none"/>
        </w:tabs>
        <w:spacing w:line="312" w:lineRule="auto" w:before="0" w:after="0"/>
        <w:ind w:left="115" w:right="140" w:firstLine="0"/>
        <w:jc w:val="left"/>
        <w:rPr>
          <w:sz w:val="24"/>
        </w:rPr>
      </w:pPr>
      <w:r>
        <w:rPr>
          <w:sz w:val="24"/>
        </w:rPr>
        <w:t>From the chart it appears that the average short-term real interest rate over the cycle </w:t>
      </w:r>
      <w:r>
        <w:rPr>
          <w:spacing w:val="-5"/>
          <w:sz w:val="24"/>
        </w:rPr>
        <w:t>is </w:t>
      </w:r>
      <w:r>
        <w:rPr>
          <w:sz w:val="24"/>
        </w:rPr>
        <w:t>positively related to the inflation rate; the higher the inflation rate, the higher on average the real interest rate. For the period from the late 1980s, this finding is robust to different methodologies, including using estimates of </w:t>
      </w:r>
      <w:r>
        <w:rPr>
          <w:spacing w:val="-5"/>
          <w:sz w:val="24"/>
        </w:rPr>
        <w:t>ex-ante </w:t>
      </w:r>
      <w:r>
        <w:rPr>
          <w:spacing w:val="-3"/>
          <w:sz w:val="24"/>
        </w:rPr>
        <w:t>real interest </w:t>
      </w:r>
      <w:r>
        <w:rPr>
          <w:sz w:val="24"/>
        </w:rPr>
        <w:t>rate expectations and alternative specifications of the economic cycle. A casual survey of economic history might also appear to support this finding. In </w:t>
      </w:r>
      <w:r>
        <w:rPr>
          <w:spacing w:val="-3"/>
          <w:sz w:val="24"/>
        </w:rPr>
        <w:t>the </w:t>
      </w:r>
      <w:r>
        <w:rPr>
          <w:sz w:val="24"/>
        </w:rPr>
        <w:t>1950s and 1960s when inflation was low, short-term real interest rates in the UK were </w:t>
      </w:r>
      <w:r>
        <w:rPr>
          <w:spacing w:val="-3"/>
          <w:sz w:val="24"/>
        </w:rPr>
        <w:t>also </w:t>
      </w:r>
      <w:r>
        <w:rPr>
          <w:sz w:val="24"/>
        </w:rPr>
        <w:t>low</w:t>
      </w:r>
      <w:r>
        <w:rPr>
          <w:sz w:val="24"/>
          <w:vertAlign w:val="superscript"/>
        </w:rPr>
        <w:t>7</w:t>
      </w:r>
      <w:r>
        <w:rPr>
          <w:sz w:val="24"/>
          <w:vertAlign w:val="baseline"/>
        </w:rPr>
        <w:t>. However, a positive relationship between real short-term interest rates and inflation was not apparent during the high inflation decade of the</w:t>
      </w:r>
      <w:r>
        <w:rPr>
          <w:spacing w:val="18"/>
          <w:sz w:val="24"/>
          <w:vertAlign w:val="baseline"/>
        </w:rPr>
        <w:t> </w:t>
      </w:r>
      <w:r>
        <w:rPr>
          <w:sz w:val="24"/>
          <w:vertAlign w:val="baseline"/>
        </w:rPr>
        <w:t>1970s.</w:t>
      </w:r>
    </w:p>
    <w:p>
      <w:pPr>
        <w:pStyle w:val="BodyText"/>
        <w:spacing w:before="9"/>
        <w:rPr>
          <w:sz w:val="30"/>
        </w:rPr>
      </w:pPr>
    </w:p>
    <w:p>
      <w:pPr>
        <w:pStyle w:val="ListParagraph"/>
        <w:numPr>
          <w:ilvl w:val="0"/>
          <w:numId w:val="1"/>
        </w:numPr>
        <w:tabs>
          <w:tab w:pos="849" w:val="left" w:leader="none"/>
          <w:tab w:pos="850" w:val="left" w:leader="none"/>
        </w:tabs>
        <w:spacing w:line="312" w:lineRule="auto" w:before="1" w:after="0"/>
        <w:ind w:left="115" w:right="156" w:firstLine="0"/>
        <w:jc w:val="left"/>
        <w:rPr>
          <w:sz w:val="24"/>
        </w:rPr>
      </w:pPr>
      <w:r>
        <w:rPr>
          <w:sz w:val="24"/>
        </w:rPr>
        <w:t>On the face of it, this seems odd. Economists have tended to assume that the </w:t>
      </w:r>
      <w:r>
        <w:rPr>
          <w:spacing w:val="-4"/>
          <w:sz w:val="24"/>
        </w:rPr>
        <w:t>neutral real </w:t>
      </w:r>
      <w:r>
        <w:rPr>
          <w:spacing w:val="-3"/>
          <w:sz w:val="24"/>
        </w:rPr>
        <w:t>interest </w:t>
      </w:r>
      <w:r>
        <w:rPr>
          <w:sz w:val="24"/>
        </w:rPr>
        <w:t>rate </w:t>
      </w:r>
      <w:r>
        <w:rPr>
          <w:spacing w:val="-3"/>
          <w:sz w:val="24"/>
        </w:rPr>
        <w:t>is </w:t>
      </w:r>
      <w:r>
        <w:rPr>
          <w:sz w:val="24"/>
        </w:rPr>
        <w:t>constant at around the long-term average real rate. Even sophisticated Dynamic Stochastic General Equilibrium models, which allow the natural rate to vary, only do so around a steady-state equilibrium rate that is assumed to be constant. We </w:t>
      </w:r>
      <w:r>
        <w:rPr>
          <w:spacing w:val="-3"/>
          <w:sz w:val="24"/>
        </w:rPr>
        <w:t>might expect </w:t>
      </w:r>
      <w:r>
        <w:rPr>
          <w:sz w:val="24"/>
        </w:rPr>
        <w:t>the </w:t>
      </w:r>
      <w:r>
        <w:rPr>
          <w:spacing w:val="-3"/>
          <w:sz w:val="24"/>
        </w:rPr>
        <w:t>natural rate </w:t>
      </w:r>
      <w:r>
        <w:rPr>
          <w:sz w:val="24"/>
        </w:rPr>
        <w:t>to </w:t>
      </w:r>
      <w:r>
        <w:rPr>
          <w:spacing w:val="-3"/>
          <w:sz w:val="24"/>
        </w:rPr>
        <w:t>vary </w:t>
      </w:r>
      <w:r>
        <w:rPr>
          <w:sz w:val="24"/>
        </w:rPr>
        <w:t>with real economic developments. For instance, the MPC has suggested that the fall recently observed in </w:t>
      </w:r>
      <w:r>
        <w:rPr>
          <w:spacing w:val="-3"/>
          <w:sz w:val="24"/>
        </w:rPr>
        <w:t>real long-term </w:t>
      </w:r>
      <w:r>
        <w:rPr>
          <w:sz w:val="24"/>
        </w:rPr>
        <w:t>interest rates might be related to increased planned saving by the ageing </w:t>
      </w:r>
      <w:r>
        <w:rPr>
          <w:spacing w:val="-7"/>
          <w:sz w:val="24"/>
        </w:rPr>
        <w:t>baby- </w:t>
      </w:r>
      <w:r>
        <w:rPr>
          <w:sz w:val="24"/>
        </w:rPr>
        <w:t>boomer generation</w:t>
      </w:r>
      <w:r>
        <w:rPr>
          <w:sz w:val="24"/>
          <w:vertAlign w:val="superscript"/>
        </w:rPr>
        <w:t>8</w:t>
      </w:r>
      <w:r>
        <w:rPr>
          <w:sz w:val="24"/>
          <w:vertAlign w:val="baseline"/>
        </w:rPr>
        <w:t>; an increase in trend productivity growth might be expected, other things being </w:t>
      </w:r>
      <w:r>
        <w:rPr>
          <w:spacing w:val="-3"/>
          <w:sz w:val="24"/>
          <w:vertAlign w:val="baseline"/>
        </w:rPr>
        <w:t>equal, </w:t>
      </w:r>
      <w:r>
        <w:rPr>
          <w:sz w:val="24"/>
          <w:vertAlign w:val="baseline"/>
        </w:rPr>
        <w:t>to </w:t>
      </w:r>
      <w:r>
        <w:rPr>
          <w:spacing w:val="-3"/>
          <w:sz w:val="24"/>
          <w:vertAlign w:val="baseline"/>
        </w:rPr>
        <w:t>lead </w:t>
      </w:r>
      <w:r>
        <w:rPr>
          <w:sz w:val="24"/>
          <w:vertAlign w:val="baseline"/>
        </w:rPr>
        <w:t>to an </w:t>
      </w:r>
      <w:r>
        <w:rPr>
          <w:spacing w:val="-3"/>
          <w:sz w:val="24"/>
          <w:vertAlign w:val="baseline"/>
        </w:rPr>
        <w:t>increase </w:t>
      </w:r>
      <w:r>
        <w:rPr>
          <w:sz w:val="24"/>
          <w:vertAlign w:val="baseline"/>
        </w:rPr>
        <w:t>in the </w:t>
      </w:r>
      <w:r>
        <w:rPr>
          <w:spacing w:val="-3"/>
          <w:sz w:val="24"/>
          <w:vertAlign w:val="baseline"/>
        </w:rPr>
        <w:t>real natural rate </w:t>
      </w:r>
      <w:r>
        <w:rPr>
          <w:sz w:val="24"/>
          <w:vertAlign w:val="baseline"/>
        </w:rPr>
        <w:t>in the </w:t>
      </w:r>
      <w:r>
        <w:rPr>
          <w:spacing w:val="-3"/>
          <w:sz w:val="24"/>
          <w:vertAlign w:val="baseline"/>
        </w:rPr>
        <w:t>long-run; </w:t>
      </w:r>
      <w:r>
        <w:rPr>
          <w:sz w:val="24"/>
          <w:vertAlign w:val="baseline"/>
        </w:rPr>
        <w:t>increased fiscal deficits might raise </w:t>
      </w:r>
      <w:r>
        <w:rPr>
          <w:spacing w:val="-3"/>
          <w:sz w:val="24"/>
          <w:vertAlign w:val="baseline"/>
        </w:rPr>
        <w:t>real long-term </w:t>
      </w:r>
      <w:r>
        <w:rPr>
          <w:sz w:val="24"/>
          <w:vertAlign w:val="baseline"/>
        </w:rPr>
        <w:t>interest rates; and a lower natural real interest </w:t>
      </w:r>
      <w:r>
        <w:rPr>
          <w:spacing w:val="-3"/>
          <w:sz w:val="24"/>
          <w:vertAlign w:val="baseline"/>
        </w:rPr>
        <w:t>rate </w:t>
      </w:r>
      <w:r>
        <w:rPr>
          <w:sz w:val="24"/>
          <w:vertAlign w:val="baseline"/>
        </w:rPr>
        <w:t>in </w:t>
      </w:r>
      <w:r>
        <w:rPr>
          <w:spacing w:val="-3"/>
          <w:sz w:val="24"/>
          <w:vertAlign w:val="baseline"/>
        </w:rPr>
        <w:t>recent years might have been the </w:t>
      </w:r>
      <w:r>
        <w:rPr>
          <w:sz w:val="24"/>
          <w:vertAlign w:val="baseline"/>
        </w:rPr>
        <w:t>consequence of a series of negative demand shocks. But economic theory tells us that nominal </w:t>
      </w:r>
      <w:r>
        <w:rPr>
          <w:spacing w:val="-2"/>
          <w:sz w:val="24"/>
          <w:vertAlign w:val="baseline"/>
        </w:rPr>
        <w:t>values </w:t>
      </w:r>
      <w:r>
        <w:rPr>
          <w:sz w:val="24"/>
          <w:vertAlign w:val="baseline"/>
        </w:rPr>
        <w:t>should on average be unrelated to the real economy </w:t>
      </w:r>
      <w:r>
        <w:rPr>
          <w:spacing w:val="3"/>
          <w:sz w:val="24"/>
          <w:vertAlign w:val="superscript"/>
        </w:rPr>
        <w:t>9</w:t>
      </w:r>
      <w:r>
        <w:rPr>
          <w:spacing w:val="3"/>
          <w:sz w:val="24"/>
          <w:vertAlign w:val="baseline"/>
        </w:rPr>
        <w:t>. </w:t>
      </w:r>
      <w:r>
        <w:rPr>
          <w:sz w:val="24"/>
          <w:vertAlign w:val="baseline"/>
        </w:rPr>
        <w:t>So what factors might account for the</w:t>
      </w:r>
      <w:r>
        <w:rPr>
          <w:spacing w:val="-28"/>
          <w:sz w:val="24"/>
          <w:vertAlign w:val="baseline"/>
        </w:rPr>
        <w:t> </w:t>
      </w:r>
      <w:r>
        <w:rPr>
          <w:sz w:val="24"/>
          <w:vertAlign w:val="baseline"/>
        </w:rPr>
        <w:t>apparent</w:t>
      </w:r>
    </w:p>
    <w:p>
      <w:pPr>
        <w:pStyle w:val="BodyText"/>
        <w:rPr>
          <w:sz w:val="41"/>
        </w:rPr>
      </w:pPr>
    </w:p>
    <w:p>
      <w:pPr>
        <w:spacing w:line="230" w:lineRule="auto" w:before="0"/>
        <w:ind w:left="115" w:right="86" w:firstLine="0"/>
        <w:jc w:val="left"/>
        <w:rPr>
          <w:sz w:val="19"/>
        </w:rPr>
      </w:pPr>
      <w:r>
        <w:rPr>
          <w:w w:val="105"/>
          <w:sz w:val="19"/>
        </w:rPr>
        <w:t>___________________________________________________________________________________________________ </w:t>
      </w:r>
      <w:r>
        <w:rPr>
          <w:w w:val="105"/>
          <w:position w:val="9"/>
          <w:sz w:val="13"/>
        </w:rPr>
        <w:t>5 </w:t>
      </w:r>
      <w:r>
        <w:rPr>
          <w:w w:val="105"/>
          <w:sz w:val="19"/>
        </w:rPr>
        <w:t>I am grateful to former colleagues at the Royal Bank of Scotland for earlier assistance with the collection and analysis of these data.</w:t>
      </w:r>
    </w:p>
    <w:p>
      <w:pPr>
        <w:spacing w:line="224" w:lineRule="exact" w:before="0"/>
        <w:ind w:left="115" w:right="0" w:firstLine="0"/>
        <w:jc w:val="left"/>
        <w:rPr>
          <w:sz w:val="19"/>
        </w:rPr>
      </w:pPr>
      <w:r>
        <w:rPr>
          <w:w w:val="105"/>
          <w:position w:val="9"/>
          <w:sz w:val="13"/>
        </w:rPr>
        <w:t>6 </w:t>
      </w:r>
      <w:r>
        <w:rPr>
          <w:w w:val="105"/>
          <w:sz w:val="19"/>
        </w:rPr>
        <w:t>See for instance Neiss and Nelson (2001) and Woodford (2003).</w:t>
      </w:r>
    </w:p>
    <w:p>
      <w:pPr>
        <w:spacing w:line="226" w:lineRule="exact" w:before="17"/>
        <w:ind w:left="115" w:right="86" w:firstLine="0"/>
        <w:jc w:val="left"/>
        <w:rPr>
          <w:sz w:val="19"/>
        </w:rPr>
      </w:pPr>
      <w:r>
        <w:rPr>
          <w:w w:val="105"/>
          <w:position w:val="9"/>
          <w:sz w:val="13"/>
        </w:rPr>
        <w:t>7 </w:t>
      </w:r>
      <w:r>
        <w:rPr>
          <w:w w:val="105"/>
          <w:sz w:val="19"/>
        </w:rPr>
        <w:t>Chadha and Dimsdale (1999) proxy inflation expectations by the three-year moving average of the ex-post inflation rate and examine the behaviour of the real rate in the UK from 1875-1997. On this ex-post measure, the short real rate averages</w:t>
      </w:r>
    </w:p>
    <w:p>
      <w:pPr>
        <w:spacing w:line="205" w:lineRule="exact" w:before="17"/>
        <w:ind w:left="115" w:right="0" w:firstLine="0"/>
        <w:jc w:val="left"/>
        <w:rPr>
          <w:sz w:val="19"/>
        </w:rPr>
      </w:pPr>
      <w:r>
        <w:rPr>
          <w:w w:val="105"/>
          <w:sz w:val="19"/>
        </w:rPr>
        <w:t>0.67 percent from 1951 to 1968.</w:t>
      </w:r>
    </w:p>
    <w:p>
      <w:pPr>
        <w:spacing w:line="225" w:lineRule="exact" w:before="0"/>
        <w:ind w:left="115" w:right="0" w:firstLine="0"/>
        <w:jc w:val="left"/>
        <w:rPr>
          <w:sz w:val="19"/>
        </w:rPr>
      </w:pPr>
      <w:r>
        <w:rPr>
          <w:w w:val="105"/>
          <w:position w:val="9"/>
          <w:sz w:val="13"/>
        </w:rPr>
        <w:t>8 </w:t>
      </w:r>
      <w:r>
        <w:rPr>
          <w:i/>
          <w:w w:val="105"/>
          <w:sz w:val="19"/>
        </w:rPr>
        <w:t>Inflation Report, </w:t>
      </w:r>
      <w:r>
        <w:rPr>
          <w:w w:val="105"/>
          <w:sz w:val="19"/>
        </w:rPr>
        <w:t>February 2005.</w:t>
      </w:r>
    </w:p>
    <w:p>
      <w:pPr>
        <w:spacing w:line="240" w:lineRule="exact" w:before="5"/>
        <w:ind w:left="115" w:right="0" w:firstLine="0"/>
        <w:jc w:val="left"/>
        <w:rPr>
          <w:sz w:val="19"/>
        </w:rPr>
      </w:pPr>
      <w:r>
        <w:rPr>
          <w:w w:val="105"/>
          <w:position w:val="9"/>
          <w:sz w:val="13"/>
        </w:rPr>
        <w:t>9 </w:t>
      </w:r>
      <w:r>
        <w:rPr>
          <w:w w:val="105"/>
          <w:sz w:val="19"/>
        </w:rPr>
        <w:t>Indeed the Mundell-Tobin effect suggests that there should be a negative relationship between real interest rates and expected inflation. See, for example, Orphanides and Solow (1990).</w:t>
      </w:r>
    </w:p>
    <w:p>
      <w:pPr>
        <w:spacing w:after="0" w:line="240" w:lineRule="exact"/>
        <w:jc w:val="left"/>
        <w:rPr>
          <w:sz w:val="19"/>
        </w:rPr>
        <w:sectPr>
          <w:pgSz w:w="11920" w:h="16840"/>
          <w:pgMar w:header="0" w:footer="713" w:top="1140" w:bottom="900" w:left="1040" w:right="760"/>
        </w:sectPr>
      </w:pPr>
    </w:p>
    <w:p>
      <w:pPr>
        <w:pStyle w:val="BodyText"/>
        <w:spacing w:line="312" w:lineRule="auto" w:before="76"/>
        <w:ind w:left="115"/>
      </w:pPr>
      <w:r>
        <w:rPr/>
        <w:t>positive relationship between average real short term interest rates and inflation over the last decade or so?</w:t>
      </w:r>
    </w:p>
    <w:p>
      <w:pPr>
        <w:pStyle w:val="BodyText"/>
        <w:spacing w:before="5"/>
        <w:rPr>
          <w:sz w:val="31"/>
        </w:rPr>
      </w:pPr>
    </w:p>
    <w:p>
      <w:pPr>
        <w:pStyle w:val="ListParagraph"/>
        <w:numPr>
          <w:ilvl w:val="0"/>
          <w:numId w:val="1"/>
        </w:numPr>
        <w:tabs>
          <w:tab w:pos="849" w:val="left" w:leader="none"/>
          <w:tab w:pos="850" w:val="left" w:leader="none"/>
        </w:tabs>
        <w:spacing w:line="312" w:lineRule="auto" w:before="1" w:after="0"/>
        <w:ind w:left="115" w:right="125" w:firstLine="0"/>
        <w:jc w:val="left"/>
        <w:rPr>
          <w:sz w:val="24"/>
        </w:rPr>
      </w:pPr>
      <w:r>
        <w:rPr>
          <w:sz w:val="24"/>
        </w:rPr>
        <w:t>We can decompose the short-term </w:t>
      </w:r>
      <w:r>
        <w:rPr>
          <w:spacing w:val="-3"/>
          <w:sz w:val="24"/>
        </w:rPr>
        <w:t>nominal interest rate into </w:t>
      </w:r>
      <w:r>
        <w:rPr>
          <w:sz w:val="24"/>
        </w:rPr>
        <w:t>the expected risk-free real post-tax </w:t>
      </w:r>
      <w:r>
        <w:rPr>
          <w:spacing w:val="-4"/>
          <w:sz w:val="24"/>
        </w:rPr>
        <w:t>return, </w:t>
      </w:r>
      <w:r>
        <w:rPr>
          <w:spacing w:val="-3"/>
          <w:sz w:val="24"/>
        </w:rPr>
        <w:t>tax, </w:t>
      </w:r>
      <w:r>
        <w:rPr>
          <w:sz w:val="24"/>
        </w:rPr>
        <w:t>expected inflation and risk premia. But in simple calculations of the real rate of interest, following Fisher (1907), it is common to take a measure of inflation (either realised or expected) from the </w:t>
      </w:r>
      <w:r>
        <w:rPr>
          <w:spacing w:val="-3"/>
          <w:sz w:val="24"/>
        </w:rPr>
        <w:t>nominal interest rate. This </w:t>
      </w:r>
      <w:r>
        <w:rPr>
          <w:sz w:val="24"/>
        </w:rPr>
        <w:t>is </w:t>
      </w:r>
      <w:r>
        <w:rPr>
          <w:spacing w:val="-3"/>
          <w:sz w:val="24"/>
        </w:rPr>
        <w:t>what </w:t>
      </w:r>
      <w:r>
        <w:rPr>
          <w:sz w:val="24"/>
        </w:rPr>
        <w:t>I </w:t>
      </w:r>
      <w:r>
        <w:rPr>
          <w:spacing w:val="-3"/>
          <w:sz w:val="24"/>
        </w:rPr>
        <w:t>have done </w:t>
      </w:r>
      <w:r>
        <w:rPr>
          <w:sz w:val="24"/>
        </w:rPr>
        <w:t>in the cross-country calculations. But these </w:t>
      </w:r>
      <w:r>
        <w:rPr>
          <w:spacing w:val="-3"/>
          <w:sz w:val="24"/>
        </w:rPr>
        <w:t>calculations </w:t>
      </w:r>
      <w:r>
        <w:rPr>
          <w:sz w:val="24"/>
        </w:rPr>
        <w:t>make no allowance for either </w:t>
      </w:r>
      <w:r>
        <w:rPr>
          <w:spacing w:val="4"/>
          <w:sz w:val="24"/>
        </w:rPr>
        <w:t>tax </w:t>
      </w:r>
      <w:r>
        <w:rPr>
          <w:sz w:val="24"/>
        </w:rPr>
        <w:t>effects </w:t>
      </w:r>
      <w:r>
        <w:rPr>
          <w:spacing w:val="2"/>
          <w:sz w:val="24"/>
        </w:rPr>
        <w:t>or </w:t>
      </w:r>
      <w:r>
        <w:rPr>
          <w:sz w:val="24"/>
        </w:rPr>
        <w:t>risk premia. So the apparent fall in </w:t>
      </w:r>
      <w:r>
        <w:rPr>
          <w:spacing w:val="-2"/>
          <w:sz w:val="24"/>
        </w:rPr>
        <w:t>the </w:t>
      </w:r>
      <w:r>
        <w:rPr>
          <w:sz w:val="24"/>
        </w:rPr>
        <w:t>sustainable real rate might reflect a smaller </w:t>
      </w:r>
      <w:r>
        <w:rPr>
          <w:spacing w:val="4"/>
          <w:sz w:val="24"/>
        </w:rPr>
        <w:t>tax </w:t>
      </w:r>
      <w:r>
        <w:rPr>
          <w:sz w:val="24"/>
        </w:rPr>
        <w:t>component or declining risk premia, rather</w:t>
      </w:r>
      <w:r>
        <w:rPr>
          <w:spacing w:val="-43"/>
          <w:sz w:val="24"/>
        </w:rPr>
        <w:t> </w:t>
      </w:r>
      <w:r>
        <w:rPr>
          <w:sz w:val="24"/>
        </w:rPr>
        <w:t>than a </w:t>
      </w:r>
      <w:r>
        <w:rPr>
          <w:spacing w:val="-4"/>
          <w:sz w:val="24"/>
        </w:rPr>
        <w:t>lower risk- </w:t>
      </w:r>
      <w:r>
        <w:rPr>
          <w:sz w:val="24"/>
        </w:rPr>
        <w:t>free real </w:t>
      </w:r>
      <w:r>
        <w:rPr>
          <w:spacing w:val="-3"/>
          <w:sz w:val="24"/>
        </w:rPr>
        <w:t>post-tax </w:t>
      </w:r>
      <w:r>
        <w:rPr>
          <w:sz w:val="24"/>
        </w:rPr>
        <w:t>interest</w:t>
      </w:r>
      <w:r>
        <w:rPr>
          <w:spacing w:val="-14"/>
          <w:sz w:val="24"/>
        </w:rPr>
        <w:t> </w:t>
      </w:r>
      <w:r>
        <w:rPr>
          <w:sz w:val="24"/>
        </w:rPr>
        <w:t>rate.</w:t>
      </w:r>
    </w:p>
    <w:p>
      <w:pPr>
        <w:pStyle w:val="BodyText"/>
        <w:spacing w:before="8"/>
        <w:rPr>
          <w:sz w:val="30"/>
        </w:rPr>
      </w:pPr>
    </w:p>
    <w:p>
      <w:pPr>
        <w:pStyle w:val="ListParagraph"/>
        <w:numPr>
          <w:ilvl w:val="0"/>
          <w:numId w:val="1"/>
        </w:numPr>
        <w:tabs>
          <w:tab w:pos="849" w:val="left" w:leader="none"/>
          <w:tab w:pos="850" w:val="left" w:leader="none"/>
        </w:tabs>
        <w:spacing w:line="312" w:lineRule="auto" w:before="0" w:after="0"/>
        <w:ind w:left="115" w:right="136" w:firstLine="0"/>
        <w:jc w:val="left"/>
        <w:rPr>
          <w:sz w:val="24"/>
        </w:rPr>
      </w:pPr>
      <w:r>
        <w:rPr>
          <w:sz w:val="24"/>
        </w:rPr>
        <w:t>Since tax is </w:t>
      </w:r>
      <w:r>
        <w:rPr>
          <w:spacing w:val="-3"/>
          <w:sz w:val="24"/>
        </w:rPr>
        <w:t>paid </w:t>
      </w:r>
      <w:r>
        <w:rPr>
          <w:sz w:val="24"/>
        </w:rPr>
        <w:t>on </w:t>
      </w:r>
      <w:r>
        <w:rPr>
          <w:spacing w:val="-3"/>
          <w:sz w:val="24"/>
        </w:rPr>
        <w:t>nominal interest </w:t>
      </w:r>
      <w:r>
        <w:rPr>
          <w:sz w:val="24"/>
        </w:rPr>
        <w:t>income, we might expect the tax wedge between nominal and </w:t>
      </w:r>
      <w:r>
        <w:rPr>
          <w:spacing w:val="-3"/>
          <w:sz w:val="24"/>
        </w:rPr>
        <w:t>real interest rates </w:t>
      </w:r>
      <w:r>
        <w:rPr>
          <w:sz w:val="24"/>
        </w:rPr>
        <w:t>to rise with inflation</w:t>
      </w:r>
      <w:r>
        <w:rPr>
          <w:sz w:val="24"/>
          <w:vertAlign w:val="superscript"/>
        </w:rPr>
        <w:t>10</w:t>
      </w:r>
      <w:r>
        <w:rPr>
          <w:sz w:val="24"/>
          <w:vertAlign w:val="baseline"/>
        </w:rPr>
        <w:t>. </w:t>
      </w:r>
      <w:r>
        <w:rPr>
          <w:spacing w:val="-3"/>
          <w:sz w:val="24"/>
          <w:vertAlign w:val="baseline"/>
        </w:rPr>
        <w:t>However, </w:t>
      </w:r>
      <w:r>
        <w:rPr>
          <w:sz w:val="24"/>
          <w:vertAlign w:val="baseline"/>
        </w:rPr>
        <w:t>a series of papers in the 1970s and 1980s were unable to identify a consistent tax effect of the expected </w:t>
      </w:r>
      <w:r>
        <w:rPr>
          <w:spacing w:val="-3"/>
          <w:sz w:val="24"/>
          <w:vertAlign w:val="baseline"/>
        </w:rPr>
        <w:t>magnitude. </w:t>
      </w:r>
      <w:r>
        <w:rPr>
          <w:sz w:val="24"/>
          <w:vertAlign w:val="baseline"/>
        </w:rPr>
        <w:t>But </w:t>
      </w:r>
      <w:r>
        <w:rPr>
          <w:spacing w:val="-15"/>
          <w:sz w:val="24"/>
          <w:vertAlign w:val="baseline"/>
        </w:rPr>
        <w:t>it </w:t>
      </w:r>
      <w:r>
        <w:rPr>
          <w:spacing w:val="-3"/>
          <w:sz w:val="24"/>
          <w:vertAlign w:val="baseline"/>
        </w:rPr>
        <w:t>is </w:t>
      </w:r>
      <w:r>
        <w:rPr>
          <w:sz w:val="24"/>
          <w:vertAlign w:val="baseline"/>
        </w:rPr>
        <w:t>possible that the effect was obscured by other factors in earlier decades</w:t>
      </w:r>
      <w:r>
        <w:rPr>
          <w:sz w:val="24"/>
          <w:vertAlign w:val="superscript"/>
        </w:rPr>
        <w:t>11</w:t>
      </w:r>
      <w:r>
        <w:rPr>
          <w:sz w:val="24"/>
          <w:vertAlign w:val="baseline"/>
        </w:rPr>
        <w:t> and has only become apparent more</w:t>
      </w:r>
      <w:r>
        <w:rPr>
          <w:spacing w:val="-14"/>
          <w:sz w:val="24"/>
          <w:vertAlign w:val="baseline"/>
        </w:rPr>
        <w:t> </w:t>
      </w:r>
      <w:r>
        <w:rPr>
          <w:sz w:val="24"/>
          <w:vertAlign w:val="baseline"/>
        </w:rPr>
        <w:t>recently.</w:t>
      </w:r>
    </w:p>
    <w:p>
      <w:pPr>
        <w:pStyle w:val="BodyText"/>
        <w:spacing w:before="9"/>
        <w:rPr>
          <w:sz w:val="31"/>
        </w:rPr>
      </w:pPr>
    </w:p>
    <w:p>
      <w:pPr>
        <w:pStyle w:val="ListParagraph"/>
        <w:numPr>
          <w:ilvl w:val="0"/>
          <w:numId w:val="1"/>
        </w:numPr>
        <w:tabs>
          <w:tab w:pos="849" w:val="left" w:leader="none"/>
          <w:tab w:pos="850" w:val="left" w:leader="none"/>
        </w:tabs>
        <w:spacing w:line="309" w:lineRule="auto" w:before="0" w:after="0"/>
        <w:ind w:left="115" w:right="227" w:firstLine="0"/>
        <w:jc w:val="left"/>
        <w:rPr>
          <w:sz w:val="24"/>
        </w:rPr>
      </w:pPr>
      <w:r>
        <w:rPr>
          <w:sz w:val="24"/>
        </w:rPr>
        <w:t>Neither inflation expectations nor risk premia are directly observable. But the </w:t>
      </w:r>
      <w:r>
        <w:rPr>
          <w:spacing w:val="-4"/>
          <w:sz w:val="24"/>
        </w:rPr>
        <w:t>apparent </w:t>
      </w:r>
      <w:r>
        <w:rPr>
          <w:spacing w:val="-3"/>
          <w:sz w:val="24"/>
        </w:rPr>
        <w:t>fall </w:t>
      </w:r>
      <w:r>
        <w:rPr>
          <w:spacing w:val="-4"/>
          <w:sz w:val="24"/>
        </w:rPr>
        <w:t>in </w:t>
      </w:r>
      <w:r>
        <w:rPr>
          <w:sz w:val="24"/>
        </w:rPr>
        <w:t>the sustainable real short-term </w:t>
      </w:r>
      <w:r>
        <w:rPr>
          <w:spacing w:val="-4"/>
          <w:sz w:val="24"/>
        </w:rPr>
        <w:t>interest </w:t>
      </w:r>
      <w:r>
        <w:rPr>
          <w:spacing w:val="-3"/>
          <w:sz w:val="24"/>
        </w:rPr>
        <w:t>rate </w:t>
      </w:r>
      <w:r>
        <w:rPr>
          <w:sz w:val="24"/>
        </w:rPr>
        <w:t>may nevertheless be </w:t>
      </w:r>
      <w:r>
        <w:rPr>
          <w:spacing w:val="-3"/>
          <w:sz w:val="24"/>
        </w:rPr>
        <w:t>due </w:t>
      </w:r>
      <w:r>
        <w:rPr>
          <w:sz w:val="24"/>
        </w:rPr>
        <w:t>to declining risk premia. This could</w:t>
      </w:r>
      <w:r>
        <w:rPr>
          <w:spacing w:val="-5"/>
          <w:sz w:val="24"/>
        </w:rPr>
        <w:t> </w:t>
      </w:r>
      <w:r>
        <w:rPr>
          <w:sz w:val="24"/>
        </w:rPr>
        <w:t>result</w:t>
      </w:r>
      <w:r>
        <w:rPr>
          <w:spacing w:val="-5"/>
          <w:sz w:val="24"/>
        </w:rPr>
        <w:t> </w:t>
      </w:r>
      <w:r>
        <w:rPr>
          <w:sz w:val="24"/>
        </w:rPr>
        <w:t>either</w:t>
      </w:r>
      <w:r>
        <w:rPr>
          <w:spacing w:val="-5"/>
          <w:sz w:val="24"/>
        </w:rPr>
        <w:t> </w:t>
      </w:r>
      <w:r>
        <w:rPr>
          <w:sz w:val="24"/>
        </w:rPr>
        <w:t>because</w:t>
      </w:r>
      <w:r>
        <w:rPr>
          <w:spacing w:val="-5"/>
          <w:sz w:val="24"/>
        </w:rPr>
        <w:t> </w:t>
      </w:r>
      <w:r>
        <w:rPr>
          <w:sz w:val="24"/>
        </w:rPr>
        <w:t>the</w:t>
      </w:r>
      <w:r>
        <w:rPr>
          <w:spacing w:val="-5"/>
          <w:sz w:val="24"/>
        </w:rPr>
        <w:t> </w:t>
      </w:r>
      <w:r>
        <w:rPr>
          <w:sz w:val="24"/>
        </w:rPr>
        <w:t>environment</w:t>
      </w:r>
      <w:r>
        <w:rPr>
          <w:spacing w:val="-5"/>
          <w:sz w:val="24"/>
        </w:rPr>
        <w:t> </w:t>
      </w:r>
      <w:r>
        <w:rPr>
          <w:sz w:val="24"/>
        </w:rPr>
        <w:t>is</w:t>
      </w:r>
      <w:r>
        <w:rPr>
          <w:spacing w:val="-5"/>
          <w:sz w:val="24"/>
        </w:rPr>
        <w:t> </w:t>
      </w:r>
      <w:r>
        <w:rPr>
          <w:sz w:val="24"/>
        </w:rPr>
        <w:t>deemed</w:t>
      </w:r>
      <w:r>
        <w:rPr>
          <w:spacing w:val="-5"/>
          <w:sz w:val="24"/>
        </w:rPr>
        <w:t> </w:t>
      </w:r>
      <w:r>
        <w:rPr>
          <w:sz w:val="24"/>
        </w:rPr>
        <w:t>to</w:t>
      </w:r>
      <w:r>
        <w:rPr>
          <w:spacing w:val="-4"/>
          <w:sz w:val="24"/>
        </w:rPr>
        <w:t> </w:t>
      </w:r>
      <w:r>
        <w:rPr>
          <w:sz w:val="24"/>
        </w:rPr>
        <w:t>have</w:t>
      </w:r>
      <w:r>
        <w:rPr>
          <w:spacing w:val="-5"/>
          <w:sz w:val="24"/>
        </w:rPr>
        <w:t> </w:t>
      </w:r>
      <w:r>
        <w:rPr>
          <w:sz w:val="24"/>
        </w:rPr>
        <w:t>become</w:t>
      </w:r>
      <w:r>
        <w:rPr>
          <w:spacing w:val="-6"/>
          <w:sz w:val="24"/>
        </w:rPr>
        <w:t> </w:t>
      </w:r>
      <w:r>
        <w:rPr>
          <w:sz w:val="24"/>
        </w:rPr>
        <w:t>less</w:t>
      </w:r>
      <w:r>
        <w:rPr>
          <w:spacing w:val="-6"/>
          <w:sz w:val="24"/>
        </w:rPr>
        <w:t> </w:t>
      </w:r>
      <w:r>
        <w:rPr>
          <w:sz w:val="24"/>
        </w:rPr>
        <w:t>risky,</w:t>
      </w:r>
      <w:r>
        <w:rPr>
          <w:spacing w:val="-6"/>
          <w:sz w:val="24"/>
        </w:rPr>
        <w:t> </w:t>
      </w:r>
      <w:r>
        <w:rPr>
          <w:sz w:val="24"/>
        </w:rPr>
        <w:t>or</w:t>
      </w:r>
      <w:r>
        <w:rPr>
          <w:spacing w:val="-5"/>
          <w:sz w:val="24"/>
        </w:rPr>
        <w:t> </w:t>
      </w:r>
      <w:r>
        <w:rPr>
          <w:sz w:val="24"/>
        </w:rPr>
        <w:t>because</w:t>
      </w:r>
      <w:r>
        <w:rPr>
          <w:spacing w:val="-6"/>
          <w:sz w:val="24"/>
        </w:rPr>
        <w:t> </w:t>
      </w:r>
      <w:r>
        <w:rPr>
          <w:sz w:val="24"/>
        </w:rPr>
        <w:t>investors require less compensation for taking on the same amount of</w:t>
      </w:r>
      <w:r>
        <w:rPr>
          <w:spacing w:val="23"/>
          <w:sz w:val="24"/>
        </w:rPr>
        <w:t> </w:t>
      </w:r>
      <w:r>
        <w:rPr>
          <w:sz w:val="24"/>
        </w:rPr>
        <w:t>risk.</w:t>
      </w:r>
    </w:p>
    <w:p>
      <w:pPr>
        <w:pStyle w:val="BodyText"/>
        <w:spacing w:before="4"/>
        <w:rPr>
          <w:sz w:val="31"/>
        </w:rPr>
      </w:pPr>
    </w:p>
    <w:p>
      <w:pPr>
        <w:pStyle w:val="ListParagraph"/>
        <w:numPr>
          <w:ilvl w:val="0"/>
          <w:numId w:val="1"/>
        </w:numPr>
        <w:tabs>
          <w:tab w:pos="849" w:val="left" w:leader="none"/>
          <w:tab w:pos="850" w:val="left" w:leader="none"/>
        </w:tabs>
        <w:spacing w:line="312" w:lineRule="auto" w:before="0" w:after="0"/>
        <w:ind w:left="115" w:right="219" w:firstLine="0"/>
        <w:jc w:val="left"/>
        <w:rPr>
          <w:sz w:val="24"/>
        </w:rPr>
      </w:pPr>
      <w:r>
        <w:rPr>
          <w:sz w:val="24"/>
        </w:rPr>
        <w:t>What evidence might there be for thinking that the economic environment might have</w:t>
      </w:r>
      <w:r>
        <w:rPr>
          <w:spacing w:val="-23"/>
          <w:sz w:val="24"/>
        </w:rPr>
        <w:t> </w:t>
      </w:r>
      <w:r>
        <w:rPr>
          <w:sz w:val="24"/>
        </w:rPr>
        <w:t>become less risky? Well to start with, there is well-documented </w:t>
      </w:r>
      <w:r>
        <w:rPr>
          <w:spacing w:val="-3"/>
          <w:sz w:val="24"/>
        </w:rPr>
        <w:t>evidence that inflation </w:t>
      </w:r>
      <w:r>
        <w:rPr>
          <w:sz w:val="24"/>
        </w:rPr>
        <w:t>is </w:t>
      </w:r>
      <w:r>
        <w:rPr>
          <w:spacing w:val="-3"/>
          <w:sz w:val="24"/>
        </w:rPr>
        <w:t>less volatile </w:t>
      </w:r>
      <w:r>
        <w:rPr>
          <w:sz w:val="24"/>
        </w:rPr>
        <w:t>at </w:t>
      </w:r>
      <w:r>
        <w:rPr>
          <w:spacing w:val="-3"/>
          <w:sz w:val="24"/>
        </w:rPr>
        <w:t>lower inflation </w:t>
      </w:r>
      <w:r>
        <w:rPr>
          <w:sz w:val="24"/>
        </w:rPr>
        <w:t>rates</w:t>
      </w:r>
      <w:r>
        <w:rPr>
          <w:sz w:val="24"/>
          <w:vertAlign w:val="superscript"/>
        </w:rPr>
        <w:t>12</w:t>
      </w:r>
      <w:r>
        <w:rPr>
          <w:sz w:val="24"/>
          <w:vertAlign w:val="baseline"/>
        </w:rPr>
        <w:t>, as argued by Friedman in his Nobel lecture of 1977. A recent study by Cecchetti, Flores-Lagunes and Krause (2004) found that in a sample of 24 countries (including the US, UK and other EU </w:t>
      </w:r>
      <w:r>
        <w:rPr>
          <w:spacing w:val="-6"/>
          <w:sz w:val="24"/>
          <w:vertAlign w:val="baseline"/>
        </w:rPr>
        <w:t>members </w:t>
      </w:r>
      <w:r>
        <w:rPr>
          <w:sz w:val="24"/>
          <w:vertAlign w:val="baseline"/>
        </w:rPr>
        <w:t>as of 2003) inflation variability fell in all countries from the 1980s to the </w:t>
      </w:r>
      <w:r>
        <w:rPr>
          <w:spacing w:val="-2"/>
          <w:sz w:val="24"/>
          <w:vertAlign w:val="baseline"/>
        </w:rPr>
        <w:t>1990s. </w:t>
      </w:r>
      <w:r>
        <w:rPr>
          <w:sz w:val="24"/>
          <w:vertAlign w:val="baseline"/>
        </w:rPr>
        <w:t>And indeed it appears that lower average real interest rates in several OECD economies in the 1990s have been associated with more predictable inflation outturns </w:t>
      </w:r>
      <w:r>
        <w:rPr>
          <w:spacing w:val="-4"/>
          <w:sz w:val="24"/>
          <w:vertAlign w:val="baseline"/>
        </w:rPr>
        <w:t>(defined </w:t>
      </w:r>
      <w:r>
        <w:rPr>
          <w:sz w:val="24"/>
          <w:vertAlign w:val="baseline"/>
        </w:rPr>
        <w:t>as the conditional standard deviation), see Chart 2. This can also be seen from the UK experience, where falling inflation </w:t>
      </w:r>
      <w:r>
        <w:rPr>
          <w:spacing w:val="-2"/>
          <w:sz w:val="24"/>
          <w:vertAlign w:val="baseline"/>
        </w:rPr>
        <w:t>and </w:t>
      </w:r>
      <w:r>
        <w:rPr>
          <w:sz w:val="24"/>
          <w:vertAlign w:val="baseline"/>
        </w:rPr>
        <w:t>nominal and real interest rates have been accompanied by greater predictability for all three </w:t>
      </w:r>
      <w:r>
        <w:rPr>
          <w:spacing w:val="-2"/>
          <w:sz w:val="24"/>
          <w:vertAlign w:val="baseline"/>
        </w:rPr>
        <w:t>series </w:t>
      </w:r>
      <w:r>
        <w:rPr>
          <w:sz w:val="24"/>
          <w:vertAlign w:val="baseline"/>
        </w:rPr>
        <w:t>(Charts 3 and </w:t>
      </w:r>
      <w:r>
        <w:rPr>
          <w:spacing w:val="-5"/>
          <w:sz w:val="24"/>
          <w:vertAlign w:val="baseline"/>
        </w:rPr>
        <w:t>4).</w:t>
      </w:r>
    </w:p>
    <w:p>
      <w:pPr>
        <w:pStyle w:val="BodyText"/>
        <w:spacing w:before="4"/>
        <w:rPr>
          <w:sz w:val="32"/>
        </w:rPr>
      </w:pPr>
    </w:p>
    <w:p>
      <w:pPr>
        <w:pStyle w:val="ListParagraph"/>
        <w:numPr>
          <w:ilvl w:val="0"/>
          <w:numId w:val="1"/>
        </w:numPr>
        <w:tabs>
          <w:tab w:pos="849" w:val="left" w:leader="none"/>
          <w:tab w:pos="850" w:val="left" w:leader="none"/>
        </w:tabs>
        <w:spacing w:line="309" w:lineRule="auto" w:before="1" w:after="0"/>
        <w:ind w:left="115" w:right="109" w:firstLine="0"/>
        <w:jc w:val="left"/>
        <w:rPr>
          <w:sz w:val="24"/>
        </w:rPr>
      </w:pPr>
      <w:r>
        <w:rPr>
          <w:sz w:val="24"/>
        </w:rPr>
        <w:t>But </w:t>
      </w:r>
      <w:r>
        <w:rPr>
          <w:spacing w:val="-3"/>
          <w:sz w:val="24"/>
        </w:rPr>
        <w:t>inflation </w:t>
      </w:r>
      <w:r>
        <w:rPr>
          <w:sz w:val="24"/>
        </w:rPr>
        <w:t>is not the </w:t>
      </w:r>
      <w:r>
        <w:rPr>
          <w:spacing w:val="-3"/>
          <w:sz w:val="24"/>
        </w:rPr>
        <w:t>only area </w:t>
      </w:r>
      <w:r>
        <w:rPr>
          <w:sz w:val="24"/>
        </w:rPr>
        <w:t>in </w:t>
      </w:r>
      <w:r>
        <w:rPr>
          <w:spacing w:val="-3"/>
          <w:sz w:val="24"/>
        </w:rPr>
        <w:t>which </w:t>
      </w:r>
      <w:r>
        <w:rPr>
          <w:sz w:val="24"/>
        </w:rPr>
        <w:t>the macro-economic environment appears to have become more stable of late. Output has also become more stable in the major economies.</w:t>
      </w:r>
      <w:r>
        <w:rPr>
          <w:spacing w:val="7"/>
          <w:sz w:val="24"/>
        </w:rPr>
        <w:t> </w:t>
      </w:r>
      <w:r>
        <w:rPr>
          <w:sz w:val="24"/>
        </w:rPr>
        <w:t>Indeed there is a view that these two phenomena, more stable inflation and more stable output, are related. A substantial</w:t>
      </w:r>
      <w:r>
        <w:rPr>
          <w:spacing w:val="-5"/>
          <w:sz w:val="24"/>
        </w:rPr>
        <w:t> </w:t>
      </w:r>
      <w:r>
        <w:rPr>
          <w:sz w:val="24"/>
        </w:rPr>
        <w:t>literature</w:t>
      </w:r>
      <w:r>
        <w:rPr>
          <w:spacing w:val="-5"/>
          <w:sz w:val="24"/>
        </w:rPr>
        <w:t> </w:t>
      </w:r>
      <w:r>
        <w:rPr>
          <w:sz w:val="24"/>
        </w:rPr>
        <w:t>has</w:t>
      </w:r>
      <w:r>
        <w:rPr>
          <w:spacing w:val="-5"/>
          <w:sz w:val="24"/>
        </w:rPr>
        <w:t> </w:t>
      </w:r>
      <w:r>
        <w:rPr>
          <w:sz w:val="24"/>
        </w:rPr>
        <w:t>grown</w:t>
      </w:r>
      <w:r>
        <w:rPr>
          <w:spacing w:val="-5"/>
          <w:sz w:val="24"/>
        </w:rPr>
        <w:t> </w:t>
      </w:r>
      <w:r>
        <w:rPr>
          <w:sz w:val="24"/>
        </w:rPr>
        <w:t>up</w:t>
      </w:r>
      <w:r>
        <w:rPr>
          <w:spacing w:val="-5"/>
          <w:sz w:val="24"/>
        </w:rPr>
        <w:t> </w:t>
      </w:r>
      <w:r>
        <w:rPr>
          <w:sz w:val="24"/>
        </w:rPr>
        <w:t>to</w:t>
      </w:r>
      <w:r>
        <w:rPr>
          <w:spacing w:val="-5"/>
          <w:sz w:val="24"/>
        </w:rPr>
        <w:t> </w:t>
      </w:r>
      <w:r>
        <w:rPr>
          <w:sz w:val="24"/>
        </w:rPr>
        <w:t>document</w:t>
      </w:r>
      <w:r>
        <w:rPr>
          <w:spacing w:val="-5"/>
          <w:sz w:val="24"/>
        </w:rPr>
        <w:t> </w:t>
      </w:r>
      <w:r>
        <w:rPr>
          <w:sz w:val="24"/>
        </w:rPr>
        <w:t>and</w:t>
      </w:r>
      <w:r>
        <w:rPr>
          <w:spacing w:val="-5"/>
          <w:sz w:val="24"/>
        </w:rPr>
        <w:t> </w:t>
      </w:r>
      <w:r>
        <w:rPr>
          <w:sz w:val="24"/>
        </w:rPr>
        <w:t>explain</w:t>
      </w:r>
      <w:r>
        <w:rPr>
          <w:spacing w:val="-5"/>
          <w:sz w:val="24"/>
        </w:rPr>
        <w:t> </w:t>
      </w:r>
      <w:r>
        <w:rPr>
          <w:sz w:val="24"/>
        </w:rPr>
        <w:t>this</w:t>
      </w:r>
      <w:r>
        <w:rPr>
          <w:spacing w:val="-4"/>
          <w:sz w:val="24"/>
        </w:rPr>
        <w:t> </w:t>
      </w:r>
      <w:r>
        <w:rPr>
          <w:sz w:val="24"/>
        </w:rPr>
        <w:t>increased</w:t>
      </w:r>
      <w:r>
        <w:rPr>
          <w:spacing w:val="-5"/>
          <w:sz w:val="24"/>
        </w:rPr>
        <w:t> </w:t>
      </w:r>
      <w:r>
        <w:rPr>
          <w:sz w:val="24"/>
        </w:rPr>
        <w:t>stability,</w:t>
      </w:r>
      <w:r>
        <w:rPr>
          <w:spacing w:val="-5"/>
          <w:sz w:val="24"/>
        </w:rPr>
        <w:t> </w:t>
      </w:r>
      <w:r>
        <w:rPr>
          <w:sz w:val="24"/>
        </w:rPr>
        <w:t>dubbed</w:t>
      </w:r>
      <w:r>
        <w:rPr>
          <w:spacing w:val="-5"/>
          <w:sz w:val="24"/>
        </w:rPr>
        <w:t> </w:t>
      </w:r>
      <w:r>
        <w:rPr>
          <w:sz w:val="24"/>
        </w:rPr>
        <w:t>“The</w:t>
      </w:r>
      <w:r>
        <w:rPr>
          <w:spacing w:val="-5"/>
          <w:sz w:val="24"/>
        </w:rPr>
        <w:t> </w:t>
      </w:r>
      <w:r>
        <w:rPr>
          <w:sz w:val="24"/>
        </w:rPr>
        <w:t>Great Moderation”. Opinions differ as to whether it has resulted solely from good fortune, as the</w:t>
      </w:r>
      <w:r>
        <w:rPr>
          <w:spacing w:val="-19"/>
          <w:sz w:val="24"/>
        </w:rPr>
        <w:t> </w:t>
      </w:r>
      <w:r>
        <w:rPr>
          <w:sz w:val="24"/>
        </w:rPr>
        <w:t>incidence</w:t>
      </w:r>
    </w:p>
    <w:p>
      <w:pPr>
        <w:pStyle w:val="BodyText"/>
        <w:spacing w:before="9"/>
        <w:rPr>
          <w:sz w:val="35"/>
        </w:rPr>
      </w:pPr>
    </w:p>
    <w:p>
      <w:pPr>
        <w:spacing w:line="205" w:lineRule="exact" w:before="0"/>
        <w:ind w:left="115" w:right="0" w:firstLine="0"/>
        <w:jc w:val="left"/>
        <w:rPr>
          <w:sz w:val="19"/>
        </w:rPr>
      </w:pPr>
      <w:r>
        <w:rPr>
          <w:w w:val="105"/>
          <w:sz w:val="19"/>
        </w:rPr>
        <w:t>___________________________________________________________________________________________________</w:t>
      </w:r>
    </w:p>
    <w:p>
      <w:pPr>
        <w:spacing w:line="225" w:lineRule="exact" w:before="0"/>
        <w:ind w:left="115" w:right="0" w:firstLine="0"/>
        <w:jc w:val="left"/>
        <w:rPr>
          <w:sz w:val="19"/>
        </w:rPr>
      </w:pPr>
      <w:r>
        <w:rPr>
          <w:w w:val="105"/>
          <w:position w:val="9"/>
          <w:sz w:val="13"/>
        </w:rPr>
        <w:t>10 </w:t>
      </w:r>
      <w:r>
        <w:rPr>
          <w:w w:val="105"/>
          <w:sz w:val="19"/>
        </w:rPr>
        <w:t>This was noted by Darby (1975) and Feldstein (1976). I am grateful to Charles Bean for bringing it to my attention.</w:t>
      </w:r>
    </w:p>
    <w:p>
      <w:pPr>
        <w:spacing w:line="233" w:lineRule="exact" w:before="0"/>
        <w:ind w:left="115" w:right="0" w:firstLine="0"/>
        <w:jc w:val="left"/>
        <w:rPr>
          <w:sz w:val="19"/>
        </w:rPr>
      </w:pPr>
      <w:r>
        <w:rPr>
          <w:w w:val="105"/>
          <w:position w:val="9"/>
          <w:sz w:val="13"/>
        </w:rPr>
        <w:t>11 </w:t>
      </w:r>
      <w:r>
        <w:rPr>
          <w:w w:val="105"/>
          <w:sz w:val="19"/>
        </w:rPr>
        <w:t>As suggested by Peek (1982).</w:t>
      </w:r>
    </w:p>
    <w:p>
      <w:pPr>
        <w:spacing w:line="246" w:lineRule="exact" w:before="0"/>
        <w:ind w:left="115" w:right="0" w:firstLine="0"/>
        <w:jc w:val="left"/>
        <w:rPr>
          <w:sz w:val="19"/>
        </w:rPr>
      </w:pPr>
      <w:r>
        <w:rPr>
          <w:w w:val="105"/>
          <w:position w:val="9"/>
          <w:sz w:val="13"/>
        </w:rPr>
        <w:t>12 </w:t>
      </w:r>
      <w:r>
        <w:rPr>
          <w:w w:val="105"/>
          <w:sz w:val="19"/>
        </w:rPr>
        <w:t>See, for instance, King (2002).</w:t>
      </w:r>
    </w:p>
    <w:p>
      <w:pPr>
        <w:spacing w:after="0" w:line="246" w:lineRule="exact"/>
        <w:jc w:val="left"/>
        <w:rPr>
          <w:sz w:val="19"/>
        </w:rPr>
        <w:sectPr>
          <w:pgSz w:w="11920" w:h="16840"/>
          <w:pgMar w:header="0" w:footer="713" w:top="1180" w:bottom="900" w:left="1040" w:right="760"/>
        </w:sectPr>
      </w:pPr>
    </w:p>
    <w:p>
      <w:pPr>
        <w:pStyle w:val="BodyText"/>
        <w:spacing w:line="312" w:lineRule="auto" w:before="76"/>
        <w:ind w:left="115" w:right="86"/>
      </w:pPr>
      <w:r>
        <w:rPr/>
        <w:t>and magnitude of shocks that buffet the world economy have reduced, or from improved management of macro-economic policy in the face of an unchanged incidence of shocks</w:t>
      </w:r>
      <w:r>
        <w:rPr>
          <w:vertAlign w:val="superscript"/>
        </w:rPr>
        <w:t>13</w:t>
      </w:r>
      <w:r>
        <w:rPr>
          <w:vertAlign w:val="baseline"/>
        </w:rPr>
        <w:t>. My own view is that the</w:t>
      </w:r>
    </w:p>
    <w:p>
      <w:pPr>
        <w:pStyle w:val="BodyText"/>
        <w:spacing w:before="5"/>
        <w:rPr>
          <w:sz w:val="31"/>
        </w:rPr>
      </w:pPr>
    </w:p>
    <w:p>
      <w:pPr>
        <w:pStyle w:val="BodyText"/>
        <w:spacing w:line="312" w:lineRule="auto" w:before="1"/>
        <w:ind w:left="115" w:right="155"/>
      </w:pPr>
      <w:r>
        <w:rPr/>
        <w:t>explanation does not lie in a reduced incidence of shocks, but elsewhere. One need only think of the Asian crisis of 1997, the Russian default and Long Term Capital Management crisis of the following year, during which the operation of capital markets stalled, the dotcom collapse leading to the most synchronised global downturn since the war, 9/11 and volatility in several markets, from equities through housing to oil, to see that we still have our fair share of shocks. And it is probably worth saying at this point that my views on this matter date from well before my own stint as a policymaker, so are rather less biased than you might be tempted to think. As Benati (2004) shows, this phenomenon of reduced macro-economic volatility is also apparent in the UK for a range of economic data. Might that have led to an associated fall in real interest rates?</w:t>
      </w:r>
    </w:p>
    <w:p>
      <w:pPr>
        <w:pStyle w:val="BodyText"/>
        <w:spacing w:before="11"/>
        <w:rPr>
          <w:sz w:val="30"/>
        </w:rPr>
      </w:pPr>
    </w:p>
    <w:p>
      <w:pPr>
        <w:pStyle w:val="ListParagraph"/>
        <w:numPr>
          <w:ilvl w:val="0"/>
          <w:numId w:val="1"/>
        </w:numPr>
        <w:tabs>
          <w:tab w:pos="849" w:val="left" w:leader="none"/>
          <w:tab w:pos="850" w:val="left" w:leader="none"/>
        </w:tabs>
        <w:spacing w:line="312" w:lineRule="auto" w:before="0" w:after="0"/>
        <w:ind w:left="115" w:right="135" w:firstLine="0"/>
        <w:jc w:val="left"/>
        <w:rPr>
          <w:sz w:val="24"/>
        </w:rPr>
      </w:pPr>
      <w:r>
        <w:rPr>
          <w:sz w:val="24"/>
        </w:rPr>
        <w:t>One method of estimating the risk premium in nominal interest rates uses bonds that </w:t>
      </w:r>
      <w:r>
        <w:rPr>
          <w:spacing w:val="-2"/>
          <w:sz w:val="24"/>
        </w:rPr>
        <w:t>are </w:t>
      </w:r>
      <w:r>
        <w:rPr>
          <w:sz w:val="24"/>
        </w:rPr>
        <w:t>indexed for inflation. The difference in the yield on indexed and </w:t>
      </w:r>
      <w:r>
        <w:rPr>
          <w:spacing w:val="-9"/>
          <w:sz w:val="24"/>
        </w:rPr>
        <w:t>non- </w:t>
      </w:r>
      <w:r>
        <w:rPr>
          <w:sz w:val="24"/>
        </w:rPr>
        <w:t>indexed bonds of the same maturity should tell us about the combined value of market participants’ expectations of </w:t>
      </w:r>
      <w:r>
        <w:rPr>
          <w:spacing w:val="-2"/>
          <w:sz w:val="24"/>
        </w:rPr>
        <w:t>future </w:t>
      </w:r>
      <w:r>
        <w:rPr>
          <w:sz w:val="24"/>
        </w:rPr>
        <w:t>inflation and the premium they are willing to pay for the risk those inflation expectations won’t be realised. Scholtes (2002) and Peacock (2004) combine this with an independent measure of inflation expectations taken from surveys to arrive at a measure of the inflation risk premium. There are some important technical considerations to bear in mind in interpreting these data</w:t>
      </w:r>
      <w:r>
        <w:rPr>
          <w:sz w:val="24"/>
          <w:vertAlign w:val="superscript"/>
        </w:rPr>
        <w:t>15</w:t>
      </w:r>
      <w:r>
        <w:rPr>
          <w:sz w:val="24"/>
          <w:vertAlign w:val="baseline"/>
        </w:rPr>
        <w:t>, </w:t>
      </w:r>
      <w:r>
        <w:rPr>
          <w:spacing w:val="-3"/>
          <w:sz w:val="24"/>
          <w:vertAlign w:val="baseline"/>
        </w:rPr>
        <w:t>some </w:t>
      </w:r>
      <w:r>
        <w:rPr>
          <w:sz w:val="24"/>
          <w:vertAlign w:val="baseline"/>
        </w:rPr>
        <w:t>of </w:t>
      </w:r>
      <w:r>
        <w:rPr>
          <w:spacing w:val="-3"/>
          <w:sz w:val="24"/>
          <w:vertAlign w:val="baseline"/>
        </w:rPr>
        <w:t>which </w:t>
      </w:r>
      <w:r>
        <w:rPr>
          <w:sz w:val="24"/>
          <w:vertAlign w:val="baseline"/>
        </w:rPr>
        <w:t>are </w:t>
      </w:r>
      <w:r>
        <w:rPr>
          <w:spacing w:val="-3"/>
          <w:sz w:val="24"/>
          <w:vertAlign w:val="baseline"/>
        </w:rPr>
        <w:t>more </w:t>
      </w:r>
      <w:r>
        <w:rPr>
          <w:sz w:val="24"/>
          <w:vertAlign w:val="baseline"/>
        </w:rPr>
        <w:t>acute at shorter maturities, but nevertheless these results give some indication of the possible scale of the decline in the inflation risk premium. </w:t>
      </w:r>
      <w:r>
        <w:rPr>
          <w:spacing w:val="-6"/>
          <w:sz w:val="24"/>
          <w:vertAlign w:val="baseline"/>
        </w:rPr>
        <w:t>Scholtes </w:t>
      </w:r>
      <w:r>
        <w:rPr>
          <w:sz w:val="24"/>
          <w:vertAlign w:val="baseline"/>
        </w:rPr>
        <w:t>suggests that the inflation risk premium, though volatile, might have fallen significantly in the early</w:t>
      </w:r>
      <w:r>
        <w:rPr>
          <w:spacing w:val="39"/>
          <w:sz w:val="24"/>
          <w:vertAlign w:val="baseline"/>
        </w:rPr>
        <w:t> </w:t>
      </w:r>
      <w:r>
        <w:rPr>
          <w:spacing w:val="-2"/>
          <w:sz w:val="24"/>
          <w:vertAlign w:val="baseline"/>
        </w:rPr>
        <w:t>1990s.</w:t>
      </w:r>
    </w:p>
    <w:p>
      <w:pPr>
        <w:pStyle w:val="BodyText"/>
        <w:rPr>
          <w:sz w:val="31"/>
        </w:rPr>
      </w:pPr>
    </w:p>
    <w:p>
      <w:pPr>
        <w:pStyle w:val="ListParagraph"/>
        <w:numPr>
          <w:ilvl w:val="0"/>
          <w:numId w:val="1"/>
        </w:numPr>
        <w:tabs>
          <w:tab w:pos="911" w:val="left" w:leader="none"/>
          <w:tab w:pos="912" w:val="left" w:leader="none"/>
        </w:tabs>
        <w:spacing w:line="312" w:lineRule="auto" w:before="1" w:after="0"/>
        <w:ind w:left="115" w:right="102" w:firstLine="0"/>
        <w:jc w:val="left"/>
        <w:rPr>
          <w:sz w:val="24"/>
        </w:rPr>
      </w:pPr>
      <w:r>
        <w:rPr>
          <w:sz w:val="24"/>
        </w:rPr>
        <w:t>An alternative approach to estimating the risk premium is through the behaviour of</w:t>
      </w:r>
      <w:r>
        <w:rPr>
          <w:spacing w:val="-43"/>
          <w:sz w:val="24"/>
        </w:rPr>
        <w:t> </w:t>
      </w:r>
      <w:r>
        <w:rPr>
          <w:sz w:val="24"/>
        </w:rPr>
        <w:t>consumers. Since the anticipated return from abstaining today and deferring consumption until tomorrow is given by the </w:t>
      </w:r>
      <w:r>
        <w:rPr>
          <w:spacing w:val="-3"/>
          <w:sz w:val="24"/>
        </w:rPr>
        <w:t>ex-ante </w:t>
      </w:r>
      <w:r>
        <w:rPr>
          <w:sz w:val="24"/>
        </w:rPr>
        <w:t>expected real interest rate, we should be able to derive the expected real interest rate and associated risk premia from patterns of consumption. Following Ireland (1996) and Sarte (1998) the </w:t>
      </w:r>
      <w:r>
        <w:rPr>
          <w:spacing w:val="-3"/>
          <w:sz w:val="24"/>
        </w:rPr>
        <w:t>risk premium </w:t>
      </w:r>
      <w:r>
        <w:rPr>
          <w:sz w:val="24"/>
        </w:rPr>
        <w:t>in a </w:t>
      </w:r>
      <w:r>
        <w:rPr>
          <w:spacing w:val="-3"/>
          <w:sz w:val="24"/>
        </w:rPr>
        <w:t>simple model </w:t>
      </w:r>
      <w:r>
        <w:rPr>
          <w:sz w:val="24"/>
        </w:rPr>
        <w:t>can be shown to be a positive function of the unpredictability of </w:t>
      </w:r>
      <w:r>
        <w:rPr>
          <w:spacing w:val="-3"/>
          <w:sz w:val="24"/>
        </w:rPr>
        <w:t>inflation </w:t>
      </w:r>
      <w:r>
        <w:rPr>
          <w:sz w:val="24"/>
        </w:rPr>
        <w:t>and the real interest rate; and a negative function of uncertainty about the covariance of </w:t>
      </w:r>
      <w:r>
        <w:rPr>
          <w:spacing w:val="-2"/>
          <w:sz w:val="24"/>
        </w:rPr>
        <w:t>future </w:t>
      </w:r>
      <w:r>
        <w:rPr>
          <w:sz w:val="24"/>
        </w:rPr>
        <w:t>consumption and </w:t>
      </w:r>
      <w:r>
        <w:rPr>
          <w:spacing w:val="-3"/>
          <w:sz w:val="24"/>
        </w:rPr>
        <w:t>inflation.</w:t>
      </w:r>
      <w:r>
        <w:rPr>
          <w:spacing w:val="-3"/>
          <w:sz w:val="24"/>
          <w:vertAlign w:val="superscript"/>
        </w:rPr>
        <w:t>.</w:t>
      </w:r>
      <w:r>
        <w:rPr>
          <w:spacing w:val="-3"/>
          <w:sz w:val="24"/>
          <w:vertAlign w:val="baseline"/>
        </w:rPr>
        <w:t> </w:t>
      </w:r>
      <w:r>
        <w:rPr>
          <w:sz w:val="24"/>
          <w:vertAlign w:val="baseline"/>
        </w:rPr>
        <w:t>This </w:t>
      </w:r>
      <w:r>
        <w:rPr>
          <w:spacing w:val="-4"/>
          <w:sz w:val="24"/>
          <w:vertAlign w:val="baseline"/>
        </w:rPr>
        <w:t>last </w:t>
      </w:r>
      <w:r>
        <w:rPr>
          <w:sz w:val="24"/>
          <w:vertAlign w:val="baseline"/>
        </w:rPr>
        <w:t>term is because the consumer will require a higher compensation for the risk of unexpectedly high future inflation the more likely this is to coincide with a period of unexpectedly low consumption</w:t>
      </w:r>
      <w:r>
        <w:rPr>
          <w:spacing w:val="26"/>
          <w:sz w:val="24"/>
          <w:vertAlign w:val="baseline"/>
        </w:rPr>
        <w:t> </w:t>
      </w:r>
      <w:r>
        <w:rPr>
          <w:spacing w:val="-5"/>
          <w:sz w:val="24"/>
          <w:vertAlign w:val="baseline"/>
        </w:rPr>
        <w:t>growth.</w:t>
      </w:r>
    </w:p>
    <w:p>
      <w:pPr>
        <w:pStyle w:val="BodyText"/>
        <w:spacing w:before="10"/>
        <w:rPr>
          <w:sz w:val="30"/>
        </w:rPr>
      </w:pPr>
    </w:p>
    <w:p>
      <w:pPr>
        <w:pStyle w:val="ListParagraph"/>
        <w:numPr>
          <w:ilvl w:val="0"/>
          <w:numId w:val="1"/>
        </w:numPr>
        <w:tabs>
          <w:tab w:pos="849" w:val="left" w:leader="none"/>
          <w:tab w:pos="850" w:val="left" w:leader="none"/>
        </w:tabs>
        <w:spacing w:line="312" w:lineRule="auto" w:before="1" w:after="0"/>
        <w:ind w:left="115" w:right="152" w:firstLine="0"/>
        <w:jc w:val="left"/>
        <w:rPr>
          <w:sz w:val="24"/>
        </w:rPr>
      </w:pPr>
      <w:r>
        <w:rPr>
          <w:sz w:val="24"/>
        </w:rPr>
        <w:t>It seems likely that the combined effects of the </w:t>
      </w:r>
      <w:r>
        <w:rPr>
          <w:spacing w:val="-4"/>
          <w:sz w:val="24"/>
        </w:rPr>
        <w:t>increased </w:t>
      </w:r>
      <w:r>
        <w:rPr>
          <w:sz w:val="24"/>
        </w:rPr>
        <w:t>predictability of inflation and interest rates observed during the last decade or so might have acted to reduce the risk premium, as </w:t>
      </w:r>
      <w:r>
        <w:rPr>
          <w:spacing w:val="-4"/>
          <w:sz w:val="24"/>
        </w:rPr>
        <w:t>might </w:t>
      </w:r>
      <w:r>
        <w:rPr>
          <w:sz w:val="24"/>
        </w:rPr>
        <w:t>enhanced opportunities to hedge these risks. And chart 5 suggests that real consumption growth</w:t>
      </w:r>
      <w:r>
        <w:rPr>
          <w:spacing w:val="-36"/>
          <w:sz w:val="24"/>
        </w:rPr>
        <w:t> </w:t>
      </w:r>
      <w:r>
        <w:rPr>
          <w:sz w:val="24"/>
        </w:rPr>
        <w:t>might</w:t>
      </w:r>
    </w:p>
    <w:p>
      <w:pPr>
        <w:spacing w:line="237" w:lineRule="auto" w:before="172"/>
        <w:ind w:left="115" w:right="109" w:firstLine="0"/>
        <w:jc w:val="left"/>
        <w:rPr>
          <w:sz w:val="19"/>
        </w:rPr>
      </w:pPr>
      <w:r>
        <w:rPr>
          <w:w w:val="105"/>
          <w:sz w:val="19"/>
        </w:rPr>
        <w:t>___________________________________________________________________________________________________ </w:t>
      </w:r>
      <w:r>
        <w:rPr>
          <w:w w:val="105"/>
          <w:position w:val="9"/>
          <w:sz w:val="13"/>
        </w:rPr>
        <w:t>13 </w:t>
      </w:r>
      <w:r>
        <w:rPr>
          <w:w w:val="105"/>
          <w:sz w:val="19"/>
        </w:rPr>
        <w:t>Bernanke (2004) explains how a better monetary policy response to shocks might show as diminished shocks in empirical work.</w:t>
      </w:r>
    </w:p>
    <w:p>
      <w:pPr>
        <w:spacing w:line="224" w:lineRule="exact" w:before="0"/>
        <w:ind w:left="115" w:right="0" w:firstLine="0"/>
        <w:jc w:val="left"/>
        <w:rPr>
          <w:sz w:val="19"/>
        </w:rPr>
      </w:pPr>
      <w:r>
        <w:rPr>
          <w:w w:val="105"/>
          <w:position w:val="9"/>
          <w:sz w:val="13"/>
        </w:rPr>
        <w:t>15 </w:t>
      </w:r>
      <w:r>
        <w:rPr>
          <w:w w:val="105"/>
          <w:sz w:val="19"/>
        </w:rPr>
        <w:t>See Breedon (1995), Scholtes (2002), Peacock (2004) and Tucker (2004).</w:t>
      </w:r>
    </w:p>
    <w:p>
      <w:pPr>
        <w:spacing w:after="0" w:line="224" w:lineRule="exact"/>
        <w:jc w:val="left"/>
        <w:rPr>
          <w:sz w:val="19"/>
        </w:rPr>
        <w:sectPr>
          <w:pgSz w:w="11920" w:h="16840"/>
          <w:pgMar w:header="0" w:footer="713" w:top="1180" w:bottom="980" w:left="1040" w:right="760"/>
        </w:sectPr>
      </w:pPr>
    </w:p>
    <w:p>
      <w:pPr>
        <w:pStyle w:val="BodyText"/>
        <w:spacing w:line="309" w:lineRule="auto" w:before="76"/>
        <w:ind w:left="115" w:right="121"/>
      </w:pPr>
      <w:r>
        <w:rPr/>
        <w:t>be negatively correlated with inflation, though of course it is the unpredictable covariance in which we are interested. However, while estimates of the inflation risk premium for the UK using this approach clearly show a fall in the risk premium since the late 1980s, the scale, both of the risk premium itself and its fall over the period, is tiny. Although problems associated with this approach are well documented</w:t>
      </w:r>
      <w:r>
        <w:rPr>
          <w:vertAlign w:val="superscript"/>
        </w:rPr>
        <w:t>16</w:t>
      </w:r>
      <w:r>
        <w:rPr>
          <w:vertAlign w:val="baseline"/>
        </w:rPr>
        <w:t> and it is possible to make adjustments to deal with some of them that raise the premium, the total effect remains small compared with the observed fall in the real rate.</w:t>
      </w:r>
    </w:p>
    <w:p>
      <w:pPr>
        <w:pStyle w:val="BodyText"/>
        <w:rPr>
          <w:sz w:val="32"/>
        </w:rPr>
      </w:pPr>
    </w:p>
    <w:p>
      <w:pPr>
        <w:pStyle w:val="ListParagraph"/>
        <w:numPr>
          <w:ilvl w:val="0"/>
          <w:numId w:val="1"/>
        </w:numPr>
        <w:tabs>
          <w:tab w:pos="849" w:val="left" w:leader="none"/>
          <w:tab w:pos="850" w:val="left" w:leader="none"/>
        </w:tabs>
        <w:spacing w:line="312" w:lineRule="auto" w:before="1" w:after="0"/>
        <w:ind w:left="115" w:right="254" w:firstLine="0"/>
        <w:jc w:val="left"/>
        <w:rPr>
          <w:sz w:val="24"/>
        </w:rPr>
      </w:pPr>
      <w:r>
        <w:rPr>
          <w:sz w:val="24"/>
        </w:rPr>
        <w:t>A more promising avenue to explore might be the approaches taken by Ang and Bekaert (2003) or Goto and Torous (2003), both of which incorporate the effects of regime change in </w:t>
      </w:r>
      <w:r>
        <w:rPr>
          <w:spacing w:val="-4"/>
          <w:sz w:val="24"/>
        </w:rPr>
        <w:t>calculatio </w:t>
      </w:r>
      <w:r>
        <w:rPr>
          <w:sz w:val="24"/>
        </w:rPr>
        <w:t>ns of the term structure of real interest rates and the risk premium in the United </w:t>
      </w:r>
      <w:r>
        <w:rPr>
          <w:spacing w:val="-3"/>
          <w:sz w:val="24"/>
        </w:rPr>
        <w:t>States</w:t>
      </w:r>
      <w:r>
        <w:rPr>
          <w:i/>
          <w:spacing w:val="-3"/>
          <w:sz w:val="24"/>
        </w:rPr>
        <w:t>. </w:t>
      </w:r>
      <w:r>
        <w:rPr>
          <w:spacing w:val="-3"/>
          <w:sz w:val="24"/>
        </w:rPr>
        <w:t>Ang </w:t>
      </w:r>
      <w:r>
        <w:rPr>
          <w:sz w:val="24"/>
        </w:rPr>
        <w:t>and Bekaert find a relationship between real rates and inflation that varies across regimes and a stronger role for the inflation risk premium, which entirely accounts for the upward slope of </w:t>
      </w:r>
      <w:r>
        <w:rPr>
          <w:spacing w:val="-2"/>
          <w:sz w:val="24"/>
        </w:rPr>
        <w:t>the </w:t>
      </w:r>
      <w:r>
        <w:rPr>
          <w:sz w:val="24"/>
        </w:rPr>
        <w:t>nominal term structure, but falls significantly in the 1990s. </w:t>
      </w:r>
      <w:r>
        <w:rPr>
          <w:spacing w:val="-3"/>
          <w:sz w:val="24"/>
        </w:rPr>
        <w:t>Goto and </w:t>
      </w:r>
      <w:r>
        <w:rPr>
          <w:spacing w:val="-4"/>
          <w:sz w:val="24"/>
        </w:rPr>
        <w:t>Torous </w:t>
      </w:r>
      <w:r>
        <w:rPr>
          <w:spacing w:val="-3"/>
          <w:sz w:val="24"/>
        </w:rPr>
        <w:t>find that </w:t>
      </w:r>
      <w:r>
        <w:rPr>
          <w:sz w:val="24"/>
        </w:rPr>
        <w:t>a </w:t>
      </w:r>
      <w:r>
        <w:rPr>
          <w:spacing w:val="-4"/>
          <w:sz w:val="24"/>
        </w:rPr>
        <w:t>shift </w:t>
      </w:r>
      <w:r>
        <w:rPr>
          <w:sz w:val="24"/>
        </w:rPr>
        <w:t>in </w:t>
      </w:r>
      <w:r>
        <w:rPr>
          <w:spacing w:val="-4"/>
          <w:sz w:val="24"/>
        </w:rPr>
        <w:t>the </w:t>
      </w:r>
      <w:r>
        <w:rPr>
          <w:sz w:val="24"/>
        </w:rPr>
        <w:t>inflation process following the introduction of an </w:t>
      </w:r>
      <w:r>
        <w:rPr>
          <w:spacing w:val="-5"/>
          <w:sz w:val="24"/>
        </w:rPr>
        <w:t>anti- </w:t>
      </w:r>
      <w:r>
        <w:rPr>
          <w:sz w:val="24"/>
        </w:rPr>
        <w:t>inflationary interest rate policy leads to a positive relationship between inflation and real interest rates. </w:t>
      </w:r>
      <w:r>
        <w:rPr>
          <w:spacing w:val="-4"/>
          <w:sz w:val="24"/>
        </w:rPr>
        <w:t>The </w:t>
      </w:r>
      <w:r>
        <w:rPr>
          <w:sz w:val="24"/>
        </w:rPr>
        <w:t>risk premium </w:t>
      </w:r>
      <w:r>
        <w:rPr>
          <w:spacing w:val="-3"/>
          <w:sz w:val="24"/>
        </w:rPr>
        <w:t>in short-term </w:t>
      </w:r>
      <w:r>
        <w:rPr>
          <w:sz w:val="24"/>
        </w:rPr>
        <w:t>interest </w:t>
      </w:r>
      <w:r>
        <w:rPr>
          <w:spacing w:val="-4"/>
          <w:sz w:val="24"/>
        </w:rPr>
        <w:t>rates </w:t>
      </w:r>
      <w:r>
        <w:rPr>
          <w:sz w:val="24"/>
        </w:rPr>
        <w:t>initially increases significantly as policy becomes more activist, but might later be expected to decline as credibility is established and inflation shocks become less</w:t>
      </w:r>
      <w:r>
        <w:rPr>
          <w:spacing w:val="-12"/>
          <w:sz w:val="24"/>
        </w:rPr>
        <w:t> </w:t>
      </w:r>
      <w:r>
        <w:rPr>
          <w:sz w:val="24"/>
        </w:rPr>
        <w:t>persistent.</w:t>
      </w:r>
    </w:p>
    <w:p>
      <w:pPr>
        <w:pStyle w:val="BodyText"/>
        <w:rPr>
          <w:sz w:val="31"/>
        </w:rPr>
      </w:pPr>
    </w:p>
    <w:p>
      <w:pPr>
        <w:pStyle w:val="ListParagraph"/>
        <w:numPr>
          <w:ilvl w:val="0"/>
          <w:numId w:val="1"/>
        </w:numPr>
        <w:tabs>
          <w:tab w:pos="849" w:val="left" w:leader="none"/>
          <w:tab w:pos="850" w:val="left" w:leader="none"/>
        </w:tabs>
        <w:spacing w:line="312" w:lineRule="auto" w:before="0" w:after="0"/>
        <w:ind w:left="115" w:right="213" w:firstLine="0"/>
        <w:jc w:val="left"/>
        <w:rPr>
          <w:sz w:val="24"/>
        </w:rPr>
      </w:pPr>
      <w:r>
        <w:rPr>
          <w:sz w:val="24"/>
        </w:rPr>
        <w:t>So, in conclusion, it seems that experience across a range of economies since the </w:t>
      </w:r>
      <w:r>
        <w:rPr>
          <w:spacing w:val="-3"/>
          <w:sz w:val="24"/>
        </w:rPr>
        <w:t>late 1980s suggests that </w:t>
      </w:r>
      <w:r>
        <w:rPr>
          <w:sz w:val="24"/>
        </w:rPr>
        <w:t>the </w:t>
      </w:r>
      <w:r>
        <w:rPr>
          <w:spacing w:val="-3"/>
          <w:sz w:val="24"/>
        </w:rPr>
        <w:t>natural rate </w:t>
      </w:r>
      <w:r>
        <w:rPr>
          <w:sz w:val="24"/>
        </w:rPr>
        <w:t>of </w:t>
      </w:r>
      <w:r>
        <w:rPr>
          <w:spacing w:val="-3"/>
          <w:sz w:val="24"/>
        </w:rPr>
        <w:t>interest might have fallen. </w:t>
      </w:r>
      <w:r>
        <w:rPr>
          <w:sz w:val="24"/>
        </w:rPr>
        <w:t>A reduced tax wedge between real and </w:t>
      </w:r>
      <w:r>
        <w:rPr>
          <w:spacing w:val="-3"/>
          <w:sz w:val="24"/>
        </w:rPr>
        <w:t>nominal rates </w:t>
      </w:r>
      <w:r>
        <w:rPr>
          <w:sz w:val="24"/>
        </w:rPr>
        <w:t>at lower inflation rates is </w:t>
      </w:r>
      <w:r>
        <w:rPr>
          <w:spacing w:val="-4"/>
          <w:sz w:val="24"/>
        </w:rPr>
        <w:t>likely </w:t>
      </w:r>
      <w:r>
        <w:rPr>
          <w:sz w:val="24"/>
        </w:rPr>
        <w:t>to have contributed. And </w:t>
      </w:r>
      <w:r>
        <w:rPr>
          <w:spacing w:val="-8"/>
          <w:sz w:val="24"/>
        </w:rPr>
        <w:t>it </w:t>
      </w:r>
      <w:r>
        <w:rPr>
          <w:sz w:val="24"/>
        </w:rPr>
        <w:t>is </w:t>
      </w:r>
      <w:r>
        <w:rPr>
          <w:spacing w:val="-3"/>
          <w:sz w:val="24"/>
        </w:rPr>
        <w:t>possible that </w:t>
      </w:r>
      <w:r>
        <w:rPr>
          <w:sz w:val="24"/>
        </w:rPr>
        <w:t>the decline might</w:t>
      </w:r>
      <w:r>
        <w:rPr>
          <w:spacing w:val="-7"/>
          <w:sz w:val="24"/>
        </w:rPr>
        <w:t> </w:t>
      </w:r>
      <w:r>
        <w:rPr>
          <w:sz w:val="24"/>
        </w:rPr>
        <w:t>be</w:t>
      </w:r>
      <w:r>
        <w:rPr>
          <w:spacing w:val="-6"/>
          <w:sz w:val="24"/>
        </w:rPr>
        <w:t> </w:t>
      </w:r>
      <w:r>
        <w:rPr>
          <w:sz w:val="24"/>
        </w:rPr>
        <w:t>partly</w:t>
      </w:r>
      <w:r>
        <w:rPr>
          <w:spacing w:val="-6"/>
          <w:sz w:val="24"/>
        </w:rPr>
        <w:t> </w:t>
      </w:r>
      <w:r>
        <w:rPr>
          <w:sz w:val="24"/>
        </w:rPr>
        <w:t>associated</w:t>
      </w:r>
      <w:r>
        <w:rPr>
          <w:spacing w:val="-6"/>
          <w:sz w:val="24"/>
        </w:rPr>
        <w:t> </w:t>
      </w:r>
      <w:r>
        <w:rPr>
          <w:sz w:val="24"/>
        </w:rPr>
        <w:t>with</w:t>
      </w:r>
      <w:r>
        <w:rPr>
          <w:spacing w:val="-6"/>
          <w:sz w:val="24"/>
        </w:rPr>
        <w:t> </w:t>
      </w:r>
      <w:r>
        <w:rPr>
          <w:sz w:val="24"/>
        </w:rPr>
        <w:t>reduced</w:t>
      </w:r>
      <w:r>
        <w:rPr>
          <w:spacing w:val="-6"/>
          <w:sz w:val="24"/>
        </w:rPr>
        <w:t> </w:t>
      </w:r>
      <w:r>
        <w:rPr>
          <w:sz w:val="24"/>
        </w:rPr>
        <w:t>risk</w:t>
      </w:r>
      <w:r>
        <w:rPr>
          <w:spacing w:val="-6"/>
          <w:sz w:val="24"/>
        </w:rPr>
        <w:t> </w:t>
      </w:r>
      <w:r>
        <w:rPr>
          <w:sz w:val="24"/>
        </w:rPr>
        <w:t>premia,</w:t>
      </w:r>
      <w:r>
        <w:rPr>
          <w:spacing w:val="-7"/>
          <w:sz w:val="24"/>
        </w:rPr>
        <w:t> </w:t>
      </w:r>
      <w:r>
        <w:rPr>
          <w:sz w:val="24"/>
        </w:rPr>
        <w:t>although</w:t>
      </w:r>
      <w:r>
        <w:rPr>
          <w:spacing w:val="8"/>
          <w:sz w:val="24"/>
        </w:rPr>
        <w:t> </w:t>
      </w:r>
      <w:r>
        <w:rPr>
          <w:sz w:val="24"/>
        </w:rPr>
        <w:t>it</w:t>
      </w:r>
      <w:r>
        <w:rPr>
          <w:spacing w:val="-2"/>
          <w:sz w:val="24"/>
        </w:rPr>
        <w:t> </w:t>
      </w:r>
      <w:r>
        <w:rPr>
          <w:sz w:val="24"/>
        </w:rPr>
        <w:t>is</w:t>
      </w:r>
      <w:r>
        <w:rPr>
          <w:spacing w:val="-1"/>
          <w:sz w:val="24"/>
        </w:rPr>
        <w:t> </w:t>
      </w:r>
      <w:r>
        <w:rPr>
          <w:sz w:val="24"/>
        </w:rPr>
        <w:t>difficult</w:t>
      </w:r>
      <w:r>
        <w:rPr>
          <w:spacing w:val="-2"/>
          <w:sz w:val="24"/>
        </w:rPr>
        <w:t> </w:t>
      </w:r>
      <w:r>
        <w:rPr>
          <w:sz w:val="24"/>
        </w:rPr>
        <w:t>to</w:t>
      </w:r>
      <w:r>
        <w:rPr>
          <w:spacing w:val="-1"/>
          <w:sz w:val="24"/>
        </w:rPr>
        <w:t> </w:t>
      </w:r>
      <w:r>
        <w:rPr>
          <w:sz w:val="24"/>
        </w:rPr>
        <w:t>derive</w:t>
      </w:r>
      <w:r>
        <w:rPr>
          <w:spacing w:val="-2"/>
          <w:sz w:val="24"/>
        </w:rPr>
        <w:t> </w:t>
      </w:r>
      <w:r>
        <w:rPr>
          <w:sz w:val="24"/>
        </w:rPr>
        <w:t>estimates</w:t>
      </w:r>
      <w:r>
        <w:rPr>
          <w:spacing w:val="-2"/>
          <w:sz w:val="24"/>
        </w:rPr>
        <w:t> </w:t>
      </w:r>
      <w:r>
        <w:rPr>
          <w:sz w:val="24"/>
        </w:rPr>
        <w:t>that</w:t>
      </w:r>
      <w:r>
        <w:rPr>
          <w:spacing w:val="-1"/>
          <w:sz w:val="24"/>
        </w:rPr>
        <w:t> </w:t>
      </w:r>
      <w:r>
        <w:rPr>
          <w:spacing w:val="-2"/>
          <w:sz w:val="24"/>
        </w:rPr>
        <w:t>are </w:t>
      </w:r>
      <w:r>
        <w:rPr>
          <w:sz w:val="24"/>
        </w:rPr>
        <w:t>sufficiently large to account for a significant share of the observed </w:t>
      </w:r>
      <w:r>
        <w:rPr>
          <w:spacing w:val="-4"/>
          <w:sz w:val="24"/>
        </w:rPr>
        <w:t>fall </w:t>
      </w:r>
      <w:r>
        <w:rPr>
          <w:sz w:val="24"/>
        </w:rPr>
        <w:t>in </w:t>
      </w:r>
      <w:r>
        <w:rPr>
          <w:spacing w:val="-3"/>
          <w:sz w:val="24"/>
        </w:rPr>
        <w:t>average real </w:t>
      </w:r>
      <w:r>
        <w:rPr>
          <w:sz w:val="24"/>
        </w:rPr>
        <w:t>short-term interest rates. Shifts in inflation regime and greater associated macro-economic stability might also have played a role, </w:t>
      </w:r>
      <w:r>
        <w:rPr>
          <w:spacing w:val="-3"/>
          <w:sz w:val="24"/>
        </w:rPr>
        <w:t>both </w:t>
      </w:r>
      <w:r>
        <w:rPr>
          <w:sz w:val="24"/>
        </w:rPr>
        <w:t>in </w:t>
      </w:r>
      <w:r>
        <w:rPr>
          <w:spacing w:val="-3"/>
          <w:sz w:val="24"/>
        </w:rPr>
        <w:t>lowering </w:t>
      </w:r>
      <w:r>
        <w:rPr>
          <w:sz w:val="24"/>
        </w:rPr>
        <w:t>the </w:t>
      </w:r>
      <w:r>
        <w:rPr>
          <w:spacing w:val="-3"/>
          <w:sz w:val="24"/>
        </w:rPr>
        <w:t>risk- </w:t>
      </w:r>
      <w:r>
        <w:rPr>
          <w:sz w:val="24"/>
        </w:rPr>
        <w:t>free real natural rate and enhancing the role of risk </w:t>
      </w:r>
      <w:r>
        <w:rPr>
          <w:spacing w:val="-4"/>
          <w:sz w:val="24"/>
        </w:rPr>
        <w:t>premia. </w:t>
      </w:r>
      <w:r>
        <w:rPr>
          <w:spacing w:val="3"/>
          <w:sz w:val="24"/>
        </w:rPr>
        <w:t>Since </w:t>
      </w:r>
      <w:r>
        <w:rPr>
          <w:spacing w:val="-3"/>
          <w:sz w:val="24"/>
        </w:rPr>
        <w:t>the </w:t>
      </w:r>
      <w:r>
        <w:rPr>
          <w:sz w:val="24"/>
        </w:rPr>
        <w:t>observed relationship between real interest rates and inflation is a relatively </w:t>
      </w:r>
      <w:r>
        <w:rPr>
          <w:spacing w:val="-2"/>
          <w:sz w:val="24"/>
        </w:rPr>
        <w:t>recent </w:t>
      </w:r>
      <w:r>
        <w:rPr>
          <w:sz w:val="24"/>
        </w:rPr>
        <w:t>phenomenon which was not apparent in the 1970s, this explanation for the decline in real rates is </w:t>
      </w:r>
      <w:r>
        <w:rPr>
          <w:spacing w:val="-3"/>
          <w:sz w:val="24"/>
        </w:rPr>
        <w:t>appealing.</w:t>
      </w:r>
    </w:p>
    <w:p>
      <w:pPr>
        <w:pStyle w:val="BodyText"/>
        <w:spacing w:before="5"/>
        <w:rPr>
          <w:sz w:val="32"/>
        </w:rPr>
      </w:pPr>
    </w:p>
    <w:p>
      <w:pPr>
        <w:pStyle w:val="ListParagraph"/>
        <w:numPr>
          <w:ilvl w:val="0"/>
          <w:numId w:val="1"/>
        </w:numPr>
        <w:tabs>
          <w:tab w:pos="849" w:val="left" w:leader="none"/>
          <w:tab w:pos="850" w:val="left" w:leader="none"/>
        </w:tabs>
        <w:spacing w:line="312" w:lineRule="auto" w:before="0" w:after="0"/>
        <w:ind w:left="115" w:right="314" w:firstLine="0"/>
        <w:jc w:val="left"/>
        <w:rPr>
          <w:sz w:val="24"/>
        </w:rPr>
      </w:pPr>
      <w:r>
        <w:rPr>
          <w:sz w:val="24"/>
        </w:rPr>
        <w:t>But, as with interpreting movements in potential supply </w:t>
      </w:r>
      <w:r>
        <w:rPr>
          <w:spacing w:val="-11"/>
          <w:sz w:val="24"/>
        </w:rPr>
        <w:t>and </w:t>
      </w:r>
      <w:r>
        <w:rPr>
          <w:sz w:val="24"/>
        </w:rPr>
        <w:t>apparent improvements in </w:t>
      </w:r>
      <w:r>
        <w:rPr>
          <w:spacing w:val="-2"/>
          <w:sz w:val="24"/>
        </w:rPr>
        <w:t>the </w:t>
      </w:r>
      <w:r>
        <w:rPr>
          <w:sz w:val="24"/>
        </w:rPr>
        <w:t>inflation-output trade-off, it would be risky for policy makers to assume that any apparent</w:t>
      </w:r>
      <w:r>
        <w:rPr>
          <w:spacing w:val="-43"/>
          <w:sz w:val="24"/>
        </w:rPr>
        <w:t> </w:t>
      </w:r>
      <w:r>
        <w:rPr>
          <w:sz w:val="24"/>
        </w:rPr>
        <w:t>shift </w:t>
      </w:r>
      <w:r>
        <w:rPr>
          <w:spacing w:val="-3"/>
          <w:sz w:val="24"/>
        </w:rPr>
        <w:t>down </w:t>
      </w:r>
      <w:r>
        <w:rPr>
          <w:sz w:val="24"/>
        </w:rPr>
        <w:t>in the real natural rate of interest is a permanent rather than a temporary</w:t>
      </w:r>
      <w:r>
        <w:rPr>
          <w:spacing w:val="25"/>
          <w:sz w:val="24"/>
        </w:rPr>
        <w:t> </w:t>
      </w:r>
      <w:r>
        <w:rPr>
          <w:sz w:val="24"/>
        </w:rPr>
        <w:t>phenomenon.</w:t>
      </w:r>
    </w:p>
    <w:p>
      <w:pPr>
        <w:pStyle w:val="BodyText"/>
        <w:spacing w:before="3"/>
        <w:rPr>
          <w:sz w:val="30"/>
        </w:rPr>
      </w:pPr>
    </w:p>
    <w:p>
      <w:pPr>
        <w:pStyle w:val="ListParagraph"/>
        <w:numPr>
          <w:ilvl w:val="0"/>
          <w:numId w:val="1"/>
        </w:numPr>
        <w:tabs>
          <w:tab w:pos="849" w:val="left" w:leader="none"/>
          <w:tab w:pos="850" w:val="left" w:leader="none"/>
        </w:tabs>
        <w:spacing w:line="312" w:lineRule="auto" w:before="1" w:after="0"/>
        <w:ind w:left="115" w:right="110" w:firstLine="0"/>
        <w:jc w:val="left"/>
        <w:rPr>
          <w:sz w:val="24"/>
        </w:rPr>
      </w:pPr>
      <w:r>
        <w:rPr>
          <w:sz w:val="24"/>
        </w:rPr>
        <w:t>We can think of monetary policy as a balloon. If we squeeze air out of one part of a balloon, it will move to expand another part. But the overall volume of air will be unchanged, so long as we don’t inflate or deflate the balloon. So it is with monetary policy. Relative price movements </w:t>
      </w:r>
      <w:r>
        <w:rPr>
          <w:spacing w:val="-3"/>
          <w:sz w:val="24"/>
        </w:rPr>
        <w:t>give </w:t>
      </w:r>
      <w:r>
        <w:rPr>
          <w:sz w:val="24"/>
        </w:rPr>
        <w:t>the </w:t>
      </w:r>
      <w:r>
        <w:rPr>
          <w:spacing w:val="-3"/>
          <w:sz w:val="24"/>
        </w:rPr>
        <w:t>signals </w:t>
      </w:r>
      <w:r>
        <w:rPr>
          <w:sz w:val="24"/>
        </w:rPr>
        <w:t>about demand and supply that lead to an effective allocation of resources and facilitate the smooth operation of the real economy. But movements in relative prices and price shocks cannot</w:t>
      </w:r>
      <w:r>
        <w:rPr>
          <w:spacing w:val="-2"/>
          <w:sz w:val="24"/>
        </w:rPr>
        <w:t> </w:t>
      </w:r>
      <w:r>
        <w:rPr>
          <w:sz w:val="24"/>
        </w:rPr>
        <w:t>cause</w:t>
      </w:r>
    </w:p>
    <w:p>
      <w:pPr>
        <w:pStyle w:val="BodyText"/>
        <w:spacing w:before="1"/>
      </w:pPr>
    </w:p>
    <w:p>
      <w:pPr>
        <w:spacing w:line="205" w:lineRule="exact" w:before="0"/>
        <w:ind w:left="115" w:right="0" w:firstLine="0"/>
        <w:jc w:val="left"/>
        <w:rPr>
          <w:sz w:val="19"/>
        </w:rPr>
      </w:pPr>
      <w:r>
        <w:rPr>
          <w:w w:val="105"/>
          <w:sz w:val="19"/>
        </w:rPr>
        <w:t>___________________________________________________________________________________________________</w:t>
      </w:r>
    </w:p>
    <w:p>
      <w:pPr>
        <w:spacing w:line="240" w:lineRule="exact" w:before="6"/>
        <w:ind w:left="115" w:right="0" w:firstLine="0"/>
        <w:jc w:val="left"/>
        <w:rPr>
          <w:sz w:val="19"/>
        </w:rPr>
      </w:pPr>
      <w:r>
        <w:rPr>
          <w:w w:val="105"/>
          <w:position w:val="9"/>
          <w:sz w:val="13"/>
        </w:rPr>
        <w:t>16 </w:t>
      </w:r>
      <w:r>
        <w:rPr>
          <w:w w:val="105"/>
          <w:sz w:val="19"/>
        </w:rPr>
        <w:t>See for instance Larsen, May and Talbot (2003) for a summary of problems with the consumption capital asset pricing model.</w:t>
      </w:r>
    </w:p>
    <w:p>
      <w:pPr>
        <w:spacing w:after="0" w:line="240" w:lineRule="exact"/>
        <w:jc w:val="left"/>
        <w:rPr>
          <w:sz w:val="19"/>
        </w:rPr>
        <w:sectPr>
          <w:pgSz w:w="11920" w:h="16840"/>
          <w:pgMar w:header="0" w:footer="713" w:top="1180" w:bottom="900" w:left="1040" w:right="760"/>
        </w:sectPr>
      </w:pPr>
    </w:p>
    <w:p>
      <w:pPr>
        <w:pStyle w:val="BodyText"/>
        <w:spacing w:line="312" w:lineRule="auto" w:before="76"/>
        <w:ind w:left="115" w:right="206"/>
      </w:pPr>
      <w:r>
        <w:rPr/>
        <w:t>general inflation or deflation in the </w:t>
      </w:r>
      <w:r>
        <w:rPr>
          <w:spacing w:val="-4"/>
        </w:rPr>
        <w:t>medium </w:t>
      </w:r>
      <w:r>
        <w:rPr/>
        <w:t>term. So long as monetary policy is not expansionary a faster rate of increase in the price of some goods or services will in time be offset by slower increases </w:t>
      </w:r>
      <w:r>
        <w:rPr>
          <w:spacing w:val="-6"/>
        </w:rPr>
        <w:t>in </w:t>
      </w:r>
      <w:r>
        <w:rPr/>
        <w:t>the price of others, as real incomes are squeezed. It is therefore important that monetary policy is set </w:t>
      </w:r>
      <w:r>
        <w:rPr>
          <w:spacing w:val="-3"/>
        </w:rPr>
        <w:t>neither </w:t>
      </w:r>
      <w:r>
        <w:rPr/>
        <w:t>too hot nor too </w:t>
      </w:r>
      <w:r>
        <w:rPr>
          <w:spacing w:val="-3"/>
        </w:rPr>
        <w:t>cold. Over </w:t>
      </w:r>
      <w:r>
        <w:rPr/>
        <w:t>the </w:t>
      </w:r>
      <w:r>
        <w:rPr>
          <w:spacing w:val="-3"/>
        </w:rPr>
        <w:t>medium term that means </w:t>
      </w:r>
      <w:r>
        <w:rPr/>
        <w:t>ensuring that inflation expectations </w:t>
      </w:r>
      <w:r>
        <w:rPr>
          <w:spacing w:val="-3"/>
        </w:rPr>
        <w:t>remain anchored </w:t>
      </w:r>
      <w:r>
        <w:rPr/>
        <w:t>to the target and getting the real interest rate right. Judging </w:t>
      </w:r>
      <w:r>
        <w:rPr>
          <w:spacing w:val="-3"/>
        </w:rPr>
        <w:t>that </w:t>
      </w:r>
      <w:r>
        <w:rPr/>
        <w:t>in the </w:t>
      </w:r>
      <w:r>
        <w:rPr>
          <w:spacing w:val="-3"/>
        </w:rPr>
        <w:t>face of </w:t>
      </w:r>
      <w:r>
        <w:rPr/>
        <w:t>uncertainty over the real natural rate of interest will continue to mean taking a pragmatic approach to </w:t>
      </w:r>
      <w:r>
        <w:rPr>
          <w:spacing w:val="-5"/>
        </w:rPr>
        <w:t>policy.</w:t>
      </w:r>
    </w:p>
    <w:p>
      <w:pPr>
        <w:spacing w:after="0" w:line="312" w:lineRule="auto"/>
        <w:sectPr>
          <w:pgSz w:w="11920" w:h="16840"/>
          <w:pgMar w:header="0" w:footer="713" w:top="1180" w:bottom="980" w:left="1040" w:right="760"/>
        </w:sectPr>
      </w:pPr>
    </w:p>
    <w:p>
      <w:pPr>
        <w:pStyle w:val="Heading1"/>
        <w:spacing w:before="113"/>
      </w:pPr>
      <w:r>
        <w:rPr/>
        <w:t>References</w:t>
      </w:r>
    </w:p>
    <w:p>
      <w:pPr>
        <w:pStyle w:val="BodyText"/>
        <w:spacing w:before="1"/>
        <w:rPr>
          <w:b/>
          <w:sz w:val="46"/>
        </w:rPr>
      </w:pPr>
    </w:p>
    <w:p>
      <w:pPr>
        <w:spacing w:line="235" w:lineRule="auto" w:before="0"/>
        <w:ind w:left="115" w:right="155" w:firstLine="0"/>
        <w:jc w:val="left"/>
        <w:rPr>
          <w:i/>
          <w:sz w:val="24"/>
        </w:rPr>
      </w:pPr>
      <w:r>
        <w:rPr>
          <w:b/>
          <w:sz w:val="24"/>
        </w:rPr>
        <w:t>Ang, A and Bekaert, G (2004)</w:t>
      </w:r>
      <w:r>
        <w:rPr>
          <w:sz w:val="24"/>
        </w:rPr>
        <w:t>, ‘The Term Structure of Real Rates and Expected Inflation’, </w:t>
      </w:r>
      <w:r>
        <w:rPr>
          <w:i/>
          <w:sz w:val="24"/>
        </w:rPr>
        <w:t>Centre </w:t>
      </w:r>
      <w:r>
        <w:rPr>
          <w:i/>
          <w:sz w:val="24"/>
        </w:rPr>
        <w:t>for Economic Performance Research Discussion Paper no. 4518.</w:t>
      </w:r>
    </w:p>
    <w:p>
      <w:pPr>
        <w:pStyle w:val="BodyText"/>
        <w:spacing w:before="4"/>
        <w:rPr>
          <w:i/>
        </w:rPr>
      </w:pPr>
    </w:p>
    <w:p>
      <w:pPr>
        <w:spacing w:line="242" w:lineRule="auto" w:before="0"/>
        <w:ind w:left="115" w:right="0" w:firstLine="0"/>
        <w:jc w:val="left"/>
        <w:rPr>
          <w:sz w:val="24"/>
        </w:rPr>
      </w:pPr>
      <w:r>
        <w:rPr>
          <w:b/>
          <w:sz w:val="24"/>
        </w:rPr>
        <w:t>Barker, K (2003)</w:t>
      </w:r>
      <w:r>
        <w:rPr>
          <w:sz w:val="24"/>
        </w:rPr>
        <w:t>, ‘Adjusting to Low Inflation - Issues for Policy’ Delivered at the Manchester Statistical Society Meeting in Manchester on 18 February 2003, </w:t>
      </w:r>
      <w:r>
        <w:rPr>
          <w:i/>
          <w:sz w:val="24"/>
        </w:rPr>
        <w:t>Bank of England Quarterly Bulletin</w:t>
      </w:r>
      <w:r>
        <w:rPr>
          <w:sz w:val="24"/>
        </w:rPr>
        <w:t>, Spring, pages 113-123.</w:t>
      </w:r>
    </w:p>
    <w:p>
      <w:pPr>
        <w:pStyle w:val="BodyText"/>
        <w:spacing w:before="5"/>
        <w:rPr>
          <w:sz w:val="22"/>
        </w:rPr>
      </w:pPr>
    </w:p>
    <w:p>
      <w:pPr>
        <w:pStyle w:val="BodyText"/>
        <w:spacing w:before="1"/>
        <w:ind w:left="115"/>
      </w:pPr>
      <w:r>
        <w:rPr>
          <w:b/>
        </w:rPr>
        <w:t>Benati, L (2004)</w:t>
      </w:r>
      <w:r>
        <w:rPr/>
        <w:t>, ‘Evolving post WWII UK economic performance: towards a greater stability?'</w:t>
      </w:r>
    </w:p>
    <w:p>
      <w:pPr>
        <w:spacing w:before="9"/>
        <w:ind w:left="115" w:right="0" w:firstLine="0"/>
        <w:jc w:val="left"/>
        <w:rPr>
          <w:sz w:val="24"/>
        </w:rPr>
      </w:pPr>
      <w:r>
        <w:rPr>
          <w:i/>
          <w:sz w:val="24"/>
        </w:rPr>
        <w:t>Journal of Money, Credit and Banking</w:t>
      </w:r>
      <w:r>
        <w:rPr>
          <w:sz w:val="24"/>
        </w:rPr>
        <w:t>, Vol. 36(4), August 2004, pages 691-718.</w:t>
      </w:r>
    </w:p>
    <w:p>
      <w:pPr>
        <w:pStyle w:val="BodyText"/>
        <w:spacing w:before="7"/>
      </w:pPr>
    </w:p>
    <w:p>
      <w:pPr>
        <w:spacing w:line="235" w:lineRule="auto" w:before="0"/>
        <w:ind w:left="115" w:right="0" w:firstLine="0"/>
        <w:jc w:val="left"/>
        <w:rPr>
          <w:sz w:val="24"/>
        </w:rPr>
      </w:pPr>
      <w:r>
        <w:rPr>
          <w:b/>
          <w:sz w:val="24"/>
        </w:rPr>
        <w:t>Bernanke, B S (2004)</w:t>
      </w:r>
      <w:r>
        <w:rPr>
          <w:sz w:val="24"/>
        </w:rPr>
        <w:t>, </w:t>
      </w:r>
      <w:r>
        <w:rPr>
          <w:b/>
          <w:sz w:val="24"/>
        </w:rPr>
        <w:t>‘</w:t>
      </w:r>
      <w:r>
        <w:rPr>
          <w:sz w:val="24"/>
        </w:rPr>
        <w:t>What Policymakers Can Learn from Asset Prices’, Speech given before </w:t>
      </w:r>
      <w:r>
        <w:rPr>
          <w:i/>
          <w:sz w:val="24"/>
        </w:rPr>
        <w:t>The </w:t>
      </w:r>
      <w:r>
        <w:rPr>
          <w:i/>
          <w:sz w:val="24"/>
        </w:rPr>
        <w:t>Investment Analysts Society of Chicago, </w:t>
      </w:r>
      <w:r>
        <w:rPr>
          <w:sz w:val="24"/>
        </w:rPr>
        <w:t>Chicago, Illinois.</w:t>
      </w:r>
    </w:p>
    <w:p>
      <w:pPr>
        <w:pStyle w:val="BodyText"/>
        <w:spacing w:before="8"/>
      </w:pPr>
    </w:p>
    <w:p>
      <w:pPr>
        <w:spacing w:line="235" w:lineRule="auto" w:before="0"/>
        <w:ind w:left="115" w:right="0" w:firstLine="0"/>
        <w:jc w:val="left"/>
        <w:rPr>
          <w:sz w:val="24"/>
        </w:rPr>
      </w:pPr>
      <w:r>
        <w:rPr>
          <w:b/>
          <w:sz w:val="24"/>
        </w:rPr>
        <w:t>Breedon, F (1995)</w:t>
      </w:r>
      <w:r>
        <w:rPr>
          <w:sz w:val="24"/>
        </w:rPr>
        <w:t>, ‘Bond Prices and market expectations of inflation’, </w:t>
      </w:r>
      <w:r>
        <w:rPr>
          <w:i/>
          <w:sz w:val="24"/>
        </w:rPr>
        <w:t>Bank of England Quarterly </w:t>
      </w:r>
      <w:r>
        <w:rPr>
          <w:i/>
          <w:sz w:val="24"/>
        </w:rPr>
        <w:t>Bulletin</w:t>
      </w:r>
      <w:r>
        <w:rPr>
          <w:sz w:val="24"/>
        </w:rPr>
        <w:t>, May, pages 160-65.</w:t>
      </w:r>
    </w:p>
    <w:p>
      <w:pPr>
        <w:pStyle w:val="BodyText"/>
        <w:spacing w:before="4"/>
      </w:pPr>
    </w:p>
    <w:p>
      <w:pPr>
        <w:spacing w:line="242" w:lineRule="auto" w:before="0"/>
        <w:ind w:left="115" w:right="750" w:firstLine="0"/>
        <w:jc w:val="both"/>
        <w:rPr>
          <w:i/>
          <w:sz w:val="24"/>
        </w:rPr>
      </w:pPr>
      <w:r>
        <w:rPr>
          <w:b/>
          <w:sz w:val="24"/>
        </w:rPr>
        <w:t>Cecchetti, S G, Flores-Lagunes, A and Krause, S (2004)</w:t>
      </w:r>
      <w:r>
        <w:rPr>
          <w:sz w:val="24"/>
        </w:rPr>
        <w:t>, ‘Has Monetary Policy become</w:t>
      </w:r>
      <w:r>
        <w:rPr>
          <w:spacing w:val="-42"/>
          <w:sz w:val="24"/>
        </w:rPr>
        <w:t> </w:t>
      </w:r>
      <w:r>
        <w:rPr>
          <w:sz w:val="24"/>
        </w:rPr>
        <w:t>more efficient? A cross country analysis’, </w:t>
      </w:r>
      <w:r>
        <w:rPr>
          <w:i/>
          <w:sz w:val="24"/>
        </w:rPr>
        <w:t>National Bureau of Economic Research Working Paper no. </w:t>
      </w:r>
      <w:r>
        <w:rPr>
          <w:i/>
          <w:sz w:val="24"/>
        </w:rPr>
        <w:t>10973.</w:t>
      </w:r>
    </w:p>
    <w:p>
      <w:pPr>
        <w:pStyle w:val="BodyText"/>
        <w:spacing w:before="2"/>
        <w:rPr>
          <w:i/>
        </w:rPr>
      </w:pPr>
    </w:p>
    <w:p>
      <w:pPr>
        <w:spacing w:line="235" w:lineRule="auto" w:before="0"/>
        <w:ind w:left="115" w:right="259" w:firstLine="0"/>
        <w:jc w:val="left"/>
        <w:rPr>
          <w:sz w:val="24"/>
        </w:rPr>
      </w:pPr>
      <w:r>
        <w:rPr>
          <w:b/>
          <w:sz w:val="24"/>
        </w:rPr>
        <w:t>Chadha, J S and Dimsdale, N H (1999)</w:t>
      </w:r>
      <w:r>
        <w:rPr>
          <w:sz w:val="24"/>
        </w:rPr>
        <w:t>, ‘A Long View of Real Rates’, </w:t>
      </w:r>
      <w:r>
        <w:rPr>
          <w:i/>
          <w:sz w:val="24"/>
        </w:rPr>
        <w:t>Oxford Review of Economic </w:t>
      </w:r>
      <w:r>
        <w:rPr>
          <w:i/>
          <w:sz w:val="24"/>
        </w:rPr>
        <w:t>Policy</w:t>
      </w:r>
      <w:r>
        <w:rPr>
          <w:sz w:val="24"/>
        </w:rPr>
        <w:t>, Vol. 15(2).</w:t>
      </w:r>
    </w:p>
    <w:p>
      <w:pPr>
        <w:pStyle w:val="BodyText"/>
        <w:rPr>
          <w:sz w:val="23"/>
        </w:rPr>
      </w:pPr>
    </w:p>
    <w:p>
      <w:pPr>
        <w:spacing w:line="312" w:lineRule="auto" w:before="0"/>
        <w:ind w:left="115" w:right="1820" w:firstLine="0"/>
        <w:jc w:val="left"/>
        <w:rPr>
          <w:sz w:val="24"/>
        </w:rPr>
      </w:pPr>
      <w:r>
        <w:rPr>
          <w:b/>
          <w:sz w:val="24"/>
        </w:rPr>
        <w:t>Darby, M. R. (1975), </w:t>
      </w:r>
      <w:r>
        <w:rPr>
          <w:sz w:val="24"/>
        </w:rPr>
        <w:t>‘The Financial and Tax Effects of Monetary Policy on Interest Rates’, </w:t>
      </w:r>
      <w:r>
        <w:rPr>
          <w:i/>
          <w:sz w:val="24"/>
        </w:rPr>
        <w:t>Economic Inquiry </w:t>
      </w:r>
      <w:r>
        <w:rPr>
          <w:b/>
          <w:sz w:val="24"/>
        </w:rPr>
        <w:t>13</w:t>
      </w:r>
      <w:r>
        <w:rPr>
          <w:sz w:val="24"/>
        </w:rPr>
        <w:t>, 266–276</w:t>
      </w:r>
    </w:p>
    <w:p>
      <w:pPr>
        <w:spacing w:before="228"/>
        <w:ind w:left="115" w:right="0" w:firstLine="0"/>
        <w:jc w:val="left"/>
        <w:rPr>
          <w:sz w:val="24"/>
        </w:rPr>
      </w:pPr>
      <w:r>
        <w:rPr>
          <w:b/>
          <w:sz w:val="24"/>
        </w:rPr>
        <w:t>Feldstein, M (1980), </w:t>
      </w:r>
      <w:r>
        <w:rPr>
          <w:sz w:val="24"/>
        </w:rPr>
        <w:t>‘Tax Rules and the Mismanagement of Monetary Policy’,</w:t>
      </w:r>
    </w:p>
    <w:p>
      <w:pPr>
        <w:spacing w:before="84"/>
        <w:ind w:left="115" w:right="0" w:firstLine="0"/>
        <w:jc w:val="left"/>
        <w:rPr>
          <w:sz w:val="24"/>
        </w:rPr>
      </w:pPr>
      <w:r>
        <w:rPr>
          <w:i/>
          <w:sz w:val="24"/>
        </w:rPr>
        <w:t>American Economic Review </w:t>
      </w:r>
      <w:r>
        <w:rPr>
          <w:b/>
          <w:sz w:val="24"/>
        </w:rPr>
        <w:t>70, </w:t>
      </w:r>
      <w:r>
        <w:rPr>
          <w:sz w:val="24"/>
        </w:rPr>
        <w:t>Supplement, 182–209</w:t>
      </w:r>
    </w:p>
    <w:p>
      <w:pPr>
        <w:pStyle w:val="BodyText"/>
        <w:spacing w:before="2"/>
        <w:rPr>
          <w:sz w:val="28"/>
        </w:rPr>
      </w:pPr>
    </w:p>
    <w:p>
      <w:pPr>
        <w:pStyle w:val="BodyText"/>
        <w:spacing w:line="247" w:lineRule="auto"/>
        <w:ind w:left="115"/>
      </w:pPr>
      <w:r>
        <w:rPr>
          <w:b/>
        </w:rPr>
        <w:t>Fisher, I (1907)</w:t>
      </w:r>
      <w:r>
        <w:rPr/>
        <w:t>, ‘The Rate of Interest: Its nature, determination and relation to economic phenomena’, New York: Macmillan.</w:t>
      </w:r>
    </w:p>
    <w:p>
      <w:pPr>
        <w:pStyle w:val="BodyText"/>
        <w:spacing w:before="3"/>
        <w:rPr>
          <w:sz w:val="22"/>
        </w:rPr>
      </w:pPr>
    </w:p>
    <w:p>
      <w:pPr>
        <w:spacing w:line="247" w:lineRule="auto" w:before="0"/>
        <w:ind w:left="115" w:right="0" w:firstLine="0"/>
        <w:jc w:val="left"/>
        <w:rPr>
          <w:sz w:val="24"/>
        </w:rPr>
      </w:pPr>
      <w:r>
        <w:rPr>
          <w:b/>
          <w:sz w:val="24"/>
        </w:rPr>
        <w:t>Friedman M (1977), </w:t>
      </w:r>
      <w:r>
        <w:rPr>
          <w:sz w:val="24"/>
        </w:rPr>
        <w:t>‘Noble lecture: Inflation and Unemployment’, </w:t>
      </w:r>
      <w:r>
        <w:rPr>
          <w:i/>
          <w:sz w:val="24"/>
        </w:rPr>
        <w:t>Journal of Political Economy </w:t>
      </w:r>
      <w:r>
        <w:rPr>
          <w:sz w:val="24"/>
        </w:rPr>
        <w:t>vol 85 pages 451-472.</w:t>
      </w:r>
    </w:p>
    <w:p>
      <w:pPr>
        <w:pStyle w:val="BodyText"/>
      </w:pPr>
    </w:p>
    <w:p>
      <w:pPr>
        <w:spacing w:line="235" w:lineRule="auto" w:before="0"/>
        <w:ind w:left="115" w:right="753" w:firstLine="0"/>
        <w:jc w:val="both"/>
        <w:rPr>
          <w:i/>
          <w:sz w:val="24"/>
        </w:rPr>
      </w:pPr>
      <w:r>
        <w:rPr>
          <w:b/>
          <w:sz w:val="24"/>
        </w:rPr>
        <w:t>Goto S and W N Torous (2003) </w:t>
      </w:r>
      <w:r>
        <w:rPr>
          <w:sz w:val="24"/>
        </w:rPr>
        <w:t>‘The Conquest of U.S. Inflation: Its Implications for the</w:t>
      </w:r>
      <w:r>
        <w:rPr>
          <w:spacing w:val="-29"/>
          <w:sz w:val="24"/>
        </w:rPr>
        <w:t> </w:t>
      </w:r>
      <w:r>
        <w:rPr>
          <w:sz w:val="24"/>
        </w:rPr>
        <w:t>Fisher Hypothesis and the Term Structure of Nominal Interest Rates’ </w:t>
      </w:r>
      <w:r>
        <w:rPr>
          <w:i/>
          <w:sz w:val="24"/>
        </w:rPr>
        <w:t>University of South Carolina </w:t>
      </w:r>
      <w:r>
        <w:rPr>
          <w:i/>
          <w:spacing w:val="-2"/>
          <w:sz w:val="24"/>
        </w:rPr>
        <w:t>and </w:t>
      </w:r>
      <w:r>
        <w:rPr>
          <w:i/>
          <w:sz w:val="24"/>
        </w:rPr>
        <w:t>UCLA, working paper (November).</w:t>
      </w:r>
    </w:p>
    <w:p>
      <w:pPr>
        <w:pStyle w:val="BodyText"/>
        <w:spacing w:before="3"/>
        <w:rPr>
          <w:i/>
        </w:rPr>
      </w:pPr>
    </w:p>
    <w:p>
      <w:pPr>
        <w:spacing w:line="247" w:lineRule="auto" w:before="1"/>
        <w:ind w:left="115" w:right="0" w:firstLine="0"/>
        <w:jc w:val="left"/>
        <w:rPr>
          <w:sz w:val="24"/>
        </w:rPr>
      </w:pPr>
      <w:r>
        <w:rPr>
          <w:b/>
          <w:sz w:val="24"/>
        </w:rPr>
        <w:t>Ireland, P N (1996). </w:t>
      </w:r>
      <w:r>
        <w:rPr>
          <w:sz w:val="24"/>
        </w:rPr>
        <w:t>"Long-term interest rates and inflation: a Fisherian approach," </w:t>
      </w:r>
      <w:r>
        <w:rPr>
          <w:i/>
          <w:sz w:val="24"/>
        </w:rPr>
        <w:t>Economic </w:t>
      </w:r>
      <w:r>
        <w:rPr>
          <w:i/>
          <w:sz w:val="24"/>
        </w:rPr>
        <w:t>Quarterly,Federal Reserve Bank of Richmond</w:t>
      </w:r>
      <w:r>
        <w:rPr>
          <w:sz w:val="24"/>
        </w:rPr>
        <w:t>, issue 0, pages 21-36</w:t>
      </w:r>
    </w:p>
    <w:p>
      <w:pPr>
        <w:pStyle w:val="BodyText"/>
        <w:spacing w:before="11"/>
        <w:rPr>
          <w:sz w:val="20"/>
        </w:rPr>
      </w:pPr>
    </w:p>
    <w:p>
      <w:pPr>
        <w:pStyle w:val="BodyText"/>
        <w:ind w:left="115"/>
      </w:pPr>
      <w:r>
        <w:rPr>
          <w:b/>
        </w:rPr>
        <w:t>King, M (2002)</w:t>
      </w:r>
      <w:r>
        <w:rPr/>
        <w:t>, ‘Inflation targeting ten years on’, Speech given at the London School of Economics,</w:t>
      </w:r>
    </w:p>
    <w:p>
      <w:pPr>
        <w:spacing w:before="84"/>
        <w:ind w:left="115" w:right="0" w:firstLine="0"/>
        <w:jc w:val="left"/>
        <w:rPr>
          <w:sz w:val="24"/>
        </w:rPr>
      </w:pPr>
      <w:r>
        <w:rPr>
          <w:i/>
          <w:sz w:val="24"/>
        </w:rPr>
        <w:t>Bank of England Quarterly Bulletin</w:t>
      </w:r>
      <w:r>
        <w:rPr>
          <w:sz w:val="24"/>
        </w:rPr>
        <w:t>, Winter, pages 449-474.</w:t>
      </w:r>
    </w:p>
    <w:p>
      <w:pPr>
        <w:spacing w:after="0"/>
        <w:jc w:val="left"/>
        <w:rPr>
          <w:sz w:val="24"/>
        </w:rPr>
        <w:sectPr>
          <w:pgSz w:w="11920" w:h="16840"/>
          <w:pgMar w:header="0" w:footer="713" w:top="1600" w:bottom="980" w:left="1040" w:right="760"/>
        </w:sectPr>
      </w:pPr>
    </w:p>
    <w:p>
      <w:pPr>
        <w:spacing w:line="235" w:lineRule="auto" w:before="75"/>
        <w:ind w:left="115" w:right="0" w:firstLine="0"/>
        <w:jc w:val="left"/>
        <w:rPr>
          <w:sz w:val="24"/>
        </w:rPr>
      </w:pPr>
      <w:r>
        <w:rPr>
          <w:b/>
          <w:sz w:val="24"/>
        </w:rPr>
        <w:t>King, M (2003)</w:t>
      </w:r>
      <w:r>
        <w:rPr>
          <w:sz w:val="24"/>
        </w:rPr>
        <w:t>, ‘The Governor's speech at the East Midlands Development Agency/Bank of England dinner’, </w:t>
      </w:r>
      <w:r>
        <w:rPr>
          <w:i/>
          <w:sz w:val="24"/>
        </w:rPr>
        <w:t>Bank of England Quarterly Bulletin</w:t>
      </w:r>
      <w:r>
        <w:rPr>
          <w:sz w:val="24"/>
        </w:rPr>
        <w:t>, Winter, pages 476-478.</w:t>
      </w:r>
    </w:p>
    <w:p>
      <w:pPr>
        <w:pStyle w:val="BodyText"/>
        <w:spacing w:before="4"/>
      </w:pPr>
    </w:p>
    <w:p>
      <w:pPr>
        <w:spacing w:line="242" w:lineRule="auto" w:before="0"/>
        <w:ind w:left="115" w:right="0" w:firstLine="0"/>
        <w:jc w:val="left"/>
        <w:rPr>
          <w:sz w:val="24"/>
        </w:rPr>
      </w:pPr>
      <w:r>
        <w:rPr>
          <w:b/>
          <w:sz w:val="24"/>
        </w:rPr>
        <w:t>Lambert, R (2004)</w:t>
      </w:r>
      <w:r>
        <w:rPr>
          <w:sz w:val="24"/>
        </w:rPr>
        <w:t>, ‘Why Is Inflation So Low?’, Speech given to The Institute of Chartered Accountants of Scotland, Glasgow on 25 October 2004, </w:t>
      </w:r>
      <w:r>
        <w:rPr>
          <w:i/>
          <w:sz w:val="24"/>
        </w:rPr>
        <w:t>Bank of England Quarterly Bulletin</w:t>
      </w:r>
      <w:r>
        <w:rPr>
          <w:sz w:val="24"/>
        </w:rPr>
        <w:t>, Winter, pages 502-508.</w:t>
      </w:r>
    </w:p>
    <w:p>
      <w:pPr>
        <w:pStyle w:val="BodyText"/>
        <w:spacing w:before="2"/>
      </w:pPr>
    </w:p>
    <w:p>
      <w:pPr>
        <w:spacing w:line="235" w:lineRule="auto" w:before="0"/>
        <w:ind w:left="115" w:right="0" w:firstLine="0"/>
        <w:jc w:val="left"/>
        <w:rPr>
          <w:i/>
          <w:sz w:val="24"/>
        </w:rPr>
      </w:pPr>
      <w:r>
        <w:rPr>
          <w:b/>
          <w:sz w:val="24"/>
        </w:rPr>
        <w:t>Larsen, J D J and May, B and Talbot, J (2003)</w:t>
      </w:r>
      <w:r>
        <w:rPr>
          <w:sz w:val="24"/>
        </w:rPr>
        <w:t>, ‘Estimating real interest rates for the United Kingdom’, </w:t>
      </w:r>
      <w:r>
        <w:rPr>
          <w:i/>
          <w:sz w:val="24"/>
        </w:rPr>
        <w:t>Bank of England Working Paper no. 200.</w:t>
      </w:r>
    </w:p>
    <w:p>
      <w:pPr>
        <w:pStyle w:val="BodyText"/>
        <w:spacing w:before="7"/>
        <w:rPr>
          <w:i/>
          <w:sz w:val="28"/>
        </w:rPr>
      </w:pPr>
    </w:p>
    <w:p>
      <w:pPr>
        <w:spacing w:line="235" w:lineRule="auto" w:before="0"/>
        <w:ind w:left="115" w:right="0" w:firstLine="0"/>
        <w:jc w:val="left"/>
        <w:rPr>
          <w:i/>
          <w:sz w:val="24"/>
        </w:rPr>
      </w:pPr>
      <w:r>
        <w:rPr>
          <w:b/>
          <w:sz w:val="24"/>
        </w:rPr>
        <w:t>Larsen, J D J and McKeown, J</w:t>
      </w:r>
      <w:r>
        <w:rPr>
          <w:sz w:val="24"/>
        </w:rPr>
        <w:t>, ‘The Informational Content of Empirical Measures of Real Interest Rate and Output Gaps for the United Kingdom’, </w:t>
      </w:r>
      <w:r>
        <w:rPr>
          <w:i/>
          <w:sz w:val="24"/>
        </w:rPr>
        <w:t>Bank of England Working Paper no. 224.</w:t>
      </w:r>
    </w:p>
    <w:p>
      <w:pPr>
        <w:pStyle w:val="BodyText"/>
        <w:spacing w:before="8"/>
        <w:rPr>
          <w:i/>
        </w:rPr>
      </w:pPr>
    </w:p>
    <w:p>
      <w:pPr>
        <w:spacing w:line="235" w:lineRule="auto" w:before="0"/>
        <w:ind w:left="115" w:right="86" w:firstLine="0"/>
        <w:jc w:val="left"/>
        <w:rPr>
          <w:sz w:val="24"/>
        </w:rPr>
      </w:pPr>
      <w:r>
        <w:rPr>
          <w:b/>
          <w:sz w:val="24"/>
        </w:rPr>
        <w:t>Lildholdt, P and Vila Wetherilt, A (2004)</w:t>
      </w:r>
      <w:r>
        <w:rPr>
          <w:sz w:val="24"/>
        </w:rPr>
        <w:t>, ‘Anticipation of monetary policy in UK financial markets’, </w:t>
      </w:r>
      <w:r>
        <w:rPr>
          <w:i/>
          <w:sz w:val="24"/>
        </w:rPr>
        <w:t>Bank of England Working Paper no. 241</w:t>
      </w:r>
      <w:r>
        <w:rPr>
          <w:sz w:val="24"/>
        </w:rPr>
        <w:t>.</w:t>
      </w:r>
    </w:p>
    <w:p>
      <w:pPr>
        <w:pStyle w:val="BodyText"/>
        <w:spacing w:before="4"/>
      </w:pPr>
    </w:p>
    <w:p>
      <w:pPr>
        <w:spacing w:line="247" w:lineRule="auto" w:before="0"/>
        <w:ind w:left="115" w:right="913" w:firstLine="0"/>
        <w:jc w:val="left"/>
        <w:rPr>
          <w:i/>
          <w:sz w:val="24"/>
        </w:rPr>
      </w:pPr>
      <w:r>
        <w:rPr>
          <w:b/>
          <w:sz w:val="24"/>
        </w:rPr>
        <w:t>Neiss, K S and Nelson, E (2001)</w:t>
      </w:r>
      <w:r>
        <w:rPr>
          <w:sz w:val="24"/>
        </w:rPr>
        <w:t>, ‘The real interest rate gap as an inflation indicator’, </w:t>
      </w:r>
      <w:r>
        <w:rPr>
          <w:i/>
          <w:sz w:val="24"/>
        </w:rPr>
        <w:t>Bank of </w:t>
      </w:r>
      <w:r>
        <w:rPr>
          <w:i/>
          <w:sz w:val="24"/>
        </w:rPr>
        <w:t>England Working Paper no. 130.</w:t>
      </w:r>
    </w:p>
    <w:p>
      <w:pPr>
        <w:pStyle w:val="BodyText"/>
        <w:spacing w:before="2"/>
        <w:rPr>
          <w:i/>
          <w:sz w:val="22"/>
        </w:rPr>
      </w:pPr>
    </w:p>
    <w:p>
      <w:pPr>
        <w:pStyle w:val="BodyText"/>
        <w:spacing w:line="247" w:lineRule="auto"/>
        <w:ind w:left="115"/>
      </w:pPr>
      <w:r>
        <w:rPr>
          <w:b/>
        </w:rPr>
        <w:t>Nickell, S (2004)</w:t>
      </w:r>
      <w:r>
        <w:rPr>
          <w:rFonts w:ascii="Arial" w:hAnsi="Arial"/>
        </w:rPr>
        <w:t>, </w:t>
      </w:r>
      <w:r>
        <w:rPr/>
        <w:t>‘Why Has Inflation Been So Low Since 1999? ’, available on the Bank of England External Website at </w:t>
      </w:r>
      <w:hyperlink r:id="rId8">
        <w:r>
          <w:rPr/>
          <w:t>www.bankofengland.co.uk/publications/sninflation050127.pdf</w:t>
        </w:r>
      </w:hyperlink>
    </w:p>
    <w:p>
      <w:pPr>
        <w:pStyle w:val="BodyText"/>
      </w:pPr>
    </w:p>
    <w:p>
      <w:pPr>
        <w:spacing w:line="235" w:lineRule="auto" w:before="0"/>
        <w:ind w:left="115" w:right="201" w:firstLine="0"/>
        <w:jc w:val="left"/>
        <w:rPr>
          <w:sz w:val="24"/>
        </w:rPr>
      </w:pPr>
      <w:r>
        <w:rPr>
          <w:b/>
          <w:sz w:val="24"/>
        </w:rPr>
        <w:t>Peacock, C (2004)</w:t>
      </w:r>
      <w:r>
        <w:rPr>
          <w:sz w:val="24"/>
        </w:rPr>
        <w:t>, ‘Deriving a market-based measure of interest rate expectations’, </w:t>
      </w:r>
      <w:r>
        <w:rPr>
          <w:i/>
          <w:sz w:val="24"/>
        </w:rPr>
        <w:t>Bank of England </w:t>
      </w:r>
      <w:r>
        <w:rPr>
          <w:i/>
          <w:sz w:val="24"/>
        </w:rPr>
        <w:t>Quarterly Bulletin</w:t>
      </w:r>
      <w:r>
        <w:rPr>
          <w:sz w:val="24"/>
        </w:rPr>
        <w:t>, Summer, pages 142-152.</w:t>
      </w:r>
    </w:p>
    <w:p>
      <w:pPr>
        <w:pStyle w:val="BodyText"/>
        <w:rPr>
          <w:sz w:val="23"/>
        </w:rPr>
      </w:pPr>
    </w:p>
    <w:p>
      <w:pPr>
        <w:spacing w:line="312" w:lineRule="auto" w:before="0"/>
        <w:ind w:left="115" w:right="1820" w:firstLine="0"/>
        <w:jc w:val="left"/>
        <w:rPr>
          <w:sz w:val="24"/>
        </w:rPr>
      </w:pPr>
      <w:r>
        <w:rPr>
          <w:b/>
          <w:sz w:val="24"/>
        </w:rPr>
        <w:t>Peek, J (1982), </w:t>
      </w:r>
      <w:r>
        <w:rPr>
          <w:sz w:val="24"/>
        </w:rPr>
        <w:t>‘Interest rates, Income Taxes and Anticipated Inflation’, </w:t>
      </w:r>
      <w:r>
        <w:rPr>
          <w:i/>
          <w:sz w:val="24"/>
        </w:rPr>
        <w:t>American </w:t>
      </w:r>
      <w:r>
        <w:rPr>
          <w:i/>
          <w:sz w:val="24"/>
        </w:rPr>
        <w:t>Economic Review </w:t>
      </w:r>
      <w:r>
        <w:rPr>
          <w:b/>
          <w:sz w:val="24"/>
        </w:rPr>
        <w:t>72</w:t>
      </w:r>
      <w:r>
        <w:rPr>
          <w:sz w:val="24"/>
        </w:rPr>
        <w:t>, 980–991.</w:t>
      </w:r>
    </w:p>
    <w:p>
      <w:pPr>
        <w:pStyle w:val="BodyText"/>
        <w:spacing w:before="5"/>
        <w:rPr>
          <w:sz w:val="25"/>
        </w:rPr>
      </w:pPr>
    </w:p>
    <w:p>
      <w:pPr>
        <w:spacing w:line="235" w:lineRule="auto" w:before="0"/>
        <w:ind w:left="115" w:right="0" w:firstLine="0"/>
        <w:jc w:val="left"/>
        <w:rPr>
          <w:sz w:val="24"/>
        </w:rPr>
      </w:pPr>
      <w:r>
        <w:rPr>
          <w:b/>
          <w:sz w:val="24"/>
        </w:rPr>
        <w:t>Sarte, P-D G (1998)</w:t>
      </w:r>
      <w:r>
        <w:rPr>
          <w:sz w:val="24"/>
        </w:rPr>
        <w:t>, ‘Fisher's Equation and the Inflation Risk Premium in a Simple Endowment Economy’, </w:t>
      </w:r>
      <w:r>
        <w:rPr>
          <w:i/>
          <w:sz w:val="24"/>
        </w:rPr>
        <w:t>Federal Reserve Bank of Richmond Economic Quarterly, </w:t>
      </w:r>
      <w:r>
        <w:rPr>
          <w:sz w:val="24"/>
        </w:rPr>
        <w:t>Vol. 84/4 Fall 1998</w:t>
      </w:r>
    </w:p>
    <w:p>
      <w:pPr>
        <w:pStyle w:val="BodyText"/>
        <w:spacing w:before="3"/>
      </w:pPr>
    </w:p>
    <w:p>
      <w:pPr>
        <w:spacing w:line="247" w:lineRule="auto" w:before="1"/>
        <w:ind w:left="115" w:right="0" w:firstLine="0"/>
        <w:jc w:val="left"/>
        <w:rPr>
          <w:sz w:val="24"/>
        </w:rPr>
      </w:pPr>
      <w:r>
        <w:rPr>
          <w:b/>
          <w:sz w:val="24"/>
        </w:rPr>
        <w:t>Scholtes,</w:t>
      </w:r>
      <w:r>
        <w:rPr>
          <w:b/>
          <w:spacing w:val="-9"/>
          <w:sz w:val="24"/>
        </w:rPr>
        <w:t> </w:t>
      </w:r>
      <w:r>
        <w:rPr>
          <w:b/>
          <w:sz w:val="24"/>
        </w:rPr>
        <w:t>C</w:t>
      </w:r>
      <w:r>
        <w:rPr>
          <w:b/>
          <w:spacing w:val="-9"/>
          <w:sz w:val="24"/>
        </w:rPr>
        <w:t> </w:t>
      </w:r>
      <w:r>
        <w:rPr>
          <w:b/>
          <w:sz w:val="24"/>
        </w:rPr>
        <w:t>(2002)</w:t>
      </w:r>
      <w:r>
        <w:rPr>
          <w:sz w:val="24"/>
        </w:rPr>
        <w:t>,</w:t>
      </w:r>
      <w:r>
        <w:rPr>
          <w:spacing w:val="-2"/>
          <w:sz w:val="24"/>
        </w:rPr>
        <w:t> </w:t>
      </w:r>
      <w:r>
        <w:rPr>
          <w:sz w:val="24"/>
        </w:rPr>
        <w:t>‘On</w:t>
      </w:r>
      <w:r>
        <w:rPr>
          <w:spacing w:val="-3"/>
          <w:sz w:val="24"/>
        </w:rPr>
        <w:t> </w:t>
      </w:r>
      <w:r>
        <w:rPr>
          <w:sz w:val="24"/>
        </w:rPr>
        <w:t>market-based</w:t>
      </w:r>
      <w:r>
        <w:rPr>
          <w:spacing w:val="-4"/>
          <w:sz w:val="24"/>
        </w:rPr>
        <w:t> </w:t>
      </w:r>
      <w:r>
        <w:rPr>
          <w:sz w:val="24"/>
        </w:rPr>
        <w:t>measures</w:t>
      </w:r>
      <w:r>
        <w:rPr>
          <w:spacing w:val="-5"/>
          <w:sz w:val="24"/>
        </w:rPr>
        <w:t> </w:t>
      </w:r>
      <w:r>
        <w:rPr>
          <w:sz w:val="24"/>
        </w:rPr>
        <w:t>of</w:t>
      </w:r>
      <w:r>
        <w:rPr>
          <w:spacing w:val="-4"/>
          <w:sz w:val="24"/>
        </w:rPr>
        <w:t> </w:t>
      </w:r>
      <w:r>
        <w:rPr>
          <w:sz w:val="24"/>
        </w:rPr>
        <w:t>inflation</w:t>
      </w:r>
      <w:r>
        <w:rPr>
          <w:spacing w:val="-5"/>
          <w:sz w:val="24"/>
        </w:rPr>
        <w:t> </w:t>
      </w:r>
      <w:r>
        <w:rPr>
          <w:sz w:val="24"/>
        </w:rPr>
        <w:t>expectations’,</w:t>
      </w:r>
      <w:r>
        <w:rPr>
          <w:spacing w:val="8"/>
          <w:sz w:val="24"/>
        </w:rPr>
        <w:t> </w:t>
      </w:r>
      <w:r>
        <w:rPr>
          <w:i/>
          <w:sz w:val="24"/>
        </w:rPr>
        <w:t>Bank</w:t>
      </w:r>
      <w:r>
        <w:rPr>
          <w:i/>
          <w:spacing w:val="-9"/>
          <w:sz w:val="24"/>
        </w:rPr>
        <w:t> </w:t>
      </w:r>
      <w:r>
        <w:rPr>
          <w:i/>
          <w:sz w:val="24"/>
        </w:rPr>
        <w:t>of</w:t>
      </w:r>
      <w:r>
        <w:rPr>
          <w:i/>
          <w:spacing w:val="-9"/>
          <w:sz w:val="24"/>
        </w:rPr>
        <w:t> </w:t>
      </w:r>
      <w:r>
        <w:rPr>
          <w:i/>
          <w:sz w:val="24"/>
        </w:rPr>
        <w:t>England</w:t>
      </w:r>
      <w:r>
        <w:rPr>
          <w:i/>
          <w:spacing w:val="-9"/>
          <w:sz w:val="24"/>
        </w:rPr>
        <w:t> </w:t>
      </w:r>
      <w:r>
        <w:rPr>
          <w:i/>
          <w:sz w:val="24"/>
        </w:rPr>
        <w:t>Quarterly </w:t>
      </w:r>
      <w:r>
        <w:rPr>
          <w:i/>
          <w:sz w:val="24"/>
        </w:rPr>
        <w:t>Bulletin, </w:t>
      </w:r>
      <w:r>
        <w:rPr>
          <w:sz w:val="24"/>
        </w:rPr>
        <w:t>Spring, pages</w:t>
      </w:r>
      <w:r>
        <w:rPr>
          <w:spacing w:val="-3"/>
          <w:sz w:val="24"/>
        </w:rPr>
        <w:t> </w:t>
      </w:r>
      <w:r>
        <w:rPr>
          <w:sz w:val="24"/>
        </w:rPr>
        <w:t>67-77.</w:t>
      </w:r>
    </w:p>
    <w:p>
      <w:pPr>
        <w:pStyle w:val="BodyText"/>
        <w:spacing w:before="3"/>
        <w:rPr>
          <w:sz w:val="22"/>
        </w:rPr>
      </w:pPr>
    </w:p>
    <w:p>
      <w:pPr>
        <w:spacing w:line="242" w:lineRule="auto" w:before="0"/>
        <w:ind w:left="115" w:right="206" w:firstLine="0"/>
        <w:jc w:val="left"/>
        <w:rPr>
          <w:sz w:val="24"/>
        </w:rPr>
      </w:pPr>
      <w:r>
        <w:rPr>
          <w:b/>
          <w:spacing w:val="-3"/>
          <w:sz w:val="24"/>
        </w:rPr>
        <w:t>Tucker, </w:t>
      </w:r>
      <w:r>
        <w:rPr>
          <w:b/>
          <w:sz w:val="24"/>
        </w:rPr>
        <w:t>P </w:t>
      </w:r>
      <w:r>
        <w:rPr>
          <w:b/>
          <w:spacing w:val="-3"/>
          <w:sz w:val="24"/>
        </w:rPr>
        <w:t>(2004)</w:t>
      </w:r>
      <w:r>
        <w:rPr>
          <w:spacing w:val="-3"/>
          <w:sz w:val="24"/>
        </w:rPr>
        <w:t>, </w:t>
      </w:r>
      <w:r>
        <w:rPr>
          <w:sz w:val="24"/>
        </w:rPr>
        <w:t>‘Risk Uncertainty and Monetary Policy,' Speech given at the UK Asset and Liability</w:t>
      </w:r>
      <w:r>
        <w:rPr>
          <w:spacing w:val="-4"/>
          <w:sz w:val="24"/>
        </w:rPr>
        <w:t> </w:t>
      </w:r>
      <w:r>
        <w:rPr>
          <w:sz w:val="24"/>
        </w:rPr>
        <w:t>Management</w:t>
      </w:r>
      <w:r>
        <w:rPr>
          <w:spacing w:val="-3"/>
          <w:sz w:val="24"/>
        </w:rPr>
        <w:t> </w:t>
      </w:r>
      <w:r>
        <w:rPr>
          <w:sz w:val="24"/>
        </w:rPr>
        <w:t>Association</w:t>
      </w:r>
      <w:r>
        <w:rPr>
          <w:spacing w:val="-3"/>
          <w:sz w:val="24"/>
        </w:rPr>
        <w:t> </w:t>
      </w:r>
      <w:r>
        <w:rPr>
          <w:sz w:val="24"/>
        </w:rPr>
        <w:t>in</w:t>
      </w:r>
      <w:r>
        <w:rPr>
          <w:spacing w:val="-3"/>
          <w:sz w:val="24"/>
        </w:rPr>
        <w:t> </w:t>
      </w:r>
      <w:r>
        <w:rPr>
          <w:sz w:val="24"/>
        </w:rPr>
        <w:t>Egham,</w:t>
      </w:r>
      <w:r>
        <w:rPr>
          <w:spacing w:val="-3"/>
          <w:sz w:val="24"/>
        </w:rPr>
        <w:t> </w:t>
      </w:r>
      <w:r>
        <w:rPr>
          <w:sz w:val="24"/>
        </w:rPr>
        <w:t>Surrey</w:t>
      </w:r>
      <w:r>
        <w:rPr>
          <w:spacing w:val="-3"/>
          <w:sz w:val="24"/>
        </w:rPr>
        <w:t> </w:t>
      </w:r>
      <w:r>
        <w:rPr>
          <w:sz w:val="24"/>
        </w:rPr>
        <w:t>on</w:t>
      </w:r>
      <w:r>
        <w:rPr>
          <w:spacing w:val="-3"/>
          <w:sz w:val="24"/>
        </w:rPr>
        <w:t> </w:t>
      </w:r>
      <w:r>
        <w:rPr>
          <w:sz w:val="24"/>
        </w:rPr>
        <w:t>29</w:t>
      </w:r>
      <w:r>
        <w:rPr>
          <w:spacing w:val="-3"/>
          <w:sz w:val="24"/>
        </w:rPr>
        <w:t> </w:t>
      </w:r>
      <w:r>
        <w:rPr>
          <w:sz w:val="24"/>
        </w:rPr>
        <w:t>January</w:t>
      </w:r>
      <w:r>
        <w:rPr>
          <w:spacing w:val="-4"/>
          <w:sz w:val="24"/>
        </w:rPr>
        <w:t> </w:t>
      </w:r>
      <w:r>
        <w:rPr>
          <w:sz w:val="24"/>
        </w:rPr>
        <w:t>2004.</w:t>
      </w:r>
      <w:r>
        <w:rPr>
          <w:spacing w:val="-3"/>
          <w:sz w:val="24"/>
        </w:rPr>
        <w:t> </w:t>
      </w:r>
      <w:r>
        <w:rPr>
          <w:i/>
          <w:sz w:val="24"/>
        </w:rPr>
        <w:t>Bank</w:t>
      </w:r>
      <w:r>
        <w:rPr>
          <w:i/>
          <w:spacing w:val="-6"/>
          <w:sz w:val="24"/>
        </w:rPr>
        <w:t> </w:t>
      </w:r>
      <w:r>
        <w:rPr>
          <w:i/>
          <w:sz w:val="24"/>
        </w:rPr>
        <w:t>of</w:t>
      </w:r>
      <w:r>
        <w:rPr>
          <w:i/>
          <w:spacing w:val="-6"/>
          <w:sz w:val="24"/>
        </w:rPr>
        <w:t> </w:t>
      </w:r>
      <w:r>
        <w:rPr>
          <w:i/>
          <w:sz w:val="24"/>
        </w:rPr>
        <w:t>England</w:t>
      </w:r>
      <w:r>
        <w:rPr>
          <w:i/>
          <w:spacing w:val="-5"/>
          <w:sz w:val="24"/>
        </w:rPr>
        <w:t> </w:t>
      </w:r>
      <w:r>
        <w:rPr>
          <w:i/>
          <w:sz w:val="24"/>
        </w:rPr>
        <w:t>Quarterly </w:t>
      </w:r>
      <w:r>
        <w:rPr>
          <w:i/>
          <w:sz w:val="24"/>
        </w:rPr>
        <w:t>Bulletin, </w:t>
      </w:r>
      <w:r>
        <w:rPr>
          <w:sz w:val="24"/>
        </w:rPr>
        <w:t>Spring, pages</w:t>
      </w:r>
      <w:r>
        <w:rPr>
          <w:spacing w:val="-5"/>
          <w:sz w:val="24"/>
        </w:rPr>
        <w:t> </w:t>
      </w:r>
      <w:r>
        <w:rPr>
          <w:sz w:val="24"/>
        </w:rPr>
        <w:t>89-92.</w:t>
      </w:r>
    </w:p>
    <w:p>
      <w:pPr>
        <w:pStyle w:val="BodyText"/>
        <w:spacing w:before="2"/>
      </w:pPr>
    </w:p>
    <w:p>
      <w:pPr>
        <w:pStyle w:val="BodyText"/>
        <w:spacing w:line="235" w:lineRule="auto"/>
        <w:ind w:left="115"/>
      </w:pPr>
      <w:r>
        <w:rPr>
          <w:b/>
        </w:rPr>
        <w:t>Woodford, M (2003)</w:t>
      </w:r>
      <w:r>
        <w:rPr/>
        <w:t>, ‘Interest and Prices: Foundations of a Theory of Monetary Policy', Princeton University Press.</w:t>
      </w:r>
    </w:p>
    <w:p>
      <w:pPr>
        <w:spacing w:after="0" w:line="235" w:lineRule="auto"/>
        <w:sectPr>
          <w:pgSz w:w="11920" w:h="16840"/>
          <w:pgMar w:header="0" w:footer="713" w:top="1200" w:bottom="980" w:left="1040" w:right="760"/>
        </w:sectPr>
      </w:pPr>
    </w:p>
    <w:p>
      <w:pPr>
        <w:pStyle w:val="Heading1"/>
      </w:pPr>
      <w:r>
        <w:rPr/>
        <w:t>Appendix of Charts</w:t>
      </w:r>
    </w:p>
    <w:p>
      <w:pPr>
        <w:pStyle w:val="BodyText"/>
        <w:spacing w:before="11"/>
        <w:rPr>
          <w:b/>
          <w:sz w:val="41"/>
        </w:rPr>
      </w:pPr>
    </w:p>
    <w:p>
      <w:pPr>
        <w:spacing w:before="0"/>
        <w:ind w:left="115" w:right="0" w:firstLine="0"/>
        <w:jc w:val="left"/>
        <w:rPr>
          <w:b/>
          <w:sz w:val="19"/>
        </w:rPr>
      </w:pPr>
      <w:r>
        <w:rPr>
          <w:b/>
          <w:w w:val="105"/>
          <w:sz w:val="19"/>
        </w:rPr>
        <w:t>Chart 1: Real interest rates and inflation over the cycle, 1990s</w:t>
      </w:r>
    </w:p>
    <w:p>
      <w:pPr>
        <w:pStyle w:val="BodyText"/>
        <w:spacing w:before="9"/>
        <w:rPr>
          <w:b/>
          <w:sz w:val="18"/>
        </w:rPr>
      </w:pPr>
    </w:p>
    <w:p>
      <w:pPr>
        <w:spacing w:before="96"/>
        <w:ind w:left="505" w:right="0" w:firstLine="0"/>
        <w:jc w:val="left"/>
        <w:rPr>
          <w:sz w:val="12"/>
        </w:rPr>
      </w:pPr>
      <w:r>
        <w:rPr>
          <w:sz w:val="12"/>
        </w:rPr>
        <w:t>Real Rates (%)</w:t>
      </w:r>
    </w:p>
    <w:p>
      <w:pPr>
        <w:pStyle w:val="BodyText"/>
        <w:spacing w:before="8"/>
        <w:rPr>
          <w:sz w:val="16"/>
        </w:rPr>
      </w:pPr>
    </w:p>
    <w:p>
      <w:pPr>
        <w:spacing w:before="0"/>
        <w:ind w:left="355" w:right="0" w:firstLine="0"/>
        <w:jc w:val="left"/>
        <w:rPr>
          <w:sz w:val="12"/>
        </w:rPr>
      </w:pPr>
      <w:r>
        <w:rPr/>
        <w:pict>
          <v:group style="position:absolute;margin-left:75.75pt;margin-top:2.976563pt;width:379.15pt;height:166.5pt;mso-position-horizontal-relative:page;mso-position-vertical-relative:paragraph;z-index:251675648" coordorigin="1515,60" coordsize="7583,3330">
            <v:shape style="position:absolute;left:1515;top:67;width:7575;height:3315" coordorigin="1515,67" coordsize="7575,3315" path="m1545,67l1545,3382m1515,3382l1545,3382m1515,2962l1545,2962m1515,2542l1545,2542m1515,2137l1545,2137m1515,1732l1545,1732m1515,1312l1545,1312m1515,892l1545,892m1515,472l1545,472m1515,67l1545,67m1545,3382l9090,3382e" filled="false" stroked="true" strokeweight=".75pt" strokecolor="#000000">
              <v:path arrowok="t"/>
              <v:stroke dashstyle="solid"/>
            </v:shape>
            <v:shape style="position:absolute;left:2377;top:3367;width:6720;height:2" coordorigin="2378,3367" coordsize="6720,0" path="m2378,3367l2393,3367m3218,3367l3233,3367m4058,3367l4073,3367m4883,3367l4898,3367m5738,3367l5753,3367m6563,3367l6578,3367m7403,3367l7418,3367m8243,3367l8258,3367m9083,3367l9098,3367e" filled="false" stroked="true" strokeweight="1.5pt" strokecolor="#000000">
              <v:path arrowok="t"/>
              <v:stroke dashstyle="solid"/>
            </v:shape>
            <v:shape style="position:absolute;left:6150;top:1282;width:60;height:60" coordorigin="6150,1282" coordsize="60,60" path="m6180,1282l6150,1312,6180,1342,6210,1312,6180,1282xe" filled="true" fillcolor="#000080" stroked="false">
              <v:path arrowok="t"/>
              <v:fill type="solid"/>
            </v:shape>
            <v:shape style="position:absolute;left:6150;top:1282;width:60;height:60" coordorigin="6150,1282" coordsize="60,60" path="m6180,1282l6210,1312,6180,1342,6150,1312,6180,1282xe" filled="false" stroked="true" strokeweight=".75pt" strokecolor="#000080">
              <v:path arrowok="t"/>
              <v:stroke dashstyle="solid"/>
            </v:shape>
            <v:shape style="position:absolute;left:5250;top:1672;width:60;height:60" coordorigin="5250,1672" coordsize="60,60" path="m5280,1672l5250,1702,5280,1732,5310,1702,5280,1672xe" filled="true" fillcolor="#000080" stroked="false">
              <v:path arrowok="t"/>
              <v:fill type="solid"/>
            </v:shape>
            <v:shape style="position:absolute;left:5250;top:1672;width:60;height:60" coordorigin="5250,1672" coordsize="60,60" path="m5280,1672l5310,1702,5280,1732,5250,1702,5280,1672xe" filled="false" stroked="true" strokeweight=".75pt" strokecolor="#000080">
              <v:path arrowok="t"/>
              <v:stroke dashstyle="solid"/>
            </v:shape>
            <v:shape style="position:absolute;left:4950;top:1882;width:60;height:60" coordorigin="4950,1882" coordsize="60,60" path="m4980,1882l4950,1912,4980,1942,5010,1912,4980,1882xe" filled="true" fillcolor="#000080" stroked="false">
              <v:path arrowok="t"/>
              <v:fill type="solid"/>
            </v:shape>
            <v:shape style="position:absolute;left:4950;top:1882;width:60;height:60" coordorigin="4950,1882" coordsize="60,60" path="m4980,1882l5010,1912,4980,1942,4950,1912,4980,1882xe" filled="false" stroked="true" strokeweight=".75pt" strokecolor="#000080">
              <v:path arrowok="t"/>
              <v:stroke dashstyle="solid"/>
            </v:shape>
            <v:shape style="position:absolute;left:4215;top:2512;width:60;height:75" coordorigin="4215,2512" coordsize="60,75" path="m4245,2512l4215,2542,4245,2587,4275,2542,4245,2512xe" filled="true" fillcolor="#000080" stroked="false">
              <v:path arrowok="t"/>
              <v:fill type="solid"/>
            </v:shape>
            <v:shape style="position:absolute;left:4215;top:2512;width:60;height:75" coordorigin="4215,2512" coordsize="60,75" path="m4245,2512l4275,2542,4245,2587,4215,2542,4245,2512xe" filled="false" stroked="true" strokeweight=".75pt" strokecolor="#000080">
              <v:path arrowok="t"/>
              <v:stroke dashstyle="solid"/>
            </v:shape>
            <v:shape style="position:absolute;left:4530;top:1552;width:75;height:60" coordorigin="4530,1552" coordsize="75,60" path="m4560,1552l4530,1582,4560,1612,4605,1582,4560,1552xe" filled="true" fillcolor="#000080" stroked="false">
              <v:path arrowok="t"/>
              <v:fill type="solid"/>
            </v:shape>
            <v:shape style="position:absolute;left:4530;top:1552;width:75;height:60" coordorigin="4530,1552" coordsize="75,60" path="m4560,1552l4605,1582,4560,1612,4530,1582,4560,1552xe" filled="false" stroked="true" strokeweight=".75pt" strokecolor="#000080">
              <v:path arrowok="t"/>
              <v:stroke dashstyle="solid"/>
            </v:shape>
            <v:shape style="position:absolute;left:5655;top:2212;width:60;height:60" coordorigin="5655,2212" coordsize="60,60" path="m5685,2212l5655,2242,5685,2272,5715,2242,5685,2212xe" filled="true" fillcolor="#000080" stroked="false">
              <v:path arrowok="t"/>
              <v:fill type="solid"/>
            </v:shape>
            <v:shape style="position:absolute;left:5655;top:2212;width:60;height:60" coordorigin="5655,2212" coordsize="60,60" path="m5685,2212l5715,2242,5685,2272,5655,2242,5685,2212xe" filled="false" stroked="true" strokeweight=".75pt" strokecolor="#000080">
              <v:path arrowok="t"/>
              <v:stroke dashstyle="solid"/>
            </v:shape>
            <v:shape style="position:absolute;left:8010;top:1387;width:60;height:60" coordorigin="8010,1387" coordsize="60,60" path="m8040,1387l8010,1417,8040,1447,8070,1417,8040,1387xe" filled="true" fillcolor="#000080" stroked="false">
              <v:path arrowok="t"/>
              <v:fill type="solid"/>
            </v:shape>
            <v:shape style="position:absolute;left:8010;top:1387;width:60;height:60" coordorigin="8010,1387" coordsize="60,60" path="m8040,1387l8070,1417,8040,1447,8010,1417,8040,1387xe" filled="false" stroked="true" strokeweight=".75pt" strokecolor="#000080">
              <v:path arrowok="t"/>
              <v:stroke dashstyle="solid"/>
            </v:shape>
            <v:shape style="position:absolute;left:3750;top:2827;width:60;height:60" coordorigin="3750,2827" coordsize="60,60" path="m3780,2827l3750,2857,3780,2887,3810,2857,3780,2827xe" filled="true" fillcolor="#000080" stroked="false">
              <v:path arrowok="t"/>
              <v:fill type="solid"/>
            </v:shape>
            <v:shape style="position:absolute;left:3750;top:2827;width:60;height:60" coordorigin="3750,2827" coordsize="60,60" path="m3780,2827l3810,2857,3780,2887,3750,2857,3780,2827xe" filled="false" stroked="true" strokeweight=".75pt" strokecolor="#000080">
              <v:path arrowok="t"/>
              <v:stroke dashstyle="solid"/>
            </v:shape>
            <v:shape style="position:absolute;left:2025;top:3277;width:60;height:75" coordorigin="2025,3277" coordsize="60,75" path="m2055,3277l2025,3307,2055,3352,2085,3307,2055,3277xe" filled="true" fillcolor="#000080" stroked="false">
              <v:path arrowok="t"/>
              <v:fill type="solid"/>
            </v:shape>
            <v:shape style="position:absolute;left:2025;top:3277;width:60;height:75" coordorigin="2025,3277" coordsize="60,75" path="m2055,3277l2085,3307,2055,3352,2025,3307,2055,3277xe" filled="false" stroked="true" strokeweight=".75pt" strokecolor="#000080">
              <v:path arrowok="t"/>
              <v:stroke dashstyle="solid"/>
            </v:shape>
            <v:shape style="position:absolute;left:6645;top:427;width:60;height:60" coordorigin="6645,427" coordsize="60,60" path="m6675,427l6645,457,6675,487,6705,457,6675,427xe" filled="true" fillcolor="#000080" stroked="false">
              <v:path arrowok="t"/>
              <v:fill type="solid"/>
            </v:shape>
            <v:shape style="position:absolute;left:6645;top:427;width:60;height:60" coordorigin="6645,427" coordsize="60,60" path="m6675,427l6705,457,6675,487,6645,457,6675,427xe" filled="false" stroked="true" strokeweight=".75pt" strokecolor="#000080">
              <v:path arrowok="t"/>
              <v:stroke dashstyle="solid"/>
            </v:shape>
            <v:shape style="position:absolute;left:2805;top:832;width:60;height:60" coordorigin="2805,832" coordsize="60,60" path="m2835,832l2805,862,2835,892,2865,862,2835,832xe" filled="true" fillcolor="#000080" stroked="false">
              <v:path arrowok="t"/>
              <v:fill type="solid"/>
            </v:shape>
            <v:shape style="position:absolute;left:2805;top:832;width:60;height:60" coordorigin="2805,832" coordsize="60,60" path="m2835,832l2865,862,2835,892,2805,862,2835,832xe" filled="false" stroked="true" strokeweight=".75pt" strokecolor="#000080">
              <v:path arrowok="t"/>
              <v:stroke dashstyle="solid"/>
            </v:shape>
            <v:shape style="position:absolute;left:7635;top:2647;width:75;height:60" coordorigin="7635,2647" coordsize="75,60" path="m7665,2647l7635,2677,7665,2707,7710,2677,7665,2647xe" filled="true" fillcolor="#000080" stroked="false">
              <v:path arrowok="t"/>
              <v:fill type="solid"/>
            </v:shape>
            <v:shape style="position:absolute;left:7635;top:2647;width:75;height:60" coordorigin="7635,2647" coordsize="75,60" path="m7665,2647l7710,2677,7665,2707,7635,2677,7665,2647xe" filled="false" stroked="true" strokeweight=".75pt" strokecolor="#000080">
              <v:path arrowok="t"/>
              <v:stroke dashstyle="solid"/>
            </v:shape>
            <v:shape style="position:absolute;left:3045;top:3067;width:60;height:60" coordorigin="3045,3067" coordsize="60,60" path="m3075,3067l3045,3097,3075,3127,3105,3097,3075,3067xe" filled="true" fillcolor="#000080" stroked="false">
              <v:path arrowok="t"/>
              <v:fill type="solid"/>
            </v:shape>
            <v:shape style="position:absolute;left:3045;top:3067;width:60;height:60" coordorigin="3045,3067" coordsize="60,60" path="m3075,3067l3105,3097,3075,3127,3045,3097,3075,3067xe" filled="false" stroked="true" strokeweight=".75pt" strokecolor="#000080">
              <v:path arrowok="t"/>
              <v:stroke dashstyle="solid"/>
            </v:shape>
            <v:shape style="position:absolute;left:6480;top:2377;width:75;height:75" coordorigin="6480,2377" coordsize="75,75" path="m6525,2377l6480,2422,6525,2452,6555,2422,6525,2377xe" filled="true" fillcolor="#000080" stroked="false">
              <v:path arrowok="t"/>
              <v:fill type="solid"/>
            </v:shape>
            <v:shape style="position:absolute;left:6480;top:2377;width:75;height:75" coordorigin="6480,2377" coordsize="75,75" path="m6525,2377l6555,2422,6525,2452,6480,2422,6525,2377xe" filled="false" stroked="true" strokeweight=".75pt" strokecolor="#000080">
              <v:path arrowok="t"/>
              <v:stroke dashstyle="solid"/>
            </v:shape>
            <v:shape style="position:absolute;left:8445;top:1522;width:75;height:60" coordorigin="8445,1522" coordsize="75,60" path="m8475,1522l8445,1552,8475,1582,8520,1552,8475,1522xe" filled="true" fillcolor="#000080" stroked="false">
              <v:path arrowok="t"/>
              <v:fill type="solid"/>
            </v:shape>
            <v:shape style="position:absolute;left:8445;top:1522;width:75;height:60" coordorigin="8445,1522" coordsize="75,60" path="m8475,1522l8520,1552,8475,1582,8445,1552,8475,1522xe" filled="false" stroked="true" strokeweight=".75pt" strokecolor="#000080">
              <v:path arrowok="t"/>
              <v:stroke dashstyle="solid"/>
            </v:shape>
            <v:line style="position:absolute" from="2055,2542" to="8475,1462" stroked="true" strokeweight=".75pt" strokecolor="#000000">
              <v:stroke dashstyle="solid"/>
            </v:line>
            <v:shape style="position:absolute;left:6720;top:228;width:650;height:97" type="#_x0000_t202" filled="false" stroked="false">
              <v:textbox inset="0,0,0,0">
                <w:txbxContent>
                  <w:p>
                    <w:pPr>
                      <w:spacing w:before="3"/>
                      <w:ind w:left="0" w:right="0" w:firstLine="0"/>
                      <w:jc w:val="left"/>
                      <w:rPr>
                        <w:sz w:val="8"/>
                      </w:rPr>
                    </w:pPr>
                    <w:r>
                      <w:rPr>
                        <w:w w:val="110"/>
                        <w:sz w:val="8"/>
                      </w:rPr>
                      <w:t>NZ 89Q2-97Q2</w:t>
                    </w:r>
                  </w:p>
                </w:txbxContent>
              </v:textbox>
              <w10:wrap type="none"/>
            </v:shape>
            <v:shape style="position:absolute;left:3060;top:708;width:650;height:97" type="#_x0000_t202" filled="false" stroked="false">
              <v:textbox inset="0,0,0,0">
                <w:txbxContent>
                  <w:p>
                    <w:pPr>
                      <w:spacing w:before="3"/>
                      <w:ind w:left="0" w:right="0" w:firstLine="0"/>
                      <w:jc w:val="left"/>
                      <w:rPr>
                        <w:sz w:val="8"/>
                      </w:rPr>
                    </w:pPr>
                    <w:r>
                      <w:rPr>
                        <w:w w:val="110"/>
                        <w:sz w:val="8"/>
                      </w:rPr>
                      <w:t>NZ 97Q2-00Q1</w:t>
                    </w:r>
                  </w:p>
                </w:txbxContent>
              </v:textbox>
              <w10:wrap type="none"/>
            </v:shape>
            <v:shape style="position:absolute;left:6300;top:1218;width:710;height:97" type="#_x0000_t202" filled="false" stroked="false">
              <v:textbox inset="0,0,0,0">
                <w:txbxContent>
                  <w:p>
                    <w:pPr>
                      <w:spacing w:before="3"/>
                      <w:ind w:left="0" w:right="0" w:firstLine="0"/>
                      <w:jc w:val="left"/>
                      <w:rPr>
                        <w:sz w:val="8"/>
                      </w:rPr>
                    </w:pPr>
                    <w:r>
                      <w:rPr>
                        <w:w w:val="110"/>
                        <w:sz w:val="8"/>
                      </w:rPr>
                      <w:t>AUS 89Q3-99Q4</w:t>
                    </w:r>
                  </w:p>
                </w:txbxContent>
              </v:textbox>
              <w10:wrap type="none"/>
            </v:shape>
            <v:shape style="position:absolute;left:7800;top:1218;width:560;height:97" type="#_x0000_t202" filled="false" stroked="false">
              <v:textbox inset="0,0,0,0">
                <w:txbxContent>
                  <w:p>
                    <w:pPr>
                      <w:spacing w:before="3"/>
                      <w:ind w:left="0" w:right="0" w:firstLine="0"/>
                      <w:jc w:val="left"/>
                      <w:rPr>
                        <w:sz w:val="8"/>
                      </w:rPr>
                    </w:pPr>
                    <w:r>
                      <w:rPr>
                        <w:w w:val="110"/>
                        <w:sz w:val="8"/>
                      </w:rPr>
                      <w:t>IT 90Q1-01Q1</w:t>
                    </w:r>
                  </w:p>
                </w:txbxContent>
              </v:textbox>
              <w10:wrap type="none"/>
            </v:shape>
            <v:shape style="position:absolute;left:4515;top:1383;width:650;height:97" type="#_x0000_t202" filled="false" stroked="false">
              <v:textbox inset="0,0,0,0">
                <w:txbxContent>
                  <w:p>
                    <w:pPr>
                      <w:spacing w:before="3"/>
                      <w:ind w:left="0" w:right="0" w:firstLine="0"/>
                      <w:jc w:val="left"/>
                      <w:rPr>
                        <w:sz w:val="8"/>
                      </w:rPr>
                    </w:pPr>
                    <w:r>
                      <w:rPr>
                        <w:w w:val="110"/>
                        <w:sz w:val="8"/>
                      </w:rPr>
                      <w:t>FR 90Q3-00Q4</w:t>
                    </w:r>
                    <w:r>
                      <w:rPr>
                        <w:sz w:val="8"/>
                      </w:rPr>
                      <w:t> </w:t>
                    </w:r>
                  </w:p>
                </w:txbxContent>
              </v:textbox>
              <w10:wrap type="none"/>
            </v:shape>
            <v:shape style="position:absolute;left:5385;top:1638;width:695;height:97" type="#_x0000_t202" filled="false" stroked="false">
              <v:textbox inset="0,0,0,0">
                <w:txbxContent>
                  <w:p>
                    <w:pPr>
                      <w:spacing w:before="3"/>
                      <w:ind w:left="0" w:right="0" w:firstLine="0"/>
                      <w:jc w:val="left"/>
                      <w:rPr>
                        <w:sz w:val="8"/>
                      </w:rPr>
                    </w:pPr>
                    <w:r>
                      <w:rPr>
                        <w:w w:val="110"/>
                        <w:sz w:val="8"/>
                      </w:rPr>
                      <w:t>CAN 90Q1-00Q3</w:t>
                    </w:r>
                  </w:p>
                </w:txbxContent>
              </v:textbox>
              <w10:wrap type="none"/>
            </v:shape>
            <v:shape style="position:absolute;left:8145;top:1653;width:650;height:97" type="#_x0000_t202" filled="false" stroked="false">
              <v:textbox inset="0,0,0,0">
                <w:txbxContent>
                  <w:p>
                    <w:pPr>
                      <w:spacing w:before="3"/>
                      <w:ind w:left="0" w:right="0" w:firstLine="0"/>
                      <w:jc w:val="left"/>
                      <w:rPr>
                        <w:sz w:val="8"/>
                      </w:rPr>
                    </w:pPr>
                    <w:r>
                      <w:rPr>
                        <w:w w:val="110"/>
                        <w:sz w:val="8"/>
                      </w:rPr>
                      <w:t>UK 88Q4-99Q4</w:t>
                    </w:r>
                  </w:p>
                </w:txbxContent>
              </v:textbox>
              <w10:wrap type="none"/>
            </v:shape>
            <v:shape style="position:absolute;left:4215;top:1893;width:665;height:97" type="#_x0000_t202" filled="false" stroked="false">
              <v:textbox inset="0,0,0,0">
                <w:txbxContent>
                  <w:p>
                    <w:pPr>
                      <w:spacing w:before="3"/>
                      <w:ind w:left="0" w:right="0" w:firstLine="0"/>
                      <w:jc w:val="left"/>
                      <w:rPr>
                        <w:sz w:val="8"/>
                      </w:rPr>
                    </w:pPr>
                    <w:r>
                      <w:rPr>
                        <w:w w:val="110"/>
                        <w:sz w:val="8"/>
                      </w:rPr>
                      <w:t>BEL 92Q1-98Q2</w:t>
                    </w:r>
                  </w:p>
                </w:txbxContent>
              </v:textbox>
              <w10:wrap type="none"/>
            </v:shape>
            <v:shape style="position:absolute;left:5745;top:2118;width:680;height:97" type="#_x0000_t202" filled="false" stroked="false">
              <v:textbox inset="0,0,0,0">
                <w:txbxContent>
                  <w:p>
                    <w:pPr>
                      <w:spacing w:before="3"/>
                      <w:ind w:left="0" w:right="0" w:firstLine="0"/>
                      <w:jc w:val="left"/>
                      <w:rPr>
                        <w:sz w:val="8"/>
                      </w:rPr>
                    </w:pPr>
                    <w:r>
                      <w:rPr>
                        <w:w w:val="110"/>
                        <w:sz w:val="8"/>
                      </w:rPr>
                      <w:t>GER 91Q2-00Q4</w:t>
                    </w:r>
                  </w:p>
                </w:txbxContent>
              </v:textbox>
              <w10:wrap type="none"/>
            </v:shape>
            <v:shape style="position:absolute;left:6570;top:2328;width:650;height:97" type="#_x0000_t202" filled="false" stroked="false">
              <v:textbox inset="0,0,0,0">
                <w:txbxContent>
                  <w:p>
                    <w:pPr>
                      <w:spacing w:before="3"/>
                      <w:ind w:left="0" w:right="0" w:firstLine="0"/>
                      <w:jc w:val="left"/>
                      <w:rPr>
                        <w:sz w:val="8"/>
                      </w:rPr>
                    </w:pPr>
                    <w:r>
                      <w:rPr>
                        <w:w w:val="110"/>
                        <w:sz w:val="8"/>
                      </w:rPr>
                      <w:t>US 90Q2-00Q2</w:t>
                    </w:r>
                  </w:p>
                </w:txbxContent>
              </v:textbox>
              <w10:wrap type="none"/>
            </v:shape>
            <v:shape style="position:absolute;left:4335;top:2463;width:710;height:97" type="#_x0000_t202" filled="false" stroked="false">
              <v:textbox inset="0,0,0,0">
                <w:txbxContent>
                  <w:p>
                    <w:pPr>
                      <w:spacing w:before="3"/>
                      <w:ind w:left="0" w:right="0" w:firstLine="0"/>
                      <w:jc w:val="left"/>
                      <w:rPr>
                        <w:sz w:val="8"/>
                      </w:rPr>
                    </w:pPr>
                    <w:r>
                      <w:rPr>
                        <w:w w:val="110"/>
                        <w:sz w:val="8"/>
                      </w:rPr>
                      <w:t>BEL 98Q2-00Q4</w:t>
                    </w:r>
                    <w:r>
                      <w:rPr>
                        <w:sz w:val="8"/>
                      </w:rPr>
                      <w:t> </w:t>
                    </w:r>
                  </w:p>
                </w:txbxContent>
              </v:textbox>
              <w10:wrap type="none"/>
            </v:shape>
            <v:shape style="position:absolute;left:7455;top:2583;width:725;height:97" type="#_x0000_t202" filled="false" stroked="false">
              <v:textbox inset="0,0,0,0">
                <w:txbxContent>
                  <w:p>
                    <w:pPr>
                      <w:spacing w:before="3"/>
                      <w:ind w:left="0" w:right="0" w:firstLine="0"/>
                      <w:jc w:val="left"/>
                      <w:rPr>
                        <w:sz w:val="8"/>
                      </w:rPr>
                    </w:pPr>
                    <w:r>
                      <w:rPr>
                        <w:w w:val="110"/>
                        <w:sz w:val="8"/>
                      </w:rPr>
                      <w:t>SWZ 90Q4-94Q4</w:t>
                    </w:r>
                  </w:p>
                </w:txbxContent>
              </v:textbox>
              <w10:wrap type="none"/>
            </v:shape>
            <v:shape style="position:absolute;left:3735;top:2733;width:695;height:97" type="#_x0000_t202" filled="false" stroked="false">
              <v:textbox inset="0,0,0,0">
                <w:txbxContent>
                  <w:p>
                    <w:pPr>
                      <w:spacing w:before="3"/>
                      <w:ind w:left="0" w:right="0" w:firstLine="0"/>
                      <w:jc w:val="left"/>
                      <w:rPr>
                        <w:sz w:val="8"/>
                      </w:rPr>
                    </w:pPr>
                    <w:r>
                      <w:rPr>
                        <w:w w:val="110"/>
                        <w:sz w:val="8"/>
                      </w:rPr>
                      <w:t>JAP 90Q2-97Q1</w:t>
                    </w:r>
                    <w:r>
                      <w:rPr>
                        <w:sz w:val="8"/>
                      </w:rPr>
                      <w:t> </w:t>
                    </w:r>
                  </w:p>
                </w:txbxContent>
              </v:textbox>
              <w10:wrap type="none"/>
            </v:shape>
            <v:shape style="position:absolute;left:1710;top:3108;width:635;height:97" type="#_x0000_t202" filled="false" stroked="false">
              <v:textbox inset="0,0,0,0">
                <w:txbxContent>
                  <w:p>
                    <w:pPr>
                      <w:spacing w:before="3"/>
                      <w:ind w:left="0" w:right="0" w:firstLine="0"/>
                      <w:jc w:val="left"/>
                      <w:rPr>
                        <w:sz w:val="8"/>
                      </w:rPr>
                    </w:pPr>
                    <w:r>
                      <w:rPr>
                        <w:w w:val="110"/>
                        <w:sz w:val="8"/>
                      </w:rPr>
                      <w:t>JAP 97Q1-01Q1</w:t>
                    </w:r>
                  </w:p>
                </w:txbxContent>
              </v:textbox>
              <w10:wrap type="none"/>
            </v:shape>
            <v:shape style="position:absolute;left:3180;top:3108;width:725;height:97" type="#_x0000_t202" filled="false" stroked="false">
              <v:textbox inset="0,0,0,0">
                <w:txbxContent>
                  <w:p>
                    <w:pPr>
                      <w:spacing w:before="3"/>
                      <w:ind w:left="0" w:right="0" w:firstLine="0"/>
                      <w:jc w:val="left"/>
                      <w:rPr>
                        <w:sz w:val="8"/>
                      </w:rPr>
                    </w:pPr>
                    <w:r>
                      <w:rPr>
                        <w:w w:val="110"/>
                        <w:sz w:val="8"/>
                      </w:rPr>
                      <w:t>SWZ 94Q4-00Q4</w:t>
                    </w:r>
                  </w:p>
                </w:txbxContent>
              </v:textbox>
              <w10:wrap type="none"/>
            </v:shape>
            <w10:wrap type="none"/>
          </v:group>
        </w:pict>
      </w:r>
      <w:r>
        <w:rPr>
          <w:w w:val="100"/>
          <w:sz w:val="12"/>
        </w:rPr>
        <w:t>8</w:t>
      </w:r>
    </w:p>
    <w:p>
      <w:pPr>
        <w:pStyle w:val="BodyText"/>
        <w:spacing w:before="10"/>
        <w:rPr>
          <w:sz w:val="14"/>
        </w:rPr>
      </w:pPr>
    </w:p>
    <w:p>
      <w:pPr>
        <w:spacing w:before="96"/>
        <w:ind w:left="355" w:right="0" w:firstLine="0"/>
        <w:jc w:val="left"/>
        <w:rPr>
          <w:sz w:val="12"/>
        </w:rPr>
      </w:pPr>
      <w:r>
        <w:rPr>
          <w:w w:val="100"/>
          <w:sz w:val="12"/>
        </w:rPr>
        <w:t>7</w:t>
      </w:r>
    </w:p>
    <w:p>
      <w:pPr>
        <w:pStyle w:val="BodyText"/>
        <w:spacing w:before="2"/>
        <w:rPr>
          <w:sz w:val="16"/>
        </w:rPr>
      </w:pPr>
    </w:p>
    <w:p>
      <w:pPr>
        <w:spacing w:before="96"/>
        <w:ind w:left="355" w:right="0" w:firstLine="0"/>
        <w:jc w:val="left"/>
        <w:rPr>
          <w:sz w:val="12"/>
        </w:rPr>
      </w:pPr>
      <w:r>
        <w:rPr>
          <w:w w:val="100"/>
          <w:sz w:val="12"/>
        </w:rPr>
        <w:t>6</w:t>
      </w:r>
    </w:p>
    <w:p>
      <w:pPr>
        <w:pStyle w:val="BodyText"/>
        <w:spacing w:before="2"/>
        <w:rPr>
          <w:sz w:val="16"/>
        </w:rPr>
      </w:pPr>
    </w:p>
    <w:p>
      <w:pPr>
        <w:spacing w:before="96"/>
        <w:ind w:left="355" w:right="0" w:firstLine="0"/>
        <w:jc w:val="left"/>
        <w:rPr>
          <w:sz w:val="12"/>
        </w:rPr>
      </w:pPr>
      <w:r>
        <w:rPr>
          <w:w w:val="100"/>
          <w:sz w:val="12"/>
        </w:rPr>
        <w:t>5</w:t>
      </w:r>
    </w:p>
    <w:p>
      <w:pPr>
        <w:pStyle w:val="BodyText"/>
        <w:spacing w:before="2"/>
        <w:rPr>
          <w:sz w:val="16"/>
        </w:rPr>
      </w:pPr>
    </w:p>
    <w:p>
      <w:pPr>
        <w:spacing w:before="96"/>
        <w:ind w:left="355" w:right="0" w:firstLine="0"/>
        <w:jc w:val="left"/>
        <w:rPr>
          <w:sz w:val="12"/>
        </w:rPr>
      </w:pPr>
      <w:r>
        <w:rPr>
          <w:w w:val="100"/>
          <w:sz w:val="12"/>
        </w:rPr>
        <w:t>4</w:t>
      </w:r>
    </w:p>
    <w:p>
      <w:pPr>
        <w:pStyle w:val="BodyText"/>
        <w:spacing w:before="10"/>
        <w:rPr>
          <w:sz w:val="14"/>
        </w:rPr>
      </w:pPr>
    </w:p>
    <w:p>
      <w:pPr>
        <w:spacing w:before="96"/>
        <w:ind w:left="355" w:right="0" w:firstLine="0"/>
        <w:jc w:val="left"/>
        <w:rPr>
          <w:sz w:val="12"/>
        </w:rPr>
      </w:pPr>
      <w:r>
        <w:rPr>
          <w:w w:val="100"/>
          <w:sz w:val="12"/>
        </w:rPr>
        <w:t>3</w:t>
      </w:r>
    </w:p>
    <w:p>
      <w:pPr>
        <w:pStyle w:val="BodyText"/>
        <w:spacing w:before="10"/>
        <w:rPr>
          <w:sz w:val="14"/>
        </w:rPr>
      </w:pPr>
    </w:p>
    <w:p>
      <w:pPr>
        <w:spacing w:before="96"/>
        <w:ind w:left="355" w:right="0" w:firstLine="0"/>
        <w:jc w:val="left"/>
        <w:rPr>
          <w:sz w:val="12"/>
        </w:rPr>
      </w:pPr>
      <w:r>
        <w:rPr>
          <w:w w:val="100"/>
          <w:sz w:val="12"/>
        </w:rPr>
        <w:t>2</w:t>
      </w:r>
    </w:p>
    <w:p>
      <w:pPr>
        <w:pStyle w:val="BodyText"/>
        <w:spacing w:before="3"/>
        <w:rPr>
          <w:sz w:val="16"/>
        </w:rPr>
      </w:pPr>
    </w:p>
    <w:p>
      <w:pPr>
        <w:spacing w:before="95"/>
        <w:ind w:left="355" w:right="0" w:firstLine="0"/>
        <w:jc w:val="left"/>
        <w:rPr>
          <w:sz w:val="12"/>
        </w:rPr>
      </w:pPr>
      <w:r>
        <w:rPr>
          <w:w w:val="100"/>
          <w:sz w:val="12"/>
        </w:rPr>
        <w:t>1</w:t>
      </w:r>
    </w:p>
    <w:p>
      <w:pPr>
        <w:pStyle w:val="BodyText"/>
        <w:spacing w:before="3"/>
        <w:rPr>
          <w:sz w:val="16"/>
        </w:rPr>
      </w:pPr>
    </w:p>
    <w:p>
      <w:pPr>
        <w:spacing w:before="95"/>
        <w:ind w:left="355" w:right="0" w:firstLine="0"/>
        <w:jc w:val="left"/>
        <w:rPr>
          <w:sz w:val="12"/>
        </w:rPr>
      </w:pPr>
      <w:r>
        <w:rPr>
          <w:w w:val="100"/>
          <w:sz w:val="12"/>
        </w:rPr>
        <w:t>0</w:t>
      </w:r>
    </w:p>
    <w:p>
      <w:pPr>
        <w:tabs>
          <w:tab w:pos="1269" w:val="left" w:leader="none"/>
          <w:tab w:pos="2154" w:val="left" w:leader="none"/>
          <w:tab w:pos="2950" w:val="left" w:leader="none"/>
          <w:tab w:pos="3820" w:val="left" w:leader="none"/>
          <w:tab w:pos="4630" w:val="left" w:leader="none"/>
          <w:tab w:pos="5500" w:val="left" w:leader="none"/>
          <w:tab w:pos="6295" w:val="left" w:leader="none"/>
          <w:tab w:pos="7180" w:val="left" w:leader="none"/>
          <w:tab w:pos="7975" w:val="left" w:leader="none"/>
        </w:tabs>
        <w:spacing w:line="114" w:lineRule="exact" w:before="27"/>
        <w:ind w:left="475" w:right="0" w:firstLine="0"/>
        <w:jc w:val="left"/>
        <w:rPr>
          <w:sz w:val="12"/>
        </w:rPr>
      </w:pPr>
      <w:r>
        <w:rPr>
          <w:sz w:val="12"/>
        </w:rPr>
        <w:t>0</w:t>
        <w:tab/>
        <w:t>0.5</w:t>
        <w:tab/>
        <w:t>1</w:t>
        <w:tab/>
        <w:t>1.5</w:t>
        <w:tab/>
        <w:t>2</w:t>
        <w:tab/>
        <w:t>2.5</w:t>
        <w:tab/>
        <w:t>3</w:t>
        <w:tab/>
        <w:t>3.5</w:t>
        <w:tab/>
        <w:t>4</w:t>
        <w:tab/>
        <w:t>4.5</w:t>
      </w:r>
    </w:p>
    <w:p>
      <w:pPr>
        <w:spacing w:line="114" w:lineRule="exact" w:before="0"/>
        <w:ind w:left="7105" w:right="0" w:firstLine="0"/>
        <w:jc w:val="left"/>
        <w:rPr>
          <w:sz w:val="12"/>
        </w:rPr>
      </w:pPr>
      <w:r>
        <w:rPr>
          <w:sz w:val="12"/>
        </w:rPr>
        <w:t>Inflation (%)</w:t>
      </w:r>
    </w:p>
    <w:p>
      <w:pPr>
        <w:pStyle w:val="BodyText"/>
        <w:spacing w:before="7"/>
        <w:rPr>
          <w:sz w:val="20"/>
        </w:rPr>
      </w:pPr>
    </w:p>
    <w:p>
      <w:pPr>
        <w:spacing w:before="98"/>
        <w:ind w:left="115" w:right="0" w:firstLine="0"/>
        <w:jc w:val="left"/>
        <w:rPr>
          <w:sz w:val="16"/>
        </w:rPr>
      </w:pPr>
      <w:r>
        <w:rPr>
          <w:w w:val="105"/>
          <w:sz w:val="16"/>
        </w:rPr>
        <w:t>Source: Various. See table 1 for definition of cycle (peak to peak)</w:t>
      </w:r>
    </w:p>
    <w:p>
      <w:pPr>
        <w:pStyle w:val="BodyText"/>
        <w:rPr>
          <w:sz w:val="18"/>
        </w:rPr>
      </w:pPr>
    </w:p>
    <w:p>
      <w:pPr>
        <w:pStyle w:val="BodyText"/>
        <w:rPr>
          <w:sz w:val="18"/>
        </w:rPr>
      </w:pPr>
    </w:p>
    <w:p>
      <w:pPr>
        <w:pStyle w:val="BodyText"/>
        <w:spacing w:before="5"/>
        <w:rPr>
          <w:sz w:val="26"/>
        </w:rPr>
      </w:pPr>
    </w:p>
    <w:p>
      <w:pPr>
        <w:spacing w:before="0"/>
        <w:ind w:left="115" w:right="0" w:firstLine="0"/>
        <w:jc w:val="left"/>
        <w:rPr>
          <w:b/>
          <w:sz w:val="19"/>
        </w:rPr>
      </w:pPr>
      <w:r>
        <w:rPr>
          <w:b/>
          <w:w w:val="105"/>
          <w:sz w:val="19"/>
        </w:rPr>
        <w:t>Table 1: The timing of the cycles (peaks) used in Charts 1 and 2</w:t>
      </w:r>
    </w:p>
    <w:p>
      <w:pPr>
        <w:pStyle w:val="BodyText"/>
        <w:spacing w:before="4"/>
        <w:rPr>
          <w:b/>
          <w:sz w:val="2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129"/>
        <w:gridCol w:w="1050"/>
        <w:gridCol w:w="818"/>
        <w:gridCol w:w="1384"/>
        <w:gridCol w:w="1151"/>
        <w:gridCol w:w="1102"/>
        <w:gridCol w:w="832"/>
        <w:gridCol w:w="1383"/>
      </w:tblGrid>
      <w:tr>
        <w:trPr>
          <w:trHeight w:val="406" w:hRule="atLeast"/>
        </w:trPr>
        <w:tc>
          <w:tcPr>
            <w:tcW w:w="1014" w:type="dxa"/>
          </w:tcPr>
          <w:p>
            <w:pPr>
              <w:pStyle w:val="TableParagraph"/>
              <w:rPr>
                <w:sz w:val="16"/>
              </w:rPr>
            </w:pPr>
          </w:p>
        </w:tc>
        <w:tc>
          <w:tcPr>
            <w:tcW w:w="1129" w:type="dxa"/>
          </w:tcPr>
          <w:p>
            <w:pPr>
              <w:pStyle w:val="TableParagraph"/>
              <w:spacing w:line="188" w:lineRule="exact"/>
              <w:ind w:left="85"/>
              <w:rPr>
                <w:sz w:val="17"/>
              </w:rPr>
            </w:pPr>
            <w:r>
              <w:rPr>
                <w:sz w:val="17"/>
              </w:rPr>
              <w:t>Dates of</w:t>
            </w:r>
            <w:r>
              <w:rPr>
                <w:spacing w:val="-5"/>
                <w:sz w:val="17"/>
              </w:rPr>
              <w:t> </w:t>
            </w:r>
            <w:r>
              <w:rPr>
                <w:sz w:val="17"/>
              </w:rPr>
              <w:t>cycle</w:t>
            </w:r>
          </w:p>
          <w:p>
            <w:pPr>
              <w:pStyle w:val="TableParagraph"/>
              <w:spacing w:line="184" w:lineRule="exact" w:before="14"/>
              <w:ind w:left="85"/>
              <w:rPr>
                <w:sz w:val="17"/>
              </w:rPr>
            </w:pPr>
            <w:r>
              <w:rPr>
                <w:sz w:val="17"/>
              </w:rPr>
              <w:t>(peak to</w:t>
            </w:r>
            <w:r>
              <w:rPr>
                <w:spacing w:val="-19"/>
                <w:sz w:val="17"/>
              </w:rPr>
              <w:t> </w:t>
            </w:r>
            <w:r>
              <w:rPr>
                <w:sz w:val="17"/>
              </w:rPr>
              <w:t>peak)</w:t>
            </w:r>
          </w:p>
        </w:tc>
        <w:tc>
          <w:tcPr>
            <w:tcW w:w="1050" w:type="dxa"/>
          </w:tcPr>
          <w:p>
            <w:pPr>
              <w:pStyle w:val="TableParagraph"/>
              <w:spacing w:line="188" w:lineRule="exact"/>
              <w:ind w:left="46" w:right="90"/>
              <w:jc w:val="center"/>
              <w:rPr>
                <w:sz w:val="17"/>
              </w:rPr>
            </w:pPr>
            <w:r>
              <w:rPr>
                <w:sz w:val="17"/>
              </w:rPr>
              <w:t>Average real</w:t>
            </w:r>
          </w:p>
          <w:p>
            <w:pPr>
              <w:pStyle w:val="TableParagraph"/>
              <w:spacing w:line="184" w:lineRule="exact" w:before="14"/>
              <w:ind w:left="31" w:right="90"/>
              <w:jc w:val="center"/>
              <w:rPr>
                <w:sz w:val="17"/>
              </w:rPr>
            </w:pPr>
            <w:r>
              <w:rPr>
                <w:sz w:val="17"/>
              </w:rPr>
              <w:t>rates</w:t>
            </w:r>
          </w:p>
        </w:tc>
        <w:tc>
          <w:tcPr>
            <w:tcW w:w="818" w:type="dxa"/>
          </w:tcPr>
          <w:p>
            <w:pPr>
              <w:pStyle w:val="TableParagraph"/>
              <w:spacing w:line="188" w:lineRule="exact"/>
              <w:ind w:left="111"/>
              <w:rPr>
                <w:sz w:val="17"/>
              </w:rPr>
            </w:pPr>
            <w:r>
              <w:rPr>
                <w:sz w:val="17"/>
              </w:rPr>
              <w:t>Average</w:t>
            </w:r>
          </w:p>
          <w:p>
            <w:pPr>
              <w:pStyle w:val="TableParagraph"/>
              <w:spacing w:line="184" w:lineRule="exact" w:before="14"/>
              <w:ind w:left="111"/>
              <w:rPr>
                <w:sz w:val="17"/>
              </w:rPr>
            </w:pPr>
            <w:r>
              <w:rPr>
                <w:sz w:val="17"/>
              </w:rPr>
              <w:t>inflation</w:t>
            </w:r>
          </w:p>
        </w:tc>
        <w:tc>
          <w:tcPr>
            <w:tcW w:w="1384" w:type="dxa"/>
          </w:tcPr>
          <w:p>
            <w:pPr>
              <w:pStyle w:val="TableParagraph"/>
              <w:spacing w:line="188" w:lineRule="exact"/>
              <w:ind w:left="105" w:right="44"/>
              <w:jc w:val="center"/>
              <w:rPr>
                <w:sz w:val="17"/>
              </w:rPr>
            </w:pPr>
            <w:r>
              <w:rPr>
                <w:sz w:val="17"/>
              </w:rPr>
              <w:t>Average inflation</w:t>
            </w:r>
          </w:p>
          <w:p>
            <w:pPr>
              <w:pStyle w:val="TableParagraph"/>
              <w:spacing w:line="184" w:lineRule="exact" w:before="14"/>
              <w:ind w:left="105" w:right="37"/>
              <w:jc w:val="center"/>
              <w:rPr>
                <w:sz w:val="17"/>
              </w:rPr>
            </w:pPr>
            <w:r>
              <w:rPr>
                <w:sz w:val="17"/>
              </w:rPr>
              <w:t>volatility</w:t>
            </w:r>
          </w:p>
        </w:tc>
        <w:tc>
          <w:tcPr>
            <w:tcW w:w="1151" w:type="dxa"/>
          </w:tcPr>
          <w:p>
            <w:pPr>
              <w:pStyle w:val="TableParagraph"/>
              <w:spacing w:line="188" w:lineRule="exact"/>
              <w:ind w:left="84"/>
              <w:rPr>
                <w:sz w:val="17"/>
              </w:rPr>
            </w:pPr>
            <w:r>
              <w:rPr>
                <w:sz w:val="17"/>
              </w:rPr>
              <w:t>Dates of</w:t>
            </w:r>
            <w:r>
              <w:rPr>
                <w:spacing w:val="-21"/>
                <w:sz w:val="17"/>
              </w:rPr>
              <w:t> </w:t>
            </w:r>
            <w:r>
              <w:rPr>
                <w:sz w:val="17"/>
              </w:rPr>
              <w:t>cycle</w:t>
            </w:r>
          </w:p>
          <w:p>
            <w:pPr>
              <w:pStyle w:val="TableParagraph"/>
              <w:spacing w:line="184" w:lineRule="exact" w:before="14"/>
              <w:ind w:left="84"/>
              <w:rPr>
                <w:sz w:val="17"/>
              </w:rPr>
            </w:pPr>
            <w:r>
              <w:rPr>
                <w:sz w:val="17"/>
              </w:rPr>
              <w:t>(peak to</w:t>
            </w:r>
            <w:r>
              <w:rPr>
                <w:spacing w:val="-5"/>
                <w:sz w:val="17"/>
              </w:rPr>
              <w:t> </w:t>
            </w:r>
            <w:r>
              <w:rPr>
                <w:sz w:val="17"/>
              </w:rPr>
              <w:t>peak)</w:t>
            </w:r>
          </w:p>
        </w:tc>
        <w:tc>
          <w:tcPr>
            <w:tcW w:w="1102" w:type="dxa"/>
          </w:tcPr>
          <w:p>
            <w:pPr>
              <w:pStyle w:val="TableParagraph"/>
              <w:spacing w:line="188" w:lineRule="exact"/>
              <w:ind w:left="68" w:right="120"/>
              <w:jc w:val="center"/>
              <w:rPr>
                <w:sz w:val="17"/>
              </w:rPr>
            </w:pPr>
            <w:r>
              <w:rPr>
                <w:sz w:val="17"/>
              </w:rPr>
              <w:t>Average real</w:t>
            </w:r>
          </w:p>
          <w:p>
            <w:pPr>
              <w:pStyle w:val="TableParagraph"/>
              <w:spacing w:line="184" w:lineRule="exact" w:before="14"/>
              <w:ind w:left="53" w:right="120"/>
              <w:jc w:val="center"/>
              <w:rPr>
                <w:sz w:val="17"/>
              </w:rPr>
            </w:pPr>
            <w:r>
              <w:rPr>
                <w:sz w:val="17"/>
              </w:rPr>
              <w:t>rates</w:t>
            </w:r>
          </w:p>
        </w:tc>
        <w:tc>
          <w:tcPr>
            <w:tcW w:w="832" w:type="dxa"/>
          </w:tcPr>
          <w:p>
            <w:pPr>
              <w:pStyle w:val="TableParagraph"/>
              <w:spacing w:line="188" w:lineRule="exact"/>
              <w:ind w:left="141"/>
              <w:rPr>
                <w:sz w:val="17"/>
              </w:rPr>
            </w:pPr>
            <w:r>
              <w:rPr>
                <w:sz w:val="17"/>
              </w:rPr>
              <w:t>Average</w:t>
            </w:r>
          </w:p>
          <w:p>
            <w:pPr>
              <w:pStyle w:val="TableParagraph"/>
              <w:spacing w:line="184" w:lineRule="exact" w:before="14"/>
              <w:ind w:left="141"/>
              <w:rPr>
                <w:sz w:val="17"/>
              </w:rPr>
            </w:pPr>
            <w:r>
              <w:rPr>
                <w:sz w:val="17"/>
              </w:rPr>
              <w:t>inflation</w:t>
            </w:r>
          </w:p>
        </w:tc>
        <w:tc>
          <w:tcPr>
            <w:tcW w:w="1383" w:type="dxa"/>
          </w:tcPr>
          <w:p>
            <w:pPr>
              <w:pStyle w:val="TableParagraph"/>
              <w:spacing w:line="188" w:lineRule="exact"/>
              <w:ind w:left="105" w:right="42"/>
              <w:jc w:val="center"/>
              <w:rPr>
                <w:sz w:val="17"/>
              </w:rPr>
            </w:pPr>
            <w:r>
              <w:rPr>
                <w:sz w:val="17"/>
              </w:rPr>
              <w:t>Average inflation</w:t>
            </w:r>
          </w:p>
          <w:p>
            <w:pPr>
              <w:pStyle w:val="TableParagraph"/>
              <w:spacing w:line="184" w:lineRule="exact" w:before="14"/>
              <w:ind w:left="105" w:right="34"/>
              <w:jc w:val="center"/>
              <w:rPr>
                <w:sz w:val="17"/>
              </w:rPr>
            </w:pPr>
            <w:r>
              <w:rPr>
                <w:sz w:val="17"/>
              </w:rPr>
              <w:t>volatility</w:t>
            </w:r>
          </w:p>
        </w:tc>
      </w:tr>
      <w:tr>
        <w:trPr>
          <w:trHeight w:val="210" w:hRule="atLeast"/>
        </w:trPr>
        <w:tc>
          <w:tcPr>
            <w:tcW w:w="1014" w:type="dxa"/>
            <w:tcBorders>
              <w:right w:val="single" w:sz="12" w:space="0" w:color="000000"/>
            </w:tcBorders>
          </w:tcPr>
          <w:p>
            <w:pPr>
              <w:pStyle w:val="TableParagraph"/>
              <w:spacing w:line="184" w:lineRule="exact" w:before="6"/>
              <w:ind w:left="200"/>
              <w:rPr>
                <w:sz w:val="17"/>
              </w:rPr>
            </w:pPr>
            <w:r>
              <w:rPr>
                <w:sz w:val="17"/>
              </w:rPr>
              <w:t>Australia</w:t>
            </w:r>
          </w:p>
        </w:tc>
        <w:tc>
          <w:tcPr>
            <w:tcW w:w="1129" w:type="dxa"/>
            <w:tcBorders>
              <w:left w:val="single" w:sz="12" w:space="0" w:color="000000"/>
            </w:tcBorders>
          </w:tcPr>
          <w:p>
            <w:pPr>
              <w:pStyle w:val="TableParagraph"/>
              <w:spacing w:line="184" w:lineRule="exact" w:before="6"/>
              <w:ind w:left="83" w:right="93"/>
              <w:jc w:val="center"/>
              <w:rPr>
                <w:sz w:val="17"/>
              </w:rPr>
            </w:pPr>
            <w:r>
              <w:rPr>
                <w:sz w:val="17"/>
              </w:rPr>
              <w:t>89Q3 - 99Q4</w:t>
            </w:r>
          </w:p>
        </w:tc>
        <w:tc>
          <w:tcPr>
            <w:tcW w:w="1050" w:type="dxa"/>
          </w:tcPr>
          <w:p>
            <w:pPr>
              <w:pStyle w:val="TableParagraph"/>
              <w:spacing w:line="184" w:lineRule="exact" w:before="6"/>
              <w:ind w:left="351"/>
              <w:rPr>
                <w:sz w:val="17"/>
              </w:rPr>
            </w:pPr>
            <w:r>
              <w:rPr>
                <w:sz w:val="17"/>
              </w:rPr>
              <w:t>4.99</w:t>
            </w:r>
          </w:p>
        </w:tc>
        <w:tc>
          <w:tcPr>
            <w:tcW w:w="818" w:type="dxa"/>
          </w:tcPr>
          <w:p>
            <w:pPr>
              <w:pStyle w:val="TableParagraph"/>
              <w:spacing w:line="184" w:lineRule="exact" w:before="6"/>
              <w:ind w:left="242" w:right="237"/>
              <w:jc w:val="center"/>
              <w:rPr>
                <w:sz w:val="17"/>
              </w:rPr>
            </w:pPr>
            <w:r>
              <w:rPr>
                <w:sz w:val="17"/>
              </w:rPr>
              <w:t>2.76</w:t>
            </w:r>
          </w:p>
        </w:tc>
        <w:tc>
          <w:tcPr>
            <w:tcW w:w="1384" w:type="dxa"/>
            <w:tcBorders>
              <w:right w:val="single" w:sz="12" w:space="0" w:color="000000"/>
            </w:tcBorders>
          </w:tcPr>
          <w:p>
            <w:pPr>
              <w:pStyle w:val="TableParagraph"/>
              <w:spacing w:line="184" w:lineRule="exact" w:before="6"/>
              <w:ind w:right="513"/>
              <w:jc w:val="right"/>
              <w:rPr>
                <w:sz w:val="17"/>
              </w:rPr>
            </w:pPr>
            <w:r>
              <w:rPr>
                <w:sz w:val="17"/>
              </w:rPr>
              <w:t>0.85</w:t>
            </w:r>
          </w:p>
        </w:tc>
        <w:tc>
          <w:tcPr>
            <w:tcW w:w="1151" w:type="dxa"/>
            <w:tcBorders>
              <w:left w:val="single" w:sz="12" w:space="0" w:color="000000"/>
            </w:tcBorders>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0"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0" w:hRule="atLeast"/>
        </w:trPr>
        <w:tc>
          <w:tcPr>
            <w:tcW w:w="1014" w:type="dxa"/>
            <w:tcBorders>
              <w:right w:val="single" w:sz="12" w:space="0" w:color="000000"/>
            </w:tcBorders>
          </w:tcPr>
          <w:p>
            <w:pPr>
              <w:pStyle w:val="TableParagraph"/>
              <w:spacing w:line="184" w:lineRule="exact" w:before="6"/>
              <w:ind w:left="260"/>
              <w:rPr>
                <w:sz w:val="17"/>
              </w:rPr>
            </w:pPr>
            <w:r>
              <w:rPr>
                <w:sz w:val="17"/>
              </w:rPr>
              <w:t>Canada</w:t>
            </w:r>
          </w:p>
        </w:tc>
        <w:tc>
          <w:tcPr>
            <w:tcW w:w="1129" w:type="dxa"/>
            <w:tcBorders>
              <w:left w:val="single" w:sz="12" w:space="0" w:color="000000"/>
            </w:tcBorders>
          </w:tcPr>
          <w:p>
            <w:pPr>
              <w:pStyle w:val="TableParagraph"/>
              <w:spacing w:line="184" w:lineRule="exact" w:before="6"/>
              <w:ind w:left="83" w:right="93"/>
              <w:jc w:val="center"/>
              <w:rPr>
                <w:sz w:val="17"/>
              </w:rPr>
            </w:pPr>
            <w:r>
              <w:rPr>
                <w:sz w:val="17"/>
              </w:rPr>
              <w:t>90Q1 - 00Q3</w:t>
            </w:r>
          </w:p>
        </w:tc>
        <w:tc>
          <w:tcPr>
            <w:tcW w:w="1050" w:type="dxa"/>
          </w:tcPr>
          <w:p>
            <w:pPr>
              <w:pStyle w:val="TableParagraph"/>
              <w:spacing w:line="184" w:lineRule="exact" w:before="6"/>
              <w:ind w:left="351"/>
              <w:rPr>
                <w:sz w:val="17"/>
              </w:rPr>
            </w:pPr>
            <w:r>
              <w:rPr>
                <w:sz w:val="17"/>
              </w:rPr>
              <w:t>4.03</w:t>
            </w:r>
          </w:p>
        </w:tc>
        <w:tc>
          <w:tcPr>
            <w:tcW w:w="818" w:type="dxa"/>
          </w:tcPr>
          <w:p>
            <w:pPr>
              <w:pStyle w:val="TableParagraph"/>
              <w:spacing w:line="184" w:lineRule="exact" w:before="6"/>
              <w:ind w:left="242" w:right="237"/>
              <w:jc w:val="center"/>
              <w:rPr>
                <w:sz w:val="17"/>
              </w:rPr>
            </w:pPr>
            <w:r>
              <w:rPr>
                <w:sz w:val="17"/>
              </w:rPr>
              <w:t>2.23</w:t>
            </w:r>
          </w:p>
        </w:tc>
        <w:tc>
          <w:tcPr>
            <w:tcW w:w="1384" w:type="dxa"/>
            <w:tcBorders>
              <w:right w:val="single" w:sz="12" w:space="0" w:color="000000"/>
            </w:tcBorders>
          </w:tcPr>
          <w:p>
            <w:pPr>
              <w:pStyle w:val="TableParagraph"/>
              <w:spacing w:line="184" w:lineRule="exact" w:before="6"/>
              <w:ind w:right="513"/>
              <w:jc w:val="right"/>
              <w:rPr>
                <w:sz w:val="17"/>
              </w:rPr>
            </w:pPr>
            <w:r>
              <w:rPr>
                <w:sz w:val="17"/>
              </w:rPr>
              <w:t>0.69</w:t>
            </w:r>
          </w:p>
        </w:tc>
        <w:tc>
          <w:tcPr>
            <w:tcW w:w="1151" w:type="dxa"/>
            <w:tcBorders>
              <w:left w:val="single" w:sz="12" w:space="0" w:color="000000"/>
            </w:tcBorders>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0"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0" w:hRule="atLeast"/>
        </w:trPr>
        <w:tc>
          <w:tcPr>
            <w:tcW w:w="1014" w:type="dxa"/>
            <w:tcBorders>
              <w:right w:val="single" w:sz="12" w:space="0" w:color="000000"/>
            </w:tcBorders>
          </w:tcPr>
          <w:p>
            <w:pPr>
              <w:pStyle w:val="TableParagraph"/>
              <w:spacing w:line="184" w:lineRule="exact" w:before="6"/>
              <w:ind w:left="215"/>
              <w:rPr>
                <w:sz w:val="17"/>
              </w:rPr>
            </w:pPr>
            <w:r>
              <w:rPr>
                <w:sz w:val="17"/>
              </w:rPr>
              <w:t>Belgium</w:t>
            </w:r>
          </w:p>
        </w:tc>
        <w:tc>
          <w:tcPr>
            <w:tcW w:w="1129" w:type="dxa"/>
            <w:tcBorders>
              <w:left w:val="single" w:sz="12" w:space="0" w:color="000000"/>
            </w:tcBorders>
          </w:tcPr>
          <w:p>
            <w:pPr>
              <w:pStyle w:val="TableParagraph"/>
              <w:spacing w:line="184" w:lineRule="exact" w:before="6"/>
              <w:ind w:left="83" w:right="93"/>
              <w:jc w:val="center"/>
              <w:rPr>
                <w:sz w:val="17"/>
              </w:rPr>
            </w:pPr>
            <w:r>
              <w:rPr>
                <w:sz w:val="17"/>
              </w:rPr>
              <w:t>92Q1 - 98Q2</w:t>
            </w:r>
          </w:p>
        </w:tc>
        <w:tc>
          <w:tcPr>
            <w:tcW w:w="1050" w:type="dxa"/>
          </w:tcPr>
          <w:p>
            <w:pPr>
              <w:pStyle w:val="TableParagraph"/>
              <w:spacing w:line="184" w:lineRule="exact" w:before="6"/>
              <w:ind w:left="351"/>
              <w:rPr>
                <w:sz w:val="17"/>
              </w:rPr>
            </w:pPr>
            <w:r>
              <w:rPr>
                <w:sz w:val="17"/>
              </w:rPr>
              <w:t>3.53</w:t>
            </w:r>
          </w:p>
        </w:tc>
        <w:tc>
          <w:tcPr>
            <w:tcW w:w="818" w:type="dxa"/>
          </w:tcPr>
          <w:p>
            <w:pPr>
              <w:pStyle w:val="TableParagraph"/>
              <w:spacing w:line="184" w:lineRule="exact" w:before="6"/>
              <w:ind w:left="242" w:right="237"/>
              <w:jc w:val="center"/>
              <w:rPr>
                <w:sz w:val="17"/>
              </w:rPr>
            </w:pPr>
            <w:r>
              <w:rPr>
                <w:sz w:val="17"/>
              </w:rPr>
              <w:t>2.05</w:t>
            </w:r>
          </w:p>
        </w:tc>
        <w:tc>
          <w:tcPr>
            <w:tcW w:w="1384" w:type="dxa"/>
            <w:tcBorders>
              <w:right w:val="single" w:sz="12" w:space="0" w:color="000000"/>
            </w:tcBorders>
          </w:tcPr>
          <w:p>
            <w:pPr>
              <w:pStyle w:val="TableParagraph"/>
              <w:spacing w:line="184" w:lineRule="exact" w:before="6"/>
              <w:ind w:right="513"/>
              <w:jc w:val="right"/>
              <w:rPr>
                <w:sz w:val="17"/>
              </w:rPr>
            </w:pPr>
            <w:r>
              <w:rPr>
                <w:sz w:val="17"/>
              </w:rPr>
              <w:t>0.57</w:t>
            </w:r>
          </w:p>
        </w:tc>
        <w:tc>
          <w:tcPr>
            <w:tcW w:w="1151" w:type="dxa"/>
            <w:tcBorders>
              <w:left w:val="single" w:sz="12" w:space="0" w:color="000000"/>
            </w:tcBorders>
          </w:tcPr>
          <w:p>
            <w:pPr>
              <w:pStyle w:val="TableParagraph"/>
              <w:spacing w:line="184" w:lineRule="exact" w:before="6"/>
              <w:ind w:left="89" w:right="108"/>
              <w:jc w:val="center"/>
              <w:rPr>
                <w:sz w:val="17"/>
              </w:rPr>
            </w:pPr>
            <w:r>
              <w:rPr>
                <w:sz w:val="17"/>
              </w:rPr>
              <w:t>98Q2 - 00Q4</w:t>
            </w:r>
          </w:p>
        </w:tc>
        <w:tc>
          <w:tcPr>
            <w:tcW w:w="1102" w:type="dxa"/>
          </w:tcPr>
          <w:p>
            <w:pPr>
              <w:pStyle w:val="TableParagraph"/>
              <w:spacing w:line="184" w:lineRule="exact" w:before="6"/>
              <w:ind w:left="373"/>
              <w:rPr>
                <w:sz w:val="17"/>
              </w:rPr>
            </w:pPr>
            <w:r>
              <w:rPr>
                <w:sz w:val="17"/>
              </w:rPr>
              <w:t>2.01</w:t>
            </w:r>
          </w:p>
        </w:tc>
        <w:tc>
          <w:tcPr>
            <w:tcW w:w="832" w:type="dxa"/>
          </w:tcPr>
          <w:p>
            <w:pPr>
              <w:pStyle w:val="TableParagraph"/>
              <w:spacing w:line="184" w:lineRule="exact" w:before="6"/>
              <w:ind w:right="253"/>
              <w:jc w:val="right"/>
              <w:rPr>
                <w:sz w:val="17"/>
              </w:rPr>
            </w:pPr>
            <w:r>
              <w:rPr>
                <w:sz w:val="17"/>
              </w:rPr>
              <w:t>1.61</w:t>
            </w:r>
          </w:p>
        </w:tc>
        <w:tc>
          <w:tcPr>
            <w:tcW w:w="1383" w:type="dxa"/>
            <w:tcBorders>
              <w:right w:val="single" w:sz="12" w:space="0" w:color="000000"/>
            </w:tcBorders>
          </w:tcPr>
          <w:p>
            <w:pPr>
              <w:pStyle w:val="TableParagraph"/>
              <w:spacing w:line="184" w:lineRule="exact" w:before="6"/>
              <w:ind w:left="543" w:right="487"/>
              <w:jc w:val="center"/>
              <w:rPr>
                <w:sz w:val="17"/>
              </w:rPr>
            </w:pPr>
            <w:r>
              <w:rPr>
                <w:sz w:val="17"/>
              </w:rPr>
              <w:t>0.63</w:t>
            </w:r>
          </w:p>
        </w:tc>
      </w:tr>
      <w:tr>
        <w:trPr>
          <w:trHeight w:val="210"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6" w:hRule="atLeast"/>
        </w:trPr>
        <w:tc>
          <w:tcPr>
            <w:tcW w:w="1014" w:type="dxa"/>
            <w:tcBorders>
              <w:right w:val="single" w:sz="12" w:space="0" w:color="000000"/>
            </w:tcBorders>
          </w:tcPr>
          <w:p>
            <w:pPr>
              <w:pStyle w:val="TableParagraph"/>
              <w:spacing w:line="175" w:lineRule="exact" w:before="21"/>
              <w:ind w:left="275"/>
              <w:rPr>
                <w:sz w:val="17"/>
              </w:rPr>
            </w:pPr>
            <w:r>
              <w:rPr>
                <w:sz w:val="17"/>
              </w:rPr>
              <w:t>France</w:t>
            </w:r>
          </w:p>
        </w:tc>
        <w:tc>
          <w:tcPr>
            <w:tcW w:w="1129" w:type="dxa"/>
            <w:tcBorders>
              <w:left w:val="single" w:sz="12" w:space="0" w:color="000000"/>
            </w:tcBorders>
          </w:tcPr>
          <w:p>
            <w:pPr>
              <w:pStyle w:val="TableParagraph"/>
              <w:spacing w:line="175" w:lineRule="exact" w:before="21"/>
              <w:ind w:left="83" w:right="93"/>
              <w:jc w:val="center"/>
              <w:rPr>
                <w:sz w:val="17"/>
              </w:rPr>
            </w:pPr>
            <w:r>
              <w:rPr>
                <w:sz w:val="17"/>
              </w:rPr>
              <w:t>90Q3 - 00Q4</w:t>
            </w:r>
          </w:p>
        </w:tc>
        <w:tc>
          <w:tcPr>
            <w:tcW w:w="1050" w:type="dxa"/>
          </w:tcPr>
          <w:p>
            <w:pPr>
              <w:pStyle w:val="TableParagraph"/>
              <w:spacing w:line="175" w:lineRule="exact" w:before="21"/>
              <w:ind w:left="351"/>
              <w:rPr>
                <w:sz w:val="17"/>
              </w:rPr>
            </w:pPr>
            <w:r>
              <w:rPr>
                <w:sz w:val="17"/>
              </w:rPr>
              <w:t>4.33</w:t>
            </w:r>
          </w:p>
        </w:tc>
        <w:tc>
          <w:tcPr>
            <w:tcW w:w="818" w:type="dxa"/>
          </w:tcPr>
          <w:p>
            <w:pPr>
              <w:pStyle w:val="TableParagraph"/>
              <w:spacing w:line="175" w:lineRule="exact" w:before="21"/>
              <w:ind w:left="242" w:right="237"/>
              <w:jc w:val="center"/>
              <w:rPr>
                <w:sz w:val="17"/>
              </w:rPr>
            </w:pPr>
            <w:r>
              <w:rPr>
                <w:sz w:val="17"/>
              </w:rPr>
              <w:t>1.80</w:t>
            </w:r>
          </w:p>
        </w:tc>
        <w:tc>
          <w:tcPr>
            <w:tcW w:w="1384" w:type="dxa"/>
            <w:tcBorders>
              <w:right w:val="single" w:sz="12" w:space="0" w:color="000000"/>
            </w:tcBorders>
          </w:tcPr>
          <w:p>
            <w:pPr>
              <w:pStyle w:val="TableParagraph"/>
              <w:spacing w:line="175" w:lineRule="exact" w:before="21"/>
              <w:ind w:right="513"/>
              <w:jc w:val="right"/>
              <w:rPr>
                <w:sz w:val="17"/>
              </w:rPr>
            </w:pPr>
            <w:r>
              <w:rPr>
                <w:sz w:val="17"/>
              </w:rPr>
              <w:t>0.41</w:t>
            </w:r>
          </w:p>
        </w:tc>
        <w:tc>
          <w:tcPr>
            <w:tcW w:w="1151" w:type="dxa"/>
            <w:tcBorders>
              <w:left w:val="single" w:sz="12" w:space="0" w:color="000000"/>
            </w:tcBorders>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03"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6" w:hRule="atLeast"/>
        </w:trPr>
        <w:tc>
          <w:tcPr>
            <w:tcW w:w="1014" w:type="dxa"/>
            <w:tcBorders>
              <w:right w:val="single" w:sz="12" w:space="0" w:color="000000"/>
            </w:tcBorders>
          </w:tcPr>
          <w:p>
            <w:pPr>
              <w:pStyle w:val="TableParagraph"/>
              <w:spacing w:line="175" w:lineRule="exact" w:before="21"/>
              <w:ind w:left="200"/>
              <w:rPr>
                <w:sz w:val="17"/>
              </w:rPr>
            </w:pPr>
            <w:r>
              <w:rPr>
                <w:sz w:val="17"/>
              </w:rPr>
              <w:t>Germany</w:t>
            </w:r>
          </w:p>
        </w:tc>
        <w:tc>
          <w:tcPr>
            <w:tcW w:w="1129" w:type="dxa"/>
            <w:tcBorders>
              <w:left w:val="single" w:sz="12" w:space="0" w:color="000000"/>
            </w:tcBorders>
          </w:tcPr>
          <w:p>
            <w:pPr>
              <w:pStyle w:val="TableParagraph"/>
              <w:spacing w:line="175" w:lineRule="exact" w:before="21"/>
              <w:ind w:left="83" w:right="93"/>
              <w:jc w:val="center"/>
              <w:rPr>
                <w:sz w:val="17"/>
              </w:rPr>
            </w:pPr>
            <w:r>
              <w:rPr>
                <w:sz w:val="17"/>
              </w:rPr>
              <w:t>91Q2 - 00Q4</w:t>
            </w:r>
          </w:p>
        </w:tc>
        <w:tc>
          <w:tcPr>
            <w:tcW w:w="1050" w:type="dxa"/>
          </w:tcPr>
          <w:p>
            <w:pPr>
              <w:pStyle w:val="TableParagraph"/>
              <w:spacing w:line="175" w:lineRule="exact" w:before="21"/>
              <w:ind w:left="351"/>
              <w:rPr>
                <w:sz w:val="17"/>
              </w:rPr>
            </w:pPr>
            <w:r>
              <w:rPr>
                <w:sz w:val="17"/>
              </w:rPr>
              <w:t>2.74</w:t>
            </w:r>
          </w:p>
        </w:tc>
        <w:tc>
          <w:tcPr>
            <w:tcW w:w="818" w:type="dxa"/>
          </w:tcPr>
          <w:p>
            <w:pPr>
              <w:pStyle w:val="TableParagraph"/>
              <w:spacing w:line="175" w:lineRule="exact" w:before="21"/>
              <w:ind w:left="242" w:right="237"/>
              <w:jc w:val="center"/>
              <w:rPr>
                <w:sz w:val="17"/>
              </w:rPr>
            </w:pPr>
            <w:r>
              <w:rPr>
                <w:sz w:val="17"/>
              </w:rPr>
              <w:t>2.47</w:t>
            </w:r>
          </w:p>
        </w:tc>
        <w:tc>
          <w:tcPr>
            <w:tcW w:w="1384" w:type="dxa"/>
            <w:tcBorders>
              <w:right w:val="single" w:sz="12" w:space="0" w:color="000000"/>
            </w:tcBorders>
          </w:tcPr>
          <w:p>
            <w:pPr>
              <w:pStyle w:val="TableParagraph"/>
              <w:spacing w:line="175" w:lineRule="exact" w:before="21"/>
              <w:ind w:right="513"/>
              <w:jc w:val="right"/>
              <w:rPr>
                <w:sz w:val="17"/>
              </w:rPr>
            </w:pPr>
            <w:r>
              <w:rPr>
                <w:sz w:val="17"/>
              </w:rPr>
              <w:t>0.53</w:t>
            </w:r>
          </w:p>
        </w:tc>
        <w:tc>
          <w:tcPr>
            <w:tcW w:w="1151" w:type="dxa"/>
            <w:tcBorders>
              <w:left w:val="single" w:sz="12" w:space="0" w:color="000000"/>
            </w:tcBorders>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03"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6" w:hRule="atLeast"/>
        </w:trPr>
        <w:tc>
          <w:tcPr>
            <w:tcW w:w="1014" w:type="dxa"/>
            <w:tcBorders>
              <w:right w:val="single" w:sz="12" w:space="0" w:color="000000"/>
            </w:tcBorders>
          </w:tcPr>
          <w:p>
            <w:pPr>
              <w:pStyle w:val="TableParagraph"/>
              <w:spacing w:line="175" w:lineRule="exact" w:before="21"/>
              <w:ind w:left="317" w:right="329"/>
              <w:jc w:val="center"/>
              <w:rPr>
                <w:sz w:val="17"/>
              </w:rPr>
            </w:pPr>
            <w:r>
              <w:rPr>
                <w:sz w:val="17"/>
              </w:rPr>
              <w:t>Italy</w:t>
            </w:r>
          </w:p>
        </w:tc>
        <w:tc>
          <w:tcPr>
            <w:tcW w:w="1129" w:type="dxa"/>
            <w:tcBorders>
              <w:left w:val="single" w:sz="12" w:space="0" w:color="000000"/>
            </w:tcBorders>
          </w:tcPr>
          <w:p>
            <w:pPr>
              <w:pStyle w:val="TableParagraph"/>
              <w:spacing w:line="175" w:lineRule="exact" w:before="21"/>
              <w:ind w:left="83" w:right="93"/>
              <w:jc w:val="center"/>
              <w:rPr>
                <w:sz w:val="17"/>
              </w:rPr>
            </w:pPr>
            <w:r>
              <w:rPr>
                <w:sz w:val="17"/>
              </w:rPr>
              <w:t>90Q1 - 01Q1</w:t>
            </w:r>
          </w:p>
        </w:tc>
        <w:tc>
          <w:tcPr>
            <w:tcW w:w="1050" w:type="dxa"/>
          </w:tcPr>
          <w:p>
            <w:pPr>
              <w:pStyle w:val="TableParagraph"/>
              <w:spacing w:line="175" w:lineRule="exact" w:before="21"/>
              <w:ind w:left="351"/>
              <w:rPr>
                <w:sz w:val="17"/>
              </w:rPr>
            </w:pPr>
            <w:r>
              <w:rPr>
                <w:sz w:val="17"/>
              </w:rPr>
              <w:t>4.72</w:t>
            </w:r>
          </w:p>
        </w:tc>
        <w:tc>
          <w:tcPr>
            <w:tcW w:w="818" w:type="dxa"/>
          </w:tcPr>
          <w:p>
            <w:pPr>
              <w:pStyle w:val="TableParagraph"/>
              <w:spacing w:line="175" w:lineRule="exact" w:before="21"/>
              <w:ind w:left="242" w:right="237"/>
              <w:jc w:val="center"/>
              <w:rPr>
                <w:sz w:val="17"/>
              </w:rPr>
            </w:pPr>
            <w:r>
              <w:rPr>
                <w:sz w:val="17"/>
              </w:rPr>
              <w:t>3.88</w:t>
            </w:r>
          </w:p>
        </w:tc>
        <w:tc>
          <w:tcPr>
            <w:tcW w:w="1384" w:type="dxa"/>
            <w:tcBorders>
              <w:right w:val="single" w:sz="12" w:space="0" w:color="000000"/>
            </w:tcBorders>
          </w:tcPr>
          <w:p>
            <w:pPr>
              <w:pStyle w:val="TableParagraph"/>
              <w:spacing w:line="175" w:lineRule="exact" w:before="21"/>
              <w:ind w:right="513"/>
              <w:jc w:val="right"/>
              <w:rPr>
                <w:sz w:val="17"/>
              </w:rPr>
            </w:pPr>
            <w:r>
              <w:rPr>
                <w:sz w:val="17"/>
              </w:rPr>
              <w:t>0.46</w:t>
            </w:r>
          </w:p>
        </w:tc>
        <w:tc>
          <w:tcPr>
            <w:tcW w:w="1151" w:type="dxa"/>
            <w:tcBorders>
              <w:left w:val="single" w:sz="12" w:space="0" w:color="000000"/>
            </w:tcBorders>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03"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6" w:hRule="atLeast"/>
        </w:trPr>
        <w:tc>
          <w:tcPr>
            <w:tcW w:w="1014" w:type="dxa"/>
            <w:tcBorders>
              <w:right w:val="single" w:sz="12" w:space="0" w:color="000000"/>
            </w:tcBorders>
          </w:tcPr>
          <w:p>
            <w:pPr>
              <w:pStyle w:val="TableParagraph"/>
              <w:spacing w:line="175" w:lineRule="exact" w:before="21"/>
              <w:ind w:left="319"/>
              <w:rPr>
                <w:sz w:val="17"/>
              </w:rPr>
            </w:pPr>
            <w:r>
              <w:rPr>
                <w:sz w:val="17"/>
              </w:rPr>
              <w:t>Japan</w:t>
            </w:r>
          </w:p>
        </w:tc>
        <w:tc>
          <w:tcPr>
            <w:tcW w:w="1129" w:type="dxa"/>
            <w:tcBorders>
              <w:left w:val="single" w:sz="12" w:space="0" w:color="000000"/>
            </w:tcBorders>
          </w:tcPr>
          <w:p>
            <w:pPr>
              <w:pStyle w:val="TableParagraph"/>
              <w:spacing w:line="175" w:lineRule="exact" w:before="21"/>
              <w:ind w:left="83" w:right="93"/>
              <w:jc w:val="center"/>
              <w:rPr>
                <w:sz w:val="17"/>
              </w:rPr>
            </w:pPr>
            <w:r>
              <w:rPr>
                <w:sz w:val="17"/>
              </w:rPr>
              <w:t>90Q2 - 97Q1</w:t>
            </w:r>
          </w:p>
        </w:tc>
        <w:tc>
          <w:tcPr>
            <w:tcW w:w="1050" w:type="dxa"/>
          </w:tcPr>
          <w:p>
            <w:pPr>
              <w:pStyle w:val="TableParagraph"/>
              <w:spacing w:line="175" w:lineRule="exact" w:before="21"/>
              <w:ind w:left="351"/>
              <w:rPr>
                <w:sz w:val="17"/>
              </w:rPr>
            </w:pPr>
            <w:r>
              <w:rPr>
                <w:sz w:val="17"/>
              </w:rPr>
              <w:t>1.27</w:t>
            </w:r>
          </w:p>
        </w:tc>
        <w:tc>
          <w:tcPr>
            <w:tcW w:w="818" w:type="dxa"/>
          </w:tcPr>
          <w:p>
            <w:pPr>
              <w:pStyle w:val="TableParagraph"/>
              <w:spacing w:line="175" w:lineRule="exact" w:before="21"/>
              <w:ind w:left="242" w:right="237"/>
              <w:jc w:val="center"/>
              <w:rPr>
                <w:sz w:val="17"/>
              </w:rPr>
            </w:pPr>
            <w:r>
              <w:rPr>
                <w:sz w:val="17"/>
              </w:rPr>
              <w:t>1.33</w:t>
            </w:r>
          </w:p>
        </w:tc>
        <w:tc>
          <w:tcPr>
            <w:tcW w:w="1384" w:type="dxa"/>
            <w:tcBorders>
              <w:right w:val="single" w:sz="12" w:space="0" w:color="000000"/>
            </w:tcBorders>
          </w:tcPr>
          <w:p>
            <w:pPr>
              <w:pStyle w:val="TableParagraph"/>
              <w:spacing w:line="175" w:lineRule="exact" w:before="21"/>
              <w:ind w:right="513"/>
              <w:jc w:val="right"/>
              <w:rPr>
                <w:sz w:val="17"/>
              </w:rPr>
            </w:pPr>
            <w:r>
              <w:rPr>
                <w:sz w:val="17"/>
              </w:rPr>
              <w:t>0.74</w:t>
            </w:r>
          </w:p>
        </w:tc>
        <w:tc>
          <w:tcPr>
            <w:tcW w:w="1151" w:type="dxa"/>
            <w:tcBorders>
              <w:left w:val="single" w:sz="12" w:space="0" w:color="000000"/>
            </w:tcBorders>
          </w:tcPr>
          <w:p>
            <w:pPr>
              <w:pStyle w:val="TableParagraph"/>
              <w:spacing w:line="175" w:lineRule="exact" w:before="21"/>
              <w:ind w:left="89" w:right="108"/>
              <w:jc w:val="center"/>
              <w:rPr>
                <w:sz w:val="17"/>
              </w:rPr>
            </w:pPr>
            <w:r>
              <w:rPr>
                <w:sz w:val="17"/>
              </w:rPr>
              <w:t>97Q1 - 01Q1</w:t>
            </w:r>
          </w:p>
        </w:tc>
        <w:tc>
          <w:tcPr>
            <w:tcW w:w="1102" w:type="dxa"/>
          </w:tcPr>
          <w:p>
            <w:pPr>
              <w:pStyle w:val="TableParagraph"/>
              <w:spacing w:line="175" w:lineRule="exact" w:before="21"/>
              <w:ind w:left="373"/>
              <w:rPr>
                <w:sz w:val="17"/>
              </w:rPr>
            </w:pPr>
            <w:r>
              <w:rPr>
                <w:sz w:val="17"/>
              </w:rPr>
              <w:t>0.15</w:t>
            </w:r>
          </w:p>
        </w:tc>
        <w:tc>
          <w:tcPr>
            <w:tcW w:w="832" w:type="dxa"/>
          </w:tcPr>
          <w:p>
            <w:pPr>
              <w:pStyle w:val="TableParagraph"/>
              <w:spacing w:line="175" w:lineRule="exact" w:before="21"/>
              <w:ind w:right="253"/>
              <w:jc w:val="right"/>
              <w:rPr>
                <w:sz w:val="17"/>
              </w:rPr>
            </w:pPr>
            <w:r>
              <w:rPr>
                <w:sz w:val="17"/>
              </w:rPr>
              <w:t>0.30</w:t>
            </w:r>
          </w:p>
        </w:tc>
        <w:tc>
          <w:tcPr>
            <w:tcW w:w="1383" w:type="dxa"/>
            <w:tcBorders>
              <w:right w:val="single" w:sz="12" w:space="0" w:color="000000"/>
            </w:tcBorders>
          </w:tcPr>
          <w:p>
            <w:pPr>
              <w:pStyle w:val="TableParagraph"/>
              <w:spacing w:line="175" w:lineRule="exact" w:before="21"/>
              <w:ind w:left="543" w:right="487"/>
              <w:jc w:val="center"/>
              <w:rPr>
                <w:sz w:val="17"/>
              </w:rPr>
            </w:pPr>
            <w:r>
              <w:rPr>
                <w:sz w:val="17"/>
              </w:rPr>
              <w:t>0.78</w:t>
            </w:r>
          </w:p>
        </w:tc>
      </w:tr>
      <w:tr>
        <w:trPr>
          <w:trHeight w:val="203"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6" w:hRule="atLeast"/>
        </w:trPr>
        <w:tc>
          <w:tcPr>
            <w:tcW w:w="1014" w:type="dxa"/>
            <w:tcBorders>
              <w:right w:val="single" w:sz="12" w:space="0" w:color="000000"/>
            </w:tcBorders>
          </w:tcPr>
          <w:p>
            <w:pPr>
              <w:pStyle w:val="TableParagraph"/>
              <w:spacing w:line="175" w:lineRule="exact" w:before="21"/>
              <w:ind w:right="47"/>
              <w:jc w:val="right"/>
              <w:rPr>
                <w:sz w:val="17"/>
              </w:rPr>
            </w:pPr>
            <w:r>
              <w:rPr>
                <w:sz w:val="17"/>
              </w:rPr>
              <w:t>New Zealand</w:t>
            </w:r>
          </w:p>
        </w:tc>
        <w:tc>
          <w:tcPr>
            <w:tcW w:w="1129" w:type="dxa"/>
            <w:tcBorders>
              <w:left w:val="single" w:sz="12" w:space="0" w:color="000000"/>
            </w:tcBorders>
          </w:tcPr>
          <w:p>
            <w:pPr>
              <w:pStyle w:val="TableParagraph"/>
              <w:spacing w:line="175" w:lineRule="exact" w:before="21"/>
              <w:ind w:left="83" w:right="93"/>
              <w:jc w:val="center"/>
              <w:rPr>
                <w:sz w:val="17"/>
              </w:rPr>
            </w:pPr>
            <w:r>
              <w:rPr>
                <w:sz w:val="17"/>
              </w:rPr>
              <w:t>89Q2 - 97Q2</w:t>
            </w:r>
          </w:p>
        </w:tc>
        <w:tc>
          <w:tcPr>
            <w:tcW w:w="1050" w:type="dxa"/>
          </w:tcPr>
          <w:p>
            <w:pPr>
              <w:pStyle w:val="TableParagraph"/>
              <w:spacing w:line="175" w:lineRule="exact" w:before="21"/>
              <w:ind w:left="351"/>
              <w:rPr>
                <w:sz w:val="17"/>
              </w:rPr>
            </w:pPr>
            <w:r>
              <w:rPr>
                <w:sz w:val="17"/>
              </w:rPr>
              <w:t>7.04</w:t>
            </w:r>
          </w:p>
        </w:tc>
        <w:tc>
          <w:tcPr>
            <w:tcW w:w="818" w:type="dxa"/>
          </w:tcPr>
          <w:p>
            <w:pPr>
              <w:pStyle w:val="TableParagraph"/>
              <w:spacing w:line="175" w:lineRule="exact" w:before="21"/>
              <w:ind w:left="242" w:right="237"/>
              <w:jc w:val="center"/>
              <w:rPr>
                <w:sz w:val="17"/>
              </w:rPr>
            </w:pPr>
            <w:r>
              <w:rPr>
                <w:sz w:val="17"/>
              </w:rPr>
              <w:t>3.06</w:t>
            </w:r>
          </w:p>
        </w:tc>
        <w:tc>
          <w:tcPr>
            <w:tcW w:w="1384" w:type="dxa"/>
            <w:tcBorders>
              <w:right w:val="single" w:sz="12" w:space="0" w:color="000000"/>
            </w:tcBorders>
          </w:tcPr>
          <w:p>
            <w:pPr>
              <w:pStyle w:val="TableParagraph"/>
              <w:spacing w:line="175" w:lineRule="exact" w:before="21"/>
              <w:ind w:right="513"/>
              <w:jc w:val="right"/>
              <w:rPr>
                <w:sz w:val="17"/>
              </w:rPr>
            </w:pPr>
            <w:r>
              <w:rPr>
                <w:sz w:val="17"/>
              </w:rPr>
              <w:t>1.25</w:t>
            </w:r>
          </w:p>
        </w:tc>
        <w:tc>
          <w:tcPr>
            <w:tcW w:w="1151" w:type="dxa"/>
            <w:tcBorders>
              <w:left w:val="single" w:sz="12" w:space="0" w:color="000000"/>
            </w:tcBorders>
          </w:tcPr>
          <w:p>
            <w:pPr>
              <w:pStyle w:val="TableParagraph"/>
              <w:spacing w:line="175" w:lineRule="exact" w:before="21"/>
              <w:ind w:left="89" w:right="108"/>
              <w:jc w:val="center"/>
              <w:rPr>
                <w:sz w:val="17"/>
              </w:rPr>
            </w:pPr>
            <w:r>
              <w:rPr>
                <w:sz w:val="17"/>
              </w:rPr>
              <w:t>97Q2 - 00Q1</w:t>
            </w:r>
          </w:p>
        </w:tc>
        <w:tc>
          <w:tcPr>
            <w:tcW w:w="1102" w:type="dxa"/>
          </w:tcPr>
          <w:p>
            <w:pPr>
              <w:pStyle w:val="TableParagraph"/>
              <w:spacing w:line="175" w:lineRule="exact" w:before="21"/>
              <w:ind w:left="373"/>
              <w:rPr>
                <w:sz w:val="17"/>
              </w:rPr>
            </w:pPr>
            <w:r>
              <w:rPr>
                <w:sz w:val="17"/>
              </w:rPr>
              <w:t>6.08</w:t>
            </w:r>
          </w:p>
        </w:tc>
        <w:tc>
          <w:tcPr>
            <w:tcW w:w="832" w:type="dxa"/>
          </w:tcPr>
          <w:p>
            <w:pPr>
              <w:pStyle w:val="TableParagraph"/>
              <w:spacing w:line="175" w:lineRule="exact" w:before="21"/>
              <w:ind w:right="253"/>
              <w:jc w:val="right"/>
              <w:rPr>
                <w:sz w:val="17"/>
              </w:rPr>
            </w:pPr>
            <w:r>
              <w:rPr>
                <w:sz w:val="17"/>
              </w:rPr>
              <w:t>0.77</w:t>
            </w:r>
          </w:p>
        </w:tc>
        <w:tc>
          <w:tcPr>
            <w:tcW w:w="1383" w:type="dxa"/>
            <w:tcBorders>
              <w:right w:val="single" w:sz="12" w:space="0" w:color="000000"/>
            </w:tcBorders>
          </w:tcPr>
          <w:p>
            <w:pPr>
              <w:pStyle w:val="TableParagraph"/>
              <w:spacing w:line="175" w:lineRule="exact" w:before="21"/>
              <w:ind w:left="543" w:right="487"/>
              <w:jc w:val="center"/>
              <w:rPr>
                <w:sz w:val="17"/>
              </w:rPr>
            </w:pPr>
            <w:r>
              <w:rPr>
                <w:sz w:val="17"/>
              </w:rPr>
              <w:t>0.81</w:t>
            </w:r>
          </w:p>
        </w:tc>
      </w:tr>
      <w:tr>
        <w:trPr>
          <w:trHeight w:val="203"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16" w:hRule="atLeast"/>
        </w:trPr>
        <w:tc>
          <w:tcPr>
            <w:tcW w:w="1014" w:type="dxa"/>
            <w:tcBorders>
              <w:right w:val="single" w:sz="12" w:space="0" w:color="000000"/>
            </w:tcBorders>
          </w:tcPr>
          <w:p>
            <w:pPr>
              <w:pStyle w:val="TableParagraph"/>
              <w:spacing w:line="175" w:lineRule="exact" w:before="21"/>
              <w:ind w:right="77"/>
              <w:jc w:val="right"/>
              <w:rPr>
                <w:sz w:val="17"/>
              </w:rPr>
            </w:pPr>
            <w:r>
              <w:rPr>
                <w:sz w:val="17"/>
              </w:rPr>
              <w:t>Switzerland</w:t>
            </w:r>
          </w:p>
        </w:tc>
        <w:tc>
          <w:tcPr>
            <w:tcW w:w="1129" w:type="dxa"/>
            <w:tcBorders>
              <w:left w:val="single" w:sz="12" w:space="0" w:color="000000"/>
            </w:tcBorders>
          </w:tcPr>
          <w:p>
            <w:pPr>
              <w:pStyle w:val="TableParagraph"/>
              <w:spacing w:line="175" w:lineRule="exact" w:before="21"/>
              <w:ind w:left="83" w:right="93"/>
              <w:jc w:val="center"/>
              <w:rPr>
                <w:sz w:val="17"/>
              </w:rPr>
            </w:pPr>
            <w:r>
              <w:rPr>
                <w:sz w:val="17"/>
              </w:rPr>
              <w:t>90Q4 - 94Q4</w:t>
            </w:r>
          </w:p>
        </w:tc>
        <w:tc>
          <w:tcPr>
            <w:tcW w:w="1050" w:type="dxa"/>
          </w:tcPr>
          <w:p>
            <w:pPr>
              <w:pStyle w:val="TableParagraph"/>
              <w:spacing w:line="175" w:lineRule="exact" w:before="21"/>
              <w:ind w:left="351"/>
              <w:rPr>
                <w:sz w:val="17"/>
              </w:rPr>
            </w:pPr>
            <w:r>
              <w:rPr>
                <w:sz w:val="17"/>
              </w:rPr>
              <w:t>1.70</w:t>
            </w:r>
          </w:p>
        </w:tc>
        <w:tc>
          <w:tcPr>
            <w:tcW w:w="818" w:type="dxa"/>
          </w:tcPr>
          <w:p>
            <w:pPr>
              <w:pStyle w:val="TableParagraph"/>
              <w:spacing w:line="175" w:lineRule="exact" w:before="21"/>
              <w:ind w:left="242" w:right="237"/>
              <w:jc w:val="center"/>
              <w:rPr>
                <w:sz w:val="17"/>
              </w:rPr>
            </w:pPr>
            <w:r>
              <w:rPr>
                <w:sz w:val="17"/>
              </w:rPr>
              <w:t>3.66</w:t>
            </w:r>
          </w:p>
        </w:tc>
        <w:tc>
          <w:tcPr>
            <w:tcW w:w="1384" w:type="dxa"/>
            <w:tcBorders>
              <w:right w:val="single" w:sz="12" w:space="0" w:color="000000"/>
            </w:tcBorders>
          </w:tcPr>
          <w:p>
            <w:pPr>
              <w:pStyle w:val="TableParagraph"/>
              <w:spacing w:line="175" w:lineRule="exact" w:before="21"/>
              <w:ind w:right="513"/>
              <w:jc w:val="right"/>
              <w:rPr>
                <w:sz w:val="17"/>
              </w:rPr>
            </w:pPr>
            <w:r>
              <w:rPr>
                <w:sz w:val="17"/>
              </w:rPr>
              <w:t>0.78</w:t>
            </w:r>
          </w:p>
        </w:tc>
        <w:tc>
          <w:tcPr>
            <w:tcW w:w="1151" w:type="dxa"/>
            <w:tcBorders>
              <w:left w:val="single" w:sz="12" w:space="0" w:color="000000"/>
            </w:tcBorders>
          </w:tcPr>
          <w:p>
            <w:pPr>
              <w:pStyle w:val="TableParagraph"/>
              <w:spacing w:line="175" w:lineRule="exact" w:before="21"/>
              <w:ind w:left="89" w:right="108"/>
              <w:jc w:val="center"/>
              <w:rPr>
                <w:sz w:val="17"/>
              </w:rPr>
            </w:pPr>
            <w:r>
              <w:rPr>
                <w:sz w:val="17"/>
              </w:rPr>
              <w:t>94Q4 - 00Q4</w:t>
            </w:r>
          </w:p>
        </w:tc>
        <w:tc>
          <w:tcPr>
            <w:tcW w:w="1102" w:type="dxa"/>
          </w:tcPr>
          <w:p>
            <w:pPr>
              <w:pStyle w:val="TableParagraph"/>
              <w:spacing w:line="175" w:lineRule="exact" w:before="21"/>
              <w:ind w:left="373"/>
              <w:rPr>
                <w:sz w:val="17"/>
              </w:rPr>
            </w:pPr>
            <w:r>
              <w:rPr>
                <w:sz w:val="17"/>
              </w:rPr>
              <w:t>0.70</w:t>
            </w:r>
          </w:p>
        </w:tc>
        <w:tc>
          <w:tcPr>
            <w:tcW w:w="832" w:type="dxa"/>
          </w:tcPr>
          <w:p>
            <w:pPr>
              <w:pStyle w:val="TableParagraph"/>
              <w:spacing w:line="175" w:lineRule="exact" w:before="21"/>
              <w:ind w:right="253"/>
              <w:jc w:val="right"/>
              <w:rPr>
                <w:sz w:val="17"/>
              </w:rPr>
            </w:pPr>
            <w:r>
              <w:rPr>
                <w:sz w:val="17"/>
              </w:rPr>
              <w:t>0.91</w:t>
            </w:r>
          </w:p>
        </w:tc>
        <w:tc>
          <w:tcPr>
            <w:tcW w:w="1383" w:type="dxa"/>
            <w:tcBorders>
              <w:right w:val="single" w:sz="12" w:space="0" w:color="000000"/>
            </w:tcBorders>
          </w:tcPr>
          <w:p>
            <w:pPr>
              <w:pStyle w:val="TableParagraph"/>
              <w:spacing w:line="175" w:lineRule="exact" w:before="21"/>
              <w:ind w:left="543" w:right="487"/>
              <w:jc w:val="center"/>
              <w:rPr>
                <w:sz w:val="17"/>
              </w:rPr>
            </w:pPr>
            <w:r>
              <w:rPr>
                <w:sz w:val="17"/>
              </w:rPr>
              <w:t>0.58</w:t>
            </w:r>
          </w:p>
        </w:tc>
      </w:tr>
      <w:tr>
        <w:trPr>
          <w:trHeight w:val="203" w:hRule="atLeast"/>
        </w:trPr>
        <w:tc>
          <w:tcPr>
            <w:tcW w:w="1014" w:type="dxa"/>
          </w:tcPr>
          <w:p>
            <w:pPr>
              <w:pStyle w:val="TableParagraph"/>
              <w:rPr>
                <w:sz w:val="14"/>
              </w:rPr>
            </w:pPr>
          </w:p>
        </w:tc>
        <w:tc>
          <w:tcPr>
            <w:tcW w:w="1129" w:type="dxa"/>
          </w:tcPr>
          <w:p>
            <w:pPr>
              <w:pStyle w:val="TableParagraph"/>
              <w:rPr>
                <w:sz w:val="14"/>
              </w:rPr>
            </w:pPr>
          </w:p>
        </w:tc>
        <w:tc>
          <w:tcPr>
            <w:tcW w:w="1050" w:type="dxa"/>
          </w:tcPr>
          <w:p>
            <w:pPr>
              <w:pStyle w:val="TableParagraph"/>
              <w:rPr>
                <w:sz w:val="14"/>
              </w:rPr>
            </w:pPr>
          </w:p>
        </w:tc>
        <w:tc>
          <w:tcPr>
            <w:tcW w:w="818" w:type="dxa"/>
          </w:tcPr>
          <w:p>
            <w:pPr>
              <w:pStyle w:val="TableParagraph"/>
              <w:rPr>
                <w:sz w:val="14"/>
              </w:rPr>
            </w:pPr>
          </w:p>
        </w:tc>
        <w:tc>
          <w:tcPr>
            <w:tcW w:w="1384" w:type="dxa"/>
          </w:tcPr>
          <w:p>
            <w:pPr>
              <w:pStyle w:val="TableParagraph"/>
              <w:rPr>
                <w:sz w:val="14"/>
              </w:rPr>
            </w:pPr>
          </w:p>
        </w:tc>
        <w:tc>
          <w:tcPr>
            <w:tcW w:w="1151" w:type="dxa"/>
          </w:tcPr>
          <w:p>
            <w:pPr>
              <w:pStyle w:val="TableParagraph"/>
              <w:rPr>
                <w:sz w:val="14"/>
              </w:rPr>
            </w:pPr>
          </w:p>
        </w:tc>
        <w:tc>
          <w:tcPr>
            <w:tcW w:w="1102" w:type="dxa"/>
          </w:tcPr>
          <w:p>
            <w:pPr>
              <w:pStyle w:val="TableParagraph"/>
              <w:rPr>
                <w:sz w:val="14"/>
              </w:rPr>
            </w:pPr>
          </w:p>
        </w:tc>
        <w:tc>
          <w:tcPr>
            <w:tcW w:w="832" w:type="dxa"/>
          </w:tcPr>
          <w:p>
            <w:pPr>
              <w:pStyle w:val="TableParagraph"/>
              <w:rPr>
                <w:sz w:val="14"/>
              </w:rPr>
            </w:pPr>
          </w:p>
        </w:tc>
        <w:tc>
          <w:tcPr>
            <w:tcW w:w="1383" w:type="dxa"/>
          </w:tcPr>
          <w:p>
            <w:pPr>
              <w:pStyle w:val="TableParagraph"/>
              <w:rPr>
                <w:sz w:val="14"/>
              </w:rPr>
            </w:pPr>
          </w:p>
        </w:tc>
      </w:tr>
      <w:tr>
        <w:trPr>
          <w:trHeight w:val="225" w:hRule="atLeast"/>
        </w:trPr>
        <w:tc>
          <w:tcPr>
            <w:tcW w:w="1014" w:type="dxa"/>
            <w:tcBorders>
              <w:right w:val="single" w:sz="12" w:space="0" w:color="000000"/>
            </w:tcBorders>
          </w:tcPr>
          <w:p>
            <w:pPr>
              <w:pStyle w:val="TableParagraph"/>
              <w:spacing w:line="184" w:lineRule="exact" w:before="21"/>
              <w:ind w:left="317" w:right="287"/>
              <w:jc w:val="center"/>
              <w:rPr>
                <w:sz w:val="17"/>
              </w:rPr>
            </w:pPr>
            <w:r>
              <w:rPr>
                <w:sz w:val="17"/>
              </w:rPr>
              <w:t>US</w:t>
            </w:r>
          </w:p>
        </w:tc>
        <w:tc>
          <w:tcPr>
            <w:tcW w:w="1129" w:type="dxa"/>
            <w:tcBorders>
              <w:left w:val="single" w:sz="12" w:space="0" w:color="000000"/>
            </w:tcBorders>
          </w:tcPr>
          <w:p>
            <w:pPr>
              <w:pStyle w:val="TableParagraph"/>
              <w:spacing w:line="184" w:lineRule="exact" w:before="21"/>
              <w:ind w:left="83" w:right="93"/>
              <w:jc w:val="center"/>
              <w:rPr>
                <w:sz w:val="17"/>
              </w:rPr>
            </w:pPr>
            <w:r>
              <w:rPr>
                <w:sz w:val="17"/>
              </w:rPr>
              <w:t>90Q2 - 00Q2</w:t>
            </w:r>
          </w:p>
        </w:tc>
        <w:tc>
          <w:tcPr>
            <w:tcW w:w="1050" w:type="dxa"/>
          </w:tcPr>
          <w:p>
            <w:pPr>
              <w:pStyle w:val="TableParagraph"/>
              <w:spacing w:line="184" w:lineRule="exact" w:before="21"/>
              <w:ind w:left="351"/>
              <w:rPr>
                <w:sz w:val="17"/>
              </w:rPr>
            </w:pPr>
            <w:r>
              <w:rPr>
                <w:sz w:val="17"/>
              </w:rPr>
              <w:t>2.33</w:t>
            </w:r>
          </w:p>
        </w:tc>
        <w:tc>
          <w:tcPr>
            <w:tcW w:w="818" w:type="dxa"/>
          </w:tcPr>
          <w:p>
            <w:pPr>
              <w:pStyle w:val="TableParagraph"/>
              <w:spacing w:line="184" w:lineRule="exact" w:before="21"/>
              <w:ind w:left="242" w:right="237"/>
              <w:jc w:val="center"/>
              <w:rPr>
                <w:sz w:val="17"/>
              </w:rPr>
            </w:pPr>
            <w:r>
              <w:rPr>
                <w:sz w:val="17"/>
              </w:rPr>
              <w:t>2.97</w:t>
            </w:r>
          </w:p>
        </w:tc>
        <w:tc>
          <w:tcPr>
            <w:tcW w:w="1384" w:type="dxa"/>
            <w:tcBorders>
              <w:right w:val="single" w:sz="12" w:space="0" w:color="000000"/>
            </w:tcBorders>
          </w:tcPr>
          <w:p>
            <w:pPr>
              <w:pStyle w:val="TableParagraph"/>
              <w:spacing w:line="184" w:lineRule="exact" w:before="21"/>
              <w:ind w:right="513"/>
              <w:jc w:val="right"/>
              <w:rPr>
                <w:sz w:val="17"/>
              </w:rPr>
            </w:pPr>
            <w:r>
              <w:rPr>
                <w:sz w:val="17"/>
              </w:rPr>
              <w:t>0.45</w:t>
            </w:r>
          </w:p>
        </w:tc>
        <w:tc>
          <w:tcPr>
            <w:tcW w:w="1151" w:type="dxa"/>
            <w:tcBorders>
              <w:left w:val="single" w:sz="12" w:space="0" w:color="000000"/>
            </w:tcBorders>
          </w:tcPr>
          <w:p>
            <w:pPr>
              <w:pStyle w:val="TableParagraph"/>
              <w:rPr>
                <w:sz w:val="16"/>
              </w:rPr>
            </w:pPr>
          </w:p>
        </w:tc>
        <w:tc>
          <w:tcPr>
            <w:tcW w:w="1102" w:type="dxa"/>
          </w:tcPr>
          <w:p>
            <w:pPr>
              <w:pStyle w:val="TableParagraph"/>
              <w:rPr>
                <w:sz w:val="16"/>
              </w:rPr>
            </w:pPr>
          </w:p>
        </w:tc>
        <w:tc>
          <w:tcPr>
            <w:tcW w:w="832" w:type="dxa"/>
          </w:tcPr>
          <w:p>
            <w:pPr>
              <w:pStyle w:val="TableParagraph"/>
              <w:rPr>
                <w:sz w:val="16"/>
              </w:rPr>
            </w:pPr>
          </w:p>
        </w:tc>
        <w:tc>
          <w:tcPr>
            <w:tcW w:w="1383" w:type="dxa"/>
          </w:tcPr>
          <w:p>
            <w:pPr>
              <w:pStyle w:val="TableParagraph"/>
              <w:rPr>
                <w:sz w:val="16"/>
              </w:rPr>
            </w:pPr>
          </w:p>
        </w:tc>
      </w:tr>
      <w:tr>
        <w:trPr>
          <w:trHeight w:val="195" w:hRule="atLeast"/>
        </w:trPr>
        <w:tc>
          <w:tcPr>
            <w:tcW w:w="1014" w:type="dxa"/>
          </w:tcPr>
          <w:p>
            <w:pPr>
              <w:pStyle w:val="TableParagraph"/>
              <w:rPr>
                <w:sz w:val="12"/>
              </w:rPr>
            </w:pPr>
          </w:p>
        </w:tc>
        <w:tc>
          <w:tcPr>
            <w:tcW w:w="1129" w:type="dxa"/>
          </w:tcPr>
          <w:p>
            <w:pPr>
              <w:pStyle w:val="TableParagraph"/>
              <w:rPr>
                <w:sz w:val="12"/>
              </w:rPr>
            </w:pPr>
          </w:p>
        </w:tc>
        <w:tc>
          <w:tcPr>
            <w:tcW w:w="1050" w:type="dxa"/>
          </w:tcPr>
          <w:p>
            <w:pPr>
              <w:pStyle w:val="TableParagraph"/>
              <w:rPr>
                <w:sz w:val="12"/>
              </w:rPr>
            </w:pPr>
          </w:p>
        </w:tc>
        <w:tc>
          <w:tcPr>
            <w:tcW w:w="818" w:type="dxa"/>
          </w:tcPr>
          <w:p>
            <w:pPr>
              <w:pStyle w:val="TableParagraph"/>
              <w:rPr>
                <w:sz w:val="12"/>
              </w:rPr>
            </w:pPr>
          </w:p>
        </w:tc>
        <w:tc>
          <w:tcPr>
            <w:tcW w:w="1384" w:type="dxa"/>
          </w:tcPr>
          <w:p>
            <w:pPr>
              <w:pStyle w:val="TableParagraph"/>
              <w:rPr>
                <w:sz w:val="12"/>
              </w:rPr>
            </w:pPr>
          </w:p>
        </w:tc>
        <w:tc>
          <w:tcPr>
            <w:tcW w:w="1151" w:type="dxa"/>
          </w:tcPr>
          <w:p>
            <w:pPr>
              <w:pStyle w:val="TableParagraph"/>
              <w:rPr>
                <w:sz w:val="12"/>
              </w:rPr>
            </w:pPr>
          </w:p>
        </w:tc>
        <w:tc>
          <w:tcPr>
            <w:tcW w:w="1102" w:type="dxa"/>
          </w:tcPr>
          <w:p>
            <w:pPr>
              <w:pStyle w:val="TableParagraph"/>
              <w:rPr>
                <w:sz w:val="12"/>
              </w:rPr>
            </w:pPr>
          </w:p>
        </w:tc>
        <w:tc>
          <w:tcPr>
            <w:tcW w:w="832" w:type="dxa"/>
          </w:tcPr>
          <w:p>
            <w:pPr>
              <w:pStyle w:val="TableParagraph"/>
              <w:rPr>
                <w:sz w:val="12"/>
              </w:rPr>
            </w:pPr>
          </w:p>
        </w:tc>
        <w:tc>
          <w:tcPr>
            <w:tcW w:w="1383" w:type="dxa"/>
          </w:tcPr>
          <w:p>
            <w:pPr>
              <w:pStyle w:val="TableParagraph"/>
              <w:rPr>
                <w:sz w:val="12"/>
              </w:rPr>
            </w:pPr>
          </w:p>
        </w:tc>
      </w:tr>
      <w:tr>
        <w:trPr>
          <w:trHeight w:val="225" w:hRule="atLeast"/>
        </w:trPr>
        <w:tc>
          <w:tcPr>
            <w:tcW w:w="1014" w:type="dxa"/>
            <w:tcBorders>
              <w:right w:val="single" w:sz="12" w:space="0" w:color="000000"/>
            </w:tcBorders>
          </w:tcPr>
          <w:p>
            <w:pPr>
              <w:pStyle w:val="TableParagraph"/>
              <w:spacing w:line="184" w:lineRule="exact" w:before="21"/>
              <w:ind w:left="317" w:right="287"/>
              <w:jc w:val="center"/>
              <w:rPr>
                <w:sz w:val="17"/>
              </w:rPr>
            </w:pPr>
            <w:r>
              <w:rPr>
                <w:sz w:val="17"/>
              </w:rPr>
              <w:t>UK</w:t>
            </w:r>
          </w:p>
        </w:tc>
        <w:tc>
          <w:tcPr>
            <w:tcW w:w="1129" w:type="dxa"/>
            <w:tcBorders>
              <w:left w:val="single" w:sz="12" w:space="0" w:color="000000"/>
            </w:tcBorders>
          </w:tcPr>
          <w:p>
            <w:pPr>
              <w:pStyle w:val="TableParagraph"/>
              <w:spacing w:line="184" w:lineRule="exact" w:before="21"/>
              <w:ind w:left="83" w:right="93"/>
              <w:jc w:val="center"/>
              <w:rPr>
                <w:sz w:val="17"/>
              </w:rPr>
            </w:pPr>
            <w:r>
              <w:rPr>
                <w:sz w:val="17"/>
              </w:rPr>
              <w:t>88Q4 - 99Q4</w:t>
            </w:r>
          </w:p>
        </w:tc>
        <w:tc>
          <w:tcPr>
            <w:tcW w:w="1050" w:type="dxa"/>
          </w:tcPr>
          <w:p>
            <w:pPr>
              <w:pStyle w:val="TableParagraph"/>
              <w:spacing w:line="184" w:lineRule="exact" w:before="21"/>
              <w:ind w:left="351"/>
              <w:rPr>
                <w:sz w:val="17"/>
              </w:rPr>
            </w:pPr>
            <w:r>
              <w:rPr>
                <w:sz w:val="17"/>
              </w:rPr>
              <w:t>4.42</w:t>
            </w:r>
          </w:p>
        </w:tc>
        <w:tc>
          <w:tcPr>
            <w:tcW w:w="818" w:type="dxa"/>
          </w:tcPr>
          <w:p>
            <w:pPr>
              <w:pStyle w:val="TableParagraph"/>
              <w:spacing w:line="184" w:lineRule="exact" w:before="21"/>
              <w:ind w:left="242" w:right="237"/>
              <w:jc w:val="center"/>
              <w:rPr>
                <w:sz w:val="17"/>
              </w:rPr>
            </w:pPr>
            <w:r>
              <w:rPr>
                <w:sz w:val="17"/>
              </w:rPr>
              <w:t>4.14</w:t>
            </w:r>
          </w:p>
        </w:tc>
        <w:tc>
          <w:tcPr>
            <w:tcW w:w="1384" w:type="dxa"/>
            <w:tcBorders>
              <w:right w:val="single" w:sz="12" w:space="0" w:color="000000"/>
            </w:tcBorders>
          </w:tcPr>
          <w:p>
            <w:pPr>
              <w:pStyle w:val="TableParagraph"/>
              <w:spacing w:line="184" w:lineRule="exact" w:before="21"/>
              <w:ind w:right="513"/>
              <w:jc w:val="right"/>
              <w:rPr>
                <w:sz w:val="17"/>
              </w:rPr>
            </w:pPr>
            <w:r>
              <w:rPr>
                <w:sz w:val="17"/>
              </w:rPr>
              <w:t>0.81</w:t>
            </w:r>
          </w:p>
        </w:tc>
        <w:tc>
          <w:tcPr>
            <w:tcW w:w="1151" w:type="dxa"/>
            <w:tcBorders>
              <w:left w:val="single" w:sz="12" w:space="0" w:color="000000"/>
            </w:tcBorders>
          </w:tcPr>
          <w:p>
            <w:pPr>
              <w:pStyle w:val="TableParagraph"/>
              <w:rPr>
                <w:sz w:val="16"/>
              </w:rPr>
            </w:pPr>
          </w:p>
        </w:tc>
        <w:tc>
          <w:tcPr>
            <w:tcW w:w="1102" w:type="dxa"/>
          </w:tcPr>
          <w:p>
            <w:pPr>
              <w:pStyle w:val="TableParagraph"/>
              <w:rPr>
                <w:sz w:val="16"/>
              </w:rPr>
            </w:pPr>
          </w:p>
        </w:tc>
        <w:tc>
          <w:tcPr>
            <w:tcW w:w="832" w:type="dxa"/>
          </w:tcPr>
          <w:p>
            <w:pPr>
              <w:pStyle w:val="TableParagraph"/>
              <w:rPr>
                <w:sz w:val="16"/>
              </w:rPr>
            </w:pPr>
          </w:p>
        </w:tc>
        <w:tc>
          <w:tcPr>
            <w:tcW w:w="1383" w:type="dxa"/>
          </w:tcPr>
          <w:p>
            <w:pPr>
              <w:pStyle w:val="TableParagraph"/>
              <w:rPr>
                <w:sz w:val="16"/>
              </w:rPr>
            </w:pPr>
          </w:p>
        </w:tc>
      </w:tr>
    </w:tbl>
    <w:p>
      <w:pPr>
        <w:pStyle w:val="BodyText"/>
        <w:rPr>
          <w:b/>
          <w:sz w:val="22"/>
        </w:rPr>
      </w:pPr>
    </w:p>
    <w:p>
      <w:pPr>
        <w:pStyle w:val="BodyText"/>
        <w:rPr>
          <w:b/>
          <w:sz w:val="22"/>
        </w:rPr>
      </w:pPr>
    </w:p>
    <w:p>
      <w:pPr>
        <w:pStyle w:val="BodyText"/>
        <w:rPr>
          <w:b/>
          <w:sz w:val="22"/>
        </w:rPr>
      </w:pPr>
    </w:p>
    <w:p>
      <w:pPr>
        <w:spacing w:line="247" w:lineRule="auto" w:before="188"/>
        <w:ind w:left="115" w:right="86" w:firstLine="0"/>
        <w:jc w:val="left"/>
        <w:rPr>
          <w:sz w:val="19"/>
        </w:rPr>
      </w:pPr>
      <w:r>
        <w:rPr>
          <w:w w:val="105"/>
          <w:sz w:val="19"/>
        </w:rPr>
        <w:t>Note:The cyclical peaks were identified by applying a Hodrick-Prescott filter to GDP data as of June 2002.The results are not sensitive to alternative specifications of the cycle.</w:t>
      </w:r>
    </w:p>
    <w:p>
      <w:pPr>
        <w:pStyle w:val="BodyText"/>
        <w:rPr>
          <w:sz w:val="22"/>
        </w:rPr>
      </w:pPr>
    </w:p>
    <w:p>
      <w:pPr>
        <w:pStyle w:val="BodyText"/>
        <w:rPr>
          <w:sz w:val="22"/>
        </w:rPr>
      </w:pPr>
    </w:p>
    <w:p>
      <w:pPr>
        <w:pStyle w:val="BodyText"/>
        <w:spacing w:before="4"/>
        <w:rPr>
          <w:sz w:val="17"/>
        </w:rPr>
      </w:pPr>
    </w:p>
    <w:p>
      <w:pPr>
        <w:spacing w:before="0"/>
        <w:ind w:left="115" w:right="0" w:firstLine="0"/>
        <w:jc w:val="left"/>
        <w:rPr>
          <w:b/>
          <w:sz w:val="19"/>
        </w:rPr>
      </w:pPr>
      <w:r>
        <w:rPr>
          <w:b/>
          <w:w w:val="105"/>
          <w:sz w:val="19"/>
        </w:rPr>
        <w:t>Chart 2: Real interest rates and inflation volatility over the cycle, 1990s</w:t>
      </w:r>
    </w:p>
    <w:p>
      <w:pPr>
        <w:spacing w:after="0"/>
        <w:jc w:val="left"/>
        <w:rPr>
          <w:sz w:val="19"/>
        </w:rPr>
        <w:sectPr>
          <w:pgSz w:w="11920" w:h="16840"/>
          <w:pgMar w:header="0" w:footer="713" w:top="1420" w:bottom="980" w:left="1040" w:right="760"/>
        </w:sectPr>
      </w:pPr>
    </w:p>
    <w:p>
      <w:pPr>
        <w:spacing w:before="68"/>
        <w:ind w:left="370" w:right="0" w:firstLine="0"/>
        <w:jc w:val="left"/>
        <w:rPr>
          <w:sz w:val="12"/>
        </w:rPr>
      </w:pPr>
      <w:r>
        <w:rPr>
          <w:sz w:val="12"/>
        </w:rPr>
        <w:t>Real Rates (%)</w:t>
      </w:r>
    </w:p>
    <w:p>
      <w:pPr>
        <w:spacing w:before="72"/>
        <w:ind w:left="595" w:right="0" w:firstLine="0"/>
        <w:jc w:val="left"/>
        <w:rPr>
          <w:sz w:val="12"/>
        </w:rPr>
      </w:pPr>
      <w:r>
        <w:rPr/>
        <w:pict>
          <v:group style="position:absolute;margin-left:87.75pt;margin-top:6.576562pt;width:376.9pt;height:159pt;mso-position-horizontal-relative:page;mso-position-vertical-relative:paragraph;z-index:251688960" coordorigin="1755,132" coordsize="7538,3180">
            <v:shape style="position:absolute;left:1755;top:139;width:7530;height:3165" coordorigin="1755,139" coordsize="7530,3165" path="m1785,139l1785,3304m1755,3304l1785,3304m1755,2899l1785,2899m1755,2509l1785,2509m1755,2119l1785,2119m1755,1729l1785,1729m1755,1324l1785,1324m1755,934l1785,934m1755,544l1785,544m1755,139l1785,139m1785,3304l9285,3304e" filled="false" stroked="true" strokeweight=".75pt" strokecolor="#000000">
              <v:path arrowok="t"/>
              <v:stroke dashstyle="solid"/>
            </v:shape>
            <v:shape style="position:absolute;left:2842;top:3289;width:6450;height:2" coordorigin="2843,3289" coordsize="6450,0" path="m2843,3289l2858,3289m3923,3289l3938,3289m4988,3289l5003,3289m6068,3289l6083,3289m7133,3289l7148,3289m8213,3289l8228,3289m9278,3289l9293,3289e" filled="false" stroked="true" strokeweight="1.5pt" strokecolor="#000000">
              <v:path arrowok="t"/>
              <v:stroke dashstyle="solid"/>
            </v:shape>
            <v:shape style="position:absolute;left:6330;top:1294;width:60;height:60" coordorigin="6330,1294" coordsize="60,60" path="m6360,1294l6330,1324,6360,1354,6390,1324,6360,1294xe" filled="true" fillcolor="#000080" stroked="false">
              <v:path arrowok="t"/>
              <v:fill type="solid"/>
            </v:shape>
            <v:shape style="position:absolute;left:6330;top:1294;width:60;height:60" coordorigin="6330,1294" coordsize="60,60" path="m6360,1294l6390,1324,6360,1354,6330,1324,6360,1294xe" filled="false" stroked="true" strokeweight=".75pt" strokecolor="#000080">
              <v:path arrowok="t"/>
              <v:stroke dashstyle="solid"/>
            </v:shape>
            <v:shape style="position:absolute;left:5445;top:1669;width:60;height:75" coordorigin="5445,1669" coordsize="60,75" path="m5475,1669l5445,1699,5475,1744,5505,1699,5475,1669xe" filled="true" fillcolor="#000080" stroked="false">
              <v:path arrowok="t"/>
              <v:fill type="solid"/>
            </v:shape>
            <v:shape style="position:absolute;left:5445;top:1669;width:60;height:75" coordorigin="5445,1669" coordsize="60,75" path="m5475,1669l5505,1699,5475,1744,5445,1699,5475,1669xe" filled="false" stroked="true" strokeweight=".75pt" strokecolor="#000080">
              <v:path arrowok="t"/>
              <v:stroke dashstyle="solid"/>
            </v:shape>
            <v:shape style="position:absolute;left:4800;top:1879;width:75;height:60" coordorigin="4800,1879" coordsize="75,60" path="m4845,1879l4800,1909,4845,1939,4875,1909,4845,1879xe" filled="true" fillcolor="#000080" stroked="false">
              <v:path arrowok="t"/>
              <v:fill type="solid"/>
            </v:shape>
            <v:shape style="position:absolute;left:4800;top:1879;width:75;height:60" coordorigin="4800,1879" coordsize="75,60" path="m4845,1879l4875,1909,4845,1939,4800,1909,4845,1879xe" filled="false" stroked="true" strokeweight=".75pt" strokecolor="#000080">
              <v:path arrowok="t"/>
              <v:stroke dashstyle="solid"/>
            </v:shape>
            <v:shape style="position:absolute;left:5145;top:2464;width:60;height:75" coordorigin="5145,2464" coordsize="60,75" path="m5175,2464l5145,2509,5175,2539,5205,2509,5175,2464xe" filled="true" fillcolor="#000080" stroked="false">
              <v:path arrowok="t"/>
              <v:fill type="solid"/>
            </v:shape>
            <v:shape style="position:absolute;left:5145;top:2464;width:60;height:75" coordorigin="5145,2464" coordsize="60,75" path="m5175,2464l5205,2509,5175,2539,5145,2509,5175,2464xe" filled="false" stroked="true" strokeweight=".75pt" strokecolor="#000080">
              <v:path arrowok="t"/>
              <v:stroke dashstyle="solid"/>
            </v:shape>
            <v:shape style="position:absolute;left:3945;top:1564;width:60;height:60" coordorigin="3945,1564" coordsize="60,60" path="m3975,1564l3945,1594,3975,1624,4005,1594,3975,1564xe" filled="true" fillcolor="#000080" stroked="false">
              <v:path arrowok="t"/>
              <v:fill type="solid"/>
            </v:shape>
            <v:shape style="position:absolute;left:3945;top:1564;width:60;height:60" coordorigin="3945,1564" coordsize="60,60" path="m3975,1564l4005,1594,3975,1624,3945,1594,3975,1564xe" filled="false" stroked="true" strokeweight=".75pt" strokecolor="#000080">
              <v:path arrowok="t"/>
              <v:stroke dashstyle="solid"/>
            </v:shape>
            <v:shape style="position:absolute;left:4575;top:2179;width:75;height:60" coordorigin="4575,2179" coordsize="75,60" path="m4605,2179l4575,2209,4605,2239,4650,2209,4605,2179xe" filled="true" fillcolor="#000080" stroked="false">
              <v:path arrowok="t"/>
              <v:fill type="solid"/>
            </v:shape>
            <v:shape style="position:absolute;left:4575;top:2179;width:75;height:60" coordorigin="4575,2179" coordsize="75,60" path="m4605,2179l4650,2209,4605,2239,4575,2209,4605,2179xe" filled="false" stroked="true" strokeweight=".75pt" strokecolor="#000080">
              <v:path arrowok="t"/>
              <v:stroke dashstyle="solid"/>
            </v:shape>
            <v:shape style="position:absolute;left:4200;top:1399;width:60;height:75" coordorigin="4200,1399" coordsize="60,75" path="m4230,1399l4200,1429,4230,1474,4260,1429,4230,1399xe" filled="true" fillcolor="#000080" stroked="false">
              <v:path arrowok="t"/>
              <v:fill type="solid"/>
            </v:shape>
            <v:shape style="position:absolute;left:4200;top:1399;width:60;height:75" coordorigin="4200,1399" coordsize="60,75" path="m4230,1399l4260,1429,4230,1474,4200,1429,4230,1399xe" filled="false" stroked="true" strokeweight=".75pt" strokecolor="#000080">
              <v:path arrowok="t"/>
              <v:stroke dashstyle="solid"/>
            </v:shape>
            <v:shape style="position:absolute;left:5685;top:2764;width:75;height:60" coordorigin="5685,2764" coordsize="75,60" path="m5730,2764l5685,2794,5730,2824,5760,2794,5730,2764xe" filled="true" fillcolor="#000080" stroked="false">
              <v:path arrowok="t"/>
              <v:fill type="solid"/>
            </v:shape>
            <v:shape style="position:absolute;left:5685;top:2764;width:75;height:60" coordorigin="5685,2764" coordsize="75,60" path="m5730,2764l5760,2794,5730,2824,5685,2794,5730,2764xe" filled="false" stroked="true" strokeweight=".75pt" strokecolor="#000080">
              <v:path arrowok="t"/>
              <v:stroke dashstyle="solid"/>
            </v:shape>
            <v:shape style="position:absolute;left:5925;top:3214;width:60;height:60" coordorigin="5925,3214" coordsize="60,60" path="m5955,3214l5925,3244,5955,3274,5985,3244,5955,3214xe" filled="true" fillcolor="#000080" stroked="false">
              <v:path arrowok="t"/>
              <v:fill type="solid"/>
            </v:shape>
            <v:shape style="position:absolute;left:5925;top:3214;width:60;height:60" coordorigin="5925,3214" coordsize="60,60" path="m5955,3214l5985,3244,5955,3274,5925,3244,5955,3214xe" filled="false" stroked="true" strokeweight=".75pt" strokecolor="#000080">
              <v:path arrowok="t"/>
              <v:stroke dashstyle="solid"/>
            </v:shape>
            <v:shape style="position:absolute;left:8445;top:484;width:60;height:60" coordorigin="8445,484" coordsize="60,60" path="m8475,484l8445,514,8475,544,8505,514,8475,484xe" filled="true" fillcolor="#000080" stroked="false">
              <v:path arrowok="t"/>
              <v:fill type="solid"/>
            </v:shape>
            <v:shape style="position:absolute;left:8445;top:484;width:60;height:60" coordorigin="8445,484" coordsize="60,60" path="m8475,484l8505,514,8475,544,8445,514,8475,484xe" filled="false" stroked="true" strokeweight=".75pt" strokecolor="#000080">
              <v:path arrowok="t"/>
              <v:stroke dashstyle="solid"/>
            </v:shape>
            <v:shape style="position:absolute;left:6075;top:859;width:60;height:75" coordorigin="6075,859" coordsize="60,75" path="m6105,859l6075,889,6105,934,6135,889,6105,859xe" filled="true" fillcolor="#000080" stroked="false">
              <v:path arrowok="t"/>
              <v:fill type="solid"/>
            </v:shape>
            <v:shape style="position:absolute;left:6075;top:859;width:60;height:75" coordorigin="6075,859" coordsize="60,75" path="m6105,859l6135,889,6105,934,6075,889,6105,859xe" filled="false" stroked="true" strokeweight=".75pt" strokecolor="#000080">
              <v:path arrowok="t"/>
              <v:stroke dashstyle="solid"/>
            </v:shape>
            <v:shape style="position:absolute;left:5925;top:2599;width:75;height:60" coordorigin="5925,2599" coordsize="75,60" path="m5955,2599l5925,2629,5955,2659,6000,2629,5955,2599xe" filled="true" fillcolor="#000080" stroked="false">
              <v:path arrowok="t"/>
              <v:fill type="solid"/>
            </v:shape>
            <v:shape style="position:absolute;left:5925;top:2599;width:75;height:60" coordorigin="5925,2599" coordsize="75,60" path="m5955,2599l6000,2629,5955,2659,5925,2629,5955,2599xe" filled="false" stroked="true" strokeweight=".75pt" strokecolor="#000080">
              <v:path arrowok="t"/>
              <v:stroke dashstyle="solid"/>
            </v:shape>
            <v:shape style="position:absolute;left:4875;top:2989;width:60;height:60" coordorigin="4875,2989" coordsize="60,60" path="m4905,2989l4875,3019,4905,3049,4935,3019,4905,2989xe" filled="true" fillcolor="#000080" stroked="false">
              <v:path arrowok="t"/>
              <v:fill type="solid"/>
            </v:shape>
            <v:shape style="position:absolute;left:4875;top:2989;width:60;height:60" coordorigin="4875,2989" coordsize="60,60" path="m4905,2989l4935,3019,4905,3049,4875,3019,4905,2989xe" filled="false" stroked="true" strokeweight=".75pt" strokecolor="#000080">
              <v:path arrowok="t"/>
              <v:stroke dashstyle="solid"/>
            </v:shape>
            <v:shape style="position:absolute;left:4155;top:2344;width:75;height:75" coordorigin="4155,2344" coordsize="75,75" path="m4185,2344l4155,2389,4185,2419,4230,2389,4185,2344xe" filled="true" fillcolor="#000080" stroked="false">
              <v:path arrowok="t"/>
              <v:fill type="solid"/>
            </v:shape>
            <v:shape style="position:absolute;left:4155;top:2344;width:75;height:75" coordorigin="4155,2344" coordsize="75,75" path="m4185,2344l4230,2389,4185,2419,4155,2389,4185,2344xe" filled="false" stroked="true" strokeweight=".75pt" strokecolor="#000080">
              <v:path arrowok="t"/>
              <v:stroke dashstyle="solid"/>
            </v:shape>
            <v:shape style="position:absolute;left:6120;top:1519;width:60;height:60" coordorigin="6120,1519" coordsize="60,60" path="m6150,1519l6120,1549,6150,1579,6180,1549,6150,1519xe" filled="true" fillcolor="#000080" stroked="false">
              <v:path arrowok="t"/>
              <v:fill type="solid"/>
            </v:shape>
            <v:shape style="position:absolute;left:6120;top:1519;width:60;height:60" coordorigin="6120,1519" coordsize="60,60" path="m6150,1519l6180,1549,6150,1579,6120,1549,6150,1519xe" filled="false" stroked="true" strokeweight=".75pt" strokecolor="#000080">
              <v:path arrowok="t"/>
              <v:stroke dashstyle="solid"/>
            </v:shape>
            <v:line style="position:absolute" from="3975,2389" to="8475,1159" stroked="true" strokeweight=".75pt" strokecolor="#000000">
              <v:stroke dashstyle="solid"/>
            </v:line>
            <v:shape style="position:absolute;left:8279;top:317;width:650;height:96" type="#_x0000_t202" filled="false" stroked="false">
              <v:textbox inset="0,0,0,0">
                <w:txbxContent>
                  <w:p>
                    <w:pPr>
                      <w:spacing w:before="2"/>
                      <w:ind w:left="0" w:right="0" w:firstLine="0"/>
                      <w:jc w:val="left"/>
                      <w:rPr>
                        <w:sz w:val="8"/>
                      </w:rPr>
                    </w:pPr>
                    <w:r>
                      <w:rPr>
                        <w:w w:val="110"/>
                        <w:sz w:val="8"/>
                      </w:rPr>
                      <w:t>NZ 89Q2-97Q2</w:t>
                    </w:r>
                  </w:p>
                </w:txbxContent>
              </v:textbox>
              <w10:wrap type="none"/>
            </v:shape>
            <v:shape style="position:absolute;left:6149;top:782;width:1010;height:486" type="#_x0000_t202" filled="false" stroked="false">
              <v:textbox inset="0,0,0,0">
                <w:txbxContent>
                  <w:p>
                    <w:pPr>
                      <w:spacing w:before="2"/>
                      <w:ind w:left="0" w:right="0" w:firstLine="0"/>
                      <w:jc w:val="left"/>
                      <w:rPr>
                        <w:sz w:val="8"/>
                      </w:rPr>
                    </w:pPr>
                    <w:r>
                      <w:rPr>
                        <w:w w:val="110"/>
                        <w:sz w:val="8"/>
                      </w:rPr>
                      <w:t>NZ 97Q2-00Q1</w:t>
                    </w:r>
                  </w:p>
                  <w:p>
                    <w:pPr>
                      <w:spacing w:line="240" w:lineRule="auto" w:before="0"/>
                      <w:rPr>
                        <w:sz w:val="10"/>
                      </w:rPr>
                    </w:pPr>
                  </w:p>
                  <w:p>
                    <w:pPr>
                      <w:spacing w:line="240" w:lineRule="auto" w:before="0"/>
                      <w:rPr>
                        <w:sz w:val="10"/>
                      </w:rPr>
                    </w:pPr>
                  </w:p>
                  <w:p>
                    <w:pPr>
                      <w:spacing w:before="68"/>
                      <w:ind w:left="314" w:right="0" w:firstLine="0"/>
                      <w:jc w:val="left"/>
                      <w:rPr>
                        <w:sz w:val="8"/>
                      </w:rPr>
                    </w:pPr>
                    <w:r>
                      <w:rPr>
                        <w:w w:val="110"/>
                        <w:sz w:val="8"/>
                      </w:rPr>
                      <w:t>AUS 89Q3-99Q4</w:t>
                    </w:r>
                  </w:p>
                </w:txbxContent>
              </v:textbox>
              <w10:wrap type="none"/>
            </v:shape>
            <v:shape style="position:absolute;left:4034;top:1247;width:545;height:96" type="#_x0000_t202" filled="false" stroked="false">
              <v:textbox inset="0,0,0,0">
                <w:txbxContent>
                  <w:p>
                    <w:pPr>
                      <w:spacing w:before="2"/>
                      <w:ind w:left="0" w:right="0" w:firstLine="0"/>
                      <w:jc w:val="left"/>
                      <w:rPr>
                        <w:sz w:val="8"/>
                      </w:rPr>
                    </w:pPr>
                    <w:r>
                      <w:rPr>
                        <w:w w:val="110"/>
                        <w:sz w:val="8"/>
                      </w:rPr>
                      <w:t>IT 90Q1-01Q1</w:t>
                    </w:r>
                  </w:p>
                </w:txbxContent>
              </v:textbox>
              <w10:wrap type="none"/>
            </v:shape>
            <v:shape style="position:absolute;left:5444;top:1412;width:635;height:96" type="#_x0000_t202" filled="false" stroked="false">
              <v:textbox inset="0,0,0,0">
                <w:txbxContent>
                  <w:p>
                    <w:pPr>
                      <w:spacing w:before="2"/>
                      <w:ind w:left="0" w:right="0" w:firstLine="0"/>
                      <w:jc w:val="left"/>
                      <w:rPr>
                        <w:sz w:val="8"/>
                      </w:rPr>
                    </w:pPr>
                    <w:r>
                      <w:rPr>
                        <w:w w:val="110"/>
                        <w:sz w:val="8"/>
                      </w:rPr>
                      <w:t>UK 88Q4-99Q4</w:t>
                    </w:r>
                  </w:p>
                </w:txbxContent>
              </v:textbox>
              <w10:wrap type="none"/>
            </v:shape>
            <v:shape style="position:absolute;left:3239;top:1487;width:635;height:96" type="#_x0000_t202" filled="false" stroked="false">
              <v:textbox inset="0,0,0,0">
                <w:txbxContent>
                  <w:p>
                    <w:pPr>
                      <w:spacing w:before="2"/>
                      <w:ind w:left="0" w:right="0" w:firstLine="0"/>
                      <w:jc w:val="left"/>
                      <w:rPr>
                        <w:sz w:val="8"/>
                      </w:rPr>
                    </w:pPr>
                    <w:r>
                      <w:rPr>
                        <w:w w:val="110"/>
                        <w:sz w:val="8"/>
                      </w:rPr>
                      <w:t>FR 90Q3-00Q4</w:t>
                    </w:r>
                    <w:r>
                      <w:rPr>
                        <w:sz w:val="8"/>
                      </w:rPr>
                      <w:t> </w:t>
                    </w:r>
                  </w:p>
                </w:txbxContent>
              </v:textbox>
              <w10:wrap type="none"/>
            </v:shape>
            <v:shape style="position:absolute;left:3899;top:1577;width:1475;height:606" type="#_x0000_t202" filled="false" stroked="false">
              <v:textbox inset="0,0,0,0">
                <w:txbxContent>
                  <w:p>
                    <w:pPr>
                      <w:spacing w:line="429" w:lineRule="auto" w:before="2"/>
                      <w:ind w:left="269" w:right="0" w:firstLine="510"/>
                      <w:jc w:val="left"/>
                      <w:rPr>
                        <w:sz w:val="8"/>
                      </w:rPr>
                    </w:pPr>
                    <w:r>
                      <w:rPr>
                        <w:w w:val="110"/>
                        <w:sz w:val="8"/>
                      </w:rPr>
                      <w:t>CAN 90Q1-00Q3 BEL 92Q1-98Q2</w:t>
                    </w:r>
                  </w:p>
                  <w:p>
                    <w:pPr>
                      <w:spacing w:line="240" w:lineRule="auto" w:before="0"/>
                      <w:rPr>
                        <w:sz w:val="10"/>
                      </w:rPr>
                    </w:pPr>
                  </w:p>
                  <w:p>
                    <w:pPr>
                      <w:spacing w:before="66"/>
                      <w:ind w:left="0" w:right="0" w:firstLine="0"/>
                      <w:jc w:val="left"/>
                      <w:rPr>
                        <w:sz w:val="8"/>
                      </w:rPr>
                    </w:pPr>
                    <w:r>
                      <w:rPr>
                        <w:w w:val="110"/>
                        <w:sz w:val="8"/>
                      </w:rPr>
                      <w:t>GER 91Q2-00Q4</w:t>
                    </w:r>
                  </w:p>
                </w:txbxContent>
              </v:textbox>
              <w10:wrap type="none"/>
            </v:shape>
            <v:shape style="position:absolute;left:3569;top:2432;width:650;height:96" type="#_x0000_t202" filled="false" stroked="false">
              <v:textbox inset="0,0,0,0">
                <w:txbxContent>
                  <w:p>
                    <w:pPr>
                      <w:spacing w:before="2"/>
                      <w:ind w:left="0" w:right="0" w:firstLine="0"/>
                      <w:jc w:val="left"/>
                      <w:rPr>
                        <w:sz w:val="8"/>
                      </w:rPr>
                    </w:pPr>
                    <w:r>
                      <w:rPr>
                        <w:w w:val="110"/>
                        <w:sz w:val="8"/>
                      </w:rPr>
                      <w:t>US 90Q2-00Q2</w:t>
                    </w:r>
                    <w:r>
                      <w:rPr>
                        <w:sz w:val="8"/>
                      </w:rPr>
                      <w:t> </w:t>
                    </w:r>
                  </w:p>
                </w:txbxContent>
              </v:textbox>
              <w10:wrap type="none"/>
            </v:shape>
            <v:shape style="position:absolute;left:5249;top:2387;width:680;height:96" type="#_x0000_t202" filled="false" stroked="false">
              <v:textbox inset="0,0,0,0">
                <w:txbxContent>
                  <w:p>
                    <w:pPr>
                      <w:spacing w:before="2"/>
                      <w:ind w:left="0" w:right="0" w:firstLine="0"/>
                      <w:jc w:val="left"/>
                      <w:rPr>
                        <w:sz w:val="8"/>
                      </w:rPr>
                    </w:pPr>
                    <w:r>
                      <w:rPr>
                        <w:w w:val="110"/>
                        <w:sz w:val="8"/>
                      </w:rPr>
                      <w:t>BEL 98Q2-00Q4</w:t>
                    </w:r>
                  </w:p>
                </w:txbxContent>
              </v:textbox>
              <w10:wrap type="none"/>
            </v:shape>
            <v:shape style="position:absolute;left:6014;top:2492;width:710;height:96" type="#_x0000_t202" filled="false" stroked="false">
              <v:textbox inset="0,0,0,0">
                <w:txbxContent>
                  <w:p>
                    <w:pPr>
                      <w:spacing w:before="2"/>
                      <w:ind w:left="0" w:right="0" w:firstLine="0"/>
                      <w:jc w:val="left"/>
                      <w:rPr>
                        <w:sz w:val="8"/>
                      </w:rPr>
                    </w:pPr>
                    <w:r>
                      <w:rPr>
                        <w:w w:val="110"/>
                        <w:sz w:val="8"/>
                      </w:rPr>
                      <w:t>SWZ 90Q4-94Q4</w:t>
                    </w:r>
                  </w:p>
                </w:txbxContent>
              </v:textbox>
              <w10:wrap type="none"/>
            </v:shape>
            <v:shape style="position:absolute;left:4979;top:2732;width:665;height:96" type="#_x0000_t202" filled="false" stroked="false">
              <v:textbox inset="0,0,0,0">
                <w:txbxContent>
                  <w:p>
                    <w:pPr>
                      <w:spacing w:before="2"/>
                      <w:ind w:left="0" w:right="0" w:firstLine="0"/>
                      <w:jc w:val="left"/>
                      <w:rPr>
                        <w:sz w:val="8"/>
                      </w:rPr>
                    </w:pPr>
                    <w:r>
                      <w:rPr>
                        <w:w w:val="110"/>
                        <w:sz w:val="8"/>
                      </w:rPr>
                      <w:t>JAP 90Q2-97Q1</w:t>
                    </w:r>
                  </w:p>
                </w:txbxContent>
              </v:textbox>
              <w10:wrap type="none"/>
            </v:shape>
            <v:shape style="position:absolute;left:4184;top:3032;width:740;height:96" type="#_x0000_t202" filled="false" stroked="false">
              <v:textbox inset="0,0,0,0">
                <w:txbxContent>
                  <w:p>
                    <w:pPr>
                      <w:spacing w:before="2"/>
                      <w:ind w:left="0" w:right="0" w:firstLine="0"/>
                      <w:jc w:val="left"/>
                      <w:rPr>
                        <w:sz w:val="8"/>
                      </w:rPr>
                    </w:pPr>
                    <w:r>
                      <w:rPr>
                        <w:w w:val="110"/>
                        <w:sz w:val="8"/>
                      </w:rPr>
                      <w:t>SWZ 94Q4-00Q4</w:t>
                    </w:r>
                    <w:r>
                      <w:rPr>
                        <w:sz w:val="8"/>
                      </w:rPr>
                      <w:t> </w:t>
                    </w:r>
                  </w:p>
                </w:txbxContent>
              </v:textbox>
              <w10:wrap type="none"/>
            </v:shape>
            <v:shape style="position:absolute;left:6014;top:3152;width:620;height:96" type="#_x0000_t202" filled="false" stroked="false">
              <v:textbox inset="0,0,0,0">
                <w:txbxContent>
                  <w:p>
                    <w:pPr>
                      <w:spacing w:before="2"/>
                      <w:ind w:left="0" w:right="0" w:firstLine="0"/>
                      <w:jc w:val="left"/>
                      <w:rPr>
                        <w:sz w:val="8"/>
                      </w:rPr>
                    </w:pPr>
                    <w:r>
                      <w:rPr>
                        <w:w w:val="110"/>
                        <w:sz w:val="8"/>
                      </w:rPr>
                      <w:t>JAP 97Q1-01Q1</w:t>
                    </w:r>
                  </w:p>
                </w:txbxContent>
              </v:textbox>
              <w10:wrap type="none"/>
            </v:shape>
            <w10:wrap type="none"/>
          </v:group>
        </w:pict>
      </w:r>
      <w:r>
        <w:rPr>
          <w:w w:val="99"/>
          <w:sz w:val="12"/>
        </w:rPr>
        <w:t>8</w:t>
      </w:r>
    </w:p>
    <w:p>
      <w:pPr>
        <w:pStyle w:val="BodyText"/>
        <w:rPr>
          <w:sz w:val="15"/>
        </w:rPr>
      </w:pPr>
    </w:p>
    <w:p>
      <w:pPr>
        <w:spacing w:before="94"/>
        <w:ind w:left="595" w:right="0" w:firstLine="0"/>
        <w:jc w:val="left"/>
        <w:rPr>
          <w:sz w:val="12"/>
        </w:rPr>
      </w:pPr>
      <w:r>
        <w:rPr>
          <w:w w:val="99"/>
          <w:sz w:val="12"/>
        </w:rPr>
        <w:t>7</w:t>
      </w:r>
    </w:p>
    <w:p>
      <w:pPr>
        <w:pStyle w:val="BodyText"/>
        <w:spacing w:before="9"/>
        <w:rPr>
          <w:sz w:val="13"/>
        </w:rPr>
      </w:pPr>
    </w:p>
    <w:p>
      <w:pPr>
        <w:spacing w:before="94"/>
        <w:ind w:left="595" w:right="0" w:firstLine="0"/>
        <w:jc w:val="left"/>
        <w:rPr>
          <w:sz w:val="12"/>
        </w:rPr>
      </w:pPr>
      <w:r>
        <w:rPr>
          <w:w w:val="99"/>
          <w:sz w:val="12"/>
        </w:rPr>
        <w:t>6</w:t>
      </w:r>
    </w:p>
    <w:p>
      <w:pPr>
        <w:pStyle w:val="BodyText"/>
        <w:spacing w:before="8"/>
        <w:rPr>
          <w:sz w:val="13"/>
        </w:rPr>
      </w:pPr>
    </w:p>
    <w:p>
      <w:pPr>
        <w:spacing w:before="94"/>
        <w:ind w:left="595" w:right="0" w:firstLine="0"/>
        <w:jc w:val="left"/>
        <w:rPr>
          <w:sz w:val="12"/>
        </w:rPr>
      </w:pPr>
      <w:r>
        <w:rPr>
          <w:w w:val="99"/>
          <w:sz w:val="12"/>
        </w:rPr>
        <w:t>5</w:t>
      </w:r>
    </w:p>
    <w:p>
      <w:pPr>
        <w:pStyle w:val="BodyText"/>
        <w:spacing w:before="1"/>
        <w:rPr>
          <w:sz w:val="15"/>
        </w:rPr>
      </w:pPr>
    </w:p>
    <w:p>
      <w:pPr>
        <w:spacing w:before="94"/>
        <w:ind w:left="595" w:right="0" w:firstLine="0"/>
        <w:jc w:val="left"/>
        <w:rPr>
          <w:sz w:val="12"/>
        </w:rPr>
      </w:pPr>
      <w:r>
        <w:rPr>
          <w:w w:val="99"/>
          <w:sz w:val="12"/>
        </w:rPr>
        <w:t>4</w:t>
      </w:r>
    </w:p>
    <w:p>
      <w:pPr>
        <w:pStyle w:val="BodyText"/>
        <w:spacing w:before="9"/>
        <w:rPr>
          <w:sz w:val="13"/>
        </w:rPr>
      </w:pPr>
    </w:p>
    <w:p>
      <w:pPr>
        <w:spacing w:before="93"/>
        <w:ind w:left="595" w:right="0" w:firstLine="0"/>
        <w:jc w:val="left"/>
        <w:rPr>
          <w:sz w:val="12"/>
        </w:rPr>
      </w:pPr>
      <w:r>
        <w:rPr>
          <w:w w:val="99"/>
          <w:sz w:val="12"/>
        </w:rPr>
        <w:t>3</w:t>
      </w:r>
    </w:p>
    <w:p>
      <w:pPr>
        <w:pStyle w:val="BodyText"/>
        <w:rPr>
          <w:sz w:val="12"/>
        </w:rPr>
      </w:pPr>
    </w:p>
    <w:p>
      <w:pPr>
        <w:pStyle w:val="BodyText"/>
        <w:spacing w:before="11"/>
        <w:rPr>
          <w:sz w:val="9"/>
        </w:rPr>
      </w:pPr>
    </w:p>
    <w:p>
      <w:pPr>
        <w:spacing w:before="0"/>
        <w:ind w:left="595" w:right="0" w:firstLine="0"/>
        <w:jc w:val="left"/>
        <w:rPr>
          <w:sz w:val="12"/>
        </w:rPr>
      </w:pPr>
      <w:r>
        <w:rPr>
          <w:w w:val="99"/>
          <w:sz w:val="12"/>
        </w:rPr>
        <w:t>2</w:t>
      </w:r>
    </w:p>
    <w:p>
      <w:pPr>
        <w:pStyle w:val="BodyText"/>
        <w:spacing w:before="9"/>
        <w:rPr>
          <w:sz w:val="13"/>
        </w:rPr>
      </w:pPr>
    </w:p>
    <w:p>
      <w:pPr>
        <w:spacing w:before="93"/>
        <w:ind w:left="595" w:right="0" w:firstLine="0"/>
        <w:jc w:val="left"/>
        <w:rPr>
          <w:sz w:val="12"/>
        </w:rPr>
      </w:pPr>
      <w:r>
        <w:rPr>
          <w:w w:val="99"/>
          <w:sz w:val="12"/>
        </w:rPr>
        <w:t>1</w:t>
      </w:r>
    </w:p>
    <w:p>
      <w:pPr>
        <w:pStyle w:val="BodyText"/>
        <w:spacing w:before="1"/>
        <w:rPr>
          <w:sz w:val="15"/>
        </w:rPr>
      </w:pPr>
    </w:p>
    <w:p>
      <w:pPr>
        <w:spacing w:before="94"/>
        <w:ind w:left="595" w:right="0" w:firstLine="0"/>
        <w:jc w:val="left"/>
        <w:rPr>
          <w:sz w:val="12"/>
        </w:rPr>
      </w:pPr>
      <w:r>
        <w:rPr>
          <w:w w:val="99"/>
          <w:sz w:val="12"/>
        </w:rPr>
        <w:t>0</w:t>
      </w:r>
    </w:p>
    <w:p>
      <w:pPr>
        <w:tabs>
          <w:tab w:pos="1734" w:val="left" w:leader="none"/>
          <w:tab w:pos="2814" w:val="left" w:leader="none"/>
          <w:tab w:pos="3879" w:val="left" w:leader="none"/>
          <w:tab w:pos="4959" w:val="left" w:leader="none"/>
          <w:tab w:pos="6069" w:val="left" w:leader="none"/>
          <w:tab w:pos="7104" w:val="left" w:leader="none"/>
          <w:tab w:pos="8169" w:val="left" w:leader="none"/>
        </w:tabs>
        <w:spacing w:before="27"/>
        <w:ind w:left="714" w:right="0" w:firstLine="0"/>
        <w:jc w:val="left"/>
        <w:rPr>
          <w:sz w:val="12"/>
        </w:rPr>
      </w:pPr>
      <w:r>
        <w:rPr>
          <w:sz w:val="12"/>
        </w:rPr>
        <w:t>0</w:t>
        <w:tab/>
      </w:r>
      <w:r>
        <w:rPr>
          <w:spacing w:val="6"/>
          <w:sz w:val="12"/>
        </w:rPr>
        <w:t>0.2</w:t>
        <w:tab/>
        <w:t>0.4</w:t>
        <w:tab/>
      </w:r>
      <w:r>
        <w:rPr>
          <w:spacing w:val="3"/>
          <w:sz w:val="12"/>
        </w:rPr>
        <w:t>0.6</w:t>
        <w:tab/>
      </w:r>
      <w:r>
        <w:rPr>
          <w:sz w:val="12"/>
        </w:rPr>
        <w:t>0.8</w:t>
        <w:tab/>
        <w:t>1</w:t>
        <w:tab/>
        <w:t>1.2</w:t>
        <w:tab/>
      </w:r>
      <w:r>
        <w:rPr>
          <w:spacing w:val="5"/>
          <w:sz w:val="12"/>
        </w:rPr>
        <w:t>1.4</w:t>
      </w:r>
    </w:p>
    <w:p>
      <w:pPr>
        <w:spacing w:before="12"/>
        <w:ind w:left="6309" w:right="0" w:firstLine="0"/>
        <w:jc w:val="left"/>
        <w:rPr>
          <w:sz w:val="12"/>
        </w:rPr>
      </w:pPr>
      <w:r>
        <w:rPr>
          <w:sz w:val="12"/>
        </w:rPr>
        <w:t>Inflation Conditional Volatility (%)</w:t>
      </w:r>
    </w:p>
    <w:p>
      <w:pPr>
        <w:spacing w:line="235" w:lineRule="auto" w:before="98"/>
        <w:ind w:left="115" w:right="5752" w:firstLine="0"/>
        <w:jc w:val="left"/>
        <w:rPr>
          <w:sz w:val="16"/>
        </w:rPr>
      </w:pPr>
      <w:r>
        <w:rPr>
          <w:w w:val="105"/>
          <w:sz w:val="16"/>
        </w:rPr>
        <w:t>Source:</w:t>
      </w:r>
      <w:r>
        <w:rPr>
          <w:spacing w:val="-18"/>
          <w:w w:val="105"/>
          <w:sz w:val="16"/>
        </w:rPr>
        <w:t> </w:t>
      </w:r>
      <w:r>
        <w:rPr>
          <w:w w:val="105"/>
          <w:sz w:val="16"/>
        </w:rPr>
        <w:t>Various.</w:t>
      </w:r>
      <w:r>
        <w:rPr>
          <w:spacing w:val="-17"/>
          <w:w w:val="105"/>
          <w:sz w:val="16"/>
        </w:rPr>
        <w:t> </w:t>
      </w:r>
      <w:r>
        <w:rPr>
          <w:w w:val="105"/>
          <w:sz w:val="16"/>
        </w:rPr>
        <w:t>See</w:t>
      </w:r>
      <w:r>
        <w:rPr>
          <w:spacing w:val="-17"/>
          <w:w w:val="105"/>
          <w:sz w:val="16"/>
        </w:rPr>
        <w:t> </w:t>
      </w:r>
      <w:r>
        <w:rPr>
          <w:w w:val="105"/>
          <w:sz w:val="16"/>
        </w:rPr>
        <w:t>table</w:t>
      </w:r>
      <w:r>
        <w:rPr>
          <w:spacing w:val="-17"/>
          <w:w w:val="105"/>
          <w:sz w:val="16"/>
        </w:rPr>
        <w:t> </w:t>
      </w:r>
      <w:r>
        <w:rPr>
          <w:w w:val="105"/>
          <w:sz w:val="16"/>
        </w:rPr>
        <w:t>1</w:t>
      </w:r>
      <w:r>
        <w:rPr>
          <w:spacing w:val="-18"/>
          <w:w w:val="105"/>
          <w:sz w:val="16"/>
        </w:rPr>
        <w:t> </w:t>
      </w:r>
      <w:r>
        <w:rPr>
          <w:w w:val="105"/>
          <w:sz w:val="16"/>
        </w:rPr>
        <w:t>for</w:t>
      </w:r>
      <w:r>
        <w:rPr>
          <w:spacing w:val="-17"/>
          <w:w w:val="105"/>
          <w:sz w:val="16"/>
        </w:rPr>
        <w:t> </w:t>
      </w:r>
      <w:r>
        <w:rPr>
          <w:w w:val="105"/>
          <w:sz w:val="16"/>
        </w:rPr>
        <w:t>definition</w:t>
      </w:r>
      <w:r>
        <w:rPr>
          <w:spacing w:val="-17"/>
          <w:w w:val="105"/>
          <w:sz w:val="16"/>
        </w:rPr>
        <w:t> </w:t>
      </w:r>
      <w:r>
        <w:rPr>
          <w:w w:val="105"/>
          <w:sz w:val="16"/>
        </w:rPr>
        <w:t>of</w:t>
      </w:r>
      <w:r>
        <w:rPr>
          <w:spacing w:val="-17"/>
          <w:w w:val="105"/>
          <w:sz w:val="16"/>
        </w:rPr>
        <w:t> </w:t>
      </w:r>
      <w:r>
        <w:rPr>
          <w:w w:val="105"/>
          <w:sz w:val="16"/>
        </w:rPr>
        <w:t>cycle</w:t>
      </w:r>
      <w:r>
        <w:rPr>
          <w:spacing w:val="-18"/>
          <w:w w:val="105"/>
          <w:sz w:val="16"/>
        </w:rPr>
        <w:t> </w:t>
      </w:r>
      <w:r>
        <w:rPr>
          <w:w w:val="105"/>
          <w:sz w:val="16"/>
        </w:rPr>
        <w:t>(peak</w:t>
      </w:r>
      <w:r>
        <w:rPr>
          <w:spacing w:val="-17"/>
          <w:w w:val="105"/>
          <w:sz w:val="16"/>
        </w:rPr>
        <w:t> </w:t>
      </w:r>
      <w:r>
        <w:rPr>
          <w:w w:val="105"/>
          <w:sz w:val="16"/>
        </w:rPr>
        <w:t>to</w:t>
      </w:r>
      <w:r>
        <w:rPr>
          <w:spacing w:val="-17"/>
          <w:w w:val="105"/>
          <w:sz w:val="16"/>
        </w:rPr>
        <w:t> </w:t>
      </w:r>
      <w:r>
        <w:rPr>
          <w:w w:val="105"/>
          <w:sz w:val="16"/>
        </w:rPr>
        <w:t>peak) Notes</w:t>
      </w:r>
    </w:p>
    <w:p>
      <w:pPr>
        <w:spacing w:line="235" w:lineRule="auto" w:before="14"/>
        <w:ind w:left="115" w:right="2135" w:firstLine="0"/>
        <w:jc w:val="left"/>
        <w:rPr>
          <w:sz w:val="16"/>
        </w:rPr>
      </w:pPr>
      <w:r>
        <w:rPr>
          <w:spacing w:val="3"/>
          <w:w w:val="105"/>
          <w:sz w:val="16"/>
        </w:rPr>
        <w:t>1. </w:t>
      </w:r>
      <w:r>
        <w:rPr>
          <w:w w:val="105"/>
          <w:sz w:val="16"/>
        </w:rPr>
        <w:t>The </w:t>
      </w:r>
      <w:r>
        <w:rPr>
          <w:spacing w:val="-3"/>
          <w:w w:val="105"/>
          <w:sz w:val="16"/>
        </w:rPr>
        <w:t>conditional volatility </w:t>
      </w:r>
      <w:r>
        <w:rPr>
          <w:w w:val="105"/>
          <w:sz w:val="16"/>
        </w:rPr>
        <w:t>was </w:t>
      </w:r>
      <w:r>
        <w:rPr>
          <w:spacing w:val="-3"/>
          <w:w w:val="105"/>
          <w:sz w:val="16"/>
        </w:rPr>
        <w:t>calculated from </w:t>
      </w:r>
      <w:r>
        <w:rPr>
          <w:w w:val="105"/>
          <w:sz w:val="16"/>
        </w:rPr>
        <w:t>a </w:t>
      </w:r>
      <w:r>
        <w:rPr>
          <w:spacing w:val="-3"/>
          <w:w w:val="105"/>
          <w:sz w:val="16"/>
        </w:rPr>
        <w:t>time series equation </w:t>
      </w:r>
      <w:r>
        <w:rPr>
          <w:w w:val="105"/>
          <w:sz w:val="16"/>
        </w:rPr>
        <w:t>for </w:t>
      </w:r>
      <w:r>
        <w:rPr>
          <w:spacing w:val="-3"/>
          <w:w w:val="105"/>
          <w:sz w:val="16"/>
        </w:rPr>
        <w:t>each country with </w:t>
      </w:r>
      <w:r>
        <w:rPr>
          <w:w w:val="105"/>
          <w:sz w:val="16"/>
        </w:rPr>
        <w:t>the </w:t>
      </w:r>
      <w:r>
        <w:rPr>
          <w:spacing w:val="-3"/>
          <w:w w:val="105"/>
          <w:sz w:val="16"/>
        </w:rPr>
        <w:t>acceleration </w:t>
      </w:r>
      <w:r>
        <w:rPr>
          <w:w w:val="105"/>
          <w:sz w:val="16"/>
        </w:rPr>
        <w:t>in </w:t>
      </w:r>
      <w:r>
        <w:rPr>
          <w:spacing w:val="-3"/>
          <w:w w:val="105"/>
          <w:sz w:val="16"/>
        </w:rPr>
        <w:t>inflation </w:t>
      </w:r>
      <w:r>
        <w:rPr>
          <w:w w:val="105"/>
          <w:sz w:val="16"/>
        </w:rPr>
        <w:t>regressed on a constant, lagged inflation and a time trend. The errors followed a GARCH(1,1) process.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7" w:lineRule="auto" w:before="133"/>
        <w:ind w:left="115" w:right="6301" w:firstLine="0"/>
        <w:jc w:val="left"/>
        <w:rPr>
          <w:b/>
          <w:sz w:val="19"/>
        </w:rPr>
      </w:pPr>
      <w:r>
        <w:rPr>
          <w:b/>
          <w:w w:val="105"/>
          <w:sz w:val="19"/>
        </w:rPr>
        <w:t>Chart 3: Inflation, nominal interest rate and ex-post real rates for the UK</w:t>
      </w:r>
    </w:p>
    <w:p>
      <w:pPr>
        <w:spacing w:line="184" w:lineRule="exact" w:before="105"/>
        <w:ind w:left="790" w:right="0" w:firstLine="0"/>
        <w:jc w:val="left"/>
        <w:rPr>
          <w:sz w:val="19"/>
        </w:rPr>
      </w:pPr>
      <w:r>
        <w:rPr>
          <w:w w:val="105"/>
          <w:sz w:val="19"/>
        </w:rPr>
        <w:t>% annual rates</w:t>
      </w:r>
    </w:p>
    <w:p>
      <w:pPr>
        <w:spacing w:line="215" w:lineRule="exact" w:before="0"/>
        <w:ind w:left="565" w:right="0" w:firstLine="0"/>
        <w:jc w:val="left"/>
        <w:rPr>
          <w:sz w:val="19"/>
        </w:rPr>
      </w:pPr>
      <w:r>
        <w:rPr/>
        <w:pict>
          <v:group style="position:absolute;margin-left:89.250092pt;margin-top:4.564349pt;width:336.75pt;height:163.5pt;mso-position-horizontal-relative:page;mso-position-vertical-relative:paragraph;z-index:251693056" coordorigin="1785,91" coordsize="6735,3270">
            <v:shape style="position:absolute;left:1875;top:98;width:6645;height:3255" coordorigin="1875,99" coordsize="6645,3255" path="m1935,99l1935,3354m1875,3354l1935,3354m1875,2889l1935,2889m1875,2424l1935,2424m1875,1959l1935,1959m1875,1494l1935,1494m1875,1029l1935,1029m1875,564l1935,564m1875,99l1935,99m1935,2424l8520,2424m1935,2424l1935,2364m2610,2424l2610,2364m3285,2424l3285,2364m3960,2424l3960,2364m4635,2424l4635,2364m5280,2424l5280,2364m5955,2424l5955,2364m6630,2424l6630,2364m7305,2424l7305,2364m7980,2424l7980,2364e" filled="false" stroked="true" strokeweight=".75pt" strokecolor="#000000">
              <v:path arrowok="t"/>
              <v:stroke dashstyle="solid"/>
            </v:shape>
            <v:line style="position:absolute" from="1965,939" to="2040,939" stroked="true" strokeweight="1.5pt" strokecolor="#ff00ff">
              <v:stroke dashstyle="solid"/>
            </v:line>
            <v:shape style="position:absolute;left:2040;top:938;width:6450;height:1155" coordorigin="2040,939" coordsize="6450,1155" path="m2040,939l2100,1074m2100,1074l2175,1149m2175,1149l2235,1299m2235,1299l2310,1359m2310,1359l2370,1179m2370,1179l2445,1059m2445,1059l2505,1194m2505,1194l2580,1269m2580,1269l2640,1464m2640,1464l2715,1569m2715,1569l2775,1449m2775,1449l2850,1539m2850,1539l2910,1569m2910,1569l2985,1614m2985,1614l3045,1614m3045,1614l3120,1629m3120,1629l3180,1464m3180,1464l3255,1554m3255,1554l3315,1284m3315,1284l3390,1314m3390,1314l3450,1389m3450,1389l3525,1404m3525,1404l3585,1344m3585,1344l3645,1524m3645,1524l3720,1554m3720,1554l3780,1449m3780,1449l3855,1494m3855,1494l3915,1614m3915,1614l3990,1554m3990,1554l4050,1629m4050,1629l4125,1644m4125,1644l4185,1689m4185,1689l4260,1434m4260,1434l4320,1314m4320,1314l4395,1269m4395,1269l4455,1224m4455,1224l4530,1194m4530,1194l4590,1089m4590,1089l4665,1074m4665,1074l4725,1089m4725,1089l4800,1104m4800,1104l4860,1209m4860,1209l4935,1299m4935,1299l4995,1419m4995,1419l5070,1494m5070,1494l5115,1494m5115,1494l5190,1509m5190,1509l5250,1539m5250,1539l5325,1554m5325,1554l5385,1794m5385,1794l5460,1899m5460,1899l5520,1929m5520,1929l5595,1944m5595,1944l5655,1959m5655,1959l5730,1974m5730,1974l5790,1959m5790,1959l5865,1929m5865,1929l5925,1899m5925,1899l6000,1854m6000,1854l6060,1839m6060,1839l6135,1824m6135,1824l6195,1824m6195,1824l6270,1869m6270,1869l6330,1884m6330,1884l6405,1899m6405,1899l6465,1869m6465,1869l6540,1869m6540,1869l6600,1839m6600,1839l6675,1794m6675,1794l6735,1779m6735,1779l6810,1794m6810,1794l6870,1764m6870,1764l6930,1764m6930,1764l7005,1839m7005,1839l7065,1944m7065,1944l7140,1959m7140,1959l7200,1959m7200,1959l7275,1929m7275,1929l7335,1884m7335,1884l7410,1869m7410,1869l7470,1884m7470,1884l7545,1884m7545,1884l7605,1914m7605,1914l7680,1944m7680,1944l7740,1974m7740,1974l7815,2049m7815,2049l7875,2049m7875,2049l7950,2049m7950,2049l8010,2064m8010,2064l8085,2064m8085,2064l8145,2079m8145,2079l8220,2094m8220,2094l8280,2094m8280,2094l8355,2064m8355,2064l8415,2049m8415,2049l8490,2004e" filled="false" stroked="true" strokeweight="1.5pt" strokecolor="#ff00ff">
              <v:path arrowok="t"/>
              <v:stroke dashstyle="solid"/>
            </v:shape>
            <v:line style="position:absolute" from="1965,759" to="2040,519" stroked="true" strokeweight="1.5pt" strokecolor="#ff0000">
              <v:stroke dashstyle="solid"/>
            </v:line>
            <v:shape style="position:absolute;left:2040;top:518;width:4230;height:1695" coordorigin="2040,519" coordsize="4230,1695" path="m2040,519l2100,999m2100,999l2175,1104m2175,1104l2235,1239m2235,1239l2310,1299m2310,1299l2370,1329m2370,1329l2445,1299m2445,1299l2505,1434m2505,1434l2580,1599m2580,1599l2640,1704m2640,1704l2715,1809m2715,1809l2775,1824m2775,1824l2850,1989m2850,1989l2910,1959m2910,1959l2985,1959m2985,1959l3045,2004m3045,2004l3120,1959m3120,1959l3180,2034m3180,2034l3255,2034m3255,2034l3315,1974m3315,1974l3390,1929m3390,1929l3450,1914m3450,1914l3525,1929m3525,1929l3585,1989m3585,1989l3645,2109m3645,2109l3720,2109m3720,2109l3780,2109m3780,2109l3855,2079m3855,2079l3915,2079m3915,2079l3990,2079m3990,2079l4050,2049m4050,2049l4125,2079m4125,2079l4185,2004m4185,2004l4260,1944m4260,1944l4320,1944m4320,1944l4395,1884m4395,1884l4455,1854m4455,1854l4530,1884m4530,1884l4590,1854m4590,1854l4665,1839m4665,1839l4725,1674m4725,1674l4800,1599m4800,1599l4860,1569m4860,1569l4935,1644m4935,1644l4995,1809m4995,1809l5070,1839m5070,1839l5115,1899m5115,1899l5190,1884m5190,1884l5250,1929m5250,1929l5325,2019m5325,2019l5385,2079m5385,2079l5460,2109m5460,2109l5520,2154m5520,2154l5595,2124m5595,2124l5655,2169m5655,2169l5730,2169m5730,2169l5790,2199m5790,2199l5865,2214m5865,2214l5925,2199m5925,2199l6000,2169m6000,2169l6060,2169m6060,2169l6135,2154m6135,2154l6195,2154m6195,2154l6270,2154e" filled="false" stroked="true" strokeweight="1.5pt" strokecolor="#ff0000">
              <v:path arrowok="t"/>
              <v:stroke dashstyle="solid"/>
            </v:shape>
            <v:rect style="position:absolute;left:6270;top:2138;width:60;height:30" filled="true" fillcolor="#ff0000" stroked="false">
              <v:fill type="solid"/>
            </v:rect>
            <v:shape style="position:absolute;left:6330;top:2123;width:2160;height:120" coordorigin="6330,2124" coordsize="2160,120" path="m6330,2154l6405,2154m6405,2154l6465,2124m6465,2124l6540,2154m6540,2154l6600,2184m6600,2184l6675,2154m6675,2154l6735,2154m6735,2154l6810,2184m6810,2184l6870,2154m6870,2154l6930,2184m6930,2184l7005,2184m7005,2184l7065,2184m7065,2184l7140,2199m7140,2199l7200,2214m7200,2214l7275,2214m7275,2214l7335,2229m7335,2229l7410,2229m7410,2229l7470,2229m7470,2229l7545,2229m7545,2229l7605,2244m7605,2244l7680,2199m7680,2199l7740,2199m7740,2199l7815,2229m7815,2229l7875,2199m7875,2199l7950,2244m7950,2244l8010,2229m8010,2229l8085,2184m8085,2184l8145,2154m8145,2154l8220,2154m8220,2154l8280,2154m8280,2154l8355,2184m8355,2184l8415,2199m8415,2199l8490,2214e" filled="false" stroked="true" strokeweight="1.5pt" strokecolor="#ff0000">
              <v:path arrowok="t"/>
              <v:stroke dashstyle="solid"/>
            </v:shape>
            <v:line style="position:absolute" from="1965,2589" to="2040,2844" stroked="true" strokeweight="1.5pt" strokecolor="#0000ff">
              <v:stroke dashstyle="solid"/>
            </v:line>
            <v:shape style="position:absolute;left:2040;top:1658;width:4230;height:1185" coordorigin="2040,1659" coordsize="4230,1185" path="m2040,2844l2100,2484m2100,2484l2175,2454m2175,2454l2235,2484m2235,2484l2310,2469m2310,2469l2370,2259m2370,2259l2445,2169m2445,2169l2505,2184m2505,2184l2580,2094m2580,2094l2640,2184m2640,2184l2715,2184m2715,2184l2775,2019m2775,2019l2850,1944m2850,1944l2910,2019m2910,2019l2985,2049m2985,2049l3045,2019m3045,2019l3120,2064m3120,2064l3180,1839m3180,1839l3255,1929m3255,1929l3315,1734m3315,1734l3390,1809m3390,1809l3450,1884m3450,1884l3525,1869m3525,1869l3585,1779m3585,1779l3645,1824m3645,1824l3720,1839m3720,1839l3780,1764m3780,1764l3855,1824m3855,1824l3915,1944m3915,1944l3990,1869m3990,1869l4050,1974m4050,1974l4125,1974m4125,1974l4185,2079m4185,2079l4260,1884m4260,1884l4320,1794m4320,1794l4395,1809m4395,1809l4455,1794m4455,1794l4530,1734m4530,1734l4590,1659m4590,1659l4665,1659m4665,1659l4725,1824m4725,1824l4800,1914m4800,1914l4860,2064m4860,2064l4935,2064m4935,2064l4995,2019m4995,2019l5070,2049m5070,2049l5115,2004m5115,2004l5190,2019m5190,2019l5250,2019m5250,2019l5325,1944m5325,1944l5385,2139m5385,2139l5460,2229m5460,2229l5520,2184m5520,2184l5595,2229m5595,2229l5655,2214m5655,2214l5730,2214m5730,2214l5790,2184m5790,2184l5865,2139m5865,2139l5925,2109m5925,2109l6000,2109m6000,2109l6060,2079m6060,2079l6135,2079m6135,2079l6195,2094m6195,2094l6270,2139e" filled="false" stroked="true" strokeweight="1.5pt" strokecolor="#0000ff">
              <v:path arrowok="t"/>
              <v:stroke dashstyle="solid"/>
            </v:shape>
            <v:rect style="position:absolute;left:6270;top:2123;width:60;height:30" filled="true" fillcolor="#0000ff" stroked="false">
              <v:fill type="solid"/>
            </v:rect>
            <v:shape style="position:absolute;left:6330;top:1988;width:2160;height:375" coordorigin="6330,1989" coordsize="2160,375" path="m6330,2139l6405,2169m6405,2169l6465,2169m6465,2169l6540,2139m6540,2139l6600,2079m6600,2079l6675,2049m6675,2049l6735,2019m6735,2019l6810,2019m6810,2019l6870,2034m6870,2034l6930,1989m6930,1989l7005,2079m7005,2079l7065,2184m7065,2184l7140,2184m7140,2184l7200,2169m7200,2169l7275,2124m7275,2124l7335,2079m7335,2079l7410,2064m7410,2064l7470,2079m7470,2079l7545,2079m7545,2079l7605,2094m7605,2094l7680,2169m7680,2169l7740,2199m7740,2199l7815,2244m7815,2244l7875,2274m7875,2274l7950,2229m7950,2229l8010,2259m8010,2259l8085,2304m8085,2304l8145,2349m8145,2349l8220,2364m8220,2364l8280,2364m8280,2364l8355,2304m8355,2304l8415,2259m8415,2259l8490,2214e" filled="false" stroked="true" strokeweight="1.5pt" strokecolor="#0000ff">
              <v:path arrowok="t"/>
              <v:stroke dashstyle="solid"/>
            </v:shape>
            <v:shape style="position:absolute;left:4890;top:323;width:705;height:2145" coordorigin="4890,324" coordsize="705,2145" path="m5250,324l5179,346,5111,408,5050,507,5023,569,4997,639,4973,715,4952,798,4934,887,4919,982,4907,1081,4897,1185,4892,1293,4890,1404,4892,1512,4897,1618,4907,1719,4919,1817,4934,1910,4952,1998,4973,2080,4997,2156,5023,2225,5050,2286,5080,2340,5144,2421,5214,2463,5250,2469,5286,2463,5354,2421,5416,2340,5445,2286,5471,2225,5496,2156,5518,2080,5537,1998,5554,1910,5569,1817,5580,1719,5588,1618,5593,1512,5595,1404,5593,1293,5588,1185,5580,1081,5569,982,5554,887,5537,798,5518,715,5496,639,5471,569,5445,507,5416,453,5354,372,5286,329,5250,324e" filled="false" stroked="true" strokeweight=".75pt" strokecolor="#000000">
              <v:path arrowok="t"/>
              <v:stroke dashstyle="solid"/>
            </v:shape>
            <v:shape style="position:absolute;left:2175;top:570;width:1325;height:216" type="#_x0000_t202" filled="false" stroked="false">
              <v:textbox inset="0,0,0,0">
                <w:txbxContent>
                  <w:p>
                    <w:pPr>
                      <w:spacing w:line="214" w:lineRule="exact" w:before="0"/>
                      <w:ind w:left="0" w:right="0" w:firstLine="0"/>
                      <w:jc w:val="left"/>
                      <w:rPr>
                        <w:sz w:val="19"/>
                      </w:rPr>
                    </w:pPr>
                    <w:r>
                      <w:rPr>
                        <w:spacing w:val="-3"/>
                        <w:w w:val="105"/>
                        <w:sz w:val="19"/>
                      </w:rPr>
                      <w:t>Inflation </w:t>
                    </w:r>
                    <w:r>
                      <w:rPr>
                        <w:w w:val="105"/>
                        <w:sz w:val="19"/>
                      </w:rPr>
                      <w:t>(</w:t>
                    </w:r>
                    <w:r>
                      <w:rPr>
                        <w:spacing w:val="-30"/>
                        <w:w w:val="105"/>
                        <w:sz w:val="19"/>
                      </w:rPr>
                      <w:t> </w:t>
                    </w:r>
                    <w:r>
                      <w:rPr>
                        <w:spacing w:val="-3"/>
                        <w:w w:val="105"/>
                        <w:sz w:val="19"/>
                      </w:rPr>
                      <w:t>RPIX)</w:t>
                    </w:r>
                  </w:p>
                </w:txbxContent>
              </v:textbox>
              <w10:wrap type="none"/>
            </v:shape>
            <v:shape style="position:absolute;left:5895;top:1440;width:1745;height:216" type="#_x0000_t202" filled="false" stroked="false">
              <v:textbox inset="0,0,0,0">
                <w:txbxContent>
                  <w:p>
                    <w:pPr>
                      <w:spacing w:line="214" w:lineRule="exact" w:before="0"/>
                      <w:ind w:left="0" w:right="0" w:firstLine="0"/>
                      <w:jc w:val="left"/>
                      <w:rPr>
                        <w:sz w:val="19"/>
                      </w:rPr>
                    </w:pPr>
                    <w:r>
                      <w:rPr>
                        <w:w w:val="105"/>
                        <w:sz w:val="19"/>
                      </w:rPr>
                      <w:t>Nominal interest</w:t>
                    </w:r>
                    <w:r>
                      <w:rPr>
                        <w:spacing w:val="-37"/>
                        <w:w w:val="105"/>
                        <w:sz w:val="19"/>
                      </w:rPr>
                      <w:t> </w:t>
                    </w:r>
                    <w:r>
                      <w:rPr>
                        <w:w w:val="105"/>
                        <w:sz w:val="19"/>
                      </w:rPr>
                      <w:t>rates</w:t>
                    </w:r>
                  </w:p>
                </w:txbxContent>
              </v:textbox>
              <w10:wrap type="none"/>
            </v:shape>
            <v:shape style="position:absolute;left:1785;top:2610;width:6426;height:486" type="#_x0000_t202" filled="false" stroked="false">
              <v:textbox inset="0,0,0,0">
                <w:txbxContent>
                  <w:p>
                    <w:pPr>
                      <w:tabs>
                        <w:tab w:pos="674" w:val="left" w:leader="none"/>
                        <w:tab w:pos="1349" w:val="left" w:leader="none"/>
                        <w:tab w:pos="2024" w:val="left" w:leader="none"/>
                        <w:tab w:pos="2699" w:val="left" w:leader="none"/>
                        <w:tab w:pos="3359" w:val="left" w:leader="none"/>
                        <w:tab w:pos="4034" w:val="left" w:leader="none"/>
                        <w:tab w:pos="4709" w:val="left" w:leader="none"/>
                        <w:tab w:pos="5369" w:val="left" w:leader="none"/>
                        <w:tab w:pos="6044" w:val="left" w:leader="none"/>
                      </w:tabs>
                      <w:spacing w:line="214" w:lineRule="exact" w:before="0"/>
                      <w:ind w:left="0" w:right="0" w:firstLine="0"/>
                      <w:jc w:val="left"/>
                      <w:rPr>
                        <w:sz w:val="19"/>
                      </w:rPr>
                    </w:pPr>
                    <w:r>
                      <w:rPr>
                        <w:spacing w:val="-6"/>
                        <w:w w:val="105"/>
                        <w:sz w:val="19"/>
                      </w:rPr>
                      <w:t>1980</w:t>
                      <w:tab/>
                      <w:t>1982</w:t>
                      <w:tab/>
                      <w:t>1985</w:t>
                      <w:tab/>
                      <w:t>1987</w:t>
                      <w:tab/>
                      <w:t>1990</w:t>
                      <w:tab/>
                      <w:t>1992</w:t>
                      <w:tab/>
                      <w:t>1995</w:t>
                      <w:tab/>
                      <w:t>1997</w:t>
                      <w:tab/>
                      <w:t>2000</w:t>
                      <w:tab/>
                    </w:r>
                    <w:r>
                      <w:rPr>
                        <w:spacing w:val="-8"/>
                        <w:w w:val="105"/>
                        <w:sz w:val="19"/>
                      </w:rPr>
                      <w:t>2002</w:t>
                    </w:r>
                  </w:p>
                  <w:p>
                    <w:pPr>
                      <w:spacing w:before="51"/>
                      <w:ind w:left="344" w:right="0" w:firstLine="0"/>
                      <w:jc w:val="left"/>
                      <w:rPr>
                        <w:sz w:val="19"/>
                      </w:rPr>
                    </w:pPr>
                    <w:r>
                      <w:rPr>
                        <w:w w:val="105"/>
                        <w:sz w:val="19"/>
                      </w:rPr>
                      <w:t>Ex-post real interest rates</w:t>
                    </w:r>
                  </w:p>
                </w:txbxContent>
              </v:textbox>
              <w10:wrap type="none"/>
            </v:shape>
            <w10:wrap type="none"/>
          </v:group>
        </w:pict>
      </w:r>
      <w:r>
        <w:rPr>
          <w:spacing w:val="-8"/>
          <w:w w:val="105"/>
          <w:sz w:val="19"/>
        </w:rPr>
        <w:t>25</w:t>
      </w:r>
    </w:p>
    <w:p>
      <w:pPr>
        <w:pStyle w:val="BodyText"/>
        <w:spacing w:before="5"/>
        <w:rPr>
          <w:sz w:val="21"/>
        </w:rPr>
      </w:pPr>
    </w:p>
    <w:p>
      <w:pPr>
        <w:spacing w:before="0"/>
        <w:ind w:left="565" w:right="0" w:firstLine="0"/>
        <w:jc w:val="left"/>
        <w:rPr>
          <w:sz w:val="19"/>
        </w:rPr>
      </w:pPr>
      <w:r>
        <w:rPr>
          <w:spacing w:val="-8"/>
          <w:w w:val="105"/>
          <w:sz w:val="19"/>
        </w:rPr>
        <w:t>20</w:t>
      </w:r>
    </w:p>
    <w:p>
      <w:pPr>
        <w:pStyle w:val="BodyText"/>
        <w:spacing w:before="5"/>
        <w:rPr>
          <w:sz w:val="21"/>
        </w:rPr>
      </w:pPr>
    </w:p>
    <w:p>
      <w:pPr>
        <w:spacing w:before="0"/>
        <w:ind w:left="565" w:right="0" w:firstLine="0"/>
        <w:jc w:val="left"/>
        <w:rPr>
          <w:sz w:val="19"/>
        </w:rPr>
      </w:pPr>
      <w:r>
        <w:rPr>
          <w:spacing w:val="-8"/>
          <w:w w:val="105"/>
          <w:sz w:val="19"/>
        </w:rPr>
        <w:t>15</w:t>
      </w:r>
    </w:p>
    <w:p>
      <w:pPr>
        <w:pStyle w:val="BodyText"/>
        <w:spacing w:before="5"/>
        <w:rPr>
          <w:sz w:val="21"/>
        </w:rPr>
      </w:pPr>
    </w:p>
    <w:p>
      <w:pPr>
        <w:spacing w:before="0"/>
        <w:ind w:left="565" w:right="0" w:firstLine="0"/>
        <w:jc w:val="left"/>
        <w:rPr>
          <w:sz w:val="19"/>
        </w:rPr>
      </w:pPr>
      <w:r>
        <w:rPr>
          <w:spacing w:val="-8"/>
          <w:w w:val="105"/>
          <w:sz w:val="19"/>
        </w:rPr>
        <w:t>10</w:t>
      </w:r>
    </w:p>
    <w:p>
      <w:pPr>
        <w:pStyle w:val="BodyText"/>
        <w:spacing w:before="5"/>
        <w:rPr>
          <w:sz w:val="21"/>
        </w:rPr>
      </w:pPr>
    </w:p>
    <w:p>
      <w:pPr>
        <w:spacing w:before="0"/>
        <w:ind w:left="655" w:right="0" w:firstLine="0"/>
        <w:jc w:val="left"/>
        <w:rPr>
          <w:sz w:val="19"/>
        </w:rPr>
      </w:pPr>
      <w:r>
        <w:rPr>
          <w:w w:val="102"/>
          <w:sz w:val="19"/>
        </w:rPr>
        <w:t>5</w:t>
      </w:r>
    </w:p>
    <w:p>
      <w:pPr>
        <w:pStyle w:val="BodyText"/>
        <w:spacing w:before="1"/>
        <w:rPr>
          <w:sz w:val="13"/>
        </w:rPr>
      </w:pPr>
    </w:p>
    <w:p>
      <w:pPr>
        <w:spacing w:before="96"/>
        <w:ind w:left="0" w:right="9365" w:firstLine="0"/>
        <w:jc w:val="right"/>
        <w:rPr>
          <w:sz w:val="19"/>
        </w:rPr>
      </w:pPr>
      <w:r>
        <w:rPr>
          <w:w w:val="102"/>
          <w:sz w:val="19"/>
        </w:rPr>
        <w:t>0</w:t>
      </w:r>
    </w:p>
    <w:p>
      <w:pPr>
        <w:pStyle w:val="BodyText"/>
        <w:spacing w:before="5"/>
        <w:rPr>
          <w:sz w:val="21"/>
        </w:rPr>
      </w:pPr>
    </w:p>
    <w:p>
      <w:pPr>
        <w:spacing w:before="0"/>
        <w:ind w:left="0" w:right="9372" w:firstLine="0"/>
        <w:jc w:val="right"/>
        <w:rPr>
          <w:sz w:val="19"/>
        </w:rPr>
      </w:pPr>
      <w:r>
        <w:rPr>
          <w:spacing w:val="-8"/>
          <w:sz w:val="19"/>
        </w:rPr>
        <w:t>-5</w:t>
      </w:r>
    </w:p>
    <w:p>
      <w:pPr>
        <w:pStyle w:val="BodyText"/>
        <w:spacing w:before="5"/>
        <w:rPr>
          <w:sz w:val="21"/>
        </w:rPr>
      </w:pPr>
    </w:p>
    <w:p>
      <w:pPr>
        <w:spacing w:before="0"/>
        <w:ind w:left="0" w:right="9372" w:firstLine="0"/>
        <w:jc w:val="right"/>
        <w:rPr>
          <w:sz w:val="19"/>
        </w:rPr>
      </w:pPr>
      <w:r>
        <w:rPr>
          <w:spacing w:val="-8"/>
          <w:sz w:val="19"/>
        </w:rPr>
        <w:t>-10</w:t>
      </w:r>
    </w:p>
    <w:p>
      <w:pPr>
        <w:pStyle w:val="BodyText"/>
        <w:spacing w:before="11"/>
        <w:rPr>
          <w:sz w:val="16"/>
        </w:rPr>
      </w:pPr>
    </w:p>
    <w:p>
      <w:pPr>
        <w:spacing w:line="264" w:lineRule="auto" w:before="96"/>
        <w:ind w:left="115" w:right="0" w:firstLine="0"/>
        <w:jc w:val="left"/>
        <w:rPr>
          <w:sz w:val="19"/>
        </w:rPr>
      </w:pPr>
      <w:r>
        <w:rPr>
          <w:w w:val="105"/>
          <w:sz w:val="19"/>
        </w:rPr>
        <w:t>Source: IFS and ONS. The treasury bill rates are annualised quarterly averages of bills of three month maturity. Inflation is the quarterly average of the annual rate.</w:t>
      </w:r>
    </w:p>
    <w:p>
      <w:pPr>
        <w:spacing w:after="0" w:line="264" w:lineRule="auto"/>
        <w:jc w:val="left"/>
        <w:rPr>
          <w:sz w:val="19"/>
        </w:rPr>
        <w:sectPr>
          <w:pgSz w:w="11920" w:h="16840"/>
          <w:pgMar w:header="0" w:footer="713" w:top="1540" w:bottom="980" w:left="1040" w:right="760"/>
        </w:sectPr>
      </w:pPr>
    </w:p>
    <w:p>
      <w:pPr>
        <w:spacing w:line="247" w:lineRule="auto" w:before="72"/>
        <w:ind w:left="115" w:right="4404" w:firstLine="0"/>
        <w:jc w:val="left"/>
        <w:rPr>
          <w:b/>
          <w:sz w:val="19"/>
        </w:rPr>
      </w:pPr>
      <w:r>
        <w:rPr>
          <w:b/>
          <w:w w:val="105"/>
          <w:sz w:val="19"/>
        </w:rPr>
        <w:t>Chart 4: Conditional volatilities of inflation, nominal interest rate and the e x-post real rate for the UK</w:t>
      </w:r>
    </w:p>
    <w:p>
      <w:pPr>
        <w:spacing w:line="184" w:lineRule="exact" w:before="120"/>
        <w:ind w:left="640" w:right="0" w:firstLine="0"/>
        <w:jc w:val="left"/>
        <w:rPr>
          <w:sz w:val="19"/>
        </w:rPr>
      </w:pPr>
      <w:r>
        <w:rPr>
          <w:w w:val="105"/>
          <w:sz w:val="19"/>
        </w:rPr>
        <w:t>In units of % annual rates</w:t>
      </w:r>
    </w:p>
    <w:p>
      <w:pPr>
        <w:spacing w:line="215" w:lineRule="exact" w:before="0"/>
        <w:ind w:left="370" w:right="0" w:firstLine="0"/>
        <w:jc w:val="left"/>
        <w:rPr>
          <w:sz w:val="19"/>
        </w:rPr>
      </w:pPr>
      <w:r>
        <w:rPr/>
        <w:pict>
          <v:group style="position:absolute;margin-left:79.5pt;margin-top:4.558634pt;width:339pt;height:147.75pt;mso-position-horizontal-relative:page;mso-position-vertical-relative:paragraph;z-index:251696128" coordorigin="1590,91" coordsize="6780,2955">
            <v:shape style="position:absolute;left:1590;top:98;width:6780;height:2940" coordorigin="1590,99" coordsize="6780,2940" path="m1650,99l1650,3039m1590,3039l1650,3039m1590,2664l1650,2664m1590,2304l1650,2304m1590,1929l1650,1929m1590,1584l1650,1584m1590,1209l1650,1209m1590,834l1650,834m1590,474l1650,474m1590,99l1650,99m1650,3039l8370,3039m1650,3039l1650,2979m2340,3039l2340,2979m3030,3039l3030,2979m3705,3039l3705,2979m4395,3039l4395,2979m5085,3039l5085,2979m5760,3039l5760,2979m6450,3039l6450,2979m7140,3039l7140,2979m7815,3039l7815,2979e" filled="false" stroked="true" strokeweight=".75pt" strokecolor="#000000">
              <v:path arrowok="t"/>
              <v:stroke dashstyle="solid"/>
            </v:shape>
            <v:line style="position:absolute" from="1680,2214" to="1755,2259" stroked="true" strokeweight="1.5pt" strokecolor="#ff00ff">
              <v:stroke dashstyle="solid"/>
            </v:line>
            <v:shape style="position:absolute;left:1755;top:1958;width:3015;height:765" coordorigin="1755,1959" coordsize="3015,765" path="m1755,2259l1815,2364m1815,2364l1890,2424m1890,2424l1965,2514m1965,2514l2025,2514m2025,2514l2100,2589m2100,2589l2160,2334m2160,2334l2235,2379m2235,2379l2310,2364m2310,2364l2370,2454m2370,2454l2445,2379m2445,2379l2505,2469m2505,2469l2580,2379m2580,2379l2640,2394m2640,2394l2715,2484m2715,2484l2790,2559m2790,2559l2850,2634m2850,2634l2925,2679m2925,2679l2985,2544m2985,2544l3060,2499m3060,2499l3135,1959m3135,1959l3195,2079m3195,2079l3270,2214m3270,2214l3330,2319m3330,2319l3405,2394m3405,2394l3465,2259m3465,2259l3540,2364m3540,2364l3615,2379m3615,2379l3675,2454m3675,2454l3750,2469m3750,2469l3810,2469m3810,2469l3885,2514m3885,2514l3945,2589m3945,2589l4020,2634m4020,2634l4095,2169m4095,2169l4155,2274m4155,2274l4230,2379m4230,2379l4290,2454m4290,2454l4365,2514m4365,2514l4440,2484m4440,2484l4500,2574m4500,2574l4575,2619m4575,2619l4635,2679m4635,2679l4710,2694m4710,2694l4770,2724e" filled="false" stroked="true" strokeweight="1.5pt" strokecolor="#ff00ff">
              <v:path arrowok="t"/>
              <v:stroke dashstyle="solid"/>
            </v:shape>
            <v:rect style="position:absolute;left:4770;top:2708;width:75;height:30" filled="true" fillcolor="#ff00ff" stroked="false">
              <v:fill type="solid"/>
            </v:rect>
            <v:shape style="position:absolute;left:4845;top:2483;width:1500;height:435" coordorigin="4845,2484" coordsize="1500,435" path="m4845,2724l4920,2769m4920,2769l4980,2799m4980,2799l5055,2829m5055,2829l5115,2844m5115,2844l5190,2859m5190,2859l5250,2484m5250,2484l5310,2544m5310,2544l5385,2619m5385,2619l5445,2679m5445,2679l5520,2709m5520,2709l5580,2754m5580,2754l5655,2784m5655,2784l5730,2814m5730,2814l5790,2844m5790,2844l5865,2859m5865,2859l5925,2874m5925,2874l6000,2889m6000,2889l6075,2904m6075,2904l6135,2889m6135,2889l6210,2904m6210,2904l6270,2919m6270,2919l6345,2919e" filled="false" stroked="true" strokeweight="1.5pt" strokecolor="#ff00ff">
              <v:path arrowok="t"/>
              <v:stroke dashstyle="solid"/>
            </v:shape>
            <v:rect style="position:absolute;left:6345;top:2903;width:60;height:30" filled="true" fillcolor="#ff00ff" stroked="false">
              <v:fill type="solid"/>
            </v:rect>
            <v:shape style="position:absolute;left:6405;top:2918;width:285;height:15" coordorigin="6405,2919" coordsize="285,15" path="m6405,2919l6480,2934m6480,2934l6555,2919m6555,2919l6615,2934m6615,2934l6690,2934e" filled="false" stroked="true" strokeweight="1.5pt" strokecolor="#ff00ff">
              <v:path arrowok="t"/>
              <v:stroke dashstyle="solid"/>
            </v:shape>
            <v:rect style="position:absolute;left:6690;top:2918;width:60;height:30" filled="true" fillcolor="#ff00ff" stroked="false">
              <v:fill type="solid"/>
            </v:rect>
            <v:shape style="position:absolute;left:6750;top:2843;width:630;height:105" coordorigin="6750,2844" coordsize="630,105" path="m6750,2934l6825,2949m6825,2949l6885,2889m6885,2889l6960,2844m6960,2844l7035,2874m7035,2874l7095,2889m7095,2889l7170,2904m7170,2904l7230,2904m7230,2904l7305,2919m7305,2919l7380,2919e" filled="false" stroked="true" strokeweight="1.5pt" strokecolor="#ff00ff">
              <v:path arrowok="t"/>
              <v:stroke dashstyle="solid"/>
            </v:shape>
            <v:rect style="position:absolute;left:7380;top:2903;width:60;height:30" filled="true" fillcolor="#ff00ff" stroked="false">
              <v:fill type="solid"/>
            </v:rect>
            <v:shape style="position:absolute;left:7440;top:2888;width:825;height:45" coordorigin="7440,2889" coordsize="825,45" path="m7440,2919l7515,2919m7515,2919l7575,2919m7575,2919l7650,2919m7650,2919l7710,2889m7710,2889l7785,2904m7785,2904l7860,2904m7860,2904l7920,2904m7920,2904l7995,2919m7995,2919l8055,2919m8055,2919l8130,2919m8130,2919l8205,2919m8205,2919l8265,2934e" filled="false" stroked="true" strokeweight="1.5pt" strokecolor="#ff00ff">
              <v:path arrowok="t"/>
              <v:stroke dashstyle="solid"/>
            </v:shape>
            <v:line style="position:absolute" from="8265,2934" to="8340,2934" stroked="true" strokeweight="1.5pt" strokecolor="#ff00ff">
              <v:stroke dashstyle="solid"/>
            </v:line>
            <v:line style="position:absolute" from="1680,729" to="1755,1194" stroked="true" strokeweight="1.5pt" strokecolor="#ff0000">
              <v:stroke dashstyle="solid"/>
            </v:line>
            <v:shape style="position:absolute;left:1755;top:503;width:3015;height:2445" coordorigin="1755,504" coordsize="3015,2445" path="m1755,1194l1815,924m1815,924l1890,504m1890,504l1965,1029m1965,1029l2025,1449m2025,1449l2100,1569m2100,1569l2160,1854m2160,1854l2235,2064m2235,2064l2310,2154m2310,2154l2370,2244m2370,2244l2445,2409m2445,2409l2505,2559m2505,2559l2580,2664m2580,2664l2640,2499m2640,2499l2715,2574m2715,2574l2790,2679m2790,2679l2850,2739m2850,2739l2925,2799m2925,2799l2985,2829m2985,2829l3060,2874m3060,2874l3135,2859m3135,2859l3195,2859m3195,2859l3270,2889m3270,2889l3330,2904m3330,2904l3405,2919m3405,2919l3465,2874m3465,2874l3540,2889m3540,2889l3615,2904m3615,2904l3675,2919m3675,2919l3750,2904m3750,2904l3810,2934m3810,2934l3885,2934m3885,2934l3945,2949m3945,2949l4020,2934m4020,2934l4095,2919m4095,2919l4155,2934m4155,2934l4230,2934m4230,2934l4290,2934m4290,2934l4365,2949m4365,2949l4440,2949m4440,2949l4500,2949m4500,2949l4575,2574m4575,2574l4635,2649m4635,2649l4710,2724m4710,2724l4770,2739e" filled="false" stroked="true" strokeweight="1.5pt" strokecolor="#ff0000">
              <v:path arrowok="t"/>
              <v:stroke dashstyle="solid"/>
            </v:shape>
            <v:rect style="position:absolute;left:4770;top:2723;width:75;height:30" filled="true" fillcolor="#ff0000" stroked="false">
              <v:fill type="solid"/>
            </v:rect>
            <v:shape style="position:absolute;left:4845;top:2738;width:1365;height:240" coordorigin="4845,2739" coordsize="1365,240" path="m4845,2739l4920,2784m4920,2784l4980,2829m4980,2829l5055,2859m5055,2859l5115,2844m5115,2844l5190,2814m5190,2814l5250,2844m5250,2844l5310,2874m5310,2874l5385,2889m5385,2889l5445,2904m5445,2904l5520,2904m5520,2904l5580,2919m5580,2919l5655,2919m5655,2919l5730,2934m5730,2934l5790,2949m5790,2949l5865,2949m5865,2949l5925,2964m5925,2964l6000,2964m6000,2964l6075,2979m6075,2979l6135,2979m6135,2979l6210,2979e" filled="false" stroked="true" strokeweight="1.5pt" strokecolor="#ff0000">
              <v:path arrowok="t"/>
              <v:stroke dashstyle="solid"/>
            </v:shape>
            <v:line style="position:absolute" from="6210,2979" to="6270,2994" stroked="true" strokeweight="1.5pt" strokecolor="#ff0000">
              <v:stroke dashstyle="solid"/>
            </v:line>
            <v:line style="position:absolute" from="6270,2994" to="6345,2979" stroked="true" strokeweight="1.5pt" strokecolor="#ff0000">
              <v:stroke dashstyle="solid"/>
            </v:line>
            <v:rect style="position:absolute;left:6345;top:2963;width:60;height:30" filled="true" fillcolor="#ff0000" stroked="false">
              <v:fill type="solid"/>
            </v:rect>
            <v:line style="position:absolute" from="6405,2979" to="6480,2964" stroked="true" strokeweight="1.5pt" strokecolor="#ff0000">
              <v:stroke dashstyle="solid"/>
            </v:line>
            <v:rect style="position:absolute;left:6480;top:2948;width:75;height:30" filled="true" fillcolor="#ff0000" stroked="false">
              <v:fill type="solid"/>
            </v:rect>
            <v:shape style="position:absolute;left:6555;top:2963;width:675;height:15" coordorigin="6555,2964" coordsize="675,15" path="m6555,2964l6615,2979m6615,2979l6690,2964m6690,2964l6750,2979m6750,2979l6825,2964m6825,2964l6885,2979m6885,2979l6960,2979m6960,2979l7035,2979m7035,2979l7095,2979m7095,2979l7170,2979m7170,2979l7230,2979e" filled="false" stroked="true" strokeweight="1.5pt" strokecolor="#ff0000">
              <v:path arrowok="t"/>
              <v:stroke dashstyle="solid"/>
            </v:shape>
            <v:line style="position:absolute" from="7230,2979" to="7305,2994" stroked="true" strokeweight="1.5pt" strokecolor="#ff0000">
              <v:stroke dashstyle="solid"/>
            </v:line>
            <v:line style="position:absolute" from="7305,2994" to="7380,2994" stroked="true" strokeweight="1.5pt" strokecolor="#ff0000">
              <v:stroke dashstyle="solid"/>
            </v:line>
            <v:line style="position:absolute" from="7380,2994" to="7440,2994" stroked="true" strokeweight="1.5pt" strokecolor="#ff0000">
              <v:stroke dashstyle="solid"/>
            </v:line>
            <v:line style="position:absolute" from="7440,2994" to="7515,2979" stroked="true" strokeweight="1.5pt" strokecolor="#ff0000">
              <v:stroke dashstyle="solid"/>
            </v:line>
            <v:shape style="position:absolute;left:7515;top:2948;width:750;height:30" coordorigin="7515,2949" coordsize="750,30" path="m7515,2979l7575,2979m7575,2979l7650,2979m7650,2979l7710,2964m7710,2964l7785,2964m7785,2964l7860,2949m7860,2949l7920,2964m7920,2964l7995,2964m7995,2964l8055,2964m8055,2964l8130,2964m8130,2964l8205,2964m8205,2964l8265,2979e" filled="false" stroked="true" strokeweight="1.5pt" strokecolor="#ff0000">
              <v:path arrowok="t"/>
              <v:stroke dashstyle="solid"/>
            </v:shape>
            <v:line style="position:absolute" from="8265,2979" to="8340,2979" stroked="true" strokeweight="1.5pt" strokecolor="#ff0000">
              <v:stroke dashstyle="solid"/>
            </v:line>
            <v:line style="position:absolute" from="1680,1899" to="1755,2184" stroked="true" strokeweight="1.5pt" strokecolor="#0000ff">
              <v:stroke dashstyle="solid"/>
            </v:line>
            <v:shape style="position:absolute;left:1755;top:1178;width:1170;height:1620" coordorigin="1755,1179" coordsize="1170,1620" path="m1755,2184l1815,1179m1815,1179l1890,1284m1890,1284l1965,1584m1965,1584l2025,1854m2025,1854l2100,2019m2100,2019l2160,2034m2160,2034l2235,2184m2235,2184l2310,2379m2310,2379l2370,2499m2370,2499l2445,2574m2445,2574l2505,2679m2505,2679l2580,2484m2580,2484l2640,2544m2640,2544l2715,2619m2715,2619l2790,2694m2790,2694l2850,2739m2850,2739l2925,2799e" filled="false" stroked="true" strokeweight="1.5pt" strokecolor="#0000ff">
              <v:path arrowok="t"/>
              <v:stroke dashstyle="solid"/>
            </v:shape>
            <v:line style="position:absolute" from="2955,2214" to="2955,2814" stroked="true" strokeweight="4.5pt" strokecolor="#0000ff">
              <v:stroke dashstyle="solid"/>
            </v:line>
            <v:shape style="position:absolute;left:2985;top:1988;width:3360;height:960" coordorigin="2985,1989" coordsize="3360,960" path="m2985,2229l3060,2364m3060,2364l3135,1989m3135,1989l3195,2244m3195,2244l3270,2439m3270,2439l3330,2514m3330,2514l3405,2334m3405,2334l3465,2514m3465,2514l3540,2649m3540,2649l3615,2559m3615,2559l3675,2679m3675,2679l3750,2709m3750,2709l3810,2709m3810,2709l3885,2739m3885,2739l3945,2799m3945,2799l4020,2679m4020,2679l4095,2304m4095,2304l4155,2304m4155,2304l4230,2484m4230,2484l4290,2604m4290,2604l4365,2559m4365,2559l4440,2319m4440,2319l4500,2439m4500,2439l4575,2424m4575,2424l4635,2574m4635,2574l4710,2589m4710,2589l4770,2679m4770,2679l4845,2754m4845,2754l4920,2769m4920,2769l4980,2829m4980,2829l5055,2859m5055,2859l5115,2889m5115,2889l5190,2814m5190,2814l5250,2484m5250,2484l5310,2529m5310,2529l5385,2649m5385,2649l5445,2724m5445,2724l5520,2784m5520,2784l5580,2769m5580,2769l5655,2829m5655,2829l5730,2844m5730,2844l5790,2889m5790,2889l5865,2904m5865,2904l5925,2919m5925,2919l6000,2934m6000,2934l6075,2949m6075,2949l6135,2934m6135,2934l6210,2949m6210,2949l6270,2934m6270,2934l6345,2949e" filled="false" stroked="true" strokeweight="1.5pt" strokecolor="#0000ff">
              <v:path arrowok="t"/>
              <v:stroke dashstyle="solid"/>
            </v:shape>
            <v:rect style="position:absolute;left:6345;top:2933;width:60;height:30" filled="true" fillcolor="#0000ff" stroked="false">
              <v:fill type="solid"/>
            </v:rect>
            <v:line style="position:absolute" from="6405,2949" to="6480,2949" stroked="true" strokeweight="1.5pt" strokecolor="#0000ff">
              <v:stroke dashstyle="solid"/>
            </v:line>
            <v:rect style="position:absolute;left:6480;top:2933;width:75;height:30" filled="true" fillcolor="#0000ff" stroked="false">
              <v:fill type="solid"/>
            </v:rect>
            <v:shape style="position:absolute;left:6555;top:2948;width:135;height:15" coordorigin="6555,2949" coordsize="135,15" path="m6555,2949l6615,2949m6615,2949l6690,2964e" filled="false" stroked="true" strokeweight="1.5pt" strokecolor="#0000ff">
              <v:path arrowok="t"/>
              <v:stroke dashstyle="solid"/>
            </v:shape>
            <v:rect style="position:absolute;left:6690;top:2948;width:60;height:30" filled="true" fillcolor="#0000ff" stroked="false">
              <v:fill type="solid"/>
            </v:rect>
            <v:shape style="position:absolute;left:6750;top:2798;width:630;height:165" coordorigin="6750,2799" coordsize="630,165" path="m6750,2964l6825,2934m6825,2934l6885,2889m6885,2889l6960,2799m6960,2799l7035,2844m7035,2844l7095,2889m7095,2889l7170,2904m7170,2904l7230,2919m7230,2919l7305,2934m7305,2934l7380,2949e" filled="false" stroked="true" strokeweight="1.5pt" strokecolor="#0000ff">
              <v:path arrowok="t"/>
              <v:stroke dashstyle="solid"/>
            </v:shape>
            <v:rect style="position:absolute;left:7380;top:2933;width:60;height:30" filled="true" fillcolor="#0000ff" stroked="false">
              <v:fill type="solid"/>
            </v:rect>
            <v:shape style="position:absolute;left:7440;top:2723;width:825;height:240" coordorigin="7440,2724" coordsize="825,240" path="m7440,2949l7515,2964m7515,2964l7575,2919m7575,2919l7650,2904m7650,2904l7710,2889m7710,2889l7785,2874m7785,2874l7860,2889m7860,2889l7920,2859m7920,2859l7995,2784m7995,2784l8055,2724m8055,2724l8130,2769m8130,2769l8205,2814m8205,2814l8265,2859e" filled="false" stroked="true" strokeweight="1.5pt" strokecolor="#0000ff">
              <v:path arrowok="t"/>
              <v:stroke dashstyle="solid"/>
            </v:shape>
            <v:line style="position:absolute" from="8265,2859" to="8340,2889" stroked="true" strokeweight="1.5pt" strokecolor="#0000ff">
              <v:stroke dashstyle="solid"/>
            </v:line>
            <v:shape style="position:absolute;left:2055;top:1283;width:2310;height:1035" coordorigin="2055,1284" coordsize="2310,1035" path="m3210,1284l3195,1284,2156,1824,2130,1779,2055,1884,2190,1884,2181,1869,2166,1842,3210,1299,3210,1284m4365,1809l4350,1809,3643,2247,3615,2214,3555,2319,3690,2304,3664,2272,4365,1824,4365,1809e" filled="true" fillcolor="#000000" stroked="false">
              <v:path arrowok="t"/>
              <v:fill type="solid"/>
            </v:shape>
            <v:shape style="position:absolute;left:1980;top:495;width:1280;height:216" type="#_x0000_t202" filled="false" stroked="false">
              <v:textbox inset="0,0,0,0">
                <w:txbxContent>
                  <w:p>
                    <w:pPr>
                      <w:spacing w:line="214" w:lineRule="exact" w:before="0"/>
                      <w:ind w:left="0" w:right="0" w:firstLine="0"/>
                      <w:jc w:val="left"/>
                      <w:rPr>
                        <w:sz w:val="19"/>
                      </w:rPr>
                    </w:pPr>
                    <w:r>
                      <w:rPr>
                        <w:spacing w:val="-3"/>
                        <w:w w:val="105"/>
                        <w:sz w:val="19"/>
                      </w:rPr>
                      <w:t>Inflation (RPIX)</w:t>
                    </w:r>
                  </w:p>
                </w:txbxContent>
              </v:textbox>
              <w10:wrap type="none"/>
            </v:shape>
            <v:shape style="position:absolute;left:3255;top:1185;width:2885;height:666" type="#_x0000_t202" filled="false" stroked="false">
              <v:textbox inset="0,0,0,0">
                <w:txbxContent>
                  <w:p>
                    <w:pPr>
                      <w:spacing w:line="214" w:lineRule="exact" w:before="0"/>
                      <w:ind w:left="0" w:right="0" w:firstLine="0"/>
                      <w:jc w:val="left"/>
                      <w:rPr>
                        <w:sz w:val="19"/>
                      </w:rPr>
                    </w:pPr>
                    <w:r>
                      <w:rPr>
                        <w:w w:val="105"/>
                        <w:sz w:val="19"/>
                      </w:rPr>
                      <w:t>Ex-post real interest rates</w:t>
                    </w:r>
                  </w:p>
                  <w:p>
                    <w:pPr>
                      <w:spacing w:line="240" w:lineRule="auto" w:before="1"/>
                      <w:rPr>
                        <w:sz w:val="20"/>
                      </w:rPr>
                    </w:pPr>
                  </w:p>
                  <w:p>
                    <w:pPr>
                      <w:spacing w:before="0"/>
                      <w:ind w:left="1155" w:right="0" w:firstLine="0"/>
                      <w:jc w:val="left"/>
                      <w:rPr>
                        <w:sz w:val="19"/>
                      </w:rPr>
                    </w:pPr>
                    <w:r>
                      <w:rPr>
                        <w:w w:val="105"/>
                        <w:sz w:val="19"/>
                      </w:rPr>
                      <w:t>Nominal</w:t>
                    </w:r>
                    <w:r>
                      <w:rPr>
                        <w:spacing w:val="-26"/>
                        <w:w w:val="105"/>
                        <w:sz w:val="19"/>
                      </w:rPr>
                      <w:t> </w:t>
                    </w:r>
                    <w:r>
                      <w:rPr>
                        <w:w w:val="105"/>
                        <w:sz w:val="19"/>
                      </w:rPr>
                      <w:t>interest</w:t>
                    </w:r>
                    <w:r>
                      <w:rPr>
                        <w:spacing w:val="-25"/>
                        <w:w w:val="105"/>
                        <w:sz w:val="19"/>
                      </w:rPr>
                      <w:t> </w:t>
                    </w:r>
                    <w:r>
                      <w:rPr>
                        <w:w w:val="105"/>
                        <w:sz w:val="19"/>
                      </w:rPr>
                      <w:t>rates</w:t>
                    </w:r>
                  </w:p>
                </w:txbxContent>
              </v:textbox>
              <w10:wrap type="none"/>
            </v:shape>
            <w10:wrap type="none"/>
          </v:group>
        </w:pict>
      </w:r>
      <w:r>
        <w:rPr>
          <w:w w:val="102"/>
          <w:sz w:val="19"/>
        </w:rPr>
        <w:t>8</w:t>
      </w:r>
    </w:p>
    <w:p>
      <w:pPr>
        <w:spacing w:before="156"/>
        <w:ind w:left="370" w:right="0" w:firstLine="0"/>
        <w:jc w:val="left"/>
        <w:rPr>
          <w:sz w:val="19"/>
        </w:rPr>
      </w:pPr>
      <w:r>
        <w:rPr>
          <w:w w:val="102"/>
          <w:sz w:val="19"/>
        </w:rPr>
        <w:t>7</w:t>
      </w:r>
    </w:p>
    <w:p>
      <w:pPr>
        <w:spacing w:before="142"/>
        <w:ind w:left="370" w:right="0" w:firstLine="0"/>
        <w:jc w:val="left"/>
        <w:rPr>
          <w:sz w:val="19"/>
        </w:rPr>
      </w:pPr>
      <w:r>
        <w:rPr>
          <w:w w:val="102"/>
          <w:sz w:val="19"/>
        </w:rPr>
        <w:t>6</w:t>
      </w:r>
    </w:p>
    <w:p>
      <w:pPr>
        <w:spacing w:before="156"/>
        <w:ind w:left="370" w:right="0" w:firstLine="0"/>
        <w:jc w:val="left"/>
        <w:rPr>
          <w:sz w:val="19"/>
        </w:rPr>
      </w:pPr>
      <w:r>
        <w:rPr>
          <w:w w:val="102"/>
          <w:sz w:val="19"/>
        </w:rPr>
        <w:t>5</w:t>
      </w:r>
    </w:p>
    <w:p>
      <w:pPr>
        <w:spacing w:before="157"/>
        <w:ind w:left="370" w:right="0" w:firstLine="0"/>
        <w:jc w:val="left"/>
        <w:rPr>
          <w:sz w:val="19"/>
        </w:rPr>
      </w:pPr>
      <w:r>
        <w:rPr>
          <w:w w:val="102"/>
          <w:sz w:val="19"/>
        </w:rPr>
        <w:t>4</w:t>
      </w:r>
    </w:p>
    <w:p>
      <w:pPr>
        <w:spacing w:before="141"/>
        <w:ind w:left="370" w:right="0" w:firstLine="0"/>
        <w:jc w:val="left"/>
        <w:rPr>
          <w:sz w:val="19"/>
        </w:rPr>
      </w:pPr>
      <w:r>
        <w:rPr>
          <w:w w:val="102"/>
          <w:sz w:val="19"/>
        </w:rPr>
        <w:t>3</w:t>
      </w:r>
    </w:p>
    <w:p>
      <w:pPr>
        <w:spacing w:before="142"/>
        <w:ind w:left="370" w:right="0" w:firstLine="0"/>
        <w:jc w:val="left"/>
        <w:rPr>
          <w:sz w:val="19"/>
        </w:rPr>
      </w:pPr>
      <w:r>
        <w:rPr>
          <w:w w:val="102"/>
          <w:sz w:val="19"/>
        </w:rPr>
        <w:t>2</w:t>
      </w:r>
    </w:p>
    <w:p>
      <w:pPr>
        <w:spacing w:before="141"/>
        <w:ind w:left="370" w:right="0" w:firstLine="0"/>
        <w:jc w:val="left"/>
        <w:rPr>
          <w:sz w:val="19"/>
        </w:rPr>
      </w:pPr>
      <w:r>
        <w:rPr>
          <w:w w:val="102"/>
          <w:sz w:val="19"/>
        </w:rPr>
        <w:t>1</w:t>
      </w:r>
    </w:p>
    <w:p>
      <w:pPr>
        <w:spacing w:before="157"/>
        <w:ind w:left="370" w:right="0" w:firstLine="0"/>
        <w:jc w:val="left"/>
        <w:rPr>
          <w:sz w:val="19"/>
        </w:rPr>
      </w:pPr>
      <w:r>
        <w:rPr>
          <w:w w:val="102"/>
          <w:sz w:val="19"/>
        </w:rPr>
        <w:t>0</w:t>
      </w:r>
    </w:p>
    <w:p>
      <w:pPr>
        <w:tabs>
          <w:tab w:pos="1149" w:val="left" w:leader="none"/>
          <w:tab w:pos="1839" w:val="left" w:leader="none"/>
          <w:tab w:pos="2529" w:val="left" w:leader="none"/>
          <w:tab w:pos="3219" w:val="left" w:leader="none"/>
          <w:tab w:pos="3894" w:val="left" w:leader="none"/>
          <w:tab w:pos="4569" w:val="left" w:leader="none"/>
          <w:tab w:pos="5259" w:val="left" w:leader="none"/>
          <w:tab w:pos="5950" w:val="left" w:leader="none"/>
          <w:tab w:pos="6640" w:val="left" w:leader="none"/>
        </w:tabs>
        <w:spacing w:before="66"/>
        <w:ind w:left="460" w:right="0" w:firstLine="0"/>
        <w:jc w:val="left"/>
        <w:rPr>
          <w:sz w:val="19"/>
        </w:rPr>
      </w:pPr>
      <w:r>
        <w:rPr>
          <w:spacing w:val="-6"/>
          <w:w w:val="105"/>
          <w:sz w:val="19"/>
        </w:rPr>
        <w:t>1980</w:t>
        <w:tab/>
        <w:t>1982</w:t>
        <w:tab/>
        <w:t>1985</w:t>
        <w:tab/>
        <w:t>1987</w:t>
        <w:tab/>
        <w:t>1990</w:t>
        <w:tab/>
      </w:r>
      <w:r>
        <w:rPr>
          <w:spacing w:val="-12"/>
          <w:w w:val="105"/>
          <w:sz w:val="19"/>
        </w:rPr>
        <w:t>1992</w:t>
        <w:tab/>
      </w:r>
      <w:r>
        <w:rPr>
          <w:spacing w:val="-6"/>
          <w:w w:val="105"/>
          <w:sz w:val="19"/>
        </w:rPr>
        <w:t>1995</w:t>
        <w:tab/>
        <w:t>1997</w:t>
        <w:tab/>
        <w:t>2000</w:t>
        <w:tab/>
      </w:r>
      <w:r>
        <w:rPr>
          <w:spacing w:val="-8"/>
          <w:w w:val="105"/>
          <w:sz w:val="19"/>
        </w:rPr>
        <w:t>2002</w:t>
      </w:r>
    </w:p>
    <w:p>
      <w:pPr>
        <w:pStyle w:val="BodyText"/>
        <w:spacing w:before="8"/>
        <w:rPr>
          <w:sz w:val="16"/>
        </w:rPr>
      </w:pPr>
    </w:p>
    <w:p>
      <w:pPr>
        <w:spacing w:line="235" w:lineRule="auto" w:before="101"/>
        <w:ind w:left="115" w:right="0" w:firstLine="0"/>
        <w:jc w:val="left"/>
        <w:rPr>
          <w:sz w:val="16"/>
        </w:rPr>
      </w:pPr>
      <w:r>
        <w:rPr>
          <w:w w:val="105"/>
          <w:sz w:val="16"/>
        </w:rPr>
        <w:t>Notes:</w:t>
      </w:r>
      <w:r>
        <w:rPr>
          <w:spacing w:val="2"/>
          <w:w w:val="105"/>
          <w:sz w:val="16"/>
        </w:rPr>
        <w:t> </w:t>
      </w:r>
      <w:r>
        <w:rPr>
          <w:w w:val="105"/>
          <w:sz w:val="16"/>
        </w:rPr>
        <w:t>The</w:t>
      </w:r>
      <w:r>
        <w:rPr>
          <w:spacing w:val="-13"/>
          <w:w w:val="105"/>
          <w:sz w:val="16"/>
        </w:rPr>
        <w:t> </w:t>
      </w:r>
      <w:r>
        <w:rPr>
          <w:spacing w:val="-3"/>
          <w:w w:val="105"/>
          <w:sz w:val="16"/>
        </w:rPr>
        <w:t>conditional</w:t>
      </w:r>
      <w:r>
        <w:rPr>
          <w:spacing w:val="-13"/>
          <w:w w:val="105"/>
          <w:sz w:val="16"/>
        </w:rPr>
        <w:t> </w:t>
      </w:r>
      <w:r>
        <w:rPr>
          <w:spacing w:val="-3"/>
          <w:w w:val="105"/>
          <w:sz w:val="16"/>
        </w:rPr>
        <w:t>volatility</w:t>
      </w:r>
      <w:r>
        <w:rPr>
          <w:spacing w:val="-14"/>
          <w:w w:val="105"/>
          <w:sz w:val="16"/>
        </w:rPr>
        <w:t> </w:t>
      </w:r>
      <w:r>
        <w:rPr>
          <w:w w:val="105"/>
          <w:sz w:val="16"/>
        </w:rPr>
        <w:t>was</w:t>
      </w:r>
      <w:r>
        <w:rPr>
          <w:spacing w:val="-13"/>
          <w:w w:val="105"/>
          <w:sz w:val="16"/>
        </w:rPr>
        <w:t> </w:t>
      </w:r>
      <w:r>
        <w:rPr>
          <w:spacing w:val="-3"/>
          <w:w w:val="105"/>
          <w:sz w:val="16"/>
        </w:rPr>
        <w:t>calculated</w:t>
      </w:r>
      <w:r>
        <w:rPr>
          <w:spacing w:val="-13"/>
          <w:w w:val="105"/>
          <w:sz w:val="16"/>
        </w:rPr>
        <w:t> </w:t>
      </w:r>
      <w:r>
        <w:rPr>
          <w:spacing w:val="-3"/>
          <w:w w:val="105"/>
          <w:sz w:val="16"/>
        </w:rPr>
        <w:t>from</w:t>
      </w:r>
      <w:r>
        <w:rPr>
          <w:spacing w:val="-13"/>
          <w:w w:val="105"/>
          <w:sz w:val="16"/>
        </w:rPr>
        <w:t> </w:t>
      </w:r>
      <w:r>
        <w:rPr>
          <w:spacing w:val="-3"/>
          <w:w w:val="105"/>
          <w:sz w:val="16"/>
        </w:rPr>
        <w:t>integrated</w:t>
      </w:r>
      <w:r>
        <w:rPr>
          <w:spacing w:val="-14"/>
          <w:w w:val="105"/>
          <w:sz w:val="16"/>
        </w:rPr>
        <w:t> </w:t>
      </w:r>
      <w:r>
        <w:rPr>
          <w:spacing w:val="-3"/>
          <w:w w:val="105"/>
          <w:sz w:val="16"/>
        </w:rPr>
        <w:t>GARCH</w:t>
      </w:r>
      <w:r>
        <w:rPr>
          <w:spacing w:val="-10"/>
          <w:w w:val="105"/>
          <w:sz w:val="16"/>
        </w:rPr>
        <w:t> </w:t>
      </w:r>
      <w:r>
        <w:rPr>
          <w:w w:val="105"/>
          <w:sz w:val="16"/>
        </w:rPr>
        <w:t>(1,1)</w:t>
      </w:r>
      <w:r>
        <w:rPr>
          <w:spacing w:val="-25"/>
          <w:w w:val="105"/>
          <w:sz w:val="16"/>
        </w:rPr>
        <w:t> </w:t>
      </w:r>
      <w:r>
        <w:rPr>
          <w:w w:val="105"/>
          <w:sz w:val="16"/>
        </w:rPr>
        <w:t>processes</w:t>
      </w:r>
      <w:r>
        <w:rPr>
          <w:spacing w:val="-15"/>
          <w:w w:val="105"/>
          <w:sz w:val="16"/>
        </w:rPr>
        <w:t> </w:t>
      </w:r>
      <w:r>
        <w:rPr>
          <w:w w:val="105"/>
          <w:sz w:val="16"/>
        </w:rPr>
        <w:t>for</w:t>
      </w:r>
      <w:r>
        <w:rPr>
          <w:spacing w:val="-15"/>
          <w:w w:val="105"/>
          <w:sz w:val="16"/>
        </w:rPr>
        <w:t> </w:t>
      </w:r>
      <w:r>
        <w:rPr>
          <w:w w:val="105"/>
          <w:sz w:val="16"/>
        </w:rPr>
        <w:t>each</w:t>
      </w:r>
      <w:r>
        <w:rPr>
          <w:spacing w:val="-15"/>
          <w:w w:val="105"/>
          <w:sz w:val="16"/>
        </w:rPr>
        <w:t> </w:t>
      </w:r>
      <w:r>
        <w:rPr>
          <w:w w:val="105"/>
          <w:sz w:val="16"/>
        </w:rPr>
        <w:t>of</w:t>
      </w:r>
      <w:r>
        <w:rPr>
          <w:spacing w:val="-14"/>
          <w:w w:val="105"/>
          <w:sz w:val="16"/>
        </w:rPr>
        <w:t> </w:t>
      </w:r>
      <w:r>
        <w:rPr>
          <w:w w:val="105"/>
          <w:sz w:val="16"/>
        </w:rPr>
        <w:t>the</w:t>
      </w:r>
      <w:r>
        <w:rPr>
          <w:spacing w:val="-15"/>
          <w:w w:val="105"/>
          <w:sz w:val="16"/>
        </w:rPr>
        <w:t> </w:t>
      </w:r>
      <w:r>
        <w:rPr>
          <w:w w:val="105"/>
          <w:sz w:val="16"/>
        </w:rPr>
        <w:t>three</w:t>
      </w:r>
      <w:r>
        <w:rPr>
          <w:spacing w:val="-15"/>
          <w:w w:val="105"/>
          <w:sz w:val="16"/>
        </w:rPr>
        <w:t> </w:t>
      </w:r>
      <w:r>
        <w:rPr>
          <w:w w:val="105"/>
          <w:sz w:val="16"/>
        </w:rPr>
        <w:t>series</w:t>
      </w:r>
      <w:r>
        <w:rPr>
          <w:spacing w:val="-15"/>
          <w:w w:val="105"/>
          <w:sz w:val="16"/>
        </w:rPr>
        <w:t> </w:t>
      </w:r>
      <w:r>
        <w:rPr>
          <w:w w:val="105"/>
          <w:sz w:val="16"/>
        </w:rPr>
        <w:t>for</w:t>
      </w:r>
      <w:r>
        <w:rPr>
          <w:spacing w:val="-15"/>
          <w:w w:val="105"/>
          <w:sz w:val="16"/>
        </w:rPr>
        <w:t> </w:t>
      </w:r>
      <w:r>
        <w:rPr>
          <w:w w:val="105"/>
          <w:sz w:val="16"/>
        </w:rPr>
        <w:t>a</w:t>
      </w:r>
      <w:r>
        <w:rPr>
          <w:spacing w:val="-14"/>
          <w:w w:val="105"/>
          <w:sz w:val="16"/>
        </w:rPr>
        <w:t> </w:t>
      </w:r>
      <w:r>
        <w:rPr>
          <w:w w:val="105"/>
          <w:sz w:val="16"/>
        </w:rPr>
        <w:t>sample</w:t>
      </w:r>
      <w:r>
        <w:rPr>
          <w:spacing w:val="-15"/>
          <w:w w:val="105"/>
          <w:sz w:val="16"/>
        </w:rPr>
        <w:t> </w:t>
      </w:r>
      <w:r>
        <w:rPr>
          <w:spacing w:val="-4"/>
          <w:w w:val="105"/>
          <w:sz w:val="16"/>
        </w:rPr>
        <w:t>1977Q1</w:t>
      </w:r>
      <w:r>
        <w:rPr>
          <w:spacing w:val="-17"/>
          <w:w w:val="105"/>
          <w:sz w:val="16"/>
        </w:rPr>
        <w:t> </w:t>
      </w:r>
      <w:r>
        <w:rPr>
          <w:w w:val="105"/>
          <w:sz w:val="16"/>
        </w:rPr>
        <w:t>to</w:t>
      </w:r>
      <w:r>
        <w:rPr>
          <w:spacing w:val="-17"/>
          <w:w w:val="105"/>
          <w:sz w:val="16"/>
        </w:rPr>
        <w:t> </w:t>
      </w:r>
      <w:r>
        <w:rPr>
          <w:w w:val="105"/>
          <w:sz w:val="16"/>
        </w:rPr>
        <w:t>2004Q2.</w:t>
      </w:r>
      <w:r>
        <w:rPr>
          <w:spacing w:val="-17"/>
          <w:w w:val="105"/>
          <w:sz w:val="16"/>
        </w:rPr>
        <w:t> </w:t>
      </w:r>
      <w:r>
        <w:rPr>
          <w:w w:val="105"/>
          <w:sz w:val="16"/>
        </w:rPr>
        <w:t>We are</w:t>
      </w:r>
      <w:r>
        <w:rPr>
          <w:spacing w:val="-7"/>
          <w:w w:val="105"/>
          <w:sz w:val="16"/>
        </w:rPr>
        <w:t> </w:t>
      </w:r>
      <w:r>
        <w:rPr>
          <w:w w:val="105"/>
          <w:sz w:val="16"/>
        </w:rPr>
        <w:t>grateful</w:t>
      </w:r>
      <w:r>
        <w:rPr>
          <w:spacing w:val="-7"/>
          <w:w w:val="105"/>
          <w:sz w:val="16"/>
        </w:rPr>
        <w:t> </w:t>
      </w:r>
      <w:r>
        <w:rPr>
          <w:w w:val="105"/>
          <w:sz w:val="16"/>
        </w:rPr>
        <w:t>to</w:t>
      </w:r>
      <w:r>
        <w:rPr>
          <w:spacing w:val="-7"/>
          <w:w w:val="105"/>
          <w:sz w:val="16"/>
        </w:rPr>
        <w:t> </w:t>
      </w:r>
      <w:r>
        <w:rPr>
          <w:w w:val="105"/>
          <w:sz w:val="16"/>
        </w:rPr>
        <w:t>Luca</w:t>
      </w:r>
      <w:r>
        <w:rPr>
          <w:spacing w:val="-6"/>
          <w:w w:val="105"/>
          <w:sz w:val="16"/>
        </w:rPr>
        <w:t> </w:t>
      </w:r>
      <w:r>
        <w:rPr>
          <w:w w:val="105"/>
          <w:sz w:val="16"/>
        </w:rPr>
        <w:t>Benati</w:t>
      </w:r>
      <w:r>
        <w:rPr>
          <w:spacing w:val="-7"/>
          <w:w w:val="105"/>
          <w:sz w:val="16"/>
        </w:rPr>
        <w:t> </w:t>
      </w:r>
      <w:r>
        <w:rPr>
          <w:w w:val="105"/>
          <w:sz w:val="16"/>
        </w:rPr>
        <w:t>for</w:t>
      </w:r>
      <w:r>
        <w:rPr>
          <w:spacing w:val="-7"/>
          <w:w w:val="105"/>
          <w:sz w:val="16"/>
        </w:rPr>
        <w:t> </w:t>
      </w:r>
      <w:r>
        <w:rPr>
          <w:w w:val="105"/>
          <w:sz w:val="16"/>
        </w:rPr>
        <w:t>doing</w:t>
      </w:r>
      <w:r>
        <w:rPr>
          <w:spacing w:val="-6"/>
          <w:w w:val="105"/>
          <w:sz w:val="16"/>
        </w:rPr>
        <w:t> </w:t>
      </w:r>
      <w:r>
        <w:rPr>
          <w:w w:val="105"/>
          <w:sz w:val="16"/>
        </w:rPr>
        <w:t>these</w:t>
      </w:r>
      <w:r>
        <w:rPr>
          <w:spacing w:val="-7"/>
          <w:w w:val="105"/>
          <w:sz w:val="16"/>
        </w:rPr>
        <w:t> </w:t>
      </w:r>
      <w:r>
        <w:rPr>
          <w:spacing w:val="-4"/>
          <w:w w:val="105"/>
          <w:sz w:val="16"/>
        </w:rPr>
        <w:t>calculations</w:t>
      </w:r>
      <w:r>
        <w:rPr>
          <w:spacing w:val="-2"/>
          <w:w w:val="105"/>
          <w:sz w:val="16"/>
        </w:rPr>
        <w:t> </w:t>
      </w:r>
      <w:r>
        <w:rPr>
          <w:spacing w:val="-3"/>
          <w:w w:val="105"/>
          <w:sz w:val="16"/>
        </w:rPr>
        <w:t>for</w:t>
      </w:r>
      <w:r>
        <w:rPr>
          <w:spacing w:val="-1"/>
          <w:w w:val="105"/>
          <w:sz w:val="16"/>
        </w:rPr>
        <w:t> </w:t>
      </w:r>
      <w:r>
        <w:rPr>
          <w:spacing w:val="-4"/>
          <w:w w:val="105"/>
          <w:sz w:val="16"/>
        </w:rPr>
        <w:t>us.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20" w:h="16840"/>
          <w:pgMar w:header="0" w:footer="713" w:top="1440" w:bottom="980" w:left="1040" w:right="760"/>
        </w:sectPr>
      </w:pPr>
    </w:p>
    <w:p>
      <w:pPr>
        <w:pStyle w:val="BodyText"/>
        <w:spacing w:before="7"/>
        <w:rPr>
          <w:sz w:val="21"/>
        </w:rPr>
      </w:pPr>
    </w:p>
    <w:p>
      <w:pPr>
        <w:spacing w:before="0"/>
        <w:ind w:left="115" w:right="0" w:firstLine="0"/>
        <w:jc w:val="left"/>
        <w:rPr>
          <w:b/>
          <w:sz w:val="19"/>
        </w:rPr>
      </w:pPr>
      <w:r>
        <w:rPr>
          <w:b/>
          <w:w w:val="105"/>
          <w:sz w:val="19"/>
        </w:rPr>
        <w:t>Chart 5: Consumption and inflation</w:t>
      </w:r>
    </w:p>
    <w:p>
      <w:pPr>
        <w:spacing w:line="273" w:lineRule="auto" w:before="125"/>
        <w:ind w:left="234" w:right="1646" w:firstLine="0"/>
        <w:jc w:val="left"/>
        <w:rPr>
          <w:sz w:val="16"/>
        </w:rPr>
      </w:pPr>
      <w:r>
        <w:rPr>
          <w:sz w:val="16"/>
        </w:rPr>
        <w:t>Percentage change on a year earlier</w:t>
      </w:r>
    </w:p>
    <w:p>
      <w:pPr>
        <w:spacing w:before="120"/>
        <w:ind w:left="219" w:right="0" w:firstLine="0"/>
        <w:jc w:val="left"/>
        <w:rPr>
          <w:sz w:val="16"/>
        </w:rPr>
      </w:pPr>
      <w:r>
        <w:rPr/>
        <w:pict>
          <v:group style="position:absolute;margin-left:74.25pt;margin-top:9.34375pt;width:289.5pt;height:156.75pt;mso-position-horizontal-relative:page;mso-position-vertical-relative:paragraph;z-index:251699200" coordorigin="1485,187" coordsize="5790,3135">
            <v:shape style="position:absolute;left:1545;top:194;width:5730;height:3120" coordorigin="1545,194" coordsize="5730,3120" path="m7230,194l7230,3314m7230,3314l7275,3314m7230,2999l7275,2999m7230,2699l7275,2699m7230,2384l7275,2384m7230,2069l7275,2069m7230,1754l7275,1754m7230,1439l7275,1439m7230,1139l7275,1139m7230,824l7275,824m7230,509l7275,509m7230,194l7275,194m1545,3314l7230,3314m1545,3314l1545,3269m2280,3314l2280,3269m3000,3314l3000,3269m3735,3314l3735,3269m4470,3314l4470,3269m5205,3314l5205,3269m5940,3314l5940,3269m6675,3314l6675,3269e" filled="false" stroked="true" strokeweight=".75pt" strokecolor="#000000">
              <v:path arrowok="t"/>
              <v:stroke dashstyle="solid"/>
            </v:shape>
            <v:line style="position:absolute" from="1575,2512" to="1575,3172" stroked="true" strokeweight="3.75pt" strokecolor="#000080">
              <v:stroke dashstyle="solid"/>
            </v:line>
            <v:shape style="position:absolute;left:1605;top:1409;width:1095;height:1365" coordorigin="1605,1409" coordsize="1095,1365" path="m1605,2519l1665,2774m1665,2774l1725,2489m1725,2489l1785,2699m1785,2699l1845,2564m1845,2564l1905,2624m1905,2624l1965,2354m1965,2354l2025,1994m2025,1994l2085,1814m2085,1814l2145,1424m2145,1424l2205,1529m2205,1529l2280,1694m2280,1694l2340,1829m2340,1829l2400,2384m2400,2384l2460,2054m2460,2054l2520,2039m2520,2039l2580,1844m2580,1844l2640,1409m2640,1409l2700,1454e" filled="false" stroked="true" strokeweight=".75pt" strokecolor="#000080">
              <v:path arrowok="t"/>
              <v:stroke dashstyle="solid"/>
            </v:shape>
            <v:line style="position:absolute" from="2730,727" to="2730,1462" stroked="true" strokeweight="3.75pt" strokecolor="#000080">
              <v:stroke dashstyle="solid"/>
            </v:line>
            <v:shape style="position:absolute;left:2760;top:734;width:315;height:1005" coordorigin="2760,734" coordsize="315,1005" path="m2760,734l2820,764m2820,764l2880,1124m2880,1124l2940,1379m2940,1379l3000,1739m3000,1739l3075,1559e" filled="false" stroked="true" strokeweight=".75pt" strokecolor="#000080">
              <v:path arrowok="t"/>
              <v:stroke dashstyle="solid"/>
            </v:shape>
            <v:line style="position:absolute" from="3105,952" to="3105,1567" stroked="true" strokeweight="3.75pt" strokecolor="#000080">
              <v:stroke dashstyle="solid"/>
            </v:line>
            <v:shape style="position:absolute;left:3135;top:479;width:915;height:2535" coordorigin="3135,479" coordsize="915,2535" path="m3135,959l3195,494m3195,494l3255,479m3255,479l3315,599m3315,599l3375,629m3375,629l3435,749m3435,749l3495,1184m3495,1184l3555,1154m3555,1154l3615,1634m3615,1634l3675,1844m3675,1844l3735,1934m3735,1934l3795,1859m3795,1859l3870,1979m3870,1979l3930,2204m3930,2204l3990,2594m3990,2594l4050,3014e" filled="false" stroked="true" strokeweight=".75pt" strokecolor="#000080">
              <v:path arrowok="t"/>
              <v:stroke dashstyle="solid"/>
            </v:shape>
            <v:shape style="position:absolute;left:4042;top:2331;width:375;height:750" type="#_x0000_t75" stroked="false">
              <v:imagedata r:id="rId9" o:title=""/>
            </v:shape>
            <v:line style="position:absolute" from="4440,1747" to="4440,2347" stroked="true" strokeweight="3.75pt" strokecolor="#000080">
              <v:stroke dashstyle="solid"/>
            </v:line>
            <v:shape style="position:absolute;left:4470;top:1544;width:2700;height:990" coordorigin="4470,1544" coordsize="2700,990" path="m4470,1754l4530,1889m4530,1889l4590,1604m4590,1604l4665,1619m4665,1619l4725,1784m4725,1784l4785,1904m4785,1904l4845,2144m4845,2144l4905,2159m4905,2159l4965,2264m4965,2264l5025,2084m5025,2084l5085,2024m5085,2024l5145,1889m5145,1889l5205,1589m5205,1589l5265,1544m5265,1544l5325,1574m5325,1574l5385,1559m5385,1559l5445,1859m5445,1859l5520,1814m5520,1814l5580,2099m5580,2099l5640,1874m5640,1874l5700,2009m5700,2009l5760,1844m5760,1844l5820,1739m5820,1739l5880,2009m5880,2009l5940,1679m5940,1679l6000,1889m6000,1889l6060,1784m6060,1784l6120,1634m6120,1634l6180,1544m6180,1544l6240,1694m6240,1694l6300,1859m6300,1859l6375,2174m6375,2174l6435,2534m6435,2534l6495,2504m6495,2504l6555,2369m6555,2369l6615,2189m6615,2189l6675,2189m6675,2189l6735,2069m6735,2069l6795,2084m6795,2084l6855,2024m6855,2024l6915,2219m6915,2219l6975,2144m6975,2144l7035,2084m7035,2084l7110,2234m7110,2234l7170,1889e" filled="false" stroked="true" strokeweight=".75pt" strokecolor="#000080">
              <v:path arrowok="t"/>
              <v:stroke dashstyle="solid"/>
            </v:shape>
            <v:line style="position:absolute" from="7170,1889" to="7230,1994" stroked="true" strokeweight=".75pt" strokecolor="#000080">
              <v:stroke dashstyle="solid"/>
            </v:line>
            <v:line style="position:absolute" from="1545,2384" to="7230,2384" stroked="true" strokeweight=".75pt" strokecolor="#000000">
              <v:stroke dashstyle="solid"/>
            </v:line>
            <v:shape style="position:absolute;left:1485;top:194;width:60;height:3120" coordorigin="1485,194" coordsize="60,3120" path="m1545,194l1545,3314m1485,3314l1545,3314m1485,2864l1545,2864m1485,2429l1545,2429m1485,1979l1545,1979m1485,1529l1545,1529m1485,1094l1545,1094m1485,644l1545,644m1485,194l1545,194e" filled="false" stroked="true" strokeweight=".75pt" strokecolor="#000000">
              <v:path arrowok="t"/>
              <v:stroke dashstyle="solid"/>
            </v:shape>
            <v:line style="position:absolute" from="1545,494" to="1605,704" stroked="true" strokeweight=".75pt" strokecolor="#ff00ff">
              <v:stroke dashstyle="solid"/>
            </v:line>
            <v:shape style="position:absolute;left:1605;top:659;width:2385;height:2070" coordorigin="1605,659" coordsize="2385,2070" path="m1605,704l1665,809m1665,809l1725,659m1725,659l1785,839m1785,839l1845,1229m1845,1229l1905,1544m1905,1544l1965,1949m1965,1949l2025,2204m2025,2204l2085,2474m2085,2474l2145,2279m2145,2279l2205,2189m2205,2189l2280,2174m2280,2174l2340,2174m2340,2174l2400,2264m2400,2264l2460,2234m2460,2234l2520,2084m2520,2084l2580,1769m2580,1769l2640,1904m2640,1904l2700,2084m2700,2084l2760,2219m2760,2219l2820,2699m2820,2699l2880,2729m2880,2729l2940,2549m2940,2549l3000,2444m3000,2444l3075,2369m3075,2369l3135,2354m3135,2354l3195,2399m3195,2399l3255,2564m3255,2564l3315,2384m3315,2384l3375,2099m3375,2099l3435,1874m3435,1874l3495,1604m3495,1604l3555,1499m3555,1499l3615,1604m3615,1604l3675,1619m3675,1619l3735,1574m3735,1574l3795,1169m3795,1169l3870,989m3870,989l3930,1094m3930,1094l3990,1394e" filled="false" stroked="true" strokeweight=".75pt" strokecolor="#ff00ff">
              <v:path arrowok="t"/>
              <v:stroke dashstyle="solid"/>
            </v:shape>
            <v:line style="position:absolute" from="4020,1387" to="4020,1987" stroked="true" strokeweight="3.75pt" strokecolor="#ff00ff">
              <v:stroke dashstyle="solid"/>
            </v:line>
            <v:shape style="position:absolute;left:4050;top:1979;width:3120;height:1110" coordorigin="4050,1979" coordsize="3120,1110" path="m4050,1979l4110,2249m4110,2249l4170,2399m4170,2399l4230,2399m4230,2399l4290,2399m4290,2399l4350,2519m4350,2519l4410,2639m4410,2639l4470,2909m4470,2909l4530,3029m4530,3029l4590,2954m4590,2954l4665,2969m4665,2969l4725,2789m4725,2789l4785,2744m4785,2744l4845,2804m4845,2804l4905,2729m4905,2729l4965,2564m4965,2564l5025,2549m5025,2549l5085,2504m5085,2504l5145,2609m5145,2609l5205,2699m5205,2699l5265,2819m5265,2819l5325,2849m5325,2849l5385,2744m5385,2744l5445,2729m5445,2729l5520,2714m5520,2714l5580,2549m5580,2549l5640,2489m5640,2489l5700,2549m5700,2549l5760,2429m5760,2429l5820,2564m5820,2564l5880,2654m5880,2654l5940,2834m5940,2834l6000,2999m6000,2999l6060,3059m6060,3059l6120,2999m6120,2999l6180,2804m6180,2804l6240,2624m6240,2624l6300,2609m6300,2609l6375,2624m6375,2624l6435,2744m6435,2744l6495,2879m6495,2879l6555,2909m6555,2909l6615,3089m6615,3089l6675,3044m6675,3044l6735,3044m6735,3044l6795,2984m6795,2984l6855,2759m6855,2759l6915,2639m6915,2639l6975,2654m6975,2654l7035,2654m7035,2654l7110,2729m7110,2729l7170,2744e" filled="false" stroked="true" strokeweight=".75pt" strokecolor="#ff00ff">
              <v:path arrowok="t"/>
              <v:stroke dashstyle="solid"/>
            </v:shape>
            <v:line style="position:absolute" from="7170,2744" to="7230,2699" stroked="true" strokeweight=".75pt" strokecolor="#ff00ff">
              <v:stroke dashstyle="solid"/>
            </v:line>
            <v:shape style="position:absolute;left:2985;top:202;width:3710;height:387" type="#_x0000_t202" filled="false" stroked="false">
              <v:textbox inset="0,0,0,0">
                <w:txbxContent>
                  <w:p>
                    <w:pPr>
                      <w:spacing w:line="273" w:lineRule="auto" w:before="0"/>
                      <w:ind w:left="498" w:right="4" w:hanging="499"/>
                      <w:jc w:val="left"/>
                      <w:rPr>
                        <w:sz w:val="16"/>
                      </w:rPr>
                    </w:pPr>
                    <w:r>
                      <w:rPr>
                        <w:sz w:val="16"/>
                      </w:rPr>
                      <w:t>Real per capita consumption of non-durables and services (right-hand scale)</w:t>
                    </w:r>
                  </w:p>
                </w:txbxContent>
              </v:textbox>
              <w10:wrap type="none"/>
            </v:shape>
            <v:shape style="position:absolute;left:2235;top:2767;width:1325;height:177" type="#_x0000_t202" filled="false" stroked="false">
              <v:textbox inset="0,0,0,0">
                <w:txbxContent>
                  <w:p>
                    <w:pPr>
                      <w:spacing w:line="177" w:lineRule="exact" w:before="0"/>
                      <w:ind w:left="0" w:right="0" w:firstLine="0"/>
                      <w:jc w:val="left"/>
                      <w:rPr>
                        <w:sz w:val="16"/>
                      </w:rPr>
                    </w:pPr>
                    <w:r>
                      <w:rPr>
                        <w:sz w:val="16"/>
                      </w:rPr>
                      <w:t>RPI</w:t>
                    </w:r>
                    <w:r>
                      <w:rPr>
                        <w:spacing w:val="-17"/>
                        <w:sz w:val="16"/>
                      </w:rPr>
                      <w:t> </w:t>
                    </w:r>
                    <w:r>
                      <w:rPr>
                        <w:sz w:val="16"/>
                      </w:rPr>
                      <w:t>(left-hand</w:t>
                    </w:r>
                    <w:r>
                      <w:rPr>
                        <w:spacing w:val="-17"/>
                        <w:sz w:val="16"/>
                      </w:rPr>
                      <w:t> </w:t>
                    </w:r>
                    <w:r>
                      <w:rPr>
                        <w:sz w:val="16"/>
                      </w:rPr>
                      <w:t>scale)</w:t>
                    </w:r>
                  </w:p>
                </w:txbxContent>
              </v:textbox>
              <w10:wrap type="none"/>
            </v:shape>
            <w10:wrap type="none"/>
          </v:group>
        </w:pict>
      </w:r>
      <w:r>
        <w:rPr>
          <w:spacing w:val="-5"/>
          <w:sz w:val="16"/>
        </w:rPr>
        <w:t>14</w:t>
      </w:r>
    </w:p>
    <w:p>
      <w:pPr>
        <w:pStyle w:val="BodyText"/>
        <w:spacing w:before="1"/>
        <w:rPr>
          <w:sz w:val="23"/>
        </w:rPr>
      </w:pPr>
    </w:p>
    <w:p>
      <w:pPr>
        <w:spacing w:before="1"/>
        <w:ind w:left="219" w:right="0" w:firstLine="0"/>
        <w:jc w:val="left"/>
        <w:rPr>
          <w:sz w:val="16"/>
        </w:rPr>
      </w:pPr>
      <w:r>
        <w:rPr>
          <w:spacing w:val="-5"/>
          <w:sz w:val="16"/>
        </w:rPr>
        <w:t>12</w:t>
      </w:r>
    </w:p>
    <w:p>
      <w:pPr>
        <w:pStyle w:val="BodyText"/>
        <w:spacing w:before="9"/>
        <w:rPr>
          <w:sz w:val="21"/>
        </w:rPr>
      </w:pPr>
    </w:p>
    <w:p>
      <w:pPr>
        <w:spacing w:before="0"/>
        <w:ind w:left="219" w:right="0" w:firstLine="0"/>
        <w:jc w:val="left"/>
        <w:rPr>
          <w:sz w:val="16"/>
        </w:rPr>
      </w:pPr>
      <w:r>
        <w:rPr>
          <w:spacing w:val="-5"/>
          <w:sz w:val="16"/>
        </w:rPr>
        <w:t>10</w:t>
      </w:r>
    </w:p>
    <w:p>
      <w:pPr>
        <w:pStyle w:val="BodyText"/>
        <w:spacing w:before="1"/>
        <w:rPr>
          <w:sz w:val="23"/>
        </w:rPr>
      </w:pPr>
    </w:p>
    <w:p>
      <w:pPr>
        <w:spacing w:before="1"/>
        <w:ind w:left="294" w:right="0" w:firstLine="0"/>
        <w:jc w:val="left"/>
        <w:rPr>
          <w:sz w:val="16"/>
        </w:rPr>
      </w:pPr>
      <w:r>
        <w:rPr>
          <w:w w:val="99"/>
          <w:sz w:val="16"/>
        </w:rPr>
        <w:t>8</w:t>
      </w:r>
    </w:p>
    <w:p>
      <w:pPr>
        <w:pStyle w:val="BodyText"/>
        <w:spacing w:before="1"/>
        <w:rPr>
          <w:sz w:val="23"/>
        </w:rPr>
      </w:pPr>
    </w:p>
    <w:p>
      <w:pPr>
        <w:spacing w:before="0"/>
        <w:ind w:left="294" w:right="0" w:firstLine="0"/>
        <w:jc w:val="left"/>
        <w:rPr>
          <w:sz w:val="16"/>
        </w:rPr>
      </w:pPr>
      <w:r>
        <w:rPr>
          <w:w w:val="99"/>
          <w:sz w:val="16"/>
        </w:rPr>
        <w:t>6</w:t>
      </w:r>
    </w:p>
    <w:p>
      <w:pPr>
        <w:pStyle w:val="BodyText"/>
        <w:spacing w:before="10"/>
        <w:rPr>
          <w:sz w:val="21"/>
        </w:rPr>
      </w:pPr>
    </w:p>
    <w:p>
      <w:pPr>
        <w:spacing w:before="0"/>
        <w:ind w:left="294" w:right="0" w:firstLine="0"/>
        <w:jc w:val="left"/>
        <w:rPr>
          <w:sz w:val="16"/>
        </w:rPr>
      </w:pPr>
      <w:r>
        <w:rPr>
          <w:w w:val="99"/>
          <w:sz w:val="16"/>
        </w:rPr>
        <w:t>4</w:t>
      </w:r>
    </w:p>
    <w:p>
      <w:pPr>
        <w:pStyle w:val="BodyText"/>
        <w:spacing w:before="1"/>
        <w:rPr>
          <w:sz w:val="23"/>
        </w:rPr>
      </w:pPr>
    </w:p>
    <w:p>
      <w:pPr>
        <w:spacing w:before="0"/>
        <w:ind w:left="294" w:right="0" w:firstLine="0"/>
        <w:jc w:val="left"/>
        <w:rPr>
          <w:sz w:val="16"/>
        </w:rPr>
      </w:pPr>
      <w:r>
        <w:rPr>
          <w:w w:val="99"/>
          <w:sz w:val="16"/>
        </w:rPr>
        <w:t>2</w:t>
      </w:r>
    </w:p>
    <w:p>
      <w:pPr>
        <w:pStyle w:val="BodyText"/>
        <w:spacing w:before="2"/>
        <w:rPr>
          <w:sz w:val="23"/>
        </w:rPr>
      </w:pPr>
    </w:p>
    <w:p>
      <w:pPr>
        <w:spacing w:before="0"/>
        <w:ind w:left="294" w:right="0" w:firstLine="0"/>
        <w:jc w:val="left"/>
        <w:rPr>
          <w:sz w:val="16"/>
        </w:rPr>
      </w:pPr>
      <w:r>
        <w:rPr>
          <w:w w:val="99"/>
          <w:sz w:val="16"/>
        </w:rPr>
        <w:t>0</w:t>
      </w:r>
    </w:p>
    <w:p>
      <w:pPr>
        <w:pStyle w:val="BodyText"/>
        <w:rPr>
          <w:sz w:val="18"/>
        </w:rPr>
      </w:pPr>
      <w:r>
        <w:rPr/>
        <w:br w:type="column"/>
      </w:r>
      <w:r>
        <w:rPr>
          <w:sz w:val="18"/>
        </w:rPr>
      </w:r>
    </w:p>
    <w:p>
      <w:pPr>
        <w:pStyle w:val="BodyText"/>
        <w:rPr>
          <w:sz w:val="18"/>
        </w:rPr>
      </w:pPr>
    </w:p>
    <w:p>
      <w:pPr>
        <w:pStyle w:val="BodyText"/>
        <w:spacing w:before="5"/>
        <w:rPr>
          <w:sz w:val="15"/>
        </w:rPr>
      </w:pPr>
    </w:p>
    <w:p>
      <w:pPr>
        <w:spacing w:line="273" w:lineRule="auto" w:before="0"/>
        <w:ind w:left="115" w:right="3435" w:firstLine="0"/>
        <w:jc w:val="left"/>
        <w:rPr>
          <w:sz w:val="16"/>
        </w:rPr>
      </w:pPr>
      <w:r>
        <w:rPr>
          <w:sz w:val="16"/>
        </w:rPr>
        <w:t>Percentage change on a year earlier</w:t>
      </w:r>
    </w:p>
    <w:p>
      <w:pPr>
        <w:spacing w:before="121"/>
        <w:ind w:left="1074" w:right="0" w:firstLine="0"/>
        <w:jc w:val="left"/>
        <w:rPr>
          <w:sz w:val="16"/>
        </w:rPr>
      </w:pPr>
      <w:r>
        <w:rPr>
          <w:w w:val="99"/>
          <w:sz w:val="16"/>
        </w:rPr>
        <w:t>7</w:t>
      </w:r>
    </w:p>
    <w:p>
      <w:pPr>
        <w:spacing w:before="131"/>
        <w:ind w:left="1074" w:right="0" w:firstLine="0"/>
        <w:jc w:val="left"/>
        <w:rPr>
          <w:sz w:val="16"/>
        </w:rPr>
      </w:pPr>
      <w:r>
        <w:rPr>
          <w:w w:val="99"/>
          <w:sz w:val="16"/>
        </w:rPr>
        <w:t>6</w:t>
      </w:r>
    </w:p>
    <w:p>
      <w:pPr>
        <w:spacing w:before="131"/>
        <w:ind w:left="1074" w:right="0" w:firstLine="0"/>
        <w:jc w:val="left"/>
        <w:rPr>
          <w:sz w:val="16"/>
        </w:rPr>
      </w:pPr>
      <w:r>
        <w:rPr>
          <w:w w:val="99"/>
          <w:sz w:val="16"/>
        </w:rPr>
        <w:t>5</w:t>
      </w:r>
    </w:p>
    <w:p>
      <w:pPr>
        <w:spacing w:before="116"/>
        <w:ind w:left="1074" w:right="0" w:firstLine="0"/>
        <w:jc w:val="left"/>
        <w:rPr>
          <w:sz w:val="16"/>
        </w:rPr>
      </w:pPr>
      <w:r>
        <w:rPr>
          <w:w w:val="99"/>
          <w:sz w:val="16"/>
        </w:rPr>
        <w:t>4</w:t>
      </w:r>
    </w:p>
    <w:p>
      <w:pPr>
        <w:spacing w:before="131"/>
        <w:ind w:left="1074" w:right="0" w:firstLine="0"/>
        <w:jc w:val="left"/>
        <w:rPr>
          <w:sz w:val="16"/>
        </w:rPr>
      </w:pPr>
      <w:r>
        <w:rPr>
          <w:w w:val="99"/>
          <w:sz w:val="16"/>
        </w:rPr>
        <w:t>3</w:t>
      </w:r>
    </w:p>
    <w:p>
      <w:pPr>
        <w:spacing w:before="131"/>
        <w:ind w:left="1074" w:right="0" w:firstLine="0"/>
        <w:jc w:val="left"/>
        <w:rPr>
          <w:sz w:val="16"/>
        </w:rPr>
      </w:pPr>
      <w:r>
        <w:rPr>
          <w:w w:val="99"/>
          <w:sz w:val="16"/>
        </w:rPr>
        <w:t>2</w:t>
      </w:r>
    </w:p>
    <w:p>
      <w:pPr>
        <w:spacing w:before="131"/>
        <w:ind w:left="1074" w:right="0" w:firstLine="0"/>
        <w:jc w:val="left"/>
        <w:rPr>
          <w:sz w:val="16"/>
        </w:rPr>
      </w:pPr>
      <w:r>
        <w:rPr>
          <w:w w:val="99"/>
          <w:sz w:val="16"/>
        </w:rPr>
        <w:t>1</w:t>
      </w:r>
    </w:p>
    <w:p>
      <w:pPr>
        <w:spacing w:before="131"/>
        <w:ind w:left="1074" w:right="0" w:firstLine="0"/>
        <w:jc w:val="left"/>
        <w:rPr>
          <w:sz w:val="16"/>
        </w:rPr>
      </w:pPr>
      <w:r>
        <w:rPr>
          <w:w w:val="99"/>
          <w:sz w:val="16"/>
        </w:rPr>
        <w:t>0</w:t>
      </w:r>
    </w:p>
    <w:p>
      <w:pPr>
        <w:spacing w:before="116"/>
        <w:ind w:left="1074" w:right="0" w:firstLine="0"/>
        <w:jc w:val="left"/>
        <w:rPr>
          <w:sz w:val="16"/>
        </w:rPr>
      </w:pPr>
      <w:r>
        <w:rPr>
          <w:spacing w:val="-7"/>
          <w:sz w:val="16"/>
        </w:rPr>
        <w:t>-1</w:t>
      </w:r>
    </w:p>
    <w:p>
      <w:pPr>
        <w:spacing w:before="131"/>
        <w:ind w:left="1074" w:right="0" w:firstLine="0"/>
        <w:jc w:val="left"/>
        <w:rPr>
          <w:sz w:val="16"/>
        </w:rPr>
      </w:pPr>
      <w:r>
        <w:rPr>
          <w:spacing w:val="-7"/>
          <w:sz w:val="16"/>
        </w:rPr>
        <w:t>-2</w:t>
      </w:r>
    </w:p>
    <w:p>
      <w:pPr>
        <w:spacing w:before="131"/>
        <w:ind w:left="1074" w:right="0" w:firstLine="0"/>
        <w:jc w:val="left"/>
        <w:rPr>
          <w:sz w:val="16"/>
        </w:rPr>
      </w:pPr>
      <w:r>
        <w:rPr>
          <w:spacing w:val="-7"/>
          <w:sz w:val="16"/>
        </w:rPr>
        <w:t>-3</w:t>
      </w:r>
    </w:p>
    <w:p>
      <w:pPr>
        <w:spacing w:after="0"/>
        <w:jc w:val="left"/>
        <w:rPr>
          <w:sz w:val="16"/>
        </w:rPr>
        <w:sectPr>
          <w:type w:val="continuous"/>
          <w:pgSz w:w="11920" w:h="16840"/>
          <w:pgMar w:top="1180" w:bottom="280" w:left="1040" w:right="760"/>
          <w:cols w:num="2" w:equalWidth="0">
            <w:col w:w="3215" w:space="2020"/>
            <w:col w:w="4885"/>
          </w:cols>
        </w:sectPr>
      </w:pPr>
    </w:p>
    <w:p>
      <w:pPr>
        <w:tabs>
          <w:tab w:pos="1074" w:val="left" w:leader="none"/>
          <w:tab w:pos="1809" w:val="left" w:leader="none"/>
          <w:tab w:pos="2544" w:val="left" w:leader="none"/>
          <w:tab w:pos="3264" w:val="left" w:leader="none"/>
          <w:tab w:pos="3999" w:val="left" w:leader="none"/>
          <w:tab w:pos="4734" w:val="left" w:leader="none"/>
          <w:tab w:pos="5469" w:val="left" w:leader="none"/>
        </w:tabs>
        <w:spacing w:before="56"/>
        <w:ind w:left="339" w:right="0" w:firstLine="0"/>
        <w:jc w:val="left"/>
        <w:rPr>
          <w:sz w:val="16"/>
        </w:rPr>
      </w:pPr>
      <w:r>
        <w:rPr>
          <w:sz w:val="16"/>
        </w:rPr>
        <w:t>1981</w:t>
        <w:tab/>
        <w:t>1984</w:t>
        <w:tab/>
        <w:t>1987</w:t>
        <w:tab/>
        <w:t>1990</w:t>
        <w:tab/>
      </w:r>
      <w:r>
        <w:rPr>
          <w:spacing w:val="4"/>
          <w:sz w:val="16"/>
        </w:rPr>
        <w:t>1993</w:t>
        <w:tab/>
        <w:t>1996</w:t>
        <w:tab/>
        <w:t>1999</w:t>
        <w:tab/>
      </w:r>
      <w:r>
        <w:rPr>
          <w:sz w:val="16"/>
        </w:rPr>
        <w:t>2002</w:t>
      </w:r>
    </w:p>
    <w:p>
      <w:pPr>
        <w:spacing w:before="148"/>
        <w:ind w:left="115" w:right="0" w:firstLine="0"/>
        <w:jc w:val="left"/>
        <w:rPr>
          <w:sz w:val="19"/>
        </w:rPr>
      </w:pPr>
      <w:r>
        <w:rPr>
          <w:w w:val="105"/>
          <w:sz w:val="19"/>
        </w:rPr>
        <w:t>Source: ONS</w:t>
      </w:r>
    </w:p>
    <w:p>
      <w:pPr>
        <w:pStyle w:val="BodyText"/>
        <w:rPr>
          <w:sz w:val="22"/>
        </w:rPr>
      </w:pPr>
    </w:p>
    <w:p>
      <w:pPr>
        <w:pStyle w:val="BodyText"/>
        <w:rPr>
          <w:sz w:val="19"/>
        </w:rPr>
      </w:pPr>
    </w:p>
    <w:p>
      <w:pPr>
        <w:spacing w:before="0"/>
        <w:ind w:left="115" w:right="0" w:firstLine="0"/>
        <w:jc w:val="left"/>
        <w:rPr>
          <w:sz w:val="19"/>
        </w:rPr>
      </w:pPr>
      <w:r>
        <w:rPr>
          <w:w w:val="105"/>
          <w:sz w:val="19"/>
        </w:rPr>
        <w:t>ENDS</w:t>
      </w:r>
    </w:p>
    <w:sectPr>
      <w:type w:val="continuous"/>
      <w:pgSz w:w="11920" w:h="16840"/>
      <w:pgMar w:top="1180" w:bottom="280" w:left="10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25pt;margin-top:791.306641pt;width:18pt;height:15.3pt;mso-position-horizontal-relative:page;mso-position-vertical-relative:page;z-index:-2529863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735"/>
        <w:jc w:val="left"/>
      </w:pPr>
      <w:rPr>
        <w:rFonts w:hint="default" w:ascii="Times New Roman" w:hAnsi="Times New Roman" w:eastAsia="Times New Roman" w:cs="Times New Roman"/>
        <w:i/>
        <w:spacing w:val="-16"/>
        <w:w w:val="97"/>
        <w:sz w:val="24"/>
        <w:szCs w:val="24"/>
      </w:rPr>
    </w:lvl>
    <w:lvl w:ilvl="1">
      <w:start w:val="0"/>
      <w:numFmt w:val="bullet"/>
      <w:lvlText w:val="•"/>
      <w:lvlJc w:val="left"/>
      <w:pPr>
        <w:ind w:left="1120" w:hanging="735"/>
      </w:pPr>
      <w:rPr>
        <w:rFonts w:hint="default"/>
      </w:rPr>
    </w:lvl>
    <w:lvl w:ilvl="2">
      <w:start w:val="0"/>
      <w:numFmt w:val="bullet"/>
      <w:lvlText w:val="•"/>
      <w:lvlJc w:val="left"/>
      <w:pPr>
        <w:ind w:left="2120" w:hanging="735"/>
      </w:pPr>
      <w:rPr>
        <w:rFonts w:hint="default"/>
      </w:rPr>
    </w:lvl>
    <w:lvl w:ilvl="3">
      <w:start w:val="0"/>
      <w:numFmt w:val="bullet"/>
      <w:lvlText w:val="•"/>
      <w:lvlJc w:val="left"/>
      <w:pPr>
        <w:ind w:left="3120" w:hanging="735"/>
      </w:pPr>
      <w:rPr>
        <w:rFonts w:hint="default"/>
      </w:rPr>
    </w:lvl>
    <w:lvl w:ilvl="4">
      <w:start w:val="0"/>
      <w:numFmt w:val="bullet"/>
      <w:lvlText w:val="•"/>
      <w:lvlJc w:val="left"/>
      <w:pPr>
        <w:ind w:left="4120" w:hanging="735"/>
      </w:pPr>
      <w:rPr>
        <w:rFonts w:hint="default"/>
      </w:rPr>
    </w:lvl>
    <w:lvl w:ilvl="5">
      <w:start w:val="0"/>
      <w:numFmt w:val="bullet"/>
      <w:lvlText w:val="•"/>
      <w:lvlJc w:val="left"/>
      <w:pPr>
        <w:ind w:left="5120" w:hanging="735"/>
      </w:pPr>
      <w:rPr>
        <w:rFonts w:hint="default"/>
      </w:rPr>
    </w:lvl>
    <w:lvl w:ilvl="6">
      <w:start w:val="0"/>
      <w:numFmt w:val="bullet"/>
      <w:lvlText w:val="•"/>
      <w:lvlJc w:val="left"/>
      <w:pPr>
        <w:ind w:left="6120" w:hanging="735"/>
      </w:pPr>
      <w:rPr>
        <w:rFonts w:hint="default"/>
      </w:rPr>
    </w:lvl>
    <w:lvl w:ilvl="7">
      <w:start w:val="0"/>
      <w:numFmt w:val="bullet"/>
      <w:lvlText w:val="•"/>
      <w:lvlJc w:val="left"/>
      <w:pPr>
        <w:ind w:left="7120" w:hanging="735"/>
      </w:pPr>
      <w:rPr>
        <w:rFonts w:hint="default"/>
      </w:rPr>
    </w:lvl>
    <w:lvl w:ilvl="8">
      <w:start w:val="0"/>
      <w:numFmt w:val="bullet"/>
      <w:lvlText w:val="•"/>
      <w:lvlJc w:val="left"/>
      <w:pPr>
        <w:ind w:left="8120" w:hanging="7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15"/>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115" w:right="11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bankofengland.co.uk/publications/sninflation050127.pdf"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 by Marian Bell on 2 March 2005</dc:subject>
  <dc:title>A Matter of No Small Interest: Real Short-term Interest Rates and Inflation since the 1990s</dc:title>
  <dcterms:created xsi:type="dcterms:W3CDTF">2020-06-02T17:11:51Z</dcterms:created>
  <dcterms:modified xsi:type="dcterms:W3CDTF">2020-06-02T17:11:51Z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2005-03-02T00:00:00Z</vt:filetime>
  </property>
  <property fmtid="{D5CDD505-2E9C-101B-9397-08002B2CF9AE}" pid="3" name="Creator">
    <vt:lpwstr>#69828v1&lt;SECS_DOCS&gt; - Marian Bell Speech to The Institute of Directors &amp; Milton Keynes and North Bucks Chamber of Commerce - 2 March 2005 - Microsoft Word</vt:lpwstr>
  </property>
  <property fmtid="{D5CDD505-2E9C-101B-9397-08002B2CF9AE}" pid="4" name="LastSaved">
    <vt:filetime>2020-06-02T00:00:00Z</vt:filetime>
  </property>
</Properties>
</file>